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ED2F" w14:textId="31620A2D" w:rsidR="00D3017C" w:rsidRPr="00B85B32" w:rsidRDefault="00D3017C" w:rsidP="00BD1FDC">
      <w:pPr>
        <w:pStyle w:val="ESHeading1"/>
        <w:rPr>
          <w:rFonts w:ascii="Calibri" w:hAnsi="Calibri" w:cs="Calibri"/>
        </w:rPr>
        <w:sectPr w:rsidR="00D3017C" w:rsidRPr="00B85B32" w:rsidSect="00AA5D63">
          <w:headerReference w:type="default" r:id="rId11"/>
          <w:pgSz w:w="11900" w:h="16840"/>
          <w:pgMar w:top="1440" w:right="1701" w:bottom="1440" w:left="1701" w:header="709" w:footer="709" w:gutter="0"/>
          <w:cols w:space="708"/>
          <w:docGrid w:linePitch="360"/>
        </w:sectPr>
      </w:pPr>
    </w:p>
    <w:p w14:paraId="1931EA27" w14:textId="77777777" w:rsidR="00890A8F" w:rsidRPr="00B85B32" w:rsidRDefault="00890A8F" w:rsidP="00D90AAF">
      <w:pPr>
        <w:pStyle w:val="TOCHeading"/>
        <w:rPr>
          <w:rFonts w:ascii="Calibri" w:hAnsi="Calibri" w:cs="Calibri"/>
        </w:rPr>
        <w:sectPr w:rsidR="00890A8F" w:rsidRPr="00B85B32" w:rsidSect="003B3A5C">
          <w:headerReference w:type="default" r:id="rId12"/>
          <w:footerReference w:type="default" r:id="rId13"/>
          <w:pgSz w:w="11900" w:h="16840"/>
          <w:pgMar w:top="1440" w:right="1134" w:bottom="1440" w:left="2835" w:header="709" w:footer="709" w:gutter="0"/>
          <w:cols w:space="708"/>
          <w:vAlign w:val="bottom"/>
          <w:docGrid w:linePitch="360"/>
        </w:sectPr>
      </w:pPr>
    </w:p>
    <w:p w14:paraId="472BD6DE" w14:textId="5C94E9F0" w:rsidR="003F3CFA" w:rsidRPr="00B85B32" w:rsidRDefault="00AD20F5" w:rsidP="00D90AAF">
      <w:pPr>
        <w:pStyle w:val="TOCHeading"/>
        <w:rPr>
          <w:rFonts w:ascii="Calibri" w:hAnsi="Calibri" w:cs="Calibri"/>
        </w:rPr>
      </w:pPr>
      <w:r w:rsidRPr="00B85B32">
        <w:rPr>
          <w:rFonts w:ascii="Calibri" w:hAnsi="Calibri" w:cs="Calibri"/>
        </w:rPr>
        <w:t>Contents</w:t>
      </w:r>
    </w:p>
    <w:p w14:paraId="50E616D1" w14:textId="7B075B88" w:rsidR="00802CD4" w:rsidRDefault="008A3484">
      <w:pPr>
        <w:pStyle w:val="TOC1"/>
        <w:rPr>
          <w:rFonts w:eastAsiaTheme="minorEastAsia"/>
          <w:b w:val="0"/>
          <w:noProof/>
          <w:szCs w:val="22"/>
          <w:lang w:val="en-AU" w:eastAsia="en-AU"/>
        </w:rPr>
      </w:pPr>
      <w:r w:rsidRPr="00B85B32">
        <w:rPr>
          <w:rFonts w:ascii="Calibri" w:hAnsi="Calibri" w:cs="Calibri"/>
          <w:color w:val="AF272F"/>
        </w:rPr>
        <w:fldChar w:fldCharType="begin"/>
      </w:r>
      <w:r w:rsidRPr="00B85B32">
        <w:rPr>
          <w:rFonts w:ascii="Calibri" w:hAnsi="Calibri" w:cs="Calibri"/>
        </w:rPr>
        <w:instrText xml:space="preserve"> TOC \t "ES_Heading 1,1,ES_Heading 2,2,ES_Heading 3,3" </w:instrText>
      </w:r>
      <w:r w:rsidRPr="00B85B32">
        <w:rPr>
          <w:rFonts w:ascii="Calibri" w:hAnsi="Calibri" w:cs="Calibri"/>
          <w:color w:val="AF272F"/>
        </w:rPr>
        <w:fldChar w:fldCharType="separate"/>
      </w:r>
      <w:r w:rsidR="00802CD4" w:rsidRPr="005A2A63">
        <w:rPr>
          <w:rFonts w:ascii="Calibri" w:hAnsi="Calibri" w:cs="Calibri"/>
          <w:noProof/>
        </w:rPr>
        <w:t>Introduction</w:t>
      </w:r>
      <w:r w:rsidR="00802CD4">
        <w:rPr>
          <w:noProof/>
        </w:rPr>
        <w:tab/>
      </w:r>
      <w:r w:rsidR="00802CD4">
        <w:rPr>
          <w:noProof/>
        </w:rPr>
        <w:fldChar w:fldCharType="begin"/>
      </w:r>
      <w:r w:rsidR="00802CD4">
        <w:rPr>
          <w:noProof/>
        </w:rPr>
        <w:instrText xml:space="preserve"> PAGEREF _Toc78458384 \h </w:instrText>
      </w:r>
      <w:r w:rsidR="00802CD4">
        <w:rPr>
          <w:noProof/>
        </w:rPr>
      </w:r>
      <w:r w:rsidR="00802CD4">
        <w:rPr>
          <w:noProof/>
        </w:rPr>
        <w:fldChar w:fldCharType="separate"/>
      </w:r>
      <w:r w:rsidR="00760694">
        <w:rPr>
          <w:noProof/>
        </w:rPr>
        <w:t>4</w:t>
      </w:r>
      <w:r w:rsidR="00802CD4">
        <w:rPr>
          <w:noProof/>
        </w:rPr>
        <w:fldChar w:fldCharType="end"/>
      </w:r>
    </w:p>
    <w:p w14:paraId="26063D19" w14:textId="579FCDE9" w:rsidR="00802CD4" w:rsidRDefault="00802CD4">
      <w:pPr>
        <w:pStyle w:val="TOC1"/>
        <w:rPr>
          <w:rFonts w:eastAsiaTheme="minorEastAsia"/>
          <w:b w:val="0"/>
          <w:noProof/>
          <w:szCs w:val="22"/>
          <w:lang w:val="en-AU" w:eastAsia="en-AU"/>
        </w:rPr>
      </w:pPr>
      <w:r w:rsidRPr="005A2A63">
        <w:rPr>
          <w:rFonts w:ascii="Calibri" w:hAnsi="Calibri" w:cs="Calibri"/>
          <w:noProof/>
        </w:rPr>
        <w:t>Major external reviews</w:t>
      </w:r>
      <w:r>
        <w:rPr>
          <w:noProof/>
        </w:rPr>
        <w:tab/>
      </w:r>
      <w:r>
        <w:rPr>
          <w:noProof/>
        </w:rPr>
        <w:fldChar w:fldCharType="begin"/>
      </w:r>
      <w:r>
        <w:rPr>
          <w:noProof/>
        </w:rPr>
        <w:instrText xml:space="preserve"> PAGEREF _Toc78458385 \h </w:instrText>
      </w:r>
      <w:r>
        <w:rPr>
          <w:noProof/>
        </w:rPr>
      </w:r>
      <w:r>
        <w:rPr>
          <w:noProof/>
        </w:rPr>
        <w:fldChar w:fldCharType="separate"/>
      </w:r>
      <w:r w:rsidR="00760694">
        <w:rPr>
          <w:noProof/>
        </w:rPr>
        <w:t>5</w:t>
      </w:r>
      <w:r>
        <w:rPr>
          <w:noProof/>
        </w:rPr>
        <w:fldChar w:fldCharType="end"/>
      </w:r>
    </w:p>
    <w:p w14:paraId="5862B482" w14:textId="4E879704" w:rsidR="00802CD4" w:rsidRDefault="00802CD4">
      <w:pPr>
        <w:pStyle w:val="TOC1"/>
        <w:rPr>
          <w:rFonts w:eastAsiaTheme="minorEastAsia"/>
          <w:b w:val="0"/>
          <w:noProof/>
          <w:szCs w:val="22"/>
          <w:lang w:val="en-AU" w:eastAsia="en-AU"/>
        </w:rPr>
      </w:pPr>
      <w:r w:rsidRPr="005A2A63">
        <w:rPr>
          <w:rFonts w:ascii="Calibri" w:hAnsi="Calibri" w:cs="Calibri"/>
          <w:noProof/>
        </w:rPr>
        <w:t>Major research and development</w:t>
      </w:r>
      <w:r>
        <w:rPr>
          <w:noProof/>
        </w:rPr>
        <w:tab/>
      </w:r>
      <w:r>
        <w:rPr>
          <w:noProof/>
        </w:rPr>
        <w:fldChar w:fldCharType="begin"/>
      </w:r>
      <w:r>
        <w:rPr>
          <w:noProof/>
        </w:rPr>
        <w:instrText xml:space="preserve"> PAGEREF _Toc78458386 \h </w:instrText>
      </w:r>
      <w:r>
        <w:rPr>
          <w:noProof/>
        </w:rPr>
      </w:r>
      <w:r>
        <w:rPr>
          <w:noProof/>
        </w:rPr>
        <w:fldChar w:fldCharType="separate"/>
      </w:r>
      <w:r w:rsidR="00760694">
        <w:rPr>
          <w:noProof/>
        </w:rPr>
        <w:t>7</w:t>
      </w:r>
      <w:r>
        <w:rPr>
          <w:noProof/>
        </w:rPr>
        <w:fldChar w:fldCharType="end"/>
      </w:r>
    </w:p>
    <w:p w14:paraId="5DB3C38E" w14:textId="5CB225C0" w:rsidR="00802CD4" w:rsidRDefault="00802CD4">
      <w:pPr>
        <w:pStyle w:val="TOC1"/>
        <w:rPr>
          <w:rFonts w:eastAsiaTheme="minorEastAsia"/>
          <w:b w:val="0"/>
          <w:noProof/>
          <w:szCs w:val="22"/>
          <w:lang w:val="en-AU" w:eastAsia="en-AU"/>
        </w:rPr>
      </w:pPr>
      <w:r w:rsidRPr="005A2A63">
        <w:rPr>
          <w:rFonts w:ascii="Calibri" w:hAnsi="Calibri" w:cs="Calibri"/>
          <w:noProof/>
        </w:rPr>
        <w:t>Overseas travel</w:t>
      </w:r>
      <w:r>
        <w:rPr>
          <w:noProof/>
        </w:rPr>
        <w:tab/>
      </w:r>
      <w:r>
        <w:rPr>
          <w:noProof/>
        </w:rPr>
        <w:fldChar w:fldCharType="begin"/>
      </w:r>
      <w:r>
        <w:rPr>
          <w:noProof/>
        </w:rPr>
        <w:instrText xml:space="preserve"> PAGEREF _Toc78458387 \h </w:instrText>
      </w:r>
      <w:r>
        <w:rPr>
          <w:noProof/>
        </w:rPr>
      </w:r>
      <w:r>
        <w:rPr>
          <w:noProof/>
        </w:rPr>
        <w:fldChar w:fldCharType="separate"/>
      </w:r>
      <w:r w:rsidR="00760694">
        <w:rPr>
          <w:noProof/>
        </w:rPr>
        <w:t>36</w:t>
      </w:r>
      <w:r>
        <w:rPr>
          <w:noProof/>
        </w:rPr>
        <w:fldChar w:fldCharType="end"/>
      </w:r>
    </w:p>
    <w:p w14:paraId="546200BE" w14:textId="0F9EDBEF" w:rsidR="00802CD4" w:rsidRDefault="00802CD4">
      <w:pPr>
        <w:pStyle w:val="TOC1"/>
        <w:rPr>
          <w:rFonts w:eastAsiaTheme="minorEastAsia"/>
          <w:b w:val="0"/>
          <w:noProof/>
          <w:szCs w:val="22"/>
          <w:lang w:val="en-AU" w:eastAsia="en-AU"/>
        </w:rPr>
      </w:pPr>
      <w:r w:rsidRPr="005A2A63">
        <w:rPr>
          <w:rFonts w:ascii="Calibri" w:hAnsi="Calibri" w:cs="Calibri"/>
          <w:noProof/>
        </w:rPr>
        <w:t>Major promotional, public relations and marketing activities</w:t>
      </w:r>
      <w:r>
        <w:rPr>
          <w:noProof/>
        </w:rPr>
        <w:tab/>
      </w:r>
      <w:r>
        <w:rPr>
          <w:noProof/>
        </w:rPr>
        <w:fldChar w:fldCharType="begin"/>
      </w:r>
      <w:r>
        <w:rPr>
          <w:noProof/>
        </w:rPr>
        <w:instrText xml:space="preserve"> PAGEREF _Toc78458388 \h </w:instrText>
      </w:r>
      <w:r>
        <w:rPr>
          <w:noProof/>
        </w:rPr>
      </w:r>
      <w:r>
        <w:rPr>
          <w:noProof/>
        </w:rPr>
        <w:fldChar w:fldCharType="separate"/>
      </w:r>
      <w:r w:rsidR="00760694">
        <w:rPr>
          <w:noProof/>
        </w:rPr>
        <w:t>37</w:t>
      </w:r>
      <w:r>
        <w:rPr>
          <w:noProof/>
        </w:rPr>
        <w:fldChar w:fldCharType="end"/>
      </w:r>
    </w:p>
    <w:p w14:paraId="4EC350EA" w14:textId="22A780E4" w:rsidR="00802CD4" w:rsidRDefault="00802CD4">
      <w:pPr>
        <w:pStyle w:val="TOC1"/>
        <w:rPr>
          <w:rFonts w:eastAsiaTheme="minorEastAsia"/>
          <w:b w:val="0"/>
          <w:noProof/>
          <w:szCs w:val="22"/>
          <w:lang w:val="en-AU" w:eastAsia="en-AU"/>
        </w:rPr>
      </w:pPr>
      <w:r w:rsidRPr="005A2A63">
        <w:rPr>
          <w:rFonts w:ascii="Calibri" w:hAnsi="Calibri" w:cs="Calibri"/>
          <w:noProof/>
        </w:rPr>
        <w:t>Major committees</w:t>
      </w:r>
      <w:r>
        <w:rPr>
          <w:noProof/>
        </w:rPr>
        <w:tab/>
      </w:r>
      <w:r>
        <w:rPr>
          <w:noProof/>
        </w:rPr>
        <w:fldChar w:fldCharType="begin"/>
      </w:r>
      <w:r>
        <w:rPr>
          <w:noProof/>
        </w:rPr>
        <w:instrText xml:space="preserve"> PAGEREF _Toc78458389 \h </w:instrText>
      </w:r>
      <w:r>
        <w:rPr>
          <w:noProof/>
        </w:rPr>
      </w:r>
      <w:r>
        <w:rPr>
          <w:noProof/>
        </w:rPr>
        <w:fldChar w:fldCharType="separate"/>
      </w:r>
      <w:r w:rsidR="00760694">
        <w:rPr>
          <w:noProof/>
        </w:rPr>
        <w:t>38</w:t>
      </w:r>
      <w:r>
        <w:rPr>
          <w:noProof/>
        </w:rPr>
        <w:fldChar w:fldCharType="end"/>
      </w:r>
    </w:p>
    <w:p w14:paraId="3603FD52" w14:textId="548E8906" w:rsidR="00802CD4" w:rsidRDefault="00802CD4">
      <w:pPr>
        <w:pStyle w:val="TOC1"/>
        <w:rPr>
          <w:rFonts w:eastAsiaTheme="minorEastAsia"/>
          <w:b w:val="0"/>
          <w:noProof/>
          <w:szCs w:val="22"/>
          <w:lang w:val="en-AU" w:eastAsia="en-AU"/>
        </w:rPr>
      </w:pPr>
      <w:r w:rsidRPr="005A2A63">
        <w:rPr>
          <w:rFonts w:ascii="Calibri" w:hAnsi="Calibri" w:cs="Calibri"/>
          <w:noProof/>
        </w:rPr>
        <w:t>Consultancies and contractors</w:t>
      </w:r>
      <w:r>
        <w:rPr>
          <w:noProof/>
        </w:rPr>
        <w:tab/>
      </w:r>
      <w:r>
        <w:rPr>
          <w:noProof/>
        </w:rPr>
        <w:fldChar w:fldCharType="begin"/>
      </w:r>
      <w:r>
        <w:rPr>
          <w:noProof/>
        </w:rPr>
        <w:instrText xml:space="preserve"> PAGEREF _Toc78458390 \h </w:instrText>
      </w:r>
      <w:r>
        <w:rPr>
          <w:noProof/>
        </w:rPr>
      </w:r>
      <w:r>
        <w:rPr>
          <w:noProof/>
        </w:rPr>
        <w:fldChar w:fldCharType="separate"/>
      </w:r>
      <w:r w:rsidR="00760694">
        <w:rPr>
          <w:noProof/>
        </w:rPr>
        <w:t>48</w:t>
      </w:r>
      <w:r>
        <w:rPr>
          <w:noProof/>
        </w:rPr>
        <w:fldChar w:fldCharType="end"/>
      </w:r>
    </w:p>
    <w:p w14:paraId="521A043C" w14:textId="537A95DF" w:rsidR="00802CD4" w:rsidRDefault="00802CD4">
      <w:pPr>
        <w:pStyle w:val="TOC3"/>
        <w:tabs>
          <w:tab w:val="right" w:leader="dot" w:pos="7921"/>
        </w:tabs>
        <w:rPr>
          <w:rFonts w:eastAsiaTheme="minorEastAsia"/>
          <w:noProof/>
          <w:szCs w:val="22"/>
          <w:lang w:val="en-AU" w:eastAsia="en-AU"/>
        </w:rPr>
      </w:pPr>
      <w:r w:rsidRPr="005A2A63">
        <w:rPr>
          <w:rFonts w:ascii="Calibri" w:hAnsi="Calibri" w:cs="Calibri"/>
          <w:noProof/>
          <w:lang w:val="en-AU"/>
        </w:rPr>
        <w:t>Details of consultancies valued at $10,000 or more</w:t>
      </w:r>
      <w:r>
        <w:rPr>
          <w:noProof/>
        </w:rPr>
        <w:tab/>
      </w:r>
      <w:r>
        <w:rPr>
          <w:noProof/>
        </w:rPr>
        <w:fldChar w:fldCharType="begin"/>
      </w:r>
      <w:r>
        <w:rPr>
          <w:noProof/>
        </w:rPr>
        <w:instrText xml:space="preserve"> PAGEREF _Toc78458391 \h </w:instrText>
      </w:r>
      <w:r>
        <w:rPr>
          <w:noProof/>
        </w:rPr>
      </w:r>
      <w:r>
        <w:rPr>
          <w:noProof/>
        </w:rPr>
        <w:fldChar w:fldCharType="separate"/>
      </w:r>
      <w:r w:rsidR="00760694">
        <w:rPr>
          <w:noProof/>
        </w:rPr>
        <w:t>48</w:t>
      </w:r>
      <w:r>
        <w:rPr>
          <w:noProof/>
        </w:rPr>
        <w:fldChar w:fldCharType="end"/>
      </w:r>
    </w:p>
    <w:p w14:paraId="79D3BC54" w14:textId="3DF56DDC" w:rsidR="00F11B14" w:rsidRPr="00B85B32" w:rsidRDefault="008A3484" w:rsidP="00675820">
      <w:pPr>
        <w:pStyle w:val="TOC1"/>
        <w:rPr>
          <w:rFonts w:ascii="Calibri" w:eastAsiaTheme="minorEastAsia" w:hAnsi="Calibri" w:cs="Calibri"/>
          <w:b w:val="0"/>
          <w:noProof/>
          <w:szCs w:val="22"/>
          <w:lang w:val="en-AU" w:eastAsia="en-AU"/>
        </w:rPr>
      </w:pPr>
      <w:r w:rsidRPr="00B85B32">
        <w:rPr>
          <w:rFonts w:ascii="Calibri" w:hAnsi="Calibri" w:cs="Calibri"/>
        </w:rPr>
        <w:fldChar w:fldCharType="end"/>
      </w:r>
    </w:p>
    <w:p w14:paraId="54139C28" w14:textId="77777777" w:rsidR="00F11B14" w:rsidRPr="00B85B32" w:rsidRDefault="00F11B14" w:rsidP="00F11B14">
      <w:pPr>
        <w:rPr>
          <w:rFonts w:ascii="Calibri" w:hAnsi="Calibri" w:cs="Calibri"/>
        </w:rPr>
      </w:pPr>
    </w:p>
    <w:p w14:paraId="780BBB07" w14:textId="457F1726" w:rsidR="00D90AAF" w:rsidRPr="00B85B32" w:rsidRDefault="00D90AAF" w:rsidP="00F11B14">
      <w:pPr>
        <w:pStyle w:val="TOC1"/>
        <w:rPr>
          <w:rFonts w:ascii="Calibri" w:eastAsiaTheme="minorEastAsia" w:hAnsi="Calibri" w:cs="Calibri"/>
          <w:b w:val="0"/>
          <w:noProof/>
          <w:szCs w:val="22"/>
          <w:lang w:val="en-AU" w:eastAsia="en-AU"/>
        </w:rPr>
      </w:pPr>
    </w:p>
    <w:p w14:paraId="04D47BC6" w14:textId="77777777" w:rsidR="007E6337" w:rsidRPr="00B85B32" w:rsidRDefault="007E6337" w:rsidP="00D90AAF">
      <w:pPr>
        <w:rPr>
          <w:rFonts w:ascii="Calibri" w:hAnsi="Calibri" w:cs="Calibri"/>
        </w:rPr>
        <w:sectPr w:rsidR="007E6337" w:rsidRPr="00B85B32" w:rsidSect="003B3A5C">
          <w:footerReference w:type="default" r:id="rId14"/>
          <w:pgSz w:w="11900" w:h="16840"/>
          <w:pgMar w:top="1440" w:right="1134" w:bottom="1440" w:left="2835" w:header="708" w:footer="708" w:gutter="0"/>
          <w:cols w:space="708"/>
          <w:docGrid w:linePitch="360"/>
        </w:sectPr>
      </w:pPr>
    </w:p>
    <w:p w14:paraId="669D099C" w14:textId="27BB0C85" w:rsidR="007E6337" w:rsidRPr="00B85B32" w:rsidRDefault="00F02ACF" w:rsidP="007E6337">
      <w:pPr>
        <w:pStyle w:val="ESHeading1"/>
        <w:rPr>
          <w:rFonts w:ascii="Calibri" w:hAnsi="Calibri" w:cs="Calibri"/>
        </w:rPr>
      </w:pPr>
      <w:bookmarkStart w:id="0" w:name="_Toc12882442"/>
      <w:bookmarkStart w:id="1" w:name="_Toc78458384"/>
      <w:r w:rsidRPr="00B85B32">
        <w:rPr>
          <w:rFonts w:ascii="Calibri" w:hAnsi="Calibri" w:cs="Calibri"/>
        </w:rPr>
        <w:lastRenderedPageBreak/>
        <w:t>Introduction</w:t>
      </w:r>
      <w:bookmarkEnd w:id="0"/>
      <w:bookmarkEnd w:id="1"/>
      <w:r w:rsidRPr="00B85B32">
        <w:rPr>
          <w:rFonts w:ascii="Calibri" w:hAnsi="Calibri" w:cs="Calibri"/>
        </w:rPr>
        <w:t xml:space="preserve"> </w:t>
      </w:r>
    </w:p>
    <w:p w14:paraId="6B5B345F" w14:textId="77777777" w:rsidR="00EB7C14" w:rsidRPr="00B85B32" w:rsidRDefault="00EB7C14" w:rsidP="00EB7C14">
      <w:pPr>
        <w:rPr>
          <w:rFonts w:ascii="Calibri" w:hAnsi="Calibri" w:cs="Calibri"/>
        </w:rPr>
      </w:pPr>
      <w:r w:rsidRPr="00B85B32">
        <w:rPr>
          <w:rFonts w:ascii="Calibri" w:hAnsi="Calibri" w:cs="Calibri"/>
        </w:rPr>
        <w:t xml:space="preserve">Financial Reporting Direction (FRD) 22I requires the Accountable Officer to retain specified information and make it available. This material may be made available on request to ministers, members of parliament, and members of the public, subject to the provisions of the </w:t>
      </w:r>
      <w:r w:rsidRPr="00B85B32">
        <w:rPr>
          <w:rFonts w:ascii="Calibri" w:hAnsi="Calibri" w:cs="Calibri"/>
          <w:i/>
        </w:rPr>
        <w:t>Freedom of Information Act 1982</w:t>
      </w:r>
      <w:r w:rsidRPr="00B85B32">
        <w:rPr>
          <w:rFonts w:ascii="Calibri" w:hAnsi="Calibri" w:cs="Calibri"/>
        </w:rPr>
        <w:t xml:space="preserve">. </w:t>
      </w:r>
    </w:p>
    <w:p w14:paraId="24F5163A" w14:textId="77777777" w:rsidR="00EB7C14" w:rsidRPr="00B85B32" w:rsidRDefault="00EB7C14" w:rsidP="00EB7C14">
      <w:pPr>
        <w:rPr>
          <w:rFonts w:ascii="Calibri" w:hAnsi="Calibri" w:cs="Calibri"/>
        </w:rPr>
      </w:pPr>
    </w:p>
    <w:p w14:paraId="69627055" w14:textId="53033180" w:rsidR="00EB7C14" w:rsidRPr="00B85B32" w:rsidRDefault="00EB7C14" w:rsidP="00EB7C14">
      <w:pPr>
        <w:rPr>
          <w:rFonts w:ascii="Calibri" w:hAnsi="Calibri" w:cs="Calibri"/>
        </w:rPr>
      </w:pPr>
      <w:r w:rsidRPr="00B85B32">
        <w:rPr>
          <w:rFonts w:ascii="Calibri" w:hAnsi="Calibri" w:cs="Calibri"/>
        </w:rPr>
        <w:t>The Department of Education and Training makes this information available (or provides details o</w:t>
      </w:r>
      <w:r w:rsidR="009A543E">
        <w:rPr>
          <w:rFonts w:ascii="Calibri" w:hAnsi="Calibri" w:cs="Calibri"/>
        </w:rPr>
        <w:t>n</w:t>
      </w:r>
      <w:r w:rsidRPr="00B85B32">
        <w:rPr>
          <w:rFonts w:ascii="Calibri" w:hAnsi="Calibri" w:cs="Calibri"/>
        </w:rPr>
        <w:t xml:space="preserve"> how the material may be sourced) in the </w:t>
      </w:r>
      <w:r w:rsidRPr="00B85B32">
        <w:rPr>
          <w:rFonts w:ascii="Calibri" w:hAnsi="Calibri" w:cs="Calibri"/>
          <w:i/>
        </w:rPr>
        <w:t>Department of Education and Training Annual Report 2020–21</w:t>
      </w:r>
      <w:r w:rsidRPr="00B85B32">
        <w:rPr>
          <w:rFonts w:ascii="Calibri" w:hAnsi="Calibri" w:cs="Calibri"/>
        </w:rPr>
        <w:t xml:space="preserve"> or herein.</w:t>
      </w:r>
    </w:p>
    <w:p w14:paraId="007C4EBD" w14:textId="77777777" w:rsidR="00EB7C14" w:rsidRPr="00B85B32" w:rsidRDefault="00EB7C14" w:rsidP="00EB7C14">
      <w:pPr>
        <w:rPr>
          <w:rFonts w:ascii="Calibri" w:hAnsi="Calibri" w:cs="Calibri"/>
        </w:rPr>
      </w:pPr>
    </w:p>
    <w:p w14:paraId="3BE564AE" w14:textId="77777777" w:rsidR="00EB7C14" w:rsidRPr="00B85B32" w:rsidRDefault="00EB7C14" w:rsidP="00EB7C14">
      <w:pPr>
        <w:rPr>
          <w:rFonts w:ascii="Calibri" w:hAnsi="Calibri" w:cs="Calibri"/>
        </w:rPr>
      </w:pPr>
      <w:r w:rsidRPr="00B85B32">
        <w:rPr>
          <w:rFonts w:ascii="Calibri" w:hAnsi="Calibri" w:cs="Calibri"/>
        </w:rPr>
        <w:t>Requirements covered in this report include:</w:t>
      </w:r>
    </w:p>
    <w:p w14:paraId="6A542DA4" w14:textId="77777777"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details of any major external reviews carried out on the Department</w:t>
      </w:r>
    </w:p>
    <w:p w14:paraId="3A67EE5B" w14:textId="77777777"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details of major research and development activities undertaken by the Department</w:t>
      </w:r>
    </w:p>
    <w:p w14:paraId="402FE39D" w14:textId="77777777"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details of overseas visits undertaken including a summary of the objectives and outcomes of each visit</w:t>
      </w:r>
    </w:p>
    <w:p w14:paraId="083BCD9D" w14:textId="0BB4E9A9"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details of major promotional, public relations and marketing activities undertaken to develop community awareness of the Department and its services</w:t>
      </w:r>
    </w:p>
    <w:p w14:paraId="794BAFC3" w14:textId="3682277D"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 xml:space="preserve">a list of major committees sponsored by the </w:t>
      </w:r>
      <w:r w:rsidR="007F233B">
        <w:rPr>
          <w:rFonts w:ascii="Calibri" w:hAnsi="Calibri" w:cs="Calibri"/>
        </w:rPr>
        <w:t>Department</w:t>
      </w:r>
      <w:r w:rsidRPr="00B85B32">
        <w:rPr>
          <w:rFonts w:ascii="Calibri" w:hAnsi="Calibri" w:cs="Calibri"/>
        </w:rPr>
        <w:t>, the purposes of each committee and the extent to which the purposes have been achieved</w:t>
      </w:r>
    </w:p>
    <w:p w14:paraId="67A2C0BA" w14:textId="77777777" w:rsidR="00EB7C14" w:rsidRPr="00B85B32" w:rsidRDefault="00EB7C14" w:rsidP="00FC1F95">
      <w:pPr>
        <w:pStyle w:val="ListParagraph"/>
        <w:numPr>
          <w:ilvl w:val="0"/>
          <w:numId w:val="6"/>
        </w:numPr>
        <w:ind w:left="360"/>
        <w:rPr>
          <w:rFonts w:ascii="Calibri" w:hAnsi="Calibri" w:cs="Calibri"/>
        </w:rPr>
      </w:pPr>
      <w:r w:rsidRPr="00B85B32">
        <w:rPr>
          <w:rFonts w:ascii="Calibri" w:hAnsi="Calibri" w:cs="Calibri"/>
        </w:rPr>
        <w:t>details of all consultancies and contractors including:</w:t>
      </w:r>
    </w:p>
    <w:p w14:paraId="69C88732" w14:textId="78202D76" w:rsidR="00EB7C14" w:rsidRPr="00B85B32" w:rsidRDefault="00EB7C14" w:rsidP="00FC1F95">
      <w:pPr>
        <w:pStyle w:val="ListParagraph"/>
        <w:numPr>
          <w:ilvl w:val="0"/>
          <w:numId w:val="7"/>
        </w:numPr>
        <w:ind w:left="720"/>
        <w:rPr>
          <w:rFonts w:ascii="Calibri" w:hAnsi="Calibri" w:cs="Calibri"/>
        </w:rPr>
      </w:pPr>
      <w:r w:rsidRPr="00B85B32">
        <w:rPr>
          <w:rFonts w:ascii="Calibri" w:hAnsi="Calibri" w:cs="Calibri"/>
        </w:rPr>
        <w:t>consultants</w:t>
      </w:r>
      <w:r w:rsidR="007F233B">
        <w:rPr>
          <w:rFonts w:ascii="Calibri" w:hAnsi="Calibri" w:cs="Calibri"/>
        </w:rPr>
        <w:t xml:space="preserve"> and </w:t>
      </w:r>
      <w:r w:rsidRPr="00B85B32">
        <w:rPr>
          <w:rFonts w:ascii="Calibri" w:hAnsi="Calibri" w:cs="Calibri"/>
        </w:rPr>
        <w:t>contractors engaged</w:t>
      </w:r>
    </w:p>
    <w:p w14:paraId="4CF76B05" w14:textId="77777777" w:rsidR="00EB7C14" w:rsidRPr="00B85B32" w:rsidRDefault="00EB7C14" w:rsidP="00FC1F95">
      <w:pPr>
        <w:pStyle w:val="ListParagraph"/>
        <w:numPr>
          <w:ilvl w:val="0"/>
          <w:numId w:val="7"/>
        </w:numPr>
        <w:ind w:left="720"/>
        <w:rPr>
          <w:rFonts w:ascii="Calibri" w:hAnsi="Calibri" w:cs="Calibri"/>
        </w:rPr>
      </w:pPr>
      <w:r w:rsidRPr="00B85B32">
        <w:rPr>
          <w:rFonts w:ascii="Calibri" w:hAnsi="Calibri" w:cs="Calibri"/>
        </w:rPr>
        <w:t>services provided</w:t>
      </w:r>
    </w:p>
    <w:p w14:paraId="4AD18132" w14:textId="776030FE" w:rsidR="00EB7C14" w:rsidRPr="00B85B32" w:rsidRDefault="00EB7C14" w:rsidP="00FC1F95">
      <w:pPr>
        <w:pStyle w:val="ListParagraph"/>
        <w:numPr>
          <w:ilvl w:val="0"/>
          <w:numId w:val="7"/>
        </w:numPr>
        <w:ind w:left="720"/>
        <w:rPr>
          <w:rFonts w:ascii="Calibri" w:hAnsi="Calibri" w:cs="Calibri"/>
        </w:rPr>
      </w:pPr>
      <w:r w:rsidRPr="00B85B32">
        <w:rPr>
          <w:rFonts w:ascii="Calibri" w:hAnsi="Calibri" w:cs="Calibri"/>
        </w:rPr>
        <w:t>expenditure committed for each engagement.</w:t>
      </w:r>
      <w:r w:rsidR="00F74EB1">
        <w:rPr>
          <w:rFonts w:ascii="Calibri" w:hAnsi="Calibri" w:cs="Calibri"/>
        </w:rPr>
        <w:t xml:space="preserve"> </w:t>
      </w:r>
    </w:p>
    <w:p w14:paraId="625647F5" w14:textId="77777777" w:rsidR="00EB7C14" w:rsidRPr="00B85B32" w:rsidRDefault="00EB7C14" w:rsidP="00EB7C14">
      <w:pPr>
        <w:ind w:left="720"/>
        <w:rPr>
          <w:rFonts w:ascii="Calibri" w:hAnsi="Calibri" w:cs="Calibri"/>
        </w:rPr>
      </w:pPr>
    </w:p>
    <w:p w14:paraId="23137851" w14:textId="64239226" w:rsidR="00EB7C14" w:rsidRPr="00B85B32" w:rsidRDefault="00EB7C14" w:rsidP="00EB7C14">
      <w:pPr>
        <w:rPr>
          <w:rFonts w:ascii="Calibri" w:hAnsi="Calibri" w:cs="Calibri"/>
        </w:rPr>
      </w:pPr>
      <w:r w:rsidRPr="00B85B32">
        <w:rPr>
          <w:rFonts w:ascii="Calibri" w:hAnsi="Calibri" w:cs="Calibri"/>
        </w:rPr>
        <w:t xml:space="preserve">Requirements covered in the </w:t>
      </w:r>
      <w:r w:rsidRPr="00B85B32">
        <w:rPr>
          <w:rFonts w:ascii="Calibri" w:hAnsi="Calibri" w:cs="Calibri"/>
          <w:i/>
        </w:rPr>
        <w:t>Department of Education and Training Annual Report 20</w:t>
      </w:r>
      <w:r w:rsidR="002D5B7F" w:rsidRPr="00B85B32">
        <w:rPr>
          <w:rFonts w:ascii="Calibri" w:hAnsi="Calibri" w:cs="Calibri"/>
          <w:i/>
        </w:rPr>
        <w:t>20</w:t>
      </w:r>
      <w:r w:rsidRPr="00B85B32">
        <w:rPr>
          <w:rFonts w:ascii="Calibri" w:hAnsi="Calibri" w:cs="Calibri"/>
          <w:i/>
        </w:rPr>
        <w:t>–2</w:t>
      </w:r>
      <w:r w:rsidR="002D5B7F" w:rsidRPr="00B85B32">
        <w:rPr>
          <w:rFonts w:ascii="Calibri" w:hAnsi="Calibri" w:cs="Calibri"/>
          <w:i/>
        </w:rPr>
        <w:t>1</w:t>
      </w:r>
      <w:r w:rsidRPr="00B85B32">
        <w:rPr>
          <w:rFonts w:ascii="Calibri" w:hAnsi="Calibri" w:cs="Calibri"/>
        </w:rPr>
        <w:t xml:space="preserve">, which is available at </w:t>
      </w:r>
      <w:hyperlink r:id="rId15" w:history="1">
        <w:r w:rsidRPr="00B85B32">
          <w:rPr>
            <w:rStyle w:val="Hyperlink"/>
            <w:rFonts w:ascii="Calibri" w:hAnsi="Calibri" w:cs="Calibri"/>
          </w:rPr>
          <w:t>www.education.vic.gov.au</w:t>
        </w:r>
      </w:hyperlink>
      <w:r w:rsidRPr="00B85B32">
        <w:rPr>
          <w:rFonts w:ascii="Calibri" w:hAnsi="Calibri" w:cs="Calibri"/>
        </w:rPr>
        <w:t>, include:</w:t>
      </w:r>
    </w:p>
    <w:p w14:paraId="3CFB8DFF" w14:textId="77777777"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a statement that declarations of pecuniary interests have been duly completed by all relevant officers</w:t>
      </w:r>
    </w:p>
    <w:p w14:paraId="19834FEC" w14:textId="77777777"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details of shares held by a senior officer as nominee or held beneficially in a statutory authority or subsidiary</w:t>
      </w:r>
    </w:p>
    <w:p w14:paraId="5D9DD3DE" w14:textId="77777777"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details of publications produced by the Department about itself, and how these can be obtained</w:t>
      </w:r>
    </w:p>
    <w:p w14:paraId="0AD5E243" w14:textId="77777777"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details of assessments and measures undertaken to improve the occupational health and safety of employees</w:t>
      </w:r>
    </w:p>
    <w:p w14:paraId="4A55EC6C" w14:textId="50CAEE1F"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a general statement on industrial relations</w:t>
      </w:r>
      <w:r w:rsidR="008B450A">
        <w:rPr>
          <w:rFonts w:ascii="Calibri" w:hAnsi="Calibri" w:cs="Calibri"/>
        </w:rPr>
        <w:t xml:space="preserve"> </w:t>
      </w:r>
      <w:r w:rsidRPr="00B85B32">
        <w:rPr>
          <w:rFonts w:ascii="Calibri" w:hAnsi="Calibri" w:cs="Calibri"/>
        </w:rPr>
        <w:t>in the Department and details of time lost through industrial accidents and disputes</w:t>
      </w:r>
    </w:p>
    <w:p w14:paraId="5D5BBB08" w14:textId="77777777" w:rsidR="00EB7C14" w:rsidRPr="00B85B32" w:rsidRDefault="00EB7C14" w:rsidP="00FC1F95">
      <w:pPr>
        <w:pStyle w:val="ListParagraph"/>
        <w:numPr>
          <w:ilvl w:val="0"/>
          <w:numId w:val="8"/>
        </w:numPr>
        <w:rPr>
          <w:rFonts w:ascii="Calibri" w:hAnsi="Calibri" w:cs="Calibri"/>
        </w:rPr>
      </w:pPr>
      <w:r w:rsidRPr="00B85B32">
        <w:rPr>
          <w:rFonts w:ascii="Calibri" w:hAnsi="Calibri" w:cs="Calibri"/>
        </w:rPr>
        <w:t xml:space="preserve">details of changes in prices, fees, charges, </w:t>
      </w:r>
      <w:proofErr w:type="gramStart"/>
      <w:r w:rsidRPr="00B85B32">
        <w:rPr>
          <w:rFonts w:ascii="Calibri" w:hAnsi="Calibri" w:cs="Calibri"/>
        </w:rPr>
        <w:t>rates</w:t>
      </w:r>
      <w:proofErr w:type="gramEnd"/>
      <w:r w:rsidRPr="00B85B32">
        <w:rPr>
          <w:rFonts w:ascii="Calibri" w:hAnsi="Calibri" w:cs="Calibri"/>
        </w:rPr>
        <w:t xml:space="preserve"> and levies charged by the Department.</w:t>
      </w:r>
    </w:p>
    <w:p w14:paraId="1CE7C194" w14:textId="59D84DBA" w:rsidR="001B25DF" w:rsidRPr="00B85B32" w:rsidRDefault="001B25DF" w:rsidP="00D145D5">
      <w:pPr>
        <w:pStyle w:val="ESHeading1"/>
        <w:rPr>
          <w:rFonts w:ascii="Calibri" w:hAnsi="Calibri" w:cs="Calibri"/>
        </w:rPr>
      </w:pPr>
      <w:bookmarkStart w:id="2" w:name="_Toc78458385"/>
      <w:r w:rsidRPr="00B85B32">
        <w:rPr>
          <w:rFonts w:ascii="Calibri" w:hAnsi="Calibri" w:cs="Calibri"/>
        </w:rPr>
        <w:lastRenderedPageBreak/>
        <w:t>Major external reviews</w:t>
      </w:r>
      <w:bookmarkEnd w:id="2"/>
    </w:p>
    <w:p w14:paraId="09755DCF" w14:textId="11CF8A13" w:rsidR="00AB095A" w:rsidRPr="00B85B32" w:rsidRDefault="00AB095A" w:rsidP="00AB095A">
      <w:pPr>
        <w:rPr>
          <w:rFonts w:ascii="Calibri" w:hAnsi="Calibri" w:cs="Calibri"/>
        </w:rPr>
      </w:pPr>
      <w:r w:rsidRPr="00B85B32">
        <w:rPr>
          <w:rFonts w:ascii="Calibri" w:hAnsi="Calibri" w:cs="Calibri"/>
        </w:rPr>
        <w:t xml:space="preserve">The following table details major external reviews carried out on the Department and completed </w:t>
      </w:r>
      <w:r w:rsidR="0069303B" w:rsidRPr="00B85B32">
        <w:rPr>
          <w:rFonts w:ascii="Calibri" w:hAnsi="Calibri" w:cs="Calibri"/>
        </w:rPr>
        <w:t>during</w:t>
      </w:r>
      <w:r w:rsidRPr="00B85B32">
        <w:rPr>
          <w:rFonts w:ascii="Calibri" w:hAnsi="Calibri" w:cs="Calibri"/>
        </w:rPr>
        <w:t xml:space="preserve"> 20</w:t>
      </w:r>
      <w:r w:rsidR="002463DA" w:rsidRPr="00B85B32">
        <w:rPr>
          <w:rFonts w:ascii="Calibri" w:hAnsi="Calibri" w:cs="Calibri"/>
        </w:rPr>
        <w:t>20</w:t>
      </w:r>
      <w:r w:rsidRPr="00B85B32">
        <w:rPr>
          <w:rFonts w:ascii="Calibri" w:hAnsi="Calibri" w:cs="Calibri"/>
        </w:rPr>
        <w:t>–</w:t>
      </w:r>
      <w:r w:rsidR="00895C8B" w:rsidRPr="00B85B32">
        <w:rPr>
          <w:rFonts w:ascii="Calibri" w:hAnsi="Calibri" w:cs="Calibri"/>
        </w:rPr>
        <w:t>2</w:t>
      </w:r>
      <w:r w:rsidR="002463DA" w:rsidRPr="00B85B32">
        <w:rPr>
          <w:rFonts w:ascii="Calibri" w:hAnsi="Calibri" w:cs="Calibri"/>
        </w:rPr>
        <w:t>1</w:t>
      </w:r>
      <w:r w:rsidRPr="00B85B32">
        <w:rPr>
          <w:rFonts w:ascii="Calibri" w:hAnsi="Calibri" w:cs="Calibri"/>
        </w:rPr>
        <w:t xml:space="preserve">. </w:t>
      </w:r>
    </w:p>
    <w:p w14:paraId="592F6FD5" w14:textId="6059C8CF" w:rsidR="00AD20F5" w:rsidRPr="00B85B32" w:rsidRDefault="001B25DF" w:rsidP="00AD20F5">
      <w:pPr>
        <w:pStyle w:val="ESTableintroheading"/>
        <w:rPr>
          <w:rFonts w:ascii="Calibri" w:hAnsi="Calibri" w:cs="Calibri"/>
        </w:rPr>
      </w:pPr>
      <w:r w:rsidRPr="00B85B32">
        <w:rPr>
          <w:rFonts w:ascii="Calibri" w:hAnsi="Calibri" w:cs="Calibri"/>
        </w:rPr>
        <w:t>Major external reviews</w:t>
      </w:r>
      <w:r w:rsidR="00D145D5" w:rsidRPr="00B85B32">
        <w:rPr>
          <w:rFonts w:ascii="Calibri" w:hAnsi="Calibri" w:cs="Calibri"/>
        </w:rPr>
        <w:t xml:space="preserve"> carried out on the Department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external review, Conducted by, Purpose, Completed"/>
      </w:tblPr>
      <w:tblGrid>
        <w:gridCol w:w="1693"/>
        <w:gridCol w:w="1517"/>
        <w:gridCol w:w="3589"/>
        <w:gridCol w:w="1122"/>
      </w:tblGrid>
      <w:tr w:rsidR="00D22553" w:rsidRPr="00925213" w14:paraId="7A99EC93" w14:textId="77777777" w:rsidTr="00946824">
        <w:trPr>
          <w:cantSplit/>
          <w:trHeight w:val="242"/>
          <w:tblHeader/>
        </w:trPr>
        <w:tc>
          <w:tcPr>
            <w:tcW w:w="1693" w:type="dxa"/>
            <w:tcBorders>
              <w:bottom w:val="single" w:sz="4" w:space="0" w:color="FFFFFF" w:themeColor="background1"/>
            </w:tcBorders>
            <w:shd w:val="clear" w:color="auto" w:fill="AF272F"/>
          </w:tcPr>
          <w:p w14:paraId="6C05C2A0" w14:textId="12990520" w:rsidR="00D22553" w:rsidRPr="00925213" w:rsidRDefault="005A4862" w:rsidP="002463DA">
            <w:pPr>
              <w:pStyle w:val="ESTableheadingwhite"/>
              <w:rPr>
                <w:rFonts w:ascii="Calibri" w:hAnsi="Calibri" w:cs="Calibri"/>
                <w:sz w:val="18"/>
              </w:rPr>
            </w:pPr>
            <w:r>
              <w:rPr>
                <w:rFonts w:ascii="Calibri" w:hAnsi="Calibri" w:cs="Calibri"/>
                <w:sz w:val="18"/>
              </w:rPr>
              <w:t>R</w:t>
            </w:r>
            <w:r w:rsidR="00D22553" w:rsidRPr="00925213">
              <w:rPr>
                <w:rFonts w:ascii="Calibri" w:hAnsi="Calibri" w:cs="Calibri"/>
                <w:sz w:val="18"/>
              </w:rPr>
              <w:t>eview</w:t>
            </w:r>
            <w:r>
              <w:rPr>
                <w:rFonts w:ascii="Calibri" w:hAnsi="Calibri" w:cs="Calibri"/>
                <w:sz w:val="18"/>
              </w:rPr>
              <w:t xml:space="preserve"> title</w:t>
            </w:r>
          </w:p>
        </w:tc>
        <w:tc>
          <w:tcPr>
            <w:tcW w:w="1517" w:type="dxa"/>
            <w:tcBorders>
              <w:bottom w:val="single" w:sz="4" w:space="0" w:color="FFFFFF" w:themeColor="background1"/>
            </w:tcBorders>
            <w:shd w:val="clear" w:color="auto" w:fill="AF272F" w:themeFill="accent4"/>
          </w:tcPr>
          <w:p w14:paraId="3408729B" w14:textId="77777777" w:rsidR="00D22553" w:rsidRPr="00925213" w:rsidRDefault="00D22553" w:rsidP="002463DA">
            <w:pPr>
              <w:pStyle w:val="ESTableheadingwhite"/>
              <w:rPr>
                <w:rFonts w:ascii="Calibri" w:hAnsi="Calibri" w:cs="Calibri"/>
                <w:sz w:val="18"/>
              </w:rPr>
            </w:pPr>
            <w:r w:rsidRPr="00925213">
              <w:rPr>
                <w:rFonts w:ascii="Calibri" w:hAnsi="Calibri" w:cs="Calibri"/>
                <w:sz w:val="18"/>
              </w:rPr>
              <w:t>Conducted by</w:t>
            </w:r>
          </w:p>
        </w:tc>
        <w:tc>
          <w:tcPr>
            <w:tcW w:w="3589" w:type="dxa"/>
            <w:tcBorders>
              <w:bottom w:val="single" w:sz="4" w:space="0" w:color="FFFFFF" w:themeColor="background1"/>
            </w:tcBorders>
            <w:shd w:val="clear" w:color="auto" w:fill="AF272F" w:themeFill="accent4"/>
          </w:tcPr>
          <w:p w14:paraId="43216F29" w14:textId="77777777" w:rsidR="00D22553" w:rsidRPr="00925213" w:rsidRDefault="00D22553" w:rsidP="002463DA">
            <w:pPr>
              <w:pStyle w:val="ESTableheadingwhite"/>
              <w:rPr>
                <w:rFonts w:ascii="Calibri" w:hAnsi="Calibri" w:cs="Calibri"/>
                <w:sz w:val="18"/>
              </w:rPr>
            </w:pPr>
            <w:r w:rsidRPr="00925213">
              <w:rPr>
                <w:rFonts w:ascii="Calibri" w:hAnsi="Calibri" w:cs="Calibri"/>
                <w:sz w:val="18"/>
              </w:rPr>
              <w:t>Purpose</w:t>
            </w:r>
          </w:p>
        </w:tc>
        <w:tc>
          <w:tcPr>
            <w:tcW w:w="1122" w:type="dxa"/>
            <w:tcBorders>
              <w:bottom w:val="single" w:sz="4" w:space="0" w:color="FFFFFF" w:themeColor="background1"/>
            </w:tcBorders>
            <w:shd w:val="clear" w:color="auto" w:fill="AF272F" w:themeFill="accent4"/>
          </w:tcPr>
          <w:p w14:paraId="74B26357" w14:textId="3BE8D0A8" w:rsidR="00D22553" w:rsidRPr="00925213" w:rsidRDefault="00BB39E6" w:rsidP="002463DA">
            <w:pPr>
              <w:pStyle w:val="ESTableheadingwhite"/>
              <w:rPr>
                <w:rFonts w:ascii="Calibri" w:hAnsi="Calibri" w:cs="Calibri"/>
                <w:sz w:val="18"/>
              </w:rPr>
            </w:pPr>
            <w:r>
              <w:rPr>
                <w:rFonts w:ascii="Calibri" w:hAnsi="Calibri" w:cs="Calibri"/>
                <w:sz w:val="18"/>
              </w:rPr>
              <w:t xml:space="preserve">Date </w:t>
            </w:r>
            <w:r w:rsidR="00D22553" w:rsidRPr="00925213">
              <w:rPr>
                <w:rFonts w:ascii="Calibri" w:hAnsi="Calibri" w:cs="Calibri"/>
                <w:sz w:val="18"/>
              </w:rPr>
              <w:t>Completed</w:t>
            </w:r>
          </w:p>
        </w:tc>
      </w:tr>
      <w:tr w:rsidR="00D22553" w:rsidRPr="00925213" w14:paraId="2E91B95E"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vAlign w:val="bottom"/>
          </w:tcPr>
          <w:p w14:paraId="7E15B9DC" w14:textId="1D81FEE0" w:rsidR="00D22553" w:rsidRPr="00925213" w:rsidRDefault="00D22553" w:rsidP="00F3490D">
            <w:pPr>
              <w:pStyle w:val="ESTablebody"/>
              <w:rPr>
                <w:rFonts w:ascii="Calibri" w:hAnsi="Calibri" w:cs="Calibri"/>
                <w:sz w:val="18"/>
              </w:rPr>
            </w:pPr>
            <w:r w:rsidRPr="00925213">
              <w:rPr>
                <w:rFonts w:ascii="Calibri" w:hAnsi="Calibri" w:cs="Calibri"/>
                <w:sz w:val="18"/>
                <w:lang w:val="en-AU"/>
              </w:rPr>
              <w:t xml:space="preserve">Management of the </w:t>
            </w:r>
            <w:r w:rsidR="003250CC">
              <w:rPr>
                <w:rFonts w:ascii="Calibri" w:hAnsi="Calibri" w:cs="Calibri"/>
                <w:sz w:val="18"/>
                <w:lang w:val="en-AU"/>
              </w:rPr>
              <w:t>student</w:t>
            </w:r>
            <w:r w:rsidRPr="00925213">
              <w:rPr>
                <w:rFonts w:ascii="Calibri" w:hAnsi="Calibri" w:cs="Calibri"/>
                <w:sz w:val="18"/>
                <w:lang w:val="en-AU"/>
              </w:rPr>
              <w:t xml:space="preserve"> resource package</w:t>
            </w:r>
          </w:p>
        </w:tc>
        <w:tc>
          <w:tcPr>
            <w:tcW w:w="1517" w:type="dxa"/>
            <w:tcBorders>
              <w:top w:val="single" w:sz="4" w:space="0" w:color="FFFFFF" w:themeColor="background1"/>
              <w:bottom w:val="single" w:sz="4" w:space="0" w:color="53565A" w:themeColor="accent5"/>
            </w:tcBorders>
            <w:shd w:val="clear" w:color="auto" w:fill="FFFFFF" w:themeFill="background1"/>
          </w:tcPr>
          <w:p w14:paraId="228833DF" w14:textId="787F960B" w:rsidR="00D22553" w:rsidRPr="00925213" w:rsidRDefault="00443FC0" w:rsidP="00F3490D">
            <w:pPr>
              <w:pStyle w:val="ESTablebody"/>
              <w:rPr>
                <w:rFonts w:ascii="Calibri" w:hAnsi="Calibri" w:cs="Calibri"/>
                <w:sz w:val="18"/>
                <w:lang w:val="en-AU"/>
              </w:rPr>
            </w:pPr>
            <w:r>
              <w:rPr>
                <w:rFonts w:ascii="Calibri" w:hAnsi="Calibri" w:cs="Calibri"/>
                <w:sz w:val="18"/>
                <w:lang w:val="en-AU"/>
              </w:rPr>
              <w:t>Victorian</w:t>
            </w:r>
            <w:r w:rsidR="00946824">
              <w:rPr>
                <w:rFonts w:ascii="Calibri" w:hAnsi="Calibri" w:cs="Calibri"/>
                <w:sz w:val="18"/>
                <w:lang w:val="en-AU"/>
              </w:rPr>
              <w:t xml:space="preserve"> Auditor</w:t>
            </w:r>
            <w:r w:rsidR="00946824">
              <w:rPr>
                <w:rFonts w:ascii="Calibri" w:hAnsi="Calibri" w:cs="Calibri"/>
                <w:sz w:val="18"/>
                <w:lang w:val="en-AU"/>
              </w:rPr>
              <w:noBreakHyphen/>
              <w:t>General’s Office (</w:t>
            </w:r>
            <w:r w:rsidR="00D22553" w:rsidRPr="00925213">
              <w:rPr>
                <w:rFonts w:ascii="Calibri" w:hAnsi="Calibri" w:cs="Calibri"/>
                <w:sz w:val="18"/>
                <w:lang w:val="en-AU"/>
              </w:rPr>
              <w:t>VAGO</w:t>
            </w:r>
            <w:r w:rsidR="00946824">
              <w:rPr>
                <w:rFonts w:ascii="Calibri" w:hAnsi="Calibri" w:cs="Calibri"/>
                <w:sz w:val="18"/>
                <w:lang w:val="en-AU"/>
              </w:rPr>
              <w:t>)</w:t>
            </w:r>
          </w:p>
        </w:tc>
        <w:tc>
          <w:tcPr>
            <w:tcW w:w="3589" w:type="dxa"/>
            <w:tcBorders>
              <w:top w:val="single" w:sz="4" w:space="0" w:color="FFFFFF" w:themeColor="background1"/>
              <w:bottom w:val="single" w:sz="4" w:space="0" w:color="53565A" w:themeColor="accent5"/>
            </w:tcBorders>
            <w:shd w:val="clear" w:color="auto" w:fill="FFFFFF" w:themeFill="background1"/>
          </w:tcPr>
          <w:p w14:paraId="5E3AAABB" w14:textId="77777777" w:rsidR="00D22553" w:rsidRPr="00925213" w:rsidRDefault="00D22553" w:rsidP="00F3490D">
            <w:pPr>
              <w:pStyle w:val="ESTablebody"/>
              <w:rPr>
                <w:rFonts w:ascii="Calibri" w:hAnsi="Calibri" w:cs="Calibri"/>
                <w:sz w:val="18"/>
                <w:lang w:val="en-AU"/>
              </w:rPr>
            </w:pPr>
            <w:r w:rsidRPr="00925213">
              <w:rPr>
                <w:rFonts w:ascii="Calibri" w:hAnsi="Calibri" w:cs="Calibri"/>
                <w:sz w:val="18"/>
                <w:lang w:val="en-AU"/>
              </w:rPr>
              <w:t>To review the allocative model of core and needs-based funding.</w:t>
            </w:r>
          </w:p>
        </w:tc>
        <w:tc>
          <w:tcPr>
            <w:tcW w:w="1122" w:type="dxa"/>
            <w:tcBorders>
              <w:top w:val="single" w:sz="4" w:space="0" w:color="FFFFFF" w:themeColor="background1"/>
              <w:bottom w:val="single" w:sz="4" w:space="0" w:color="53565A" w:themeColor="accent5"/>
            </w:tcBorders>
            <w:shd w:val="clear" w:color="auto" w:fill="FFFFFF" w:themeFill="background1"/>
          </w:tcPr>
          <w:p w14:paraId="0BB4B508" w14:textId="77777777" w:rsidR="00D22553" w:rsidRPr="00925213" w:rsidRDefault="00D22553" w:rsidP="00F3490D">
            <w:pPr>
              <w:pStyle w:val="ESTablebody"/>
              <w:rPr>
                <w:rFonts w:ascii="Calibri" w:hAnsi="Calibri" w:cs="Calibri"/>
                <w:sz w:val="18"/>
              </w:rPr>
            </w:pPr>
            <w:r w:rsidRPr="00925213">
              <w:rPr>
                <w:rFonts w:ascii="Calibri" w:hAnsi="Calibri" w:cs="Calibri"/>
                <w:sz w:val="18"/>
              </w:rPr>
              <w:t>5 August 2020</w:t>
            </w:r>
          </w:p>
        </w:tc>
      </w:tr>
      <w:tr w:rsidR="00D22553" w:rsidRPr="00925213" w14:paraId="779A9C46"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27810D3D"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Management of the Student Resource Package</w:t>
            </w:r>
          </w:p>
        </w:tc>
        <w:tc>
          <w:tcPr>
            <w:tcW w:w="1517" w:type="dxa"/>
            <w:tcBorders>
              <w:top w:val="single" w:sz="4" w:space="0" w:color="FFFFFF" w:themeColor="background1"/>
              <w:bottom w:val="single" w:sz="4" w:space="0" w:color="53565A" w:themeColor="accent5"/>
            </w:tcBorders>
            <w:shd w:val="clear" w:color="auto" w:fill="FFFFFF" w:themeFill="background1"/>
          </w:tcPr>
          <w:p w14:paraId="1CE59895"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2F1B412E"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 xml:space="preserve">To determine whether government schools are allocated funding through the Student Resource Package fairly, </w:t>
            </w:r>
            <w:proofErr w:type="gramStart"/>
            <w:r w:rsidRPr="00925213">
              <w:rPr>
                <w:rFonts w:ascii="Calibri" w:hAnsi="Calibri" w:cs="Calibri"/>
                <w:sz w:val="18"/>
                <w:lang w:val="en-AU"/>
              </w:rPr>
              <w:t>consistently</w:t>
            </w:r>
            <w:proofErr w:type="gramEnd"/>
            <w:r w:rsidRPr="00925213">
              <w:rPr>
                <w:rFonts w:ascii="Calibri" w:hAnsi="Calibri" w:cs="Calibri"/>
                <w:sz w:val="18"/>
                <w:lang w:val="en-AU"/>
              </w:rPr>
              <w:t xml:space="preserve"> and transparently to support intended school outcomes.</w:t>
            </w:r>
          </w:p>
        </w:tc>
        <w:tc>
          <w:tcPr>
            <w:tcW w:w="1122" w:type="dxa"/>
            <w:tcBorders>
              <w:top w:val="single" w:sz="4" w:space="0" w:color="FFFFFF" w:themeColor="background1"/>
              <w:bottom w:val="single" w:sz="4" w:space="0" w:color="53565A" w:themeColor="accent5"/>
            </w:tcBorders>
            <w:shd w:val="clear" w:color="auto" w:fill="FFFFFF" w:themeFill="background1"/>
          </w:tcPr>
          <w:p w14:paraId="43A04C44"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5 August 2020</w:t>
            </w:r>
          </w:p>
        </w:tc>
      </w:tr>
      <w:tr w:rsidR="00D22553" w:rsidRPr="00925213" w14:paraId="6D9A85EC"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016A25E4"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Early Years Management in Victorian Sessional Kindergartens</w:t>
            </w:r>
          </w:p>
        </w:tc>
        <w:tc>
          <w:tcPr>
            <w:tcW w:w="1517" w:type="dxa"/>
            <w:tcBorders>
              <w:top w:val="single" w:sz="4" w:space="0" w:color="FFFFFF" w:themeColor="background1"/>
              <w:bottom w:val="single" w:sz="4" w:space="0" w:color="53565A" w:themeColor="accent5"/>
            </w:tcBorders>
            <w:shd w:val="clear" w:color="auto" w:fill="FFFFFF" w:themeFill="background1"/>
          </w:tcPr>
          <w:p w14:paraId="603C4410"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030C0869"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To determine whether the Department has supported organisations managing sessional kindergartens to meet the outcomes of the Early Years Management Policy Framework.</w:t>
            </w:r>
          </w:p>
        </w:tc>
        <w:tc>
          <w:tcPr>
            <w:tcW w:w="1122" w:type="dxa"/>
            <w:tcBorders>
              <w:top w:val="single" w:sz="4" w:space="0" w:color="FFFFFF" w:themeColor="background1"/>
              <w:bottom w:val="single" w:sz="4" w:space="0" w:color="53565A" w:themeColor="accent5"/>
            </w:tcBorders>
            <w:shd w:val="clear" w:color="auto" w:fill="FFFFFF" w:themeFill="background1"/>
          </w:tcPr>
          <w:p w14:paraId="7FAB66FA"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15 October 2020</w:t>
            </w:r>
          </w:p>
        </w:tc>
      </w:tr>
      <w:tr w:rsidR="00D22553" w:rsidRPr="00925213" w14:paraId="1A273CEC"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5C109E4D" w14:textId="77777777" w:rsidR="00D22553" w:rsidRPr="00925213" w:rsidRDefault="00D22553" w:rsidP="00D22553">
            <w:pPr>
              <w:pStyle w:val="ESTablebody"/>
              <w:rPr>
                <w:rFonts w:ascii="Calibri" w:hAnsi="Calibri" w:cs="Calibri"/>
                <w:sz w:val="18"/>
              </w:rPr>
            </w:pPr>
            <w:r w:rsidRPr="00925213">
              <w:rPr>
                <w:rFonts w:ascii="Calibri" w:hAnsi="Calibri" w:cs="Calibri"/>
                <w:sz w:val="18"/>
              </w:rPr>
              <w:t>Review of vocational and applied learning pathways in senior secondary school</w:t>
            </w:r>
          </w:p>
        </w:tc>
        <w:tc>
          <w:tcPr>
            <w:tcW w:w="1517" w:type="dxa"/>
            <w:tcBorders>
              <w:top w:val="single" w:sz="4" w:space="0" w:color="FFFFFF" w:themeColor="background1"/>
              <w:bottom w:val="single" w:sz="4" w:space="0" w:color="53565A" w:themeColor="accent5"/>
            </w:tcBorders>
            <w:shd w:val="clear" w:color="auto" w:fill="FFFFFF" w:themeFill="background1"/>
          </w:tcPr>
          <w:p w14:paraId="0495DBA6" w14:textId="77777777" w:rsidR="00D22553" w:rsidRPr="00925213" w:rsidRDefault="00D22553" w:rsidP="00D22553">
            <w:pPr>
              <w:pStyle w:val="ESTablebody"/>
              <w:rPr>
                <w:rFonts w:ascii="Calibri" w:hAnsi="Calibri" w:cs="Calibri"/>
                <w:sz w:val="18"/>
              </w:rPr>
            </w:pPr>
            <w:r w:rsidRPr="00925213">
              <w:rPr>
                <w:rFonts w:ascii="Calibri" w:hAnsi="Calibri" w:cs="Calibri"/>
                <w:sz w:val="18"/>
              </w:rPr>
              <w:t>John Firth</w:t>
            </w:r>
          </w:p>
        </w:tc>
        <w:tc>
          <w:tcPr>
            <w:tcW w:w="3589" w:type="dxa"/>
            <w:tcBorders>
              <w:top w:val="single" w:sz="4" w:space="0" w:color="FFFFFF" w:themeColor="background1"/>
              <w:bottom w:val="single" w:sz="4" w:space="0" w:color="53565A" w:themeColor="accent5"/>
            </w:tcBorders>
            <w:shd w:val="clear" w:color="auto" w:fill="FFFFFF" w:themeFill="background1"/>
          </w:tcPr>
          <w:p w14:paraId="04182375" w14:textId="395B74C1" w:rsidR="00D22553" w:rsidRPr="00925213" w:rsidRDefault="00D22553" w:rsidP="00D22553">
            <w:pPr>
              <w:pStyle w:val="ESTablebody"/>
              <w:rPr>
                <w:rFonts w:ascii="Calibri" w:hAnsi="Calibri" w:cs="Calibri"/>
                <w:sz w:val="18"/>
              </w:rPr>
            </w:pPr>
            <w:r w:rsidRPr="00925213">
              <w:rPr>
                <w:rFonts w:ascii="Calibri" w:hAnsi="Calibri" w:cs="Calibri"/>
                <w:sz w:val="18"/>
              </w:rPr>
              <w:t>To make recommendations for reform to ensure all Victorian secondary school students have access to high-quality vocational and applied learning options</w:t>
            </w:r>
            <w:r w:rsidR="00EB1342" w:rsidRPr="00925213">
              <w:rPr>
                <w:rFonts w:ascii="Calibri" w:hAnsi="Calibri" w:cs="Calibri"/>
                <w:sz w:val="18"/>
              </w:rPr>
              <w:t>. Recommendations seek to</w:t>
            </w:r>
            <w:r w:rsidRPr="00925213">
              <w:rPr>
                <w:rFonts w:ascii="Calibri" w:hAnsi="Calibri" w:cs="Calibri"/>
                <w:sz w:val="18"/>
              </w:rPr>
              <w:t xml:space="preserve"> improve transitions for students between school, post-secondary </w:t>
            </w:r>
            <w:proofErr w:type="gramStart"/>
            <w:r w:rsidRPr="00925213">
              <w:rPr>
                <w:rFonts w:ascii="Calibri" w:hAnsi="Calibri" w:cs="Calibri"/>
                <w:sz w:val="18"/>
              </w:rPr>
              <w:t>education</w:t>
            </w:r>
            <w:proofErr w:type="gramEnd"/>
            <w:r w:rsidRPr="00925213">
              <w:rPr>
                <w:rFonts w:ascii="Calibri" w:hAnsi="Calibri" w:cs="Calibri"/>
                <w:sz w:val="18"/>
              </w:rPr>
              <w:t xml:space="preserve"> and work</w:t>
            </w:r>
            <w:r w:rsidR="00EB1342" w:rsidRPr="00925213">
              <w:rPr>
                <w:rFonts w:ascii="Calibri" w:hAnsi="Calibri" w:cs="Calibri"/>
                <w:sz w:val="18"/>
              </w:rPr>
              <w:t>.</w:t>
            </w:r>
          </w:p>
        </w:tc>
        <w:tc>
          <w:tcPr>
            <w:tcW w:w="1122" w:type="dxa"/>
            <w:tcBorders>
              <w:top w:val="single" w:sz="4" w:space="0" w:color="FFFFFF" w:themeColor="background1"/>
              <w:bottom w:val="single" w:sz="4" w:space="0" w:color="53565A" w:themeColor="accent5"/>
            </w:tcBorders>
            <w:shd w:val="clear" w:color="auto" w:fill="FFFFFF" w:themeFill="background1"/>
          </w:tcPr>
          <w:p w14:paraId="2D15032A" w14:textId="0E8F0738" w:rsidR="00D22553" w:rsidRPr="00925213" w:rsidRDefault="00110A9B" w:rsidP="00D22553">
            <w:pPr>
              <w:pStyle w:val="ESTablebody"/>
              <w:rPr>
                <w:rFonts w:ascii="Calibri" w:hAnsi="Calibri" w:cs="Calibri"/>
                <w:sz w:val="18"/>
              </w:rPr>
            </w:pPr>
            <w:r w:rsidRPr="00925213">
              <w:rPr>
                <w:rFonts w:ascii="Calibri" w:hAnsi="Calibri" w:cs="Calibri"/>
                <w:sz w:val="18"/>
              </w:rPr>
              <w:t>24</w:t>
            </w:r>
            <w:r w:rsidR="00D22553" w:rsidRPr="00925213">
              <w:rPr>
                <w:rFonts w:ascii="Calibri" w:hAnsi="Calibri" w:cs="Calibri"/>
                <w:sz w:val="18"/>
              </w:rPr>
              <w:t xml:space="preserve"> November 2020</w:t>
            </w:r>
          </w:p>
        </w:tc>
      </w:tr>
      <w:tr w:rsidR="00D22553" w:rsidRPr="00925213" w14:paraId="3233D41F"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6E58FB54"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Systems and Support for Principal Performance</w:t>
            </w:r>
          </w:p>
        </w:tc>
        <w:tc>
          <w:tcPr>
            <w:tcW w:w="1517" w:type="dxa"/>
            <w:tcBorders>
              <w:top w:val="single" w:sz="4" w:space="0" w:color="FFFFFF" w:themeColor="background1"/>
              <w:bottom w:val="single" w:sz="4" w:space="0" w:color="53565A" w:themeColor="accent5"/>
            </w:tcBorders>
            <w:shd w:val="clear" w:color="auto" w:fill="FFFFFF" w:themeFill="background1"/>
          </w:tcPr>
          <w:p w14:paraId="66AEBE4C"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58C76251" w14:textId="6B1CD2EE"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To determine whether DET supports and manages principals</w:t>
            </w:r>
            <w:r w:rsidR="009F6DE9">
              <w:rPr>
                <w:rFonts w:ascii="Calibri" w:hAnsi="Calibri" w:cs="Calibri"/>
                <w:sz w:val="18"/>
                <w:lang w:val="en-AU"/>
              </w:rPr>
              <w:t>’</w:t>
            </w:r>
            <w:r w:rsidRPr="00925213">
              <w:rPr>
                <w:rFonts w:ascii="Calibri" w:hAnsi="Calibri" w:cs="Calibri"/>
                <w:sz w:val="18"/>
                <w:lang w:val="en-AU"/>
              </w:rPr>
              <w:t xml:space="preserve"> development and performance to optimise student outcomes.</w:t>
            </w:r>
          </w:p>
        </w:tc>
        <w:tc>
          <w:tcPr>
            <w:tcW w:w="1122" w:type="dxa"/>
            <w:tcBorders>
              <w:top w:val="single" w:sz="4" w:space="0" w:color="FFFFFF" w:themeColor="background1"/>
              <w:bottom w:val="single" w:sz="4" w:space="0" w:color="53565A" w:themeColor="accent5"/>
            </w:tcBorders>
            <w:shd w:val="clear" w:color="auto" w:fill="FFFFFF" w:themeFill="background1"/>
          </w:tcPr>
          <w:p w14:paraId="7413AF2A"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9 December 2020</w:t>
            </w:r>
          </w:p>
        </w:tc>
      </w:tr>
      <w:tr w:rsidR="00D22553" w:rsidRPr="00925213" w14:paraId="18745688" w14:textId="77777777" w:rsidTr="00946824">
        <w:trPr>
          <w:cantSplit/>
        </w:trPr>
        <w:tc>
          <w:tcPr>
            <w:tcW w:w="1693" w:type="dxa"/>
            <w:tcBorders>
              <w:top w:val="single" w:sz="4" w:space="0" w:color="53565A" w:themeColor="accent5"/>
              <w:bottom w:val="single" w:sz="4" w:space="0" w:color="53565A" w:themeColor="accent5"/>
            </w:tcBorders>
            <w:shd w:val="clear" w:color="auto" w:fill="auto"/>
          </w:tcPr>
          <w:p w14:paraId="095D7877" w14:textId="389545C3" w:rsidR="00D22553" w:rsidRPr="00925213" w:rsidRDefault="00D22553" w:rsidP="002E0D54">
            <w:pPr>
              <w:pStyle w:val="ESTablebody"/>
              <w:rPr>
                <w:rFonts w:ascii="Calibri" w:hAnsi="Calibri" w:cs="Calibri"/>
                <w:sz w:val="18"/>
              </w:rPr>
            </w:pPr>
            <w:r w:rsidRPr="00925213">
              <w:rPr>
                <w:rFonts w:ascii="Calibri" w:hAnsi="Calibri" w:cs="Calibri"/>
                <w:color w:val="000000"/>
                <w:sz w:val="18"/>
              </w:rPr>
              <w:t>Skills for Victoria’s growing economy</w:t>
            </w:r>
          </w:p>
        </w:tc>
        <w:tc>
          <w:tcPr>
            <w:tcW w:w="1517" w:type="dxa"/>
            <w:tcBorders>
              <w:top w:val="single" w:sz="4" w:space="0" w:color="53565A" w:themeColor="accent5"/>
              <w:bottom w:val="single" w:sz="4" w:space="0" w:color="53565A" w:themeColor="accent5"/>
            </w:tcBorders>
          </w:tcPr>
          <w:p w14:paraId="61E3207B" w14:textId="77777777" w:rsidR="00D22553" w:rsidRPr="00925213" w:rsidRDefault="00D22553" w:rsidP="002E0D54">
            <w:pPr>
              <w:pStyle w:val="ESTablebody"/>
              <w:rPr>
                <w:rFonts w:ascii="Calibri" w:eastAsia="Times New Roman" w:hAnsi="Calibri" w:cs="Calibri"/>
                <w:sz w:val="18"/>
                <w:lang w:val="en-AU"/>
              </w:rPr>
            </w:pPr>
            <w:r w:rsidRPr="00925213">
              <w:rPr>
                <w:rFonts w:ascii="Calibri" w:hAnsi="Calibri" w:cs="Calibri"/>
                <w:color w:val="000000"/>
                <w:sz w:val="18"/>
              </w:rPr>
              <w:t>Jenny Macklin</w:t>
            </w:r>
          </w:p>
        </w:tc>
        <w:tc>
          <w:tcPr>
            <w:tcW w:w="3589" w:type="dxa"/>
            <w:tcBorders>
              <w:top w:val="single" w:sz="4" w:space="0" w:color="53565A" w:themeColor="accent5"/>
              <w:bottom w:val="single" w:sz="4" w:space="0" w:color="53565A" w:themeColor="accent5"/>
            </w:tcBorders>
          </w:tcPr>
          <w:p w14:paraId="6161F1D0" w14:textId="5237534A" w:rsidR="00D22553" w:rsidRPr="00925213" w:rsidRDefault="00D22553" w:rsidP="002E0D54">
            <w:pPr>
              <w:pStyle w:val="ESTablebody"/>
              <w:rPr>
                <w:rFonts w:ascii="Calibri" w:hAnsi="Calibri" w:cs="Calibri"/>
                <w:sz w:val="18"/>
                <w:lang w:val="en-AU"/>
              </w:rPr>
            </w:pPr>
            <w:r w:rsidRPr="00925213">
              <w:rPr>
                <w:rFonts w:ascii="Calibri" w:hAnsi="Calibri" w:cs="Calibri"/>
                <w:color w:val="000000"/>
                <w:sz w:val="18"/>
              </w:rPr>
              <w:t xml:space="preserve">To provide advice to </w:t>
            </w:r>
            <w:r w:rsidR="0074764F">
              <w:rPr>
                <w:rFonts w:ascii="Calibri" w:hAnsi="Calibri" w:cs="Calibri"/>
                <w:color w:val="000000"/>
                <w:sz w:val="18"/>
              </w:rPr>
              <w:t>g</w:t>
            </w:r>
            <w:r w:rsidRPr="00925213">
              <w:rPr>
                <w:rFonts w:ascii="Calibri" w:hAnsi="Calibri" w:cs="Calibri"/>
                <w:color w:val="000000"/>
                <w:sz w:val="18"/>
              </w:rPr>
              <w:t xml:space="preserve">overnment on Victoria’s education and training needs and to identify the necessary reforms to meet the skills requirements of students, </w:t>
            </w:r>
            <w:proofErr w:type="gramStart"/>
            <w:r w:rsidRPr="00925213">
              <w:rPr>
                <w:rFonts w:ascii="Calibri" w:hAnsi="Calibri" w:cs="Calibri"/>
                <w:color w:val="000000"/>
                <w:sz w:val="18"/>
              </w:rPr>
              <w:t>industry</w:t>
            </w:r>
            <w:proofErr w:type="gramEnd"/>
            <w:r w:rsidRPr="00925213">
              <w:rPr>
                <w:rFonts w:ascii="Calibri" w:hAnsi="Calibri" w:cs="Calibri"/>
                <w:color w:val="000000"/>
                <w:sz w:val="18"/>
              </w:rPr>
              <w:t xml:space="preserve"> and government over the next decade.</w:t>
            </w:r>
          </w:p>
        </w:tc>
        <w:tc>
          <w:tcPr>
            <w:tcW w:w="1122" w:type="dxa"/>
            <w:tcBorders>
              <w:top w:val="single" w:sz="4" w:space="0" w:color="53565A" w:themeColor="accent5"/>
              <w:bottom w:val="single" w:sz="4" w:space="0" w:color="53565A" w:themeColor="accent5"/>
            </w:tcBorders>
            <w:shd w:val="clear" w:color="auto" w:fill="auto"/>
          </w:tcPr>
          <w:p w14:paraId="05869E52" w14:textId="77777777" w:rsidR="00D22553" w:rsidRPr="00925213" w:rsidRDefault="00D22553" w:rsidP="002E0D54">
            <w:pPr>
              <w:pStyle w:val="ESTablebody"/>
              <w:rPr>
                <w:rFonts w:ascii="Calibri" w:hAnsi="Calibri" w:cs="Calibri"/>
                <w:sz w:val="18"/>
              </w:rPr>
            </w:pPr>
            <w:r w:rsidRPr="00925213">
              <w:rPr>
                <w:rFonts w:ascii="Calibri" w:hAnsi="Calibri" w:cs="Calibri"/>
                <w:color w:val="000000"/>
                <w:sz w:val="18"/>
              </w:rPr>
              <w:t>3 February 2021</w:t>
            </w:r>
          </w:p>
        </w:tc>
      </w:tr>
      <w:tr w:rsidR="00D22553" w:rsidRPr="00925213" w14:paraId="22515CDD"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42284F5C" w14:textId="382D6978"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 xml:space="preserve">Investigation of protected disclosure complaints regarding the former </w:t>
            </w:r>
            <w:r w:rsidR="001540A0">
              <w:rPr>
                <w:rFonts w:ascii="Calibri" w:hAnsi="Calibri" w:cs="Calibri"/>
                <w:sz w:val="18"/>
                <w:lang w:val="en-AU"/>
              </w:rPr>
              <w:t>p</w:t>
            </w:r>
            <w:r w:rsidRPr="00925213">
              <w:rPr>
                <w:rFonts w:ascii="Calibri" w:hAnsi="Calibri" w:cs="Calibri"/>
                <w:sz w:val="18"/>
                <w:lang w:val="en-AU"/>
              </w:rPr>
              <w:t>rincipal of a Victorian public school</w:t>
            </w:r>
          </w:p>
        </w:tc>
        <w:tc>
          <w:tcPr>
            <w:tcW w:w="1517" w:type="dxa"/>
            <w:tcBorders>
              <w:top w:val="single" w:sz="4" w:space="0" w:color="FFFFFF" w:themeColor="background1"/>
              <w:bottom w:val="single" w:sz="4" w:space="0" w:color="53565A" w:themeColor="accent5"/>
            </w:tcBorders>
            <w:shd w:val="clear" w:color="auto" w:fill="FFFFFF" w:themeFill="background1"/>
          </w:tcPr>
          <w:p w14:paraId="1F795FDB"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Victorian Ombudsman</w:t>
            </w:r>
          </w:p>
        </w:tc>
        <w:tc>
          <w:tcPr>
            <w:tcW w:w="3589" w:type="dxa"/>
            <w:tcBorders>
              <w:top w:val="single" w:sz="4" w:space="0" w:color="FFFFFF" w:themeColor="background1"/>
              <w:bottom w:val="single" w:sz="4" w:space="0" w:color="53565A" w:themeColor="accent5"/>
            </w:tcBorders>
            <w:shd w:val="clear" w:color="auto" w:fill="FFFFFF" w:themeFill="background1"/>
          </w:tcPr>
          <w:p w14:paraId="0E5F0976" w14:textId="522ABFBD"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 xml:space="preserve">To investigate protected disclosure complaints made in 2018 alleging that a now former </w:t>
            </w:r>
            <w:r w:rsidR="001540A0">
              <w:rPr>
                <w:rFonts w:ascii="Calibri" w:hAnsi="Calibri" w:cs="Calibri"/>
                <w:sz w:val="18"/>
                <w:lang w:val="en-AU"/>
              </w:rPr>
              <w:t>p</w:t>
            </w:r>
            <w:r w:rsidRPr="00925213">
              <w:rPr>
                <w:rFonts w:ascii="Calibri" w:hAnsi="Calibri" w:cs="Calibri"/>
                <w:sz w:val="18"/>
                <w:lang w:val="en-AU"/>
              </w:rPr>
              <w:t xml:space="preserve">rincipal of a Victorian public school asked staff to counter-sign cash cheques, </w:t>
            </w:r>
            <w:r w:rsidR="002C1365">
              <w:rPr>
                <w:rFonts w:ascii="Calibri" w:hAnsi="Calibri" w:cs="Calibri"/>
                <w:sz w:val="18"/>
                <w:lang w:val="en-AU"/>
              </w:rPr>
              <w:t>that</w:t>
            </w:r>
            <w:r w:rsidRPr="00925213">
              <w:rPr>
                <w:rFonts w:ascii="Calibri" w:hAnsi="Calibri" w:cs="Calibri"/>
                <w:sz w:val="18"/>
                <w:lang w:val="en-AU"/>
              </w:rPr>
              <w:t xml:space="preserve"> he used the school funds for his own purpose</w:t>
            </w:r>
            <w:r w:rsidR="002C1365">
              <w:rPr>
                <w:rFonts w:ascii="Calibri" w:hAnsi="Calibri" w:cs="Calibri"/>
                <w:sz w:val="18"/>
                <w:lang w:val="en-AU"/>
              </w:rPr>
              <w:t xml:space="preserve"> and that h</w:t>
            </w:r>
            <w:r w:rsidRPr="00925213">
              <w:rPr>
                <w:rFonts w:ascii="Calibri" w:hAnsi="Calibri" w:cs="Calibri"/>
                <w:sz w:val="18"/>
                <w:lang w:val="en-AU"/>
              </w:rPr>
              <w:t>e also failed to follow procurement and recruitment processes.</w:t>
            </w:r>
          </w:p>
        </w:tc>
        <w:tc>
          <w:tcPr>
            <w:tcW w:w="1122" w:type="dxa"/>
            <w:tcBorders>
              <w:top w:val="single" w:sz="4" w:space="0" w:color="FFFFFF" w:themeColor="background1"/>
              <w:bottom w:val="single" w:sz="4" w:space="0" w:color="53565A" w:themeColor="accent5"/>
            </w:tcBorders>
            <w:shd w:val="clear" w:color="auto" w:fill="FFFFFF" w:themeFill="background1"/>
          </w:tcPr>
          <w:p w14:paraId="6EFAB07B"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15 February 2021</w:t>
            </w:r>
          </w:p>
        </w:tc>
      </w:tr>
      <w:tr w:rsidR="00D22553" w:rsidRPr="00925213" w14:paraId="62E3528D" w14:textId="77777777" w:rsidTr="00946824">
        <w:trPr>
          <w:cantSplit/>
        </w:trPr>
        <w:tc>
          <w:tcPr>
            <w:tcW w:w="1693" w:type="dxa"/>
            <w:tcBorders>
              <w:top w:val="single" w:sz="4" w:space="0" w:color="FFFFFF" w:themeColor="background1"/>
              <w:bottom w:val="single" w:sz="4" w:space="0" w:color="53565A" w:themeColor="accent5"/>
            </w:tcBorders>
            <w:shd w:val="clear" w:color="auto" w:fill="FFFFFF" w:themeFill="background1"/>
          </w:tcPr>
          <w:p w14:paraId="26645FA1" w14:textId="08C4F0C3"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 xml:space="preserve">Measuring and </w:t>
            </w:r>
            <w:r w:rsidR="002C1365">
              <w:rPr>
                <w:rFonts w:ascii="Calibri" w:hAnsi="Calibri" w:cs="Calibri"/>
                <w:sz w:val="18"/>
                <w:lang w:val="en-AU"/>
              </w:rPr>
              <w:t>r</w:t>
            </w:r>
            <w:r w:rsidRPr="00925213">
              <w:rPr>
                <w:rFonts w:ascii="Calibri" w:hAnsi="Calibri" w:cs="Calibri"/>
                <w:sz w:val="18"/>
                <w:lang w:val="en-AU"/>
              </w:rPr>
              <w:t xml:space="preserve">eporting on </w:t>
            </w:r>
            <w:r w:rsidR="002C1365">
              <w:rPr>
                <w:rFonts w:ascii="Calibri" w:hAnsi="Calibri" w:cs="Calibri"/>
                <w:sz w:val="18"/>
                <w:lang w:val="en-AU"/>
              </w:rPr>
              <w:t>s</w:t>
            </w:r>
            <w:r w:rsidRPr="00925213">
              <w:rPr>
                <w:rFonts w:ascii="Calibri" w:hAnsi="Calibri" w:cs="Calibri"/>
                <w:sz w:val="18"/>
                <w:lang w:val="en-AU"/>
              </w:rPr>
              <w:t xml:space="preserve">ervice </w:t>
            </w:r>
            <w:r w:rsidR="002C1365">
              <w:rPr>
                <w:rFonts w:ascii="Calibri" w:hAnsi="Calibri" w:cs="Calibri"/>
                <w:sz w:val="18"/>
                <w:lang w:val="en-AU"/>
              </w:rPr>
              <w:t>d</w:t>
            </w:r>
            <w:r w:rsidRPr="00925213">
              <w:rPr>
                <w:rFonts w:ascii="Calibri" w:hAnsi="Calibri" w:cs="Calibri"/>
                <w:sz w:val="18"/>
                <w:lang w:val="en-AU"/>
              </w:rPr>
              <w:t>elivery</w:t>
            </w:r>
          </w:p>
        </w:tc>
        <w:tc>
          <w:tcPr>
            <w:tcW w:w="1517" w:type="dxa"/>
            <w:tcBorders>
              <w:top w:val="single" w:sz="4" w:space="0" w:color="FFFFFF" w:themeColor="background1"/>
              <w:bottom w:val="single" w:sz="4" w:space="0" w:color="53565A" w:themeColor="accent5"/>
            </w:tcBorders>
            <w:shd w:val="clear" w:color="auto" w:fill="FFFFFF" w:themeFill="background1"/>
          </w:tcPr>
          <w:p w14:paraId="73B5790E"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shd w:val="clear" w:color="auto" w:fill="FFFFFF" w:themeFill="background1"/>
          </w:tcPr>
          <w:p w14:paraId="13F1F890" w14:textId="077F187C"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To determine whether the state</w:t>
            </w:r>
            <w:r w:rsidR="00B60B93">
              <w:rPr>
                <w:rFonts w:ascii="Calibri" w:hAnsi="Calibri" w:cs="Calibri"/>
                <w:sz w:val="18"/>
                <w:lang w:val="en-AU"/>
              </w:rPr>
              <w:t>’</w:t>
            </w:r>
            <w:r w:rsidRPr="00925213">
              <w:rPr>
                <w:rFonts w:ascii="Calibri" w:hAnsi="Calibri" w:cs="Calibri"/>
                <w:sz w:val="18"/>
                <w:lang w:val="en-AU"/>
              </w:rPr>
              <w:t>s departmental service performance measurement framework and reporting promotes accountability and informed decision-making.</w:t>
            </w:r>
          </w:p>
        </w:tc>
        <w:tc>
          <w:tcPr>
            <w:tcW w:w="1122" w:type="dxa"/>
            <w:tcBorders>
              <w:top w:val="single" w:sz="4" w:space="0" w:color="FFFFFF" w:themeColor="background1"/>
              <w:bottom w:val="single" w:sz="4" w:space="0" w:color="53565A" w:themeColor="accent5"/>
            </w:tcBorders>
            <w:shd w:val="clear" w:color="auto" w:fill="FFFFFF" w:themeFill="background1"/>
          </w:tcPr>
          <w:p w14:paraId="44D96422" w14:textId="77777777" w:rsidR="00D22553" w:rsidRPr="00925213" w:rsidRDefault="00D22553" w:rsidP="007F5E40">
            <w:pPr>
              <w:pStyle w:val="ESTablebody"/>
              <w:rPr>
                <w:rFonts w:ascii="Calibri" w:hAnsi="Calibri" w:cs="Calibri"/>
                <w:sz w:val="18"/>
                <w:lang w:val="en-AU"/>
              </w:rPr>
            </w:pPr>
            <w:r w:rsidRPr="00925213">
              <w:rPr>
                <w:rFonts w:ascii="Calibri" w:hAnsi="Calibri" w:cs="Calibri"/>
                <w:sz w:val="18"/>
                <w:lang w:val="en-AU"/>
              </w:rPr>
              <w:t>26 May 2021</w:t>
            </w:r>
          </w:p>
        </w:tc>
      </w:tr>
      <w:tr w:rsidR="00D22553" w:rsidRPr="00925213" w14:paraId="21870BEF" w14:textId="77777777" w:rsidTr="00946824">
        <w:trPr>
          <w:cantSplit/>
        </w:trPr>
        <w:tc>
          <w:tcPr>
            <w:tcW w:w="1693" w:type="dxa"/>
            <w:tcBorders>
              <w:top w:val="single" w:sz="4" w:space="0" w:color="FFFFFF" w:themeColor="background1"/>
              <w:bottom w:val="single" w:sz="4" w:space="0" w:color="53565A" w:themeColor="accent5"/>
            </w:tcBorders>
            <w:shd w:val="clear" w:color="auto" w:fill="auto"/>
          </w:tcPr>
          <w:p w14:paraId="45E2E222"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lastRenderedPageBreak/>
              <w:t>Responses to Performance Audit Recommendations: Annual Status Update</w:t>
            </w:r>
          </w:p>
        </w:tc>
        <w:tc>
          <w:tcPr>
            <w:tcW w:w="1517" w:type="dxa"/>
            <w:tcBorders>
              <w:top w:val="single" w:sz="4" w:space="0" w:color="FFFFFF" w:themeColor="background1"/>
              <w:bottom w:val="single" w:sz="4" w:space="0" w:color="53565A" w:themeColor="accent5"/>
            </w:tcBorders>
          </w:tcPr>
          <w:p w14:paraId="2C0A164F" w14:textId="77777777" w:rsidR="00D22553" w:rsidRPr="00925213" w:rsidRDefault="00D22553" w:rsidP="002463DA">
            <w:pPr>
              <w:pStyle w:val="ESTablebody"/>
              <w:rPr>
                <w:rFonts w:ascii="Calibri" w:eastAsia="Times New Roman" w:hAnsi="Calibri" w:cs="Calibri"/>
                <w:sz w:val="18"/>
                <w:lang w:val="en-AU"/>
              </w:rPr>
            </w:pPr>
            <w:r w:rsidRPr="00925213">
              <w:rPr>
                <w:rFonts w:ascii="Calibri" w:hAnsi="Calibri" w:cs="Calibri"/>
                <w:sz w:val="18"/>
                <w:lang w:val="en-AU"/>
              </w:rPr>
              <w:t>VAGO</w:t>
            </w:r>
          </w:p>
        </w:tc>
        <w:tc>
          <w:tcPr>
            <w:tcW w:w="3589" w:type="dxa"/>
            <w:tcBorders>
              <w:top w:val="single" w:sz="4" w:space="0" w:color="FFFFFF" w:themeColor="background1"/>
              <w:bottom w:val="single" w:sz="4" w:space="0" w:color="53565A" w:themeColor="accent5"/>
            </w:tcBorders>
          </w:tcPr>
          <w:p w14:paraId="1A069404"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To examine how public entities monitor and respond to performance audit recommendations made by VAGO between 2015–16 and 2019–20.</w:t>
            </w:r>
          </w:p>
        </w:tc>
        <w:tc>
          <w:tcPr>
            <w:tcW w:w="1122" w:type="dxa"/>
            <w:tcBorders>
              <w:top w:val="single" w:sz="4" w:space="0" w:color="FFFFFF" w:themeColor="background1"/>
              <w:bottom w:val="single" w:sz="4" w:space="0" w:color="53565A" w:themeColor="accent5"/>
            </w:tcBorders>
            <w:shd w:val="clear" w:color="auto" w:fill="auto"/>
          </w:tcPr>
          <w:p w14:paraId="09692397" w14:textId="77777777" w:rsidR="00D22553" w:rsidRPr="00925213" w:rsidRDefault="00D22553" w:rsidP="002463DA">
            <w:pPr>
              <w:pStyle w:val="ESTablebody"/>
              <w:rPr>
                <w:rFonts w:ascii="Calibri" w:hAnsi="Calibri" w:cs="Calibri"/>
                <w:sz w:val="18"/>
                <w:lang w:val="en-AU"/>
              </w:rPr>
            </w:pPr>
            <w:r w:rsidRPr="00925213">
              <w:rPr>
                <w:rFonts w:ascii="Calibri" w:hAnsi="Calibri" w:cs="Calibri"/>
                <w:sz w:val="18"/>
                <w:lang w:val="en-AU"/>
              </w:rPr>
              <w:t>23 June 2021</w:t>
            </w:r>
          </w:p>
        </w:tc>
      </w:tr>
      <w:tr w:rsidR="00D22553" w:rsidRPr="00925213" w14:paraId="1FABF606" w14:textId="77777777" w:rsidTr="00946824">
        <w:trPr>
          <w:cantSplit/>
        </w:trPr>
        <w:tc>
          <w:tcPr>
            <w:tcW w:w="1693" w:type="dxa"/>
            <w:tcBorders>
              <w:top w:val="single" w:sz="4" w:space="0" w:color="53565A" w:themeColor="accent5"/>
              <w:bottom w:val="single" w:sz="4" w:space="0" w:color="53565A" w:themeColor="accent5"/>
            </w:tcBorders>
            <w:shd w:val="clear" w:color="auto" w:fill="auto"/>
          </w:tcPr>
          <w:p w14:paraId="54E18C84" w14:textId="77777777" w:rsidR="00D22553" w:rsidRPr="00925213" w:rsidRDefault="00D22553" w:rsidP="002E0D54">
            <w:pPr>
              <w:pStyle w:val="ESTablebody"/>
              <w:rPr>
                <w:rFonts w:ascii="Calibri" w:hAnsi="Calibri" w:cs="Calibri"/>
                <w:sz w:val="18"/>
              </w:rPr>
            </w:pPr>
            <w:r w:rsidRPr="00925213">
              <w:rPr>
                <w:rFonts w:ascii="Calibri" w:hAnsi="Calibri" w:cs="Calibri"/>
                <w:sz w:val="18"/>
              </w:rPr>
              <w:t>Results of 2020 audits: Technical and Further Education institutes</w:t>
            </w:r>
          </w:p>
        </w:tc>
        <w:tc>
          <w:tcPr>
            <w:tcW w:w="1517" w:type="dxa"/>
            <w:tcBorders>
              <w:top w:val="single" w:sz="4" w:space="0" w:color="53565A" w:themeColor="accent5"/>
              <w:bottom w:val="single" w:sz="4" w:space="0" w:color="53565A" w:themeColor="accent5"/>
            </w:tcBorders>
          </w:tcPr>
          <w:p w14:paraId="6BD882BC" w14:textId="77777777" w:rsidR="00D22553" w:rsidRPr="00925213" w:rsidRDefault="00D22553" w:rsidP="002E0D54">
            <w:pPr>
              <w:pStyle w:val="ESTablebody"/>
              <w:rPr>
                <w:rFonts w:ascii="Calibri" w:eastAsia="Times New Roman" w:hAnsi="Calibri" w:cs="Calibri"/>
                <w:sz w:val="18"/>
                <w:lang w:val="en-AU"/>
              </w:rPr>
            </w:pPr>
            <w:r w:rsidRPr="00925213">
              <w:rPr>
                <w:rFonts w:ascii="Calibri" w:hAnsi="Calibri" w:cs="Calibri"/>
                <w:sz w:val="18"/>
                <w:lang w:val="en-AU"/>
              </w:rPr>
              <w:t>VAGO</w:t>
            </w:r>
          </w:p>
        </w:tc>
        <w:tc>
          <w:tcPr>
            <w:tcW w:w="3589" w:type="dxa"/>
            <w:tcBorders>
              <w:top w:val="single" w:sz="4" w:space="0" w:color="53565A" w:themeColor="accent5"/>
              <w:bottom w:val="single" w:sz="4" w:space="0" w:color="53565A" w:themeColor="accent5"/>
            </w:tcBorders>
          </w:tcPr>
          <w:p w14:paraId="6C1C5DE1" w14:textId="77777777" w:rsidR="00D22553" w:rsidRPr="00925213" w:rsidRDefault="00D22553" w:rsidP="002E0D54">
            <w:pPr>
              <w:pStyle w:val="ESTablebody"/>
              <w:rPr>
                <w:rFonts w:ascii="Calibri" w:hAnsi="Calibri" w:cs="Calibri"/>
                <w:sz w:val="18"/>
                <w:lang w:val="en-AU"/>
              </w:rPr>
            </w:pPr>
            <w:r w:rsidRPr="00925213">
              <w:rPr>
                <w:rFonts w:ascii="Calibri" w:hAnsi="Calibri" w:cs="Calibri"/>
                <w:sz w:val="18"/>
                <w:lang w:val="en-AU"/>
              </w:rPr>
              <w:t>To assess the TAFE sector’s financial performance and sustainability for the year ended 2020.</w:t>
            </w:r>
          </w:p>
        </w:tc>
        <w:tc>
          <w:tcPr>
            <w:tcW w:w="1122" w:type="dxa"/>
            <w:tcBorders>
              <w:top w:val="single" w:sz="4" w:space="0" w:color="53565A" w:themeColor="accent5"/>
              <w:bottom w:val="single" w:sz="4" w:space="0" w:color="53565A" w:themeColor="accent5"/>
            </w:tcBorders>
            <w:shd w:val="clear" w:color="auto" w:fill="auto"/>
          </w:tcPr>
          <w:p w14:paraId="174A7D0C" w14:textId="77777777" w:rsidR="00D22553" w:rsidRPr="00925213" w:rsidRDefault="00D22553" w:rsidP="002E0D54">
            <w:pPr>
              <w:pStyle w:val="ESTablebody"/>
              <w:rPr>
                <w:rFonts w:ascii="Calibri" w:hAnsi="Calibri" w:cs="Calibri"/>
                <w:sz w:val="18"/>
              </w:rPr>
            </w:pPr>
            <w:r w:rsidRPr="00925213">
              <w:rPr>
                <w:rFonts w:ascii="Calibri" w:hAnsi="Calibri" w:cs="Calibri"/>
                <w:sz w:val="18"/>
              </w:rPr>
              <w:t>24 June 2021</w:t>
            </w:r>
          </w:p>
        </w:tc>
      </w:tr>
      <w:tr w:rsidR="00D22553" w:rsidRPr="00925213" w14:paraId="4C41AABB" w14:textId="77777777" w:rsidTr="00946824">
        <w:trPr>
          <w:cantSplit/>
        </w:trPr>
        <w:tc>
          <w:tcPr>
            <w:tcW w:w="1693" w:type="dxa"/>
            <w:tcBorders>
              <w:top w:val="single" w:sz="4" w:space="0" w:color="53565A" w:themeColor="accent5"/>
              <w:bottom w:val="single" w:sz="4" w:space="0" w:color="53565A" w:themeColor="accent5"/>
            </w:tcBorders>
            <w:shd w:val="clear" w:color="auto" w:fill="auto"/>
          </w:tcPr>
          <w:p w14:paraId="230A14A8" w14:textId="35708BB0" w:rsidR="00D22553" w:rsidRPr="00925213" w:rsidRDefault="00D22553" w:rsidP="002E0D54">
            <w:pPr>
              <w:pStyle w:val="ESTablebody"/>
              <w:rPr>
                <w:rFonts w:ascii="Calibri" w:hAnsi="Calibri" w:cs="Calibri"/>
                <w:sz w:val="18"/>
              </w:rPr>
            </w:pPr>
            <w:r w:rsidRPr="00925213">
              <w:rPr>
                <w:rFonts w:ascii="Calibri" w:hAnsi="Calibri" w:cs="Calibri"/>
                <w:sz w:val="18"/>
              </w:rPr>
              <w:t xml:space="preserve">Results of 2020 audits: </w:t>
            </w:r>
            <w:r w:rsidR="00751BB5">
              <w:rPr>
                <w:rFonts w:ascii="Calibri" w:hAnsi="Calibri" w:cs="Calibri"/>
                <w:sz w:val="18"/>
              </w:rPr>
              <w:t>u</w:t>
            </w:r>
            <w:r w:rsidRPr="00925213">
              <w:rPr>
                <w:rFonts w:ascii="Calibri" w:hAnsi="Calibri" w:cs="Calibri"/>
                <w:sz w:val="18"/>
              </w:rPr>
              <w:t>niversities</w:t>
            </w:r>
          </w:p>
        </w:tc>
        <w:tc>
          <w:tcPr>
            <w:tcW w:w="1517" w:type="dxa"/>
            <w:tcBorders>
              <w:top w:val="single" w:sz="4" w:space="0" w:color="53565A" w:themeColor="accent5"/>
              <w:bottom w:val="single" w:sz="4" w:space="0" w:color="53565A" w:themeColor="accent5"/>
            </w:tcBorders>
          </w:tcPr>
          <w:p w14:paraId="54C727A7" w14:textId="77777777" w:rsidR="00D22553" w:rsidRPr="00925213" w:rsidRDefault="00D22553" w:rsidP="002E0D54">
            <w:pPr>
              <w:pStyle w:val="ESTablebody"/>
              <w:rPr>
                <w:rFonts w:ascii="Calibri" w:eastAsia="Times New Roman" w:hAnsi="Calibri" w:cs="Calibri"/>
                <w:sz w:val="18"/>
                <w:lang w:val="en-AU"/>
              </w:rPr>
            </w:pPr>
            <w:r w:rsidRPr="00925213">
              <w:rPr>
                <w:rFonts w:ascii="Calibri" w:hAnsi="Calibri" w:cs="Calibri"/>
                <w:sz w:val="18"/>
                <w:lang w:val="en-AU"/>
              </w:rPr>
              <w:t>VAGO</w:t>
            </w:r>
          </w:p>
        </w:tc>
        <w:tc>
          <w:tcPr>
            <w:tcW w:w="3589" w:type="dxa"/>
            <w:tcBorders>
              <w:top w:val="single" w:sz="4" w:space="0" w:color="53565A" w:themeColor="accent5"/>
              <w:bottom w:val="single" w:sz="4" w:space="0" w:color="53565A" w:themeColor="accent5"/>
            </w:tcBorders>
          </w:tcPr>
          <w:p w14:paraId="77491B77" w14:textId="77777777" w:rsidR="00D22553" w:rsidRPr="00925213" w:rsidRDefault="00D22553" w:rsidP="002E0D54">
            <w:pPr>
              <w:pStyle w:val="ESTablebody"/>
              <w:rPr>
                <w:rFonts w:ascii="Calibri" w:hAnsi="Calibri" w:cs="Calibri"/>
                <w:sz w:val="18"/>
                <w:lang w:val="en-AU"/>
              </w:rPr>
            </w:pPr>
            <w:r w:rsidRPr="00925213">
              <w:rPr>
                <w:rFonts w:ascii="Calibri" w:hAnsi="Calibri" w:cs="Calibri"/>
                <w:sz w:val="18"/>
                <w:lang w:val="en-AU"/>
              </w:rPr>
              <w:t>To assess the university sector’s financial performance and sustainability for the year ended 2020.</w:t>
            </w:r>
          </w:p>
        </w:tc>
        <w:tc>
          <w:tcPr>
            <w:tcW w:w="1122" w:type="dxa"/>
            <w:tcBorders>
              <w:top w:val="single" w:sz="4" w:space="0" w:color="53565A" w:themeColor="accent5"/>
              <w:bottom w:val="single" w:sz="4" w:space="0" w:color="53565A" w:themeColor="accent5"/>
            </w:tcBorders>
            <w:shd w:val="clear" w:color="auto" w:fill="auto"/>
          </w:tcPr>
          <w:p w14:paraId="4AAF905A" w14:textId="77777777" w:rsidR="00D22553" w:rsidRPr="00925213" w:rsidRDefault="00D22553" w:rsidP="002E0D54">
            <w:pPr>
              <w:pStyle w:val="ESTablebody"/>
              <w:rPr>
                <w:rFonts w:ascii="Calibri" w:hAnsi="Calibri" w:cs="Calibri"/>
                <w:sz w:val="18"/>
              </w:rPr>
            </w:pPr>
            <w:r w:rsidRPr="00925213">
              <w:rPr>
                <w:rFonts w:ascii="Calibri" w:hAnsi="Calibri" w:cs="Calibri"/>
                <w:sz w:val="18"/>
              </w:rPr>
              <w:t>24 June 2021</w:t>
            </w:r>
          </w:p>
        </w:tc>
      </w:tr>
    </w:tbl>
    <w:p w14:paraId="0D59FFC2" w14:textId="77777777" w:rsidR="002463DA" w:rsidRPr="00B85B32" w:rsidRDefault="002463DA" w:rsidP="00AD20F5">
      <w:pPr>
        <w:pStyle w:val="ESTableintroheading"/>
        <w:rPr>
          <w:rFonts w:ascii="Calibri" w:hAnsi="Calibri" w:cs="Calibri"/>
        </w:rPr>
        <w:sectPr w:rsidR="002463DA" w:rsidRPr="00B85B32" w:rsidSect="003326DB">
          <w:footerReference w:type="default" r:id="rId16"/>
          <w:pgSz w:w="11900" w:h="16840"/>
          <w:pgMar w:top="1440" w:right="1134" w:bottom="1440" w:left="2835" w:header="708" w:footer="708" w:gutter="0"/>
          <w:pgNumType w:start="4"/>
          <w:cols w:space="708"/>
          <w:docGrid w:linePitch="360"/>
        </w:sectPr>
      </w:pPr>
    </w:p>
    <w:p w14:paraId="0BD5F5F3" w14:textId="77777777" w:rsidR="00C12FA8" w:rsidRPr="00B85B32" w:rsidRDefault="00C12FA8" w:rsidP="00C12FA8">
      <w:pPr>
        <w:pStyle w:val="ESHeading1"/>
        <w:rPr>
          <w:rFonts w:ascii="Calibri" w:hAnsi="Calibri" w:cs="Calibri"/>
        </w:rPr>
      </w:pPr>
      <w:bookmarkStart w:id="3" w:name="_Toc8812155"/>
      <w:bookmarkStart w:id="4" w:name="_Toc78458386"/>
      <w:bookmarkStart w:id="5" w:name="_Hlk80020650"/>
      <w:r w:rsidRPr="00B85B32">
        <w:rPr>
          <w:rFonts w:ascii="Calibri" w:hAnsi="Calibri" w:cs="Calibri"/>
        </w:rPr>
        <w:lastRenderedPageBreak/>
        <w:t>Major research and development</w:t>
      </w:r>
      <w:bookmarkEnd w:id="3"/>
      <w:bookmarkEnd w:id="4"/>
    </w:p>
    <w:p w14:paraId="2A49140A" w14:textId="1475DF31" w:rsidR="00C12FA8" w:rsidRPr="00B85B32" w:rsidRDefault="00DF6209" w:rsidP="00C12FA8">
      <w:pPr>
        <w:rPr>
          <w:rFonts w:ascii="Calibri" w:hAnsi="Calibri" w:cs="Calibri"/>
        </w:rPr>
      </w:pPr>
      <w:r w:rsidRPr="00B85B32">
        <w:rPr>
          <w:rFonts w:ascii="Calibri" w:hAnsi="Calibri" w:cs="Calibri"/>
        </w:rPr>
        <w:t xml:space="preserve">The following </w:t>
      </w:r>
      <w:r w:rsidR="00FB2991" w:rsidRPr="00B85B32">
        <w:rPr>
          <w:rFonts w:ascii="Calibri" w:hAnsi="Calibri" w:cs="Calibri"/>
        </w:rPr>
        <w:t xml:space="preserve">table </w:t>
      </w:r>
      <w:r w:rsidR="00C12FA8" w:rsidRPr="00B85B32">
        <w:rPr>
          <w:rFonts w:ascii="Calibri" w:hAnsi="Calibri" w:cs="Calibri"/>
        </w:rPr>
        <w:t xml:space="preserve">details </w:t>
      </w:r>
      <w:r w:rsidR="0005727D">
        <w:rPr>
          <w:rFonts w:ascii="Calibri" w:hAnsi="Calibri" w:cs="Calibri"/>
        </w:rPr>
        <w:t>the</w:t>
      </w:r>
      <w:r w:rsidR="00C12FA8" w:rsidRPr="00B85B32">
        <w:rPr>
          <w:rFonts w:ascii="Calibri" w:hAnsi="Calibri" w:cs="Calibri"/>
        </w:rPr>
        <w:t xml:space="preserve"> research and development activities undertaken by the Department. </w:t>
      </w:r>
      <w:r w:rsidR="0005727D">
        <w:rPr>
          <w:rFonts w:ascii="Calibri" w:hAnsi="Calibri" w:cs="Calibri"/>
        </w:rPr>
        <w:t xml:space="preserve"> This includes all in</w:t>
      </w:r>
      <w:r w:rsidR="0005727D" w:rsidRPr="0005727D">
        <w:rPr>
          <w:rFonts w:ascii="Calibri" w:hAnsi="Calibri" w:cs="Calibri"/>
        </w:rPr>
        <w:t>ternal and external research and development activities, including reviews</w:t>
      </w:r>
      <w:r w:rsidR="0005727D">
        <w:rPr>
          <w:rFonts w:ascii="Calibri" w:hAnsi="Calibri" w:cs="Calibri"/>
        </w:rPr>
        <w:t>, studies and evaluations that were</w:t>
      </w:r>
      <w:r w:rsidR="0005727D" w:rsidRPr="0005727D">
        <w:rPr>
          <w:rFonts w:ascii="Calibri" w:hAnsi="Calibri" w:cs="Calibri"/>
        </w:rPr>
        <w:t xml:space="preserve"> established, </w:t>
      </w:r>
      <w:proofErr w:type="gramStart"/>
      <w:r w:rsidR="0005727D" w:rsidRPr="0005727D">
        <w:rPr>
          <w:rFonts w:ascii="Calibri" w:hAnsi="Calibri" w:cs="Calibri"/>
        </w:rPr>
        <w:t>commenced</w:t>
      </w:r>
      <w:proofErr w:type="gramEnd"/>
      <w:r w:rsidR="0005727D" w:rsidRPr="0005727D">
        <w:rPr>
          <w:rFonts w:ascii="Calibri" w:hAnsi="Calibri" w:cs="Calibri"/>
        </w:rPr>
        <w:t xml:space="preserve"> or completed by or on behalf of the Department in 2020–21</w:t>
      </w:r>
      <w:r w:rsidR="0005727D">
        <w:rPr>
          <w:rFonts w:ascii="Calibri" w:hAnsi="Calibri" w:cs="Calibri"/>
        </w:rPr>
        <w:t>.</w:t>
      </w:r>
    </w:p>
    <w:p w14:paraId="50929647" w14:textId="5297F411" w:rsidR="00C12FA8" w:rsidRPr="00B85B32" w:rsidRDefault="00C12FA8" w:rsidP="00C12FA8">
      <w:pPr>
        <w:pStyle w:val="ESTableintroheading"/>
        <w:rPr>
          <w:rFonts w:ascii="Calibri" w:hAnsi="Calibri" w:cs="Calibri"/>
        </w:rPr>
      </w:pPr>
      <w:r w:rsidRPr="00B85B32">
        <w:rPr>
          <w:rFonts w:ascii="Calibri" w:hAnsi="Calibri" w:cs="Calibri"/>
        </w:rPr>
        <w:t>Major research and development</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Description w:val="Columns: Major research and development, Conducted by, Purpose"/>
      </w:tblPr>
      <w:tblGrid>
        <w:gridCol w:w="1696"/>
        <w:gridCol w:w="1134"/>
        <w:gridCol w:w="2127"/>
        <w:gridCol w:w="2409"/>
        <w:gridCol w:w="1134"/>
        <w:gridCol w:w="1701"/>
        <w:gridCol w:w="1134"/>
        <w:gridCol w:w="993"/>
        <w:gridCol w:w="1622"/>
      </w:tblGrid>
      <w:tr w:rsidR="00951BB7" w:rsidRPr="00925213" w14:paraId="4A3D82B2" w14:textId="77777777" w:rsidTr="0056637C">
        <w:trPr>
          <w:cantSplit/>
          <w:trHeight w:val="130"/>
          <w:tblHeader/>
        </w:trPr>
        <w:tc>
          <w:tcPr>
            <w:tcW w:w="1696" w:type="dxa"/>
            <w:tcBorders>
              <w:bottom w:val="single" w:sz="4" w:space="0" w:color="FFFFFF" w:themeColor="background1"/>
            </w:tcBorders>
            <w:shd w:val="clear" w:color="auto" w:fill="AF272F"/>
          </w:tcPr>
          <w:p w14:paraId="70E71091" w14:textId="77777777" w:rsidR="00951BB7" w:rsidRPr="00925213" w:rsidRDefault="00951BB7" w:rsidP="002463DA">
            <w:pPr>
              <w:pStyle w:val="ESTableheadingwhite"/>
              <w:rPr>
                <w:rFonts w:ascii="Calibri" w:hAnsi="Calibri" w:cs="Calibri"/>
                <w:sz w:val="18"/>
              </w:rPr>
            </w:pPr>
            <w:bookmarkStart w:id="6" w:name="_Hlk77849224"/>
            <w:bookmarkStart w:id="7" w:name="_Hlk77849250"/>
            <w:r w:rsidRPr="00925213">
              <w:rPr>
                <w:rFonts w:ascii="Calibri" w:hAnsi="Calibri" w:cs="Calibri"/>
                <w:sz w:val="16"/>
                <w:szCs w:val="16"/>
              </w:rPr>
              <w:t>Name of the research and development (portfolio(s) and output(s))</w:t>
            </w:r>
          </w:p>
        </w:tc>
        <w:tc>
          <w:tcPr>
            <w:tcW w:w="1134" w:type="dxa"/>
            <w:tcBorders>
              <w:bottom w:val="single" w:sz="4" w:space="0" w:color="FFFFFF" w:themeColor="background1"/>
            </w:tcBorders>
            <w:shd w:val="clear" w:color="auto" w:fill="AF272F" w:themeFill="accent4"/>
          </w:tcPr>
          <w:p w14:paraId="6B7379F1" w14:textId="77777777" w:rsidR="00951BB7" w:rsidRPr="00925213" w:rsidRDefault="00951BB7" w:rsidP="002463DA">
            <w:pPr>
              <w:pStyle w:val="ESTableheadingwhite"/>
              <w:rPr>
                <w:rFonts w:ascii="Calibri" w:hAnsi="Calibri" w:cs="Calibri"/>
                <w:sz w:val="18"/>
              </w:rPr>
            </w:pPr>
            <w:r w:rsidRPr="00925213">
              <w:rPr>
                <w:rFonts w:ascii="Calibri" w:hAnsi="Calibri" w:cs="Calibri"/>
                <w:sz w:val="16"/>
                <w:szCs w:val="16"/>
              </w:rPr>
              <w:t>Conducted by</w:t>
            </w:r>
          </w:p>
        </w:tc>
        <w:tc>
          <w:tcPr>
            <w:tcW w:w="2127" w:type="dxa"/>
            <w:tcBorders>
              <w:bottom w:val="single" w:sz="4" w:space="0" w:color="FFFFFF" w:themeColor="background1"/>
            </w:tcBorders>
            <w:shd w:val="clear" w:color="auto" w:fill="AF272F"/>
          </w:tcPr>
          <w:p w14:paraId="481A08B6" w14:textId="77777777" w:rsidR="00951BB7" w:rsidRPr="00925213" w:rsidRDefault="00951BB7" w:rsidP="002463DA">
            <w:pPr>
              <w:pStyle w:val="ESTableheadingwhite"/>
              <w:rPr>
                <w:rFonts w:ascii="Calibri" w:hAnsi="Calibri" w:cs="Calibri"/>
                <w:sz w:val="18"/>
              </w:rPr>
            </w:pPr>
            <w:r w:rsidRPr="00925213">
              <w:rPr>
                <w:rFonts w:ascii="Calibri" w:hAnsi="Calibri" w:cs="Calibri"/>
                <w:sz w:val="16"/>
                <w:szCs w:val="16"/>
              </w:rPr>
              <w:t>Purpose</w:t>
            </w:r>
          </w:p>
        </w:tc>
        <w:tc>
          <w:tcPr>
            <w:tcW w:w="2409" w:type="dxa"/>
            <w:tcBorders>
              <w:bottom w:val="single" w:sz="4" w:space="0" w:color="FFFFFF" w:themeColor="background1"/>
            </w:tcBorders>
            <w:shd w:val="clear" w:color="auto" w:fill="AF272F" w:themeFill="accent4"/>
          </w:tcPr>
          <w:p w14:paraId="29CD1931" w14:textId="77777777" w:rsidR="00951BB7" w:rsidRPr="00925213" w:rsidRDefault="00951BB7" w:rsidP="002463DA">
            <w:pPr>
              <w:pStyle w:val="ESTableheadingwhite"/>
              <w:rPr>
                <w:rFonts w:ascii="Calibri" w:hAnsi="Calibri" w:cs="Calibri"/>
                <w:sz w:val="18"/>
              </w:rPr>
            </w:pPr>
            <w:r w:rsidRPr="00925213">
              <w:rPr>
                <w:rFonts w:ascii="Calibri" w:hAnsi="Calibri" w:cs="Calibri"/>
                <w:sz w:val="16"/>
                <w:szCs w:val="16"/>
              </w:rPr>
              <w:t>Terms of reference/scope</w:t>
            </w:r>
          </w:p>
        </w:tc>
        <w:tc>
          <w:tcPr>
            <w:tcW w:w="1134" w:type="dxa"/>
            <w:tcBorders>
              <w:bottom w:val="single" w:sz="4" w:space="0" w:color="FFFFFF" w:themeColor="background1"/>
            </w:tcBorders>
            <w:shd w:val="clear" w:color="auto" w:fill="AF272F" w:themeFill="accent4"/>
          </w:tcPr>
          <w:p w14:paraId="3C4C35EE" w14:textId="77777777" w:rsidR="00951BB7" w:rsidRPr="00925213" w:rsidRDefault="00951BB7" w:rsidP="002463DA">
            <w:pPr>
              <w:pStyle w:val="ESTableheadingwhite"/>
              <w:rPr>
                <w:rFonts w:ascii="Calibri" w:hAnsi="Calibri" w:cs="Calibri"/>
                <w:sz w:val="18"/>
              </w:rPr>
            </w:pPr>
            <w:r w:rsidRPr="00925213">
              <w:rPr>
                <w:rFonts w:ascii="Calibri" w:hAnsi="Calibri" w:cs="Calibri"/>
                <w:sz w:val="16"/>
                <w:szCs w:val="16"/>
              </w:rPr>
              <w:t>Timeline</w:t>
            </w:r>
          </w:p>
        </w:tc>
        <w:tc>
          <w:tcPr>
            <w:tcW w:w="1701" w:type="dxa"/>
            <w:tcBorders>
              <w:bottom w:val="single" w:sz="4" w:space="0" w:color="FFFFFF" w:themeColor="background1"/>
            </w:tcBorders>
            <w:shd w:val="clear" w:color="auto" w:fill="AF272F" w:themeFill="accent4"/>
          </w:tcPr>
          <w:p w14:paraId="52BDD017" w14:textId="77777777" w:rsidR="00951BB7" w:rsidRPr="00925213" w:rsidRDefault="00951BB7" w:rsidP="002463DA">
            <w:pPr>
              <w:pStyle w:val="ESTableheadingwhite"/>
              <w:rPr>
                <w:rFonts w:ascii="Calibri" w:hAnsi="Calibri" w:cs="Calibri"/>
                <w:sz w:val="18"/>
              </w:rPr>
            </w:pPr>
            <w:r w:rsidRPr="00925213">
              <w:rPr>
                <w:rFonts w:ascii="Calibri" w:hAnsi="Calibri" w:cs="Calibri"/>
                <w:sz w:val="16"/>
                <w:szCs w:val="16"/>
              </w:rPr>
              <w:t xml:space="preserve">Anticipated </w:t>
            </w:r>
            <w:r>
              <w:rPr>
                <w:rFonts w:ascii="Calibri" w:hAnsi="Calibri" w:cs="Calibri"/>
                <w:sz w:val="16"/>
                <w:szCs w:val="16"/>
              </w:rPr>
              <w:t>o</w:t>
            </w:r>
            <w:r w:rsidRPr="00925213">
              <w:rPr>
                <w:rFonts w:ascii="Calibri" w:hAnsi="Calibri" w:cs="Calibri"/>
                <w:sz w:val="16"/>
                <w:szCs w:val="16"/>
              </w:rPr>
              <w:t>utcome</w:t>
            </w:r>
          </w:p>
        </w:tc>
        <w:tc>
          <w:tcPr>
            <w:tcW w:w="1134" w:type="dxa"/>
            <w:tcBorders>
              <w:bottom w:val="single" w:sz="4" w:space="0" w:color="FFFFFF" w:themeColor="background1"/>
            </w:tcBorders>
            <w:shd w:val="clear" w:color="auto" w:fill="AF272F" w:themeFill="accent4"/>
          </w:tcPr>
          <w:p w14:paraId="56E4DA05" w14:textId="77777777" w:rsidR="00951BB7" w:rsidRPr="00925213" w:rsidRDefault="00951BB7" w:rsidP="002463DA">
            <w:pPr>
              <w:pStyle w:val="ESTableheadingwhite"/>
              <w:rPr>
                <w:rFonts w:ascii="Calibri" w:hAnsi="Calibri" w:cs="Calibri"/>
                <w:b w:val="0"/>
                <w:bCs/>
                <w:sz w:val="18"/>
                <w:szCs w:val="20"/>
              </w:rPr>
            </w:pPr>
            <w:r w:rsidRPr="00925213">
              <w:rPr>
                <w:rFonts w:ascii="Calibri" w:hAnsi="Calibri" w:cs="Calibri"/>
                <w:sz w:val="16"/>
                <w:szCs w:val="16"/>
              </w:rPr>
              <w:t>Estimated cost ($)</w:t>
            </w:r>
          </w:p>
        </w:tc>
        <w:tc>
          <w:tcPr>
            <w:tcW w:w="993" w:type="dxa"/>
            <w:tcBorders>
              <w:bottom w:val="single" w:sz="4" w:space="0" w:color="FFFFFF" w:themeColor="background1"/>
            </w:tcBorders>
            <w:shd w:val="clear" w:color="auto" w:fill="AF272F" w:themeFill="accent4"/>
          </w:tcPr>
          <w:p w14:paraId="248CDF97" w14:textId="77777777" w:rsidR="00951BB7" w:rsidRPr="00925213" w:rsidRDefault="00951BB7" w:rsidP="002463DA">
            <w:pPr>
              <w:rPr>
                <w:rFonts w:ascii="Calibri" w:hAnsi="Calibri" w:cs="Calibri"/>
                <w:b/>
                <w:bCs/>
                <w:color w:val="FFFFFF" w:themeColor="background1"/>
                <w:sz w:val="18"/>
                <w:szCs w:val="20"/>
                <w:lang w:val="en-US"/>
              </w:rPr>
            </w:pPr>
            <w:r w:rsidRPr="00925213">
              <w:rPr>
                <w:rFonts w:ascii="Calibri" w:hAnsi="Calibri" w:cs="Calibri"/>
                <w:b/>
                <w:bCs/>
                <w:color w:val="FFFFFF" w:themeColor="background1"/>
                <w:sz w:val="16"/>
                <w:szCs w:val="16"/>
                <w:lang w:val="en-US"/>
              </w:rPr>
              <w:t>Final cost if finished ($)</w:t>
            </w:r>
          </w:p>
        </w:tc>
        <w:tc>
          <w:tcPr>
            <w:tcW w:w="1622" w:type="dxa"/>
            <w:tcBorders>
              <w:bottom w:val="single" w:sz="4" w:space="0" w:color="FFFFFF" w:themeColor="background1"/>
            </w:tcBorders>
            <w:shd w:val="clear" w:color="auto" w:fill="AF272F" w:themeFill="accent4"/>
          </w:tcPr>
          <w:p w14:paraId="4B6A5B4D" w14:textId="77777777" w:rsidR="00951BB7" w:rsidRPr="00925213" w:rsidRDefault="00951BB7" w:rsidP="002463DA">
            <w:pPr>
              <w:rPr>
                <w:rFonts w:ascii="Calibri" w:hAnsi="Calibri" w:cs="Calibri"/>
                <w:b/>
                <w:bCs/>
                <w:color w:val="FFFFFF" w:themeColor="background1"/>
                <w:sz w:val="18"/>
                <w:szCs w:val="20"/>
                <w:lang w:val="en-US"/>
              </w:rPr>
            </w:pPr>
            <w:r w:rsidRPr="00925213">
              <w:rPr>
                <w:rFonts w:ascii="Calibri" w:hAnsi="Calibri" w:cs="Calibri"/>
                <w:b/>
                <w:bCs/>
                <w:color w:val="FFFFFF" w:themeColor="background1"/>
                <w:sz w:val="16"/>
                <w:szCs w:val="16"/>
                <w:lang w:val="en-US"/>
              </w:rPr>
              <w:t>Publicly available (Y/N) and URL</w:t>
            </w:r>
          </w:p>
        </w:tc>
      </w:tr>
      <w:bookmarkEnd w:id="6"/>
      <w:tr w:rsidR="00951BB7" w:rsidRPr="00925213" w14:paraId="0790C858" w14:textId="77777777" w:rsidTr="00383663">
        <w:trPr>
          <w:cantSplit/>
          <w:trHeight w:val="628"/>
        </w:trPr>
        <w:tc>
          <w:tcPr>
            <w:tcW w:w="1696" w:type="dxa"/>
            <w:tcBorders>
              <w:top w:val="single" w:sz="4" w:space="0" w:color="auto"/>
              <w:bottom w:val="single" w:sz="4" w:space="0" w:color="auto"/>
            </w:tcBorders>
            <w:shd w:val="clear" w:color="auto" w:fill="auto"/>
          </w:tcPr>
          <w:p w14:paraId="34CBCBD1" w14:textId="77777777" w:rsidR="00951BB7" w:rsidRPr="00920949" w:rsidRDefault="00951BB7" w:rsidP="00BB03D3">
            <w:pPr>
              <w:pStyle w:val="ESTablebody"/>
              <w:rPr>
                <w:rFonts w:ascii="Calibri" w:hAnsi="Calibri" w:cs="Calibri"/>
                <w:sz w:val="16"/>
                <w:szCs w:val="16"/>
              </w:rPr>
            </w:pPr>
            <w:r w:rsidRPr="00920949">
              <w:rPr>
                <w:rFonts w:ascii="Calibri" w:hAnsi="Calibri" w:cs="Calibri"/>
                <w:sz w:val="16"/>
                <w:szCs w:val="16"/>
              </w:rPr>
              <w:t>2020 support to progress design of the tiered functional needs</w:t>
            </w:r>
            <w:r w:rsidRPr="00920949">
              <w:rPr>
                <w:rFonts w:ascii="Calibri" w:hAnsi="Calibri" w:cs="Calibri"/>
                <w:sz w:val="16"/>
                <w:szCs w:val="16"/>
              </w:rPr>
              <w:noBreakHyphen/>
              <w:t>based model</w:t>
            </w:r>
          </w:p>
          <w:p w14:paraId="34E314BD" w14:textId="56B8409E" w:rsidR="00951BB7" w:rsidRPr="00920949" w:rsidRDefault="00951BB7" w:rsidP="00BB03D3">
            <w:pPr>
              <w:pStyle w:val="ESTablebody"/>
              <w:rPr>
                <w:rFonts w:ascii="Calibri" w:hAnsi="Calibri" w:cs="Calibri"/>
                <w:sz w:val="16"/>
                <w:szCs w:val="16"/>
              </w:rPr>
            </w:pPr>
            <w:r>
              <w:rPr>
                <w:rFonts w:ascii="Calibri" w:hAnsi="Calibri" w:cs="Calibri"/>
                <w:sz w:val="16"/>
                <w:szCs w:val="16"/>
              </w:rPr>
              <w:t>(</w:t>
            </w:r>
            <w:r w:rsidRPr="00920949">
              <w:rPr>
                <w:rFonts w:ascii="Calibri" w:hAnsi="Calibri" w:cs="Calibri"/>
                <w:sz w:val="16"/>
                <w:szCs w:val="16"/>
              </w:rPr>
              <w:t>Education portfolio, Support for students with disabilities</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069F67BD" w14:textId="77777777" w:rsidR="00951BB7" w:rsidRPr="00920949" w:rsidRDefault="00951BB7" w:rsidP="00375B4C">
            <w:pPr>
              <w:pStyle w:val="ESTablebody"/>
              <w:rPr>
                <w:rFonts w:ascii="Calibri" w:hAnsi="Calibri" w:cs="Calibri"/>
                <w:sz w:val="16"/>
                <w:szCs w:val="16"/>
              </w:rPr>
            </w:pPr>
            <w:r w:rsidRPr="00920949">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2C5B5F4E" w14:textId="77777777" w:rsidR="00951BB7" w:rsidRPr="00920949" w:rsidRDefault="00951BB7" w:rsidP="00375B4C">
            <w:pPr>
              <w:pStyle w:val="ESTablebody"/>
              <w:rPr>
                <w:rFonts w:ascii="Calibri" w:hAnsi="Calibri" w:cs="Calibri"/>
                <w:sz w:val="16"/>
                <w:szCs w:val="16"/>
              </w:rPr>
            </w:pPr>
            <w:r w:rsidRPr="00920949">
              <w:rPr>
                <w:rFonts w:ascii="Calibri" w:hAnsi="Calibri" w:cs="Calibri"/>
                <w:sz w:val="16"/>
                <w:szCs w:val="16"/>
              </w:rPr>
              <w:t xml:space="preserve">To provide input into the design and </w:t>
            </w:r>
            <w:r w:rsidRPr="00920949">
              <w:rPr>
                <w:rFonts w:ascii="Calibri" w:hAnsi="Calibri" w:cs="Calibri"/>
                <w:sz w:val="16"/>
                <w:szCs w:val="16"/>
                <w:lang w:val="en-AU"/>
              </w:rPr>
              <w:t>operationalisation</w:t>
            </w:r>
            <w:r w:rsidRPr="00920949">
              <w:rPr>
                <w:rFonts w:ascii="Calibri" w:hAnsi="Calibri" w:cs="Calibri"/>
                <w:sz w:val="16"/>
                <w:szCs w:val="16"/>
              </w:rPr>
              <w:t xml:space="preserve"> of the Tier 2 school-level funding model for students with disability in Victorian government schools.</w:t>
            </w:r>
          </w:p>
        </w:tc>
        <w:tc>
          <w:tcPr>
            <w:tcW w:w="2409" w:type="dxa"/>
            <w:tcBorders>
              <w:top w:val="single" w:sz="4" w:space="0" w:color="auto"/>
              <w:bottom w:val="single" w:sz="4" w:space="0" w:color="auto"/>
            </w:tcBorders>
          </w:tcPr>
          <w:p w14:paraId="4863FC2B" w14:textId="77777777" w:rsidR="00951BB7" w:rsidRPr="00920949" w:rsidRDefault="00951BB7" w:rsidP="00375B4C">
            <w:pPr>
              <w:pStyle w:val="ESTablebody"/>
              <w:rPr>
                <w:rFonts w:ascii="Calibri" w:hAnsi="Calibri" w:cs="Calibri"/>
                <w:sz w:val="16"/>
                <w:szCs w:val="16"/>
              </w:rPr>
            </w:pPr>
            <w:r w:rsidRPr="00920949">
              <w:rPr>
                <w:rFonts w:ascii="Calibri" w:hAnsi="Calibri" w:cs="Calibri"/>
                <w:sz w:val="16"/>
                <w:szCs w:val="16"/>
              </w:rPr>
              <w:t xml:space="preserve">To provide an overview of three potential Tier 2 funding prototypes along with their preliminary results including differences in funding across school types, school size, </w:t>
            </w:r>
            <w:proofErr w:type="gramStart"/>
            <w:r w:rsidRPr="00920949">
              <w:rPr>
                <w:rFonts w:ascii="Calibri" w:hAnsi="Calibri" w:cs="Calibri"/>
                <w:sz w:val="16"/>
                <w:szCs w:val="16"/>
              </w:rPr>
              <w:t xml:space="preserve">and in comparison </w:t>
            </w:r>
            <w:proofErr w:type="gramEnd"/>
            <w:r w:rsidRPr="00920949">
              <w:rPr>
                <w:rFonts w:ascii="Calibri" w:hAnsi="Calibri" w:cs="Calibri"/>
                <w:sz w:val="16"/>
                <w:szCs w:val="16"/>
              </w:rPr>
              <w:t xml:space="preserve">to current funding. </w:t>
            </w:r>
          </w:p>
        </w:tc>
        <w:tc>
          <w:tcPr>
            <w:tcW w:w="1134" w:type="dxa"/>
            <w:tcBorders>
              <w:top w:val="single" w:sz="4" w:space="0" w:color="auto"/>
              <w:bottom w:val="single" w:sz="4" w:space="0" w:color="auto"/>
            </w:tcBorders>
          </w:tcPr>
          <w:p w14:paraId="3ECDC660" w14:textId="77777777" w:rsidR="00951BB7" w:rsidRPr="00920949" w:rsidRDefault="00951BB7" w:rsidP="00375B4C">
            <w:pPr>
              <w:pStyle w:val="ESTablebody"/>
              <w:rPr>
                <w:rFonts w:ascii="Calibri" w:hAnsi="Calibri" w:cs="Calibri"/>
                <w:sz w:val="16"/>
                <w:szCs w:val="16"/>
              </w:rPr>
            </w:pPr>
            <w:proofErr w:type="gramStart"/>
            <w:r w:rsidRPr="00920949">
              <w:rPr>
                <w:rFonts w:ascii="Calibri" w:hAnsi="Calibri" w:cs="Calibri"/>
                <w:sz w:val="16"/>
                <w:szCs w:val="16"/>
              </w:rPr>
              <w:t>September  –</w:t>
            </w:r>
            <w:proofErr w:type="gramEnd"/>
            <w:r w:rsidRPr="00920949">
              <w:rPr>
                <w:rFonts w:ascii="Calibri" w:hAnsi="Calibri" w:cs="Calibri"/>
                <w:sz w:val="16"/>
                <w:szCs w:val="16"/>
              </w:rPr>
              <w:t>November 2020</w:t>
            </w:r>
          </w:p>
        </w:tc>
        <w:tc>
          <w:tcPr>
            <w:tcW w:w="1701" w:type="dxa"/>
            <w:tcBorders>
              <w:top w:val="single" w:sz="4" w:space="0" w:color="auto"/>
              <w:bottom w:val="single" w:sz="4" w:space="0" w:color="auto"/>
            </w:tcBorders>
          </w:tcPr>
          <w:p w14:paraId="77403906" w14:textId="77777777" w:rsidR="00951BB7" w:rsidRPr="00920949" w:rsidRDefault="00951BB7" w:rsidP="00375B4C">
            <w:pPr>
              <w:pStyle w:val="ESTablebody"/>
              <w:rPr>
                <w:rFonts w:ascii="Calibri" w:hAnsi="Calibri" w:cs="Calibri"/>
                <w:sz w:val="16"/>
                <w:szCs w:val="16"/>
              </w:rPr>
            </w:pPr>
            <w:r w:rsidRPr="00920949">
              <w:rPr>
                <w:rFonts w:ascii="Calibri" w:hAnsi="Calibri" w:cs="Calibri"/>
                <w:sz w:val="16"/>
                <w:szCs w:val="16"/>
              </w:rPr>
              <w:t xml:space="preserve">To provide the Department with an analysis and comparison of various funding models to allocate Tier 2 school-level funding. </w:t>
            </w:r>
          </w:p>
        </w:tc>
        <w:tc>
          <w:tcPr>
            <w:tcW w:w="1134" w:type="dxa"/>
            <w:tcBorders>
              <w:top w:val="single" w:sz="4" w:space="0" w:color="auto"/>
              <w:bottom w:val="single" w:sz="4" w:space="0" w:color="auto"/>
            </w:tcBorders>
          </w:tcPr>
          <w:p w14:paraId="75D88773" w14:textId="77777777" w:rsidR="00951BB7" w:rsidRPr="00920949" w:rsidRDefault="00951BB7" w:rsidP="00375B4C">
            <w:pPr>
              <w:pStyle w:val="ESTablebody"/>
              <w:jc w:val="right"/>
              <w:rPr>
                <w:rFonts w:ascii="Calibri" w:hAnsi="Calibri" w:cs="Calibri"/>
                <w:sz w:val="16"/>
                <w:szCs w:val="16"/>
              </w:rPr>
            </w:pPr>
            <w:r w:rsidRPr="00920949">
              <w:rPr>
                <w:rFonts w:ascii="Calibri" w:hAnsi="Calibri" w:cs="Calibri"/>
                <w:sz w:val="16"/>
                <w:szCs w:val="16"/>
              </w:rPr>
              <w:t>36,000</w:t>
            </w:r>
          </w:p>
        </w:tc>
        <w:tc>
          <w:tcPr>
            <w:tcW w:w="993" w:type="dxa"/>
            <w:tcBorders>
              <w:top w:val="single" w:sz="4" w:space="0" w:color="auto"/>
              <w:bottom w:val="single" w:sz="4" w:space="0" w:color="auto"/>
            </w:tcBorders>
          </w:tcPr>
          <w:p w14:paraId="0ED132C1" w14:textId="77777777" w:rsidR="00951BB7" w:rsidRPr="00920949" w:rsidRDefault="00951BB7" w:rsidP="00375B4C">
            <w:pPr>
              <w:pStyle w:val="ESTablebody"/>
              <w:jc w:val="right"/>
              <w:rPr>
                <w:rFonts w:ascii="Calibri" w:hAnsi="Calibri" w:cs="Calibri"/>
                <w:sz w:val="16"/>
                <w:szCs w:val="16"/>
              </w:rPr>
            </w:pPr>
            <w:r w:rsidRPr="00920949">
              <w:rPr>
                <w:rFonts w:ascii="Calibri" w:hAnsi="Calibri" w:cs="Calibri"/>
                <w:sz w:val="16"/>
                <w:szCs w:val="16"/>
              </w:rPr>
              <w:t>36,000</w:t>
            </w:r>
          </w:p>
        </w:tc>
        <w:tc>
          <w:tcPr>
            <w:tcW w:w="1622" w:type="dxa"/>
            <w:tcBorders>
              <w:top w:val="single" w:sz="4" w:space="0" w:color="auto"/>
              <w:bottom w:val="single" w:sz="4" w:space="0" w:color="auto"/>
            </w:tcBorders>
          </w:tcPr>
          <w:p w14:paraId="3CEC1FFF" w14:textId="323C5459" w:rsidR="00FB0926" w:rsidRPr="00FB0926" w:rsidRDefault="00951BB7" w:rsidP="00FB0926">
            <w:pPr>
              <w:pStyle w:val="ESTablebody"/>
              <w:jc w:val="right"/>
              <w:rPr>
                <w:rFonts w:ascii="Calibri" w:eastAsiaTheme="minorHAnsi" w:hAnsi="Calibri" w:cs="Calibri"/>
                <w:sz w:val="16"/>
                <w:szCs w:val="16"/>
                <w:lang w:val="en-GB"/>
              </w:rPr>
            </w:pPr>
            <w:r w:rsidRPr="00920949">
              <w:rPr>
                <w:rFonts w:ascii="Calibri" w:hAnsi="Calibri" w:cs="Calibri"/>
                <w:sz w:val="16"/>
                <w:szCs w:val="16"/>
              </w:rPr>
              <w:t>N</w:t>
            </w:r>
          </w:p>
          <w:p w14:paraId="597E8A90" w14:textId="77777777" w:rsidR="00FB0926" w:rsidRDefault="00FB0926" w:rsidP="00FB0926">
            <w:pPr>
              <w:rPr>
                <w:rFonts w:ascii="Calibri" w:hAnsi="Calibri" w:cs="Calibri"/>
                <w:sz w:val="16"/>
                <w:szCs w:val="16"/>
              </w:rPr>
            </w:pPr>
          </w:p>
          <w:p w14:paraId="0A94BFDA" w14:textId="49944DEE" w:rsidR="00FB0926" w:rsidRPr="00FB0926" w:rsidRDefault="00FB0926" w:rsidP="00FB0926">
            <w:pPr>
              <w:rPr>
                <w:lang w:val="en-US"/>
              </w:rPr>
            </w:pPr>
          </w:p>
        </w:tc>
      </w:tr>
      <w:tr w:rsidR="00951BB7" w:rsidRPr="00925213" w14:paraId="1DEB00C7" w14:textId="77777777" w:rsidTr="00FB0926">
        <w:trPr>
          <w:cantSplit/>
          <w:trHeight w:val="2311"/>
        </w:trPr>
        <w:tc>
          <w:tcPr>
            <w:tcW w:w="1696" w:type="dxa"/>
            <w:tcBorders>
              <w:top w:val="single" w:sz="4" w:space="0" w:color="auto"/>
              <w:bottom w:val="single" w:sz="4" w:space="0" w:color="auto"/>
            </w:tcBorders>
            <w:shd w:val="clear" w:color="auto" w:fill="auto"/>
          </w:tcPr>
          <w:p w14:paraId="586289A5" w14:textId="77777777" w:rsidR="00951BB7" w:rsidRDefault="00951BB7" w:rsidP="00BB03D3">
            <w:pPr>
              <w:pStyle w:val="ESTablebody"/>
              <w:rPr>
                <w:rFonts w:ascii="Calibri" w:hAnsi="Calibri" w:cs="Calibri"/>
                <w:sz w:val="16"/>
                <w:szCs w:val="16"/>
              </w:rPr>
            </w:pPr>
            <w:r w:rsidRPr="00920949">
              <w:rPr>
                <w:rFonts w:ascii="Calibri" w:hAnsi="Calibri" w:cs="Calibri"/>
                <w:sz w:val="16"/>
                <w:szCs w:val="16"/>
              </w:rPr>
              <w:t>2021 support to progress the development of a Tier 2 school-level funding model</w:t>
            </w:r>
          </w:p>
          <w:p w14:paraId="57476930" w14:textId="77777777" w:rsidR="00951BB7" w:rsidRPr="00920949" w:rsidRDefault="00951BB7" w:rsidP="00BB03D3">
            <w:pPr>
              <w:pStyle w:val="ESTablebody"/>
              <w:rPr>
                <w:rFonts w:ascii="Calibri" w:hAnsi="Calibri" w:cs="Calibri"/>
                <w:sz w:val="16"/>
                <w:szCs w:val="16"/>
              </w:rPr>
            </w:pPr>
            <w:r>
              <w:rPr>
                <w:rFonts w:ascii="Calibri" w:hAnsi="Calibri" w:cs="Calibri"/>
                <w:sz w:val="16"/>
                <w:szCs w:val="16"/>
              </w:rPr>
              <w:t>(</w:t>
            </w:r>
            <w:r w:rsidRPr="00920949">
              <w:rPr>
                <w:rFonts w:ascii="Calibri" w:hAnsi="Calibri" w:cs="Calibri"/>
                <w:sz w:val="16"/>
                <w:szCs w:val="16"/>
              </w:rPr>
              <w:t>Education portfolio, Support for students with disabilities</w:t>
            </w:r>
            <w:r>
              <w:rPr>
                <w:rFonts w:ascii="Calibri" w:hAnsi="Calibri" w:cs="Calibri"/>
                <w:sz w:val="16"/>
                <w:szCs w:val="16"/>
              </w:rPr>
              <w:t>)</w:t>
            </w:r>
          </w:p>
          <w:p w14:paraId="699B4601" w14:textId="77777777" w:rsidR="00951BB7" w:rsidRPr="00920949" w:rsidRDefault="00951BB7" w:rsidP="00BB03D3">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04D97FF7" w14:textId="77777777" w:rsidR="00951BB7" w:rsidRPr="00920949" w:rsidRDefault="00951BB7" w:rsidP="00375B4C">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270ED3EA"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support the development of the Tier 2 school-level funding model for students with disability in Victorian government schools.</w:t>
            </w:r>
          </w:p>
        </w:tc>
        <w:tc>
          <w:tcPr>
            <w:tcW w:w="2409" w:type="dxa"/>
            <w:tcBorders>
              <w:top w:val="single" w:sz="4" w:space="0" w:color="auto"/>
              <w:bottom w:val="single" w:sz="4" w:space="0" w:color="auto"/>
            </w:tcBorders>
          </w:tcPr>
          <w:p w14:paraId="1F0742AC" w14:textId="41B69B1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provide the final specification of the Tier 2 base funding component, the approach to tapering the scale of the Tier 2 per student funding </w:t>
            </w:r>
            <w:proofErr w:type="gramStart"/>
            <w:r w:rsidRPr="00355385">
              <w:rPr>
                <w:rFonts w:ascii="Calibri" w:hAnsi="Calibri" w:cs="Calibri"/>
                <w:sz w:val="16"/>
                <w:szCs w:val="16"/>
              </w:rPr>
              <w:t>rate, and</w:t>
            </w:r>
            <w:proofErr w:type="gramEnd"/>
            <w:r w:rsidRPr="00355385">
              <w:rPr>
                <w:rFonts w:ascii="Calibri" w:hAnsi="Calibri" w:cs="Calibri"/>
                <w:sz w:val="16"/>
                <w:szCs w:val="16"/>
              </w:rPr>
              <w:t xml:space="preserve"> setting of parameters around both the use of Nationally Consistent Collection of Data or other school-based indicators and to limit variability of school funding year-on-year.</w:t>
            </w:r>
          </w:p>
        </w:tc>
        <w:tc>
          <w:tcPr>
            <w:tcW w:w="1134" w:type="dxa"/>
            <w:tcBorders>
              <w:top w:val="single" w:sz="4" w:space="0" w:color="auto"/>
              <w:bottom w:val="single" w:sz="4" w:space="0" w:color="auto"/>
            </w:tcBorders>
          </w:tcPr>
          <w:p w14:paraId="749595AD" w14:textId="77777777" w:rsidR="00951BB7" w:rsidRPr="00920949" w:rsidRDefault="00951BB7" w:rsidP="00375B4C">
            <w:pPr>
              <w:pStyle w:val="ESTablebody"/>
              <w:rPr>
                <w:rFonts w:ascii="Calibri" w:hAnsi="Calibri" w:cs="Calibri"/>
                <w:sz w:val="16"/>
                <w:szCs w:val="16"/>
              </w:rPr>
            </w:pPr>
            <w:r w:rsidRPr="00355385">
              <w:rPr>
                <w:rFonts w:ascii="Calibri" w:hAnsi="Calibri" w:cs="Calibri"/>
                <w:sz w:val="16"/>
                <w:szCs w:val="16"/>
              </w:rPr>
              <w:t>February – May 2021</w:t>
            </w:r>
          </w:p>
        </w:tc>
        <w:tc>
          <w:tcPr>
            <w:tcW w:w="1701" w:type="dxa"/>
            <w:tcBorders>
              <w:top w:val="single" w:sz="4" w:space="0" w:color="auto"/>
              <w:bottom w:val="single" w:sz="4" w:space="0" w:color="auto"/>
            </w:tcBorders>
          </w:tcPr>
          <w:p w14:paraId="601959D2" w14:textId="38143DCF" w:rsidR="00951BB7" w:rsidRPr="00920949" w:rsidRDefault="00951BB7" w:rsidP="00375B4C">
            <w:pPr>
              <w:pStyle w:val="ESTablebody"/>
              <w:rPr>
                <w:rFonts w:ascii="Calibri" w:hAnsi="Calibri" w:cs="Calibri"/>
                <w:sz w:val="16"/>
                <w:szCs w:val="16"/>
              </w:rPr>
            </w:pPr>
            <w:r w:rsidRPr="00355385">
              <w:rPr>
                <w:rFonts w:ascii="Calibri" w:hAnsi="Calibri" w:cs="Calibri"/>
                <w:sz w:val="16"/>
                <w:szCs w:val="16"/>
              </w:rPr>
              <w:t>To provide the Department with the final design of the Tier 2 school-level funding formula and provide technical assistance and preparation of material in relation to the above outcome.</w:t>
            </w:r>
          </w:p>
        </w:tc>
        <w:tc>
          <w:tcPr>
            <w:tcW w:w="1134" w:type="dxa"/>
            <w:tcBorders>
              <w:top w:val="single" w:sz="4" w:space="0" w:color="auto"/>
              <w:bottom w:val="single" w:sz="4" w:space="0" w:color="auto"/>
            </w:tcBorders>
          </w:tcPr>
          <w:p w14:paraId="4797AAA6" w14:textId="77777777" w:rsidR="00951BB7" w:rsidRPr="00920949" w:rsidRDefault="00951BB7" w:rsidP="00375B4C">
            <w:pPr>
              <w:pStyle w:val="ESTablebody"/>
              <w:jc w:val="right"/>
              <w:rPr>
                <w:rFonts w:ascii="Calibri" w:hAnsi="Calibri" w:cs="Calibri"/>
                <w:sz w:val="16"/>
                <w:szCs w:val="16"/>
              </w:rPr>
            </w:pPr>
            <w:r w:rsidRPr="00920949">
              <w:rPr>
                <w:rFonts w:ascii="Calibri" w:eastAsiaTheme="minorHAnsi" w:hAnsi="Calibri" w:cs="Calibri"/>
                <w:sz w:val="16"/>
                <w:szCs w:val="16"/>
                <w:lang w:val="en-GB"/>
              </w:rPr>
              <w:t>45,000</w:t>
            </w:r>
          </w:p>
        </w:tc>
        <w:tc>
          <w:tcPr>
            <w:tcW w:w="993" w:type="dxa"/>
            <w:tcBorders>
              <w:top w:val="single" w:sz="4" w:space="0" w:color="auto"/>
              <w:bottom w:val="single" w:sz="4" w:space="0" w:color="auto"/>
            </w:tcBorders>
          </w:tcPr>
          <w:p w14:paraId="207A8896" w14:textId="77777777" w:rsidR="00951BB7" w:rsidRPr="00920949" w:rsidRDefault="00951BB7" w:rsidP="00375B4C">
            <w:pPr>
              <w:pStyle w:val="ESTablebody"/>
              <w:jc w:val="right"/>
              <w:rPr>
                <w:rFonts w:ascii="Calibri" w:hAnsi="Calibri" w:cs="Calibri"/>
                <w:sz w:val="16"/>
                <w:szCs w:val="16"/>
              </w:rPr>
            </w:pPr>
            <w:r w:rsidRPr="00920949">
              <w:rPr>
                <w:rFonts w:ascii="Calibri" w:eastAsiaTheme="minorHAnsi" w:hAnsi="Calibri" w:cs="Calibri"/>
                <w:sz w:val="16"/>
                <w:szCs w:val="16"/>
                <w:lang w:val="en-GB"/>
              </w:rPr>
              <w:t>45,000</w:t>
            </w:r>
          </w:p>
        </w:tc>
        <w:tc>
          <w:tcPr>
            <w:tcW w:w="1622" w:type="dxa"/>
            <w:tcBorders>
              <w:top w:val="single" w:sz="4" w:space="0" w:color="auto"/>
              <w:bottom w:val="single" w:sz="4" w:space="0" w:color="auto"/>
            </w:tcBorders>
          </w:tcPr>
          <w:p w14:paraId="3C6846F2" w14:textId="6337A1C4" w:rsidR="00FB0926" w:rsidRPr="00FB0926" w:rsidRDefault="00951BB7" w:rsidP="00FB0926">
            <w:pPr>
              <w:pStyle w:val="ESTablebody"/>
              <w:jc w:val="right"/>
              <w:rPr>
                <w:rFonts w:ascii="Calibri" w:eastAsiaTheme="minorHAnsi" w:hAnsi="Calibri" w:cs="Calibri"/>
                <w:sz w:val="16"/>
                <w:szCs w:val="16"/>
                <w:lang w:val="en-GB"/>
              </w:rPr>
            </w:pPr>
            <w:r w:rsidRPr="00920949">
              <w:rPr>
                <w:rFonts w:ascii="Calibri" w:eastAsiaTheme="minorHAnsi" w:hAnsi="Calibri" w:cs="Calibri"/>
                <w:sz w:val="16"/>
                <w:szCs w:val="16"/>
                <w:lang w:val="en-GB"/>
              </w:rPr>
              <w:t>N</w:t>
            </w:r>
          </w:p>
          <w:p w14:paraId="6791D72A" w14:textId="77777777" w:rsidR="00FB0926" w:rsidRPr="00FB0926" w:rsidRDefault="00FB0926" w:rsidP="00FB0926">
            <w:pPr>
              <w:rPr>
                <w:lang w:val="en-US"/>
              </w:rPr>
            </w:pPr>
          </w:p>
          <w:p w14:paraId="33EFD502" w14:textId="77777777" w:rsidR="00FB0926" w:rsidRPr="00FB0926" w:rsidRDefault="00FB0926" w:rsidP="00FB0926">
            <w:pPr>
              <w:rPr>
                <w:lang w:val="en-US"/>
              </w:rPr>
            </w:pPr>
          </w:p>
          <w:p w14:paraId="216DC1C5" w14:textId="77777777" w:rsidR="00FB0926" w:rsidRPr="00FB0926" w:rsidRDefault="00FB0926" w:rsidP="00FB0926">
            <w:pPr>
              <w:rPr>
                <w:lang w:val="en-US"/>
              </w:rPr>
            </w:pPr>
          </w:p>
          <w:p w14:paraId="04CC66EE" w14:textId="77777777" w:rsidR="00FB0926" w:rsidRPr="00FB0926" w:rsidRDefault="00FB0926" w:rsidP="00FB0926">
            <w:pPr>
              <w:rPr>
                <w:lang w:val="en-US"/>
              </w:rPr>
            </w:pPr>
          </w:p>
          <w:p w14:paraId="17D693A6" w14:textId="0AAF5E96" w:rsidR="00FB0926" w:rsidRPr="00FB0926" w:rsidRDefault="00FB0926" w:rsidP="00FB0926">
            <w:pPr>
              <w:rPr>
                <w:lang w:val="en-US"/>
              </w:rPr>
            </w:pPr>
          </w:p>
        </w:tc>
      </w:tr>
      <w:tr w:rsidR="00951BB7" w:rsidRPr="00925213" w14:paraId="24BB8476" w14:textId="77777777" w:rsidTr="00383663">
        <w:trPr>
          <w:cantSplit/>
          <w:trHeight w:val="628"/>
        </w:trPr>
        <w:tc>
          <w:tcPr>
            <w:tcW w:w="1696" w:type="dxa"/>
            <w:tcBorders>
              <w:top w:val="single" w:sz="4" w:space="0" w:color="auto"/>
              <w:bottom w:val="single" w:sz="4" w:space="0" w:color="auto"/>
            </w:tcBorders>
            <w:shd w:val="clear" w:color="auto" w:fill="auto"/>
            <w:vAlign w:val="bottom"/>
          </w:tcPr>
          <w:p w14:paraId="5B8991FB" w14:textId="77777777" w:rsidR="00951BB7" w:rsidRPr="005D1BFB" w:rsidRDefault="00951BB7" w:rsidP="00375B4C">
            <w:pPr>
              <w:pStyle w:val="ESTablebody"/>
              <w:rPr>
                <w:rFonts w:ascii="Calibri" w:hAnsi="Calibri" w:cs="Calibri"/>
                <w:sz w:val="16"/>
                <w:szCs w:val="16"/>
              </w:rPr>
            </w:pPr>
            <w:r w:rsidRPr="005D1BFB">
              <w:rPr>
                <w:rFonts w:ascii="Calibri" w:hAnsi="Calibri" w:cs="Calibri"/>
                <w:sz w:val="16"/>
                <w:szCs w:val="16"/>
              </w:rPr>
              <w:t xml:space="preserve">A review of the student resource package: </w:t>
            </w:r>
            <w:r>
              <w:rPr>
                <w:rFonts w:ascii="Calibri" w:hAnsi="Calibri" w:cs="Calibri"/>
                <w:sz w:val="16"/>
                <w:szCs w:val="16"/>
              </w:rPr>
              <w:t>a</w:t>
            </w:r>
            <w:r w:rsidRPr="005D1BFB">
              <w:rPr>
                <w:rFonts w:ascii="Calibri" w:hAnsi="Calibri" w:cs="Calibri"/>
                <w:sz w:val="16"/>
                <w:szCs w:val="16"/>
              </w:rPr>
              <w:t>n intensive study of school costings in different contexts</w:t>
            </w:r>
          </w:p>
          <w:p w14:paraId="1A6171BB" w14:textId="4094F2E5" w:rsidR="00951BB7" w:rsidRPr="005D1BFB" w:rsidRDefault="00951BB7" w:rsidP="00375B4C">
            <w:pPr>
              <w:pStyle w:val="ESTablebody"/>
              <w:rPr>
                <w:rFonts w:ascii="Calibri" w:hAnsi="Calibri" w:cs="Calibri"/>
                <w:sz w:val="16"/>
                <w:szCs w:val="16"/>
              </w:rPr>
            </w:pPr>
            <w:r>
              <w:rPr>
                <w:rFonts w:ascii="Calibri" w:hAnsi="Calibri" w:cs="Calibri"/>
                <w:sz w:val="16"/>
                <w:szCs w:val="16"/>
              </w:rPr>
              <w:t>(</w:t>
            </w:r>
            <w:r w:rsidRPr="005D1BFB">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754D180" w14:textId="77777777" w:rsidR="00951BB7" w:rsidRPr="00355385" w:rsidRDefault="00951BB7" w:rsidP="00375B4C">
            <w:pPr>
              <w:pStyle w:val="ESTablebody"/>
              <w:rPr>
                <w:rFonts w:ascii="Calibri" w:hAnsi="Calibri" w:cs="Calibri"/>
                <w:sz w:val="16"/>
                <w:szCs w:val="16"/>
              </w:rPr>
            </w:pPr>
            <w:r w:rsidRPr="005D1BFB">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7BF5E8AC"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understand expenditure requirements of schools in different contexts.</w:t>
            </w:r>
          </w:p>
          <w:p w14:paraId="23EC1223" w14:textId="77777777" w:rsidR="00951BB7" w:rsidRPr="00355385"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328081BD" w14:textId="77777777" w:rsidR="00951BB7" w:rsidRPr="00355385" w:rsidRDefault="00951BB7" w:rsidP="00375B4C">
            <w:pPr>
              <w:pStyle w:val="ESTablebody"/>
              <w:rPr>
                <w:rFonts w:ascii="Calibri" w:hAnsi="Calibri" w:cs="Calibri"/>
                <w:sz w:val="16"/>
                <w:szCs w:val="16"/>
              </w:rPr>
            </w:pPr>
            <w:r w:rsidRPr="005D1BFB">
              <w:rPr>
                <w:rFonts w:ascii="Calibri" w:hAnsi="Calibri" w:cs="Calibri"/>
                <w:sz w:val="16"/>
                <w:szCs w:val="16"/>
              </w:rPr>
              <w:t>To ensure that funding allocated to Victorian Government schools remains reflective of the practices and expenditure requirements of schools and is equitably distributed.</w:t>
            </w:r>
          </w:p>
        </w:tc>
        <w:tc>
          <w:tcPr>
            <w:tcW w:w="1134" w:type="dxa"/>
            <w:tcBorders>
              <w:top w:val="single" w:sz="4" w:space="0" w:color="auto"/>
              <w:bottom w:val="single" w:sz="4" w:space="0" w:color="auto"/>
            </w:tcBorders>
          </w:tcPr>
          <w:p w14:paraId="06FDEBE8" w14:textId="77777777" w:rsidR="00951BB7" w:rsidRPr="005D1BFB" w:rsidRDefault="00951BB7" w:rsidP="00375B4C">
            <w:pPr>
              <w:pStyle w:val="ESTablebody"/>
              <w:rPr>
                <w:rFonts w:ascii="Calibri" w:hAnsi="Calibri" w:cs="Calibri"/>
                <w:sz w:val="16"/>
                <w:szCs w:val="16"/>
              </w:rPr>
            </w:pPr>
            <w:r w:rsidRPr="005D1BFB">
              <w:rPr>
                <w:rFonts w:ascii="Calibri" w:hAnsi="Calibri" w:cs="Calibri"/>
                <w:sz w:val="16"/>
                <w:szCs w:val="16"/>
              </w:rPr>
              <w:t>January – October 2021</w:t>
            </w:r>
          </w:p>
        </w:tc>
        <w:tc>
          <w:tcPr>
            <w:tcW w:w="1701" w:type="dxa"/>
            <w:tcBorders>
              <w:top w:val="single" w:sz="4" w:space="0" w:color="auto"/>
              <w:bottom w:val="single" w:sz="4" w:space="0" w:color="auto"/>
            </w:tcBorders>
          </w:tcPr>
          <w:p w14:paraId="564FD841" w14:textId="77777777" w:rsidR="00951BB7" w:rsidRPr="00355385" w:rsidRDefault="00951BB7" w:rsidP="00375B4C">
            <w:pPr>
              <w:pStyle w:val="ESTablebody"/>
              <w:rPr>
                <w:rFonts w:ascii="Calibri" w:hAnsi="Calibri" w:cs="Calibri"/>
                <w:sz w:val="16"/>
                <w:szCs w:val="16"/>
              </w:rPr>
            </w:pPr>
            <w:r w:rsidRPr="005D1BFB">
              <w:rPr>
                <w:rFonts w:ascii="Calibri" w:hAnsi="Calibri" w:cs="Calibri"/>
                <w:sz w:val="16"/>
                <w:szCs w:val="16"/>
              </w:rPr>
              <w:t>To provide input into a review of the student resource package funding.</w:t>
            </w:r>
          </w:p>
        </w:tc>
        <w:tc>
          <w:tcPr>
            <w:tcW w:w="1134" w:type="dxa"/>
            <w:tcBorders>
              <w:top w:val="single" w:sz="4" w:space="0" w:color="auto"/>
              <w:bottom w:val="single" w:sz="4" w:space="0" w:color="auto"/>
            </w:tcBorders>
          </w:tcPr>
          <w:p w14:paraId="50281F90" w14:textId="77777777" w:rsidR="00951BB7" w:rsidRPr="005D1BFB" w:rsidRDefault="00951BB7" w:rsidP="00375B4C">
            <w:pPr>
              <w:pStyle w:val="ESTablebody"/>
              <w:jc w:val="right"/>
              <w:rPr>
                <w:rFonts w:ascii="Calibri" w:hAnsi="Calibri" w:cs="Calibri"/>
                <w:sz w:val="18"/>
              </w:rPr>
            </w:pPr>
            <w:r w:rsidRPr="005D1BFB">
              <w:rPr>
                <w:rFonts w:ascii="Calibri" w:hAnsi="Calibri" w:cs="Calibri"/>
                <w:sz w:val="16"/>
                <w:szCs w:val="16"/>
              </w:rPr>
              <w:t>719,01</w:t>
            </w:r>
            <w:r>
              <w:rPr>
                <w:rFonts w:ascii="Calibri" w:hAnsi="Calibri" w:cs="Calibri"/>
                <w:sz w:val="16"/>
                <w:szCs w:val="16"/>
              </w:rPr>
              <w:t>3</w:t>
            </w:r>
          </w:p>
        </w:tc>
        <w:tc>
          <w:tcPr>
            <w:tcW w:w="993" w:type="dxa"/>
            <w:tcBorders>
              <w:top w:val="single" w:sz="4" w:space="0" w:color="auto"/>
              <w:bottom w:val="single" w:sz="4" w:space="0" w:color="auto"/>
            </w:tcBorders>
          </w:tcPr>
          <w:p w14:paraId="2E4FAB02" w14:textId="77777777" w:rsidR="00951BB7" w:rsidRPr="005D1BFB" w:rsidRDefault="00951BB7" w:rsidP="00375B4C">
            <w:pPr>
              <w:pStyle w:val="ESTablebody"/>
              <w:jc w:val="right"/>
              <w:rPr>
                <w:rFonts w:ascii="Calibri" w:hAnsi="Calibri" w:cs="Calibri"/>
                <w:sz w:val="18"/>
              </w:rPr>
            </w:pPr>
            <w:r w:rsidRPr="005D1BFB">
              <w:rPr>
                <w:rFonts w:ascii="Calibri" w:hAnsi="Calibri" w:cs="Calibri"/>
                <w:sz w:val="18"/>
              </w:rPr>
              <w:t>–</w:t>
            </w:r>
          </w:p>
        </w:tc>
        <w:tc>
          <w:tcPr>
            <w:tcW w:w="1622" w:type="dxa"/>
            <w:tcBorders>
              <w:top w:val="single" w:sz="4" w:space="0" w:color="auto"/>
              <w:bottom w:val="single" w:sz="4" w:space="0" w:color="auto"/>
            </w:tcBorders>
          </w:tcPr>
          <w:p w14:paraId="41604172" w14:textId="77777777" w:rsidR="00951BB7" w:rsidRPr="00925213" w:rsidRDefault="00951BB7" w:rsidP="00375B4C">
            <w:pPr>
              <w:pStyle w:val="ESTablebody"/>
              <w:jc w:val="right"/>
              <w:rPr>
                <w:rFonts w:ascii="Calibri" w:hAnsi="Calibri" w:cs="Calibri"/>
                <w:sz w:val="18"/>
              </w:rPr>
            </w:pPr>
            <w:r w:rsidRPr="00925213">
              <w:rPr>
                <w:rFonts w:ascii="Calibri" w:hAnsi="Calibri" w:cs="Calibri"/>
                <w:sz w:val="16"/>
                <w:szCs w:val="16"/>
              </w:rPr>
              <w:t>N</w:t>
            </w:r>
          </w:p>
        </w:tc>
      </w:tr>
      <w:tr w:rsidR="00951BB7" w:rsidRPr="00925213" w14:paraId="24395AFF" w14:textId="77777777" w:rsidTr="00383663">
        <w:trPr>
          <w:cantSplit/>
          <w:trHeight w:val="628"/>
        </w:trPr>
        <w:tc>
          <w:tcPr>
            <w:tcW w:w="1696" w:type="dxa"/>
            <w:tcBorders>
              <w:top w:val="single" w:sz="4" w:space="0" w:color="auto"/>
              <w:bottom w:val="single" w:sz="4" w:space="0" w:color="auto"/>
            </w:tcBorders>
            <w:shd w:val="clear" w:color="auto" w:fill="auto"/>
          </w:tcPr>
          <w:p w14:paraId="48D578BC"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lastRenderedPageBreak/>
              <w:t xml:space="preserve">Actions to </w:t>
            </w:r>
            <w:proofErr w:type="spellStart"/>
            <w:r w:rsidRPr="007F44F8">
              <w:rPr>
                <w:rFonts w:ascii="Calibri" w:hAnsi="Calibri" w:cs="Calibri"/>
                <w:sz w:val="16"/>
                <w:szCs w:val="16"/>
              </w:rPr>
              <w:t>optimise</w:t>
            </w:r>
            <w:proofErr w:type="spellEnd"/>
            <w:r w:rsidRPr="007F44F8">
              <w:rPr>
                <w:rFonts w:ascii="Calibri" w:hAnsi="Calibri" w:cs="Calibri"/>
                <w:sz w:val="16"/>
                <w:szCs w:val="16"/>
              </w:rPr>
              <w:t xml:space="preserve"> regional structures and delivery </w:t>
            </w:r>
          </w:p>
          <w:p w14:paraId="4085A448"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(Education portfolio, Strategy, Review and Regulation; Support Services Delivery)</w:t>
            </w:r>
          </w:p>
        </w:tc>
        <w:tc>
          <w:tcPr>
            <w:tcW w:w="1134" w:type="dxa"/>
            <w:tcBorders>
              <w:top w:val="single" w:sz="4" w:space="0" w:color="auto"/>
              <w:bottom w:val="single" w:sz="4" w:space="0" w:color="auto"/>
            </w:tcBorders>
            <w:shd w:val="clear" w:color="auto" w:fill="auto"/>
          </w:tcPr>
          <w:p w14:paraId="61FC2BC8"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2228786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reduce and respond to the impact of known constraints and challenges on region and area provision by identifying practical actions that enhance support for vocational and applied learning and mental health and wellbeing through development of new place</w:t>
            </w:r>
            <w:r w:rsidRPr="00355385">
              <w:rPr>
                <w:rFonts w:ascii="Calibri" w:hAnsi="Calibri" w:cs="Calibri"/>
                <w:sz w:val="16"/>
                <w:szCs w:val="16"/>
              </w:rPr>
              <w:noBreakHyphen/>
              <w:t>based models.</w:t>
            </w:r>
          </w:p>
        </w:tc>
        <w:tc>
          <w:tcPr>
            <w:tcW w:w="2409" w:type="dxa"/>
            <w:tcBorders>
              <w:top w:val="single" w:sz="4" w:space="0" w:color="auto"/>
              <w:bottom w:val="single" w:sz="4" w:space="0" w:color="auto"/>
            </w:tcBorders>
          </w:tcPr>
          <w:p w14:paraId="059F5AEA" w14:textId="77777777" w:rsidR="00951BB7" w:rsidRPr="00355385" w:rsidRDefault="00951BB7" w:rsidP="005B65A6">
            <w:pPr>
              <w:rPr>
                <w:rFonts w:ascii="Calibri" w:eastAsiaTheme="minorEastAsia" w:hAnsi="Calibri" w:cs="Calibri"/>
                <w:sz w:val="16"/>
                <w:szCs w:val="16"/>
                <w:lang w:val="en-US"/>
              </w:rPr>
            </w:pPr>
            <w:r w:rsidRPr="00355385">
              <w:rPr>
                <w:rFonts w:ascii="Calibri" w:eastAsiaTheme="minorEastAsia" w:hAnsi="Calibri" w:cs="Calibri"/>
                <w:sz w:val="16"/>
                <w:szCs w:val="16"/>
                <w:lang w:val="en-US"/>
              </w:rPr>
              <w:t xml:space="preserve">To recommend actions that address constraints and challenges for the regional workforce, and to deliver greater value and impact from existing and new investments in schools supports and services. To develop place-based models of support to deliver quality vocational and applied learning and mental health and wellbeing supports to schools. </w:t>
            </w:r>
          </w:p>
          <w:p w14:paraId="4D6F7A87" w14:textId="77777777" w:rsidR="00951BB7" w:rsidRPr="007F44F8"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48BC7DBC"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 xml:space="preserve">May – September 2021 </w:t>
            </w:r>
          </w:p>
        </w:tc>
        <w:tc>
          <w:tcPr>
            <w:tcW w:w="1701" w:type="dxa"/>
            <w:tcBorders>
              <w:top w:val="single" w:sz="4" w:space="0" w:color="auto"/>
              <w:bottom w:val="single" w:sz="4" w:space="0" w:color="auto"/>
            </w:tcBorders>
          </w:tcPr>
          <w:p w14:paraId="02307655"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 xml:space="preserve">The regional workforce is </w:t>
            </w:r>
            <w:proofErr w:type="spellStart"/>
            <w:r w:rsidRPr="007F44F8">
              <w:rPr>
                <w:rFonts w:ascii="Calibri" w:hAnsi="Calibri" w:cs="Calibri"/>
                <w:sz w:val="16"/>
                <w:szCs w:val="16"/>
              </w:rPr>
              <w:t>optimised</w:t>
            </w:r>
            <w:proofErr w:type="spellEnd"/>
            <w:r w:rsidRPr="007F44F8">
              <w:rPr>
                <w:rFonts w:ascii="Calibri" w:hAnsi="Calibri" w:cs="Calibri"/>
                <w:sz w:val="16"/>
                <w:szCs w:val="16"/>
              </w:rPr>
              <w:t xml:space="preserve"> to provide responsive, cohesive, and integrated support that leads to greater improvement of outcomes for school-aged learners. The Department delivers improved support and services to schools.</w:t>
            </w:r>
          </w:p>
        </w:tc>
        <w:tc>
          <w:tcPr>
            <w:tcW w:w="1134" w:type="dxa"/>
            <w:tcBorders>
              <w:top w:val="single" w:sz="4" w:space="0" w:color="auto"/>
              <w:bottom w:val="single" w:sz="4" w:space="0" w:color="auto"/>
            </w:tcBorders>
          </w:tcPr>
          <w:p w14:paraId="183856F9" w14:textId="77777777" w:rsidR="00951BB7" w:rsidRPr="007F44F8" w:rsidRDefault="00951BB7" w:rsidP="00375B4C">
            <w:pPr>
              <w:pStyle w:val="ESTablebody"/>
              <w:jc w:val="right"/>
              <w:rPr>
                <w:rFonts w:ascii="Calibri" w:hAnsi="Calibri" w:cs="Calibri"/>
                <w:sz w:val="16"/>
                <w:szCs w:val="16"/>
              </w:rPr>
            </w:pPr>
            <w:r w:rsidRPr="007F44F8">
              <w:rPr>
                <w:rFonts w:ascii="Calibri" w:hAnsi="Calibri" w:cs="Calibri"/>
                <w:sz w:val="16"/>
                <w:szCs w:val="16"/>
              </w:rPr>
              <w:t>421,190</w:t>
            </w:r>
          </w:p>
        </w:tc>
        <w:tc>
          <w:tcPr>
            <w:tcW w:w="993" w:type="dxa"/>
            <w:tcBorders>
              <w:top w:val="single" w:sz="4" w:space="0" w:color="auto"/>
              <w:bottom w:val="single" w:sz="4" w:space="0" w:color="auto"/>
            </w:tcBorders>
          </w:tcPr>
          <w:p w14:paraId="446D5BDC" w14:textId="77777777" w:rsidR="00951BB7" w:rsidRPr="007F44F8" w:rsidRDefault="00951BB7" w:rsidP="00375B4C">
            <w:pPr>
              <w:pStyle w:val="ESTablebody"/>
              <w:jc w:val="right"/>
              <w:rPr>
                <w:rFonts w:ascii="Calibri" w:hAnsi="Calibri" w:cs="Calibri"/>
                <w:sz w:val="16"/>
                <w:szCs w:val="16"/>
              </w:rPr>
            </w:pPr>
            <w:r w:rsidRPr="007F44F8">
              <w:rPr>
                <w:rFonts w:ascii="Calibri" w:hAnsi="Calibri" w:cs="Calibri"/>
                <w:sz w:val="16"/>
                <w:szCs w:val="16"/>
              </w:rPr>
              <w:t>504,130</w:t>
            </w:r>
          </w:p>
        </w:tc>
        <w:tc>
          <w:tcPr>
            <w:tcW w:w="1622" w:type="dxa"/>
            <w:tcBorders>
              <w:top w:val="single" w:sz="4" w:space="0" w:color="auto"/>
              <w:bottom w:val="single" w:sz="4" w:space="0" w:color="auto"/>
            </w:tcBorders>
          </w:tcPr>
          <w:p w14:paraId="3269E9C1" w14:textId="77777777" w:rsidR="00951BB7" w:rsidRPr="007F44F8" w:rsidRDefault="00951BB7" w:rsidP="00375B4C">
            <w:pPr>
              <w:pStyle w:val="ESTablebody"/>
              <w:jc w:val="right"/>
              <w:rPr>
                <w:rFonts w:ascii="Calibri" w:hAnsi="Calibri" w:cs="Calibri"/>
                <w:sz w:val="16"/>
                <w:szCs w:val="16"/>
              </w:rPr>
            </w:pPr>
            <w:r w:rsidRPr="007F44F8">
              <w:rPr>
                <w:rFonts w:ascii="Calibri" w:hAnsi="Calibri" w:cs="Calibri"/>
                <w:sz w:val="16"/>
                <w:szCs w:val="16"/>
              </w:rPr>
              <w:t>N</w:t>
            </w:r>
          </w:p>
        </w:tc>
      </w:tr>
      <w:tr w:rsidR="00951BB7" w:rsidRPr="00925213" w14:paraId="77482F3D" w14:textId="77777777" w:rsidTr="006668A7">
        <w:trPr>
          <w:cantSplit/>
          <w:trHeight w:val="628"/>
        </w:trPr>
        <w:tc>
          <w:tcPr>
            <w:tcW w:w="1696" w:type="dxa"/>
            <w:tcBorders>
              <w:top w:val="single" w:sz="4" w:space="0" w:color="auto"/>
              <w:bottom w:val="single" w:sz="4" w:space="0" w:color="auto"/>
            </w:tcBorders>
            <w:shd w:val="clear" w:color="auto" w:fill="auto"/>
          </w:tcPr>
          <w:p w14:paraId="47649FDC" w14:textId="77777777" w:rsidR="00951BB7" w:rsidRDefault="00951BB7" w:rsidP="006668A7">
            <w:pPr>
              <w:pStyle w:val="ESTablebody"/>
              <w:rPr>
                <w:rFonts w:ascii="Calibri" w:hAnsi="Calibri" w:cs="Calibri"/>
                <w:sz w:val="16"/>
                <w:szCs w:val="16"/>
              </w:rPr>
            </w:pPr>
            <w:r w:rsidRPr="000F1564">
              <w:rPr>
                <w:rFonts w:ascii="Calibri" w:hAnsi="Calibri" w:cs="Calibri"/>
                <w:sz w:val="16"/>
                <w:szCs w:val="16"/>
              </w:rPr>
              <w:t xml:space="preserve">Amplify </w:t>
            </w:r>
            <w:r>
              <w:rPr>
                <w:rFonts w:ascii="Calibri" w:hAnsi="Calibri" w:cs="Calibri"/>
                <w:sz w:val="16"/>
                <w:szCs w:val="16"/>
              </w:rPr>
              <w:t>Monitoring and E</w:t>
            </w:r>
            <w:r w:rsidRPr="000F1564">
              <w:rPr>
                <w:rFonts w:ascii="Calibri" w:hAnsi="Calibri" w:cs="Calibri"/>
                <w:sz w:val="16"/>
                <w:szCs w:val="16"/>
              </w:rPr>
              <w:t>valuation</w:t>
            </w:r>
            <w:r>
              <w:rPr>
                <w:rFonts w:ascii="Calibri" w:hAnsi="Calibri" w:cs="Calibri"/>
                <w:sz w:val="16"/>
                <w:szCs w:val="16"/>
              </w:rPr>
              <w:t xml:space="preserve"> Framework Development</w:t>
            </w:r>
          </w:p>
          <w:p w14:paraId="7A558FBD" w14:textId="77777777" w:rsidR="00951BB7" w:rsidRPr="00997A0A" w:rsidRDefault="00951BB7" w:rsidP="006668A7">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w:t>
            </w:r>
            <w:r>
              <w:rPr>
                <w:rFonts w:ascii="Calibri" w:hAnsi="Calibri" w:cs="Calibri"/>
                <w:sz w:val="16"/>
                <w:szCs w:val="16"/>
              </w:rPr>
              <w:t>—</w:t>
            </w:r>
            <w:r w:rsidRPr="002D12B8">
              <w:rPr>
                <w:rFonts w:ascii="Calibri" w:hAnsi="Calibri" w:cs="Calibri"/>
                <w:sz w:val="16"/>
                <w:szCs w:val="16"/>
              </w:rPr>
              <w:t>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F78372D" w14:textId="77777777" w:rsidR="00951BB7" w:rsidRPr="00997A0A" w:rsidRDefault="00951BB7" w:rsidP="006668A7">
            <w:pPr>
              <w:pStyle w:val="ESTablebody"/>
              <w:rPr>
                <w:rFonts w:ascii="Calibri" w:hAnsi="Calibri" w:cs="Calibri"/>
                <w:sz w:val="16"/>
                <w:szCs w:val="16"/>
              </w:rPr>
            </w:pPr>
            <w:r w:rsidRPr="00E05E51">
              <w:rPr>
                <w:rFonts w:ascii="Calibri" w:hAnsi="Calibri" w:cs="Calibri"/>
                <w:sz w:val="16"/>
                <w:szCs w:val="16"/>
              </w:rPr>
              <w:t>Clear Horizons</w:t>
            </w:r>
          </w:p>
        </w:tc>
        <w:tc>
          <w:tcPr>
            <w:tcW w:w="2127" w:type="dxa"/>
            <w:tcBorders>
              <w:top w:val="single" w:sz="4" w:space="0" w:color="auto"/>
              <w:bottom w:val="single" w:sz="4" w:space="0" w:color="auto"/>
            </w:tcBorders>
            <w:shd w:val="clear" w:color="auto" w:fill="auto"/>
          </w:tcPr>
          <w:p w14:paraId="01E99A62" w14:textId="77777777" w:rsidR="00951BB7" w:rsidRPr="00997A0A" w:rsidRDefault="00951BB7" w:rsidP="006668A7">
            <w:pPr>
              <w:pStyle w:val="ESTablebody"/>
              <w:rPr>
                <w:rFonts w:ascii="Calibri" w:hAnsi="Calibri" w:cs="Calibri"/>
                <w:sz w:val="16"/>
                <w:szCs w:val="16"/>
              </w:rPr>
            </w:pPr>
            <w:r w:rsidRPr="00EF21F0">
              <w:rPr>
                <w:rFonts w:ascii="Calibri" w:hAnsi="Calibri" w:cs="Calibri"/>
                <w:sz w:val="16"/>
                <w:szCs w:val="16"/>
              </w:rPr>
              <w:t xml:space="preserve">To inform the proposed Amplify Evaluation </w:t>
            </w:r>
            <w:r>
              <w:rPr>
                <w:rFonts w:ascii="Calibri" w:hAnsi="Calibri" w:cs="Calibri"/>
                <w:sz w:val="16"/>
                <w:szCs w:val="16"/>
              </w:rPr>
              <w:t>and</w:t>
            </w:r>
            <w:r w:rsidRPr="00EF21F0">
              <w:rPr>
                <w:rFonts w:ascii="Calibri" w:hAnsi="Calibri" w:cs="Calibri"/>
                <w:sz w:val="16"/>
                <w:szCs w:val="16"/>
              </w:rPr>
              <w:t xml:space="preserve"> implementation planning for Amplify and the Amplify Toolkit</w:t>
            </w:r>
            <w:r>
              <w:rPr>
                <w:rFonts w:ascii="Calibri" w:hAnsi="Calibri" w:cs="Calibri"/>
                <w:sz w:val="16"/>
                <w:szCs w:val="16"/>
              </w:rPr>
              <w:t>.</w:t>
            </w:r>
          </w:p>
        </w:tc>
        <w:tc>
          <w:tcPr>
            <w:tcW w:w="2409" w:type="dxa"/>
            <w:tcBorders>
              <w:top w:val="single" w:sz="4" w:space="0" w:color="auto"/>
              <w:bottom w:val="single" w:sz="4" w:space="0" w:color="auto"/>
            </w:tcBorders>
          </w:tcPr>
          <w:p w14:paraId="79D45DB1" w14:textId="77777777" w:rsidR="00951BB7" w:rsidRPr="00997A0A" w:rsidRDefault="00951BB7" w:rsidP="006668A7">
            <w:pPr>
              <w:pStyle w:val="ESTablebody"/>
              <w:rPr>
                <w:rFonts w:ascii="Calibri" w:hAnsi="Calibri" w:cs="Calibri"/>
                <w:sz w:val="16"/>
                <w:szCs w:val="16"/>
              </w:rPr>
            </w:pPr>
            <w:r>
              <w:rPr>
                <w:rFonts w:ascii="Calibri" w:hAnsi="Calibri" w:cs="Calibri"/>
                <w:sz w:val="16"/>
                <w:szCs w:val="16"/>
              </w:rPr>
              <w:t>T</w:t>
            </w:r>
            <w:r w:rsidRPr="00EF21F0">
              <w:rPr>
                <w:rFonts w:ascii="Calibri" w:hAnsi="Calibri" w:cs="Calibri"/>
                <w:sz w:val="16"/>
                <w:szCs w:val="16"/>
              </w:rPr>
              <w:t xml:space="preserve">o provide the overall monitoring and evaluation approach, including how to determine the current state of implementation and effectively monitor the impact of implementation activities. The monitoring and evaluation activities will enable the </w:t>
            </w:r>
            <w:r>
              <w:rPr>
                <w:rFonts w:ascii="Calibri" w:hAnsi="Calibri" w:cs="Calibri"/>
                <w:sz w:val="16"/>
                <w:szCs w:val="16"/>
              </w:rPr>
              <w:t>Department</w:t>
            </w:r>
            <w:r w:rsidRPr="00EF21F0">
              <w:rPr>
                <w:rFonts w:ascii="Calibri" w:hAnsi="Calibri" w:cs="Calibri"/>
                <w:sz w:val="16"/>
                <w:szCs w:val="16"/>
              </w:rPr>
              <w:t xml:space="preserve"> to adjust implementation approaches accordingly and to develop more targeted supports for schools.</w:t>
            </w:r>
          </w:p>
        </w:tc>
        <w:tc>
          <w:tcPr>
            <w:tcW w:w="1134" w:type="dxa"/>
            <w:tcBorders>
              <w:top w:val="single" w:sz="4" w:space="0" w:color="auto"/>
              <w:bottom w:val="single" w:sz="4" w:space="0" w:color="auto"/>
            </w:tcBorders>
          </w:tcPr>
          <w:p w14:paraId="631B4311" w14:textId="77777777" w:rsidR="00951BB7" w:rsidRPr="00997A0A" w:rsidRDefault="00951BB7" w:rsidP="006668A7">
            <w:pPr>
              <w:pStyle w:val="ESTablebody"/>
              <w:rPr>
                <w:rFonts w:ascii="Calibri" w:hAnsi="Calibri" w:cs="Calibri"/>
                <w:sz w:val="16"/>
                <w:szCs w:val="16"/>
              </w:rPr>
            </w:pPr>
            <w:r w:rsidRPr="00EF21F0">
              <w:rPr>
                <w:rFonts w:ascii="Calibri" w:hAnsi="Calibri" w:cs="Calibri"/>
                <w:sz w:val="16"/>
                <w:szCs w:val="16"/>
              </w:rPr>
              <w:t xml:space="preserve">August – </w:t>
            </w:r>
            <w:r>
              <w:rPr>
                <w:rFonts w:ascii="Calibri" w:hAnsi="Calibri" w:cs="Calibri"/>
                <w:sz w:val="16"/>
                <w:szCs w:val="16"/>
              </w:rPr>
              <w:t>December</w:t>
            </w:r>
            <w:r w:rsidRPr="00EF21F0">
              <w:rPr>
                <w:rFonts w:ascii="Calibri" w:hAnsi="Calibri" w:cs="Calibri"/>
                <w:sz w:val="16"/>
                <w:szCs w:val="16"/>
              </w:rPr>
              <w:t xml:space="preserve"> 2021</w:t>
            </w:r>
          </w:p>
        </w:tc>
        <w:tc>
          <w:tcPr>
            <w:tcW w:w="1701" w:type="dxa"/>
            <w:tcBorders>
              <w:top w:val="single" w:sz="4" w:space="0" w:color="auto"/>
              <w:bottom w:val="single" w:sz="4" w:space="0" w:color="auto"/>
            </w:tcBorders>
          </w:tcPr>
          <w:p w14:paraId="27E8C602" w14:textId="77777777" w:rsidR="00951BB7" w:rsidRDefault="00951BB7" w:rsidP="006668A7">
            <w:pPr>
              <w:pStyle w:val="ESTablebody"/>
              <w:rPr>
                <w:rFonts w:ascii="Calibri" w:hAnsi="Calibri" w:cs="Calibri"/>
                <w:sz w:val="16"/>
                <w:szCs w:val="16"/>
              </w:rPr>
            </w:pPr>
            <w:r w:rsidRPr="00EF21F0">
              <w:rPr>
                <w:rFonts w:ascii="Calibri" w:hAnsi="Calibri" w:cs="Calibri"/>
                <w:sz w:val="16"/>
                <w:szCs w:val="16"/>
              </w:rPr>
              <w:t xml:space="preserve">Establishment of a monitoring and evaluation approach </w:t>
            </w:r>
            <w:r>
              <w:rPr>
                <w:rFonts w:ascii="Calibri" w:hAnsi="Calibri" w:cs="Calibri"/>
                <w:sz w:val="16"/>
                <w:szCs w:val="16"/>
              </w:rPr>
              <w:t>that</w:t>
            </w:r>
            <w:r w:rsidRPr="00EF21F0">
              <w:rPr>
                <w:rFonts w:ascii="Calibri" w:hAnsi="Calibri" w:cs="Calibri"/>
                <w:sz w:val="16"/>
                <w:szCs w:val="16"/>
              </w:rPr>
              <w:t xml:space="preserve"> inform</w:t>
            </w:r>
            <w:r>
              <w:rPr>
                <w:rFonts w:ascii="Calibri" w:hAnsi="Calibri" w:cs="Calibri"/>
                <w:sz w:val="16"/>
                <w:szCs w:val="16"/>
              </w:rPr>
              <w:t>s</w:t>
            </w:r>
            <w:r w:rsidRPr="00EF21F0">
              <w:rPr>
                <w:rFonts w:ascii="Calibri" w:hAnsi="Calibri" w:cs="Calibri"/>
                <w:sz w:val="16"/>
                <w:szCs w:val="16"/>
              </w:rPr>
              <w:t xml:space="preserve"> future developmental evaluation of the </w:t>
            </w:r>
            <w:r>
              <w:rPr>
                <w:rFonts w:ascii="Calibri" w:hAnsi="Calibri" w:cs="Calibri"/>
                <w:sz w:val="16"/>
                <w:szCs w:val="16"/>
              </w:rPr>
              <w:t>project</w:t>
            </w:r>
            <w:r w:rsidRPr="00EF21F0">
              <w:rPr>
                <w:rFonts w:ascii="Calibri" w:hAnsi="Calibri" w:cs="Calibri"/>
                <w:sz w:val="16"/>
                <w:szCs w:val="16"/>
              </w:rPr>
              <w:t xml:space="preserve"> priorities and implementation </w:t>
            </w:r>
            <w:r>
              <w:rPr>
                <w:rFonts w:ascii="Calibri" w:hAnsi="Calibri" w:cs="Calibri"/>
                <w:sz w:val="16"/>
                <w:szCs w:val="16"/>
              </w:rPr>
              <w:t>processes.</w:t>
            </w:r>
          </w:p>
        </w:tc>
        <w:tc>
          <w:tcPr>
            <w:tcW w:w="1134" w:type="dxa"/>
            <w:tcBorders>
              <w:top w:val="single" w:sz="4" w:space="0" w:color="auto"/>
              <w:bottom w:val="single" w:sz="4" w:space="0" w:color="auto"/>
            </w:tcBorders>
          </w:tcPr>
          <w:p w14:paraId="2801049C" w14:textId="77777777" w:rsidR="00951BB7" w:rsidRPr="00997A0A" w:rsidRDefault="00951BB7" w:rsidP="006668A7">
            <w:pPr>
              <w:pStyle w:val="ESTablebody"/>
              <w:jc w:val="right"/>
              <w:rPr>
                <w:rFonts w:ascii="Calibri" w:hAnsi="Calibri" w:cs="Calibri"/>
                <w:sz w:val="16"/>
                <w:szCs w:val="16"/>
              </w:rPr>
            </w:pPr>
            <w:r w:rsidRPr="00EF21F0">
              <w:rPr>
                <w:rFonts w:ascii="Calibri" w:hAnsi="Calibri" w:cs="Calibri"/>
                <w:sz w:val="16"/>
                <w:szCs w:val="16"/>
              </w:rPr>
              <w:t>50,000</w:t>
            </w:r>
          </w:p>
        </w:tc>
        <w:tc>
          <w:tcPr>
            <w:tcW w:w="993" w:type="dxa"/>
            <w:tcBorders>
              <w:top w:val="single" w:sz="4" w:space="0" w:color="auto"/>
              <w:bottom w:val="single" w:sz="4" w:space="0" w:color="auto"/>
            </w:tcBorders>
          </w:tcPr>
          <w:p w14:paraId="4A1A8BE5" w14:textId="77777777" w:rsidR="00951BB7" w:rsidRPr="00997A0A" w:rsidRDefault="00951BB7" w:rsidP="006668A7">
            <w:pPr>
              <w:pStyle w:val="ESTablebody"/>
              <w:ind w:left="720"/>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7775A502" w14:textId="77777777" w:rsidR="00951BB7" w:rsidRPr="00997A0A" w:rsidRDefault="00951BB7" w:rsidP="006668A7">
            <w:pPr>
              <w:pStyle w:val="ESTablebody"/>
              <w:jc w:val="right"/>
              <w:rPr>
                <w:rFonts w:ascii="Calibri" w:hAnsi="Calibri" w:cs="Calibri"/>
                <w:sz w:val="16"/>
                <w:szCs w:val="16"/>
              </w:rPr>
            </w:pPr>
            <w:r w:rsidRPr="00E05E51">
              <w:rPr>
                <w:rFonts w:ascii="Calibri" w:hAnsi="Calibri" w:cs="Calibri"/>
                <w:sz w:val="16"/>
                <w:szCs w:val="16"/>
              </w:rPr>
              <w:t>N</w:t>
            </w:r>
          </w:p>
        </w:tc>
      </w:tr>
      <w:tr w:rsidR="00951BB7" w:rsidRPr="00925213" w14:paraId="347A9B9E" w14:textId="77777777" w:rsidTr="00383663">
        <w:trPr>
          <w:cantSplit/>
          <w:trHeight w:val="628"/>
        </w:trPr>
        <w:tc>
          <w:tcPr>
            <w:tcW w:w="1696" w:type="dxa"/>
            <w:tcBorders>
              <w:top w:val="single" w:sz="4" w:space="0" w:color="auto"/>
              <w:bottom w:val="single" w:sz="4" w:space="0" w:color="auto"/>
            </w:tcBorders>
            <w:shd w:val="clear" w:color="auto" w:fill="auto"/>
          </w:tcPr>
          <w:p w14:paraId="27493E8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Big Build higher apprenticeship pilot: action-research evaluation</w:t>
            </w:r>
          </w:p>
          <w:p w14:paraId="3FF1B01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35FE434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766775C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encourage the championing of higher apprenticeships by senior leaders of the Victorian civil infrastructure sector.</w:t>
            </w:r>
          </w:p>
        </w:tc>
        <w:tc>
          <w:tcPr>
            <w:tcW w:w="2409" w:type="dxa"/>
            <w:tcBorders>
              <w:top w:val="single" w:sz="4" w:space="0" w:color="auto"/>
              <w:bottom w:val="single" w:sz="4" w:space="0" w:color="auto"/>
            </w:tcBorders>
          </w:tcPr>
          <w:p w14:paraId="7A1E003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provide participating Victorian civil infrastructure sector senior leaders </w:t>
            </w:r>
            <w:proofErr w:type="spellStart"/>
            <w:r w:rsidRPr="00355385">
              <w:rPr>
                <w:rFonts w:ascii="Calibri" w:hAnsi="Calibri" w:cs="Calibri"/>
                <w:sz w:val="16"/>
                <w:szCs w:val="16"/>
              </w:rPr>
              <w:t>opportunies</w:t>
            </w:r>
            <w:proofErr w:type="spellEnd"/>
            <w:r w:rsidRPr="00355385">
              <w:rPr>
                <w:rFonts w:ascii="Calibri" w:hAnsi="Calibri" w:cs="Calibri"/>
                <w:sz w:val="16"/>
                <w:szCs w:val="16"/>
              </w:rPr>
              <w:t xml:space="preserve"> to identify ways to improve the digital maturity of their </w:t>
            </w:r>
            <w:proofErr w:type="spellStart"/>
            <w:r w:rsidRPr="00355385">
              <w:rPr>
                <w:rFonts w:ascii="Calibri" w:hAnsi="Calibri" w:cs="Calibri"/>
                <w:sz w:val="16"/>
                <w:szCs w:val="16"/>
              </w:rPr>
              <w:t>organisations</w:t>
            </w:r>
            <w:proofErr w:type="spellEnd"/>
            <w:r w:rsidRPr="00355385">
              <w:rPr>
                <w:rFonts w:ascii="Calibri" w:hAnsi="Calibri" w:cs="Calibri"/>
                <w:sz w:val="16"/>
                <w:szCs w:val="16"/>
              </w:rPr>
              <w:t>, including workforce development. </w:t>
            </w:r>
          </w:p>
        </w:tc>
        <w:tc>
          <w:tcPr>
            <w:tcW w:w="1134" w:type="dxa"/>
            <w:tcBorders>
              <w:top w:val="single" w:sz="4" w:space="0" w:color="auto"/>
              <w:bottom w:val="single" w:sz="4" w:space="0" w:color="auto"/>
            </w:tcBorders>
          </w:tcPr>
          <w:p w14:paraId="6BFC707D"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November 2020 – January 2021</w:t>
            </w:r>
          </w:p>
        </w:tc>
        <w:tc>
          <w:tcPr>
            <w:tcW w:w="1701" w:type="dxa"/>
            <w:tcBorders>
              <w:top w:val="single" w:sz="4" w:space="0" w:color="auto"/>
              <w:bottom w:val="single" w:sz="4" w:space="0" w:color="auto"/>
            </w:tcBorders>
          </w:tcPr>
          <w:p w14:paraId="4E74522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Identify the extent of current and future industry demand for higher apprenticeships in the Victorian civil infrastructure sector.</w:t>
            </w:r>
          </w:p>
        </w:tc>
        <w:tc>
          <w:tcPr>
            <w:tcW w:w="1134" w:type="dxa"/>
            <w:tcBorders>
              <w:top w:val="single" w:sz="4" w:space="0" w:color="auto"/>
              <w:bottom w:val="single" w:sz="4" w:space="0" w:color="auto"/>
            </w:tcBorders>
          </w:tcPr>
          <w:p w14:paraId="5F7FE3C0"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113,000</w:t>
            </w:r>
          </w:p>
        </w:tc>
        <w:tc>
          <w:tcPr>
            <w:tcW w:w="993" w:type="dxa"/>
            <w:tcBorders>
              <w:top w:val="single" w:sz="4" w:space="0" w:color="auto"/>
              <w:bottom w:val="single" w:sz="4" w:space="0" w:color="auto"/>
            </w:tcBorders>
          </w:tcPr>
          <w:p w14:paraId="48513130"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112,973</w:t>
            </w:r>
          </w:p>
        </w:tc>
        <w:tc>
          <w:tcPr>
            <w:tcW w:w="1622" w:type="dxa"/>
            <w:tcBorders>
              <w:top w:val="single" w:sz="4" w:space="0" w:color="auto"/>
              <w:bottom w:val="single" w:sz="4" w:space="0" w:color="auto"/>
            </w:tcBorders>
          </w:tcPr>
          <w:p w14:paraId="6DD8E29D"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N</w:t>
            </w:r>
          </w:p>
        </w:tc>
      </w:tr>
      <w:tr w:rsidR="00951BB7" w:rsidRPr="00925213" w14:paraId="3A98455F" w14:textId="77777777" w:rsidTr="00383663">
        <w:trPr>
          <w:cantSplit/>
          <w:trHeight w:val="628"/>
        </w:trPr>
        <w:tc>
          <w:tcPr>
            <w:tcW w:w="1696" w:type="dxa"/>
            <w:tcBorders>
              <w:top w:val="single" w:sz="4" w:space="0" w:color="auto"/>
              <w:bottom w:val="single" w:sz="4" w:space="0" w:color="auto"/>
            </w:tcBorders>
            <w:shd w:val="clear" w:color="auto" w:fill="auto"/>
          </w:tcPr>
          <w:p w14:paraId="5EB0DC88"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lastRenderedPageBreak/>
              <w:t>Business continuity management—plan review and exercise regime</w:t>
            </w:r>
          </w:p>
          <w:p w14:paraId="420928F8"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(All portfolios, Support Services Delivery)</w:t>
            </w:r>
          </w:p>
        </w:tc>
        <w:tc>
          <w:tcPr>
            <w:tcW w:w="1134" w:type="dxa"/>
            <w:tcBorders>
              <w:top w:val="single" w:sz="4" w:space="0" w:color="auto"/>
              <w:bottom w:val="single" w:sz="4" w:space="0" w:color="auto"/>
            </w:tcBorders>
            <w:shd w:val="clear" w:color="auto" w:fill="auto"/>
          </w:tcPr>
          <w:p w14:paraId="74758A95"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 xml:space="preserve">Terra </w:t>
            </w:r>
            <w:proofErr w:type="spellStart"/>
            <w:r w:rsidRPr="00355385">
              <w:rPr>
                <w:rFonts w:ascii="Calibri" w:hAnsi="Calibri" w:cs="Calibri"/>
                <w:sz w:val="16"/>
                <w:szCs w:val="16"/>
              </w:rPr>
              <w:t>Firma</w:t>
            </w:r>
            <w:proofErr w:type="spellEnd"/>
            <w:r w:rsidRPr="00355385">
              <w:rPr>
                <w:rFonts w:ascii="Calibri" w:hAnsi="Calibri" w:cs="Calibri"/>
                <w:sz w:val="16"/>
                <w:szCs w:val="16"/>
              </w:rPr>
              <w:t xml:space="preserve"> Pty Ltd</w:t>
            </w:r>
          </w:p>
        </w:tc>
        <w:tc>
          <w:tcPr>
            <w:tcW w:w="2127" w:type="dxa"/>
            <w:tcBorders>
              <w:top w:val="single" w:sz="4" w:space="0" w:color="auto"/>
              <w:bottom w:val="single" w:sz="4" w:space="0" w:color="auto"/>
            </w:tcBorders>
            <w:shd w:val="clear" w:color="auto" w:fill="auto"/>
          </w:tcPr>
          <w:p w14:paraId="5C5263D3"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enhance the Department’s business continuity capability.</w:t>
            </w:r>
          </w:p>
        </w:tc>
        <w:tc>
          <w:tcPr>
            <w:tcW w:w="2409" w:type="dxa"/>
            <w:tcBorders>
              <w:top w:val="single" w:sz="4" w:space="0" w:color="auto"/>
              <w:bottom w:val="single" w:sz="4" w:space="0" w:color="auto"/>
            </w:tcBorders>
          </w:tcPr>
          <w:p w14:paraId="5FCC6C7E"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review current business continuity documentation and identify recommendations for improvement.</w:t>
            </w:r>
          </w:p>
        </w:tc>
        <w:tc>
          <w:tcPr>
            <w:tcW w:w="1134" w:type="dxa"/>
            <w:tcBorders>
              <w:top w:val="single" w:sz="4" w:space="0" w:color="auto"/>
              <w:bottom w:val="single" w:sz="4" w:space="0" w:color="auto"/>
            </w:tcBorders>
          </w:tcPr>
          <w:p w14:paraId="406B0B9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w:t>
            </w:r>
            <w:r>
              <w:rPr>
                <w:rFonts w:ascii="Calibri" w:hAnsi="Calibri" w:cs="Calibri"/>
                <w:sz w:val="16"/>
                <w:szCs w:val="16"/>
              </w:rPr>
              <w:t xml:space="preserve"> </w:t>
            </w:r>
            <w:r w:rsidRPr="00355385">
              <w:rPr>
                <w:rFonts w:ascii="Calibri" w:hAnsi="Calibri" w:cs="Calibri"/>
                <w:sz w:val="16"/>
                <w:szCs w:val="16"/>
              </w:rPr>
              <w:t>–</w:t>
            </w:r>
            <w:r w:rsidRPr="00925213">
              <w:rPr>
                <w:rFonts w:ascii="Calibri" w:hAnsi="Calibri" w:cs="Calibri"/>
                <w:sz w:val="16"/>
                <w:szCs w:val="16"/>
              </w:rPr>
              <w:t>July 2021</w:t>
            </w:r>
          </w:p>
        </w:tc>
        <w:tc>
          <w:tcPr>
            <w:tcW w:w="1701" w:type="dxa"/>
            <w:tcBorders>
              <w:top w:val="single" w:sz="4" w:space="0" w:color="auto"/>
              <w:bottom w:val="single" w:sz="4" w:space="0" w:color="auto"/>
            </w:tcBorders>
          </w:tcPr>
          <w:p w14:paraId="65A9912D"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Updated documentation and approach to increase the Department’s business continuity capacity and capability.</w:t>
            </w:r>
          </w:p>
        </w:tc>
        <w:tc>
          <w:tcPr>
            <w:tcW w:w="1134" w:type="dxa"/>
            <w:tcBorders>
              <w:top w:val="single" w:sz="4" w:space="0" w:color="auto"/>
              <w:bottom w:val="single" w:sz="4" w:space="0" w:color="auto"/>
            </w:tcBorders>
          </w:tcPr>
          <w:p w14:paraId="353350F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5,500</w:t>
            </w:r>
          </w:p>
        </w:tc>
        <w:tc>
          <w:tcPr>
            <w:tcW w:w="993" w:type="dxa"/>
            <w:tcBorders>
              <w:top w:val="single" w:sz="4" w:space="0" w:color="auto"/>
              <w:bottom w:val="single" w:sz="4" w:space="0" w:color="auto"/>
            </w:tcBorders>
          </w:tcPr>
          <w:p w14:paraId="0CB55FC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5,500</w:t>
            </w:r>
          </w:p>
        </w:tc>
        <w:tc>
          <w:tcPr>
            <w:tcW w:w="1622" w:type="dxa"/>
            <w:tcBorders>
              <w:top w:val="single" w:sz="4" w:space="0" w:color="auto"/>
              <w:bottom w:val="single" w:sz="4" w:space="0" w:color="auto"/>
            </w:tcBorders>
          </w:tcPr>
          <w:p w14:paraId="25294066"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6D3F0C3D" w14:textId="77777777" w:rsidTr="006668A7">
        <w:trPr>
          <w:cantSplit/>
          <w:trHeight w:val="628"/>
        </w:trPr>
        <w:tc>
          <w:tcPr>
            <w:tcW w:w="1696" w:type="dxa"/>
            <w:tcBorders>
              <w:top w:val="single" w:sz="4" w:space="0" w:color="auto"/>
              <w:bottom w:val="single" w:sz="4" w:space="0" w:color="auto"/>
            </w:tcBorders>
            <w:shd w:val="clear" w:color="auto" w:fill="auto"/>
          </w:tcPr>
          <w:p w14:paraId="7EAA2FD0" w14:textId="77777777" w:rsidR="00951BB7" w:rsidRDefault="00951BB7" w:rsidP="006668A7">
            <w:pPr>
              <w:pStyle w:val="ESTablebody"/>
              <w:rPr>
                <w:rFonts w:ascii="Calibri" w:hAnsi="Calibri" w:cs="Calibri"/>
                <w:sz w:val="16"/>
                <w:szCs w:val="16"/>
              </w:rPr>
            </w:pPr>
            <w:r w:rsidRPr="000F1564">
              <w:rPr>
                <w:rFonts w:ascii="Calibri" w:hAnsi="Calibri" w:cs="Calibri"/>
                <w:sz w:val="16"/>
                <w:szCs w:val="16"/>
              </w:rPr>
              <w:t>Catching Up in 2021</w:t>
            </w:r>
          </w:p>
          <w:p w14:paraId="61F94AC0" w14:textId="77777777" w:rsidR="00951BB7" w:rsidRPr="00997A0A" w:rsidRDefault="00951BB7" w:rsidP="006668A7">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3B5A242" w14:textId="77777777" w:rsidR="00951BB7" w:rsidRPr="00997A0A" w:rsidRDefault="00951BB7" w:rsidP="006668A7">
            <w:pPr>
              <w:pStyle w:val="ESTablebody"/>
              <w:rPr>
                <w:rFonts w:ascii="Calibri" w:hAnsi="Calibri" w:cs="Calibri"/>
                <w:sz w:val="16"/>
                <w:szCs w:val="16"/>
              </w:rPr>
            </w:pPr>
            <w:r w:rsidRPr="00EF21F0">
              <w:rPr>
                <w:rFonts w:ascii="Calibri" w:hAnsi="Calibri" w:cs="Calibri"/>
                <w:sz w:val="16"/>
                <w:szCs w:val="16"/>
              </w:rPr>
              <w:t>Deloitte</w:t>
            </w:r>
          </w:p>
        </w:tc>
        <w:tc>
          <w:tcPr>
            <w:tcW w:w="2127" w:type="dxa"/>
            <w:tcBorders>
              <w:top w:val="single" w:sz="4" w:space="0" w:color="auto"/>
              <w:bottom w:val="single" w:sz="4" w:space="0" w:color="auto"/>
            </w:tcBorders>
            <w:shd w:val="clear" w:color="auto" w:fill="auto"/>
          </w:tcPr>
          <w:p w14:paraId="5A1E9724" w14:textId="77777777" w:rsidR="00951BB7" w:rsidRPr="00997A0A" w:rsidRDefault="00951BB7" w:rsidP="006668A7">
            <w:pPr>
              <w:pStyle w:val="ESTablebody"/>
              <w:rPr>
                <w:rFonts w:ascii="Calibri" w:hAnsi="Calibri" w:cs="Calibri"/>
                <w:sz w:val="16"/>
                <w:szCs w:val="16"/>
              </w:rPr>
            </w:pPr>
            <w:r w:rsidRPr="00EF21F0">
              <w:rPr>
                <w:rFonts w:ascii="Calibri" w:hAnsi="Calibri" w:cs="Calibri"/>
                <w:sz w:val="16"/>
                <w:szCs w:val="16"/>
              </w:rPr>
              <w:t>To identify examples of practice models and determine the implications for the future direction of the broader school improvement architecture, including the Literacy and Numeracy Strategy, the inquiry cycle, assessment, teaching practice, the regional operating model and workforce attraction and recruitment.</w:t>
            </w:r>
          </w:p>
        </w:tc>
        <w:tc>
          <w:tcPr>
            <w:tcW w:w="2409" w:type="dxa"/>
            <w:tcBorders>
              <w:top w:val="single" w:sz="4" w:space="0" w:color="auto"/>
              <w:bottom w:val="single" w:sz="4" w:space="0" w:color="auto"/>
            </w:tcBorders>
          </w:tcPr>
          <w:p w14:paraId="62991FC3" w14:textId="77777777" w:rsidR="00951BB7" w:rsidRPr="00997A0A" w:rsidRDefault="00951BB7" w:rsidP="006668A7">
            <w:pPr>
              <w:pStyle w:val="ESTablebody"/>
              <w:rPr>
                <w:rFonts w:ascii="Calibri" w:hAnsi="Calibri" w:cs="Calibri"/>
                <w:sz w:val="16"/>
                <w:szCs w:val="16"/>
              </w:rPr>
            </w:pPr>
            <w:r>
              <w:rPr>
                <w:rFonts w:ascii="Calibri" w:hAnsi="Calibri" w:cs="Calibri"/>
                <w:sz w:val="16"/>
                <w:szCs w:val="16"/>
              </w:rPr>
              <w:t xml:space="preserve">To evaluate the </w:t>
            </w:r>
            <w:r w:rsidRPr="00EF21F0">
              <w:rPr>
                <w:rFonts w:ascii="Calibri" w:hAnsi="Calibri" w:cs="Calibri"/>
                <w:sz w:val="16"/>
                <w:szCs w:val="16"/>
              </w:rPr>
              <w:t xml:space="preserve">Tutor Learning and Family Engagement as linked elements of a single initiative. The evaluation will provide summative and formative observations across the domains of appropriateness, fidelity, and impact in 2021. </w:t>
            </w:r>
          </w:p>
        </w:tc>
        <w:tc>
          <w:tcPr>
            <w:tcW w:w="1134" w:type="dxa"/>
            <w:tcBorders>
              <w:top w:val="single" w:sz="4" w:space="0" w:color="auto"/>
              <w:bottom w:val="single" w:sz="4" w:space="0" w:color="auto"/>
            </w:tcBorders>
          </w:tcPr>
          <w:p w14:paraId="276453F5" w14:textId="77777777" w:rsidR="00951BB7" w:rsidRPr="00997A0A" w:rsidRDefault="00951BB7" w:rsidP="006668A7">
            <w:pPr>
              <w:pStyle w:val="ESTablebody"/>
              <w:rPr>
                <w:rFonts w:ascii="Calibri" w:hAnsi="Calibri" w:cs="Calibri"/>
                <w:sz w:val="16"/>
                <w:szCs w:val="16"/>
              </w:rPr>
            </w:pPr>
            <w:r w:rsidRPr="00EF21F0">
              <w:rPr>
                <w:rFonts w:ascii="Calibri" w:hAnsi="Calibri" w:cs="Calibri"/>
                <w:sz w:val="16"/>
                <w:szCs w:val="16"/>
              </w:rPr>
              <w:t>March 2021 – March 2022</w:t>
            </w:r>
          </w:p>
        </w:tc>
        <w:tc>
          <w:tcPr>
            <w:tcW w:w="1701" w:type="dxa"/>
            <w:tcBorders>
              <w:top w:val="single" w:sz="4" w:space="0" w:color="auto"/>
              <w:bottom w:val="single" w:sz="4" w:space="0" w:color="auto"/>
            </w:tcBorders>
          </w:tcPr>
          <w:p w14:paraId="4EF5A8DB" w14:textId="77777777" w:rsidR="00951BB7" w:rsidRDefault="00951BB7" w:rsidP="006668A7">
            <w:pPr>
              <w:pStyle w:val="ESTablebody"/>
              <w:rPr>
                <w:rFonts w:ascii="Calibri" w:hAnsi="Calibri" w:cs="Calibri"/>
                <w:sz w:val="16"/>
                <w:szCs w:val="16"/>
              </w:rPr>
            </w:pPr>
            <w:r w:rsidRPr="00EF21F0">
              <w:rPr>
                <w:rFonts w:ascii="Calibri" w:hAnsi="Calibri" w:cs="Calibri"/>
                <w:sz w:val="16"/>
                <w:szCs w:val="16"/>
              </w:rPr>
              <w:t>The research will help inform future policy and implementation options regarding effective small group learning interventions. It will provide input into implementation</w:t>
            </w:r>
            <w:r>
              <w:rPr>
                <w:rFonts w:ascii="Calibri" w:hAnsi="Calibri" w:cs="Calibri"/>
                <w:sz w:val="16"/>
                <w:szCs w:val="16"/>
              </w:rPr>
              <w:t xml:space="preserve"> of the Tutor Learning initiative in 2021 through, </w:t>
            </w:r>
            <w:r w:rsidRPr="00EF21F0">
              <w:rPr>
                <w:rFonts w:ascii="Calibri" w:hAnsi="Calibri" w:cs="Calibri"/>
                <w:sz w:val="16"/>
                <w:szCs w:val="16"/>
              </w:rPr>
              <w:t xml:space="preserve">monitoring, </w:t>
            </w:r>
            <w:proofErr w:type="gramStart"/>
            <w:r w:rsidRPr="00EF21F0">
              <w:rPr>
                <w:rFonts w:ascii="Calibri" w:hAnsi="Calibri" w:cs="Calibri"/>
                <w:sz w:val="16"/>
                <w:szCs w:val="16"/>
              </w:rPr>
              <w:t>guidance</w:t>
            </w:r>
            <w:proofErr w:type="gramEnd"/>
            <w:r w:rsidRPr="00EF21F0">
              <w:rPr>
                <w:rFonts w:ascii="Calibri" w:hAnsi="Calibri" w:cs="Calibri"/>
                <w:sz w:val="16"/>
                <w:szCs w:val="16"/>
              </w:rPr>
              <w:t xml:space="preserve"> and professional learning. </w:t>
            </w:r>
          </w:p>
        </w:tc>
        <w:tc>
          <w:tcPr>
            <w:tcW w:w="1134" w:type="dxa"/>
            <w:tcBorders>
              <w:top w:val="single" w:sz="4" w:space="0" w:color="auto"/>
              <w:bottom w:val="single" w:sz="4" w:space="0" w:color="auto"/>
            </w:tcBorders>
          </w:tcPr>
          <w:p w14:paraId="415BC502" w14:textId="77777777" w:rsidR="00951BB7" w:rsidRPr="00997A0A" w:rsidRDefault="00951BB7" w:rsidP="006668A7">
            <w:pPr>
              <w:pStyle w:val="ESTablebody"/>
              <w:jc w:val="right"/>
              <w:rPr>
                <w:rFonts w:ascii="Calibri" w:hAnsi="Calibri" w:cs="Calibri"/>
                <w:sz w:val="16"/>
                <w:szCs w:val="16"/>
              </w:rPr>
            </w:pPr>
            <w:r w:rsidRPr="00EF21F0">
              <w:rPr>
                <w:rFonts w:ascii="Calibri" w:hAnsi="Calibri" w:cs="Calibri"/>
                <w:sz w:val="16"/>
                <w:szCs w:val="16"/>
              </w:rPr>
              <w:t>721,167</w:t>
            </w:r>
          </w:p>
        </w:tc>
        <w:tc>
          <w:tcPr>
            <w:tcW w:w="993" w:type="dxa"/>
            <w:tcBorders>
              <w:top w:val="single" w:sz="4" w:space="0" w:color="auto"/>
              <w:bottom w:val="single" w:sz="4" w:space="0" w:color="auto"/>
            </w:tcBorders>
          </w:tcPr>
          <w:p w14:paraId="78A1A355" w14:textId="77777777" w:rsidR="00951BB7" w:rsidRPr="00997A0A" w:rsidRDefault="00951BB7" w:rsidP="006668A7">
            <w:pPr>
              <w:pStyle w:val="ESTablebody"/>
              <w:jc w:val="right"/>
              <w:rPr>
                <w:rFonts w:ascii="Calibri" w:hAnsi="Calibri" w:cs="Calibri"/>
                <w:sz w:val="16"/>
                <w:szCs w:val="16"/>
              </w:rPr>
            </w:pPr>
            <w:r w:rsidRPr="00EF21F0">
              <w:rPr>
                <w:rFonts w:ascii="Calibri" w:hAnsi="Calibri" w:cs="Calibri"/>
                <w:sz w:val="16"/>
                <w:szCs w:val="16"/>
              </w:rPr>
              <w:t>TBC</w:t>
            </w:r>
          </w:p>
        </w:tc>
        <w:tc>
          <w:tcPr>
            <w:tcW w:w="1622" w:type="dxa"/>
            <w:tcBorders>
              <w:top w:val="single" w:sz="4" w:space="0" w:color="auto"/>
              <w:bottom w:val="single" w:sz="4" w:space="0" w:color="auto"/>
            </w:tcBorders>
          </w:tcPr>
          <w:p w14:paraId="6C03EA43" w14:textId="77777777" w:rsidR="00951BB7" w:rsidRPr="00997A0A" w:rsidRDefault="00951BB7" w:rsidP="006668A7">
            <w:pPr>
              <w:pStyle w:val="ESTablebody"/>
              <w:jc w:val="right"/>
              <w:rPr>
                <w:rFonts w:ascii="Calibri" w:hAnsi="Calibri" w:cs="Calibri"/>
                <w:sz w:val="16"/>
                <w:szCs w:val="16"/>
              </w:rPr>
            </w:pPr>
            <w:r w:rsidRPr="00EF21F0">
              <w:rPr>
                <w:rFonts w:ascii="Calibri" w:hAnsi="Calibri" w:cs="Calibri"/>
                <w:sz w:val="16"/>
                <w:szCs w:val="16"/>
              </w:rPr>
              <w:t>N</w:t>
            </w:r>
          </w:p>
        </w:tc>
      </w:tr>
      <w:tr w:rsidR="00951BB7" w:rsidRPr="00925213" w14:paraId="12DE9413" w14:textId="77777777" w:rsidTr="00383663">
        <w:trPr>
          <w:cantSplit/>
          <w:trHeight w:val="628"/>
        </w:trPr>
        <w:tc>
          <w:tcPr>
            <w:tcW w:w="1696" w:type="dxa"/>
            <w:tcBorders>
              <w:top w:val="single" w:sz="4" w:space="0" w:color="auto"/>
              <w:bottom w:val="single" w:sz="4" w:space="0" w:color="auto"/>
            </w:tcBorders>
            <w:shd w:val="clear" w:color="auto" w:fill="auto"/>
          </w:tcPr>
          <w:p w14:paraId="26C582C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Collaborative provision of professional learning opportunities in a teach to lead program for aspirational leaders in Victoria’s education system.</w:t>
            </w:r>
          </w:p>
          <w:p w14:paraId="02363D66"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(Education portfolio, Strategy, Review and Regulation)</w:t>
            </w:r>
          </w:p>
        </w:tc>
        <w:tc>
          <w:tcPr>
            <w:tcW w:w="1134" w:type="dxa"/>
            <w:tcBorders>
              <w:top w:val="single" w:sz="4" w:space="0" w:color="auto"/>
              <w:bottom w:val="single" w:sz="4" w:space="0" w:color="auto"/>
            </w:tcBorders>
            <w:shd w:val="clear" w:color="auto" w:fill="auto"/>
          </w:tcPr>
          <w:p w14:paraId="75DE1B43"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Teach for Australia</w:t>
            </w:r>
          </w:p>
        </w:tc>
        <w:tc>
          <w:tcPr>
            <w:tcW w:w="2127" w:type="dxa"/>
            <w:tcBorders>
              <w:top w:val="single" w:sz="4" w:space="0" w:color="auto"/>
              <w:bottom w:val="single" w:sz="4" w:space="0" w:color="auto"/>
            </w:tcBorders>
            <w:shd w:val="clear" w:color="auto" w:fill="auto"/>
          </w:tcPr>
          <w:p w14:paraId="64C8D5C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help break the cycle of disadvantage by developing a pipeline of exceptional leaders for schools serving low socioeconomic communities.</w:t>
            </w:r>
          </w:p>
        </w:tc>
        <w:tc>
          <w:tcPr>
            <w:tcW w:w="2409" w:type="dxa"/>
            <w:tcBorders>
              <w:top w:val="single" w:sz="4" w:space="0" w:color="auto"/>
              <w:bottom w:val="single" w:sz="4" w:space="0" w:color="auto"/>
            </w:tcBorders>
          </w:tcPr>
          <w:p w14:paraId="07BED8A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build skills that matter most in disadvantaged schools such as leading change, engaging with communities, improving teaching practices and operating with limited resources, through evidence-based curriculum and delivery modes, and the teach to lead program. </w:t>
            </w:r>
          </w:p>
        </w:tc>
        <w:tc>
          <w:tcPr>
            <w:tcW w:w="1134" w:type="dxa"/>
            <w:tcBorders>
              <w:top w:val="single" w:sz="4" w:space="0" w:color="auto"/>
              <w:bottom w:val="single" w:sz="4" w:space="0" w:color="auto"/>
            </w:tcBorders>
          </w:tcPr>
          <w:p w14:paraId="3F89C3C6"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January 2018 – March 2021</w:t>
            </w:r>
          </w:p>
        </w:tc>
        <w:tc>
          <w:tcPr>
            <w:tcW w:w="1701" w:type="dxa"/>
            <w:tcBorders>
              <w:top w:val="single" w:sz="4" w:space="0" w:color="auto"/>
              <w:bottom w:val="single" w:sz="4" w:space="0" w:color="auto"/>
            </w:tcBorders>
          </w:tcPr>
          <w:p w14:paraId="2328659D"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Participants become high-performing principals, driving improvement across whole school communities.</w:t>
            </w:r>
          </w:p>
        </w:tc>
        <w:tc>
          <w:tcPr>
            <w:tcW w:w="1134" w:type="dxa"/>
            <w:tcBorders>
              <w:top w:val="single" w:sz="4" w:space="0" w:color="auto"/>
              <w:bottom w:val="single" w:sz="4" w:space="0" w:color="auto"/>
            </w:tcBorders>
          </w:tcPr>
          <w:p w14:paraId="5FCEF3F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221,000</w:t>
            </w:r>
          </w:p>
        </w:tc>
        <w:tc>
          <w:tcPr>
            <w:tcW w:w="993" w:type="dxa"/>
            <w:tcBorders>
              <w:top w:val="single" w:sz="4" w:space="0" w:color="auto"/>
              <w:bottom w:val="single" w:sz="4" w:space="0" w:color="auto"/>
            </w:tcBorders>
          </w:tcPr>
          <w:p w14:paraId="2172A3A6" w14:textId="77777777" w:rsidR="00951BB7" w:rsidRPr="00925213" w:rsidRDefault="00951BB7" w:rsidP="00375B4C">
            <w:pPr>
              <w:pStyle w:val="ESTablebody"/>
              <w:jc w:val="right"/>
              <w:rPr>
                <w:rFonts w:ascii="Calibri" w:hAnsi="Calibri" w:cs="Calibri"/>
                <w:sz w:val="16"/>
                <w:szCs w:val="16"/>
              </w:rPr>
            </w:pPr>
            <w:r>
              <w:rPr>
                <w:rFonts w:ascii="Calibri" w:hAnsi="Calibri" w:cs="Calibri"/>
                <w:sz w:val="16"/>
                <w:szCs w:val="16"/>
              </w:rPr>
              <w:t>442</w:t>
            </w:r>
            <w:r w:rsidRPr="00925213">
              <w:rPr>
                <w:rFonts w:ascii="Calibri" w:hAnsi="Calibri" w:cs="Calibri"/>
                <w:sz w:val="16"/>
                <w:szCs w:val="16"/>
              </w:rPr>
              <w:t>,000</w:t>
            </w:r>
          </w:p>
        </w:tc>
        <w:tc>
          <w:tcPr>
            <w:tcW w:w="1622" w:type="dxa"/>
            <w:tcBorders>
              <w:top w:val="single" w:sz="4" w:space="0" w:color="auto"/>
              <w:bottom w:val="single" w:sz="4" w:space="0" w:color="auto"/>
            </w:tcBorders>
          </w:tcPr>
          <w:p w14:paraId="45FCEB6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695553D9" w14:textId="77777777" w:rsidTr="00383663">
        <w:trPr>
          <w:cantSplit/>
          <w:trHeight w:val="628"/>
        </w:trPr>
        <w:tc>
          <w:tcPr>
            <w:tcW w:w="1696" w:type="dxa"/>
            <w:tcBorders>
              <w:top w:val="single" w:sz="4" w:space="0" w:color="auto"/>
              <w:bottom w:val="single" w:sz="4" w:space="0" w:color="auto"/>
            </w:tcBorders>
            <w:shd w:val="clear" w:color="auto" w:fill="auto"/>
          </w:tcPr>
          <w:p w14:paraId="7FE35A57"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lastRenderedPageBreak/>
              <w:t>Communities of Practice (CoP) approach evaluation</w:t>
            </w:r>
          </w:p>
          <w:p w14:paraId="500DB9B6"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(Education portfolio, Strategy, Review and Regulation; Support Services Delivery)</w:t>
            </w:r>
          </w:p>
        </w:tc>
        <w:tc>
          <w:tcPr>
            <w:tcW w:w="1134" w:type="dxa"/>
            <w:tcBorders>
              <w:top w:val="single" w:sz="4" w:space="0" w:color="auto"/>
              <w:bottom w:val="single" w:sz="4" w:space="0" w:color="auto"/>
            </w:tcBorders>
            <w:shd w:val="clear" w:color="auto" w:fill="auto"/>
          </w:tcPr>
          <w:p w14:paraId="399A4991"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Urbis</w:t>
            </w:r>
          </w:p>
        </w:tc>
        <w:tc>
          <w:tcPr>
            <w:tcW w:w="2127" w:type="dxa"/>
            <w:tcBorders>
              <w:top w:val="single" w:sz="4" w:space="0" w:color="auto"/>
              <w:bottom w:val="single" w:sz="4" w:space="0" w:color="auto"/>
            </w:tcBorders>
            <w:shd w:val="clear" w:color="auto" w:fill="auto"/>
          </w:tcPr>
          <w:p w14:paraId="6F05205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evaluate the ongoing impact of the CoP initiative as implemented in Victorian principal networks.</w:t>
            </w:r>
          </w:p>
        </w:tc>
        <w:tc>
          <w:tcPr>
            <w:tcW w:w="2409" w:type="dxa"/>
            <w:tcBorders>
              <w:top w:val="single" w:sz="4" w:space="0" w:color="auto"/>
              <w:bottom w:val="single" w:sz="4" w:space="0" w:color="auto"/>
            </w:tcBorders>
          </w:tcPr>
          <w:p w14:paraId="32B642D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provide a comprehensive assessment of the strengths and weaknesses of the CoP, as well as to develop recommendations on how to further improve CoP practices in alignment with the Framework for Improving Student Outcomes and the Education State targets.</w:t>
            </w:r>
          </w:p>
        </w:tc>
        <w:tc>
          <w:tcPr>
            <w:tcW w:w="1134" w:type="dxa"/>
            <w:tcBorders>
              <w:top w:val="single" w:sz="4" w:space="0" w:color="auto"/>
              <w:bottom w:val="single" w:sz="4" w:space="0" w:color="auto"/>
            </w:tcBorders>
          </w:tcPr>
          <w:p w14:paraId="152FADA5"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July 2020 –June 2022</w:t>
            </w:r>
          </w:p>
        </w:tc>
        <w:tc>
          <w:tcPr>
            <w:tcW w:w="1701" w:type="dxa"/>
            <w:tcBorders>
              <w:top w:val="single" w:sz="4" w:space="0" w:color="auto"/>
              <w:bottom w:val="single" w:sz="4" w:space="0" w:color="auto"/>
            </w:tcBorders>
          </w:tcPr>
          <w:p w14:paraId="61253D80"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The Department makes decisions about the ongoing design and support for the CoP initiative. This evaluation ensures that CoP remains relevant, </w:t>
            </w:r>
            <w:proofErr w:type="gramStart"/>
            <w:r w:rsidRPr="00355385">
              <w:rPr>
                <w:rFonts w:ascii="Calibri" w:hAnsi="Calibri" w:cs="Calibri"/>
                <w:sz w:val="16"/>
                <w:szCs w:val="16"/>
              </w:rPr>
              <w:t>efficient</w:t>
            </w:r>
            <w:proofErr w:type="gramEnd"/>
            <w:r w:rsidRPr="00355385">
              <w:rPr>
                <w:rFonts w:ascii="Calibri" w:hAnsi="Calibri" w:cs="Calibri"/>
                <w:sz w:val="16"/>
                <w:szCs w:val="16"/>
              </w:rPr>
              <w:t xml:space="preserve"> and effective over time.</w:t>
            </w:r>
          </w:p>
          <w:p w14:paraId="6CB537EE" w14:textId="77777777" w:rsidR="00951BB7" w:rsidRPr="00925213" w:rsidRDefault="00951BB7" w:rsidP="00355385">
            <w:pPr>
              <w:pStyle w:val="ESTablebody"/>
              <w:rPr>
                <w:rFonts w:ascii="Calibri" w:hAnsi="Calibri" w:cs="Calibri"/>
                <w:sz w:val="16"/>
                <w:szCs w:val="16"/>
              </w:rPr>
            </w:pPr>
          </w:p>
        </w:tc>
        <w:tc>
          <w:tcPr>
            <w:tcW w:w="1134" w:type="dxa"/>
            <w:tcBorders>
              <w:top w:val="single" w:sz="4" w:space="0" w:color="auto"/>
              <w:bottom w:val="single" w:sz="4" w:space="0" w:color="auto"/>
            </w:tcBorders>
          </w:tcPr>
          <w:p w14:paraId="7F2F9CE5"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545,895</w:t>
            </w:r>
          </w:p>
        </w:tc>
        <w:tc>
          <w:tcPr>
            <w:tcW w:w="993" w:type="dxa"/>
            <w:tcBorders>
              <w:top w:val="single" w:sz="4" w:space="0" w:color="auto"/>
              <w:bottom w:val="single" w:sz="4" w:space="0" w:color="auto"/>
            </w:tcBorders>
          </w:tcPr>
          <w:p w14:paraId="60A2EBB5"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65397BF5"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N</w:t>
            </w:r>
          </w:p>
        </w:tc>
      </w:tr>
      <w:tr w:rsidR="00951BB7" w:rsidRPr="00925213" w14:paraId="455EC9B0" w14:textId="77777777" w:rsidTr="00383663">
        <w:trPr>
          <w:cantSplit/>
          <w:trHeight w:val="628"/>
        </w:trPr>
        <w:tc>
          <w:tcPr>
            <w:tcW w:w="1696" w:type="dxa"/>
            <w:tcBorders>
              <w:top w:val="single" w:sz="4" w:space="0" w:color="auto"/>
              <w:bottom w:val="single" w:sz="4" w:space="0" w:color="auto"/>
            </w:tcBorders>
            <w:shd w:val="clear" w:color="auto" w:fill="auto"/>
          </w:tcPr>
          <w:p w14:paraId="097E909D" w14:textId="77777777" w:rsidR="00951BB7" w:rsidRPr="00C82029" w:rsidRDefault="00951BB7" w:rsidP="00375B4C">
            <w:pPr>
              <w:pStyle w:val="ESTablebody"/>
              <w:rPr>
                <w:rFonts w:ascii="Calibri" w:hAnsi="Calibri" w:cs="Calibri"/>
                <w:sz w:val="16"/>
                <w:szCs w:val="16"/>
              </w:rPr>
            </w:pPr>
            <w:r w:rsidRPr="00C82029">
              <w:rPr>
                <w:rFonts w:ascii="Calibri" w:hAnsi="Calibri" w:cs="Calibri"/>
                <w:sz w:val="16"/>
                <w:szCs w:val="16"/>
              </w:rPr>
              <w:t>Defining and mapping out</w:t>
            </w:r>
            <w:r>
              <w:rPr>
                <w:rFonts w:ascii="Calibri" w:hAnsi="Calibri" w:cs="Calibri"/>
                <w:sz w:val="16"/>
                <w:szCs w:val="16"/>
              </w:rPr>
              <w:t>-</w:t>
            </w:r>
            <w:r w:rsidRPr="00C82029">
              <w:rPr>
                <w:rFonts w:ascii="Calibri" w:hAnsi="Calibri" w:cs="Calibri"/>
                <w:sz w:val="16"/>
                <w:szCs w:val="16"/>
              </w:rPr>
              <w:t>of</w:t>
            </w:r>
            <w:r>
              <w:rPr>
                <w:rFonts w:ascii="Calibri" w:hAnsi="Calibri" w:cs="Calibri"/>
                <w:sz w:val="16"/>
                <w:szCs w:val="16"/>
              </w:rPr>
              <w:t>-</w:t>
            </w:r>
            <w:r w:rsidRPr="00C82029">
              <w:rPr>
                <w:rFonts w:ascii="Calibri" w:hAnsi="Calibri" w:cs="Calibri"/>
                <w:sz w:val="16"/>
                <w:szCs w:val="16"/>
              </w:rPr>
              <w:t>field teaching in Victorian government schools report</w:t>
            </w:r>
          </w:p>
          <w:p w14:paraId="577E9646" w14:textId="77777777" w:rsidR="00951BB7" w:rsidRPr="00C82029" w:rsidRDefault="00951BB7" w:rsidP="00375B4C">
            <w:pPr>
              <w:pStyle w:val="ESTablebody"/>
              <w:rPr>
                <w:rFonts w:ascii="Calibri" w:hAnsi="Calibri" w:cs="Calibri"/>
                <w:sz w:val="16"/>
                <w:szCs w:val="16"/>
              </w:rPr>
            </w:pPr>
            <w:r>
              <w:rPr>
                <w:rFonts w:ascii="Calibri" w:hAnsi="Calibri" w:cs="Calibri"/>
                <w:sz w:val="16"/>
                <w:szCs w:val="16"/>
              </w:rPr>
              <w:t>(</w:t>
            </w:r>
            <w:r w:rsidRPr="00C82029">
              <w:rPr>
                <w:rFonts w:ascii="Calibri" w:hAnsi="Calibri" w:cs="Calibri"/>
                <w:sz w:val="16"/>
                <w:szCs w:val="16"/>
              </w:rPr>
              <w:t>Education portfolio, School education</w:t>
            </w:r>
            <w:r>
              <w:rPr>
                <w:rFonts w:ascii="Calibri" w:hAnsi="Calibri" w:cs="Calibri"/>
                <w:sz w:val="16"/>
                <w:szCs w:val="16"/>
              </w:rPr>
              <w:t>—</w:t>
            </w:r>
            <w:r w:rsidRPr="00C82029">
              <w:rPr>
                <w:rFonts w:ascii="Calibri" w:hAnsi="Calibri" w:cs="Calibri"/>
                <w:sz w:val="16"/>
                <w:szCs w:val="16"/>
              </w:rPr>
              <w:t>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E57E0F5" w14:textId="77777777" w:rsidR="00951BB7" w:rsidRPr="00C82029" w:rsidRDefault="00951BB7" w:rsidP="00375B4C">
            <w:pPr>
              <w:pStyle w:val="ESTablebody"/>
              <w:rPr>
                <w:rFonts w:ascii="Calibri" w:hAnsi="Calibri" w:cs="Calibri"/>
                <w:sz w:val="16"/>
                <w:szCs w:val="16"/>
              </w:rPr>
            </w:pPr>
            <w:r w:rsidRPr="00C82029">
              <w:rPr>
                <w:rFonts w:ascii="Calibri" w:hAnsi="Calibri" w:cs="Calibri"/>
                <w:sz w:val="16"/>
                <w:szCs w:val="16"/>
              </w:rPr>
              <w:t>Deakin University</w:t>
            </w:r>
          </w:p>
        </w:tc>
        <w:tc>
          <w:tcPr>
            <w:tcW w:w="2127" w:type="dxa"/>
            <w:tcBorders>
              <w:top w:val="single" w:sz="4" w:space="0" w:color="auto"/>
              <w:bottom w:val="single" w:sz="4" w:space="0" w:color="auto"/>
            </w:tcBorders>
            <w:shd w:val="clear" w:color="auto" w:fill="auto"/>
          </w:tcPr>
          <w:p w14:paraId="7C5DF58F" w14:textId="77777777" w:rsidR="00951BB7" w:rsidRPr="00355385" w:rsidRDefault="00951BB7" w:rsidP="00375B4C">
            <w:pPr>
              <w:pStyle w:val="ESTablebody"/>
              <w:rPr>
                <w:rFonts w:ascii="Calibri" w:hAnsi="Calibri" w:cs="Calibri"/>
                <w:sz w:val="16"/>
                <w:szCs w:val="16"/>
              </w:rPr>
            </w:pPr>
            <w:r w:rsidRPr="00C82029">
              <w:rPr>
                <w:rFonts w:ascii="Calibri" w:hAnsi="Calibri" w:cs="Calibri"/>
                <w:sz w:val="16"/>
                <w:szCs w:val="16"/>
              </w:rPr>
              <w:t>To explore the extent of out</w:t>
            </w:r>
            <w:r>
              <w:rPr>
                <w:rFonts w:ascii="Calibri" w:hAnsi="Calibri" w:cs="Calibri"/>
                <w:sz w:val="16"/>
                <w:szCs w:val="16"/>
              </w:rPr>
              <w:t>-</w:t>
            </w:r>
            <w:r w:rsidRPr="00C82029">
              <w:rPr>
                <w:rFonts w:ascii="Calibri" w:hAnsi="Calibri" w:cs="Calibri"/>
                <w:sz w:val="16"/>
                <w:szCs w:val="16"/>
              </w:rPr>
              <w:t>of</w:t>
            </w:r>
            <w:r>
              <w:rPr>
                <w:rFonts w:ascii="Calibri" w:hAnsi="Calibri" w:cs="Calibri"/>
                <w:sz w:val="16"/>
                <w:szCs w:val="16"/>
              </w:rPr>
              <w:t>-</w:t>
            </w:r>
            <w:r w:rsidRPr="00C82029">
              <w:rPr>
                <w:rFonts w:ascii="Calibri" w:hAnsi="Calibri" w:cs="Calibri"/>
                <w:sz w:val="16"/>
                <w:szCs w:val="16"/>
              </w:rPr>
              <w:t>field</w:t>
            </w:r>
            <w:r>
              <w:rPr>
                <w:rFonts w:ascii="Calibri" w:hAnsi="Calibri" w:cs="Calibri"/>
                <w:sz w:val="16"/>
                <w:szCs w:val="16"/>
              </w:rPr>
              <w:t xml:space="preserve"> teaching</w:t>
            </w:r>
            <w:r w:rsidRPr="00C82029">
              <w:rPr>
                <w:rFonts w:ascii="Calibri" w:hAnsi="Calibri" w:cs="Calibri"/>
                <w:sz w:val="16"/>
                <w:szCs w:val="16"/>
              </w:rPr>
              <w:t xml:space="preserve"> in Victorian schools and its implications for workforce and school operations.</w:t>
            </w:r>
          </w:p>
        </w:tc>
        <w:tc>
          <w:tcPr>
            <w:tcW w:w="2409" w:type="dxa"/>
            <w:tcBorders>
              <w:top w:val="single" w:sz="4" w:space="0" w:color="auto"/>
              <w:bottom w:val="single" w:sz="4" w:space="0" w:color="auto"/>
            </w:tcBorders>
          </w:tcPr>
          <w:p w14:paraId="3BA277FE" w14:textId="77777777" w:rsidR="00951BB7" w:rsidRPr="00355385" w:rsidRDefault="00951BB7" w:rsidP="00375B4C">
            <w:pPr>
              <w:tabs>
                <w:tab w:val="left" w:pos="709"/>
                <w:tab w:val="left" w:pos="1418"/>
                <w:tab w:val="left" w:pos="2126"/>
                <w:tab w:val="right" w:pos="9356"/>
              </w:tabs>
              <w:overflowPunct w:val="0"/>
              <w:autoSpaceDE w:val="0"/>
              <w:autoSpaceDN w:val="0"/>
              <w:adjustRightInd w:val="0"/>
              <w:spacing w:before="120"/>
              <w:textAlignment w:val="baseline"/>
              <w:rPr>
                <w:rFonts w:ascii="Calibri" w:eastAsiaTheme="minorEastAsia" w:hAnsi="Calibri" w:cs="Calibri"/>
                <w:sz w:val="16"/>
                <w:szCs w:val="16"/>
                <w:lang w:val="en-US"/>
              </w:rPr>
            </w:pPr>
            <w:r w:rsidRPr="00355385">
              <w:rPr>
                <w:rFonts w:ascii="Calibri" w:eastAsiaTheme="minorEastAsia" w:hAnsi="Calibri" w:cs="Calibri"/>
                <w:sz w:val="16"/>
                <w:szCs w:val="16"/>
                <w:lang w:val="en-US"/>
              </w:rPr>
              <w:t>To establish a definition of the out of field construct and provide data on the incidence and implications of out-of-field teaching in Victorian schools.</w:t>
            </w:r>
          </w:p>
          <w:p w14:paraId="62E22DA7" w14:textId="77777777" w:rsidR="00951BB7" w:rsidRPr="00355385"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19FE4C77" w14:textId="77777777" w:rsidR="00951BB7" w:rsidRPr="001A117D" w:rsidRDefault="00951BB7" w:rsidP="00375B4C">
            <w:pPr>
              <w:pStyle w:val="ESTablebody"/>
              <w:rPr>
                <w:rFonts w:ascii="Calibri" w:hAnsi="Calibri" w:cs="Calibri"/>
                <w:sz w:val="16"/>
                <w:szCs w:val="16"/>
              </w:rPr>
            </w:pPr>
            <w:r w:rsidRPr="001A117D">
              <w:rPr>
                <w:rFonts w:ascii="Calibri" w:hAnsi="Calibri" w:cs="Calibri"/>
                <w:sz w:val="16"/>
                <w:szCs w:val="16"/>
              </w:rPr>
              <w:t xml:space="preserve">May </w:t>
            </w:r>
            <w:r>
              <w:rPr>
                <w:rFonts w:ascii="Calibri" w:hAnsi="Calibri" w:cs="Calibri"/>
                <w:sz w:val="16"/>
                <w:szCs w:val="16"/>
              </w:rPr>
              <w:t xml:space="preserve">– </w:t>
            </w:r>
            <w:r w:rsidRPr="001A117D">
              <w:rPr>
                <w:rFonts w:ascii="Calibri" w:hAnsi="Calibri" w:cs="Calibri"/>
                <w:sz w:val="16"/>
                <w:szCs w:val="16"/>
              </w:rPr>
              <w:t>Sept</w:t>
            </w:r>
            <w:r>
              <w:rPr>
                <w:rFonts w:ascii="Calibri" w:hAnsi="Calibri" w:cs="Calibri"/>
                <w:sz w:val="16"/>
                <w:szCs w:val="16"/>
              </w:rPr>
              <w:t>ember</w:t>
            </w:r>
            <w:r w:rsidRPr="001A117D">
              <w:rPr>
                <w:rFonts w:ascii="Calibri" w:hAnsi="Calibri" w:cs="Calibri"/>
                <w:sz w:val="16"/>
                <w:szCs w:val="16"/>
              </w:rPr>
              <w:t xml:space="preserve"> 2020</w:t>
            </w:r>
          </w:p>
        </w:tc>
        <w:tc>
          <w:tcPr>
            <w:tcW w:w="1701" w:type="dxa"/>
            <w:tcBorders>
              <w:top w:val="single" w:sz="4" w:space="0" w:color="auto"/>
              <w:bottom w:val="single" w:sz="4" w:space="0" w:color="auto"/>
            </w:tcBorders>
          </w:tcPr>
          <w:p w14:paraId="4BC8412E" w14:textId="77777777" w:rsidR="00951BB7" w:rsidRPr="001A117D" w:rsidRDefault="00951BB7" w:rsidP="00375B4C">
            <w:pPr>
              <w:pStyle w:val="ESTablebody"/>
              <w:rPr>
                <w:rFonts w:ascii="Calibri" w:hAnsi="Calibri" w:cs="Calibri"/>
                <w:sz w:val="16"/>
                <w:szCs w:val="16"/>
              </w:rPr>
            </w:pPr>
            <w:r w:rsidRPr="00355385">
              <w:rPr>
                <w:rFonts w:ascii="Calibri" w:hAnsi="Calibri" w:cs="Calibri"/>
                <w:sz w:val="16"/>
                <w:szCs w:val="16"/>
              </w:rPr>
              <w:t xml:space="preserve">The research will help inform broader Departmental workforce reform, including the development of policies, guidance, </w:t>
            </w:r>
            <w:proofErr w:type="gramStart"/>
            <w:r w:rsidRPr="00355385">
              <w:rPr>
                <w:rFonts w:ascii="Calibri" w:hAnsi="Calibri" w:cs="Calibri"/>
                <w:sz w:val="16"/>
                <w:szCs w:val="16"/>
              </w:rPr>
              <w:t>resources</w:t>
            </w:r>
            <w:proofErr w:type="gramEnd"/>
            <w:r w:rsidRPr="00355385">
              <w:rPr>
                <w:rFonts w:ascii="Calibri" w:hAnsi="Calibri" w:cs="Calibri"/>
                <w:sz w:val="16"/>
                <w:szCs w:val="16"/>
              </w:rPr>
              <w:t xml:space="preserve"> and programs that reduce the extent, and mitigate the impact, of out</w:t>
            </w:r>
            <w:r w:rsidRPr="00355385">
              <w:rPr>
                <w:rFonts w:ascii="Calibri" w:hAnsi="Calibri" w:cs="Calibri"/>
                <w:sz w:val="16"/>
                <w:szCs w:val="16"/>
              </w:rPr>
              <w:noBreakHyphen/>
              <w:t>of</w:t>
            </w:r>
            <w:r w:rsidRPr="00355385">
              <w:rPr>
                <w:rFonts w:ascii="Calibri" w:hAnsi="Calibri" w:cs="Calibri"/>
                <w:sz w:val="16"/>
                <w:szCs w:val="16"/>
              </w:rPr>
              <w:noBreakHyphen/>
              <w:t>field teaching.</w:t>
            </w:r>
          </w:p>
        </w:tc>
        <w:tc>
          <w:tcPr>
            <w:tcW w:w="1134" w:type="dxa"/>
            <w:tcBorders>
              <w:top w:val="single" w:sz="4" w:space="0" w:color="auto"/>
              <w:bottom w:val="single" w:sz="4" w:space="0" w:color="auto"/>
            </w:tcBorders>
          </w:tcPr>
          <w:p w14:paraId="5C795448" w14:textId="77777777" w:rsidR="00951BB7" w:rsidRPr="001A117D" w:rsidRDefault="00951BB7" w:rsidP="00375B4C">
            <w:pPr>
              <w:pStyle w:val="ESTablebody"/>
              <w:jc w:val="right"/>
              <w:rPr>
                <w:rFonts w:ascii="Calibri" w:hAnsi="Calibri" w:cs="Calibri"/>
                <w:sz w:val="16"/>
                <w:szCs w:val="16"/>
              </w:rPr>
            </w:pPr>
            <w:r w:rsidRPr="001A117D">
              <w:rPr>
                <w:rFonts w:ascii="Calibri" w:hAnsi="Calibri" w:cs="Calibri"/>
                <w:sz w:val="16"/>
                <w:szCs w:val="16"/>
              </w:rPr>
              <w:t>49,55</w:t>
            </w:r>
            <w:r>
              <w:rPr>
                <w:rFonts w:ascii="Calibri" w:hAnsi="Calibri" w:cs="Calibri"/>
                <w:sz w:val="16"/>
                <w:szCs w:val="16"/>
              </w:rPr>
              <w:t>3</w:t>
            </w:r>
          </w:p>
        </w:tc>
        <w:tc>
          <w:tcPr>
            <w:tcW w:w="993" w:type="dxa"/>
            <w:tcBorders>
              <w:top w:val="single" w:sz="4" w:space="0" w:color="auto"/>
              <w:bottom w:val="single" w:sz="4" w:space="0" w:color="auto"/>
            </w:tcBorders>
          </w:tcPr>
          <w:p w14:paraId="35A32E71" w14:textId="77777777" w:rsidR="00951BB7" w:rsidRPr="001A117D" w:rsidRDefault="00951BB7" w:rsidP="00375B4C">
            <w:pPr>
              <w:pStyle w:val="ESTablebody"/>
              <w:jc w:val="right"/>
              <w:rPr>
                <w:rFonts w:ascii="Calibri" w:hAnsi="Calibri" w:cs="Calibri"/>
                <w:sz w:val="16"/>
                <w:szCs w:val="16"/>
              </w:rPr>
            </w:pPr>
            <w:r w:rsidRPr="001A117D">
              <w:rPr>
                <w:rFonts w:ascii="Calibri" w:hAnsi="Calibri" w:cs="Calibri"/>
                <w:sz w:val="16"/>
                <w:szCs w:val="16"/>
              </w:rPr>
              <w:t>49,55</w:t>
            </w:r>
            <w:r>
              <w:rPr>
                <w:rFonts w:ascii="Calibri" w:hAnsi="Calibri" w:cs="Calibri"/>
                <w:sz w:val="16"/>
                <w:szCs w:val="16"/>
              </w:rPr>
              <w:t>3</w:t>
            </w:r>
          </w:p>
        </w:tc>
        <w:tc>
          <w:tcPr>
            <w:tcW w:w="1622" w:type="dxa"/>
            <w:tcBorders>
              <w:top w:val="single" w:sz="4" w:space="0" w:color="auto"/>
              <w:bottom w:val="single" w:sz="4" w:space="0" w:color="auto"/>
            </w:tcBorders>
          </w:tcPr>
          <w:p w14:paraId="50396830"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40ED2D44" w14:textId="77777777" w:rsidTr="00383663">
        <w:trPr>
          <w:cantSplit/>
          <w:trHeight w:val="628"/>
        </w:trPr>
        <w:tc>
          <w:tcPr>
            <w:tcW w:w="1696" w:type="dxa"/>
            <w:tcBorders>
              <w:top w:val="single" w:sz="4" w:space="0" w:color="auto"/>
              <w:bottom w:val="single" w:sz="4" w:space="0" w:color="auto"/>
            </w:tcBorders>
            <w:shd w:val="clear" w:color="auto" w:fill="auto"/>
          </w:tcPr>
          <w:p w14:paraId="606C2D0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Detailed employment forecasts</w:t>
            </w:r>
          </w:p>
          <w:p w14:paraId="3107E89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1773BA09"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4DB4AD6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provide a comprehensive view of changing demand for occupations in Victoria.</w:t>
            </w:r>
          </w:p>
        </w:tc>
        <w:tc>
          <w:tcPr>
            <w:tcW w:w="2409" w:type="dxa"/>
            <w:tcBorders>
              <w:top w:val="single" w:sz="4" w:space="0" w:color="auto"/>
              <w:bottom w:val="single" w:sz="4" w:space="0" w:color="auto"/>
            </w:tcBorders>
          </w:tcPr>
          <w:p w14:paraId="276E3DB6"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develop detailed employment forecasts for occupations, skills and qualifications held, and replacement demand by occupation, in Victoria.</w:t>
            </w:r>
          </w:p>
        </w:tc>
        <w:tc>
          <w:tcPr>
            <w:tcW w:w="1134" w:type="dxa"/>
            <w:tcBorders>
              <w:top w:val="single" w:sz="4" w:space="0" w:color="auto"/>
              <w:bottom w:val="single" w:sz="4" w:space="0" w:color="auto"/>
            </w:tcBorders>
          </w:tcPr>
          <w:p w14:paraId="4B424669"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February – </w:t>
            </w:r>
          </w:p>
          <w:p w14:paraId="4893F51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July </w:t>
            </w:r>
          </w:p>
          <w:p w14:paraId="6F2DA5F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2021</w:t>
            </w:r>
          </w:p>
        </w:tc>
        <w:tc>
          <w:tcPr>
            <w:tcW w:w="1701" w:type="dxa"/>
            <w:tcBorders>
              <w:top w:val="single" w:sz="4" w:space="0" w:color="auto"/>
              <w:bottom w:val="single" w:sz="4" w:space="0" w:color="auto"/>
            </w:tcBorders>
          </w:tcPr>
          <w:p w14:paraId="4544697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use the forecasts to inform the funded course list, funded skill set list and market setting process for the 2022 training year.</w:t>
            </w:r>
          </w:p>
        </w:tc>
        <w:tc>
          <w:tcPr>
            <w:tcW w:w="1134" w:type="dxa"/>
            <w:tcBorders>
              <w:top w:val="single" w:sz="4" w:space="0" w:color="auto"/>
              <w:bottom w:val="single" w:sz="4" w:space="0" w:color="auto"/>
            </w:tcBorders>
          </w:tcPr>
          <w:p w14:paraId="6C8FD752" w14:textId="77777777" w:rsidR="00951BB7" w:rsidRPr="00946824" w:rsidRDefault="00951BB7" w:rsidP="00375B4C">
            <w:pPr>
              <w:spacing w:before="120" w:after="120"/>
              <w:jc w:val="right"/>
              <w:rPr>
                <w:rFonts w:ascii="Calibri" w:eastAsia="Times New Roman" w:hAnsi="Calibri" w:cs="Calibri"/>
                <w:sz w:val="16"/>
                <w:szCs w:val="16"/>
                <w:lang w:val="en-US"/>
              </w:rPr>
            </w:pPr>
            <w:r w:rsidRPr="00946824">
              <w:rPr>
                <w:rFonts w:ascii="Calibri" w:eastAsia="Times New Roman" w:hAnsi="Calibri" w:cs="Calibri"/>
                <w:sz w:val="16"/>
                <w:szCs w:val="16"/>
                <w:lang w:val="en-US"/>
              </w:rPr>
              <w:t>139,000</w:t>
            </w:r>
          </w:p>
        </w:tc>
        <w:tc>
          <w:tcPr>
            <w:tcW w:w="993" w:type="dxa"/>
            <w:tcBorders>
              <w:top w:val="single" w:sz="4" w:space="0" w:color="auto"/>
              <w:bottom w:val="single" w:sz="4" w:space="0" w:color="auto"/>
            </w:tcBorders>
          </w:tcPr>
          <w:p w14:paraId="654448BE" w14:textId="04FB2BD8" w:rsidR="00951BB7" w:rsidRPr="00946824" w:rsidRDefault="00B432E8" w:rsidP="00375B4C">
            <w:pPr>
              <w:spacing w:before="120" w:after="120"/>
              <w:jc w:val="right"/>
              <w:rPr>
                <w:rFonts w:ascii="Calibri" w:eastAsia="Times New Roman" w:hAnsi="Calibri" w:cs="Calibri"/>
                <w:sz w:val="16"/>
                <w:szCs w:val="16"/>
                <w:lang w:val="en-US"/>
              </w:rPr>
            </w:pPr>
            <w:r w:rsidRPr="00B432E8">
              <w:rPr>
                <w:rFonts w:ascii="Calibri" w:eastAsia="Times New Roman" w:hAnsi="Calibri" w:cs="Calibri"/>
                <w:sz w:val="16"/>
                <w:szCs w:val="16"/>
                <w:lang w:val="en-US"/>
              </w:rPr>
              <w:t>139,000</w:t>
            </w:r>
          </w:p>
        </w:tc>
        <w:tc>
          <w:tcPr>
            <w:tcW w:w="1622" w:type="dxa"/>
            <w:tcBorders>
              <w:top w:val="single" w:sz="4" w:space="0" w:color="auto"/>
              <w:bottom w:val="single" w:sz="4" w:space="0" w:color="auto"/>
            </w:tcBorders>
          </w:tcPr>
          <w:p w14:paraId="07A786DB" w14:textId="77777777" w:rsidR="00951BB7" w:rsidRPr="00946824" w:rsidRDefault="00951BB7" w:rsidP="00375B4C">
            <w:pPr>
              <w:spacing w:before="120" w:after="120"/>
              <w:jc w:val="right"/>
              <w:rPr>
                <w:rFonts w:ascii="Calibri" w:eastAsia="Times New Roman" w:hAnsi="Calibri" w:cs="Calibri"/>
                <w:sz w:val="16"/>
                <w:szCs w:val="16"/>
                <w:lang w:val="en-US"/>
              </w:rPr>
            </w:pPr>
            <w:r w:rsidRPr="00946824">
              <w:rPr>
                <w:rFonts w:ascii="Calibri" w:eastAsia="Times New Roman" w:hAnsi="Calibri" w:cs="Calibri"/>
                <w:sz w:val="16"/>
                <w:szCs w:val="16"/>
                <w:lang w:val="en-US"/>
              </w:rPr>
              <w:t>N</w:t>
            </w:r>
          </w:p>
        </w:tc>
      </w:tr>
      <w:tr w:rsidR="00951BB7" w:rsidRPr="00925213" w14:paraId="4CF99939" w14:textId="77777777" w:rsidTr="00383663">
        <w:trPr>
          <w:cantSplit/>
          <w:trHeight w:val="628"/>
        </w:trPr>
        <w:tc>
          <w:tcPr>
            <w:tcW w:w="1696" w:type="dxa"/>
            <w:tcBorders>
              <w:top w:val="single" w:sz="4" w:space="0" w:color="auto"/>
              <w:bottom w:val="single" w:sz="4" w:space="0" w:color="auto"/>
            </w:tcBorders>
            <w:shd w:val="clear" w:color="auto" w:fill="auto"/>
          </w:tcPr>
          <w:p w14:paraId="65EE5BE6"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Digital devices for Victorian students</w:t>
            </w:r>
          </w:p>
          <w:p w14:paraId="04486A5D"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69252329" w14:textId="77777777" w:rsidR="00951BB7" w:rsidRPr="00946824" w:rsidRDefault="00951BB7" w:rsidP="00375B4C">
            <w:pPr>
              <w:pStyle w:val="ESTablebody"/>
              <w:rPr>
                <w:rFonts w:ascii="Calibri" w:hAnsi="Calibri" w:cs="Calibri"/>
                <w:sz w:val="16"/>
                <w:szCs w:val="16"/>
              </w:rPr>
            </w:pPr>
            <w:proofErr w:type="spellStart"/>
            <w:r w:rsidRPr="00946824">
              <w:rPr>
                <w:rFonts w:ascii="Calibri" w:hAnsi="Calibri" w:cs="Calibri"/>
                <w:sz w:val="16"/>
                <w:szCs w:val="16"/>
              </w:rPr>
              <w:t>Dandolo</w:t>
            </w:r>
            <w:proofErr w:type="spellEnd"/>
            <w:r w:rsidRPr="00946824">
              <w:rPr>
                <w:rFonts w:ascii="Calibri" w:hAnsi="Calibri" w:cs="Calibri"/>
                <w:sz w:val="16"/>
                <w:szCs w:val="16"/>
              </w:rPr>
              <w:t xml:space="preserve"> </w:t>
            </w:r>
            <w:r>
              <w:rPr>
                <w:rFonts w:ascii="Calibri" w:hAnsi="Calibri" w:cs="Calibri"/>
                <w:sz w:val="16"/>
                <w:szCs w:val="16"/>
              </w:rPr>
              <w:t>P</w:t>
            </w:r>
            <w:r w:rsidRPr="00946824">
              <w:rPr>
                <w:rFonts w:ascii="Calibri" w:hAnsi="Calibri" w:cs="Calibri"/>
                <w:sz w:val="16"/>
                <w:szCs w:val="16"/>
              </w:rPr>
              <w:t>artners</w:t>
            </w:r>
          </w:p>
        </w:tc>
        <w:tc>
          <w:tcPr>
            <w:tcW w:w="2127" w:type="dxa"/>
            <w:tcBorders>
              <w:top w:val="single" w:sz="4" w:space="0" w:color="auto"/>
              <w:bottom w:val="single" w:sz="4" w:space="0" w:color="auto"/>
            </w:tcBorders>
            <w:shd w:val="clear" w:color="auto" w:fill="auto"/>
          </w:tcPr>
          <w:p w14:paraId="50C2D0A2"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 xml:space="preserve">To research the educational use of digital devices. </w:t>
            </w:r>
          </w:p>
        </w:tc>
        <w:tc>
          <w:tcPr>
            <w:tcW w:w="2409" w:type="dxa"/>
            <w:tcBorders>
              <w:top w:val="single" w:sz="4" w:space="0" w:color="auto"/>
              <w:bottom w:val="single" w:sz="4" w:space="0" w:color="auto"/>
            </w:tcBorders>
          </w:tcPr>
          <w:p w14:paraId="5CCAB08A" w14:textId="77777777" w:rsidR="00951BB7" w:rsidRPr="00355385" w:rsidRDefault="00951BB7" w:rsidP="00375B4C">
            <w:pPr>
              <w:tabs>
                <w:tab w:val="left" w:pos="709"/>
                <w:tab w:val="left" w:pos="1418"/>
                <w:tab w:val="left" w:pos="2126"/>
                <w:tab w:val="right" w:pos="9356"/>
              </w:tabs>
              <w:overflowPunct w:val="0"/>
              <w:autoSpaceDE w:val="0"/>
              <w:autoSpaceDN w:val="0"/>
              <w:adjustRightInd w:val="0"/>
              <w:spacing w:before="120"/>
              <w:textAlignment w:val="baseline"/>
              <w:rPr>
                <w:rFonts w:ascii="Calibri" w:eastAsiaTheme="minorEastAsia" w:hAnsi="Calibri" w:cs="Calibri"/>
                <w:sz w:val="16"/>
                <w:szCs w:val="16"/>
                <w:lang w:val="en-US"/>
              </w:rPr>
            </w:pPr>
            <w:r w:rsidRPr="00355385">
              <w:rPr>
                <w:rFonts w:ascii="Calibri" w:eastAsiaTheme="minorEastAsia" w:hAnsi="Calibri" w:cs="Calibri"/>
                <w:sz w:val="16"/>
                <w:szCs w:val="16"/>
                <w:lang w:val="en-US"/>
              </w:rPr>
              <w:t xml:space="preserve">To </w:t>
            </w:r>
            <w:proofErr w:type="spellStart"/>
            <w:r w:rsidRPr="00355385">
              <w:rPr>
                <w:rFonts w:ascii="Calibri" w:eastAsiaTheme="minorEastAsia" w:hAnsi="Calibri" w:cs="Calibri"/>
                <w:sz w:val="16"/>
                <w:szCs w:val="16"/>
                <w:lang w:val="en-US"/>
              </w:rPr>
              <w:t>synthesise</w:t>
            </w:r>
            <w:proofErr w:type="spellEnd"/>
            <w:r w:rsidRPr="00355385">
              <w:rPr>
                <w:rFonts w:ascii="Calibri" w:eastAsiaTheme="minorEastAsia" w:hAnsi="Calibri" w:cs="Calibri"/>
                <w:sz w:val="16"/>
                <w:szCs w:val="16"/>
                <w:lang w:val="en-US"/>
              </w:rPr>
              <w:t xml:space="preserve"> the education</w:t>
            </w:r>
            <w:r w:rsidRPr="00355385">
              <w:rPr>
                <w:rFonts w:ascii="Calibri" w:eastAsiaTheme="minorEastAsia" w:hAnsi="Calibri" w:cs="Calibri"/>
                <w:sz w:val="16"/>
                <w:szCs w:val="16"/>
                <w:lang w:val="en-US"/>
              </w:rPr>
              <w:noBreakHyphen/>
              <w:t>evidence base in relation to digital devices for Victorian government teachers and students.</w:t>
            </w:r>
          </w:p>
        </w:tc>
        <w:tc>
          <w:tcPr>
            <w:tcW w:w="1134" w:type="dxa"/>
            <w:tcBorders>
              <w:top w:val="single" w:sz="4" w:space="0" w:color="auto"/>
              <w:bottom w:val="single" w:sz="4" w:space="0" w:color="auto"/>
            </w:tcBorders>
          </w:tcPr>
          <w:p w14:paraId="66E3883B"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Oct</w:t>
            </w:r>
            <w:r>
              <w:rPr>
                <w:rFonts w:ascii="Calibri" w:hAnsi="Calibri" w:cs="Calibri"/>
                <w:sz w:val="16"/>
                <w:szCs w:val="16"/>
              </w:rPr>
              <w:t>ober</w:t>
            </w:r>
            <w:r w:rsidRPr="00946824">
              <w:rPr>
                <w:rFonts w:ascii="Calibri" w:hAnsi="Calibri" w:cs="Calibri"/>
                <w:sz w:val="16"/>
                <w:szCs w:val="16"/>
              </w:rPr>
              <w:t xml:space="preserve"> – Dec</w:t>
            </w:r>
            <w:r>
              <w:rPr>
                <w:rFonts w:ascii="Calibri" w:hAnsi="Calibri" w:cs="Calibri"/>
                <w:sz w:val="16"/>
                <w:szCs w:val="16"/>
              </w:rPr>
              <w:t>ember</w:t>
            </w:r>
            <w:r w:rsidRPr="00946824">
              <w:rPr>
                <w:rFonts w:ascii="Calibri" w:hAnsi="Calibri" w:cs="Calibri"/>
                <w:sz w:val="16"/>
                <w:szCs w:val="16"/>
              </w:rPr>
              <w:t xml:space="preserve"> 2020</w:t>
            </w:r>
          </w:p>
        </w:tc>
        <w:tc>
          <w:tcPr>
            <w:tcW w:w="1701" w:type="dxa"/>
            <w:tcBorders>
              <w:top w:val="single" w:sz="4" w:space="0" w:color="auto"/>
              <w:bottom w:val="single" w:sz="4" w:space="0" w:color="auto"/>
            </w:tcBorders>
          </w:tcPr>
          <w:p w14:paraId="41EE2111"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The research will help inform future policy and implementation options regarding teacher and student use of digital devices.</w:t>
            </w:r>
          </w:p>
        </w:tc>
        <w:tc>
          <w:tcPr>
            <w:tcW w:w="1134" w:type="dxa"/>
            <w:tcBorders>
              <w:top w:val="single" w:sz="4" w:space="0" w:color="auto"/>
              <w:bottom w:val="single" w:sz="4" w:space="0" w:color="auto"/>
            </w:tcBorders>
          </w:tcPr>
          <w:p w14:paraId="677756A6"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99,660</w:t>
            </w:r>
          </w:p>
        </w:tc>
        <w:tc>
          <w:tcPr>
            <w:tcW w:w="993" w:type="dxa"/>
            <w:tcBorders>
              <w:top w:val="single" w:sz="4" w:space="0" w:color="auto"/>
              <w:bottom w:val="single" w:sz="4" w:space="0" w:color="auto"/>
            </w:tcBorders>
          </w:tcPr>
          <w:p w14:paraId="68441776"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99,660</w:t>
            </w:r>
          </w:p>
        </w:tc>
        <w:tc>
          <w:tcPr>
            <w:tcW w:w="1622" w:type="dxa"/>
            <w:tcBorders>
              <w:top w:val="single" w:sz="4" w:space="0" w:color="auto"/>
              <w:bottom w:val="single" w:sz="4" w:space="0" w:color="auto"/>
            </w:tcBorders>
          </w:tcPr>
          <w:p w14:paraId="1744FF0F"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4A0E150B" w14:textId="77777777" w:rsidTr="00383663">
        <w:trPr>
          <w:cantSplit/>
          <w:trHeight w:val="628"/>
        </w:trPr>
        <w:tc>
          <w:tcPr>
            <w:tcW w:w="1696" w:type="dxa"/>
            <w:tcBorders>
              <w:top w:val="single" w:sz="4" w:space="0" w:color="auto"/>
              <w:bottom w:val="single" w:sz="4" w:space="0" w:color="auto"/>
            </w:tcBorders>
            <w:shd w:val="clear" w:color="auto" w:fill="auto"/>
          </w:tcPr>
          <w:p w14:paraId="1E77F115"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Early childhood LOOKOUT</w:t>
            </w:r>
          </w:p>
          <w:p w14:paraId="7A687024"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3A31A27"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732F146B"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undertake a formative evaluation of the</w:t>
            </w:r>
            <w:r>
              <w:rPr>
                <w:rFonts w:ascii="Calibri" w:hAnsi="Calibri" w:cs="Calibri"/>
                <w:sz w:val="16"/>
                <w:szCs w:val="16"/>
              </w:rPr>
              <w:t xml:space="preserve"> LOOKOUT</w:t>
            </w:r>
            <w:r w:rsidRPr="00925213">
              <w:rPr>
                <w:rFonts w:ascii="Calibri" w:hAnsi="Calibri" w:cs="Calibri"/>
                <w:sz w:val="16"/>
                <w:szCs w:val="16"/>
              </w:rPr>
              <w:t xml:space="preserve"> program.</w:t>
            </w:r>
          </w:p>
        </w:tc>
        <w:tc>
          <w:tcPr>
            <w:tcW w:w="2409" w:type="dxa"/>
            <w:tcBorders>
              <w:top w:val="single" w:sz="4" w:space="0" w:color="auto"/>
              <w:bottom w:val="single" w:sz="4" w:space="0" w:color="auto"/>
            </w:tcBorders>
          </w:tcPr>
          <w:p w14:paraId="702F4D4C"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examine the implementation of the model over the </w:t>
            </w:r>
            <w:proofErr w:type="gramStart"/>
            <w:r w:rsidRPr="00925213">
              <w:rPr>
                <w:rFonts w:ascii="Calibri" w:hAnsi="Calibri" w:cs="Calibri"/>
                <w:sz w:val="16"/>
                <w:szCs w:val="16"/>
              </w:rPr>
              <w:t>two year</w:t>
            </w:r>
            <w:proofErr w:type="gramEnd"/>
            <w:r w:rsidRPr="00925213">
              <w:rPr>
                <w:rFonts w:ascii="Calibri" w:hAnsi="Calibri" w:cs="Calibri"/>
                <w:sz w:val="16"/>
                <w:szCs w:val="16"/>
              </w:rPr>
              <w:t xml:space="preserve"> trial period.</w:t>
            </w:r>
          </w:p>
        </w:tc>
        <w:tc>
          <w:tcPr>
            <w:tcW w:w="1134" w:type="dxa"/>
            <w:tcBorders>
              <w:top w:val="single" w:sz="4" w:space="0" w:color="auto"/>
              <w:bottom w:val="single" w:sz="4" w:space="0" w:color="auto"/>
            </w:tcBorders>
          </w:tcPr>
          <w:p w14:paraId="61B5435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2019 – Jan</w:t>
            </w:r>
            <w:r>
              <w:rPr>
                <w:rFonts w:ascii="Calibri" w:hAnsi="Calibri" w:cs="Calibri"/>
                <w:sz w:val="16"/>
                <w:szCs w:val="16"/>
              </w:rPr>
              <w:t>uary</w:t>
            </w:r>
            <w:r w:rsidRPr="00925213">
              <w:rPr>
                <w:rFonts w:ascii="Calibri" w:hAnsi="Calibri" w:cs="Calibri"/>
                <w:sz w:val="16"/>
                <w:szCs w:val="16"/>
              </w:rPr>
              <w:t xml:space="preserve"> 2021</w:t>
            </w:r>
          </w:p>
        </w:tc>
        <w:tc>
          <w:tcPr>
            <w:tcW w:w="1701" w:type="dxa"/>
            <w:tcBorders>
              <w:top w:val="single" w:sz="4" w:space="0" w:color="auto"/>
              <w:bottom w:val="single" w:sz="4" w:space="0" w:color="auto"/>
            </w:tcBorders>
          </w:tcPr>
          <w:p w14:paraId="01E51549"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Provide the Department with information regarding the strengths of the program and identify improvement opportunities.</w:t>
            </w:r>
          </w:p>
        </w:tc>
        <w:tc>
          <w:tcPr>
            <w:tcW w:w="1134" w:type="dxa"/>
            <w:tcBorders>
              <w:top w:val="single" w:sz="4" w:space="0" w:color="auto"/>
              <w:bottom w:val="single" w:sz="4" w:space="0" w:color="auto"/>
            </w:tcBorders>
          </w:tcPr>
          <w:p w14:paraId="4C6E393B"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470,173</w:t>
            </w:r>
          </w:p>
        </w:tc>
        <w:tc>
          <w:tcPr>
            <w:tcW w:w="993" w:type="dxa"/>
            <w:tcBorders>
              <w:top w:val="single" w:sz="4" w:space="0" w:color="auto"/>
              <w:bottom w:val="single" w:sz="4" w:space="0" w:color="auto"/>
            </w:tcBorders>
          </w:tcPr>
          <w:p w14:paraId="3B96709E"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272,499</w:t>
            </w:r>
          </w:p>
        </w:tc>
        <w:tc>
          <w:tcPr>
            <w:tcW w:w="1622" w:type="dxa"/>
            <w:tcBorders>
              <w:top w:val="single" w:sz="4" w:space="0" w:color="auto"/>
              <w:bottom w:val="single" w:sz="4" w:space="0" w:color="auto"/>
            </w:tcBorders>
          </w:tcPr>
          <w:p w14:paraId="156B224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4A69C6D6" w14:textId="77777777" w:rsidTr="00383663">
        <w:trPr>
          <w:cantSplit/>
          <w:trHeight w:val="628"/>
        </w:trPr>
        <w:tc>
          <w:tcPr>
            <w:tcW w:w="1696" w:type="dxa"/>
            <w:tcBorders>
              <w:top w:val="single" w:sz="4" w:space="0" w:color="auto"/>
              <w:bottom w:val="single" w:sz="4" w:space="0" w:color="auto"/>
            </w:tcBorders>
            <w:shd w:val="clear" w:color="auto" w:fill="auto"/>
          </w:tcPr>
          <w:p w14:paraId="194A2363" w14:textId="77777777" w:rsidR="00951BB7" w:rsidRDefault="00951BB7" w:rsidP="00375B4C">
            <w:pPr>
              <w:pStyle w:val="ESTablebody"/>
              <w:rPr>
                <w:rFonts w:ascii="Calibri" w:hAnsi="Calibri" w:cs="Calibri"/>
                <w:sz w:val="16"/>
                <w:szCs w:val="16"/>
              </w:rPr>
            </w:pPr>
            <w:r w:rsidRPr="003B0DD3">
              <w:rPr>
                <w:rFonts w:ascii="Calibri" w:hAnsi="Calibri" w:cs="Calibri"/>
                <w:sz w:val="16"/>
                <w:szCs w:val="16"/>
              </w:rPr>
              <w:t>Early Childhood Strategic Evaluation</w:t>
            </w:r>
          </w:p>
          <w:p w14:paraId="4C3C3F04" w14:textId="77777777" w:rsidR="00951BB7" w:rsidRPr="003B0DD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E4A632E"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46CBB6AC" w14:textId="77777777" w:rsidR="00951BB7" w:rsidRPr="003B0DD3" w:rsidRDefault="00951BB7" w:rsidP="00375B4C">
            <w:pPr>
              <w:pStyle w:val="ESTablebody"/>
              <w:rPr>
                <w:rFonts w:ascii="Calibri" w:hAnsi="Calibri" w:cs="Calibri"/>
                <w:sz w:val="16"/>
                <w:szCs w:val="16"/>
              </w:rPr>
            </w:pPr>
            <w:r w:rsidRPr="003B0DD3">
              <w:rPr>
                <w:rFonts w:ascii="Calibri" w:hAnsi="Calibri" w:cs="Calibri"/>
                <w:sz w:val="16"/>
                <w:szCs w:val="16"/>
              </w:rPr>
              <w:t>To evaluate the collective impact of priority reforms under the early childhood reform plan.</w:t>
            </w:r>
          </w:p>
        </w:tc>
        <w:tc>
          <w:tcPr>
            <w:tcW w:w="2409" w:type="dxa"/>
            <w:tcBorders>
              <w:top w:val="single" w:sz="4" w:space="0" w:color="auto"/>
              <w:bottom w:val="single" w:sz="4" w:space="0" w:color="auto"/>
            </w:tcBorders>
          </w:tcPr>
          <w:p w14:paraId="102BD1F5" w14:textId="77777777" w:rsidR="00951BB7" w:rsidRPr="003B0DD3" w:rsidRDefault="00951BB7" w:rsidP="00375B4C">
            <w:pPr>
              <w:pStyle w:val="ESTablebody"/>
              <w:rPr>
                <w:rFonts w:ascii="Calibri" w:hAnsi="Calibri" w:cs="Calibri"/>
                <w:sz w:val="16"/>
                <w:szCs w:val="16"/>
              </w:rPr>
            </w:pPr>
            <w:r w:rsidRPr="003B0DD3">
              <w:rPr>
                <w:rFonts w:ascii="Calibri" w:hAnsi="Calibri" w:cs="Calibri"/>
                <w:sz w:val="16"/>
                <w:szCs w:val="16"/>
              </w:rPr>
              <w:t xml:space="preserve">To examine the collective impact of the reforms on workforces, </w:t>
            </w:r>
            <w:proofErr w:type="gramStart"/>
            <w:r w:rsidRPr="003B0DD3">
              <w:rPr>
                <w:rFonts w:ascii="Calibri" w:hAnsi="Calibri" w:cs="Calibri"/>
                <w:sz w:val="16"/>
                <w:szCs w:val="16"/>
              </w:rPr>
              <w:t>families</w:t>
            </w:r>
            <w:proofErr w:type="gramEnd"/>
            <w:r w:rsidRPr="003B0DD3">
              <w:rPr>
                <w:rFonts w:ascii="Calibri" w:hAnsi="Calibri" w:cs="Calibri"/>
                <w:sz w:val="16"/>
                <w:szCs w:val="16"/>
              </w:rPr>
              <w:t xml:space="preserve"> and the system. </w:t>
            </w:r>
          </w:p>
        </w:tc>
        <w:tc>
          <w:tcPr>
            <w:tcW w:w="1134" w:type="dxa"/>
            <w:tcBorders>
              <w:top w:val="single" w:sz="4" w:space="0" w:color="auto"/>
              <w:bottom w:val="single" w:sz="4" w:space="0" w:color="auto"/>
            </w:tcBorders>
          </w:tcPr>
          <w:p w14:paraId="7C2265F0" w14:textId="77777777" w:rsidR="00951BB7" w:rsidRPr="003B0DD3" w:rsidRDefault="00951BB7" w:rsidP="00375B4C">
            <w:pPr>
              <w:pStyle w:val="ESTablebody"/>
              <w:rPr>
                <w:rFonts w:ascii="Calibri" w:hAnsi="Calibri" w:cs="Calibri"/>
                <w:sz w:val="16"/>
                <w:szCs w:val="16"/>
              </w:rPr>
            </w:pPr>
            <w:r w:rsidRPr="003B0DD3">
              <w:rPr>
                <w:rFonts w:ascii="Calibri" w:hAnsi="Calibri" w:cs="Calibri"/>
                <w:sz w:val="16"/>
                <w:szCs w:val="16"/>
              </w:rPr>
              <w:t>October 2018</w:t>
            </w:r>
            <w:r>
              <w:rPr>
                <w:rFonts w:ascii="Calibri" w:hAnsi="Calibri" w:cs="Calibri"/>
                <w:sz w:val="16"/>
                <w:szCs w:val="16"/>
              </w:rPr>
              <w:t xml:space="preserve"> – </w:t>
            </w:r>
            <w:r w:rsidRPr="003B0DD3">
              <w:rPr>
                <w:rFonts w:ascii="Calibri" w:hAnsi="Calibri" w:cs="Calibri"/>
                <w:sz w:val="16"/>
                <w:szCs w:val="16"/>
              </w:rPr>
              <w:t>June 2022</w:t>
            </w:r>
          </w:p>
        </w:tc>
        <w:tc>
          <w:tcPr>
            <w:tcW w:w="1701" w:type="dxa"/>
            <w:tcBorders>
              <w:top w:val="single" w:sz="4" w:space="0" w:color="auto"/>
              <w:bottom w:val="single" w:sz="4" w:space="0" w:color="auto"/>
            </w:tcBorders>
          </w:tcPr>
          <w:p w14:paraId="4EADA265" w14:textId="77777777" w:rsidR="00951BB7" w:rsidRPr="003B0DD3" w:rsidRDefault="00951BB7" w:rsidP="00375B4C">
            <w:pPr>
              <w:pStyle w:val="ESTablebody"/>
              <w:rPr>
                <w:rFonts w:ascii="Calibri" w:hAnsi="Calibri" w:cs="Calibri"/>
                <w:sz w:val="16"/>
                <w:szCs w:val="16"/>
              </w:rPr>
            </w:pPr>
            <w:r w:rsidRPr="003B0DD3">
              <w:rPr>
                <w:rFonts w:ascii="Calibri" w:hAnsi="Calibri" w:cs="Calibri"/>
                <w:sz w:val="16"/>
                <w:szCs w:val="16"/>
              </w:rPr>
              <w:t>Provide the Department with system level outcomes of the reforms</w:t>
            </w:r>
            <w:r>
              <w:rPr>
                <w:rFonts w:ascii="Calibri" w:hAnsi="Calibri" w:cs="Calibri"/>
                <w:sz w:val="16"/>
                <w:szCs w:val="16"/>
              </w:rPr>
              <w:t>.</w:t>
            </w:r>
          </w:p>
        </w:tc>
        <w:tc>
          <w:tcPr>
            <w:tcW w:w="1134" w:type="dxa"/>
            <w:tcBorders>
              <w:top w:val="single" w:sz="4" w:space="0" w:color="auto"/>
              <w:bottom w:val="single" w:sz="4" w:space="0" w:color="auto"/>
            </w:tcBorders>
          </w:tcPr>
          <w:p w14:paraId="763BE06B" w14:textId="77777777" w:rsidR="00951BB7" w:rsidRPr="003B0DD3" w:rsidRDefault="00951BB7" w:rsidP="00375B4C">
            <w:pPr>
              <w:pStyle w:val="ESTablebody"/>
              <w:jc w:val="right"/>
              <w:rPr>
                <w:rFonts w:ascii="Calibri" w:hAnsi="Calibri" w:cs="Calibri"/>
                <w:sz w:val="16"/>
                <w:szCs w:val="16"/>
              </w:rPr>
            </w:pPr>
            <w:r w:rsidRPr="003B0DD3">
              <w:rPr>
                <w:rFonts w:ascii="Calibri" w:hAnsi="Calibri" w:cs="Calibri"/>
                <w:sz w:val="16"/>
                <w:szCs w:val="16"/>
              </w:rPr>
              <w:t>1,468,808</w:t>
            </w:r>
          </w:p>
        </w:tc>
        <w:tc>
          <w:tcPr>
            <w:tcW w:w="993" w:type="dxa"/>
            <w:tcBorders>
              <w:top w:val="single" w:sz="4" w:space="0" w:color="auto"/>
              <w:bottom w:val="single" w:sz="4" w:space="0" w:color="auto"/>
            </w:tcBorders>
          </w:tcPr>
          <w:p w14:paraId="721D6001" w14:textId="77777777" w:rsidR="00951BB7" w:rsidRPr="003B0DD3" w:rsidRDefault="00951BB7" w:rsidP="00375B4C">
            <w:pPr>
              <w:pStyle w:val="ESTablebody"/>
              <w:jc w:val="right"/>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6BF8FF5F" w14:textId="77777777" w:rsidR="00951BB7" w:rsidRPr="003B0DD3" w:rsidRDefault="00951BB7" w:rsidP="00375B4C">
            <w:pPr>
              <w:pStyle w:val="ESTablebody"/>
              <w:jc w:val="right"/>
              <w:rPr>
                <w:rFonts w:ascii="Calibri" w:hAnsi="Calibri" w:cs="Calibri"/>
                <w:sz w:val="16"/>
                <w:szCs w:val="16"/>
              </w:rPr>
            </w:pPr>
            <w:r w:rsidRPr="003B0DD3">
              <w:rPr>
                <w:rFonts w:ascii="Calibri" w:hAnsi="Calibri" w:cs="Calibri"/>
                <w:sz w:val="16"/>
                <w:szCs w:val="16"/>
              </w:rPr>
              <w:t>N</w:t>
            </w:r>
          </w:p>
        </w:tc>
      </w:tr>
      <w:tr w:rsidR="00951BB7" w:rsidRPr="00925213" w14:paraId="2D803179" w14:textId="77777777" w:rsidTr="00383663">
        <w:trPr>
          <w:cantSplit/>
          <w:trHeight w:val="628"/>
        </w:trPr>
        <w:tc>
          <w:tcPr>
            <w:tcW w:w="1696" w:type="dxa"/>
            <w:tcBorders>
              <w:top w:val="single" w:sz="4" w:space="0" w:color="auto"/>
              <w:bottom w:val="single" w:sz="4" w:space="0" w:color="auto"/>
            </w:tcBorders>
            <w:shd w:val="clear" w:color="auto" w:fill="auto"/>
          </w:tcPr>
          <w:p w14:paraId="56FDEC2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Early years assessment and learning tool development and pilot</w:t>
            </w:r>
          </w:p>
          <w:p w14:paraId="6659DABA"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028F8C0"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5EDB95CB"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develop and pilot an assessment tool for use by educators in kindergarten programs.</w:t>
            </w:r>
          </w:p>
        </w:tc>
        <w:tc>
          <w:tcPr>
            <w:tcW w:w="2409" w:type="dxa"/>
            <w:tcBorders>
              <w:top w:val="single" w:sz="4" w:space="0" w:color="auto"/>
              <w:bottom w:val="single" w:sz="4" w:space="0" w:color="auto"/>
            </w:tcBorders>
          </w:tcPr>
          <w:p w14:paraId="290E87DB"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undertake development of an online tool and pilot the tool’s use in about 50 kindergarten services throughout 2021. This includes analysis and validation of the tool’s suitability for use with all children in kindergarten programs.</w:t>
            </w:r>
          </w:p>
        </w:tc>
        <w:tc>
          <w:tcPr>
            <w:tcW w:w="1134" w:type="dxa"/>
            <w:tcBorders>
              <w:top w:val="single" w:sz="4" w:space="0" w:color="auto"/>
              <w:bottom w:val="single" w:sz="4" w:space="0" w:color="auto"/>
            </w:tcBorders>
          </w:tcPr>
          <w:p w14:paraId="2D7EA0BF"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2020 – May 2023</w:t>
            </w:r>
          </w:p>
        </w:tc>
        <w:tc>
          <w:tcPr>
            <w:tcW w:w="1701" w:type="dxa"/>
            <w:tcBorders>
              <w:top w:val="single" w:sz="4" w:space="0" w:color="auto"/>
              <w:bottom w:val="single" w:sz="4" w:space="0" w:color="auto"/>
            </w:tcBorders>
          </w:tcPr>
          <w:p w14:paraId="6DE97E19"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An assessment tool for use by educators in kindergarten programs.</w:t>
            </w:r>
          </w:p>
        </w:tc>
        <w:tc>
          <w:tcPr>
            <w:tcW w:w="1134" w:type="dxa"/>
            <w:tcBorders>
              <w:top w:val="single" w:sz="4" w:space="0" w:color="auto"/>
              <w:bottom w:val="single" w:sz="4" w:space="0" w:color="auto"/>
            </w:tcBorders>
          </w:tcPr>
          <w:p w14:paraId="3197868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896,771</w:t>
            </w:r>
          </w:p>
        </w:tc>
        <w:tc>
          <w:tcPr>
            <w:tcW w:w="993" w:type="dxa"/>
            <w:tcBorders>
              <w:top w:val="single" w:sz="4" w:space="0" w:color="auto"/>
              <w:bottom w:val="single" w:sz="4" w:space="0" w:color="auto"/>
            </w:tcBorders>
          </w:tcPr>
          <w:p w14:paraId="1D11F0F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54572055"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2033714A" w14:textId="77777777" w:rsidTr="00383663">
        <w:trPr>
          <w:cantSplit/>
          <w:trHeight w:val="628"/>
        </w:trPr>
        <w:tc>
          <w:tcPr>
            <w:tcW w:w="1696" w:type="dxa"/>
            <w:tcBorders>
              <w:top w:val="single" w:sz="4" w:space="0" w:color="auto"/>
              <w:bottom w:val="single" w:sz="4" w:space="0" w:color="auto"/>
            </w:tcBorders>
            <w:shd w:val="clear" w:color="auto" w:fill="auto"/>
          </w:tcPr>
          <w:p w14:paraId="29F6CB9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Early years assessment and learning tool pilot evaluation</w:t>
            </w:r>
          </w:p>
          <w:p w14:paraId="7BEC66F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7381F00"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ARTD Pty Ltd</w:t>
            </w:r>
          </w:p>
        </w:tc>
        <w:tc>
          <w:tcPr>
            <w:tcW w:w="2127" w:type="dxa"/>
            <w:tcBorders>
              <w:top w:val="single" w:sz="4" w:space="0" w:color="auto"/>
              <w:bottom w:val="single" w:sz="4" w:space="0" w:color="auto"/>
            </w:tcBorders>
            <w:shd w:val="clear" w:color="auto" w:fill="auto"/>
          </w:tcPr>
          <w:p w14:paraId="7F0A1F3C"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evaluate the tool’s use in the pilot.</w:t>
            </w:r>
          </w:p>
        </w:tc>
        <w:tc>
          <w:tcPr>
            <w:tcW w:w="2409" w:type="dxa"/>
            <w:tcBorders>
              <w:top w:val="single" w:sz="4" w:space="0" w:color="auto"/>
              <w:bottom w:val="single" w:sz="4" w:space="0" w:color="auto"/>
            </w:tcBorders>
          </w:tcPr>
          <w:p w14:paraId="425D31A4"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conduct an evaluation of the tool’s use in the pilot in about 50 kindergarten services </w:t>
            </w:r>
            <w:r>
              <w:rPr>
                <w:rFonts w:ascii="Calibri" w:hAnsi="Calibri" w:cs="Calibri"/>
                <w:sz w:val="16"/>
                <w:szCs w:val="16"/>
              </w:rPr>
              <w:t>in</w:t>
            </w:r>
            <w:r w:rsidRPr="00925213">
              <w:rPr>
                <w:rFonts w:ascii="Calibri" w:hAnsi="Calibri" w:cs="Calibri"/>
                <w:sz w:val="16"/>
                <w:szCs w:val="16"/>
              </w:rPr>
              <w:t xml:space="preserve"> 2021.</w:t>
            </w:r>
          </w:p>
        </w:tc>
        <w:tc>
          <w:tcPr>
            <w:tcW w:w="1134" w:type="dxa"/>
            <w:tcBorders>
              <w:top w:val="single" w:sz="4" w:space="0" w:color="auto"/>
              <w:bottom w:val="single" w:sz="4" w:space="0" w:color="auto"/>
            </w:tcBorders>
          </w:tcPr>
          <w:p w14:paraId="0C46295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September 2020 – May 2023</w:t>
            </w:r>
          </w:p>
        </w:tc>
        <w:tc>
          <w:tcPr>
            <w:tcW w:w="1701" w:type="dxa"/>
            <w:tcBorders>
              <w:top w:val="single" w:sz="4" w:space="0" w:color="auto"/>
              <w:bottom w:val="single" w:sz="4" w:space="0" w:color="auto"/>
            </w:tcBorders>
          </w:tcPr>
          <w:p w14:paraId="7AAC8A0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Provide the Department with an evaluation of the tool pilot that informs the tool’s implementation.</w:t>
            </w:r>
          </w:p>
        </w:tc>
        <w:tc>
          <w:tcPr>
            <w:tcW w:w="1134" w:type="dxa"/>
            <w:tcBorders>
              <w:top w:val="single" w:sz="4" w:space="0" w:color="auto"/>
              <w:bottom w:val="single" w:sz="4" w:space="0" w:color="auto"/>
            </w:tcBorders>
          </w:tcPr>
          <w:p w14:paraId="48381AD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172,356</w:t>
            </w:r>
          </w:p>
        </w:tc>
        <w:tc>
          <w:tcPr>
            <w:tcW w:w="993" w:type="dxa"/>
            <w:tcBorders>
              <w:top w:val="single" w:sz="4" w:space="0" w:color="auto"/>
              <w:bottom w:val="single" w:sz="4" w:space="0" w:color="auto"/>
            </w:tcBorders>
          </w:tcPr>
          <w:p w14:paraId="2B69898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0ACE1CC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2471A090" w14:textId="77777777" w:rsidTr="00383663">
        <w:trPr>
          <w:cantSplit/>
          <w:trHeight w:val="628"/>
        </w:trPr>
        <w:tc>
          <w:tcPr>
            <w:tcW w:w="1696" w:type="dxa"/>
            <w:tcBorders>
              <w:top w:val="single" w:sz="4" w:space="0" w:color="auto"/>
              <w:bottom w:val="single" w:sz="4" w:space="0" w:color="auto"/>
            </w:tcBorders>
            <w:shd w:val="clear" w:color="auto" w:fill="auto"/>
          </w:tcPr>
          <w:p w14:paraId="708DD9A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Education Justice Initiative breakeven analysis </w:t>
            </w:r>
            <w:r>
              <w:rPr>
                <w:rFonts w:ascii="Calibri" w:hAnsi="Calibri" w:cs="Calibri"/>
                <w:sz w:val="16"/>
                <w:szCs w:val="16"/>
              </w:rPr>
              <w:t>of return on investment</w:t>
            </w:r>
          </w:p>
          <w:p w14:paraId="0CE4D217"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15C62C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Urbis</w:t>
            </w:r>
          </w:p>
        </w:tc>
        <w:tc>
          <w:tcPr>
            <w:tcW w:w="2127" w:type="dxa"/>
            <w:tcBorders>
              <w:top w:val="single" w:sz="4" w:space="0" w:color="auto"/>
              <w:bottom w:val="single" w:sz="4" w:space="0" w:color="auto"/>
            </w:tcBorders>
            <w:shd w:val="clear" w:color="auto" w:fill="auto"/>
          </w:tcPr>
          <w:p w14:paraId="1046E68F"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undertake an economic analysis of the Education Justice Initiative to quantify the benefits of the program.  </w:t>
            </w:r>
          </w:p>
        </w:tc>
        <w:tc>
          <w:tcPr>
            <w:tcW w:w="2409" w:type="dxa"/>
            <w:tcBorders>
              <w:top w:val="single" w:sz="4" w:space="0" w:color="auto"/>
              <w:bottom w:val="single" w:sz="4" w:space="0" w:color="auto"/>
            </w:tcBorders>
          </w:tcPr>
          <w:p w14:paraId="0B07A324"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identify the benefits</w:t>
            </w:r>
            <w:r>
              <w:rPr>
                <w:rFonts w:ascii="Calibri" w:hAnsi="Calibri" w:cs="Calibri"/>
                <w:sz w:val="16"/>
                <w:szCs w:val="16"/>
              </w:rPr>
              <w:t xml:space="preserve"> of</w:t>
            </w:r>
            <w:r w:rsidRPr="00925213">
              <w:rPr>
                <w:rFonts w:ascii="Calibri" w:hAnsi="Calibri" w:cs="Calibri"/>
                <w:sz w:val="16"/>
                <w:szCs w:val="16"/>
              </w:rPr>
              <w:t xml:space="preserve"> the Education Justice Initiative by comparing them </w:t>
            </w:r>
            <w:r>
              <w:rPr>
                <w:rFonts w:ascii="Calibri" w:hAnsi="Calibri" w:cs="Calibri"/>
                <w:sz w:val="16"/>
                <w:szCs w:val="16"/>
              </w:rPr>
              <w:t>with</w:t>
            </w:r>
            <w:r w:rsidRPr="00925213">
              <w:rPr>
                <w:rFonts w:ascii="Calibri" w:hAnsi="Calibri" w:cs="Calibri"/>
                <w:sz w:val="16"/>
                <w:szCs w:val="16"/>
              </w:rPr>
              <w:t xml:space="preserve"> the program costs and understand the benefits at both an individual and system level.</w:t>
            </w:r>
          </w:p>
        </w:tc>
        <w:tc>
          <w:tcPr>
            <w:tcW w:w="1134" w:type="dxa"/>
            <w:tcBorders>
              <w:top w:val="single" w:sz="4" w:space="0" w:color="auto"/>
              <w:bottom w:val="single" w:sz="4" w:space="0" w:color="auto"/>
            </w:tcBorders>
          </w:tcPr>
          <w:p w14:paraId="3F0A4F7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February – March 2021</w:t>
            </w:r>
          </w:p>
        </w:tc>
        <w:tc>
          <w:tcPr>
            <w:tcW w:w="1701" w:type="dxa"/>
            <w:tcBorders>
              <w:top w:val="single" w:sz="4" w:space="0" w:color="auto"/>
              <w:bottom w:val="single" w:sz="4" w:space="0" w:color="auto"/>
            </w:tcBorders>
          </w:tcPr>
          <w:p w14:paraId="0997EC6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The analysis provides insight on the level of net economic benefit achieved through the Education Justice Initiative.</w:t>
            </w:r>
          </w:p>
        </w:tc>
        <w:tc>
          <w:tcPr>
            <w:tcW w:w="1134" w:type="dxa"/>
            <w:tcBorders>
              <w:top w:val="single" w:sz="4" w:space="0" w:color="auto"/>
              <w:bottom w:val="single" w:sz="4" w:space="0" w:color="auto"/>
            </w:tcBorders>
          </w:tcPr>
          <w:p w14:paraId="24546F7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25,000</w:t>
            </w:r>
          </w:p>
        </w:tc>
        <w:tc>
          <w:tcPr>
            <w:tcW w:w="993" w:type="dxa"/>
            <w:tcBorders>
              <w:top w:val="single" w:sz="4" w:space="0" w:color="auto"/>
              <w:bottom w:val="single" w:sz="4" w:space="0" w:color="auto"/>
            </w:tcBorders>
          </w:tcPr>
          <w:p w14:paraId="5645692B"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25,000</w:t>
            </w:r>
          </w:p>
        </w:tc>
        <w:tc>
          <w:tcPr>
            <w:tcW w:w="1622" w:type="dxa"/>
            <w:tcBorders>
              <w:top w:val="single" w:sz="4" w:space="0" w:color="auto"/>
              <w:bottom w:val="single" w:sz="4" w:space="0" w:color="auto"/>
            </w:tcBorders>
          </w:tcPr>
          <w:p w14:paraId="3FE08C4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0E09F1F6" w14:textId="77777777" w:rsidTr="00997A0A">
        <w:trPr>
          <w:cantSplit/>
          <w:trHeight w:val="628"/>
        </w:trPr>
        <w:tc>
          <w:tcPr>
            <w:tcW w:w="1696" w:type="dxa"/>
            <w:tcBorders>
              <w:top w:val="single" w:sz="4" w:space="0" w:color="auto"/>
              <w:bottom w:val="single" w:sz="4" w:space="0" w:color="auto"/>
            </w:tcBorders>
            <w:shd w:val="clear" w:color="auto" w:fill="auto"/>
          </w:tcPr>
          <w:p w14:paraId="36296CF6" w14:textId="77777777" w:rsidR="00951BB7" w:rsidRPr="00997A0A" w:rsidRDefault="00951BB7" w:rsidP="00997A0A">
            <w:pPr>
              <w:pStyle w:val="ESTablebody"/>
              <w:rPr>
                <w:rFonts w:ascii="Calibri" w:hAnsi="Calibri" w:cs="Calibri"/>
                <w:sz w:val="16"/>
                <w:szCs w:val="16"/>
              </w:rPr>
            </w:pPr>
            <w:r w:rsidRPr="00997A0A">
              <w:rPr>
                <w:rFonts w:ascii="Calibri" w:hAnsi="Calibri" w:cs="Calibri"/>
                <w:sz w:val="16"/>
                <w:szCs w:val="16"/>
              </w:rPr>
              <w:lastRenderedPageBreak/>
              <w:t>Employee Wellbeing and Operational Policy Reforms evaluation</w:t>
            </w:r>
            <w:r>
              <w:rPr>
                <w:rFonts w:ascii="Calibri" w:hAnsi="Calibri" w:cs="Calibri"/>
                <w:sz w:val="16"/>
                <w:szCs w:val="16"/>
              </w:rPr>
              <w:t>.</w:t>
            </w:r>
          </w:p>
          <w:p w14:paraId="6E45D921" w14:textId="77777777" w:rsidR="00951BB7" w:rsidRPr="00920949" w:rsidRDefault="00951BB7" w:rsidP="00997A0A">
            <w:pPr>
              <w:pStyle w:val="ESTablebody"/>
              <w:rPr>
                <w:rFonts w:ascii="Calibri" w:hAnsi="Calibri" w:cs="Calibri"/>
                <w:sz w:val="16"/>
                <w:szCs w:val="16"/>
              </w:rPr>
            </w:pPr>
            <w:r>
              <w:rPr>
                <w:rFonts w:ascii="Calibri" w:hAnsi="Calibri" w:cs="Calibri"/>
                <w:sz w:val="16"/>
                <w:szCs w:val="16"/>
              </w:rPr>
              <w:t>(</w:t>
            </w:r>
            <w:r w:rsidRPr="00997A0A">
              <w:rPr>
                <w:rFonts w:ascii="Calibri" w:hAnsi="Calibri" w:cs="Calibri"/>
                <w:sz w:val="16"/>
                <w:szCs w:val="16"/>
              </w:rPr>
              <w:t>Education portfolio, Support Services Delivery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08A7B6EF" w14:textId="77777777" w:rsidR="00951BB7" w:rsidRPr="00920949" w:rsidRDefault="00951BB7" w:rsidP="00997A0A">
            <w:pPr>
              <w:pStyle w:val="ESTablebody"/>
              <w:rPr>
                <w:rFonts w:ascii="Calibri" w:hAnsi="Calibri" w:cs="Calibri"/>
                <w:sz w:val="16"/>
                <w:szCs w:val="16"/>
              </w:rPr>
            </w:pPr>
            <w:r w:rsidRPr="00997A0A">
              <w:rPr>
                <w:rFonts w:ascii="Calibri" w:hAnsi="Calibri" w:cs="Calibri"/>
                <w:sz w:val="16"/>
                <w:szCs w:val="16"/>
              </w:rPr>
              <w:t>Paxton Partners</w:t>
            </w:r>
          </w:p>
        </w:tc>
        <w:tc>
          <w:tcPr>
            <w:tcW w:w="2127" w:type="dxa"/>
            <w:tcBorders>
              <w:top w:val="single" w:sz="4" w:space="0" w:color="auto"/>
              <w:bottom w:val="single" w:sz="4" w:space="0" w:color="auto"/>
            </w:tcBorders>
            <w:shd w:val="clear" w:color="auto" w:fill="auto"/>
          </w:tcPr>
          <w:p w14:paraId="2521B0B0" w14:textId="77777777" w:rsidR="00951BB7" w:rsidRPr="00920949" w:rsidRDefault="00951BB7" w:rsidP="00997A0A">
            <w:pPr>
              <w:pStyle w:val="ESTablebody"/>
              <w:rPr>
                <w:rFonts w:ascii="Calibri" w:hAnsi="Calibri" w:cs="Calibri"/>
                <w:sz w:val="16"/>
                <w:szCs w:val="16"/>
              </w:rPr>
            </w:pPr>
            <w:r w:rsidRPr="00997A0A">
              <w:rPr>
                <w:rFonts w:ascii="Calibri" w:hAnsi="Calibri" w:cs="Calibri"/>
                <w:sz w:val="16"/>
                <w:szCs w:val="16"/>
              </w:rPr>
              <w:t xml:space="preserve">To evaluate the individual and collective impact of Principal Health and Wellbeing; Occupational Health and Safety and Workers’ Compensation; and Operational Policy Reforms. </w:t>
            </w:r>
          </w:p>
        </w:tc>
        <w:tc>
          <w:tcPr>
            <w:tcW w:w="2409" w:type="dxa"/>
            <w:tcBorders>
              <w:top w:val="single" w:sz="4" w:space="0" w:color="auto"/>
              <w:bottom w:val="single" w:sz="4" w:space="0" w:color="auto"/>
            </w:tcBorders>
          </w:tcPr>
          <w:p w14:paraId="18841CD1" w14:textId="77777777" w:rsidR="00951BB7" w:rsidRPr="00920949" w:rsidRDefault="00951BB7" w:rsidP="00997A0A">
            <w:pPr>
              <w:pStyle w:val="ESTablebody"/>
              <w:rPr>
                <w:rFonts w:ascii="Calibri" w:hAnsi="Calibri" w:cs="Calibri"/>
                <w:sz w:val="16"/>
                <w:szCs w:val="16"/>
              </w:rPr>
            </w:pPr>
            <w:r w:rsidRPr="00997A0A">
              <w:rPr>
                <w:rFonts w:ascii="Calibri" w:hAnsi="Calibri" w:cs="Calibri"/>
                <w:sz w:val="16"/>
                <w:szCs w:val="16"/>
              </w:rPr>
              <w:t>To develop an evaluation framework and deliver reports</w:t>
            </w:r>
            <w:r>
              <w:rPr>
                <w:rFonts w:ascii="Calibri" w:hAnsi="Calibri" w:cs="Calibri"/>
                <w:sz w:val="16"/>
                <w:szCs w:val="16"/>
              </w:rPr>
              <w:t xml:space="preserve"> that</w:t>
            </w:r>
            <w:r w:rsidRPr="00997A0A">
              <w:rPr>
                <w:rFonts w:ascii="Calibri" w:hAnsi="Calibri" w:cs="Calibri"/>
                <w:sz w:val="16"/>
                <w:szCs w:val="16"/>
              </w:rPr>
              <w:t xml:space="preserve"> provide formative findings and recommendations throughout implementation</w:t>
            </w:r>
            <w:r>
              <w:rPr>
                <w:rFonts w:ascii="Calibri" w:hAnsi="Calibri" w:cs="Calibri"/>
                <w:sz w:val="16"/>
                <w:szCs w:val="16"/>
              </w:rPr>
              <w:t>. Reports also provide</w:t>
            </w:r>
            <w:r w:rsidRPr="00997A0A">
              <w:rPr>
                <w:rFonts w:ascii="Calibri" w:hAnsi="Calibri" w:cs="Calibri"/>
                <w:sz w:val="16"/>
                <w:szCs w:val="16"/>
              </w:rPr>
              <w:t xml:space="preserve"> summative findings to understand achieved outcomes</w:t>
            </w:r>
            <w:r>
              <w:rPr>
                <w:rFonts w:ascii="Calibri" w:hAnsi="Calibri" w:cs="Calibri"/>
                <w:sz w:val="16"/>
                <w:szCs w:val="16"/>
              </w:rPr>
              <w:t>.</w:t>
            </w:r>
          </w:p>
        </w:tc>
        <w:tc>
          <w:tcPr>
            <w:tcW w:w="1134" w:type="dxa"/>
            <w:tcBorders>
              <w:top w:val="single" w:sz="4" w:space="0" w:color="auto"/>
              <w:bottom w:val="single" w:sz="4" w:space="0" w:color="auto"/>
            </w:tcBorders>
          </w:tcPr>
          <w:p w14:paraId="1F523F57" w14:textId="77777777" w:rsidR="00951BB7" w:rsidRPr="00920949" w:rsidRDefault="00951BB7" w:rsidP="00997A0A">
            <w:pPr>
              <w:pStyle w:val="ESTablebody"/>
              <w:rPr>
                <w:rFonts w:ascii="Calibri" w:hAnsi="Calibri" w:cs="Calibri"/>
                <w:sz w:val="16"/>
                <w:szCs w:val="16"/>
              </w:rPr>
            </w:pPr>
            <w:r w:rsidRPr="00997A0A">
              <w:rPr>
                <w:rFonts w:ascii="Calibri" w:hAnsi="Calibri" w:cs="Calibri"/>
                <w:sz w:val="16"/>
                <w:szCs w:val="16"/>
              </w:rPr>
              <w:t>August 2019 – January 2023</w:t>
            </w:r>
          </w:p>
        </w:tc>
        <w:tc>
          <w:tcPr>
            <w:tcW w:w="1701" w:type="dxa"/>
            <w:tcBorders>
              <w:top w:val="single" w:sz="4" w:space="0" w:color="auto"/>
              <w:bottom w:val="single" w:sz="4" w:space="0" w:color="auto"/>
            </w:tcBorders>
          </w:tcPr>
          <w:p w14:paraId="3154B609" w14:textId="77777777" w:rsidR="00951BB7" w:rsidRPr="00920949" w:rsidRDefault="00951BB7" w:rsidP="00997A0A">
            <w:pPr>
              <w:pStyle w:val="ESTablebody"/>
              <w:rPr>
                <w:rFonts w:ascii="Calibri" w:hAnsi="Calibri" w:cs="Calibri"/>
                <w:sz w:val="16"/>
                <w:szCs w:val="16"/>
              </w:rPr>
            </w:pPr>
            <w:r>
              <w:rPr>
                <w:rFonts w:ascii="Calibri" w:hAnsi="Calibri" w:cs="Calibri"/>
                <w:sz w:val="16"/>
                <w:szCs w:val="16"/>
              </w:rPr>
              <w:t>To</w:t>
            </w:r>
            <w:r w:rsidRPr="00997A0A">
              <w:rPr>
                <w:rFonts w:ascii="Calibri" w:hAnsi="Calibri" w:cs="Calibri"/>
                <w:sz w:val="16"/>
                <w:szCs w:val="16"/>
              </w:rPr>
              <w:t xml:space="preserve"> inform continuous improvement for the </w:t>
            </w:r>
            <w:r>
              <w:rPr>
                <w:rFonts w:ascii="Calibri" w:hAnsi="Calibri" w:cs="Calibri"/>
                <w:sz w:val="16"/>
                <w:szCs w:val="16"/>
              </w:rPr>
              <w:t>r</w:t>
            </w:r>
            <w:r w:rsidRPr="00997A0A">
              <w:rPr>
                <w:rFonts w:ascii="Calibri" w:hAnsi="Calibri" w:cs="Calibri"/>
                <w:sz w:val="16"/>
                <w:szCs w:val="16"/>
              </w:rPr>
              <w:t xml:space="preserve">eform initiatives and any future initiatives, as well as identifying opportunities for future investment in employee health, </w:t>
            </w:r>
            <w:proofErr w:type="gramStart"/>
            <w:r w:rsidRPr="00997A0A">
              <w:rPr>
                <w:rFonts w:ascii="Calibri" w:hAnsi="Calibri" w:cs="Calibri"/>
                <w:sz w:val="16"/>
                <w:szCs w:val="16"/>
              </w:rPr>
              <w:t>safety</w:t>
            </w:r>
            <w:proofErr w:type="gramEnd"/>
            <w:r w:rsidRPr="00997A0A">
              <w:rPr>
                <w:rFonts w:ascii="Calibri" w:hAnsi="Calibri" w:cs="Calibri"/>
                <w:sz w:val="16"/>
                <w:szCs w:val="16"/>
              </w:rPr>
              <w:t xml:space="preserve"> and wellbeing. </w:t>
            </w:r>
          </w:p>
        </w:tc>
        <w:tc>
          <w:tcPr>
            <w:tcW w:w="1134" w:type="dxa"/>
            <w:tcBorders>
              <w:top w:val="single" w:sz="4" w:space="0" w:color="auto"/>
              <w:bottom w:val="single" w:sz="4" w:space="0" w:color="auto"/>
            </w:tcBorders>
          </w:tcPr>
          <w:p w14:paraId="19D85169" w14:textId="77777777" w:rsidR="00951BB7" w:rsidRPr="00920949" w:rsidRDefault="00951BB7" w:rsidP="00997A0A">
            <w:pPr>
              <w:pStyle w:val="ESTablebody"/>
              <w:jc w:val="right"/>
              <w:rPr>
                <w:rFonts w:ascii="Calibri" w:hAnsi="Calibri" w:cs="Calibri"/>
                <w:sz w:val="16"/>
                <w:szCs w:val="16"/>
              </w:rPr>
            </w:pPr>
            <w:r w:rsidRPr="00997A0A">
              <w:rPr>
                <w:rFonts w:ascii="Calibri" w:hAnsi="Calibri" w:cs="Calibri"/>
                <w:sz w:val="16"/>
                <w:szCs w:val="16"/>
              </w:rPr>
              <w:t>745,396</w:t>
            </w:r>
          </w:p>
        </w:tc>
        <w:tc>
          <w:tcPr>
            <w:tcW w:w="993" w:type="dxa"/>
            <w:tcBorders>
              <w:top w:val="single" w:sz="4" w:space="0" w:color="auto"/>
              <w:bottom w:val="single" w:sz="4" w:space="0" w:color="auto"/>
            </w:tcBorders>
          </w:tcPr>
          <w:p w14:paraId="1AB7F054" w14:textId="77777777" w:rsidR="00951BB7" w:rsidRPr="00920949" w:rsidRDefault="00951BB7" w:rsidP="00997A0A">
            <w:pPr>
              <w:pStyle w:val="ESTablebody"/>
              <w:jc w:val="right"/>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1D8B8F6C" w14:textId="77777777" w:rsidR="00951BB7" w:rsidRPr="00920949" w:rsidRDefault="00951BB7" w:rsidP="00997A0A">
            <w:pPr>
              <w:pStyle w:val="ESTablebody"/>
              <w:jc w:val="right"/>
              <w:rPr>
                <w:rFonts w:ascii="Calibri" w:hAnsi="Calibri" w:cs="Calibri"/>
                <w:sz w:val="16"/>
                <w:szCs w:val="16"/>
              </w:rPr>
            </w:pPr>
            <w:r w:rsidRPr="00997A0A">
              <w:rPr>
                <w:rFonts w:ascii="Calibri" w:hAnsi="Calibri" w:cs="Calibri"/>
                <w:sz w:val="16"/>
                <w:szCs w:val="16"/>
              </w:rPr>
              <w:t>N</w:t>
            </w:r>
          </w:p>
        </w:tc>
      </w:tr>
      <w:tr w:rsidR="00951BB7" w:rsidRPr="00925213" w14:paraId="12820904" w14:textId="77777777" w:rsidTr="00383663">
        <w:trPr>
          <w:cantSplit/>
          <w:trHeight w:val="628"/>
        </w:trPr>
        <w:tc>
          <w:tcPr>
            <w:tcW w:w="1696" w:type="dxa"/>
            <w:tcBorders>
              <w:top w:val="single" w:sz="4" w:space="0" w:color="auto"/>
              <w:bottom w:val="single" w:sz="4" w:space="0" w:color="auto"/>
            </w:tcBorders>
            <w:shd w:val="clear" w:color="auto" w:fill="auto"/>
          </w:tcPr>
          <w:p w14:paraId="2E942809"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Enhanced public health investigation of SARS-CoV-2 cases in Victorian schools and early childhood education and care.</w:t>
            </w:r>
          </w:p>
          <w:p w14:paraId="04D0A78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and Education portfolios, Support Services Delivery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53B8B499"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Murdoch Children’s Research Institute in partnership with the Department and the Department of Health</w:t>
            </w:r>
          </w:p>
        </w:tc>
        <w:tc>
          <w:tcPr>
            <w:tcW w:w="2127" w:type="dxa"/>
            <w:tcBorders>
              <w:top w:val="single" w:sz="4" w:space="0" w:color="auto"/>
              <w:bottom w:val="single" w:sz="4" w:space="0" w:color="auto"/>
            </w:tcBorders>
            <w:shd w:val="clear" w:color="auto" w:fill="auto"/>
          </w:tcPr>
          <w:p w14:paraId="6FF52C6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research COVID-19 transmission in Victorian school and Early Childhood Education and Care (ECEC) settings.</w:t>
            </w:r>
          </w:p>
        </w:tc>
        <w:tc>
          <w:tcPr>
            <w:tcW w:w="2409" w:type="dxa"/>
            <w:tcBorders>
              <w:top w:val="single" w:sz="4" w:space="0" w:color="auto"/>
              <w:bottom w:val="single" w:sz="4" w:space="0" w:color="auto"/>
            </w:tcBorders>
          </w:tcPr>
          <w:p w14:paraId="2BB4FE3A"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increase understanding of transmission in school and ECEC settings by investigating transmission pathways between learners and staff. This includes investigating surface transmission by undertaking environmental testing of high</w:t>
            </w:r>
            <w:r w:rsidRPr="00925213">
              <w:rPr>
                <w:rFonts w:ascii="Calibri" w:hAnsi="Calibri" w:cs="Calibri"/>
                <w:sz w:val="16"/>
                <w:szCs w:val="16"/>
              </w:rPr>
              <w:noBreakHyphen/>
              <w:t xml:space="preserve">touch surfaces in school and ECEC settings, and undertaking a survey of staff, parents and </w:t>
            </w:r>
            <w:proofErr w:type="spellStart"/>
            <w:r w:rsidRPr="00925213">
              <w:rPr>
                <w:rFonts w:ascii="Calibri" w:hAnsi="Calibri" w:cs="Calibri"/>
                <w:sz w:val="16"/>
                <w:szCs w:val="16"/>
              </w:rPr>
              <w:t>carers</w:t>
            </w:r>
            <w:proofErr w:type="spellEnd"/>
            <w:r w:rsidRPr="00925213">
              <w:rPr>
                <w:rFonts w:ascii="Calibri" w:hAnsi="Calibri" w:cs="Calibri"/>
                <w:sz w:val="16"/>
                <w:szCs w:val="16"/>
              </w:rPr>
              <w:t xml:space="preserve"> and students on the psychosocial impact of school/ECEC closures </w:t>
            </w:r>
            <w:proofErr w:type="gramStart"/>
            <w:r w:rsidRPr="00925213">
              <w:rPr>
                <w:rFonts w:ascii="Calibri" w:hAnsi="Calibri" w:cs="Calibri"/>
                <w:sz w:val="16"/>
                <w:szCs w:val="16"/>
              </w:rPr>
              <w:t>as a result of</w:t>
            </w:r>
            <w:proofErr w:type="gramEnd"/>
            <w:r w:rsidRPr="00925213">
              <w:rPr>
                <w:rFonts w:ascii="Calibri" w:hAnsi="Calibri" w:cs="Calibri"/>
                <w:sz w:val="16"/>
                <w:szCs w:val="16"/>
              </w:rPr>
              <w:t xml:space="preserve"> COVID-19 cases.</w:t>
            </w:r>
          </w:p>
        </w:tc>
        <w:tc>
          <w:tcPr>
            <w:tcW w:w="1134" w:type="dxa"/>
            <w:tcBorders>
              <w:top w:val="single" w:sz="4" w:space="0" w:color="auto"/>
              <w:bottom w:val="single" w:sz="4" w:space="0" w:color="auto"/>
            </w:tcBorders>
          </w:tcPr>
          <w:p w14:paraId="5989C153"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December 2020</w:t>
            </w:r>
            <w:r w:rsidRPr="00925213">
              <w:rPr>
                <w:rFonts w:ascii="Calibri" w:hAnsi="Calibri" w:cs="Calibri"/>
                <w:sz w:val="16"/>
                <w:szCs w:val="16"/>
              </w:rPr>
              <w:t xml:space="preserve"> –</w:t>
            </w:r>
            <w:r>
              <w:rPr>
                <w:rFonts w:ascii="Calibri" w:hAnsi="Calibri" w:cs="Calibri"/>
                <w:sz w:val="16"/>
                <w:szCs w:val="16"/>
              </w:rPr>
              <w:t>December 2021</w:t>
            </w:r>
          </w:p>
        </w:tc>
        <w:tc>
          <w:tcPr>
            <w:tcW w:w="1701" w:type="dxa"/>
            <w:tcBorders>
              <w:top w:val="single" w:sz="4" w:space="0" w:color="auto"/>
              <w:bottom w:val="single" w:sz="4" w:space="0" w:color="auto"/>
            </w:tcBorders>
          </w:tcPr>
          <w:p w14:paraId="14CA673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increase understanding of the role of children and young people in transmission and enhance the Department’s ability to reduce the risk of, and </w:t>
            </w:r>
            <w:r>
              <w:rPr>
                <w:rFonts w:ascii="Calibri" w:hAnsi="Calibri" w:cs="Calibri"/>
                <w:sz w:val="16"/>
                <w:szCs w:val="16"/>
              </w:rPr>
              <w:t>effectively</w:t>
            </w:r>
            <w:r w:rsidRPr="00925213">
              <w:rPr>
                <w:rFonts w:ascii="Calibri" w:hAnsi="Calibri" w:cs="Calibri"/>
                <w:sz w:val="16"/>
                <w:szCs w:val="16"/>
              </w:rPr>
              <w:t xml:space="preserve"> respond to, outbreaks in schools and ECEC services.</w:t>
            </w:r>
          </w:p>
        </w:tc>
        <w:tc>
          <w:tcPr>
            <w:tcW w:w="1134" w:type="dxa"/>
            <w:tcBorders>
              <w:top w:val="single" w:sz="4" w:space="0" w:color="auto"/>
              <w:bottom w:val="single" w:sz="4" w:space="0" w:color="auto"/>
            </w:tcBorders>
          </w:tcPr>
          <w:p w14:paraId="33E68F8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120,066</w:t>
            </w:r>
          </w:p>
          <w:p w14:paraId="2F1E2DF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(The Department’s contribution)</w:t>
            </w:r>
          </w:p>
        </w:tc>
        <w:tc>
          <w:tcPr>
            <w:tcW w:w="993" w:type="dxa"/>
            <w:tcBorders>
              <w:top w:val="single" w:sz="4" w:space="0" w:color="auto"/>
              <w:bottom w:val="single" w:sz="4" w:space="0" w:color="auto"/>
            </w:tcBorders>
          </w:tcPr>
          <w:p w14:paraId="33D69F2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120,066</w:t>
            </w:r>
          </w:p>
          <w:p w14:paraId="4BA51C2C" w14:textId="77777777" w:rsidR="00951BB7" w:rsidRPr="00925213" w:rsidRDefault="00951BB7" w:rsidP="00375B4C">
            <w:pPr>
              <w:pStyle w:val="ESTablebody"/>
              <w:jc w:val="right"/>
              <w:rPr>
                <w:rFonts w:ascii="Calibri" w:hAnsi="Calibri" w:cs="Calibri"/>
                <w:sz w:val="16"/>
                <w:szCs w:val="16"/>
              </w:rPr>
            </w:pPr>
          </w:p>
        </w:tc>
        <w:tc>
          <w:tcPr>
            <w:tcW w:w="1622" w:type="dxa"/>
            <w:tcBorders>
              <w:top w:val="single" w:sz="4" w:space="0" w:color="auto"/>
              <w:bottom w:val="single" w:sz="4" w:space="0" w:color="auto"/>
            </w:tcBorders>
          </w:tcPr>
          <w:p w14:paraId="18369EE0" w14:textId="77777777" w:rsidR="00951BB7" w:rsidRPr="001C5B60" w:rsidRDefault="00951BB7" w:rsidP="00375B4C">
            <w:pPr>
              <w:pStyle w:val="ESTablebody"/>
              <w:jc w:val="right"/>
              <w:rPr>
                <w:rStyle w:val="Hyperlink"/>
                <w:rFonts w:ascii="Calibri" w:hAnsi="Calibri" w:cs="Calibri"/>
                <w:color w:val="auto"/>
                <w:sz w:val="16"/>
                <w:szCs w:val="16"/>
                <w:u w:val="none"/>
              </w:rPr>
            </w:pPr>
            <w:r w:rsidRPr="001C5B60">
              <w:rPr>
                <w:rStyle w:val="Hyperlink"/>
                <w:rFonts w:ascii="Calibri" w:hAnsi="Calibri" w:cs="Calibri"/>
                <w:color w:val="auto"/>
                <w:sz w:val="16"/>
                <w:szCs w:val="16"/>
                <w:u w:val="none"/>
              </w:rPr>
              <w:t xml:space="preserve">Y </w:t>
            </w:r>
          </w:p>
          <w:p w14:paraId="0279B785" w14:textId="77777777" w:rsidR="00951BB7" w:rsidRPr="001C5B60" w:rsidRDefault="00760694" w:rsidP="00375B4C">
            <w:pPr>
              <w:pStyle w:val="ESTablebody"/>
              <w:jc w:val="right"/>
              <w:rPr>
                <w:rStyle w:val="Hyperlink"/>
                <w:rFonts w:ascii="Calibri" w:hAnsi="Calibri" w:cs="Calibri"/>
                <w:color w:val="auto"/>
                <w:sz w:val="16"/>
                <w:szCs w:val="16"/>
              </w:rPr>
            </w:pPr>
            <w:hyperlink r:id="rId17" w:history="1">
              <w:r w:rsidR="00951BB7" w:rsidRPr="001C5B60">
                <w:rPr>
                  <w:rStyle w:val="Hyperlink"/>
                  <w:rFonts w:ascii="Calibri" w:hAnsi="Calibri" w:cs="Calibri"/>
                  <w:color w:val="auto"/>
                  <w:sz w:val="16"/>
                  <w:szCs w:val="16"/>
                </w:rPr>
                <w:t>COVID Schools Study - Murdoch Children's Research Institute (mcri.edu.au)</w:t>
              </w:r>
            </w:hyperlink>
            <w:r w:rsidR="00951BB7" w:rsidRPr="001C5B60">
              <w:rPr>
                <w:rStyle w:val="Hyperlink"/>
                <w:rFonts w:ascii="Calibri" w:hAnsi="Calibri" w:cs="Calibri"/>
                <w:color w:val="auto"/>
                <w:sz w:val="16"/>
                <w:szCs w:val="16"/>
              </w:rPr>
              <w:t xml:space="preserve"> </w:t>
            </w:r>
          </w:p>
        </w:tc>
      </w:tr>
      <w:tr w:rsidR="00951BB7" w:rsidRPr="00925213" w14:paraId="5D511EBB" w14:textId="77777777" w:rsidTr="00E11F50">
        <w:trPr>
          <w:cantSplit/>
          <w:trHeight w:val="628"/>
        </w:trPr>
        <w:tc>
          <w:tcPr>
            <w:tcW w:w="1696" w:type="dxa"/>
            <w:tcBorders>
              <w:top w:val="single" w:sz="4" w:space="0" w:color="auto"/>
              <w:bottom w:val="single" w:sz="4" w:space="0" w:color="auto"/>
            </w:tcBorders>
            <w:shd w:val="clear" w:color="auto" w:fill="auto"/>
          </w:tcPr>
          <w:p w14:paraId="21A08B91" w14:textId="77777777" w:rsidR="00951BB7" w:rsidRDefault="00951BB7" w:rsidP="00E11F50">
            <w:pPr>
              <w:pStyle w:val="ESTablebody"/>
              <w:rPr>
                <w:rFonts w:ascii="Calibri" w:hAnsi="Calibri" w:cs="Calibri"/>
                <w:sz w:val="16"/>
                <w:szCs w:val="16"/>
              </w:rPr>
            </w:pPr>
            <w:r w:rsidRPr="000F1564">
              <w:rPr>
                <w:rFonts w:ascii="Calibri" w:hAnsi="Calibri" w:cs="Calibri"/>
                <w:sz w:val="16"/>
                <w:szCs w:val="16"/>
              </w:rPr>
              <w:lastRenderedPageBreak/>
              <w:t>Equipment Boost for Schools Initiative evaluation</w:t>
            </w:r>
          </w:p>
          <w:p w14:paraId="2716EB21" w14:textId="77777777" w:rsidR="00951BB7" w:rsidRPr="00997A0A" w:rsidRDefault="00951BB7" w:rsidP="00E11F50">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5472655" w14:textId="77777777" w:rsidR="00951BB7" w:rsidRPr="00997A0A" w:rsidRDefault="00951BB7" w:rsidP="00E11F50">
            <w:pPr>
              <w:pStyle w:val="ESTablebody"/>
              <w:rPr>
                <w:rFonts w:ascii="Calibri" w:hAnsi="Calibri" w:cs="Calibri"/>
                <w:sz w:val="16"/>
                <w:szCs w:val="16"/>
              </w:rPr>
            </w:pPr>
            <w:r w:rsidRPr="004E1CE0">
              <w:rPr>
                <w:rFonts w:ascii="Calibri" w:hAnsi="Calibri" w:cs="Calibri"/>
                <w:sz w:val="16"/>
                <w:szCs w:val="16"/>
              </w:rPr>
              <w:t xml:space="preserve">University of Melbourne: Melbourne Graduate School of Education, Centre for Program Evaluation </w:t>
            </w:r>
          </w:p>
        </w:tc>
        <w:tc>
          <w:tcPr>
            <w:tcW w:w="2127" w:type="dxa"/>
            <w:tcBorders>
              <w:top w:val="single" w:sz="4" w:space="0" w:color="auto"/>
              <w:bottom w:val="single" w:sz="4" w:space="0" w:color="auto"/>
            </w:tcBorders>
            <w:shd w:val="clear" w:color="auto" w:fill="auto"/>
          </w:tcPr>
          <w:p w14:paraId="05966073" w14:textId="77777777" w:rsidR="00951BB7" w:rsidRPr="00997A0A" w:rsidRDefault="00951BB7" w:rsidP="00E11F50">
            <w:pPr>
              <w:pStyle w:val="ESTablebody"/>
              <w:rPr>
                <w:rFonts w:ascii="Calibri" w:hAnsi="Calibri" w:cs="Calibri"/>
                <w:sz w:val="16"/>
                <w:szCs w:val="16"/>
              </w:rPr>
            </w:pPr>
            <w:r w:rsidRPr="00EF21F0">
              <w:rPr>
                <w:rFonts w:ascii="Calibri" w:hAnsi="Calibri" w:cs="Calibri"/>
                <w:sz w:val="16"/>
                <w:szCs w:val="16"/>
              </w:rPr>
              <w:t xml:space="preserve">To investigate the extent to which the intended outcomes of the initiative have been met and the impact that the initiative has had on students, schools, </w:t>
            </w:r>
            <w:r w:rsidRPr="00EF21F0" w:rsidDel="00E33A02">
              <w:rPr>
                <w:rFonts w:ascii="Calibri" w:hAnsi="Calibri" w:cs="Calibri"/>
                <w:sz w:val="16"/>
                <w:szCs w:val="16"/>
              </w:rPr>
              <w:t>teachers</w:t>
            </w:r>
            <w:r w:rsidRPr="00EF21F0">
              <w:rPr>
                <w:rFonts w:ascii="Calibri" w:hAnsi="Calibri" w:cs="Calibri"/>
                <w:sz w:val="16"/>
                <w:szCs w:val="16"/>
              </w:rPr>
              <w:t>, and other Departmental staff members.</w:t>
            </w:r>
          </w:p>
        </w:tc>
        <w:tc>
          <w:tcPr>
            <w:tcW w:w="2409" w:type="dxa"/>
            <w:tcBorders>
              <w:top w:val="single" w:sz="4" w:space="0" w:color="auto"/>
              <w:bottom w:val="single" w:sz="4" w:space="0" w:color="auto"/>
            </w:tcBorders>
          </w:tcPr>
          <w:p w14:paraId="74FEDFE2" w14:textId="77777777" w:rsidR="00951BB7" w:rsidRPr="00E11F50" w:rsidRDefault="00951BB7" w:rsidP="00E11F50">
            <w:pPr>
              <w:pStyle w:val="ESTablebody"/>
              <w:rPr>
                <w:rFonts w:ascii="Calibri" w:hAnsi="Calibri" w:cs="Calibri"/>
                <w:sz w:val="16"/>
                <w:szCs w:val="16"/>
              </w:rPr>
            </w:pPr>
            <w:r>
              <w:rPr>
                <w:rFonts w:ascii="Calibri" w:hAnsi="Calibri" w:cs="Calibri"/>
                <w:sz w:val="16"/>
                <w:szCs w:val="16"/>
              </w:rPr>
              <w:t>To examine the</w:t>
            </w:r>
            <w:r w:rsidRPr="00EF21F0">
              <w:rPr>
                <w:rFonts w:ascii="Calibri" w:hAnsi="Calibri" w:cs="Calibri"/>
                <w:sz w:val="16"/>
                <w:szCs w:val="16"/>
              </w:rPr>
              <w:t xml:space="preserve"> outcomes of the initiative, rather than the</w:t>
            </w:r>
            <w:r>
              <w:rPr>
                <w:rFonts w:ascii="Calibri" w:hAnsi="Calibri" w:cs="Calibri"/>
                <w:sz w:val="16"/>
                <w:szCs w:val="16"/>
              </w:rPr>
              <w:t xml:space="preserve"> i</w:t>
            </w:r>
            <w:r w:rsidRPr="00EF21F0">
              <w:rPr>
                <w:rFonts w:ascii="Calibri" w:hAnsi="Calibri" w:cs="Calibri"/>
                <w:sz w:val="16"/>
                <w:szCs w:val="16"/>
              </w:rPr>
              <w:t>mplementation proces</w:t>
            </w:r>
            <w:r>
              <w:rPr>
                <w:rFonts w:ascii="Calibri" w:hAnsi="Calibri" w:cs="Calibri"/>
                <w:sz w:val="16"/>
                <w:szCs w:val="16"/>
              </w:rPr>
              <w:t>s.</w:t>
            </w:r>
          </w:p>
          <w:p w14:paraId="70DFE592" w14:textId="77777777" w:rsidR="00951BB7" w:rsidRPr="00997A0A" w:rsidRDefault="00951BB7" w:rsidP="00E11F50">
            <w:pPr>
              <w:pStyle w:val="ESTablebody"/>
              <w:rPr>
                <w:rFonts w:ascii="Calibri" w:hAnsi="Calibri" w:cs="Calibri"/>
                <w:sz w:val="16"/>
                <w:szCs w:val="16"/>
              </w:rPr>
            </w:pPr>
          </w:p>
        </w:tc>
        <w:tc>
          <w:tcPr>
            <w:tcW w:w="1134" w:type="dxa"/>
            <w:tcBorders>
              <w:top w:val="single" w:sz="4" w:space="0" w:color="auto"/>
              <w:bottom w:val="single" w:sz="4" w:space="0" w:color="auto"/>
            </w:tcBorders>
          </w:tcPr>
          <w:p w14:paraId="587717A3" w14:textId="77777777" w:rsidR="00951BB7" w:rsidRPr="00997A0A" w:rsidRDefault="00951BB7" w:rsidP="00E11F50">
            <w:pPr>
              <w:pStyle w:val="ESTablebody"/>
              <w:rPr>
                <w:rFonts w:ascii="Calibri" w:hAnsi="Calibri" w:cs="Calibri"/>
                <w:sz w:val="16"/>
                <w:szCs w:val="16"/>
              </w:rPr>
            </w:pPr>
            <w:r w:rsidRPr="00EF21F0">
              <w:rPr>
                <w:rFonts w:ascii="Calibri" w:hAnsi="Calibri" w:cs="Calibri"/>
                <w:sz w:val="16"/>
                <w:szCs w:val="16"/>
              </w:rPr>
              <w:t xml:space="preserve">September 2020 – November </w:t>
            </w:r>
            <w:r w:rsidRPr="00EF21F0" w:rsidDel="00A04200">
              <w:rPr>
                <w:rFonts w:ascii="Calibri" w:hAnsi="Calibri" w:cs="Calibri"/>
                <w:sz w:val="16"/>
                <w:szCs w:val="16"/>
              </w:rPr>
              <w:t>2021</w:t>
            </w:r>
          </w:p>
        </w:tc>
        <w:tc>
          <w:tcPr>
            <w:tcW w:w="1701" w:type="dxa"/>
            <w:tcBorders>
              <w:top w:val="single" w:sz="4" w:space="0" w:color="auto"/>
              <w:bottom w:val="single" w:sz="4" w:space="0" w:color="auto"/>
            </w:tcBorders>
          </w:tcPr>
          <w:p w14:paraId="6BD29CF5" w14:textId="77777777" w:rsidR="00951BB7" w:rsidRPr="00041A88" w:rsidRDefault="00951BB7" w:rsidP="00E11F50">
            <w:pPr>
              <w:spacing w:before="120" w:after="120" w:line="276" w:lineRule="auto"/>
              <w:rPr>
                <w:rFonts w:ascii="Calibri" w:eastAsiaTheme="minorEastAsia" w:hAnsi="Calibri" w:cs="Calibri"/>
                <w:sz w:val="16"/>
                <w:szCs w:val="16"/>
                <w:lang w:val="en-US"/>
              </w:rPr>
            </w:pPr>
            <w:r>
              <w:rPr>
                <w:rFonts w:ascii="Calibri" w:eastAsiaTheme="minorEastAsia" w:hAnsi="Calibri" w:cs="Calibri"/>
                <w:sz w:val="16"/>
                <w:szCs w:val="16"/>
                <w:lang w:val="en-US"/>
              </w:rPr>
              <w:t xml:space="preserve">The evaluation will </w:t>
            </w:r>
            <w:r w:rsidRPr="00E11F50">
              <w:rPr>
                <w:rFonts w:ascii="Calibri" w:eastAsiaTheme="minorEastAsia" w:hAnsi="Calibri" w:cs="Calibri"/>
                <w:sz w:val="16"/>
                <w:szCs w:val="16"/>
                <w:lang w:val="en-US"/>
              </w:rPr>
              <w:t>improve</w:t>
            </w:r>
            <w:r>
              <w:rPr>
                <w:rFonts w:ascii="Calibri" w:eastAsiaTheme="minorEastAsia" w:hAnsi="Calibri" w:cs="Calibri"/>
                <w:sz w:val="16"/>
                <w:szCs w:val="16"/>
                <w:lang w:val="en-US"/>
              </w:rPr>
              <w:t xml:space="preserve"> s</w:t>
            </w:r>
            <w:r w:rsidRPr="00E11F50">
              <w:rPr>
                <w:rFonts w:ascii="Calibri" w:eastAsiaTheme="minorEastAsia" w:hAnsi="Calibri" w:cs="Calibri"/>
                <w:sz w:val="16"/>
                <w:szCs w:val="16"/>
                <w:lang w:val="en-US"/>
              </w:rPr>
              <w:t>chool</w:t>
            </w:r>
            <w:r>
              <w:rPr>
                <w:rFonts w:ascii="Calibri" w:eastAsiaTheme="minorEastAsia" w:hAnsi="Calibri" w:cs="Calibri"/>
                <w:sz w:val="16"/>
                <w:szCs w:val="16"/>
                <w:lang w:val="en-US"/>
              </w:rPr>
              <w:t xml:space="preserve"> and </w:t>
            </w:r>
            <w:r w:rsidRPr="00E11F50">
              <w:rPr>
                <w:rFonts w:ascii="Calibri" w:eastAsiaTheme="minorEastAsia" w:hAnsi="Calibri" w:cs="Calibri"/>
                <w:sz w:val="16"/>
                <w:szCs w:val="16"/>
                <w:lang w:val="en-US"/>
              </w:rPr>
              <w:t xml:space="preserve">teacher access </w:t>
            </w:r>
            <w:proofErr w:type="gramStart"/>
            <w:r w:rsidRPr="00E11F50">
              <w:rPr>
                <w:rFonts w:ascii="Calibri" w:eastAsiaTheme="minorEastAsia" w:hAnsi="Calibri" w:cs="Calibri"/>
                <w:sz w:val="16"/>
                <w:szCs w:val="16"/>
                <w:lang w:val="en-US"/>
              </w:rPr>
              <w:t>to</w:t>
            </w:r>
            <w:r>
              <w:rPr>
                <w:rFonts w:ascii="Calibri" w:eastAsiaTheme="minorEastAsia" w:hAnsi="Calibri" w:cs="Calibri"/>
                <w:sz w:val="16"/>
                <w:szCs w:val="16"/>
                <w:lang w:val="en-US"/>
              </w:rPr>
              <w:t>, and</w:t>
            </w:r>
            <w:proofErr w:type="gramEnd"/>
            <w:r>
              <w:rPr>
                <w:rFonts w:ascii="Calibri" w:eastAsiaTheme="minorEastAsia" w:hAnsi="Calibri" w:cs="Calibri"/>
                <w:sz w:val="16"/>
                <w:szCs w:val="16"/>
                <w:lang w:val="en-US"/>
              </w:rPr>
              <w:t xml:space="preserve"> understanding of how to use </w:t>
            </w:r>
            <w:r w:rsidRPr="00E11F50">
              <w:rPr>
                <w:rFonts w:ascii="Calibri" w:eastAsiaTheme="minorEastAsia" w:hAnsi="Calibri" w:cs="Calibri"/>
                <w:sz w:val="16"/>
                <w:szCs w:val="16"/>
                <w:lang w:val="en-US"/>
              </w:rPr>
              <w:t>inclusive equipment and assistive technology</w:t>
            </w:r>
            <w:r>
              <w:rPr>
                <w:rFonts w:ascii="Calibri" w:eastAsiaTheme="minorEastAsia" w:hAnsi="Calibri" w:cs="Calibri"/>
                <w:sz w:val="16"/>
                <w:szCs w:val="16"/>
                <w:lang w:val="en-US"/>
              </w:rPr>
              <w:t xml:space="preserve"> </w:t>
            </w:r>
            <w:r w:rsidRPr="00041A88">
              <w:rPr>
                <w:rFonts w:ascii="Calibri" w:eastAsiaTheme="minorEastAsia" w:hAnsi="Calibri" w:cs="Calibri"/>
                <w:sz w:val="16"/>
                <w:szCs w:val="16"/>
                <w:lang w:val="en-US"/>
              </w:rPr>
              <w:t>to support pedagogy</w:t>
            </w:r>
            <w:r>
              <w:rPr>
                <w:rFonts w:ascii="Calibri" w:eastAsiaTheme="minorEastAsia" w:hAnsi="Calibri" w:cs="Calibri"/>
                <w:sz w:val="16"/>
                <w:szCs w:val="16"/>
                <w:lang w:val="en-US"/>
              </w:rPr>
              <w:t>.</w:t>
            </w:r>
          </w:p>
          <w:p w14:paraId="09DC4D8E" w14:textId="77777777" w:rsidR="00951BB7" w:rsidRPr="00E11F50" w:rsidRDefault="00951BB7" w:rsidP="00E11F50">
            <w:pPr>
              <w:spacing w:after="120" w:line="276" w:lineRule="auto"/>
              <w:rPr>
                <w:rFonts w:ascii="Calibri" w:eastAsiaTheme="minorEastAsia" w:hAnsi="Calibri" w:cs="Calibri"/>
                <w:sz w:val="16"/>
                <w:szCs w:val="16"/>
                <w:lang w:val="en-US"/>
              </w:rPr>
            </w:pPr>
            <w:r>
              <w:rPr>
                <w:rFonts w:ascii="Calibri" w:eastAsiaTheme="minorEastAsia" w:hAnsi="Calibri" w:cs="Calibri"/>
                <w:sz w:val="16"/>
                <w:szCs w:val="16"/>
                <w:lang w:val="en-US"/>
              </w:rPr>
              <w:t>This assists the i</w:t>
            </w:r>
            <w:r w:rsidRPr="00E11F50">
              <w:rPr>
                <w:rFonts w:ascii="Calibri" w:eastAsiaTheme="minorEastAsia" w:hAnsi="Calibri" w:cs="Calibri"/>
                <w:sz w:val="16"/>
                <w:szCs w:val="16"/>
                <w:lang w:val="en-US"/>
              </w:rPr>
              <w:t>mprove</w:t>
            </w:r>
            <w:r>
              <w:rPr>
                <w:rFonts w:ascii="Calibri" w:eastAsiaTheme="minorEastAsia" w:hAnsi="Calibri" w:cs="Calibri"/>
                <w:sz w:val="16"/>
                <w:szCs w:val="16"/>
                <w:lang w:val="en-US"/>
              </w:rPr>
              <w:t>ment of</w:t>
            </w:r>
            <w:r w:rsidRPr="00E11F50">
              <w:rPr>
                <w:rFonts w:ascii="Calibri" w:eastAsiaTheme="minorEastAsia" w:hAnsi="Calibri" w:cs="Calibri"/>
                <w:sz w:val="16"/>
                <w:szCs w:val="16"/>
                <w:lang w:val="en-US"/>
              </w:rPr>
              <w:t xml:space="preserve"> educational outcomes for students</w:t>
            </w:r>
            <w:r>
              <w:rPr>
                <w:rFonts w:ascii="Calibri" w:eastAsiaTheme="minorEastAsia" w:hAnsi="Calibri" w:cs="Calibri"/>
                <w:sz w:val="16"/>
                <w:szCs w:val="16"/>
                <w:lang w:val="en-US"/>
              </w:rPr>
              <w:t xml:space="preserve"> </w:t>
            </w:r>
            <w:r w:rsidRPr="00E11F50">
              <w:rPr>
                <w:rFonts w:ascii="Calibri" w:eastAsiaTheme="minorEastAsia" w:hAnsi="Calibri" w:cs="Calibri"/>
                <w:sz w:val="16"/>
                <w:szCs w:val="16"/>
                <w:lang w:val="en-US"/>
              </w:rPr>
              <w:t>with disabilities or additional learning needs</w:t>
            </w:r>
            <w:r>
              <w:rPr>
                <w:rFonts w:ascii="Calibri" w:eastAsiaTheme="minorEastAsia" w:hAnsi="Calibri" w:cs="Calibri"/>
                <w:sz w:val="16"/>
                <w:szCs w:val="16"/>
                <w:lang w:val="en-US"/>
              </w:rPr>
              <w:t xml:space="preserve"> through </w:t>
            </w:r>
            <w:r w:rsidRPr="00041A88">
              <w:rPr>
                <w:rFonts w:ascii="Calibri" w:eastAsiaTheme="minorEastAsia" w:hAnsi="Calibri" w:cs="Calibri"/>
                <w:sz w:val="16"/>
                <w:szCs w:val="16"/>
                <w:lang w:val="en-US"/>
              </w:rPr>
              <w:t>inclusive education practices.</w:t>
            </w:r>
          </w:p>
        </w:tc>
        <w:tc>
          <w:tcPr>
            <w:tcW w:w="1134" w:type="dxa"/>
            <w:tcBorders>
              <w:top w:val="single" w:sz="4" w:space="0" w:color="auto"/>
              <w:bottom w:val="single" w:sz="4" w:space="0" w:color="auto"/>
            </w:tcBorders>
          </w:tcPr>
          <w:p w14:paraId="6397FF73" w14:textId="77777777" w:rsidR="00951BB7" w:rsidRPr="00997A0A" w:rsidRDefault="00951BB7" w:rsidP="00E11F50">
            <w:pPr>
              <w:pStyle w:val="ESTablebody"/>
              <w:jc w:val="right"/>
              <w:rPr>
                <w:rFonts w:ascii="Calibri" w:hAnsi="Calibri" w:cs="Calibri"/>
                <w:sz w:val="16"/>
                <w:szCs w:val="16"/>
              </w:rPr>
            </w:pPr>
            <w:r w:rsidRPr="00EF21F0">
              <w:rPr>
                <w:rFonts w:ascii="Calibri" w:hAnsi="Calibri" w:cs="Calibri"/>
                <w:sz w:val="16"/>
                <w:szCs w:val="16"/>
              </w:rPr>
              <w:t>281,772</w:t>
            </w:r>
          </w:p>
        </w:tc>
        <w:tc>
          <w:tcPr>
            <w:tcW w:w="993" w:type="dxa"/>
            <w:tcBorders>
              <w:top w:val="single" w:sz="4" w:space="0" w:color="auto"/>
              <w:bottom w:val="single" w:sz="4" w:space="0" w:color="auto"/>
            </w:tcBorders>
          </w:tcPr>
          <w:p w14:paraId="592FC7D3" w14:textId="77777777" w:rsidR="00951BB7" w:rsidRPr="00997A0A" w:rsidRDefault="00951BB7" w:rsidP="00E11F50">
            <w:pPr>
              <w:pStyle w:val="ESTablebody"/>
              <w:ind w:left="720"/>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1911DCD2" w14:textId="77777777" w:rsidR="00951BB7" w:rsidRPr="00997A0A" w:rsidRDefault="00951BB7" w:rsidP="00E11F50">
            <w:pPr>
              <w:pStyle w:val="ESTablebody"/>
              <w:jc w:val="right"/>
              <w:rPr>
                <w:rFonts w:ascii="Calibri" w:hAnsi="Calibri" w:cs="Calibri"/>
                <w:sz w:val="16"/>
                <w:szCs w:val="16"/>
              </w:rPr>
            </w:pPr>
            <w:r w:rsidRPr="005508BA">
              <w:rPr>
                <w:rFonts w:ascii="Calibri" w:hAnsi="Calibri" w:cs="Calibri"/>
                <w:sz w:val="16"/>
                <w:szCs w:val="16"/>
              </w:rPr>
              <w:t>N</w:t>
            </w:r>
          </w:p>
        </w:tc>
      </w:tr>
      <w:tr w:rsidR="00951BB7" w:rsidRPr="00925213" w14:paraId="284B1CC0" w14:textId="77777777" w:rsidTr="00383663">
        <w:trPr>
          <w:cantSplit/>
          <w:trHeight w:val="628"/>
        </w:trPr>
        <w:tc>
          <w:tcPr>
            <w:tcW w:w="1696" w:type="dxa"/>
            <w:tcBorders>
              <w:top w:val="single" w:sz="4" w:space="0" w:color="auto"/>
              <w:bottom w:val="single" w:sz="4" w:space="0" w:color="auto"/>
            </w:tcBorders>
            <w:shd w:val="clear" w:color="auto" w:fill="auto"/>
          </w:tcPr>
          <w:p w14:paraId="0C14DFDA"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Estimating compliance with digital device policy</w:t>
            </w:r>
          </w:p>
          <w:p w14:paraId="17DC6199" w14:textId="77777777" w:rsidR="00951BB7" w:rsidRPr="00F55FBA"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7C98F548" w14:textId="77777777" w:rsidR="00951BB7" w:rsidRPr="00F55FBA" w:rsidRDefault="00951BB7" w:rsidP="00375B4C">
            <w:pPr>
              <w:pStyle w:val="ESTablebody"/>
              <w:rPr>
                <w:rFonts w:ascii="Calibri" w:hAnsi="Calibri" w:cs="Calibri"/>
                <w:sz w:val="16"/>
                <w:szCs w:val="16"/>
              </w:rPr>
            </w:pPr>
            <w:proofErr w:type="spellStart"/>
            <w:r w:rsidRPr="00F55FBA">
              <w:rPr>
                <w:rFonts w:ascii="Calibri" w:hAnsi="Calibri" w:cs="Calibri"/>
                <w:sz w:val="16"/>
                <w:szCs w:val="16"/>
              </w:rPr>
              <w:t>Dandolo</w:t>
            </w:r>
            <w:proofErr w:type="spellEnd"/>
            <w:r w:rsidRPr="00F55FBA">
              <w:rPr>
                <w:rFonts w:ascii="Calibri" w:hAnsi="Calibri" w:cs="Calibri"/>
                <w:sz w:val="16"/>
                <w:szCs w:val="16"/>
              </w:rPr>
              <w:t xml:space="preserve"> </w:t>
            </w:r>
            <w:r>
              <w:rPr>
                <w:rFonts w:ascii="Calibri" w:hAnsi="Calibri" w:cs="Calibri"/>
                <w:sz w:val="16"/>
                <w:szCs w:val="16"/>
              </w:rPr>
              <w:t>P</w:t>
            </w:r>
            <w:r w:rsidRPr="00F55FBA">
              <w:rPr>
                <w:rFonts w:ascii="Calibri" w:hAnsi="Calibri" w:cs="Calibri"/>
                <w:sz w:val="16"/>
                <w:szCs w:val="16"/>
              </w:rPr>
              <w:t>artners</w:t>
            </w:r>
          </w:p>
        </w:tc>
        <w:tc>
          <w:tcPr>
            <w:tcW w:w="2127" w:type="dxa"/>
            <w:tcBorders>
              <w:top w:val="single" w:sz="4" w:space="0" w:color="auto"/>
              <w:bottom w:val="single" w:sz="4" w:space="0" w:color="auto"/>
            </w:tcBorders>
            <w:shd w:val="clear" w:color="auto" w:fill="auto"/>
          </w:tcPr>
          <w:p w14:paraId="1306CF08"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estimate the level of school compliance with digital devices policy.</w:t>
            </w:r>
          </w:p>
          <w:p w14:paraId="074133C3" w14:textId="77777777" w:rsidR="00951BB7" w:rsidRPr="00946824"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6B6B68C0"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identify</w:t>
            </w:r>
            <w:r w:rsidRPr="00355385">
              <w:rPr>
                <w:rFonts w:ascii="Calibri" w:hAnsi="Calibri" w:cs="Calibri"/>
                <w:sz w:val="16"/>
                <w:szCs w:val="16"/>
              </w:rPr>
              <w:t xml:space="preserve"> a sample cohort </w:t>
            </w:r>
            <w:r w:rsidRPr="00946824">
              <w:rPr>
                <w:rFonts w:ascii="Calibri" w:hAnsi="Calibri" w:cs="Calibri"/>
                <w:sz w:val="16"/>
                <w:szCs w:val="16"/>
              </w:rPr>
              <w:t xml:space="preserve">and sources of data </w:t>
            </w:r>
            <w:r w:rsidRPr="00355385">
              <w:rPr>
                <w:rFonts w:ascii="Calibri" w:hAnsi="Calibri" w:cs="Calibri"/>
                <w:sz w:val="16"/>
                <w:szCs w:val="16"/>
              </w:rPr>
              <w:t xml:space="preserve">that </w:t>
            </w:r>
            <w:r w:rsidRPr="00946824">
              <w:rPr>
                <w:rFonts w:ascii="Calibri" w:hAnsi="Calibri" w:cs="Calibri"/>
                <w:sz w:val="16"/>
                <w:szCs w:val="16"/>
              </w:rPr>
              <w:t>are</w:t>
            </w:r>
            <w:r w:rsidRPr="00355385">
              <w:rPr>
                <w:rFonts w:ascii="Calibri" w:hAnsi="Calibri" w:cs="Calibri"/>
                <w:sz w:val="16"/>
                <w:szCs w:val="16"/>
              </w:rPr>
              <w:t xml:space="preserve"> representative </w:t>
            </w:r>
            <w:r w:rsidRPr="00946824">
              <w:rPr>
                <w:rFonts w:ascii="Calibri" w:hAnsi="Calibri" w:cs="Calibri"/>
                <w:sz w:val="16"/>
                <w:szCs w:val="16"/>
              </w:rPr>
              <w:t>across schools. Data can be extrapolated</w:t>
            </w:r>
            <w:r w:rsidRPr="00355385">
              <w:rPr>
                <w:rFonts w:ascii="Calibri" w:hAnsi="Calibri" w:cs="Calibri"/>
                <w:sz w:val="16"/>
                <w:szCs w:val="16"/>
              </w:rPr>
              <w:t xml:space="preserve"> to estimate overall compliance levels. </w:t>
            </w:r>
          </w:p>
        </w:tc>
        <w:tc>
          <w:tcPr>
            <w:tcW w:w="1134" w:type="dxa"/>
            <w:tcBorders>
              <w:top w:val="single" w:sz="4" w:space="0" w:color="auto"/>
              <w:bottom w:val="single" w:sz="4" w:space="0" w:color="auto"/>
            </w:tcBorders>
          </w:tcPr>
          <w:p w14:paraId="129E6E56"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May </w:t>
            </w:r>
            <w:r>
              <w:rPr>
                <w:rFonts w:ascii="Calibri" w:hAnsi="Calibri" w:cs="Calibri"/>
                <w:sz w:val="16"/>
                <w:szCs w:val="16"/>
              </w:rPr>
              <w:t xml:space="preserve">– </w:t>
            </w:r>
            <w:r w:rsidRPr="00946824">
              <w:rPr>
                <w:rFonts w:ascii="Calibri" w:hAnsi="Calibri" w:cs="Calibri"/>
                <w:sz w:val="16"/>
                <w:szCs w:val="16"/>
              </w:rPr>
              <w:t>June 2021</w:t>
            </w:r>
          </w:p>
        </w:tc>
        <w:tc>
          <w:tcPr>
            <w:tcW w:w="1701" w:type="dxa"/>
            <w:tcBorders>
              <w:top w:val="single" w:sz="4" w:space="0" w:color="auto"/>
              <w:bottom w:val="single" w:sz="4" w:space="0" w:color="auto"/>
            </w:tcBorders>
          </w:tcPr>
          <w:p w14:paraId="62FB91F6"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A report estimating compliance with digital device policies to inform future communication and other activities.</w:t>
            </w:r>
          </w:p>
        </w:tc>
        <w:tc>
          <w:tcPr>
            <w:tcW w:w="1134" w:type="dxa"/>
            <w:tcBorders>
              <w:top w:val="single" w:sz="4" w:space="0" w:color="auto"/>
              <w:bottom w:val="single" w:sz="4" w:space="0" w:color="auto"/>
            </w:tcBorders>
          </w:tcPr>
          <w:p w14:paraId="681B7776"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44,700</w:t>
            </w:r>
          </w:p>
        </w:tc>
        <w:tc>
          <w:tcPr>
            <w:tcW w:w="993" w:type="dxa"/>
            <w:tcBorders>
              <w:top w:val="single" w:sz="4" w:space="0" w:color="auto"/>
              <w:bottom w:val="single" w:sz="4" w:space="0" w:color="auto"/>
            </w:tcBorders>
          </w:tcPr>
          <w:p w14:paraId="00C2D5B1"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49,170</w:t>
            </w:r>
          </w:p>
        </w:tc>
        <w:tc>
          <w:tcPr>
            <w:tcW w:w="1622" w:type="dxa"/>
            <w:tcBorders>
              <w:top w:val="single" w:sz="4" w:space="0" w:color="auto"/>
              <w:bottom w:val="single" w:sz="4" w:space="0" w:color="auto"/>
            </w:tcBorders>
          </w:tcPr>
          <w:p w14:paraId="4D8CA963"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76B12803" w14:textId="77777777" w:rsidTr="00383663">
        <w:trPr>
          <w:cantSplit/>
          <w:trHeight w:val="628"/>
        </w:trPr>
        <w:tc>
          <w:tcPr>
            <w:tcW w:w="1696" w:type="dxa"/>
            <w:tcBorders>
              <w:top w:val="single" w:sz="4" w:space="0" w:color="auto"/>
              <w:bottom w:val="single" w:sz="4" w:space="0" w:color="auto"/>
            </w:tcBorders>
            <w:shd w:val="clear" w:color="auto" w:fill="auto"/>
          </w:tcPr>
          <w:p w14:paraId="649AB24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Estimating the cost of delivery in VET</w:t>
            </w:r>
          </w:p>
          <w:p w14:paraId="1DB59D3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5B5E126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42F4490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establish a robust pricing model that determines the real cost of delivering quality training, appropriate level of investment, best payment mechanisms and </w:t>
            </w:r>
            <w:proofErr w:type="spellStart"/>
            <w:r w:rsidRPr="00355385">
              <w:rPr>
                <w:rFonts w:ascii="Calibri" w:hAnsi="Calibri" w:cs="Calibri"/>
                <w:sz w:val="16"/>
                <w:szCs w:val="16"/>
              </w:rPr>
              <w:t>incentivisation</w:t>
            </w:r>
            <w:proofErr w:type="spellEnd"/>
            <w:r w:rsidRPr="00355385">
              <w:rPr>
                <w:rFonts w:ascii="Calibri" w:hAnsi="Calibri" w:cs="Calibri"/>
                <w:sz w:val="16"/>
                <w:szCs w:val="16"/>
              </w:rPr>
              <w:t xml:space="preserve"> of priority training.</w:t>
            </w:r>
          </w:p>
          <w:p w14:paraId="30A1EB42" w14:textId="77777777" w:rsidR="00951BB7" w:rsidRPr="00355385" w:rsidRDefault="00951BB7" w:rsidP="00355385">
            <w:pPr>
              <w:pStyle w:val="ESTablebody"/>
              <w:rPr>
                <w:rFonts w:ascii="Calibri" w:hAnsi="Calibri" w:cs="Calibri"/>
                <w:sz w:val="16"/>
                <w:szCs w:val="16"/>
              </w:rPr>
            </w:pPr>
          </w:p>
        </w:tc>
        <w:tc>
          <w:tcPr>
            <w:tcW w:w="2409" w:type="dxa"/>
            <w:tcBorders>
              <w:top w:val="single" w:sz="4" w:space="0" w:color="auto"/>
              <w:bottom w:val="single" w:sz="4" w:space="0" w:color="auto"/>
            </w:tcBorders>
          </w:tcPr>
          <w:p w14:paraId="4ECAFD6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build an understanding of costs and pricing in the VET sector. This covers learners in the: TAFE and training system; pre-accredited community sector for pre-accredited training; and VET in Schools.</w:t>
            </w:r>
          </w:p>
        </w:tc>
        <w:tc>
          <w:tcPr>
            <w:tcW w:w="1134" w:type="dxa"/>
            <w:tcBorders>
              <w:top w:val="single" w:sz="4" w:space="0" w:color="auto"/>
              <w:bottom w:val="single" w:sz="4" w:space="0" w:color="auto"/>
            </w:tcBorders>
          </w:tcPr>
          <w:p w14:paraId="5C68E5C9"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July 2020 – December 2021</w:t>
            </w:r>
          </w:p>
        </w:tc>
        <w:tc>
          <w:tcPr>
            <w:tcW w:w="1701" w:type="dxa"/>
            <w:tcBorders>
              <w:top w:val="single" w:sz="4" w:space="0" w:color="auto"/>
              <w:bottom w:val="single" w:sz="4" w:space="0" w:color="auto"/>
            </w:tcBorders>
          </w:tcPr>
          <w:p w14:paraId="3F4429C9"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Use the data and analysis to help inform funding settings and national discussions regarding cost and pricing.</w:t>
            </w:r>
          </w:p>
        </w:tc>
        <w:tc>
          <w:tcPr>
            <w:tcW w:w="1134" w:type="dxa"/>
            <w:tcBorders>
              <w:top w:val="single" w:sz="4" w:space="0" w:color="auto"/>
              <w:bottom w:val="single" w:sz="4" w:space="0" w:color="auto"/>
            </w:tcBorders>
          </w:tcPr>
          <w:p w14:paraId="3503CEB9"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696,101</w:t>
            </w:r>
          </w:p>
        </w:tc>
        <w:tc>
          <w:tcPr>
            <w:tcW w:w="993" w:type="dxa"/>
            <w:tcBorders>
              <w:top w:val="single" w:sz="4" w:space="0" w:color="auto"/>
              <w:bottom w:val="single" w:sz="4" w:space="0" w:color="auto"/>
            </w:tcBorders>
          </w:tcPr>
          <w:p w14:paraId="6E1E6CB7"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w:t>
            </w:r>
          </w:p>
        </w:tc>
        <w:tc>
          <w:tcPr>
            <w:tcW w:w="1622" w:type="dxa"/>
            <w:tcBorders>
              <w:top w:val="single" w:sz="4" w:space="0" w:color="auto"/>
              <w:bottom w:val="single" w:sz="4" w:space="0" w:color="auto"/>
            </w:tcBorders>
          </w:tcPr>
          <w:p w14:paraId="203D9CB2"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N</w:t>
            </w:r>
          </w:p>
        </w:tc>
      </w:tr>
      <w:tr w:rsidR="00951BB7" w:rsidRPr="00925213" w14:paraId="2704BBC3" w14:textId="77777777" w:rsidTr="00383663">
        <w:trPr>
          <w:cantSplit/>
          <w:trHeight w:val="628"/>
        </w:trPr>
        <w:tc>
          <w:tcPr>
            <w:tcW w:w="1696" w:type="dxa"/>
            <w:tcBorders>
              <w:top w:val="single" w:sz="4" w:space="0" w:color="auto"/>
              <w:bottom w:val="single" w:sz="4" w:space="0" w:color="auto"/>
            </w:tcBorders>
            <w:shd w:val="clear" w:color="auto" w:fill="auto"/>
          </w:tcPr>
          <w:p w14:paraId="0558E2A5" w14:textId="77777777" w:rsidR="00951BB7" w:rsidRPr="00946824" w:rsidRDefault="00951BB7" w:rsidP="00355385">
            <w:pPr>
              <w:pStyle w:val="ESTablebody"/>
              <w:rPr>
                <w:rFonts w:ascii="Calibri" w:hAnsi="Calibri" w:cs="Calibri"/>
                <w:sz w:val="16"/>
                <w:szCs w:val="16"/>
              </w:rPr>
            </w:pPr>
            <w:r w:rsidRPr="00946824">
              <w:rPr>
                <w:rFonts w:ascii="Calibri" w:hAnsi="Calibri" w:cs="Calibri"/>
                <w:sz w:val="16"/>
                <w:szCs w:val="16"/>
              </w:rPr>
              <w:lastRenderedPageBreak/>
              <w:t>Evaluation framework for reform for students with disability – Disability inclusion.</w:t>
            </w:r>
          </w:p>
          <w:p w14:paraId="3DFB889E" w14:textId="77777777" w:rsidR="00951BB7" w:rsidRPr="00946824" w:rsidRDefault="00951BB7" w:rsidP="00355385">
            <w:pPr>
              <w:pStyle w:val="ESTablebody"/>
              <w:rPr>
                <w:rFonts w:ascii="Calibri" w:hAnsi="Calibri" w:cs="Calibri"/>
                <w:sz w:val="16"/>
                <w:szCs w:val="16"/>
              </w:rPr>
            </w:pPr>
          </w:p>
          <w:p w14:paraId="75B4E379" w14:textId="77777777" w:rsidR="00951BB7" w:rsidRPr="00946824" w:rsidRDefault="00951BB7" w:rsidP="00355385">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Support for students with disabilities</w:t>
            </w:r>
            <w:r>
              <w:rPr>
                <w:rFonts w:ascii="Calibri" w:hAnsi="Calibri" w:cs="Calibri"/>
                <w:sz w:val="16"/>
                <w:szCs w:val="16"/>
              </w:rPr>
              <w:t>)</w:t>
            </w:r>
          </w:p>
          <w:p w14:paraId="37877D23" w14:textId="77777777" w:rsidR="00951BB7" w:rsidRPr="00946824" w:rsidRDefault="00951BB7" w:rsidP="00355385">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63D87C02" w14:textId="77777777" w:rsidR="00951BB7" w:rsidRPr="00946824" w:rsidRDefault="00951BB7" w:rsidP="00355385">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031A3FD5" w14:textId="77777777" w:rsidR="00951BB7" w:rsidRPr="00355385" w:rsidRDefault="00951BB7" w:rsidP="00355385">
            <w:pPr>
              <w:pStyle w:val="ESTablebody"/>
              <w:rPr>
                <w:rFonts w:ascii="Calibri" w:hAnsi="Calibri" w:cs="Calibri"/>
                <w:sz w:val="16"/>
                <w:szCs w:val="16"/>
              </w:rPr>
            </w:pPr>
            <w:r w:rsidRPr="00946824">
              <w:rPr>
                <w:rFonts w:ascii="Calibri" w:hAnsi="Calibri" w:cs="Calibri"/>
                <w:sz w:val="16"/>
                <w:szCs w:val="16"/>
              </w:rPr>
              <w:t xml:space="preserve">To support the development of a rigorous, </w:t>
            </w:r>
            <w:proofErr w:type="gramStart"/>
            <w:r w:rsidRPr="00946824">
              <w:rPr>
                <w:rFonts w:ascii="Calibri" w:hAnsi="Calibri" w:cs="Calibri"/>
                <w:sz w:val="16"/>
                <w:szCs w:val="16"/>
              </w:rPr>
              <w:t>valid</w:t>
            </w:r>
            <w:proofErr w:type="gramEnd"/>
            <w:r w:rsidRPr="00946824">
              <w:rPr>
                <w:rFonts w:ascii="Calibri" w:hAnsi="Calibri" w:cs="Calibri"/>
                <w:sz w:val="16"/>
                <w:szCs w:val="16"/>
              </w:rPr>
              <w:t xml:space="preserve"> and effective evaluation framework for the new funding and support model for students with disability in Victorian government schools. </w:t>
            </w:r>
          </w:p>
        </w:tc>
        <w:tc>
          <w:tcPr>
            <w:tcW w:w="2409" w:type="dxa"/>
            <w:tcBorders>
              <w:top w:val="single" w:sz="4" w:space="0" w:color="auto"/>
              <w:bottom w:val="single" w:sz="4" w:space="0" w:color="auto"/>
            </w:tcBorders>
          </w:tcPr>
          <w:p w14:paraId="210F7F76" w14:textId="77777777" w:rsidR="00951BB7" w:rsidRPr="00946824" w:rsidRDefault="00951BB7" w:rsidP="00355385">
            <w:pPr>
              <w:pStyle w:val="ESTablebody"/>
              <w:rPr>
                <w:rFonts w:ascii="Calibri" w:hAnsi="Calibri" w:cs="Calibri"/>
                <w:sz w:val="16"/>
                <w:szCs w:val="16"/>
              </w:rPr>
            </w:pPr>
            <w:r w:rsidRPr="00946824">
              <w:rPr>
                <w:rFonts w:ascii="Calibri" w:hAnsi="Calibri" w:cs="Calibri"/>
                <w:sz w:val="16"/>
                <w:szCs w:val="16"/>
              </w:rPr>
              <w:t>To identify how disability inclusion outcomes will be measured, including identifying evaluation questions, best practice research methods, data collection and sampling techniques.</w:t>
            </w:r>
          </w:p>
          <w:p w14:paraId="6A99845E" w14:textId="77777777" w:rsidR="00951BB7" w:rsidRPr="00946824" w:rsidRDefault="00951BB7" w:rsidP="00355385">
            <w:pPr>
              <w:pStyle w:val="ESTablebody"/>
              <w:rPr>
                <w:rFonts w:ascii="Calibri" w:hAnsi="Calibri" w:cs="Calibri"/>
                <w:sz w:val="16"/>
                <w:szCs w:val="16"/>
              </w:rPr>
            </w:pPr>
          </w:p>
        </w:tc>
        <w:tc>
          <w:tcPr>
            <w:tcW w:w="1134" w:type="dxa"/>
            <w:tcBorders>
              <w:top w:val="single" w:sz="4" w:space="0" w:color="auto"/>
              <w:bottom w:val="single" w:sz="4" w:space="0" w:color="auto"/>
            </w:tcBorders>
          </w:tcPr>
          <w:p w14:paraId="1E780B54" w14:textId="77777777" w:rsidR="00951BB7" w:rsidRPr="00946824" w:rsidRDefault="00951BB7" w:rsidP="00355385">
            <w:pPr>
              <w:pStyle w:val="ESTablebody"/>
              <w:rPr>
                <w:rFonts w:ascii="Calibri" w:hAnsi="Calibri" w:cs="Calibri"/>
                <w:sz w:val="16"/>
                <w:szCs w:val="16"/>
              </w:rPr>
            </w:pPr>
            <w:r w:rsidRPr="00946824">
              <w:rPr>
                <w:rFonts w:ascii="Calibri" w:hAnsi="Calibri" w:cs="Calibri"/>
                <w:sz w:val="16"/>
                <w:szCs w:val="16"/>
              </w:rPr>
              <w:t>May</w:t>
            </w:r>
            <w:r>
              <w:rPr>
                <w:rFonts w:ascii="Calibri" w:hAnsi="Calibri" w:cs="Calibri"/>
                <w:sz w:val="16"/>
                <w:szCs w:val="16"/>
              </w:rPr>
              <w:t xml:space="preserve"> –</w:t>
            </w:r>
            <w:r w:rsidRPr="00946824">
              <w:rPr>
                <w:rFonts w:ascii="Calibri" w:hAnsi="Calibri" w:cs="Calibri"/>
                <w:sz w:val="16"/>
                <w:szCs w:val="16"/>
              </w:rPr>
              <w:t xml:space="preserve"> Sep</w:t>
            </w:r>
            <w:r>
              <w:rPr>
                <w:rFonts w:ascii="Calibri" w:hAnsi="Calibri" w:cs="Calibri"/>
                <w:sz w:val="16"/>
                <w:szCs w:val="16"/>
              </w:rPr>
              <w:t>tember</w:t>
            </w:r>
            <w:r w:rsidRPr="00946824">
              <w:rPr>
                <w:rFonts w:ascii="Calibri" w:hAnsi="Calibri" w:cs="Calibri"/>
                <w:sz w:val="16"/>
                <w:szCs w:val="16"/>
              </w:rPr>
              <w:t xml:space="preserve"> 2020</w:t>
            </w:r>
          </w:p>
        </w:tc>
        <w:tc>
          <w:tcPr>
            <w:tcW w:w="1701" w:type="dxa"/>
            <w:tcBorders>
              <w:top w:val="single" w:sz="4" w:space="0" w:color="auto"/>
              <w:bottom w:val="single" w:sz="4" w:space="0" w:color="auto"/>
            </w:tcBorders>
          </w:tcPr>
          <w:p w14:paraId="7E574EAF" w14:textId="77777777" w:rsidR="00951BB7" w:rsidRPr="00946824" w:rsidRDefault="00951BB7" w:rsidP="00355385">
            <w:pPr>
              <w:pStyle w:val="ESTablebody"/>
              <w:rPr>
                <w:rFonts w:ascii="Calibri" w:hAnsi="Calibri" w:cs="Calibri"/>
                <w:sz w:val="16"/>
                <w:szCs w:val="16"/>
              </w:rPr>
            </w:pPr>
            <w:r w:rsidRPr="00355385">
              <w:rPr>
                <w:rFonts w:ascii="Calibri" w:hAnsi="Calibri" w:cs="Calibri"/>
                <w:sz w:val="16"/>
                <w:szCs w:val="16"/>
              </w:rPr>
              <w:t>To provide a framework for ongoing evaluation of the reform for students with disability.</w:t>
            </w:r>
          </w:p>
        </w:tc>
        <w:tc>
          <w:tcPr>
            <w:tcW w:w="1134" w:type="dxa"/>
            <w:tcBorders>
              <w:top w:val="single" w:sz="4" w:space="0" w:color="auto"/>
              <w:bottom w:val="single" w:sz="4" w:space="0" w:color="auto"/>
            </w:tcBorders>
          </w:tcPr>
          <w:p w14:paraId="7672801D" w14:textId="77777777" w:rsidR="00951BB7" w:rsidRPr="00946824" w:rsidRDefault="00951BB7" w:rsidP="00375B4C">
            <w:pPr>
              <w:pStyle w:val="ESTablebody"/>
              <w:jc w:val="right"/>
              <w:rPr>
                <w:rFonts w:ascii="Calibri" w:hAnsi="Calibri" w:cs="Calibri"/>
                <w:sz w:val="16"/>
                <w:szCs w:val="16"/>
              </w:rPr>
            </w:pPr>
            <w:r w:rsidRPr="00946824">
              <w:rPr>
                <w:rFonts w:ascii="Calibri" w:eastAsiaTheme="minorHAnsi" w:hAnsi="Calibri" w:cs="Calibri"/>
                <w:sz w:val="16"/>
                <w:szCs w:val="16"/>
                <w:lang w:val="en-GB"/>
              </w:rPr>
              <w:t>100,000</w:t>
            </w:r>
          </w:p>
        </w:tc>
        <w:tc>
          <w:tcPr>
            <w:tcW w:w="993" w:type="dxa"/>
            <w:tcBorders>
              <w:top w:val="single" w:sz="4" w:space="0" w:color="auto"/>
              <w:bottom w:val="single" w:sz="4" w:space="0" w:color="auto"/>
            </w:tcBorders>
          </w:tcPr>
          <w:p w14:paraId="21A9D225"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 xml:space="preserve">85,741 </w:t>
            </w:r>
          </w:p>
        </w:tc>
        <w:tc>
          <w:tcPr>
            <w:tcW w:w="1622" w:type="dxa"/>
            <w:tcBorders>
              <w:top w:val="single" w:sz="4" w:space="0" w:color="auto"/>
              <w:bottom w:val="single" w:sz="4" w:space="0" w:color="auto"/>
            </w:tcBorders>
          </w:tcPr>
          <w:p w14:paraId="0AEFA7CB" w14:textId="77777777" w:rsidR="00951BB7" w:rsidRPr="00946824" w:rsidRDefault="00951BB7" w:rsidP="00375B4C">
            <w:pPr>
              <w:pStyle w:val="ESTablebody"/>
              <w:jc w:val="right"/>
              <w:rPr>
                <w:rFonts w:ascii="Calibri" w:hAnsi="Calibri" w:cs="Calibri"/>
                <w:sz w:val="16"/>
                <w:szCs w:val="16"/>
              </w:rPr>
            </w:pPr>
            <w:r w:rsidRPr="00946824">
              <w:rPr>
                <w:rFonts w:ascii="Calibri" w:eastAsiaTheme="minorHAnsi" w:hAnsi="Calibri" w:cs="Calibri"/>
                <w:sz w:val="18"/>
                <w:lang w:val="en-GB"/>
              </w:rPr>
              <w:t>N</w:t>
            </w:r>
          </w:p>
        </w:tc>
      </w:tr>
      <w:tr w:rsidR="00951BB7" w:rsidRPr="00925213" w14:paraId="0D10E376" w14:textId="77777777" w:rsidTr="00383663">
        <w:trPr>
          <w:cantSplit/>
          <w:trHeight w:val="628"/>
        </w:trPr>
        <w:tc>
          <w:tcPr>
            <w:tcW w:w="1696" w:type="dxa"/>
            <w:tcBorders>
              <w:top w:val="single" w:sz="4" w:space="0" w:color="auto"/>
              <w:bottom w:val="single" w:sz="4" w:space="0" w:color="auto"/>
            </w:tcBorders>
            <w:shd w:val="clear" w:color="auto" w:fill="auto"/>
          </w:tcPr>
          <w:p w14:paraId="7BA3F756"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Evaluation of cultural (community) understanding and safety training </w:t>
            </w:r>
          </w:p>
          <w:p w14:paraId="5C5493BA"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252813">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3B43F95" w14:textId="77777777" w:rsidR="00951BB7" w:rsidRPr="00252813" w:rsidRDefault="00951BB7" w:rsidP="00375B4C">
            <w:pPr>
              <w:pStyle w:val="ESTablebody"/>
              <w:rPr>
                <w:rFonts w:ascii="Calibri" w:hAnsi="Calibri" w:cs="Calibri"/>
                <w:sz w:val="16"/>
                <w:szCs w:val="16"/>
              </w:rPr>
            </w:pPr>
            <w:r w:rsidRPr="00355385">
              <w:rPr>
                <w:rFonts w:ascii="Calibri" w:hAnsi="Calibri" w:cs="Calibri"/>
                <w:sz w:val="16"/>
                <w:szCs w:val="16"/>
              </w:rPr>
              <w:t>EY Sweeney</w:t>
            </w:r>
          </w:p>
        </w:tc>
        <w:tc>
          <w:tcPr>
            <w:tcW w:w="2127" w:type="dxa"/>
            <w:tcBorders>
              <w:top w:val="single" w:sz="4" w:space="0" w:color="auto"/>
              <w:bottom w:val="single" w:sz="4" w:space="0" w:color="auto"/>
            </w:tcBorders>
            <w:shd w:val="clear" w:color="auto" w:fill="auto"/>
          </w:tcPr>
          <w:p w14:paraId="24F7F805" w14:textId="77777777" w:rsidR="00951BB7" w:rsidRPr="00252813" w:rsidRDefault="00951BB7" w:rsidP="00375B4C">
            <w:pPr>
              <w:pStyle w:val="ESTablebody"/>
              <w:rPr>
                <w:rFonts w:ascii="Calibri" w:hAnsi="Calibri" w:cs="Calibri"/>
                <w:sz w:val="16"/>
                <w:szCs w:val="16"/>
              </w:rPr>
            </w:pPr>
            <w:r w:rsidRPr="00252813">
              <w:rPr>
                <w:rFonts w:ascii="Calibri" w:hAnsi="Calibri" w:cs="Calibri"/>
                <w:sz w:val="16"/>
                <w:szCs w:val="16"/>
              </w:rPr>
              <w:t>To conduct an evaluation of cultural understand</w:t>
            </w:r>
            <w:r>
              <w:rPr>
                <w:rFonts w:ascii="Calibri" w:hAnsi="Calibri" w:cs="Calibri"/>
                <w:sz w:val="16"/>
                <w:szCs w:val="16"/>
              </w:rPr>
              <w:t>ing</w:t>
            </w:r>
            <w:r w:rsidRPr="00252813">
              <w:rPr>
                <w:rFonts w:ascii="Calibri" w:hAnsi="Calibri" w:cs="Calibri"/>
                <w:sz w:val="16"/>
                <w:szCs w:val="16"/>
              </w:rPr>
              <w:t xml:space="preserve"> and safety training to improve ongoing implementation. The evaluation will develop a program logic map through focused stakeholder workshops and a comprehensive monitoring and evaluation framework.</w:t>
            </w:r>
          </w:p>
          <w:p w14:paraId="57F296D4" w14:textId="77777777" w:rsidR="00951BB7" w:rsidRPr="00252813"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10913A01" w14:textId="77777777" w:rsidR="00951BB7" w:rsidRPr="00252813" w:rsidRDefault="00951BB7" w:rsidP="00375B4C">
            <w:pPr>
              <w:pStyle w:val="ESTablebody"/>
              <w:rPr>
                <w:rFonts w:ascii="Calibri" w:hAnsi="Calibri" w:cs="Calibri"/>
                <w:sz w:val="16"/>
                <w:szCs w:val="16"/>
              </w:rPr>
            </w:pPr>
            <w:r w:rsidRPr="00252813">
              <w:rPr>
                <w:rFonts w:ascii="Calibri" w:hAnsi="Calibri" w:cs="Calibri"/>
                <w:sz w:val="16"/>
                <w:szCs w:val="16"/>
              </w:rPr>
              <w:t xml:space="preserve">To facilitate workshops with training facilitators and other stakeholders to develop a program logic and a monitoring and evaluation framework to support ongoing training delivery. The evaluation will </w:t>
            </w:r>
            <w:proofErr w:type="spellStart"/>
            <w:r w:rsidRPr="00355385">
              <w:rPr>
                <w:rFonts w:ascii="Calibri" w:hAnsi="Calibri" w:cs="Calibri"/>
                <w:sz w:val="16"/>
                <w:szCs w:val="16"/>
              </w:rPr>
              <w:t>analyse</w:t>
            </w:r>
            <w:proofErr w:type="spellEnd"/>
            <w:r w:rsidRPr="00252813">
              <w:rPr>
                <w:rFonts w:ascii="Calibri" w:hAnsi="Calibri" w:cs="Calibri"/>
                <w:sz w:val="16"/>
                <w:szCs w:val="16"/>
              </w:rPr>
              <w:t xml:space="preserve"> the first two years of training in schools using qualitative and quantitative data.</w:t>
            </w:r>
          </w:p>
          <w:p w14:paraId="2E6AFCED" w14:textId="77777777" w:rsidR="00951BB7" w:rsidRPr="00252813" w:rsidRDefault="00951BB7" w:rsidP="00375B4C">
            <w:pPr>
              <w:pStyle w:val="ESTablebody"/>
              <w:rPr>
                <w:rFonts w:ascii="Calibri" w:hAnsi="Calibri" w:cs="Calibri"/>
                <w:sz w:val="16"/>
                <w:szCs w:val="16"/>
              </w:rPr>
            </w:pPr>
            <w:r w:rsidRPr="00252813">
              <w:rPr>
                <w:rFonts w:ascii="Calibri" w:hAnsi="Calibri" w:cs="Calibri"/>
                <w:sz w:val="16"/>
                <w:szCs w:val="16"/>
              </w:rPr>
              <w:t xml:space="preserve"> </w:t>
            </w:r>
          </w:p>
        </w:tc>
        <w:tc>
          <w:tcPr>
            <w:tcW w:w="1134" w:type="dxa"/>
            <w:tcBorders>
              <w:top w:val="single" w:sz="4" w:space="0" w:color="auto"/>
              <w:bottom w:val="single" w:sz="4" w:space="0" w:color="auto"/>
            </w:tcBorders>
          </w:tcPr>
          <w:p w14:paraId="5975CB4A" w14:textId="77777777" w:rsidR="00951BB7" w:rsidRPr="00252813" w:rsidRDefault="00951BB7" w:rsidP="00375B4C">
            <w:pPr>
              <w:pStyle w:val="ESTablebody"/>
              <w:rPr>
                <w:rFonts w:ascii="Calibri" w:hAnsi="Calibri" w:cs="Calibri"/>
                <w:sz w:val="16"/>
                <w:szCs w:val="16"/>
              </w:rPr>
            </w:pPr>
            <w:r w:rsidRPr="00252813">
              <w:rPr>
                <w:rFonts w:ascii="Calibri" w:hAnsi="Calibri" w:cs="Calibri"/>
                <w:sz w:val="16"/>
                <w:szCs w:val="16"/>
              </w:rPr>
              <w:t>June 2020 – Dec</w:t>
            </w:r>
            <w:r>
              <w:rPr>
                <w:rFonts w:ascii="Calibri" w:hAnsi="Calibri" w:cs="Calibri"/>
                <w:sz w:val="16"/>
                <w:szCs w:val="16"/>
              </w:rPr>
              <w:t>ember</w:t>
            </w:r>
            <w:r w:rsidRPr="00252813">
              <w:rPr>
                <w:rFonts w:ascii="Calibri" w:hAnsi="Calibri" w:cs="Calibri"/>
                <w:sz w:val="16"/>
                <w:szCs w:val="16"/>
              </w:rPr>
              <w:t xml:space="preserve"> 2021</w:t>
            </w:r>
          </w:p>
        </w:tc>
        <w:tc>
          <w:tcPr>
            <w:tcW w:w="1701" w:type="dxa"/>
            <w:tcBorders>
              <w:top w:val="single" w:sz="4" w:space="0" w:color="auto"/>
              <w:bottom w:val="single" w:sz="4" w:space="0" w:color="auto"/>
            </w:tcBorders>
          </w:tcPr>
          <w:p w14:paraId="1704C2C2" w14:textId="77777777" w:rsidR="00951BB7" w:rsidRPr="00252813" w:rsidRDefault="00951BB7" w:rsidP="00375B4C">
            <w:pPr>
              <w:pStyle w:val="ESTablebody"/>
              <w:rPr>
                <w:rFonts w:ascii="Calibri" w:hAnsi="Calibri" w:cs="Calibri"/>
                <w:sz w:val="16"/>
                <w:szCs w:val="16"/>
              </w:rPr>
            </w:pPr>
            <w:r w:rsidRPr="00252813">
              <w:rPr>
                <w:rFonts w:ascii="Calibri" w:hAnsi="Calibri" w:cs="Calibri"/>
                <w:sz w:val="16"/>
                <w:szCs w:val="16"/>
              </w:rPr>
              <w:t>The evaluation will produce a program logic,</w:t>
            </w:r>
            <w:r>
              <w:rPr>
                <w:rFonts w:ascii="Calibri" w:hAnsi="Calibri" w:cs="Calibri"/>
                <w:sz w:val="16"/>
                <w:szCs w:val="16"/>
              </w:rPr>
              <w:t xml:space="preserve"> and</w:t>
            </w:r>
            <w:r w:rsidRPr="00252813">
              <w:rPr>
                <w:rFonts w:ascii="Calibri" w:hAnsi="Calibri" w:cs="Calibri"/>
                <w:sz w:val="16"/>
                <w:szCs w:val="16"/>
              </w:rPr>
              <w:t xml:space="preserve"> evaluation framework to improved shared understanding of cultural understanding and safety training in schools. </w:t>
            </w:r>
          </w:p>
        </w:tc>
        <w:tc>
          <w:tcPr>
            <w:tcW w:w="1134" w:type="dxa"/>
            <w:tcBorders>
              <w:top w:val="single" w:sz="4" w:space="0" w:color="auto"/>
              <w:bottom w:val="single" w:sz="4" w:space="0" w:color="auto"/>
            </w:tcBorders>
          </w:tcPr>
          <w:p w14:paraId="2CB03D08" w14:textId="77777777" w:rsidR="00951BB7" w:rsidRPr="00252813" w:rsidRDefault="00951BB7" w:rsidP="00375B4C">
            <w:pPr>
              <w:pStyle w:val="ESTablebody"/>
              <w:jc w:val="right"/>
              <w:rPr>
                <w:rFonts w:ascii="Calibri" w:hAnsi="Calibri" w:cs="Calibri"/>
                <w:sz w:val="16"/>
                <w:szCs w:val="16"/>
              </w:rPr>
            </w:pPr>
            <w:r w:rsidRPr="00252813">
              <w:rPr>
                <w:rFonts w:ascii="Calibri" w:hAnsi="Calibri" w:cs="Calibri"/>
                <w:color w:val="000000" w:themeColor="text2"/>
                <w:sz w:val="16"/>
                <w:szCs w:val="16"/>
              </w:rPr>
              <w:t>139,480</w:t>
            </w:r>
          </w:p>
        </w:tc>
        <w:tc>
          <w:tcPr>
            <w:tcW w:w="993" w:type="dxa"/>
            <w:tcBorders>
              <w:top w:val="single" w:sz="4" w:space="0" w:color="auto"/>
              <w:bottom w:val="single" w:sz="4" w:space="0" w:color="auto"/>
            </w:tcBorders>
          </w:tcPr>
          <w:p w14:paraId="00222A5C" w14:textId="77777777" w:rsidR="00951BB7" w:rsidRPr="00252813" w:rsidRDefault="00951BB7" w:rsidP="00375B4C">
            <w:pPr>
              <w:pStyle w:val="ESTablebody"/>
              <w:jc w:val="right"/>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39BFC5B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N</w:t>
            </w:r>
          </w:p>
        </w:tc>
      </w:tr>
      <w:tr w:rsidR="00951BB7" w:rsidRPr="00925213" w14:paraId="01D42192" w14:textId="77777777" w:rsidTr="00BD4000">
        <w:trPr>
          <w:cantSplit/>
          <w:trHeight w:val="628"/>
        </w:trPr>
        <w:tc>
          <w:tcPr>
            <w:tcW w:w="1696" w:type="dxa"/>
            <w:tcBorders>
              <w:top w:val="single" w:sz="4" w:space="0" w:color="auto"/>
              <w:bottom w:val="single" w:sz="4" w:space="0" w:color="auto"/>
            </w:tcBorders>
            <w:shd w:val="clear" w:color="auto" w:fill="auto"/>
          </w:tcPr>
          <w:p w14:paraId="5BF2EFE5"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Evaluation of Play Learn Grow</w:t>
            </w:r>
          </w:p>
          <w:p w14:paraId="11EA0FB7"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Early Childhood </w:t>
            </w:r>
            <w:r>
              <w:rPr>
                <w:rFonts w:ascii="Calibri" w:hAnsi="Calibri" w:cs="Calibri"/>
                <w:sz w:val="16"/>
                <w:szCs w:val="16"/>
              </w:rPr>
              <w:t>p</w:t>
            </w:r>
            <w:r w:rsidRPr="00BD4000">
              <w:rPr>
                <w:rFonts w:ascii="Calibri" w:hAnsi="Calibri" w:cs="Calibri"/>
                <w:sz w:val="16"/>
                <w:szCs w:val="16"/>
              </w:rPr>
              <w:t>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5B69AC0E"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Urbis Pty Ltd</w:t>
            </w:r>
          </w:p>
        </w:tc>
        <w:tc>
          <w:tcPr>
            <w:tcW w:w="2127" w:type="dxa"/>
            <w:tcBorders>
              <w:top w:val="single" w:sz="4" w:space="0" w:color="auto"/>
              <w:bottom w:val="single" w:sz="4" w:space="0" w:color="auto"/>
            </w:tcBorders>
            <w:shd w:val="clear" w:color="auto" w:fill="auto"/>
          </w:tcPr>
          <w:p w14:paraId="7FFA8759"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To evaluate the efficiency and effectiveness of the program's implementation, assess the appropriateness and relevance of the program design, and identify lessons and improvements for possible future iterations.</w:t>
            </w:r>
          </w:p>
          <w:p w14:paraId="4927619C" w14:textId="77777777" w:rsidR="00951BB7" w:rsidRPr="00BD4000" w:rsidRDefault="00951BB7" w:rsidP="00BD4000">
            <w:pPr>
              <w:pStyle w:val="ESTablebody"/>
              <w:rPr>
                <w:rFonts w:ascii="Calibri" w:hAnsi="Calibri" w:cs="Calibri"/>
                <w:sz w:val="16"/>
                <w:szCs w:val="16"/>
              </w:rPr>
            </w:pPr>
          </w:p>
        </w:tc>
        <w:tc>
          <w:tcPr>
            <w:tcW w:w="2409" w:type="dxa"/>
            <w:tcBorders>
              <w:top w:val="single" w:sz="4" w:space="0" w:color="auto"/>
              <w:bottom w:val="single" w:sz="4" w:space="0" w:color="auto"/>
            </w:tcBorders>
          </w:tcPr>
          <w:p w14:paraId="06D87651"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To provide expert advanced statistical analysis to determine the extent to which the intended outputs were achieved, the appropriateness and relevance of the program, the exten</w:t>
            </w:r>
            <w:r>
              <w:rPr>
                <w:rFonts w:ascii="Calibri" w:hAnsi="Calibri" w:cs="Calibri"/>
                <w:sz w:val="16"/>
                <w:szCs w:val="16"/>
              </w:rPr>
              <w:t>t</w:t>
            </w:r>
            <w:r w:rsidRPr="00BD4000">
              <w:rPr>
                <w:rFonts w:ascii="Calibri" w:hAnsi="Calibri" w:cs="Calibri"/>
                <w:sz w:val="16"/>
                <w:szCs w:val="16"/>
              </w:rPr>
              <w:t xml:space="preserve"> </w:t>
            </w:r>
            <w:r>
              <w:rPr>
                <w:rFonts w:ascii="Calibri" w:hAnsi="Calibri" w:cs="Calibri"/>
                <w:sz w:val="16"/>
                <w:szCs w:val="16"/>
              </w:rPr>
              <w:t xml:space="preserve">to which </w:t>
            </w:r>
            <w:r w:rsidRPr="00BD4000">
              <w:rPr>
                <w:rFonts w:ascii="Calibri" w:hAnsi="Calibri" w:cs="Calibri"/>
                <w:sz w:val="16"/>
                <w:szCs w:val="16"/>
              </w:rPr>
              <w:t>the program responded to the needs of the target audience, and the main lessons and improvement for potential future iterations of the program.</w:t>
            </w:r>
          </w:p>
        </w:tc>
        <w:tc>
          <w:tcPr>
            <w:tcW w:w="1134" w:type="dxa"/>
            <w:tcBorders>
              <w:top w:val="single" w:sz="4" w:space="0" w:color="auto"/>
              <w:bottom w:val="single" w:sz="4" w:space="0" w:color="auto"/>
            </w:tcBorders>
          </w:tcPr>
          <w:p w14:paraId="393FB055"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February – March 2021</w:t>
            </w:r>
          </w:p>
        </w:tc>
        <w:tc>
          <w:tcPr>
            <w:tcW w:w="1701" w:type="dxa"/>
            <w:tcBorders>
              <w:top w:val="single" w:sz="4" w:space="0" w:color="auto"/>
              <w:bottom w:val="single" w:sz="4" w:space="0" w:color="auto"/>
            </w:tcBorders>
          </w:tcPr>
          <w:p w14:paraId="5B5C7B7A"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To provide the Department </w:t>
            </w:r>
            <w:r>
              <w:rPr>
                <w:rFonts w:ascii="Calibri" w:hAnsi="Calibri" w:cs="Calibri"/>
                <w:sz w:val="16"/>
                <w:szCs w:val="16"/>
              </w:rPr>
              <w:t>with</w:t>
            </w:r>
            <w:r w:rsidRPr="00BD4000">
              <w:rPr>
                <w:rFonts w:ascii="Calibri" w:hAnsi="Calibri" w:cs="Calibri"/>
                <w:sz w:val="16"/>
                <w:szCs w:val="16"/>
              </w:rPr>
              <w:t xml:space="preserve"> understanding of the efficacy and strengths of the program and determine how future versions might be improved.</w:t>
            </w:r>
          </w:p>
        </w:tc>
        <w:tc>
          <w:tcPr>
            <w:tcW w:w="1134" w:type="dxa"/>
            <w:tcBorders>
              <w:top w:val="single" w:sz="4" w:space="0" w:color="auto"/>
              <w:bottom w:val="single" w:sz="4" w:space="0" w:color="auto"/>
            </w:tcBorders>
          </w:tcPr>
          <w:p w14:paraId="05F9E5EB" w14:textId="77777777" w:rsidR="00951BB7" w:rsidRPr="00BD4000" w:rsidRDefault="00951BB7" w:rsidP="00BD4000">
            <w:pPr>
              <w:pStyle w:val="ESTablebody"/>
              <w:jc w:val="right"/>
              <w:rPr>
                <w:rFonts w:ascii="Calibri" w:hAnsi="Calibri" w:cs="Calibri"/>
                <w:sz w:val="16"/>
                <w:szCs w:val="16"/>
              </w:rPr>
            </w:pPr>
            <w:r w:rsidRPr="00BD4000">
              <w:rPr>
                <w:rFonts w:ascii="Calibri" w:hAnsi="Calibri" w:cs="Calibri"/>
                <w:sz w:val="16"/>
                <w:szCs w:val="16"/>
              </w:rPr>
              <w:t>38,000</w:t>
            </w:r>
          </w:p>
        </w:tc>
        <w:tc>
          <w:tcPr>
            <w:tcW w:w="993" w:type="dxa"/>
            <w:tcBorders>
              <w:top w:val="single" w:sz="4" w:space="0" w:color="auto"/>
              <w:bottom w:val="single" w:sz="4" w:space="0" w:color="auto"/>
            </w:tcBorders>
          </w:tcPr>
          <w:p w14:paraId="5EF61FBE" w14:textId="77777777" w:rsidR="00951BB7" w:rsidRPr="00BD4000" w:rsidRDefault="00951BB7" w:rsidP="00BD4000">
            <w:pPr>
              <w:pStyle w:val="ESTablebody"/>
              <w:jc w:val="right"/>
              <w:rPr>
                <w:rFonts w:ascii="Calibri" w:hAnsi="Calibri" w:cs="Calibri"/>
                <w:sz w:val="16"/>
                <w:szCs w:val="16"/>
              </w:rPr>
            </w:pPr>
            <w:r w:rsidRPr="00BD4000">
              <w:rPr>
                <w:rFonts w:ascii="Calibri" w:hAnsi="Calibri" w:cs="Calibri"/>
                <w:sz w:val="16"/>
                <w:szCs w:val="16"/>
              </w:rPr>
              <w:t>38,000</w:t>
            </w:r>
          </w:p>
        </w:tc>
        <w:tc>
          <w:tcPr>
            <w:tcW w:w="1622" w:type="dxa"/>
            <w:tcBorders>
              <w:top w:val="single" w:sz="4" w:space="0" w:color="auto"/>
              <w:bottom w:val="single" w:sz="4" w:space="0" w:color="auto"/>
            </w:tcBorders>
          </w:tcPr>
          <w:p w14:paraId="232C9EC8" w14:textId="77777777" w:rsidR="00951BB7" w:rsidRPr="00BD4000" w:rsidRDefault="00951BB7" w:rsidP="00BD4000">
            <w:pPr>
              <w:pStyle w:val="ESTablebody"/>
              <w:jc w:val="right"/>
              <w:rPr>
                <w:rFonts w:ascii="Calibri" w:hAnsi="Calibri" w:cs="Calibri"/>
                <w:sz w:val="16"/>
                <w:szCs w:val="16"/>
              </w:rPr>
            </w:pPr>
            <w:r w:rsidRPr="00BD4000">
              <w:rPr>
                <w:rFonts w:ascii="Calibri" w:hAnsi="Calibri" w:cs="Calibri"/>
                <w:sz w:val="16"/>
                <w:szCs w:val="16"/>
              </w:rPr>
              <w:t>N</w:t>
            </w:r>
          </w:p>
        </w:tc>
      </w:tr>
      <w:tr w:rsidR="00951BB7" w:rsidRPr="00925213" w14:paraId="47946ABA" w14:textId="77777777" w:rsidTr="00383663">
        <w:trPr>
          <w:cantSplit/>
          <w:trHeight w:val="628"/>
        </w:trPr>
        <w:tc>
          <w:tcPr>
            <w:tcW w:w="1696" w:type="dxa"/>
            <w:tcBorders>
              <w:top w:val="single" w:sz="4" w:space="0" w:color="auto"/>
              <w:bottom w:val="single" w:sz="4" w:space="0" w:color="auto"/>
            </w:tcBorders>
            <w:shd w:val="clear" w:color="auto" w:fill="auto"/>
          </w:tcPr>
          <w:p w14:paraId="4218996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Evaluation of the differentiated support for school improvement program</w:t>
            </w:r>
          </w:p>
          <w:p w14:paraId="44C1190C"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 primary and secondary</w:t>
            </w:r>
            <w:r>
              <w:rPr>
                <w:rFonts w:ascii="Calibri" w:hAnsi="Calibri" w:cs="Calibri"/>
                <w:sz w:val="16"/>
                <w:szCs w:val="16"/>
              </w:rPr>
              <w:t>)</w:t>
            </w:r>
          </w:p>
          <w:p w14:paraId="3EEAC70A"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4FE290C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41D889A4"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investigate the implementation process of the program and its impact on teaching, leadership, and school operations. The evaluation also investigates the sustainability of the program’s school level impact.   </w:t>
            </w:r>
            <w:r>
              <w:rPr>
                <w:rFonts w:ascii="Calibri" w:hAnsi="Calibri" w:cs="Calibri"/>
                <w:sz w:val="16"/>
                <w:szCs w:val="16"/>
              </w:rPr>
              <w:t xml:space="preserve">  </w:t>
            </w:r>
          </w:p>
        </w:tc>
        <w:tc>
          <w:tcPr>
            <w:tcW w:w="2409" w:type="dxa"/>
            <w:tcBorders>
              <w:top w:val="single" w:sz="4" w:space="0" w:color="auto"/>
              <w:bottom w:val="single" w:sz="4" w:space="0" w:color="auto"/>
            </w:tcBorders>
          </w:tcPr>
          <w:p w14:paraId="2B253BA3"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investigate the nature of the program’s implementation, functioning, resourcing, </w:t>
            </w:r>
            <w:proofErr w:type="spellStart"/>
            <w:r w:rsidRPr="00355385">
              <w:rPr>
                <w:rFonts w:ascii="Calibri" w:hAnsi="Calibri" w:cs="Calibri"/>
                <w:sz w:val="16"/>
                <w:szCs w:val="16"/>
              </w:rPr>
              <w:t>behaviours</w:t>
            </w:r>
            <w:proofErr w:type="spellEnd"/>
            <w:r w:rsidRPr="00925213">
              <w:rPr>
                <w:rFonts w:ascii="Calibri" w:hAnsi="Calibri" w:cs="Calibri"/>
                <w:sz w:val="16"/>
                <w:szCs w:val="16"/>
              </w:rPr>
              <w:t xml:space="preserve"> and practices, and impact to-date for school improvement on teaching, leadership, and operations. The scope also includes the sustainability of school improvement outcomes achieved through the program.</w:t>
            </w:r>
          </w:p>
          <w:p w14:paraId="4E6D94A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 </w:t>
            </w:r>
          </w:p>
        </w:tc>
        <w:tc>
          <w:tcPr>
            <w:tcW w:w="1134" w:type="dxa"/>
            <w:tcBorders>
              <w:top w:val="single" w:sz="4" w:space="0" w:color="auto"/>
              <w:bottom w:val="single" w:sz="4" w:space="0" w:color="auto"/>
            </w:tcBorders>
          </w:tcPr>
          <w:p w14:paraId="5CEC027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January 2018 – </w:t>
            </w:r>
            <w:r>
              <w:rPr>
                <w:rFonts w:ascii="Calibri" w:hAnsi="Calibri" w:cs="Calibri"/>
                <w:sz w:val="16"/>
                <w:szCs w:val="16"/>
              </w:rPr>
              <w:t>March 2022</w:t>
            </w:r>
          </w:p>
        </w:tc>
        <w:tc>
          <w:tcPr>
            <w:tcW w:w="1701" w:type="dxa"/>
            <w:tcBorders>
              <w:top w:val="single" w:sz="4" w:space="0" w:color="auto"/>
              <w:bottom w:val="single" w:sz="4" w:space="0" w:color="auto"/>
            </w:tcBorders>
          </w:tcPr>
          <w:p w14:paraId="652658A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findings and recommendations that inform future implementation and school improvement policy. </w:t>
            </w:r>
          </w:p>
        </w:tc>
        <w:tc>
          <w:tcPr>
            <w:tcW w:w="1134" w:type="dxa"/>
            <w:tcBorders>
              <w:top w:val="single" w:sz="4" w:space="0" w:color="auto"/>
              <w:bottom w:val="single" w:sz="4" w:space="0" w:color="auto"/>
            </w:tcBorders>
          </w:tcPr>
          <w:p w14:paraId="0B22FF71"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1,600,000</w:t>
            </w:r>
          </w:p>
        </w:tc>
        <w:tc>
          <w:tcPr>
            <w:tcW w:w="993" w:type="dxa"/>
            <w:tcBorders>
              <w:top w:val="single" w:sz="4" w:space="0" w:color="auto"/>
              <w:bottom w:val="single" w:sz="4" w:space="0" w:color="auto"/>
            </w:tcBorders>
          </w:tcPr>
          <w:p w14:paraId="58AE5B8E"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33FB37B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5778DABA" w14:textId="77777777" w:rsidTr="00383663">
        <w:trPr>
          <w:cantSplit/>
          <w:trHeight w:val="628"/>
        </w:trPr>
        <w:tc>
          <w:tcPr>
            <w:tcW w:w="1696" w:type="dxa"/>
            <w:tcBorders>
              <w:top w:val="single" w:sz="4" w:space="0" w:color="auto"/>
              <w:bottom w:val="single" w:sz="4" w:space="0" w:color="auto"/>
            </w:tcBorders>
            <w:shd w:val="clear" w:color="auto" w:fill="auto"/>
          </w:tcPr>
          <w:p w14:paraId="23CF2AD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Evaluation of the early childhood language program</w:t>
            </w:r>
          </w:p>
          <w:p w14:paraId="5DABB965"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FF44D7B"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7A4D2FD6"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evaluate the early childhood language program.</w:t>
            </w:r>
          </w:p>
        </w:tc>
        <w:tc>
          <w:tcPr>
            <w:tcW w:w="2409" w:type="dxa"/>
            <w:tcBorders>
              <w:top w:val="single" w:sz="4" w:space="0" w:color="auto"/>
              <w:bottom w:val="single" w:sz="4" w:space="0" w:color="auto"/>
            </w:tcBorders>
          </w:tcPr>
          <w:p w14:paraId="7E3121DE"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assess the program</w:t>
            </w:r>
            <w:r>
              <w:rPr>
                <w:rFonts w:ascii="Calibri" w:hAnsi="Calibri" w:cs="Calibri"/>
                <w:sz w:val="16"/>
                <w:szCs w:val="16"/>
              </w:rPr>
              <w:t>’s</w:t>
            </w:r>
            <w:r w:rsidRPr="00925213">
              <w:rPr>
                <w:rFonts w:ascii="Calibri" w:hAnsi="Calibri" w:cs="Calibri"/>
                <w:sz w:val="16"/>
                <w:szCs w:val="16"/>
              </w:rPr>
              <w:t xml:space="preserve"> implementation, achievement of intended goals and impact on outcomes.</w:t>
            </w:r>
          </w:p>
        </w:tc>
        <w:tc>
          <w:tcPr>
            <w:tcW w:w="1134" w:type="dxa"/>
            <w:tcBorders>
              <w:top w:val="single" w:sz="4" w:space="0" w:color="auto"/>
              <w:bottom w:val="single" w:sz="4" w:space="0" w:color="auto"/>
            </w:tcBorders>
          </w:tcPr>
          <w:p w14:paraId="3DED4F0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August 2020 </w:t>
            </w:r>
            <w:r>
              <w:rPr>
                <w:rFonts w:ascii="Calibri" w:hAnsi="Calibri" w:cs="Calibri"/>
                <w:sz w:val="16"/>
                <w:szCs w:val="16"/>
              </w:rPr>
              <w:t xml:space="preserve">– </w:t>
            </w:r>
            <w:r w:rsidRPr="00925213">
              <w:rPr>
                <w:rFonts w:ascii="Calibri" w:hAnsi="Calibri" w:cs="Calibri"/>
                <w:sz w:val="16"/>
                <w:szCs w:val="16"/>
              </w:rPr>
              <w:t>June 2022</w:t>
            </w:r>
          </w:p>
        </w:tc>
        <w:tc>
          <w:tcPr>
            <w:tcW w:w="1701" w:type="dxa"/>
            <w:tcBorders>
              <w:top w:val="single" w:sz="4" w:space="0" w:color="auto"/>
              <w:bottom w:val="single" w:sz="4" w:space="0" w:color="auto"/>
            </w:tcBorders>
          </w:tcPr>
          <w:p w14:paraId="53FE032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a program evaluation. </w:t>
            </w:r>
          </w:p>
        </w:tc>
        <w:tc>
          <w:tcPr>
            <w:tcW w:w="1134" w:type="dxa"/>
            <w:tcBorders>
              <w:top w:val="single" w:sz="4" w:space="0" w:color="auto"/>
              <w:bottom w:val="single" w:sz="4" w:space="0" w:color="auto"/>
            </w:tcBorders>
          </w:tcPr>
          <w:p w14:paraId="52CCDFA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504,882</w:t>
            </w:r>
          </w:p>
        </w:tc>
        <w:tc>
          <w:tcPr>
            <w:tcW w:w="993" w:type="dxa"/>
            <w:tcBorders>
              <w:top w:val="single" w:sz="4" w:space="0" w:color="auto"/>
              <w:bottom w:val="single" w:sz="4" w:space="0" w:color="auto"/>
            </w:tcBorders>
          </w:tcPr>
          <w:p w14:paraId="18AD627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4EA628D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1A6C37A4" w14:textId="77777777" w:rsidTr="00383663">
        <w:trPr>
          <w:cantSplit/>
          <w:trHeight w:val="628"/>
        </w:trPr>
        <w:tc>
          <w:tcPr>
            <w:tcW w:w="1696" w:type="dxa"/>
            <w:tcBorders>
              <w:top w:val="single" w:sz="4" w:space="0" w:color="auto"/>
              <w:bottom w:val="single" w:sz="4" w:space="0" w:color="auto"/>
            </w:tcBorders>
            <w:shd w:val="clear" w:color="auto" w:fill="auto"/>
          </w:tcPr>
          <w:p w14:paraId="526BF4A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Evaluation of the excellence in teacher education reforms: Implementation of the monitoring and evaluation framework</w:t>
            </w:r>
          </w:p>
          <w:p w14:paraId="12947CEA"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 primary and secondary</w:t>
            </w:r>
            <w:r>
              <w:rPr>
                <w:rFonts w:ascii="Calibri" w:hAnsi="Calibri" w:cs="Calibri"/>
                <w:sz w:val="16"/>
                <w:szCs w:val="16"/>
              </w:rPr>
              <w:t>)</w:t>
            </w:r>
          </w:p>
          <w:p w14:paraId="6588C7DD"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4B686597" w14:textId="77777777" w:rsidR="00951BB7" w:rsidRPr="00925213" w:rsidRDefault="00951BB7" w:rsidP="00375B4C">
            <w:pPr>
              <w:pStyle w:val="ESTablebody"/>
              <w:rPr>
                <w:rFonts w:ascii="Calibri" w:hAnsi="Calibri" w:cs="Calibri"/>
                <w:sz w:val="16"/>
                <w:szCs w:val="16"/>
              </w:rPr>
            </w:pPr>
            <w:proofErr w:type="spellStart"/>
            <w:r w:rsidRPr="00925213">
              <w:rPr>
                <w:rFonts w:ascii="Calibri" w:hAnsi="Calibri" w:cs="Calibri"/>
                <w:sz w:val="16"/>
                <w:szCs w:val="16"/>
              </w:rPr>
              <w:t>Synergistiq</w:t>
            </w:r>
            <w:proofErr w:type="spellEnd"/>
          </w:p>
        </w:tc>
        <w:tc>
          <w:tcPr>
            <w:tcW w:w="2127" w:type="dxa"/>
            <w:tcBorders>
              <w:top w:val="single" w:sz="4" w:space="0" w:color="auto"/>
              <w:bottom w:val="single" w:sz="4" w:space="0" w:color="auto"/>
            </w:tcBorders>
            <w:shd w:val="clear" w:color="auto" w:fill="auto"/>
          </w:tcPr>
          <w:p w14:paraId="7F0E38CE"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w:t>
            </w:r>
            <w:proofErr w:type="spellStart"/>
            <w:r w:rsidRPr="00355385">
              <w:rPr>
                <w:rFonts w:ascii="Calibri" w:hAnsi="Calibri" w:cs="Calibri"/>
                <w:sz w:val="16"/>
                <w:szCs w:val="16"/>
              </w:rPr>
              <w:t>analyse</w:t>
            </w:r>
            <w:proofErr w:type="spellEnd"/>
            <w:r w:rsidRPr="00355385">
              <w:rPr>
                <w:rFonts w:ascii="Calibri" w:hAnsi="Calibri" w:cs="Calibri"/>
                <w:sz w:val="16"/>
                <w:szCs w:val="16"/>
              </w:rPr>
              <w:t xml:space="preserve"> the impact and benefits of the suite of reforms and determine whether and to what extent they are meeting their objectives.</w:t>
            </w:r>
          </w:p>
        </w:tc>
        <w:tc>
          <w:tcPr>
            <w:tcW w:w="2409" w:type="dxa"/>
            <w:tcBorders>
              <w:top w:val="single" w:sz="4" w:space="0" w:color="auto"/>
              <w:bottom w:val="single" w:sz="4" w:space="0" w:color="auto"/>
            </w:tcBorders>
          </w:tcPr>
          <w:p w14:paraId="5FA626B4"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apply the excellence in teacher education reforms monitoring and evaluation framework to reports and datasets.</w:t>
            </w:r>
          </w:p>
        </w:tc>
        <w:tc>
          <w:tcPr>
            <w:tcW w:w="1134" w:type="dxa"/>
            <w:tcBorders>
              <w:top w:val="single" w:sz="4" w:space="0" w:color="auto"/>
              <w:bottom w:val="single" w:sz="4" w:space="0" w:color="auto"/>
            </w:tcBorders>
          </w:tcPr>
          <w:p w14:paraId="0427A89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April – June 2021</w:t>
            </w:r>
          </w:p>
        </w:tc>
        <w:tc>
          <w:tcPr>
            <w:tcW w:w="1701" w:type="dxa"/>
            <w:tcBorders>
              <w:top w:val="single" w:sz="4" w:space="0" w:color="auto"/>
              <w:bottom w:val="single" w:sz="4" w:space="0" w:color="auto"/>
            </w:tcBorders>
          </w:tcPr>
          <w:p w14:paraId="007AD97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The evaluation reports inform further development of the monitoring and evaluation framework, program logic maps, and improvements in data collection and program monitoring. </w:t>
            </w:r>
          </w:p>
        </w:tc>
        <w:tc>
          <w:tcPr>
            <w:tcW w:w="1134" w:type="dxa"/>
            <w:tcBorders>
              <w:top w:val="single" w:sz="4" w:space="0" w:color="auto"/>
              <w:bottom w:val="single" w:sz="4" w:space="0" w:color="auto"/>
            </w:tcBorders>
          </w:tcPr>
          <w:p w14:paraId="03F43C7D"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145,861</w:t>
            </w:r>
          </w:p>
        </w:tc>
        <w:tc>
          <w:tcPr>
            <w:tcW w:w="993" w:type="dxa"/>
            <w:tcBorders>
              <w:top w:val="single" w:sz="4" w:space="0" w:color="auto"/>
              <w:bottom w:val="single" w:sz="4" w:space="0" w:color="auto"/>
            </w:tcBorders>
          </w:tcPr>
          <w:p w14:paraId="4BC12DA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145,861</w:t>
            </w:r>
          </w:p>
        </w:tc>
        <w:tc>
          <w:tcPr>
            <w:tcW w:w="1622" w:type="dxa"/>
            <w:tcBorders>
              <w:top w:val="single" w:sz="4" w:space="0" w:color="auto"/>
              <w:bottom w:val="single" w:sz="4" w:space="0" w:color="auto"/>
            </w:tcBorders>
          </w:tcPr>
          <w:p w14:paraId="4D002A86"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4020C682" w14:textId="77777777" w:rsidTr="00383663">
        <w:trPr>
          <w:cantSplit/>
          <w:trHeight w:val="628"/>
        </w:trPr>
        <w:tc>
          <w:tcPr>
            <w:tcW w:w="1696" w:type="dxa"/>
            <w:tcBorders>
              <w:top w:val="single" w:sz="4" w:space="0" w:color="auto"/>
              <w:bottom w:val="single" w:sz="4" w:space="0" w:color="auto"/>
            </w:tcBorders>
            <w:shd w:val="clear" w:color="auto" w:fill="auto"/>
          </w:tcPr>
          <w:p w14:paraId="449F43B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Evaluation of the excellence in teacher education reforms: multi-program evaluation</w:t>
            </w:r>
          </w:p>
          <w:p w14:paraId="2CF521EA"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 primary and secondary</w:t>
            </w:r>
            <w:r>
              <w:rPr>
                <w:rFonts w:ascii="Calibri" w:hAnsi="Calibri" w:cs="Calibri"/>
                <w:sz w:val="16"/>
                <w:szCs w:val="16"/>
              </w:rPr>
              <w:t>)</w:t>
            </w:r>
          </w:p>
          <w:p w14:paraId="5322D976"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7AFD5A55" w14:textId="77777777" w:rsidR="00951BB7" w:rsidRPr="00925213" w:rsidRDefault="00951BB7" w:rsidP="00375B4C">
            <w:pPr>
              <w:pStyle w:val="ESTablebody"/>
              <w:rPr>
                <w:rFonts w:ascii="Calibri" w:hAnsi="Calibri" w:cs="Calibri"/>
                <w:sz w:val="16"/>
                <w:szCs w:val="16"/>
              </w:rPr>
            </w:pPr>
            <w:proofErr w:type="spellStart"/>
            <w:r w:rsidRPr="00925213">
              <w:rPr>
                <w:rFonts w:ascii="Calibri" w:hAnsi="Calibri" w:cs="Calibri"/>
                <w:sz w:val="16"/>
                <w:szCs w:val="16"/>
              </w:rPr>
              <w:t>Synergistiq</w:t>
            </w:r>
            <w:proofErr w:type="spellEnd"/>
          </w:p>
        </w:tc>
        <w:tc>
          <w:tcPr>
            <w:tcW w:w="2127" w:type="dxa"/>
            <w:tcBorders>
              <w:top w:val="single" w:sz="4" w:space="0" w:color="auto"/>
              <w:bottom w:val="single" w:sz="4" w:space="0" w:color="auto"/>
            </w:tcBorders>
            <w:shd w:val="clear" w:color="auto" w:fill="auto"/>
          </w:tcPr>
          <w:p w14:paraId="647F603E"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report on the three programs that operate in Victoria under the excellence in teacher education reforms. These include the National exceptional teaching in disadvantaged </w:t>
            </w:r>
            <w:proofErr w:type="gramStart"/>
            <w:r w:rsidRPr="00355385">
              <w:rPr>
                <w:rFonts w:ascii="Calibri" w:hAnsi="Calibri" w:cs="Calibri"/>
                <w:sz w:val="16"/>
                <w:szCs w:val="16"/>
              </w:rPr>
              <w:t>schools</w:t>
            </w:r>
            <w:proofErr w:type="gramEnd"/>
            <w:r w:rsidRPr="00355385">
              <w:rPr>
                <w:rFonts w:ascii="Calibri" w:hAnsi="Calibri" w:cs="Calibri"/>
                <w:sz w:val="16"/>
                <w:szCs w:val="16"/>
              </w:rPr>
              <w:t xml:space="preserve"> program, employment-based pathways, and the Diploma of teacher education preparation.</w:t>
            </w:r>
          </w:p>
        </w:tc>
        <w:tc>
          <w:tcPr>
            <w:tcW w:w="2409" w:type="dxa"/>
            <w:tcBorders>
              <w:top w:val="single" w:sz="4" w:space="0" w:color="auto"/>
              <w:bottom w:val="single" w:sz="4" w:space="0" w:color="auto"/>
            </w:tcBorders>
          </w:tcPr>
          <w:p w14:paraId="059C23FC"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w:t>
            </w:r>
            <w:proofErr w:type="spellStart"/>
            <w:r w:rsidRPr="00355385">
              <w:rPr>
                <w:rFonts w:ascii="Calibri" w:hAnsi="Calibri" w:cs="Calibri"/>
                <w:sz w:val="16"/>
                <w:szCs w:val="16"/>
              </w:rPr>
              <w:t>analyse</w:t>
            </w:r>
            <w:proofErr w:type="spellEnd"/>
            <w:r w:rsidRPr="00355385">
              <w:rPr>
                <w:rFonts w:ascii="Calibri" w:hAnsi="Calibri" w:cs="Calibri"/>
                <w:sz w:val="16"/>
                <w:szCs w:val="16"/>
              </w:rPr>
              <w:t xml:space="preserve"> the impact and benefits of the excellence in teacher education policies and programs to determine whether and to what extent they are meeting their objectives. Two small-scale program evaluations are to be completed in the first six-months, with the larger scale evaluation taking place over approximately two years.</w:t>
            </w:r>
          </w:p>
        </w:tc>
        <w:tc>
          <w:tcPr>
            <w:tcW w:w="1134" w:type="dxa"/>
            <w:tcBorders>
              <w:top w:val="single" w:sz="4" w:space="0" w:color="auto"/>
              <w:bottom w:val="single" w:sz="4" w:space="0" w:color="auto"/>
            </w:tcBorders>
          </w:tcPr>
          <w:p w14:paraId="521D3EE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2021 – June 2023</w:t>
            </w:r>
          </w:p>
        </w:tc>
        <w:tc>
          <w:tcPr>
            <w:tcW w:w="1701" w:type="dxa"/>
            <w:tcBorders>
              <w:top w:val="single" w:sz="4" w:space="0" w:color="auto"/>
              <w:bottom w:val="single" w:sz="4" w:space="0" w:color="auto"/>
            </w:tcBorders>
          </w:tcPr>
          <w:p w14:paraId="470230C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The evaluation reports inform future investment and program impact and iterative developments of both strategy and delivery aspects. </w:t>
            </w:r>
          </w:p>
        </w:tc>
        <w:tc>
          <w:tcPr>
            <w:tcW w:w="1134" w:type="dxa"/>
            <w:tcBorders>
              <w:top w:val="single" w:sz="4" w:space="0" w:color="auto"/>
              <w:bottom w:val="single" w:sz="4" w:space="0" w:color="auto"/>
            </w:tcBorders>
          </w:tcPr>
          <w:p w14:paraId="3A152EF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273,000</w:t>
            </w:r>
          </w:p>
        </w:tc>
        <w:tc>
          <w:tcPr>
            <w:tcW w:w="993" w:type="dxa"/>
            <w:tcBorders>
              <w:top w:val="single" w:sz="4" w:space="0" w:color="auto"/>
              <w:bottom w:val="single" w:sz="4" w:space="0" w:color="auto"/>
            </w:tcBorders>
          </w:tcPr>
          <w:p w14:paraId="59B84F57"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0EC895A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0D0BB53C" w14:textId="77777777" w:rsidTr="00383663">
        <w:trPr>
          <w:cantSplit/>
          <w:trHeight w:val="628"/>
        </w:trPr>
        <w:tc>
          <w:tcPr>
            <w:tcW w:w="1696" w:type="dxa"/>
            <w:tcBorders>
              <w:top w:val="single" w:sz="4" w:space="0" w:color="auto"/>
              <w:bottom w:val="single" w:sz="4" w:space="0" w:color="auto"/>
            </w:tcBorders>
            <w:shd w:val="clear" w:color="auto" w:fill="auto"/>
          </w:tcPr>
          <w:p w14:paraId="446C499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Evaluation of the kindergarten quality improvement program </w:t>
            </w:r>
          </w:p>
          <w:p w14:paraId="094FC99A"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54F5BEB5"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72A21492"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evaluate phases 1 and 2 of the kindergarten quality improvement program.</w:t>
            </w:r>
          </w:p>
        </w:tc>
        <w:tc>
          <w:tcPr>
            <w:tcW w:w="2409" w:type="dxa"/>
            <w:tcBorders>
              <w:top w:val="single" w:sz="4" w:space="0" w:color="auto"/>
              <w:bottom w:val="single" w:sz="4" w:space="0" w:color="auto"/>
            </w:tcBorders>
          </w:tcPr>
          <w:p w14:paraId="4EFC17AE"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assess outcomes and make recommendations for improvement by drawing on implementation findings to shape the future design of the program.</w:t>
            </w:r>
          </w:p>
        </w:tc>
        <w:tc>
          <w:tcPr>
            <w:tcW w:w="1134" w:type="dxa"/>
            <w:tcBorders>
              <w:top w:val="single" w:sz="4" w:space="0" w:color="auto"/>
              <w:bottom w:val="single" w:sz="4" w:space="0" w:color="auto"/>
            </w:tcBorders>
          </w:tcPr>
          <w:p w14:paraId="382544C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 2019 – March 2023</w:t>
            </w:r>
          </w:p>
        </w:tc>
        <w:tc>
          <w:tcPr>
            <w:tcW w:w="1701" w:type="dxa"/>
            <w:tcBorders>
              <w:top w:val="single" w:sz="4" w:space="0" w:color="auto"/>
              <w:bottom w:val="single" w:sz="4" w:space="0" w:color="auto"/>
            </w:tcBorders>
          </w:tcPr>
          <w:p w14:paraId="08CB721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formative findings throughout implementation of both phases and summative findings to understand achieved outcomes. </w:t>
            </w:r>
          </w:p>
        </w:tc>
        <w:tc>
          <w:tcPr>
            <w:tcW w:w="1134" w:type="dxa"/>
            <w:tcBorders>
              <w:top w:val="single" w:sz="4" w:space="0" w:color="auto"/>
              <w:bottom w:val="single" w:sz="4" w:space="0" w:color="auto"/>
            </w:tcBorders>
          </w:tcPr>
          <w:p w14:paraId="7FE484E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 xml:space="preserve">590,971 </w:t>
            </w:r>
          </w:p>
        </w:tc>
        <w:tc>
          <w:tcPr>
            <w:tcW w:w="993" w:type="dxa"/>
            <w:tcBorders>
              <w:top w:val="single" w:sz="4" w:space="0" w:color="auto"/>
              <w:bottom w:val="single" w:sz="4" w:space="0" w:color="auto"/>
            </w:tcBorders>
          </w:tcPr>
          <w:p w14:paraId="7CCB02EE"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133C581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4A242BAF" w14:textId="77777777" w:rsidTr="005C53BA">
        <w:trPr>
          <w:cantSplit/>
          <w:trHeight w:val="628"/>
        </w:trPr>
        <w:tc>
          <w:tcPr>
            <w:tcW w:w="1696" w:type="dxa"/>
            <w:tcBorders>
              <w:top w:val="single" w:sz="4" w:space="0" w:color="auto"/>
              <w:bottom w:val="single" w:sz="4" w:space="0" w:color="auto"/>
            </w:tcBorders>
            <w:shd w:val="clear" w:color="auto" w:fill="auto"/>
          </w:tcPr>
          <w:p w14:paraId="15347A98" w14:textId="77777777" w:rsidR="00951BB7" w:rsidRPr="00B4392B" w:rsidRDefault="00951BB7" w:rsidP="00A606A0">
            <w:pPr>
              <w:pStyle w:val="ESTablebody"/>
              <w:rPr>
                <w:rFonts w:ascii="Calibri" w:hAnsi="Calibri" w:cs="Calibri"/>
                <w:sz w:val="16"/>
                <w:szCs w:val="16"/>
              </w:rPr>
            </w:pPr>
            <w:r w:rsidRPr="00B4392B">
              <w:rPr>
                <w:rFonts w:ascii="Calibri" w:hAnsi="Calibri" w:cs="Calibri"/>
                <w:sz w:val="16"/>
                <w:szCs w:val="16"/>
              </w:rPr>
              <w:t>Evaluation of the school-based executive class principal initiative</w:t>
            </w:r>
          </w:p>
          <w:p w14:paraId="194FCAC0" w14:textId="77777777" w:rsidR="00951BB7" w:rsidRPr="00997A0A" w:rsidRDefault="00951BB7" w:rsidP="005C53BA">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521DDB3" w14:textId="77777777" w:rsidR="00951BB7" w:rsidRPr="00997A0A" w:rsidRDefault="00951BB7" w:rsidP="005C53BA">
            <w:pPr>
              <w:pStyle w:val="ESTablebody"/>
              <w:rPr>
                <w:rFonts w:ascii="Calibri" w:hAnsi="Calibri" w:cs="Calibri"/>
                <w:sz w:val="16"/>
                <w:szCs w:val="16"/>
              </w:rPr>
            </w:pPr>
            <w:r>
              <w:rPr>
                <w:rFonts w:ascii="Calibri" w:hAnsi="Calibri" w:cs="Calibri"/>
                <w:sz w:val="16"/>
                <w:szCs w:val="16"/>
              </w:rPr>
              <w:t>ACER</w:t>
            </w:r>
          </w:p>
        </w:tc>
        <w:tc>
          <w:tcPr>
            <w:tcW w:w="2127" w:type="dxa"/>
            <w:tcBorders>
              <w:top w:val="single" w:sz="4" w:space="0" w:color="auto"/>
              <w:bottom w:val="single" w:sz="4" w:space="0" w:color="auto"/>
            </w:tcBorders>
            <w:shd w:val="clear" w:color="auto" w:fill="auto"/>
          </w:tcPr>
          <w:p w14:paraId="1F42ED7A" w14:textId="77777777" w:rsidR="00951BB7" w:rsidRPr="00997A0A" w:rsidRDefault="00951BB7" w:rsidP="005C53BA">
            <w:pPr>
              <w:pStyle w:val="ESTablebody"/>
              <w:rPr>
                <w:rFonts w:ascii="Calibri" w:hAnsi="Calibri" w:cs="Calibri"/>
                <w:sz w:val="16"/>
                <w:szCs w:val="16"/>
              </w:rPr>
            </w:pPr>
            <w:r w:rsidRPr="00EF21F0">
              <w:rPr>
                <w:rFonts w:ascii="Calibri" w:hAnsi="Calibri" w:cs="Calibri"/>
                <w:sz w:val="16"/>
                <w:szCs w:val="16"/>
              </w:rPr>
              <w:t xml:space="preserve">To improve the </w:t>
            </w:r>
            <w:proofErr w:type="gramStart"/>
            <w:r w:rsidRPr="00EF21F0">
              <w:rPr>
                <w:rFonts w:ascii="Calibri" w:hAnsi="Calibri" w:cs="Calibri"/>
                <w:sz w:val="16"/>
                <w:szCs w:val="16"/>
              </w:rPr>
              <w:t>School</w:t>
            </w:r>
            <w:proofErr w:type="gramEnd"/>
            <w:r w:rsidRPr="00EF21F0">
              <w:rPr>
                <w:rFonts w:ascii="Calibri" w:hAnsi="Calibri" w:cs="Calibri"/>
                <w:sz w:val="16"/>
                <w:szCs w:val="16"/>
              </w:rPr>
              <w:t>-based Executive Class Principal</w:t>
            </w:r>
            <w:r>
              <w:rPr>
                <w:rFonts w:ascii="Calibri" w:hAnsi="Calibri" w:cs="Calibri"/>
                <w:sz w:val="16"/>
                <w:szCs w:val="16"/>
              </w:rPr>
              <w:t xml:space="preserve"> </w:t>
            </w:r>
            <w:r w:rsidRPr="00EF21F0">
              <w:rPr>
                <w:rFonts w:ascii="Calibri" w:hAnsi="Calibri" w:cs="Calibri"/>
                <w:sz w:val="16"/>
                <w:szCs w:val="16"/>
              </w:rPr>
              <w:t>initiative by providing recommendations that inform the adaptation of the initiative and future policy decisions regarding the program.</w:t>
            </w:r>
          </w:p>
        </w:tc>
        <w:tc>
          <w:tcPr>
            <w:tcW w:w="2409" w:type="dxa"/>
            <w:tcBorders>
              <w:top w:val="single" w:sz="4" w:space="0" w:color="auto"/>
              <w:bottom w:val="single" w:sz="4" w:space="0" w:color="auto"/>
            </w:tcBorders>
          </w:tcPr>
          <w:p w14:paraId="659D25CE" w14:textId="77777777" w:rsidR="00951BB7" w:rsidRPr="00EF21F0" w:rsidRDefault="00951BB7" w:rsidP="005C53BA">
            <w:pPr>
              <w:pStyle w:val="ESTablebody"/>
              <w:rPr>
                <w:rFonts w:ascii="Calibri" w:hAnsi="Calibri" w:cs="Calibri"/>
                <w:sz w:val="16"/>
                <w:szCs w:val="16"/>
              </w:rPr>
            </w:pPr>
            <w:r>
              <w:rPr>
                <w:rFonts w:ascii="Calibri" w:hAnsi="Calibri" w:cs="Calibri"/>
                <w:sz w:val="16"/>
                <w:szCs w:val="16"/>
              </w:rPr>
              <w:t xml:space="preserve">To </w:t>
            </w:r>
            <w:r w:rsidRPr="00EF21F0">
              <w:rPr>
                <w:rFonts w:ascii="Calibri" w:hAnsi="Calibri" w:cs="Calibri"/>
                <w:sz w:val="16"/>
                <w:szCs w:val="16"/>
              </w:rPr>
              <w:t xml:space="preserve">consider the effectiveness and impact of </w:t>
            </w:r>
            <w:r>
              <w:rPr>
                <w:rFonts w:ascii="Calibri" w:hAnsi="Calibri" w:cs="Calibri"/>
                <w:sz w:val="16"/>
                <w:szCs w:val="16"/>
              </w:rPr>
              <w:t>the initiative</w:t>
            </w:r>
            <w:r w:rsidRPr="00EF21F0">
              <w:rPr>
                <w:rFonts w:ascii="Calibri" w:hAnsi="Calibri" w:cs="Calibri"/>
                <w:sz w:val="16"/>
                <w:szCs w:val="16"/>
              </w:rPr>
              <w:t>. The scope of the evaluation include</w:t>
            </w:r>
            <w:r>
              <w:rPr>
                <w:rFonts w:ascii="Calibri" w:hAnsi="Calibri" w:cs="Calibri"/>
                <w:sz w:val="16"/>
                <w:szCs w:val="16"/>
              </w:rPr>
              <w:t xml:space="preserve">s Victorian government </w:t>
            </w:r>
            <w:r w:rsidRPr="00EF21F0">
              <w:rPr>
                <w:rFonts w:ascii="Calibri" w:hAnsi="Calibri" w:cs="Calibri"/>
                <w:sz w:val="16"/>
                <w:szCs w:val="16"/>
              </w:rPr>
              <w:t>primary, secondary, and special schools</w:t>
            </w:r>
            <w:r>
              <w:rPr>
                <w:rFonts w:ascii="Calibri" w:hAnsi="Calibri" w:cs="Calibri"/>
                <w:sz w:val="16"/>
                <w:szCs w:val="16"/>
              </w:rPr>
              <w:t xml:space="preserve">. The research will examine the </w:t>
            </w:r>
            <w:r w:rsidRPr="00EF21F0">
              <w:rPr>
                <w:rFonts w:ascii="Calibri" w:hAnsi="Calibri" w:cs="Calibri"/>
                <w:sz w:val="16"/>
                <w:szCs w:val="16"/>
              </w:rPr>
              <w:t>support provided by the regional executives, including the appointment and on-boarding process, and the ongoing management and support provided by the Department</w:t>
            </w:r>
            <w:r>
              <w:rPr>
                <w:rFonts w:ascii="Calibri" w:hAnsi="Calibri" w:cs="Calibri"/>
                <w:sz w:val="16"/>
                <w:szCs w:val="16"/>
              </w:rPr>
              <w:t>.</w:t>
            </w:r>
          </w:p>
          <w:p w14:paraId="58C02A6C" w14:textId="77777777" w:rsidR="00951BB7" w:rsidRPr="00997A0A" w:rsidRDefault="00951BB7" w:rsidP="005C53BA">
            <w:pPr>
              <w:pStyle w:val="ESTablebody"/>
              <w:rPr>
                <w:rFonts w:ascii="Calibri" w:hAnsi="Calibri" w:cs="Calibri"/>
                <w:sz w:val="16"/>
                <w:szCs w:val="16"/>
              </w:rPr>
            </w:pPr>
          </w:p>
        </w:tc>
        <w:tc>
          <w:tcPr>
            <w:tcW w:w="1134" w:type="dxa"/>
            <w:tcBorders>
              <w:top w:val="single" w:sz="4" w:space="0" w:color="auto"/>
              <w:bottom w:val="single" w:sz="4" w:space="0" w:color="auto"/>
            </w:tcBorders>
          </w:tcPr>
          <w:p w14:paraId="5F28623A" w14:textId="77777777" w:rsidR="00951BB7" w:rsidRPr="00997A0A" w:rsidRDefault="00951BB7" w:rsidP="005C53BA">
            <w:pPr>
              <w:pStyle w:val="ESTablebody"/>
              <w:rPr>
                <w:rFonts w:ascii="Calibri" w:hAnsi="Calibri" w:cs="Calibri"/>
                <w:sz w:val="16"/>
                <w:szCs w:val="16"/>
              </w:rPr>
            </w:pPr>
            <w:r w:rsidRPr="00EF21F0">
              <w:rPr>
                <w:rFonts w:ascii="Calibri" w:hAnsi="Calibri" w:cs="Calibri"/>
                <w:sz w:val="16"/>
                <w:szCs w:val="16"/>
              </w:rPr>
              <w:t>August 2020 – June 2024</w:t>
            </w:r>
          </w:p>
        </w:tc>
        <w:tc>
          <w:tcPr>
            <w:tcW w:w="1701" w:type="dxa"/>
            <w:tcBorders>
              <w:top w:val="single" w:sz="4" w:space="0" w:color="auto"/>
              <w:bottom w:val="single" w:sz="4" w:space="0" w:color="auto"/>
            </w:tcBorders>
          </w:tcPr>
          <w:p w14:paraId="2B4D219D" w14:textId="77777777" w:rsidR="00951BB7" w:rsidRDefault="00951BB7" w:rsidP="005C53BA">
            <w:pPr>
              <w:pStyle w:val="ESTablebody"/>
              <w:rPr>
                <w:rFonts w:ascii="Calibri" w:hAnsi="Calibri" w:cs="Calibri"/>
                <w:sz w:val="16"/>
                <w:szCs w:val="16"/>
              </w:rPr>
            </w:pPr>
            <w:r w:rsidRPr="00EF21F0">
              <w:rPr>
                <w:rFonts w:ascii="Calibri" w:hAnsi="Calibri" w:cs="Calibri"/>
                <w:sz w:val="16"/>
                <w:szCs w:val="16"/>
              </w:rPr>
              <w:t xml:space="preserve">The research will help inform future policy and implementation </w:t>
            </w:r>
            <w:r>
              <w:rPr>
                <w:rFonts w:ascii="Calibri" w:hAnsi="Calibri" w:cs="Calibri"/>
                <w:sz w:val="16"/>
                <w:szCs w:val="16"/>
              </w:rPr>
              <w:t>support for the</w:t>
            </w:r>
            <w:r w:rsidRPr="00EF21F0">
              <w:rPr>
                <w:rFonts w:ascii="Calibri" w:hAnsi="Calibri" w:cs="Calibri"/>
                <w:sz w:val="16"/>
                <w:szCs w:val="16"/>
              </w:rPr>
              <w:t xml:space="preserve"> </w:t>
            </w:r>
            <w:proofErr w:type="gramStart"/>
            <w:r>
              <w:rPr>
                <w:rFonts w:ascii="Calibri" w:hAnsi="Calibri" w:cs="Calibri"/>
                <w:sz w:val="16"/>
                <w:szCs w:val="16"/>
              </w:rPr>
              <w:t>School</w:t>
            </w:r>
            <w:proofErr w:type="gramEnd"/>
            <w:r>
              <w:rPr>
                <w:rFonts w:ascii="Calibri" w:hAnsi="Calibri" w:cs="Calibri"/>
                <w:sz w:val="16"/>
                <w:szCs w:val="16"/>
              </w:rPr>
              <w:t>-based Executive Class Principal</w:t>
            </w:r>
            <w:r w:rsidRPr="007C6DBA">
              <w:rPr>
                <w:rFonts w:ascii="Calibri" w:hAnsi="Calibri" w:cs="Calibri"/>
                <w:sz w:val="16"/>
                <w:szCs w:val="16"/>
              </w:rPr>
              <w:t xml:space="preserve"> initiative</w:t>
            </w:r>
            <w:r>
              <w:rPr>
                <w:rFonts w:ascii="Calibri" w:hAnsi="Calibri" w:cs="Calibri"/>
                <w:sz w:val="16"/>
                <w:szCs w:val="16"/>
              </w:rPr>
              <w:t xml:space="preserve"> </w:t>
            </w:r>
          </w:p>
        </w:tc>
        <w:tc>
          <w:tcPr>
            <w:tcW w:w="1134" w:type="dxa"/>
            <w:tcBorders>
              <w:top w:val="single" w:sz="4" w:space="0" w:color="auto"/>
              <w:bottom w:val="single" w:sz="4" w:space="0" w:color="auto"/>
            </w:tcBorders>
          </w:tcPr>
          <w:p w14:paraId="490F5602" w14:textId="77777777" w:rsidR="00951BB7" w:rsidRPr="00997A0A" w:rsidRDefault="00951BB7" w:rsidP="005C53BA">
            <w:pPr>
              <w:pStyle w:val="ESTablebody"/>
              <w:jc w:val="right"/>
              <w:rPr>
                <w:rFonts w:ascii="Calibri" w:hAnsi="Calibri" w:cs="Calibri"/>
                <w:sz w:val="16"/>
                <w:szCs w:val="16"/>
              </w:rPr>
            </w:pPr>
            <w:r w:rsidRPr="00EF21F0">
              <w:rPr>
                <w:rFonts w:ascii="Calibri" w:eastAsiaTheme="minorHAnsi" w:hAnsi="Calibri" w:cs="Calibri"/>
                <w:sz w:val="16"/>
                <w:szCs w:val="16"/>
                <w:lang w:val="en-GB"/>
              </w:rPr>
              <w:t>769,980</w:t>
            </w:r>
          </w:p>
        </w:tc>
        <w:tc>
          <w:tcPr>
            <w:tcW w:w="993" w:type="dxa"/>
            <w:tcBorders>
              <w:top w:val="single" w:sz="4" w:space="0" w:color="auto"/>
              <w:bottom w:val="single" w:sz="4" w:space="0" w:color="auto"/>
            </w:tcBorders>
          </w:tcPr>
          <w:p w14:paraId="6C6359A0" w14:textId="77777777" w:rsidR="00951BB7" w:rsidRPr="00997A0A" w:rsidRDefault="00951BB7" w:rsidP="005C53BA">
            <w:pPr>
              <w:pStyle w:val="ESTablebody"/>
              <w:jc w:val="right"/>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3A72333B" w14:textId="77777777" w:rsidR="00951BB7" w:rsidRPr="00997A0A" w:rsidRDefault="00951BB7" w:rsidP="005C53BA">
            <w:pPr>
              <w:pStyle w:val="ESTablebody"/>
              <w:jc w:val="right"/>
              <w:rPr>
                <w:rFonts w:ascii="Calibri" w:hAnsi="Calibri" w:cs="Calibri"/>
                <w:sz w:val="16"/>
                <w:szCs w:val="16"/>
              </w:rPr>
            </w:pPr>
            <w:r w:rsidRPr="00EF21F0">
              <w:rPr>
                <w:rFonts w:ascii="Calibri" w:hAnsi="Calibri" w:cs="Calibri"/>
                <w:sz w:val="16"/>
                <w:szCs w:val="16"/>
              </w:rPr>
              <w:t>N</w:t>
            </w:r>
          </w:p>
        </w:tc>
      </w:tr>
      <w:tr w:rsidR="00951BB7" w:rsidRPr="00925213" w14:paraId="20D87595" w14:textId="77777777" w:rsidTr="00BD4000">
        <w:trPr>
          <w:cantSplit/>
          <w:trHeight w:val="628"/>
        </w:trPr>
        <w:tc>
          <w:tcPr>
            <w:tcW w:w="1696" w:type="dxa"/>
            <w:tcBorders>
              <w:top w:val="single" w:sz="4" w:space="0" w:color="auto"/>
              <w:bottom w:val="single" w:sz="4" w:space="0" w:color="auto"/>
            </w:tcBorders>
            <w:shd w:val="clear" w:color="auto" w:fill="auto"/>
          </w:tcPr>
          <w:p w14:paraId="68ACBCD3"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lastRenderedPageBreak/>
              <w:t>Evaluation of the Statement of Expectations: Quality Assessment and Regulation Division</w:t>
            </w:r>
            <w:r>
              <w:rPr>
                <w:rFonts w:ascii="Calibri" w:hAnsi="Calibri" w:cs="Calibri"/>
                <w:sz w:val="16"/>
                <w:szCs w:val="16"/>
              </w:rPr>
              <w:t xml:space="preserve"> (QARD)</w:t>
            </w:r>
            <w:r w:rsidRPr="00BD4000">
              <w:rPr>
                <w:rFonts w:ascii="Calibri" w:hAnsi="Calibri" w:cs="Calibri"/>
                <w:sz w:val="16"/>
                <w:szCs w:val="16"/>
              </w:rPr>
              <w:t xml:space="preserve"> 2018–20</w:t>
            </w:r>
          </w:p>
          <w:p w14:paraId="45D4EC34"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Early Childhood </w:t>
            </w:r>
            <w:r>
              <w:rPr>
                <w:rFonts w:ascii="Calibri" w:hAnsi="Calibri" w:cs="Calibri"/>
                <w:sz w:val="16"/>
                <w:szCs w:val="16"/>
              </w:rPr>
              <w:t>p</w:t>
            </w:r>
            <w:r w:rsidRPr="00BD4000">
              <w:rPr>
                <w:rFonts w:ascii="Calibri" w:hAnsi="Calibri" w:cs="Calibri"/>
                <w:sz w:val="16"/>
                <w:szCs w:val="16"/>
              </w:rPr>
              <w:t>ortfolio, Strategy, Review and Regulation</w:t>
            </w:r>
            <w:r>
              <w:rPr>
                <w:rFonts w:ascii="Calibri" w:hAnsi="Calibri" w:cs="Calibri"/>
                <w:sz w:val="16"/>
                <w:szCs w:val="16"/>
              </w:rPr>
              <w:t>)</w:t>
            </w:r>
          </w:p>
          <w:p w14:paraId="147662E8" w14:textId="77777777" w:rsidR="00951BB7" w:rsidRPr="00BD4000" w:rsidRDefault="00951BB7" w:rsidP="00BD4000">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1CBD13DC"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 xml:space="preserve">The </w:t>
            </w:r>
            <w:r w:rsidRPr="00BD4000">
              <w:rPr>
                <w:rFonts w:ascii="Calibri" w:hAnsi="Calibri" w:cs="Calibri"/>
                <w:sz w:val="16"/>
                <w:szCs w:val="16"/>
              </w:rPr>
              <w:t>Department</w:t>
            </w:r>
          </w:p>
        </w:tc>
        <w:tc>
          <w:tcPr>
            <w:tcW w:w="2127" w:type="dxa"/>
            <w:tcBorders>
              <w:top w:val="single" w:sz="4" w:space="0" w:color="auto"/>
              <w:bottom w:val="single" w:sz="4" w:space="0" w:color="auto"/>
            </w:tcBorders>
            <w:shd w:val="clear" w:color="auto" w:fill="auto"/>
          </w:tcPr>
          <w:p w14:paraId="1CAF8D88"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To evaluate the performance of QARD in implementing the Minister’s expectations, as set out in the Statement of Expectations Letter 2018</w:t>
            </w:r>
            <w:r>
              <w:rPr>
                <w:rFonts w:ascii="Calibri" w:hAnsi="Calibri" w:cs="Calibri"/>
                <w:sz w:val="16"/>
                <w:szCs w:val="16"/>
              </w:rPr>
              <w:t>–</w:t>
            </w:r>
            <w:r w:rsidRPr="00BD4000">
              <w:rPr>
                <w:rFonts w:ascii="Calibri" w:hAnsi="Calibri" w:cs="Calibri"/>
                <w:sz w:val="16"/>
                <w:szCs w:val="16"/>
              </w:rPr>
              <w:t xml:space="preserve">20, and the regulator’s response. The evaluation was designed to assist the regulator to improve performance and reduce costs on regulated parties. </w:t>
            </w:r>
          </w:p>
          <w:p w14:paraId="15D54D23" w14:textId="77777777" w:rsidR="00951BB7" w:rsidRPr="00BD4000" w:rsidRDefault="00951BB7" w:rsidP="00BD4000">
            <w:pPr>
              <w:pStyle w:val="ESTablebody"/>
              <w:rPr>
                <w:rFonts w:ascii="Calibri" w:hAnsi="Calibri" w:cs="Calibri"/>
                <w:sz w:val="16"/>
                <w:szCs w:val="16"/>
              </w:rPr>
            </w:pPr>
          </w:p>
        </w:tc>
        <w:tc>
          <w:tcPr>
            <w:tcW w:w="2409" w:type="dxa"/>
            <w:tcBorders>
              <w:top w:val="single" w:sz="4" w:space="0" w:color="auto"/>
              <w:bottom w:val="single" w:sz="4" w:space="0" w:color="auto"/>
            </w:tcBorders>
          </w:tcPr>
          <w:p w14:paraId="32FCEA11"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 xml:space="preserve">To </w:t>
            </w:r>
            <w:r w:rsidRPr="00BD4000">
              <w:rPr>
                <w:rFonts w:ascii="Calibri" w:hAnsi="Calibri" w:cs="Calibri"/>
                <w:sz w:val="16"/>
                <w:szCs w:val="16"/>
              </w:rPr>
              <w:t xml:space="preserve">review the QARD activities that delivered on the Minister’s expectations, and the extent to which the selected elements of good regulatory practice were delivered. </w:t>
            </w:r>
            <w:r>
              <w:rPr>
                <w:rFonts w:ascii="Calibri" w:hAnsi="Calibri" w:cs="Calibri"/>
                <w:sz w:val="16"/>
                <w:szCs w:val="16"/>
              </w:rPr>
              <w:t>A</w:t>
            </w:r>
            <w:r w:rsidRPr="00BD4000">
              <w:rPr>
                <w:rFonts w:ascii="Calibri" w:hAnsi="Calibri" w:cs="Calibri"/>
                <w:sz w:val="16"/>
                <w:szCs w:val="16"/>
              </w:rPr>
              <w:t xml:space="preserve"> process evaluation, </w:t>
            </w:r>
            <w:r>
              <w:rPr>
                <w:rFonts w:ascii="Calibri" w:hAnsi="Calibri" w:cs="Calibri"/>
                <w:sz w:val="16"/>
                <w:szCs w:val="16"/>
              </w:rPr>
              <w:t>also reviewed</w:t>
            </w:r>
            <w:r w:rsidRPr="00BD4000">
              <w:rPr>
                <w:rFonts w:ascii="Calibri" w:hAnsi="Calibri" w:cs="Calibri"/>
                <w:sz w:val="16"/>
                <w:szCs w:val="16"/>
              </w:rPr>
              <w:t xml:space="preserve"> the QARD’s process of implementing </w:t>
            </w:r>
            <w:r>
              <w:rPr>
                <w:rFonts w:ascii="Calibri" w:hAnsi="Calibri" w:cs="Calibri"/>
                <w:sz w:val="16"/>
                <w:szCs w:val="16"/>
              </w:rPr>
              <w:t>activities</w:t>
            </w:r>
            <w:r w:rsidRPr="00BD4000">
              <w:rPr>
                <w:rFonts w:ascii="Calibri" w:hAnsi="Calibri" w:cs="Calibri"/>
                <w:sz w:val="16"/>
                <w:szCs w:val="16"/>
              </w:rPr>
              <w:t xml:space="preserve"> in line with the </w:t>
            </w:r>
            <w:r>
              <w:rPr>
                <w:rFonts w:ascii="Calibri" w:hAnsi="Calibri" w:cs="Calibri"/>
                <w:sz w:val="16"/>
                <w:szCs w:val="16"/>
              </w:rPr>
              <w:t>Statement of Expectation Framework</w:t>
            </w:r>
            <w:r w:rsidRPr="00BD4000">
              <w:rPr>
                <w:rFonts w:ascii="Calibri" w:hAnsi="Calibri" w:cs="Calibri"/>
                <w:sz w:val="16"/>
                <w:szCs w:val="16"/>
              </w:rPr>
              <w:t>.</w:t>
            </w:r>
          </w:p>
        </w:tc>
        <w:tc>
          <w:tcPr>
            <w:tcW w:w="1134" w:type="dxa"/>
            <w:tcBorders>
              <w:top w:val="single" w:sz="4" w:space="0" w:color="auto"/>
              <w:bottom w:val="single" w:sz="4" w:space="0" w:color="auto"/>
            </w:tcBorders>
          </w:tcPr>
          <w:p w14:paraId="2BAC6A6A"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December 2019 – February 2021</w:t>
            </w:r>
          </w:p>
        </w:tc>
        <w:tc>
          <w:tcPr>
            <w:tcW w:w="1701" w:type="dxa"/>
            <w:tcBorders>
              <w:top w:val="single" w:sz="4" w:space="0" w:color="auto"/>
              <w:bottom w:val="single" w:sz="4" w:space="0" w:color="auto"/>
            </w:tcBorders>
          </w:tcPr>
          <w:p w14:paraId="107B2EFD"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To support the Minister to identify continuous improvement priorities in the development of the next </w:t>
            </w:r>
            <w:r>
              <w:rPr>
                <w:rFonts w:ascii="Calibri" w:hAnsi="Calibri" w:cs="Calibri"/>
                <w:sz w:val="16"/>
                <w:szCs w:val="16"/>
              </w:rPr>
              <w:t>Statement of Expectation</w:t>
            </w:r>
            <w:r w:rsidRPr="00BD4000">
              <w:rPr>
                <w:rFonts w:ascii="Calibri" w:hAnsi="Calibri" w:cs="Calibri"/>
                <w:sz w:val="16"/>
                <w:szCs w:val="16"/>
              </w:rPr>
              <w:t>.</w:t>
            </w:r>
          </w:p>
        </w:tc>
        <w:tc>
          <w:tcPr>
            <w:tcW w:w="1134" w:type="dxa"/>
            <w:tcBorders>
              <w:top w:val="single" w:sz="4" w:space="0" w:color="auto"/>
              <w:bottom w:val="single" w:sz="4" w:space="0" w:color="auto"/>
            </w:tcBorders>
          </w:tcPr>
          <w:p w14:paraId="60C66884"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p>
        </w:tc>
        <w:tc>
          <w:tcPr>
            <w:tcW w:w="993" w:type="dxa"/>
            <w:tcBorders>
              <w:top w:val="single" w:sz="4" w:space="0" w:color="auto"/>
              <w:bottom w:val="single" w:sz="4" w:space="0" w:color="auto"/>
            </w:tcBorders>
          </w:tcPr>
          <w:p w14:paraId="36A46A2B"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 </w:t>
            </w:r>
          </w:p>
        </w:tc>
        <w:tc>
          <w:tcPr>
            <w:tcW w:w="1622" w:type="dxa"/>
            <w:tcBorders>
              <w:top w:val="single" w:sz="4" w:space="0" w:color="auto"/>
              <w:bottom w:val="single" w:sz="4" w:space="0" w:color="auto"/>
            </w:tcBorders>
          </w:tcPr>
          <w:p w14:paraId="5C89C1C5"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Y</w:t>
            </w:r>
          </w:p>
          <w:p w14:paraId="2BDB8DB7" w14:textId="77777777" w:rsidR="00951BB7" w:rsidRPr="00BD4000" w:rsidRDefault="00760694" w:rsidP="00BD4000">
            <w:pPr>
              <w:pStyle w:val="ESTablebody"/>
              <w:jc w:val="right"/>
              <w:rPr>
                <w:rFonts w:ascii="Calibri" w:hAnsi="Calibri" w:cs="Calibri"/>
                <w:sz w:val="16"/>
                <w:szCs w:val="16"/>
              </w:rPr>
            </w:pPr>
            <w:hyperlink r:id="rId18" w:history="1">
              <w:r w:rsidR="00951BB7" w:rsidRPr="00BD4000">
                <w:rPr>
                  <w:rStyle w:val="Hyperlink"/>
                  <w:rFonts w:ascii="Calibri" w:hAnsi="Calibri" w:cs="Calibri"/>
                  <w:color w:val="auto"/>
                  <w:sz w:val="16"/>
                  <w:szCs w:val="16"/>
                </w:rPr>
                <w:t>https://www.education.vic.gov.au/about/department/legislation/Pages/statementofexpectations.aspx</w:t>
              </w:r>
            </w:hyperlink>
            <w:r w:rsidR="00951BB7" w:rsidRPr="00BD4000">
              <w:rPr>
                <w:rFonts w:ascii="Calibri" w:hAnsi="Calibri" w:cs="Calibri"/>
                <w:sz w:val="16"/>
                <w:szCs w:val="16"/>
              </w:rPr>
              <w:t xml:space="preserve"> </w:t>
            </w:r>
          </w:p>
        </w:tc>
      </w:tr>
      <w:tr w:rsidR="00951BB7" w:rsidRPr="00925213" w14:paraId="3044BEB6" w14:textId="77777777" w:rsidTr="00BD4000">
        <w:trPr>
          <w:cantSplit/>
          <w:trHeight w:val="628"/>
        </w:trPr>
        <w:tc>
          <w:tcPr>
            <w:tcW w:w="1696" w:type="dxa"/>
            <w:tcBorders>
              <w:top w:val="single" w:sz="4" w:space="0" w:color="auto"/>
              <w:bottom w:val="single" w:sz="4" w:space="0" w:color="auto"/>
            </w:tcBorders>
            <w:shd w:val="clear" w:color="auto" w:fill="auto"/>
          </w:tcPr>
          <w:p w14:paraId="2B238F46"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Evaluation of the Statement of Expectations: Victorian Institute of Teaching</w:t>
            </w:r>
            <w:r>
              <w:rPr>
                <w:rFonts w:ascii="Calibri" w:hAnsi="Calibri" w:cs="Calibri"/>
                <w:sz w:val="16"/>
                <w:szCs w:val="16"/>
              </w:rPr>
              <w:t xml:space="preserve"> (VIT)</w:t>
            </w:r>
            <w:r w:rsidRPr="00BD4000">
              <w:rPr>
                <w:rFonts w:ascii="Calibri" w:hAnsi="Calibri" w:cs="Calibri"/>
                <w:sz w:val="16"/>
                <w:szCs w:val="16"/>
              </w:rPr>
              <w:t xml:space="preserve"> 2018–20</w:t>
            </w:r>
          </w:p>
          <w:p w14:paraId="0E3C4879"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Education </w:t>
            </w:r>
            <w:r>
              <w:rPr>
                <w:rFonts w:ascii="Calibri" w:hAnsi="Calibri" w:cs="Calibri"/>
                <w:sz w:val="16"/>
                <w:szCs w:val="16"/>
              </w:rPr>
              <w:t>p</w:t>
            </w:r>
            <w:r w:rsidRPr="00BD4000">
              <w:rPr>
                <w:rFonts w:ascii="Calibri" w:hAnsi="Calibri" w:cs="Calibri"/>
                <w:sz w:val="16"/>
                <w:szCs w:val="16"/>
              </w:rPr>
              <w:t>ortfolio, Strategy, Review and Regulation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9B50DD8"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 xml:space="preserve">The </w:t>
            </w:r>
            <w:r w:rsidRPr="00BD4000">
              <w:rPr>
                <w:rFonts w:ascii="Calibri" w:hAnsi="Calibri" w:cs="Calibri"/>
                <w:sz w:val="16"/>
                <w:szCs w:val="16"/>
              </w:rPr>
              <w:t>Department</w:t>
            </w:r>
          </w:p>
        </w:tc>
        <w:tc>
          <w:tcPr>
            <w:tcW w:w="2127" w:type="dxa"/>
            <w:tcBorders>
              <w:top w:val="single" w:sz="4" w:space="0" w:color="auto"/>
              <w:bottom w:val="single" w:sz="4" w:space="0" w:color="auto"/>
            </w:tcBorders>
            <w:shd w:val="clear" w:color="auto" w:fill="auto"/>
          </w:tcPr>
          <w:p w14:paraId="71E0E0AC"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To evaluate the performance of VIT in implementing the Minister’s expectations, as set out in the Statement of Expectations Letter 2018</w:t>
            </w:r>
            <w:r>
              <w:rPr>
                <w:rFonts w:ascii="Calibri" w:hAnsi="Calibri" w:cs="Calibri"/>
                <w:sz w:val="16"/>
                <w:szCs w:val="16"/>
              </w:rPr>
              <w:t>–</w:t>
            </w:r>
            <w:r w:rsidRPr="00BD4000">
              <w:rPr>
                <w:rFonts w:ascii="Calibri" w:hAnsi="Calibri" w:cs="Calibri"/>
                <w:sz w:val="16"/>
                <w:szCs w:val="16"/>
              </w:rPr>
              <w:t xml:space="preserve">20, and the regulator’s response. The evaluation was designed to assist the regulator to improve performance and reduce costs on regulated parties. </w:t>
            </w:r>
          </w:p>
          <w:p w14:paraId="5B181214" w14:textId="77777777" w:rsidR="00951BB7" w:rsidRPr="00BD4000" w:rsidRDefault="00951BB7" w:rsidP="00BD4000">
            <w:pPr>
              <w:pStyle w:val="ESTablebody"/>
              <w:rPr>
                <w:rFonts w:ascii="Calibri" w:hAnsi="Calibri" w:cs="Calibri"/>
                <w:sz w:val="16"/>
                <w:szCs w:val="16"/>
              </w:rPr>
            </w:pPr>
          </w:p>
        </w:tc>
        <w:tc>
          <w:tcPr>
            <w:tcW w:w="2409" w:type="dxa"/>
            <w:tcBorders>
              <w:top w:val="single" w:sz="4" w:space="0" w:color="auto"/>
              <w:bottom w:val="single" w:sz="4" w:space="0" w:color="auto"/>
            </w:tcBorders>
          </w:tcPr>
          <w:p w14:paraId="457A832D"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 xml:space="preserve">To </w:t>
            </w:r>
            <w:r w:rsidRPr="00BD4000">
              <w:rPr>
                <w:rFonts w:ascii="Calibri" w:hAnsi="Calibri" w:cs="Calibri"/>
                <w:sz w:val="16"/>
                <w:szCs w:val="16"/>
              </w:rPr>
              <w:t xml:space="preserve">review the VIT activities that delivered on the Minister’s expectations, and the extent to which the selected elements of good regulatory practice were delivered. </w:t>
            </w:r>
            <w:r>
              <w:rPr>
                <w:rFonts w:ascii="Calibri" w:hAnsi="Calibri" w:cs="Calibri"/>
                <w:sz w:val="16"/>
                <w:szCs w:val="16"/>
              </w:rPr>
              <w:t>A</w:t>
            </w:r>
            <w:r w:rsidRPr="00BD4000">
              <w:rPr>
                <w:rFonts w:ascii="Calibri" w:hAnsi="Calibri" w:cs="Calibri"/>
                <w:sz w:val="16"/>
                <w:szCs w:val="16"/>
              </w:rPr>
              <w:t xml:space="preserve"> process evaluation</w:t>
            </w:r>
            <w:r>
              <w:rPr>
                <w:rFonts w:ascii="Calibri" w:hAnsi="Calibri" w:cs="Calibri"/>
                <w:sz w:val="16"/>
                <w:szCs w:val="16"/>
              </w:rPr>
              <w:t xml:space="preserve"> also </w:t>
            </w:r>
            <w:r w:rsidRPr="00BD4000">
              <w:rPr>
                <w:rFonts w:ascii="Calibri" w:hAnsi="Calibri" w:cs="Calibri"/>
                <w:sz w:val="16"/>
                <w:szCs w:val="16"/>
              </w:rPr>
              <w:t>review</w:t>
            </w:r>
            <w:r>
              <w:rPr>
                <w:rFonts w:ascii="Calibri" w:hAnsi="Calibri" w:cs="Calibri"/>
                <w:sz w:val="16"/>
                <w:szCs w:val="16"/>
              </w:rPr>
              <w:t>ed</w:t>
            </w:r>
            <w:r w:rsidRPr="00BD4000">
              <w:rPr>
                <w:rFonts w:ascii="Calibri" w:hAnsi="Calibri" w:cs="Calibri"/>
                <w:sz w:val="16"/>
                <w:szCs w:val="16"/>
              </w:rPr>
              <w:t xml:space="preserve"> the VIT’s process of implementing </w:t>
            </w:r>
            <w:r>
              <w:rPr>
                <w:rFonts w:ascii="Calibri" w:hAnsi="Calibri" w:cs="Calibri"/>
                <w:sz w:val="16"/>
                <w:szCs w:val="16"/>
              </w:rPr>
              <w:t>activities</w:t>
            </w:r>
            <w:r w:rsidRPr="00BD4000">
              <w:rPr>
                <w:rFonts w:ascii="Calibri" w:hAnsi="Calibri" w:cs="Calibri"/>
                <w:sz w:val="16"/>
                <w:szCs w:val="16"/>
              </w:rPr>
              <w:t xml:space="preserve"> in line with the </w:t>
            </w:r>
            <w:r>
              <w:rPr>
                <w:rFonts w:ascii="Calibri" w:hAnsi="Calibri" w:cs="Calibri"/>
                <w:sz w:val="16"/>
                <w:szCs w:val="16"/>
              </w:rPr>
              <w:t>Statement of Expectation</w:t>
            </w:r>
            <w:r w:rsidRPr="00BD4000">
              <w:rPr>
                <w:rFonts w:ascii="Calibri" w:hAnsi="Calibri" w:cs="Calibri"/>
                <w:sz w:val="16"/>
                <w:szCs w:val="16"/>
              </w:rPr>
              <w:t xml:space="preserve"> Framework.</w:t>
            </w:r>
          </w:p>
        </w:tc>
        <w:tc>
          <w:tcPr>
            <w:tcW w:w="1134" w:type="dxa"/>
            <w:tcBorders>
              <w:top w:val="single" w:sz="4" w:space="0" w:color="auto"/>
              <w:bottom w:val="single" w:sz="4" w:space="0" w:color="auto"/>
            </w:tcBorders>
          </w:tcPr>
          <w:p w14:paraId="08071D22"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December 2019 – November 2020</w:t>
            </w:r>
          </w:p>
        </w:tc>
        <w:tc>
          <w:tcPr>
            <w:tcW w:w="1701" w:type="dxa"/>
            <w:tcBorders>
              <w:top w:val="single" w:sz="4" w:space="0" w:color="auto"/>
              <w:bottom w:val="single" w:sz="4" w:space="0" w:color="auto"/>
            </w:tcBorders>
          </w:tcPr>
          <w:p w14:paraId="13F55548"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To support the Minister to identify continuous improvement priorities in the development of the next </w:t>
            </w:r>
            <w:r>
              <w:rPr>
                <w:rFonts w:ascii="Calibri" w:hAnsi="Calibri" w:cs="Calibri"/>
                <w:sz w:val="16"/>
                <w:szCs w:val="16"/>
              </w:rPr>
              <w:t>Statement of Expectation</w:t>
            </w:r>
            <w:r w:rsidRPr="00BD4000">
              <w:rPr>
                <w:rFonts w:ascii="Calibri" w:hAnsi="Calibri" w:cs="Calibri"/>
                <w:sz w:val="16"/>
                <w:szCs w:val="16"/>
              </w:rPr>
              <w:t>.</w:t>
            </w:r>
          </w:p>
        </w:tc>
        <w:tc>
          <w:tcPr>
            <w:tcW w:w="1134" w:type="dxa"/>
            <w:tcBorders>
              <w:top w:val="single" w:sz="4" w:space="0" w:color="auto"/>
              <w:bottom w:val="single" w:sz="4" w:space="0" w:color="auto"/>
            </w:tcBorders>
          </w:tcPr>
          <w:p w14:paraId="45D559E9"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p>
        </w:tc>
        <w:tc>
          <w:tcPr>
            <w:tcW w:w="993" w:type="dxa"/>
            <w:tcBorders>
              <w:top w:val="single" w:sz="4" w:space="0" w:color="auto"/>
              <w:bottom w:val="single" w:sz="4" w:space="0" w:color="auto"/>
            </w:tcBorders>
          </w:tcPr>
          <w:p w14:paraId="24E726AC"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 </w:t>
            </w:r>
          </w:p>
        </w:tc>
        <w:tc>
          <w:tcPr>
            <w:tcW w:w="1622" w:type="dxa"/>
            <w:tcBorders>
              <w:top w:val="single" w:sz="4" w:space="0" w:color="auto"/>
              <w:bottom w:val="single" w:sz="4" w:space="0" w:color="auto"/>
            </w:tcBorders>
          </w:tcPr>
          <w:p w14:paraId="52C364F5"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Y</w:t>
            </w:r>
          </w:p>
          <w:p w14:paraId="2D04E7FE" w14:textId="77777777" w:rsidR="00951BB7" w:rsidRPr="00BD4000" w:rsidRDefault="00760694" w:rsidP="00BD4000">
            <w:pPr>
              <w:pStyle w:val="ESTablebody"/>
              <w:jc w:val="right"/>
              <w:rPr>
                <w:rFonts w:ascii="Calibri" w:hAnsi="Calibri" w:cs="Calibri"/>
                <w:sz w:val="16"/>
                <w:szCs w:val="16"/>
              </w:rPr>
            </w:pPr>
            <w:hyperlink r:id="rId19" w:history="1">
              <w:r w:rsidR="00951BB7" w:rsidRPr="00BD4000">
                <w:rPr>
                  <w:rStyle w:val="Hyperlink"/>
                  <w:rFonts w:ascii="Calibri" w:hAnsi="Calibri" w:cs="Calibri"/>
                  <w:color w:val="auto"/>
                  <w:sz w:val="16"/>
                  <w:szCs w:val="16"/>
                </w:rPr>
                <w:t>https://www.education.vic.gov.au/about/department/legislation/Pages/statementofexpectations.aspx</w:t>
              </w:r>
            </w:hyperlink>
          </w:p>
        </w:tc>
      </w:tr>
      <w:tr w:rsidR="00951BB7" w:rsidRPr="00925213" w14:paraId="3509AD2F" w14:textId="77777777" w:rsidTr="00BD4000">
        <w:trPr>
          <w:cantSplit/>
          <w:trHeight w:val="628"/>
        </w:trPr>
        <w:tc>
          <w:tcPr>
            <w:tcW w:w="1696" w:type="dxa"/>
            <w:tcBorders>
              <w:top w:val="single" w:sz="4" w:space="0" w:color="auto"/>
              <w:bottom w:val="single" w:sz="4" w:space="0" w:color="auto"/>
            </w:tcBorders>
            <w:shd w:val="clear" w:color="auto" w:fill="auto"/>
          </w:tcPr>
          <w:p w14:paraId="585511E0"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Evaluation of the Statement of Expectations: Victorian Registration and Qualifications Authority</w:t>
            </w:r>
            <w:r>
              <w:rPr>
                <w:rFonts w:ascii="Calibri" w:hAnsi="Calibri" w:cs="Calibri"/>
                <w:sz w:val="16"/>
                <w:szCs w:val="16"/>
              </w:rPr>
              <w:t xml:space="preserve"> (VRQA)</w:t>
            </w:r>
            <w:r w:rsidRPr="00BD4000">
              <w:rPr>
                <w:rFonts w:ascii="Calibri" w:hAnsi="Calibri" w:cs="Calibri"/>
                <w:sz w:val="16"/>
                <w:szCs w:val="16"/>
              </w:rPr>
              <w:t xml:space="preserve"> 2019–21</w:t>
            </w:r>
          </w:p>
          <w:p w14:paraId="529B9C56"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w:t>
            </w:r>
            <w:r w:rsidRPr="00BD4000">
              <w:rPr>
                <w:rFonts w:ascii="Calibri" w:hAnsi="Calibri" w:cs="Calibri"/>
                <w:sz w:val="16"/>
                <w:szCs w:val="16"/>
              </w:rPr>
              <w:t xml:space="preserve">Education and Training and Skills </w:t>
            </w:r>
            <w:r>
              <w:rPr>
                <w:rFonts w:ascii="Calibri" w:hAnsi="Calibri" w:cs="Calibri"/>
                <w:sz w:val="16"/>
                <w:szCs w:val="16"/>
              </w:rPr>
              <w:t>p</w:t>
            </w:r>
            <w:r w:rsidRPr="00BD4000">
              <w:rPr>
                <w:rFonts w:ascii="Calibri" w:hAnsi="Calibri" w:cs="Calibri"/>
                <w:sz w:val="16"/>
                <w:szCs w:val="16"/>
              </w:rPr>
              <w:t>ortfolio</w:t>
            </w:r>
            <w:r>
              <w:rPr>
                <w:rFonts w:ascii="Calibri" w:hAnsi="Calibri" w:cs="Calibri"/>
                <w:sz w:val="16"/>
                <w:szCs w:val="16"/>
              </w:rPr>
              <w:t>s</w:t>
            </w:r>
            <w:r w:rsidRPr="00BD4000">
              <w:rPr>
                <w:rFonts w:ascii="Calibri" w:hAnsi="Calibri" w:cs="Calibri"/>
                <w:sz w:val="16"/>
                <w:szCs w:val="16"/>
              </w:rPr>
              <w:t>, Strategy, Review and Regulation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6C9608A"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 xml:space="preserve">The </w:t>
            </w:r>
            <w:r w:rsidRPr="00BD4000">
              <w:rPr>
                <w:rFonts w:ascii="Calibri" w:hAnsi="Calibri" w:cs="Calibri"/>
                <w:sz w:val="16"/>
                <w:szCs w:val="16"/>
              </w:rPr>
              <w:t>Department</w:t>
            </w:r>
          </w:p>
        </w:tc>
        <w:tc>
          <w:tcPr>
            <w:tcW w:w="2127" w:type="dxa"/>
            <w:tcBorders>
              <w:top w:val="single" w:sz="4" w:space="0" w:color="auto"/>
              <w:bottom w:val="single" w:sz="4" w:space="0" w:color="auto"/>
            </w:tcBorders>
            <w:shd w:val="clear" w:color="auto" w:fill="auto"/>
          </w:tcPr>
          <w:p w14:paraId="66896B0B"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To evaluate the performance of VRQA in implementing the Minister’s expectations, as set out in the Statement of Expectations Letter 2018-20, and the regulator’s response. The evaluation was designed to assist the </w:t>
            </w:r>
            <w:proofErr w:type="gramStart"/>
            <w:r w:rsidRPr="00BD4000">
              <w:rPr>
                <w:rFonts w:ascii="Calibri" w:hAnsi="Calibri" w:cs="Calibri"/>
                <w:sz w:val="16"/>
                <w:szCs w:val="16"/>
              </w:rPr>
              <w:t>regulator</w:t>
            </w:r>
            <w:r>
              <w:rPr>
                <w:rFonts w:ascii="Calibri" w:hAnsi="Calibri" w:cs="Calibri"/>
                <w:sz w:val="16"/>
                <w:szCs w:val="16"/>
              </w:rPr>
              <w:t>’s</w:t>
            </w:r>
            <w:proofErr w:type="gramEnd"/>
            <w:r w:rsidRPr="00BD4000">
              <w:rPr>
                <w:rFonts w:ascii="Calibri" w:hAnsi="Calibri" w:cs="Calibri"/>
                <w:sz w:val="16"/>
                <w:szCs w:val="16"/>
              </w:rPr>
              <w:t xml:space="preserve"> to improve performance and reduce costs on regulated parties. </w:t>
            </w:r>
          </w:p>
          <w:p w14:paraId="40DC67D4" w14:textId="77777777" w:rsidR="00951BB7" w:rsidRPr="00BD4000" w:rsidRDefault="00951BB7" w:rsidP="00BD4000">
            <w:pPr>
              <w:pStyle w:val="ESTablebody"/>
              <w:rPr>
                <w:rFonts w:ascii="Calibri" w:hAnsi="Calibri" w:cs="Calibri"/>
                <w:sz w:val="16"/>
                <w:szCs w:val="16"/>
              </w:rPr>
            </w:pPr>
          </w:p>
        </w:tc>
        <w:tc>
          <w:tcPr>
            <w:tcW w:w="2409" w:type="dxa"/>
            <w:tcBorders>
              <w:top w:val="single" w:sz="4" w:space="0" w:color="auto"/>
              <w:bottom w:val="single" w:sz="4" w:space="0" w:color="auto"/>
            </w:tcBorders>
          </w:tcPr>
          <w:p w14:paraId="6287F9E5" w14:textId="77777777" w:rsidR="00951BB7" w:rsidRPr="00BD4000" w:rsidRDefault="00951BB7" w:rsidP="00BD4000">
            <w:pPr>
              <w:pStyle w:val="ESTablebody"/>
              <w:rPr>
                <w:rFonts w:ascii="Calibri" w:hAnsi="Calibri" w:cs="Calibri"/>
                <w:sz w:val="16"/>
                <w:szCs w:val="16"/>
              </w:rPr>
            </w:pPr>
            <w:r>
              <w:rPr>
                <w:rFonts w:ascii="Calibri" w:hAnsi="Calibri" w:cs="Calibri"/>
                <w:sz w:val="16"/>
                <w:szCs w:val="16"/>
              </w:rPr>
              <w:t>To</w:t>
            </w:r>
            <w:r w:rsidRPr="00BD4000">
              <w:rPr>
                <w:rFonts w:ascii="Calibri" w:hAnsi="Calibri" w:cs="Calibri"/>
                <w:sz w:val="16"/>
                <w:szCs w:val="16"/>
              </w:rPr>
              <w:t xml:space="preserve"> review the VRQA activities that delivered on the Minister’s expectations, and the extent to which the selected elements of good regulatory practice were delivered. </w:t>
            </w:r>
          </w:p>
          <w:p w14:paraId="158AA3C8" w14:textId="77777777" w:rsidR="00951BB7" w:rsidRPr="00BD4000" w:rsidRDefault="00951BB7" w:rsidP="00BD4000">
            <w:pPr>
              <w:pStyle w:val="ESTablebody"/>
              <w:rPr>
                <w:rFonts w:ascii="Calibri" w:hAnsi="Calibri" w:cs="Calibri"/>
                <w:sz w:val="16"/>
                <w:szCs w:val="16"/>
              </w:rPr>
            </w:pPr>
          </w:p>
        </w:tc>
        <w:tc>
          <w:tcPr>
            <w:tcW w:w="1134" w:type="dxa"/>
            <w:tcBorders>
              <w:top w:val="single" w:sz="4" w:space="0" w:color="auto"/>
              <w:bottom w:val="single" w:sz="4" w:space="0" w:color="auto"/>
            </w:tcBorders>
          </w:tcPr>
          <w:p w14:paraId="02B9DE1E"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December 2020 – </w:t>
            </w:r>
            <w:r>
              <w:rPr>
                <w:rFonts w:ascii="Calibri" w:hAnsi="Calibri" w:cs="Calibri"/>
                <w:sz w:val="16"/>
                <w:szCs w:val="16"/>
              </w:rPr>
              <w:t>June 2021</w:t>
            </w:r>
          </w:p>
        </w:tc>
        <w:tc>
          <w:tcPr>
            <w:tcW w:w="1701" w:type="dxa"/>
            <w:tcBorders>
              <w:top w:val="single" w:sz="4" w:space="0" w:color="auto"/>
              <w:bottom w:val="single" w:sz="4" w:space="0" w:color="auto"/>
            </w:tcBorders>
          </w:tcPr>
          <w:p w14:paraId="2F8AC9B1" w14:textId="77777777" w:rsidR="00951BB7" w:rsidRPr="00BD4000" w:rsidRDefault="00951BB7" w:rsidP="00BD4000">
            <w:pPr>
              <w:pStyle w:val="ESTablebody"/>
              <w:rPr>
                <w:rFonts w:ascii="Calibri" w:hAnsi="Calibri" w:cs="Calibri"/>
                <w:sz w:val="16"/>
                <w:szCs w:val="16"/>
              </w:rPr>
            </w:pPr>
            <w:r w:rsidRPr="00BD4000">
              <w:rPr>
                <w:rFonts w:ascii="Calibri" w:hAnsi="Calibri" w:cs="Calibri"/>
                <w:sz w:val="16"/>
                <w:szCs w:val="16"/>
              </w:rPr>
              <w:t xml:space="preserve">To support the Minister to identify continuous improvement priorities in the development of the next </w:t>
            </w:r>
            <w:r>
              <w:rPr>
                <w:rFonts w:ascii="Calibri" w:hAnsi="Calibri" w:cs="Calibri"/>
                <w:sz w:val="16"/>
                <w:szCs w:val="16"/>
              </w:rPr>
              <w:t>Statement of Expectation</w:t>
            </w:r>
            <w:r w:rsidRPr="00BD4000">
              <w:rPr>
                <w:rFonts w:ascii="Calibri" w:hAnsi="Calibri" w:cs="Calibri"/>
                <w:sz w:val="16"/>
                <w:szCs w:val="16"/>
              </w:rPr>
              <w:t>.</w:t>
            </w:r>
          </w:p>
        </w:tc>
        <w:tc>
          <w:tcPr>
            <w:tcW w:w="1134" w:type="dxa"/>
            <w:tcBorders>
              <w:top w:val="single" w:sz="4" w:space="0" w:color="auto"/>
              <w:bottom w:val="single" w:sz="4" w:space="0" w:color="auto"/>
            </w:tcBorders>
          </w:tcPr>
          <w:p w14:paraId="7A6845E5"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p>
        </w:tc>
        <w:tc>
          <w:tcPr>
            <w:tcW w:w="993" w:type="dxa"/>
            <w:tcBorders>
              <w:top w:val="single" w:sz="4" w:space="0" w:color="auto"/>
              <w:bottom w:val="single" w:sz="4" w:space="0" w:color="auto"/>
            </w:tcBorders>
          </w:tcPr>
          <w:p w14:paraId="0D4E54AF"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w:t>
            </w:r>
          </w:p>
        </w:tc>
        <w:tc>
          <w:tcPr>
            <w:tcW w:w="1622" w:type="dxa"/>
            <w:tcBorders>
              <w:top w:val="single" w:sz="4" w:space="0" w:color="auto"/>
              <w:bottom w:val="single" w:sz="4" w:space="0" w:color="auto"/>
            </w:tcBorders>
          </w:tcPr>
          <w:p w14:paraId="11138608" w14:textId="77777777" w:rsidR="00951BB7" w:rsidRPr="00BD4000" w:rsidRDefault="00951BB7" w:rsidP="00BD4000">
            <w:pPr>
              <w:pStyle w:val="ESTablebody"/>
              <w:jc w:val="right"/>
              <w:rPr>
                <w:rFonts w:ascii="Calibri" w:hAnsi="Calibri" w:cs="Calibri"/>
                <w:sz w:val="16"/>
                <w:szCs w:val="16"/>
              </w:rPr>
            </w:pPr>
            <w:r>
              <w:rPr>
                <w:rFonts w:ascii="Calibri" w:hAnsi="Calibri" w:cs="Calibri"/>
                <w:sz w:val="16"/>
                <w:szCs w:val="16"/>
              </w:rPr>
              <w:t>N</w:t>
            </w:r>
            <w:r w:rsidRPr="00BD4000">
              <w:rPr>
                <w:rFonts w:ascii="Calibri" w:hAnsi="Calibri" w:cs="Calibri"/>
                <w:sz w:val="16"/>
                <w:szCs w:val="16"/>
              </w:rPr>
              <w:t xml:space="preserve"> </w:t>
            </w:r>
          </w:p>
        </w:tc>
      </w:tr>
      <w:tr w:rsidR="00951BB7" w:rsidRPr="00925213" w14:paraId="14859FBC" w14:textId="77777777" w:rsidTr="00383663">
        <w:trPr>
          <w:cantSplit/>
          <w:trHeight w:val="628"/>
        </w:trPr>
        <w:tc>
          <w:tcPr>
            <w:tcW w:w="1696" w:type="dxa"/>
            <w:tcBorders>
              <w:top w:val="single" w:sz="4" w:space="0" w:color="auto"/>
              <w:bottom w:val="single" w:sz="4" w:space="0" w:color="auto"/>
            </w:tcBorders>
            <w:shd w:val="clear" w:color="auto" w:fill="auto"/>
          </w:tcPr>
          <w:p w14:paraId="4F45BA7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Evaluation of the statewide expansion of the Education Justice Initiative</w:t>
            </w:r>
          </w:p>
          <w:p w14:paraId="410F51A1"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w:t>
            </w:r>
            <w:r>
              <w:rPr>
                <w:rFonts w:ascii="Calibri" w:hAnsi="Calibri" w:cs="Calibri"/>
                <w:sz w:val="16"/>
                <w:szCs w:val="16"/>
              </w:rPr>
              <w:t xml:space="preserve"> </w:t>
            </w:r>
            <w:r w:rsidRPr="00925213">
              <w:rPr>
                <w:rFonts w:ascii="Calibri" w:hAnsi="Calibri" w:cs="Calibri"/>
                <w:sz w:val="16"/>
                <w:szCs w:val="16"/>
              </w:rPr>
              <w:t>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03BB64A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Urbis</w:t>
            </w:r>
          </w:p>
        </w:tc>
        <w:tc>
          <w:tcPr>
            <w:tcW w:w="2127" w:type="dxa"/>
            <w:tcBorders>
              <w:top w:val="single" w:sz="4" w:space="0" w:color="auto"/>
              <w:bottom w:val="single" w:sz="4" w:space="0" w:color="auto"/>
            </w:tcBorders>
            <w:shd w:val="clear" w:color="auto" w:fill="auto"/>
          </w:tcPr>
          <w:p w14:paraId="471057D8"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provide insights and recommendations regarding the current and future delivery of the Education Justice Initiative.</w:t>
            </w:r>
          </w:p>
        </w:tc>
        <w:tc>
          <w:tcPr>
            <w:tcW w:w="2409" w:type="dxa"/>
            <w:tcBorders>
              <w:top w:val="single" w:sz="4" w:space="0" w:color="auto"/>
              <w:bottom w:val="single" w:sz="4" w:space="0" w:color="auto"/>
            </w:tcBorders>
          </w:tcPr>
          <w:p w14:paraId="5906CDC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investigate how the impact of the Education Justice Initiative improved collaborative practices with key stakeholders in the Children’s Court and the program’s impact on young people and families</w:t>
            </w:r>
            <w:r>
              <w:rPr>
                <w:rFonts w:ascii="Calibri" w:hAnsi="Calibri" w:cs="Calibri"/>
                <w:sz w:val="16"/>
                <w:szCs w:val="16"/>
              </w:rPr>
              <w:t>,</w:t>
            </w:r>
            <w:r w:rsidRPr="00925213">
              <w:rPr>
                <w:rFonts w:ascii="Calibri" w:hAnsi="Calibri" w:cs="Calibri"/>
                <w:sz w:val="16"/>
                <w:szCs w:val="16"/>
              </w:rPr>
              <w:t xml:space="preserve"> </w:t>
            </w:r>
            <w:proofErr w:type="gramStart"/>
            <w:r>
              <w:rPr>
                <w:rFonts w:ascii="Calibri" w:hAnsi="Calibri" w:cs="Calibri"/>
                <w:sz w:val="16"/>
                <w:szCs w:val="16"/>
              </w:rPr>
              <w:t>i</w:t>
            </w:r>
            <w:r w:rsidRPr="00925213">
              <w:rPr>
                <w:rFonts w:ascii="Calibri" w:hAnsi="Calibri" w:cs="Calibri"/>
                <w:sz w:val="16"/>
                <w:szCs w:val="16"/>
              </w:rPr>
              <w:t>n particular improving</w:t>
            </w:r>
            <w:proofErr w:type="gramEnd"/>
            <w:r w:rsidRPr="00925213">
              <w:rPr>
                <w:rFonts w:ascii="Calibri" w:hAnsi="Calibri" w:cs="Calibri"/>
                <w:sz w:val="16"/>
                <w:szCs w:val="16"/>
              </w:rPr>
              <w:t xml:space="preserve"> the education engagement of young people coming into the Children’s </w:t>
            </w:r>
            <w:r>
              <w:rPr>
                <w:rFonts w:ascii="Calibri" w:hAnsi="Calibri" w:cs="Calibri"/>
                <w:sz w:val="16"/>
                <w:szCs w:val="16"/>
              </w:rPr>
              <w:t>C</w:t>
            </w:r>
            <w:r w:rsidRPr="00925213">
              <w:rPr>
                <w:rFonts w:ascii="Calibri" w:hAnsi="Calibri" w:cs="Calibri"/>
                <w:sz w:val="16"/>
                <w:szCs w:val="16"/>
              </w:rPr>
              <w:t xml:space="preserve">ourt on a criminal matter. </w:t>
            </w:r>
          </w:p>
        </w:tc>
        <w:tc>
          <w:tcPr>
            <w:tcW w:w="1134" w:type="dxa"/>
            <w:tcBorders>
              <w:top w:val="single" w:sz="4" w:space="0" w:color="auto"/>
              <w:bottom w:val="single" w:sz="4" w:space="0" w:color="auto"/>
            </w:tcBorders>
          </w:tcPr>
          <w:p w14:paraId="751098F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 2019 – November 2020</w:t>
            </w:r>
          </w:p>
        </w:tc>
        <w:tc>
          <w:tcPr>
            <w:tcW w:w="1701" w:type="dxa"/>
            <w:tcBorders>
              <w:top w:val="single" w:sz="4" w:space="0" w:color="auto"/>
              <w:bottom w:val="single" w:sz="4" w:space="0" w:color="auto"/>
            </w:tcBorders>
          </w:tcPr>
          <w:p w14:paraId="18C82CFF"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Advice to the Department to inform current and future delivery of the Education Justice Initiative.</w:t>
            </w:r>
          </w:p>
        </w:tc>
        <w:tc>
          <w:tcPr>
            <w:tcW w:w="1134" w:type="dxa"/>
            <w:tcBorders>
              <w:top w:val="single" w:sz="4" w:space="0" w:color="auto"/>
              <w:bottom w:val="single" w:sz="4" w:space="0" w:color="auto"/>
            </w:tcBorders>
          </w:tcPr>
          <w:p w14:paraId="5272E536"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245,988</w:t>
            </w:r>
          </w:p>
        </w:tc>
        <w:tc>
          <w:tcPr>
            <w:tcW w:w="993" w:type="dxa"/>
            <w:tcBorders>
              <w:top w:val="single" w:sz="4" w:space="0" w:color="auto"/>
              <w:bottom w:val="single" w:sz="4" w:space="0" w:color="auto"/>
            </w:tcBorders>
          </w:tcPr>
          <w:p w14:paraId="1CD039C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245,988</w:t>
            </w:r>
          </w:p>
        </w:tc>
        <w:tc>
          <w:tcPr>
            <w:tcW w:w="1622" w:type="dxa"/>
            <w:tcBorders>
              <w:top w:val="single" w:sz="4" w:space="0" w:color="auto"/>
              <w:bottom w:val="single" w:sz="4" w:space="0" w:color="auto"/>
            </w:tcBorders>
          </w:tcPr>
          <w:p w14:paraId="7B44ABF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68D97A31" w14:textId="77777777" w:rsidTr="00383663">
        <w:trPr>
          <w:cantSplit/>
          <w:trHeight w:val="628"/>
        </w:trPr>
        <w:tc>
          <w:tcPr>
            <w:tcW w:w="1696" w:type="dxa"/>
            <w:tcBorders>
              <w:top w:val="single" w:sz="4" w:space="0" w:color="auto"/>
              <w:bottom w:val="single" w:sz="4" w:space="0" w:color="auto"/>
            </w:tcBorders>
            <w:shd w:val="clear" w:color="auto" w:fill="auto"/>
          </w:tcPr>
          <w:p w14:paraId="654DBEF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Evaluation of the strategic planning online tool </w:t>
            </w:r>
          </w:p>
          <w:p w14:paraId="72A326F9"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 xml:space="preserve">Education portfolio, School </w:t>
            </w:r>
            <w:r>
              <w:rPr>
                <w:rFonts w:ascii="Calibri" w:hAnsi="Calibri" w:cs="Calibri"/>
                <w:sz w:val="16"/>
                <w:szCs w:val="16"/>
              </w:rPr>
              <w:t>E</w:t>
            </w:r>
            <w:r w:rsidRPr="00925213">
              <w:rPr>
                <w:rFonts w:ascii="Calibri" w:hAnsi="Calibri" w:cs="Calibri"/>
                <w:sz w:val="16"/>
                <w:szCs w:val="16"/>
              </w:rPr>
              <w:t xml:space="preserve">ducation – </w:t>
            </w:r>
            <w:r>
              <w:rPr>
                <w:rFonts w:ascii="Calibri" w:hAnsi="Calibri" w:cs="Calibri"/>
                <w:sz w:val="16"/>
                <w:szCs w:val="16"/>
              </w:rPr>
              <w:t>P</w:t>
            </w:r>
            <w:r w:rsidRPr="00925213">
              <w:rPr>
                <w:rFonts w:ascii="Calibri" w:hAnsi="Calibri" w:cs="Calibri"/>
                <w:sz w:val="16"/>
                <w:szCs w:val="16"/>
              </w:rPr>
              <w:t xml:space="preserve">rimary and </w:t>
            </w:r>
            <w:r>
              <w:rPr>
                <w:rFonts w:ascii="Calibri" w:hAnsi="Calibri" w:cs="Calibri"/>
                <w:sz w:val="16"/>
                <w:szCs w:val="16"/>
              </w:rPr>
              <w:br/>
              <w:t>S</w:t>
            </w:r>
            <w:r w:rsidRPr="00925213">
              <w:rPr>
                <w:rFonts w:ascii="Calibri" w:hAnsi="Calibri" w:cs="Calibri"/>
                <w:sz w:val="16"/>
                <w:szCs w:val="16"/>
              </w:rPr>
              <w:t>econdary</w:t>
            </w:r>
            <w:r>
              <w:rPr>
                <w:rFonts w:ascii="Calibri" w:hAnsi="Calibri" w:cs="Calibri"/>
                <w:sz w:val="16"/>
                <w:szCs w:val="16"/>
              </w:rPr>
              <w:t>)</w:t>
            </w:r>
          </w:p>
          <w:p w14:paraId="781B0F39"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4123E5C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ARTD </w:t>
            </w:r>
            <w:r>
              <w:rPr>
                <w:rFonts w:ascii="Calibri" w:hAnsi="Calibri" w:cs="Calibri"/>
                <w:sz w:val="16"/>
                <w:szCs w:val="16"/>
              </w:rPr>
              <w:t>Pty Ltd</w:t>
            </w:r>
            <w:r w:rsidRPr="00925213">
              <w:rPr>
                <w:rFonts w:ascii="Calibri" w:hAnsi="Calibri" w:cs="Calibri"/>
                <w:sz w:val="16"/>
                <w:szCs w:val="16"/>
              </w:rPr>
              <w:t xml:space="preserve"> and the University of Melbourne: Centre for Program Evaluation</w:t>
            </w:r>
          </w:p>
        </w:tc>
        <w:tc>
          <w:tcPr>
            <w:tcW w:w="2127" w:type="dxa"/>
            <w:tcBorders>
              <w:top w:val="single" w:sz="4" w:space="0" w:color="auto"/>
              <w:bottom w:val="single" w:sz="4" w:space="0" w:color="auto"/>
            </w:tcBorders>
            <w:shd w:val="clear" w:color="auto" w:fill="auto"/>
          </w:tcPr>
          <w:p w14:paraId="19330F0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evaluate the impact of the strategic planning online tool.</w:t>
            </w:r>
          </w:p>
        </w:tc>
        <w:tc>
          <w:tcPr>
            <w:tcW w:w="2409" w:type="dxa"/>
            <w:tcBorders>
              <w:top w:val="single" w:sz="4" w:space="0" w:color="auto"/>
              <w:bottom w:val="single" w:sz="4" w:space="0" w:color="auto"/>
            </w:tcBorders>
          </w:tcPr>
          <w:p w14:paraId="56D49CE4"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measure the impact of the online tool at the technology, user, collective, regional and system levels.</w:t>
            </w:r>
          </w:p>
        </w:tc>
        <w:tc>
          <w:tcPr>
            <w:tcW w:w="1134" w:type="dxa"/>
            <w:tcBorders>
              <w:top w:val="single" w:sz="4" w:space="0" w:color="auto"/>
              <w:bottom w:val="single" w:sz="4" w:space="0" w:color="auto"/>
            </w:tcBorders>
          </w:tcPr>
          <w:p w14:paraId="3593C1C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April –</w:t>
            </w:r>
            <w:r>
              <w:rPr>
                <w:rFonts w:ascii="Calibri" w:hAnsi="Calibri" w:cs="Calibri"/>
                <w:sz w:val="16"/>
                <w:szCs w:val="16"/>
              </w:rPr>
              <w:t>October</w:t>
            </w:r>
            <w:r w:rsidRPr="00925213">
              <w:rPr>
                <w:rFonts w:ascii="Calibri" w:hAnsi="Calibri" w:cs="Calibri"/>
                <w:sz w:val="16"/>
                <w:szCs w:val="16"/>
              </w:rPr>
              <w:t xml:space="preserve"> 2021</w:t>
            </w:r>
          </w:p>
        </w:tc>
        <w:tc>
          <w:tcPr>
            <w:tcW w:w="1701" w:type="dxa"/>
            <w:tcBorders>
              <w:top w:val="single" w:sz="4" w:space="0" w:color="auto"/>
              <w:bottom w:val="single" w:sz="4" w:space="0" w:color="auto"/>
            </w:tcBorders>
          </w:tcPr>
          <w:p w14:paraId="007CC45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Advice that informs current and future aspects of development, implementation, and design to enhance effective and collaborative school improvement planning and </w:t>
            </w:r>
            <w:proofErr w:type="spellStart"/>
            <w:r w:rsidRPr="00925213">
              <w:rPr>
                <w:rFonts w:ascii="Calibri" w:hAnsi="Calibri" w:cs="Calibri"/>
                <w:sz w:val="16"/>
                <w:szCs w:val="16"/>
              </w:rPr>
              <w:t>maximise</w:t>
            </w:r>
            <w:proofErr w:type="spellEnd"/>
            <w:r w:rsidRPr="00925213">
              <w:rPr>
                <w:rFonts w:ascii="Calibri" w:hAnsi="Calibri" w:cs="Calibri"/>
                <w:sz w:val="16"/>
                <w:szCs w:val="16"/>
              </w:rPr>
              <w:t xml:space="preserve"> student learning outcomes.</w:t>
            </w:r>
          </w:p>
        </w:tc>
        <w:tc>
          <w:tcPr>
            <w:tcW w:w="1134" w:type="dxa"/>
            <w:tcBorders>
              <w:top w:val="single" w:sz="4" w:space="0" w:color="auto"/>
              <w:bottom w:val="single" w:sz="4" w:space="0" w:color="auto"/>
            </w:tcBorders>
          </w:tcPr>
          <w:p w14:paraId="4D83D135"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108,722</w:t>
            </w:r>
          </w:p>
        </w:tc>
        <w:tc>
          <w:tcPr>
            <w:tcW w:w="993" w:type="dxa"/>
            <w:tcBorders>
              <w:top w:val="single" w:sz="4" w:space="0" w:color="auto"/>
              <w:bottom w:val="single" w:sz="4" w:space="0" w:color="auto"/>
            </w:tcBorders>
          </w:tcPr>
          <w:p w14:paraId="54FDB52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241C32E6"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0819A8AC" w14:textId="77777777" w:rsidTr="00383663">
        <w:trPr>
          <w:cantSplit/>
          <w:trHeight w:val="628"/>
        </w:trPr>
        <w:tc>
          <w:tcPr>
            <w:tcW w:w="1696" w:type="dxa"/>
            <w:tcBorders>
              <w:top w:val="single" w:sz="4" w:space="0" w:color="auto"/>
              <w:bottom w:val="single" w:sz="4" w:space="0" w:color="auto"/>
            </w:tcBorders>
            <w:shd w:val="clear" w:color="auto" w:fill="auto"/>
          </w:tcPr>
          <w:p w14:paraId="7A31A56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Evaluation of the teacher financial incentives initiative</w:t>
            </w:r>
          </w:p>
          <w:p w14:paraId="5DA461EC"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(Education Portfolio, School Education—Secondary)</w:t>
            </w:r>
          </w:p>
        </w:tc>
        <w:tc>
          <w:tcPr>
            <w:tcW w:w="1134" w:type="dxa"/>
            <w:tcBorders>
              <w:top w:val="single" w:sz="4" w:space="0" w:color="auto"/>
              <w:bottom w:val="single" w:sz="4" w:space="0" w:color="auto"/>
            </w:tcBorders>
            <w:shd w:val="clear" w:color="auto" w:fill="auto"/>
          </w:tcPr>
          <w:p w14:paraId="064D8968"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The Department</w:t>
            </w:r>
          </w:p>
        </w:tc>
        <w:tc>
          <w:tcPr>
            <w:tcW w:w="2127" w:type="dxa"/>
            <w:tcBorders>
              <w:top w:val="single" w:sz="4" w:space="0" w:color="auto"/>
              <w:bottom w:val="single" w:sz="4" w:space="0" w:color="auto"/>
            </w:tcBorders>
            <w:shd w:val="clear" w:color="auto" w:fill="auto"/>
          </w:tcPr>
          <w:p w14:paraId="679D191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evaluate the implementation and outcomes of the teacher financial incentives initiative for future policy and funding directions.</w:t>
            </w:r>
          </w:p>
        </w:tc>
        <w:tc>
          <w:tcPr>
            <w:tcW w:w="2409" w:type="dxa"/>
            <w:tcBorders>
              <w:top w:val="single" w:sz="4" w:space="0" w:color="auto"/>
              <w:bottom w:val="single" w:sz="4" w:space="0" w:color="auto"/>
            </w:tcBorders>
          </w:tcPr>
          <w:p w14:paraId="10D998E6"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cover implementation progress, </w:t>
            </w:r>
            <w:proofErr w:type="gramStart"/>
            <w:r w:rsidRPr="00355385">
              <w:rPr>
                <w:rFonts w:ascii="Calibri" w:hAnsi="Calibri" w:cs="Calibri"/>
                <w:sz w:val="16"/>
                <w:szCs w:val="16"/>
              </w:rPr>
              <w:t>successes</w:t>
            </w:r>
            <w:proofErr w:type="gramEnd"/>
            <w:r w:rsidRPr="00355385">
              <w:rPr>
                <w:rFonts w:ascii="Calibri" w:hAnsi="Calibri" w:cs="Calibri"/>
                <w:sz w:val="16"/>
                <w:szCs w:val="16"/>
              </w:rPr>
              <w:t xml:space="preserve"> and areas for improvement, to inform adjustments to implementation, to determine the extent to which intended outcomes were achieved.</w:t>
            </w:r>
          </w:p>
        </w:tc>
        <w:tc>
          <w:tcPr>
            <w:tcW w:w="1134" w:type="dxa"/>
            <w:tcBorders>
              <w:top w:val="single" w:sz="4" w:space="0" w:color="auto"/>
              <w:bottom w:val="single" w:sz="4" w:space="0" w:color="auto"/>
            </w:tcBorders>
          </w:tcPr>
          <w:p w14:paraId="06CB72D8"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October 2020 – September 2023</w:t>
            </w:r>
          </w:p>
        </w:tc>
        <w:tc>
          <w:tcPr>
            <w:tcW w:w="1701" w:type="dxa"/>
            <w:tcBorders>
              <w:top w:val="single" w:sz="4" w:space="0" w:color="auto"/>
              <w:bottom w:val="single" w:sz="4" w:space="0" w:color="auto"/>
            </w:tcBorders>
          </w:tcPr>
          <w:p w14:paraId="4601804A"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To provide evidence from implementation to inform future adjustments to the initiative design and qualitative and quantitative evidence of the outcomes of the initiative.</w:t>
            </w:r>
          </w:p>
        </w:tc>
        <w:tc>
          <w:tcPr>
            <w:tcW w:w="1134" w:type="dxa"/>
            <w:tcBorders>
              <w:top w:val="single" w:sz="4" w:space="0" w:color="auto"/>
              <w:bottom w:val="single" w:sz="4" w:space="0" w:color="auto"/>
            </w:tcBorders>
          </w:tcPr>
          <w:p w14:paraId="42A37D16"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922,600</w:t>
            </w:r>
          </w:p>
        </w:tc>
        <w:tc>
          <w:tcPr>
            <w:tcW w:w="993" w:type="dxa"/>
            <w:tcBorders>
              <w:top w:val="single" w:sz="4" w:space="0" w:color="auto"/>
              <w:bottom w:val="single" w:sz="4" w:space="0" w:color="auto"/>
            </w:tcBorders>
          </w:tcPr>
          <w:p w14:paraId="1502858B"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w:t>
            </w:r>
          </w:p>
        </w:tc>
        <w:tc>
          <w:tcPr>
            <w:tcW w:w="1622" w:type="dxa"/>
            <w:tcBorders>
              <w:top w:val="single" w:sz="4" w:space="0" w:color="auto"/>
              <w:bottom w:val="single" w:sz="4" w:space="0" w:color="auto"/>
            </w:tcBorders>
          </w:tcPr>
          <w:p w14:paraId="1CC9E317"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N</w:t>
            </w:r>
          </w:p>
        </w:tc>
      </w:tr>
      <w:tr w:rsidR="00951BB7" w:rsidRPr="00925213" w14:paraId="0D785894" w14:textId="77777777" w:rsidTr="00383663">
        <w:trPr>
          <w:cantSplit/>
          <w:trHeight w:val="628"/>
        </w:trPr>
        <w:tc>
          <w:tcPr>
            <w:tcW w:w="1696" w:type="dxa"/>
            <w:tcBorders>
              <w:top w:val="single" w:sz="4" w:space="0" w:color="auto"/>
              <w:bottom w:val="single" w:sz="4" w:space="0" w:color="auto"/>
            </w:tcBorders>
            <w:shd w:val="clear" w:color="auto" w:fill="auto"/>
          </w:tcPr>
          <w:p w14:paraId="5B68949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 xml:space="preserve">Evaluation of the Victorian African Communities Action Plan (VACAP) Education Initiatives </w:t>
            </w:r>
          </w:p>
          <w:p w14:paraId="561A4BD6"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sidRPr="004B444D">
              <w:rPr>
                <w:rFonts w:ascii="Calibri" w:hAnsi="Calibri" w:cs="Calibri"/>
                <w:sz w:val="16"/>
                <w:szCs w:val="16"/>
              </w:rPr>
              <w:t>—</w:t>
            </w:r>
            <w:r w:rsidRPr="00925213">
              <w:rPr>
                <w:rFonts w:ascii="Calibri" w:hAnsi="Calibri" w:cs="Calibri"/>
                <w:sz w:val="16"/>
                <w:szCs w:val="16"/>
              </w:rPr>
              <w:t>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9DC33C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ACIL Allen</w:t>
            </w:r>
            <w:r>
              <w:rPr>
                <w:rFonts w:ascii="Calibri" w:hAnsi="Calibri" w:cs="Calibri"/>
                <w:sz w:val="16"/>
                <w:szCs w:val="16"/>
              </w:rPr>
              <w:t xml:space="preserve"> Consulting</w:t>
            </w:r>
          </w:p>
        </w:tc>
        <w:tc>
          <w:tcPr>
            <w:tcW w:w="2127" w:type="dxa"/>
            <w:tcBorders>
              <w:top w:val="single" w:sz="4" w:space="0" w:color="auto"/>
              <w:bottom w:val="single" w:sz="4" w:space="0" w:color="auto"/>
            </w:tcBorders>
            <w:shd w:val="clear" w:color="auto" w:fill="auto"/>
          </w:tcPr>
          <w:p w14:paraId="1FBBF7E5"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evaluate the impact of the School Community Liaison Officer and Homework Club Grants on the engagement and participation of Victorian students of African heritage and provide recommendations on how program delivery can be strengthened.</w:t>
            </w:r>
          </w:p>
        </w:tc>
        <w:tc>
          <w:tcPr>
            <w:tcW w:w="2409" w:type="dxa"/>
            <w:tcBorders>
              <w:top w:val="single" w:sz="4" w:space="0" w:color="auto"/>
              <w:bottom w:val="single" w:sz="4" w:space="0" w:color="auto"/>
            </w:tcBorders>
          </w:tcPr>
          <w:p w14:paraId="0921DD6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measure and provide evidence of the success of the VACAP initiatives in school communities. This includes case studies on best practice that can be shared with government and the implementation committee. </w:t>
            </w:r>
          </w:p>
          <w:p w14:paraId="7338017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 </w:t>
            </w:r>
          </w:p>
        </w:tc>
        <w:tc>
          <w:tcPr>
            <w:tcW w:w="1134" w:type="dxa"/>
            <w:tcBorders>
              <w:top w:val="single" w:sz="4" w:space="0" w:color="auto"/>
              <w:bottom w:val="single" w:sz="4" w:space="0" w:color="auto"/>
            </w:tcBorders>
          </w:tcPr>
          <w:p w14:paraId="469C7FB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 November 2021</w:t>
            </w:r>
          </w:p>
        </w:tc>
        <w:tc>
          <w:tcPr>
            <w:tcW w:w="1701" w:type="dxa"/>
            <w:tcBorders>
              <w:top w:val="single" w:sz="4" w:space="0" w:color="auto"/>
              <w:bottom w:val="single" w:sz="4" w:space="0" w:color="auto"/>
            </w:tcBorders>
          </w:tcPr>
          <w:p w14:paraId="7CDCF29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The Department receives insight into and understands the impact of the program and identifies and implements methods to strengthen program delivery.</w:t>
            </w:r>
          </w:p>
        </w:tc>
        <w:tc>
          <w:tcPr>
            <w:tcW w:w="1134" w:type="dxa"/>
            <w:tcBorders>
              <w:top w:val="single" w:sz="4" w:space="0" w:color="auto"/>
              <w:bottom w:val="single" w:sz="4" w:space="0" w:color="auto"/>
            </w:tcBorders>
          </w:tcPr>
          <w:p w14:paraId="4353538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55,247</w:t>
            </w:r>
          </w:p>
        </w:tc>
        <w:tc>
          <w:tcPr>
            <w:tcW w:w="993" w:type="dxa"/>
            <w:tcBorders>
              <w:top w:val="single" w:sz="4" w:space="0" w:color="auto"/>
              <w:bottom w:val="single" w:sz="4" w:space="0" w:color="auto"/>
            </w:tcBorders>
          </w:tcPr>
          <w:p w14:paraId="6EB8901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397D0D6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56D20C8B" w14:textId="77777777" w:rsidTr="00383663">
        <w:trPr>
          <w:cantSplit/>
          <w:trHeight w:val="628"/>
        </w:trPr>
        <w:tc>
          <w:tcPr>
            <w:tcW w:w="1696" w:type="dxa"/>
            <w:tcBorders>
              <w:top w:val="single" w:sz="4" w:space="0" w:color="auto"/>
              <w:bottom w:val="single" w:sz="4" w:space="0" w:color="auto"/>
            </w:tcBorders>
            <w:shd w:val="clear" w:color="auto" w:fill="auto"/>
          </w:tcPr>
          <w:p w14:paraId="5CEADAAA" w14:textId="77777777" w:rsidR="00951BB7" w:rsidRPr="006E6D13" w:rsidRDefault="00951BB7" w:rsidP="006E6D13">
            <w:pPr>
              <w:pStyle w:val="ESTablebody"/>
              <w:rPr>
                <w:rFonts w:ascii="Calibri" w:hAnsi="Calibri" w:cs="Calibri"/>
                <w:sz w:val="16"/>
                <w:szCs w:val="16"/>
              </w:rPr>
            </w:pPr>
            <w:r w:rsidRPr="006E6D13">
              <w:rPr>
                <w:rFonts w:ascii="Calibri" w:hAnsi="Calibri" w:cs="Calibri"/>
                <w:sz w:val="16"/>
                <w:szCs w:val="16"/>
              </w:rPr>
              <w:t>Evaluation of the Victorian Early Years Learning and Development Framework (2016) Implementation</w:t>
            </w:r>
          </w:p>
          <w:p w14:paraId="38D38EBD" w14:textId="77777777" w:rsidR="00951BB7" w:rsidRPr="006E6D13" w:rsidRDefault="00951BB7" w:rsidP="006E6D13">
            <w:pPr>
              <w:pStyle w:val="ESTablebody"/>
              <w:rPr>
                <w:rFonts w:ascii="Calibri" w:hAnsi="Calibri" w:cs="Calibri"/>
                <w:sz w:val="16"/>
                <w:szCs w:val="16"/>
              </w:rPr>
            </w:pPr>
            <w:r>
              <w:rPr>
                <w:rFonts w:ascii="Calibri" w:hAnsi="Calibri" w:cs="Calibri"/>
                <w:sz w:val="16"/>
                <w:szCs w:val="16"/>
              </w:rPr>
              <w:t>(</w:t>
            </w:r>
            <w:r w:rsidRPr="006E6D13">
              <w:rPr>
                <w:rFonts w:ascii="Calibri" w:hAnsi="Calibri" w:cs="Calibri"/>
                <w:sz w:val="16"/>
                <w:szCs w:val="16"/>
              </w:rPr>
              <w:t>Early Childhood portfolio, Early Childhood Education</w:t>
            </w:r>
            <w:r>
              <w:rPr>
                <w:rFonts w:ascii="Calibri" w:hAnsi="Calibri" w:cs="Calibri"/>
                <w:sz w:val="16"/>
                <w:szCs w:val="16"/>
              </w:rPr>
              <w:t>)</w:t>
            </w:r>
          </w:p>
          <w:p w14:paraId="2717C07A" w14:textId="77777777" w:rsidR="00951BB7" w:rsidRPr="006E6D13" w:rsidRDefault="00951BB7" w:rsidP="006E6D13">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553FDDAA" w14:textId="77777777" w:rsidR="00951BB7" w:rsidRPr="006E6D13" w:rsidRDefault="00951BB7" w:rsidP="006E6D13">
            <w:pPr>
              <w:pStyle w:val="ESTablebody"/>
              <w:rPr>
                <w:rFonts w:ascii="Calibri" w:hAnsi="Calibri" w:cs="Calibri"/>
                <w:sz w:val="16"/>
                <w:szCs w:val="16"/>
              </w:rPr>
            </w:pPr>
            <w:r w:rsidRPr="006E6D13">
              <w:rPr>
                <w:rFonts w:ascii="Calibri" w:hAnsi="Calibri" w:cs="Calibri"/>
                <w:sz w:val="16"/>
                <w:szCs w:val="16"/>
              </w:rPr>
              <w:t>Synergistic Pty Ltd</w:t>
            </w:r>
          </w:p>
        </w:tc>
        <w:tc>
          <w:tcPr>
            <w:tcW w:w="2127" w:type="dxa"/>
            <w:tcBorders>
              <w:top w:val="single" w:sz="4" w:space="0" w:color="auto"/>
              <w:bottom w:val="single" w:sz="4" w:space="0" w:color="auto"/>
            </w:tcBorders>
            <w:shd w:val="clear" w:color="auto" w:fill="auto"/>
          </w:tcPr>
          <w:p w14:paraId="0E279854" w14:textId="77777777" w:rsidR="00951BB7" w:rsidRPr="006E6D13" w:rsidRDefault="00951BB7" w:rsidP="006E6D13">
            <w:pPr>
              <w:pStyle w:val="ESTablebody"/>
              <w:rPr>
                <w:rFonts w:ascii="Calibri" w:hAnsi="Calibri" w:cs="Calibri"/>
                <w:sz w:val="16"/>
                <w:szCs w:val="16"/>
              </w:rPr>
            </w:pPr>
            <w:r>
              <w:rPr>
                <w:rFonts w:ascii="Calibri" w:hAnsi="Calibri" w:cs="Calibri"/>
                <w:sz w:val="16"/>
                <w:szCs w:val="16"/>
              </w:rPr>
              <w:t>T</w:t>
            </w:r>
            <w:r w:rsidRPr="005E3210">
              <w:rPr>
                <w:rFonts w:ascii="Calibri" w:hAnsi="Calibri" w:cs="Calibri"/>
                <w:sz w:val="16"/>
                <w:szCs w:val="16"/>
              </w:rPr>
              <w:t xml:space="preserve">o evaluate the extent to which the revised </w:t>
            </w:r>
            <w:r>
              <w:rPr>
                <w:rFonts w:ascii="Calibri" w:hAnsi="Calibri" w:cs="Calibri"/>
                <w:sz w:val="16"/>
                <w:szCs w:val="16"/>
              </w:rPr>
              <w:t>framework</w:t>
            </w:r>
            <w:r w:rsidRPr="005E3210">
              <w:rPr>
                <w:rFonts w:ascii="Calibri" w:hAnsi="Calibri" w:cs="Calibri"/>
                <w:sz w:val="16"/>
                <w:szCs w:val="16"/>
              </w:rPr>
              <w:t xml:space="preserve"> has been communicated to the sector by </w:t>
            </w:r>
            <w:r>
              <w:rPr>
                <w:rFonts w:ascii="Calibri" w:hAnsi="Calibri" w:cs="Calibri"/>
                <w:sz w:val="16"/>
                <w:szCs w:val="16"/>
              </w:rPr>
              <w:t>Victorian Curriculum and Assessment Authority (</w:t>
            </w:r>
            <w:r w:rsidRPr="005E3210">
              <w:rPr>
                <w:rFonts w:ascii="Calibri" w:hAnsi="Calibri" w:cs="Calibri"/>
                <w:sz w:val="16"/>
                <w:szCs w:val="16"/>
              </w:rPr>
              <w:t>VCAA</w:t>
            </w:r>
            <w:r>
              <w:rPr>
                <w:rFonts w:ascii="Calibri" w:hAnsi="Calibri" w:cs="Calibri"/>
                <w:sz w:val="16"/>
                <w:szCs w:val="16"/>
              </w:rPr>
              <w:t>)</w:t>
            </w:r>
            <w:r w:rsidRPr="005E3210">
              <w:rPr>
                <w:rFonts w:ascii="Calibri" w:hAnsi="Calibri" w:cs="Calibri"/>
                <w:sz w:val="16"/>
                <w:szCs w:val="16"/>
              </w:rPr>
              <w:t xml:space="preserve"> and </w:t>
            </w:r>
            <w:r>
              <w:rPr>
                <w:rFonts w:ascii="Calibri" w:hAnsi="Calibri" w:cs="Calibri"/>
                <w:sz w:val="16"/>
                <w:szCs w:val="16"/>
              </w:rPr>
              <w:t xml:space="preserve">the Department and whether </w:t>
            </w:r>
            <w:r w:rsidRPr="005E3210">
              <w:rPr>
                <w:rFonts w:ascii="Calibri" w:hAnsi="Calibri" w:cs="Calibri"/>
                <w:sz w:val="16"/>
                <w:szCs w:val="16"/>
              </w:rPr>
              <w:t>early childhood professionals have revised their practice</w:t>
            </w:r>
            <w:r>
              <w:rPr>
                <w:rFonts w:ascii="Calibri" w:hAnsi="Calibri" w:cs="Calibri"/>
                <w:sz w:val="16"/>
                <w:szCs w:val="16"/>
              </w:rPr>
              <w:t>s</w:t>
            </w:r>
            <w:r w:rsidRPr="005E3210">
              <w:rPr>
                <w:rFonts w:ascii="Calibri" w:hAnsi="Calibri" w:cs="Calibri"/>
                <w:sz w:val="16"/>
                <w:szCs w:val="16"/>
              </w:rPr>
              <w:t>.</w:t>
            </w:r>
          </w:p>
        </w:tc>
        <w:tc>
          <w:tcPr>
            <w:tcW w:w="2409" w:type="dxa"/>
            <w:tcBorders>
              <w:top w:val="single" w:sz="4" w:space="0" w:color="auto"/>
              <w:bottom w:val="single" w:sz="4" w:space="0" w:color="auto"/>
            </w:tcBorders>
          </w:tcPr>
          <w:p w14:paraId="200B92A1" w14:textId="77777777" w:rsidR="00951BB7" w:rsidRPr="006E6D13" w:rsidRDefault="00951BB7" w:rsidP="006E6D13">
            <w:pPr>
              <w:pStyle w:val="ESTablebody"/>
              <w:rPr>
                <w:rFonts w:ascii="Calibri" w:hAnsi="Calibri" w:cs="Calibri"/>
                <w:sz w:val="16"/>
                <w:szCs w:val="16"/>
              </w:rPr>
            </w:pPr>
            <w:r>
              <w:rPr>
                <w:rFonts w:ascii="Calibri" w:hAnsi="Calibri" w:cs="Calibri"/>
                <w:sz w:val="16"/>
                <w:szCs w:val="16"/>
              </w:rPr>
              <w:t>To examine h</w:t>
            </w:r>
            <w:r w:rsidRPr="005E3210">
              <w:rPr>
                <w:rFonts w:ascii="Calibri" w:hAnsi="Calibri" w:cs="Calibri"/>
                <w:sz w:val="16"/>
                <w:szCs w:val="16"/>
              </w:rPr>
              <w:t xml:space="preserve">ow effective implementation and communication activities </w:t>
            </w:r>
            <w:r>
              <w:rPr>
                <w:rFonts w:ascii="Calibri" w:hAnsi="Calibri" w:cs="Calibri"/>
                <w:sz w:val="16"/>
                <w:szCs w:val="16"/>
              </w:rPr>
              <w:t xml:space="preserve">have been </w:t>
            </w:r>
            <w:r w:rsidRPr="005E3210">
              <w:rPr>
                <w:rFonts w:ascii="Calibri" w:hAnsi="Calibri" w:cs="Calibri"/>
                <w:sz w:val="16"/>
                <w:szCs w:val="16"/>
              </w:rPr>
              <w:t xml:space="preserve">in reaching early childhood professionals and supporting them to implement the </w:t>
            </w:r>
            <w:r>
              <w:rPr>
                <w:rFonts w:ascii="Calibri" w:hAnsi="Calibri" w:cs="Calibri"/>
                <w:sz w:val="16"/>
                <w:szCs w:val="16"/>
              </w:rPr>
              <w:t>framework. The evaluation also assesses whether</w:t>
            </w:r>
            <w:r w:rsidRPr="005E3210">
              <w:rPr>
                <w:rFonts w:ascii="Calibri" w:hAnsi="Calibri" w:cs="Calibri"/>
                <w:sz w:val="16"/>
                <w:szCs w:val="16"/>
              </w:rPr>
              <w:t xml:space="preserve"> practitioners</w:t>
            </w:r>
            <w:r>
              <w:rPr>
                <w:rFonts w:ascii="Calibri" w:hAnsi="Calibri" w:cs="Calibri"/>
                <w:sz w:val="16"/>
                <w:szCs w:val="16"/>
              </w:rPr>
              <w:t xml:space="preserve"> are</w:t>
            </w:r>
            <w:r w:rsidRPr="005E3210">
              <w:rPr>
                <w:rFonts w:ascii="Calibri" w:hAnsi="Calibri" w:cs="Calibri"/>
                <w:sz w:val="16"/>
                <w:szCs w:val="16"/>
              </w:rPr>
              <w:t xml:space="preserve"> aware of the change areas and </w:t>
            </w:r>
            <w:r>
              <w:rPr>
                <w:rFonts w:ascii="Calibri" w:hAnsi="Calibri" w:cs="Calibri"/>
                <w:sz w:val="16"/>
                <w:szCs w:val="16"/>
              </w:rPr>
              <w:t>p</w:t>
            </w:r>
            <w:r w:rsidRPr="005E3210">
              <w:rPr>
                <w:rFonts w:ascii="Calibri" w:hAnsi="Calibri" w:cs="Calibri"/>
                <w:sz w:val="16"/>
                <w:szCs w:val="16"/>
              </w:rPr>
              <w:t xml:space="preserve">ractice </w:t>
            </w:r>
            <w:r>
              <w:rPr>
                <w:rFonts w:ascii="Calibri" w:hAnsi="Calibri" w:cs="Calibri"/>
                <w:sz w:val="16"/>
                <w:szCs w:val="16"/>
              </w:rPr>
              <w:t>p</w:t>
            </w:r>
            <w:r w:rsidRPr="005E3210">
              <w:rPr>
                <w:rFonts w:ascii="Calibri" w:hAnsi="Calibri" w:cs="Calibri"/>
                <w:sz w:val="16"/>
                <w:szCs w:val="16"/>
              </w:rPr>
              <w:t>rinciples</w:t>
            </w:r>
            <w:r>
              <w:rPr>
                <w:rFonts w:ascii="Calibri" w:hAnsi="Calibri" w:cs="Calibri"/>
                <w:sz w:val="16"/>
                <w:szCs w:val="16"/>
              </w:rPr>
              <w:t xml:space="preserve"> and identifies </w:t>
            </w:r>
            <w:r w:rsidRPr="005E3210">
              <w:rPr>
                <w:rFonts w:ascii="Calibri" w:hAnsi="Calibri" w:cs="Calibri"/>
                <w:sz w:val="16"/>
                <w:szCs w:val="16"/>
              </w:rPr>
              <w:t xml:space="preserve">enablers </w:t>
            </w:r>
            <w:r>
              <w:rPr>
                <w:rFonts w:ascii="Calibri" w:hAnsi="Calibri" w:cs="Calibri"/>
                <w:sz w:val="16"/>
                <w:szCs w:val="16"/>
              </w:rPr>
              <w:t xml:space="preserve">and barriers </w:t>
            </w:r>
            <w:r w:rsidRPr="005E3210">
              <w:rPr>
                <w:rFonts w:ascii="Calibri" w:hAnsi="Calibri" w:cs="Calibri"/>
                <w:sz w:val="16"/>
                <w:szCs w:val="16"/>
              </w:rPr>
              <w:t>to implementation</w:t>
            </w:r>
            <w:r>
              <w:rPr>
                <w:rFonts w:ascii="Calibri" w:hAnsi="Calibri" w:cs="Calibri"/>
                <w:sz w:val="16"/>
                <w:szCs w:val="16"/>
              </w:rPr>
              <w:t>.</w:t>
            </w:r>
          </w:p>
        </w:tc>
        <w:tc>
          <w:tcPr>
            <w:tcW w:w="1134" w:type="dxa"/>
            <w:tcBorders>
              <w:top w:val="single" w:sz="4" w:space="0" w:color="auto"/>
              <w:bottom w:val="single" w:sz="4" w:space="0" w:color="auto"/>
            </w:tcBorders>
          </w:tcPr>
          <w:p w14:paraId="7704E23B" w14:textId="77777777" w:rsidR="00951BB7" w:rsidRPr="00920949" w:rsidRDefault="00951BB7" w:rsidP="006E6D13">
            <w:pPr>
              <w:pStyle w:val="ESTablebody"/>
              <w:rPr>
                <w:rFonts w:ascii="Calibri" w:hAnsi="Calibri" w:cs="Calibri"/>
                <w:sz w:val="16"/>
                <w:szCs w:val="16"/>
              </w:rPr>
            </w:pPr>
            <w:r w:rsidRPr="00864B13">
              <w:rPr>
                <w:rFonts w:ascii="Calibri" w:hAnsi="Calibri" w:cs="Calibri"/>
                <w:sz w:val="16"/>
                <w:szCs w:val="16"/>
              </w:rPr>
              <w:t>October 2019 – August 2021</w:t>
            </w:r>
          </w:p>
        </w:tc>
        <w:tc>
          <w:tcPr>
            <w:tcW w:w="1701" w:type="dxa"/>
            <w:tcBorders>
              <w:top w:val="single" w:sz="4" w:space="0" w:color="auto"/>
              <w:bottom w:val="single" w:sz="4" w:space="0" w:color="auto"/>
            </w:tcBorders>
          </w:tcPr>
          <w:p w14:paraId="1167F709" w14:textId="77777777" w:rsidR="00951BB7" w:rsidRPr="00920949" w:rsidRDefault="00951BB7" w:rsidP="006E6D13">
            <w:pPr>
              <w:pStyle w:val="ESTablebody"/>
              <w:rPr>
                <w:rFonts w:ascii="Calibri" w:hAnsi="Calibri" w:cs="Calibri"/>
                <w:sz w:val="16"/>
                <w:szCs w:val="16"/>
              </w:rPr>
            </w:pPr>
            <w:r w:rsidRPr="007E3C66">
              <w:rPr>
                <w:rFonts w:ascii="Calibri" w:hAnsi="Calibri" w:cs="Calibri"/>
                <w:sz w:val="16"/>
                <w:szCs w:val="16"/>
              </w:rPr>
              <w:t xml:space="preserve">To provide </w:t>
            </w:r>
            <w:r>
              <w:rPr>
                <w:rFonts w:ascii="Calibri" w:hAnsi="Calibri" w:cs="Calibri"/>
                <w:sz w:val="16"/>
                <w:szCs w:val="16"/>
              </w:rPr>
              <w:t xml:space="preserve">the </w:t>
            </w:r>
            <w:r w:rsidRPr="007E3C66">
              <w:rPr>
                <w:rFonts w:ascii="Calibri" w:hAnsi="Calibri" w:cs="Calibri"/>
                <w:sz w:val="16"/>
                <w:szCs w:val="16"/>
              </w:rPr>
              <w:t xml:space="preserve">VCAA and the Department with data and analysis </w:t>
            </w:r>
            <w:r>
              <w:rPr>
                <w:rFonts w:ascii="Calibri" w:hAnsi="Calibri" w:cs="Calibri"/>
                <w:sz w:val="16"/>
                <w:szCs w:val="16"/>
              </w:rPr>
              <w:t>that</w:t>
            </w:r>
            <w:r w:rsidRPr="007E3C66">
              <w:rPr>
                <w:rFonts w:ascii="Calibri" w:hAnsi="Calibri" w:cs="Calibri"/>
                <w:sz w:val="16"/>
                <w:szCs w:val="16"/>
              </w:rPr>
              <w:t xml:space="preserve"> inform</w:t>
            </w:r>
            <w:r>
              <w:rPr>
                <w:rFonts w:ascii="Calibri" w:hAnsi="Calibri" w:cs="Calibri"/>
                <w:sz w:val="16"/>
                <w:szCs w:val="16"/>
              </w:rPr>
              <w:t>s</w:t>
            </w:r>
            <w:r w:rsidRPr="007E3C66">
              <w:rPr>
                <w:rFonts w:ascii="Calibri" w:hAnsi="Calibri" w:cs="Calibri"/>
                <w:sz w:val="16"/>
                <w:szCs w:val="16"/>
              </w:rPr>
              <w:t xml:space="preserve"> future projects </w:t>
            </w:r>
            <w:r>
              <w:rPr>
                <w:rFonts w:ascii="Calibri" w:hAnsi="Calibri" w:cs="Calibri"/>
                <w:sz w:val="16"/>
                <w:szCs w:val="16"/>
              </w:rPr>
              <w:t>and</w:t>
            </w:r>
            <w:r w:rsidRPr="007E3C66">
              <w:rPr>
                <w:rFonts w:ascii="Calibri" w:hAnsi="Calibri" w:cs="Calibri"/>
                <w:sz w:val="16"/>
                <w:szCs w:val="16"/>
              </w:rPr>
              <w:t xml:space="preserve"> further support </w:t>
            </w:r>
            <w:r>
              <w:rPr>
                <w:rFonts w:ascii="Calibri" w:hAnsi="Calibri" w:cs="Calibri"/>
                <w:sz w:val="16"/>
                <w:szCs w:val="16"/>
              </w:rPr>
              <w:t>for the framework’s</w:t>
            </w:r>
            <w:r w:rsidRPr="007E3C66">
              <w:rPr>
                <w:rFonts w:ascii="Calibri" w:hAnsi="Calibri" w:cs="Calibri"/>
                <w:sz w:val="16"/>
                <w:szCs w:val="16"/>
              </w:rPr>
              <w:t xml:space="preserve"> implementation. </w:t>
            </w:r>
          </w:p>
        </w:tc>
        <w:tc>
          <w:tcPr>
            <w:tcW w:w="1134" w:type="dxa"/>
            <w:tcBorders>
              <w:top w:val="single" w:sz="4" w:space="0" w:color="auto"/>
              <w:bottom w:val="single" w:sz="4" w:space="0" w:color="auto"/>
            </w:tcBorders>
          </w:tcPr>
          <w:p w14:paraId="5C7CC2A6" w14:textId="77777777" w:rsidR="00951BB7" w:rsidRPr="006E6D13" w:rsidRDefault="00951BB7" w:rsidP="006E6D13">
            <w:pPr>
              <w:pStyle w:val="ESTablebody"/>
              <w:jc w:val="right"/>
              <w:rPr>
                <w:rFonts w:ascii="Calibri" w:hAnsi="Calibri" w:cs="Calibri"/>
                <w:sz w:val="16"/>
                <w:szCs w:val="16"/>
              </w:rPr>
            </w:pPr>
            <w:r w:rsidRPr="006E6D13">
              <w:rPr>
                <w:rFonts w:ascii="Calibri" w:hAnsi="Calibri" w:cs="Calibri"/>
                <w:sz w:val="16"/>
                <w:szCs w:val="16"/>
              </w:rPr>
              <w:t>260,000</w:t>
            </w:r>
          </w:p>
        </w:tc>
        <w:tc>
          <w:tcPr>
            <w:tcW w:w="993" w:type="dxa"/>
            <w:tcBorders>
              <w:top w:val="single" w:sz="4" w:space="0" w:color="auto"/>
              <w:bottom w:val="single" w:sz="4" w:space="0" w:color="auto"/>
            </w:tcBorders>
          </w:tcPr>
          <w:p w14:paraId="394444DA" w14:textId="77777777" w:rsidR="00951BB7" w:rsidRPr="006E6D13" w:rsidRDefault="00951BB7" w:rsidP="006E6D13">
            <w:pPr>
              <w:pStyle w:val="ESTablebody"/>
              <w:jc w:val="right"/>
              <w:rPr>
                <w:rFonts w:ascii="Calibri" w:hAnsi="Calibri" w:cs="Calibri"/>
                <w:sz w:val="16"/>
                <w:szCs w:val="16"/>
              </w:rPr>
            </w:pPr>
            <w:r w:rsidRPr="006E6D13">
              <w:rPr>
                <w:rFonts w:ascii="Calibri" w:hAnsi="Calibri" w:cs="Calibri"/>
                <w:sz w:val="16"/>
                <w:szCs w:val="16"/>
              </w:rPr>
              <w:t>–</w:t>
            </w:r>
          </w:p>
        </w:tc>
        <w:tc>
          <w:tcPr>
            <w:tcW w:w="1622" w:type="dxa"/>
            <w:tcBorders>
              <w:top w:val="single" w:sz="4" w:space="0" w:color="auto"/>
              <w:bottom w:val="single" w:sz="4" w:space="0" w:color="auto"/>
            </w:tcBorders>
          </w:tcPr>
          <w:p w14:paraId="0B124447" w14:textId="77777777" w:rsidR="00951BB7" w:rsidRPr="00920949" w:rsidRDefault="00951BB7" w:rsidP="006E6D13">
            <w:pPr>
              <w:pStyle w:val="ESTablebody"/>
              <w:jc w:val="right"/>
              <w:rPr>
                <w:rFonts w:ascii="Calibri" w:hAnsi="Calibri" w:cs="Calibri"/>
                <w:sz w:val="16"/>
                <w:szCs w:val="16"/>
              </w:rPr>
            </w:pPr>
            <w:r w:rsidRPr="00F77B1A">
              <w:rPr>
                <w:rFonts w:ascii="Calibri" w:hAnsi="Calibri" w:cs="Calibri"/>
                <w:sz w:val="16"/>
                <w:szCs w:val="16"/>
              </w:rPr>
              <w:t>N</w:t>
            </w:r>
          </w:p>
        </w:tc>
      </w:tr>
      <w:tr w:rsidR="00951BB7" w:rsidRPr="00925213" w14:paraId="352EA2F2" w14:textId="77777777" w:rsidTr="00383663">
        <w:trPr>
          <w:cantSplit/>
          <w:trHeight w:val="628"/>
        </w:trPr>
        <w:tc>
          <w:tcPr>
            <w:tcW w:w="1696" w:type="dxa"/>
            <w:tcBorders>
              <w:top w:val="single" w:sz="4" w:space="0" w:color="auto"/>
              <w:bottom w:val="single" w:sz="4" w:space="0" w:color="auto"/>
            </w:tcBorders>
            <w:shd w:val="clear" w:color="auto" w:fill="auto"/>
          </w:tcPr>
          <w:p w14:paraId="5338058A"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 xml:space="preserve">Evaluation of the Victorian Professional Learning Communities (PLC) initiative </w:t>
            </w:r>
          </w:p>
          <w:p w14:paraId="27395F31" w14:textId="77777777" w:rsidR="00951BB7" w:rsidRPr="007F44F8" w:rsidRDefault="00951BB7" w:rsidP="00375B4C">
            <w:pPr>
              <w:pStyle w:val="ESTablebody"/>
              <w:rPr>
                <w:rFonts w:ascii="Calibri" w:hAnsi="Calibri" w:cs="Calibri"/>
                <w:sz w:val="16"/>
                <w:szCs w:val="16"/>
              </w:rPr>
            </w:pPr>
          </w:p>
          <w:p w14:paraId="5F05AF65"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(Education portfolio, School Education– Primary and Secondary)</w:t>
            </w:r>
          </w:p>
        </w:tc>
        <w:tc>
          <w:tcPr>
            <w:tcW w:w="1134" w:type="dxa"/>
            <w:tcBorders>
              <w:top w:val="single" w:sz="4" w:space="0" w:color="auto"/>
              <w:bottom w:val="single" w:sz="4" w:space="0" w:color="auto"/>
            </w:tcBorders>
            <w:shd w:val="clear" w:color="auto" w:fill="auto"/>
          </w:tcPr>
          <w:p w14:paraId="7826924D" w14:textId="77777777" w:rsidR="00951BB7" w:rsidRPr="007F44F8" w:rsidRDefault="00951BB7" w:rsidP="00375B4C">
            <w:pPr>
              <w:pStyle w:val="ESTablebody"/>
              <w:rPr>
                <w:rFonts w:ascii="Calibri" w:hAnsi="Calibri" w:cs="Calibri"/>
                <w:sz w:val="16"/>
                <w:szCs w:val="16"/>
              </w:rPr>
            </w:pPr>
            <w:r w:rsidRPr="007F44F8">
              <w:rPr>
                <w:rFonts w:ascii="Calibri" w:hAnsi="Calibri" w:cs="Calibri"/>
                <w:sz w:val="16"/>
                <w:szCs w:val="16"/>
              </w:rPr>
              <w:t>University of Melbourne: Centre for Program Evaluation</w:t>
            </w:r>
          </w:p>
        </w:tc>
        <w:tc>
          <w:tcPr>
            <w:tcW w:w="2127" w:type="dxa"/>
            <w:tcBorders>
              <w:top w:val="single" w:sz="4" w:space="0" w:color="auto"/>
              <w:bottom w:val="single" w:sz="4" w:space="0" w:color="auto"/>
            </w:tcBorders>
            <w:shd w:val="clear" w:color="auto" w:fill="auto"/>
          </w:tcPr>
          <w:p w14:paraId="7AC7814A" w14:textId="77777777" w:rsidR="00951BB7" w:rsidRPr="007F44F8" w:rsidRDefault="00951BB7" w:rsidP="007F44F8">
            <w:pPr>
              <w:pStyle w:val="ESTablebody"/>
              <w:rPr>
                <w:rFonts w:ascii="Calibri" w:hAnsi="Calibri" w:cs="Calibri"/>
                <w:sz w:val="16"/>
                <w:szCs w:val="16"/>
              </w:rPr>
            </w:pPr>
            <w:r w:rsidRPr="007F44F8">
              <w:rPr>
                <w:rFonts w:ascii="Calibri" w:hAnsi="Calibri" w:cs="Calibri"/>
                <w:sz w:val="16"/>
                <w:szCs w:val="16"/>
              </w:rPr>
              <w:t>To evaluate ongoing implementation, design and decision-making associated with the Victorian PLC initiative and its impact on teaching practices and learning outcomes in more than 800 Victorian government schools. The evaluation will also assess the consistency of the PLC implementation practices and the program's social and economic costs and benefits.</w:t>
            </w:r>
          </w:p>
        </w:tc>
        <w:tc>
          <w:tcPr>
            <w:tcW w:w="2409" w:type="dxa"/>
            <w:tcBorders>
              <w:top w:val="single" w:sz="4" w:space="0" w:color="auto"/>
              <w:bottom w:val="single" w:sz="4" w:space="0" w:color="auto"/>
            </w:tcBorders>
          </w:tcPr>
          <w:p w14:paraId="52B7F4AF" w14:textId="77777777" w:rsidR="00951BB7" w:rsidRPr="007F44F8" w:rsidRDefault="00951BB7" w:rsidP="007F44F8">
            <w:pPr>
              <w:pStyle w:val="ESTablebody"/>
              <w:rPr>
                <w:rFonts w:ascii="Calibri" w:hAnsi="Calibri" w:cs="Calibri"/>
                <w:sz w:val="16"/>
                <w:szCs w:val="16"/>
              </w:rPr>
            </w:pPr>
            <w:r w:rsidRPr="007F44F8">
              <w:rPr>
                <w:rFonts w:ascii="Calibri" w:hAnsi="Calibri" w:cs="Calibri"/>
                <w:sz w:val="16"/>
                <w:szCs w:val="16"/>
              </w:rPr>
              <w:t>To measure the success of the Victorian PLC model in enabling schools to implement PLCs and apply its principles to their practice successfully. To evaluate the impact of the PLC initiative on teaching practices and students’ learning outcomes.</w:t>
            </w:r>
          </w:p>
        </w:tc>
        <w:tc>
          <w:tcPr>
            <w:tcW w:w="1134" w:type="dxa"/>
            <w:tcBorders>
              <w:top w:val="single" w:sz="4" w:space="0" w:color="auto"/>
              <w:bottom w:val="single" w:sz="4" w:space="0" w:color="auto"/>
            </w:tcBorders>
          </w:tcPr>
          <w:p w14:paraId="7632C0B4" w14:textId="77777777" w:rsidR="00951BB7" w:rsidRPr="007F44F8" w:rsidRDefault="00951BB7" w:rsidP="007F44F8">
            <w:pPr>
              <w:pStyle w:val="ESTablebody"/>
              <w:rPr>
                <w:rFonts w:ascii="Calibri" w:hAnsi="Calibri" w:cs="Calibri"/>
                <w:sz w:val="16"/>
                <w:szCs w:val="16"/>
              </w:rPr>
            </w:pPr>
            <w:r w:rsidRPr="007F44F8">
              <w:rPr>
                <w:rFonts w:ascii="Calibri" w:hAnsi="Calibri" w:cs="Calibri"/>
                <w:sz w:val="16"/>
                <w:szCs w:val="16"/>
              </w:rPr>
              <w:t>September 2019 – April 2022</w:t>
            </w:r>
          </w:p>
        </w:tc>
        <w:tc>
          <w:tcPr>
            <w:tcW w:w="1701" w:type="dxa"/>
            <w:tcBorders>
              <w:top w:val="single" w:sz="4" w:space="0" w:color="auto"/>
              <w:bottom w:val="single" w:sz="4" w:space="0" w:color="auto"/>
            </w:tcBorders>
          </w:tcPr>
          <w:p w14:paraId="14179F25" w14:textId="77777777" w:rsidR="00951BB7" w:rsidRPr="007F44F8" w:rsidRDefault="00951BB7" w:rsidP="007F44F8">
            <w:pPr>
              <w:pStyle w:val="ESTablebody"/>
              <w:rPr>
                <w:rFonts w:ascii="Calibri" w:hAnsi="Calibri" w:cs="Calibri"/>
                <w:sz w:val="16"/>
                <w:szCs w:val="16"/>
              </w:rPr>
            </w:pPr>
            <w:r w:rsidRPr="007F44F8">
              <w:rPr>
                <w:rFonts w:ascii="Calibri" w:hAnsi="Calibri" w:cs="Calibri"/>
                <w:sz w:val="16"/>
                <w:szCs w:val="16"/>
              </w:rPr>
              <w:t xml:space="preserve">Evaluation findings will inform ongoing policy adaptations and implementation for the Victorian PLC initiative to </w:t>
            </w:r>
            <w:proofErr w:type="spellStart"/>
            <w:r w:rsidRPr="007F44F8">
              <w:rPr>
                <w:rFonts w:ascii="Calibri" w:hAnsi="Calibri" w:cs="Calibri"/>
                <w:sz w:val="16"/>
                <w:szCs w:val="16"/>
              </w:rPr>
              <w:t>maximise</w:t>
            </w:r>
            <w:proofErr w:type="spellEnd"/>
            <w:r w:rsidRPr="007F44F8">
              <w:rPr>
                <w:rFonts w:ascii="Calibri" w:hAnsi="Calibri" w:cs="Calibri"/>
                <w:sz w:val="16"/>
                <w:szCs w:val="16"/>
              </w:rPr>
              <w:t xml:space="preserve"> impact on student learning and teacher practice.</w:t>
            </w:r>
          </w:p>
        </w:tc>
        <w:tc>
          <w:tcPr>
            <w:tcW w:w="1134" w:type="dxa"/>
            <w:tcBorders>
              <w:top w:val="single" w:sz="4" w:space="0" w:color="auto"/>
              <w:bottom w:val="single" w:sz="4" w:space="0" w:color="auto"/>
            </w:tcBorders>
          </w:tcPr>
          <w:p w14:paraId="69411BB1" w14:textId="77777777" w:rsidR="00951BB7" w:rsidRPr="007F44F8" w:rsidRDefault="00951BB7" w:rsidP="00375B4C">
            <w:pPr>
              <w:pStyle w:val="ESTablebody"/>
              <w:jc w:val="right"/>
              <w:rPr>
                <w:rFonts w:ascii="Calibri" w:hAnsi="Calibri" w:cs="Calibri"/>
                <w:sz w:val="16"/>
                <w:szCs w:val="16"/>
              </w:rPr>
            </w:pPr>
            <w:r w:rsidRPr="007F44F8">
              <w:rPr>
                <w:rFonts w:ascii="Calibri" w:hAnsi="Calibri" w:cs="Calibri"/>
                <w:sz w:val="16"/>
                <w:szCs w:val="16"/>
              </w:rPr>
              <w:t>995,426</w:t>
            </w:r>
          </w:p>
        </w:tc>
        <w:tc>
          <w:tcPr>
            <w:tcW w:w="993" w:type="dxa"/>
            <w:tcBorders>
              <w:top w:val="single" w:sz="4" w:space="0" w:color="auto"/>
              <w:bottom w:val="single" w:sz="4" w:space="0" w:color="auto"/>
            </w:tcBorders>
          </w:tcPr>
          <w:p w14:paraId="01D0398F" w14:textId="77777777" w:rsidR="00951BB7" w:rsidRPr="007F44F8" w:rsidRDefault="00951BB7" w:rsidP="00375B4C">
            <w:pPr>
              <w:pStyle w:val="ESTablebody"/>
              <w:jc w:val="right"/>
              <w:rPr>
                <w:rFonts w:ascii="Calibri" w:hAnsi="Calibri" w:cs="Calibri"/>
                <w:sz w:val="16"/>
                <w:szCs w:val="16"/>
              </w:rPr>
            </w:pPr>
            <w:r w:rsidRPr="007F44F8">
              <w:rPr>
                <w:rFonts w:ascii="Calibri" w:eastAsia="Times New Roman" w:hAnsi="Calibri" w:cs="Calibri"/>
                <w:sz w:val="16"/>
                <w:szCs w:val="16"/>
              </w:rPr>
              <w:t>–</w:t>
            </w:r>
          </w:p>
        </w:tc>
        <w:tc>
          <w:tcPr>
            <w:tcW w:w="1622" w:type="dxa"/>
            <w:tcBorders>
              <w:top w:val="single" w:sz="4" w:space="0" w:color="auto"/>
              <w:bottom w:val="single" w:sz="4" w:space="0" w:color="auto"/>
            </w:tcBorders>
          </w:tcPr>
          <w:p w14:paraId="2C3CD7C6" w14:textId="77777777" w:rsidR="00951BB7" w:rsidRPr="007F44F8" w:rsidRDefault="00951BB7" w:rsidP="00375B4C">
            <w:pPr>
              <w:pStyle w:val="ESTablebody"/>
              <w:jc w:val="right"/>
              <w:rPr>
                <w:rFonts w:ascii="Calibri" w:hAnsi="Calibri" w:cs="Calibri"/>
                <w:sz w:val="16"/>
                <w:szCs w:val="16"/>
              </w:rPr>
            </w:pPr>
            <w:r w:rsidRPr="007F44F8">
              <w:rPr>
                <w:rFonts w:ascii="Calibri" w:hAnsi="Calibri" w:cs="Calibri"/>
                <w:sz w:val="16"/>
                <w:szCs w:val="16"/>
              </w:rPr>
              <w:t>N</w:t>
            </w:r>
          </w:p>
        </w:tc>
      </w:tr>
      <w:tr w:rsidR="00951BB7" w:rsidRPr="00925213" w14:paraId="5833CC44" w14:textId="77777777" w:rsidTr="00383663">
        <w:trPr>
          <w:cantSplit/>
          <w:trHeight w:val="628"/>
        </w:trPr>
        <w:tc>
          <w:tcPr>
            <w:tcW w:w="1696" w:type="dxa"/>
            <w:tcBorders>
              <w:top w:val="single" w:sz="4" w:space="0" w:color="auto"/>
              <w:bottom w:val="single" w:sz="4" w:space="0" w:color="auto"/>
            </w:tcBorders>
            <w:shd w:val="clear" w:color="auto" w:fill="auto"/>
          </w:tcPr>
          <w:p w14:paraId="592DEA7D"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lastRenderedPageBreak/>
              <w:t>Evaluation of Transforming the First Years of the Teaching Career (Career Start Pilot)</w:t>
            </w:r>
          </w:p>
          <w:p w14:paraId="5189AFAD"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Training, Higher Education and Workforce, Development, School Education–Primary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A2559C3"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 xml:space="preserve">The Department </w:t>
            </w:r>
          </w:p>
        </w:tc>
        <w:tc>
          <w:tcPr>
            <w:tcW w:w="2127" w:type="dxa"/>
            <w:tcBorders>
              <w:top w:val="single" w:sz="4" w:space="0" w:color="auto"/>
              <w:bottom w:val="single" w:sz="4" w:space="0" w:color="auto"/>
            </w:tcBorders>
            <w:shd w:val="clear" w:color="auto" w:fill="auto"/>
          </w:tcPr>
          <w:p w14:paraId="75F1667A"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evaluate the effectiveness of the </w:t>
            </w:r>
            <w:proofErr w:type="gramStart"/>
            <w:r w:rsidRPr="00355385">
              <w:rPr>
                <w:rFonts w:ascii="Calibri" w:hAnsi="Calibri" w:cs="Calibri"/>
                <w:sz w:val="16"/>
                <w:szCs w:val="16"/>
              </w:rPr>
              <w:t>Career</w:t>
            </w:r>
            <w:proofErr w:type="gramEnd"/>
            <w:r w:rsidRPr="00355385">
              <w:rPr>
                <w:rFonts w:ascii="Calibri" w:hAnsi="Calibri" w:cs="Calibri"/>
                <w:sz w:val="16"/>
                <w:szCs w:val="16"/>
              </w:rPr>
              <w:t xml:space="preserve"> Start Pilot in accelerating the professional development of first and second year graduate teachers, enhancing their wellbeing and reducing attrition levels in the participating cohorts. </w:t>
            </w:r>
          </w:p>
        </w:tc>
        <w:tc>
          <w:tcPr>
            <w:tcW w:w="2409" w:type="dxa"/>
            <w:tcBorders>
              <w:top w:val="single" w:sz="4" w:space="0" w:color="auto"/>
              <w:bottom w:val="single" w:sz="4" w:space="0" w:color="auto"/>
            </w:tcBorders>
          </w:tcPr>
          <w:p w14:paraId="48F551F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deliver a developmental evaluation of the Career Start Pilot, throughout its implementation. The evaluation involves data collected from corporate and regional staff, as well as from participating schools (school leaders, mentor teachers, graduate </w:t>
            </w:r>
            <w:proofErr w:type="gramStart"/>
            <w:r w:rsidRPr="00355385">
              <w:rPr>
                <w:rFonts w:ascii="Calibri" w:hAnsi="Calibri" w:cs="Calibri"/>
                <w:sz w:val="16"/>
                <w:szCs w:val="16"/>
              </w:rPr>
              <w:t>participants</w:t>
            </w:r>
            <w:proofErr w:type="gramEnd"/>
            <w:r w:rsidRPr="00355385">
              <w:rPr>
                <w:rFonts w:ascii="Calibri" w:hAnsi="Calibri" w:cs="Calibri"/>
                <w:sz w:val="16"/>
                <w:szCs w:val="16"/>
              </w:rPr>
              <w:t xml:space="preserve"> and their students).</w:t>
            </w:r>
          </w:p>
        </w:tc>
        <w:tc>
          <w:tcPr>
            <w:tcW w:w="1134" w:type="dxa"/>
            <w:tcBorders>
              <w:top w:val="single" w:sz="4" w:space="0" w:color="auto"/>
              <w:bottom w:val="single" w:sz="4" w:space="0" w:color="auto"/>
            </w:tcBorders>
          </w:tcPr>
          <w:p w14:paraId="0655CC65"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November 2020 – September 2024</w:t>
            </w:r>
          </w:p>
        </w:tc>
        <w:tc>
          <w:tcPr>
            <w:tcW w:w="1701" w:type="dxa"/>
            <w:tcBorders>
              <w:top w:val="single" w:sz="4" w:space="0" w:color="auto"/>
              <w:bottom w:val="single" w:sz="4" w:space="0" w:color="auto"/>
            </w:tcBorders>
          </w:tcPr>
          <w:p w14:paraId="248EEE7F"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To enable refinements during implementation across the Pilot’s three years of operation, and incorporation of key learnings into extension or expansion plans of the Pilot.</w:t>
            </w:r>
          </w:p>
        </w:tc>
        <w:tc>
          <w:tcPr>
            <w:tcW w:w="1134" w:type="dxa"/>
            <w:tcBorders>
              <w:top w:val="single" w:sz="4" w:space="0" w:color="auto"/>
              <w:bottom w:val="single" w:sz="4" w:space="0" w:color="auto"/>
            </w:tcBorders>
          </w:tcPr>
          <w:p w14:paraId="1A6053A2"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1,400,000</w:t>
            </w:r>
          </w:p>
          <w:p w14:paraId="7C752AFD"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(156,512 allocated for 2020–21)</w:t>
            </w:r>
          </w:p>
        </w:tc>
        <w:tc>
          <w:tcPr>
            <w:tcW w:w="993" w:type="dxa"/>
            <w:tcBorders>
              <w:top w:val="single" w:sz="4" w:space="0" w:color="auto"/>
              <w:bottom w:val="single" w:sz="4" w:space="0" w:color="auto"/>
            </w:tcBorders>
          </w:tcPr>
          <w:p w14:paraId="35FF3481"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w:t>
            </w:r>
          </w:p>
        </w:tc>
        <w:tc>
          <w:tcPr>
            <w:tcW w:w="1622" w:type="dxa"/>
            <w:tcBorders>
              <w:top w:val="single" w:sz="4" w:space="0" w:color="auto"/>
              <w:bottom w:val="single" w:sz="4" w:space="0" w:color="auto"/>
            </w:tcBorders>
          </w:tcPr>
          <w:p w14:paraId="1A8E17CD"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N</w:t>
            </w:r>
          </w:p>
        </w:tc>
      </w:tr>
      <w:tr w:rsidR="00951BB7" w:rsidRPr="00925213" w14:paraId="0B1AFDE8" w14:textId="77777777" w:rsidTr="00383663">
        <w:trPr>
          <w:cantSplit/>
          <w:trHeight w:val="628"/>
        </w:trPr>
        <w:tc>
          <w:tcPr>
            <w:tcW w:w="1696" w:type="dxa"/>
            <w:tcBorders>
              <w:top w:val="single" w:sz="4" w:space="0" w:color="auto"/>
              <w:bottom w:val="single" w:sz="4" w:space="0" w:color="auto"/>
            </w:tcBorders>
            <w:shd w:val="clear" w:color="auto" w:fill="auto"/>
          </w:tcPr>
          <w:p w14:paraId="563040C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Family-school partnership building for disability inclusion</w:t>
            </w:r>
          </w:p>
          <w:p w14:paraId="143186E8"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 xml:space="preserve">Education portfolio, Support for </w:t>
            </w:r>
            <w:r>
              <w:rPr>
                <w:rFonts w:ascii="Calibri" w:hAnsi="Calibri" w:cs="Calibri"/>
                <w:sz w:val="16"/>
                <w:szCs w:val="16"/>
              </w:rPr>
              <w:t>S</w:t>
            </w:r>
            <w:r w:rsidRPr="00925213">
              <w:rPr>
                <w:rFonts w:ascii="Calibri" w:hAnsi="Calibri" w:cs="Calibri"/>
                <w:sz w:val="16"/>
                <w:szCs w:val="16"/>
              </w:rPr>
              <w:t xml:space="preserve">tudents </w:t>
            </w:r>
            <w:proofErr w:type="gramStart"/>
            <w:r>
              <w:rPr>
                <w:rFonts w:ascii="Calibri" w:hAnsi="Calibri" w:cs="Calibri"/>
                <w:sz w:val="16"/>
                <w:szCs w:val="16"/>
              </w:rPr>
              <w:t>W</w:t>
            </w:r>
            <w:r w:rsidRPr="00925213">
              <w:rPr>
                <w:rFonts w:ascii="Calibri" w:hAnsi="Calibri" w:cs="Calibri"/>
                <w:sz w:val="16"/>
                <w:szCs w:val="16"/>
              </w:rPr>
              <w:t>ith</w:t>
            </w:r>
            <w:proofErr w:type="gramEnd"/>
            <w:r w:rsidRPr="00925213">
              <w:rPr>
                <w:rFonts w:ascii="Calibri" w:hAnsi="Calibri" w:cs="Calibri"/>
                <w:sz w:val="16"/>
                <w:szCs w:val="16"/>
              </w:rPr>
              <w:t xml:space="preserve"> </w:t>
            </w:r>
            <w:r>
              <w:rPr>
                <w:rFonts w:ascii="Calibri" w:hAnsi="Calibri" w:cs="Calibri"/>
                <w:sz w:val="16"/>
                <w:szCs w:val="16"/>
              </w:rPr>
              <w:t>D</w:t>
            </w:r>
            <w:r w:rsidRPr="00925213">
              <w:rPr>
                <w:rFonts w:ascii="Calibri" w:hAnsi="Calibri" w:cs="Calibri"/>
                <w:sz w:val="16"/>
                <w:szCs w:val="16"/>
              </w:rPr>
              <w:t>isabili</w:t>
            </w:r>
            <w:r>
              <w:rPr>
                <w:rFonts w:ascii="Calibri" w:hAnsi="Calibri" w:cs="Calibri"/>
                <w:sz w:val="16"/>
                <w:szCs w:val="16"/>
              </w:rPr>
              <w:t>ties)</w:t>
            </w:r>
          </w:p>
        </w:tc>
        <w:tc>
          <w:tcPr>
            <w:tcW w:w="1134" w:type="dxa"/>
            <w:tcBorders>
              <w:top w:val="single" w:sz="4" w:space="0" w:color="auto"/>
              <w:bottom w:val="single" w:sz="4" w:space="0" w:color="auto"/>
            </w:tcBorders>
            <w:shd w:val="clear" w:color="auto" w:fill="auto"/>
          </w:tcPr>
          <w:p w14:paraId="4B1134B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6E213B4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recommendations on best practice in family-school partnerships to inform future Victorian Common Funding Agreements (VCFA) with disability peak </w:t>
            </w:r>
            <w:proofErr w:type="spellStart"/>
            <w:r w:rsidRPr="00925213">
              <w:rPr>
                <w:rFonts w:ascii="Calibri" w:hAnsi="Calibri" w:cs="Calibri"/>
                <w:sz w:val="16"/>
                <w:szCs w:val="16"/>
              </w:rPr>
              <w:t>organisations</w:t>
            </w:r>
            <w:proofErr w:type="spellEnd"/>
            <w:r w:rsidRPr="00925213">
              <w:rPr>
                <w:rFonts w:ascii="Calibri" w:hAnsi="Calibri" w:cs="Calibri"/>
                <w:sz w:val="16"/>
                <w:szCs w:val="16"/>
              </w:rPr>
              <w:t>.</w:t>
            </w:r>
          </w:p>
        </w:tc>
        <w:tc>
          <w:tcPr>
            <w:tcW w:w="2409" w:type="dxa"/>
            <w:tcBorders>
              <w:top w:val="single" w:sz="4" w:space="0" w:color="auto"/>
              <w:bottom w:val="single" w:sz="4" w:space="0" w:color="auto"/>
            </w:tcBorders>
          </w:tcPr>
          <w:p w14:paraId="0BEC2655"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To conduct an environmental, research, and evidence scan to explore best practice in family-school partnerships and successful approaches to parent engagement.</w:t>
            </w:r>
          </w:p>
        </w:tc>
        <w:tc>
          <w:tcPr>
            <w:tcW w:w="1134" w:type="dxa"/>
            <w:tcBorders>
              <w:top w:val="single" w:sz="4" w:space="0" w:color="auto"/>
              <w:bottom w:val="single" w:sz="4" w:space="0" w:color="auto"/>
            </w:tcBorders>
          </w:tcPr>
          <w:p w14:paraId="7D87310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April – June 2021</w:t>
            </w:r>
          </w:p>
        </w:tc>
        <w:tc>
          <w:tcPr>
            <w:tcW w:w="1701" w:type="dxa"/>
            <w:tcBorders>
              <w:top w:val="single" w:sz="4" w:space="0" w:color="auto"/>
              <w:bottom w:val="single" w:sz="4" w:space="0" w:color="auto"/>
            </w:tcBorders>
          </w:tcPr>
          <w:p w14:paraId="467051C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guidance on the direction and nature of future activities and projects through VCFAs with peak disability </w:t>
            </w:r>
            <w:proofErr w:type="spellStart"/>
            <w:r w:rsidRPr="00925213">
              <w:rPr>
                <w:rFonts w:ascii="Calibri" w:hAnsi="Calibri" w:cs="Calibri"/>
                <w:sz w:val="16"/>
                <w:szCs w:val="16"/>
              </w:rPr>
              <w:t>organisations</w:t>
            </w:r>
            <w:proofErr w:type="spellEnd"/>
            <w:r w:rsidRPr="00925213">
              <w:rPr>
                <w:rFonts w:ascii="Calibri" w:hAnsi="Calibri" w:cs="Calibri"/>
                <w:sz w:val="16"/>
                <w:szCs w:val="16"/>
              </w:rPr>
              <w:t xml:space="preserve"> to enhance family-school partnerships and build understanding in the school community of the benefits of disability inclusion. </w:t>
            </w:r>
          </w:p>
        </w:tc>
        <w:tc>
          <w:tcPr>
            <w:tcW w:w="1134" w:type="dxa"/>
            <w:tcBorders>
              <w:top w:val="single" w:sz="4" w:space="0" w:color="auto"/>
              <w:bottom w:val="single" w:sz="4" w:space="0" w:color="auto"/>
            </w:tcBorders>
          </w:tcPr>
          <w:p w14:paraId="5DFD10C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49,750</w:t>
            </w:r>
          </w:p>
        </w:tc>
        <w:tc>
          <w:tcPr>
            <w:tcW w:w="993" w:type="dxa"/>
            <w:tcBorders>
              <w:top w:val="single" w:sz="4" w:space="0" w:color="auto"/>
              <w:bottom w:val="single" w:sz="4" w:space="0" w:color="auto"/>
            </w:tcBorders>
          </w:tcPr>
          <w:p w14:paraId="5079C74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49,750</w:t>
            </w:r>
          </w:p>
        </w:tc>
        <w:tc>
          <w:tcPr>
            <w:tcW w:w="1622" w:type="dxa"/>
            <w:tcBorders>
              <w:top w:val="single" w:sz="4" w:space="0" w:color="auto"/>
              <w:bottom w:val="single" w:sz="4" w:space="0" w:color="auto"/>
            </w:tcBorders>
          </w:tcPr>
          <w:p w14:paraId="6ADF144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12716AE1" w14:textId="77777777" w:rsidTr="008C2E5E">
        <w:trPr>
          <w:cantSplit/>
          <w:trHeight w:val="628"/>
        </w:trPr>
        <w:tc>
          <w:tcPr>
            <w:tcW w:w="1696" w:type="dxa"/>
            <w:tcBorders>
              <w:top w:val="single" w:sz="4" w:space="0" w:color="auto"/>
              <w:bottom w:val="single" w:sz="4" w:space="0" w:color="auto"/>
            </w:tcBorders>
            <w:shd w:val="clear" w:color="auto" w:fill="auto"/>
          </w:tcPr>
          <w:p w14:paraId="258B73A4" w14:textId="77777777" w:rsidR="00951BB7" w:rsidRPr="008C2E5E" w:rsidRDefault="00951BB7" w:rsidP="008C2E5E">
            <w:pPr>
              <w:pStyle w:val="ESTablebody"/>
              <w:rPr>
                <w:rFonts w:ascii="Calibri" w:hAnsi="Calibri" w:cs="Calibri"/>
                <w:sz w:val="16"/>
                <w:szCs w:val="16"/>
              </w:rPr>
            </w:pPr>
            <w:r w:rsidRPr="008C2E5E">
              <w:rPr>
                <w:rFonts w:ascii="Calibri" w:hAnsi="Calibri" w:cs="Calibri"/>
                <w:sz w:val="16"/>
                <w:szCs w:val="16"/>
              </w:rPr>
              <w:t>Free Sanitary Pads and Tampons in all Public Schools evaluation</w:t>
            </w:r>
          </w:p>
          <w:p w14:paraId="71E0238E" w14:textId="77777777" w:rsidR="00951BB7" w:rsidRPr="008C2E5E" w:rsidRDefault="00951BB7" w:rsidP="008C2E5E">
            <w:pPr>
              <w:pStyle w:val="ESTablebody"/>
              <w:rPr>
                <w:rFonts w:ascii="Calibri" w:hAnsi="Calibri" w:cs="Calibri"/>
                <w:sz w:val="16"/>
                <w:szCs w:val="16"/>
              </w:rPr>
            </w:pPr>
            <w:r>
              <w:rPr>
                <w:rFonts w:ascii="Calibri" w:hAnsi="Calibri" w:cs="Calibri"/>
                <w:sz w:val="16"/>
                <w:szCs w:val="16"/>
              </w:rPr>
              <w:t>(</w:t>
            </w:r>
            <w:r w:rsidRPr="008C2E5E">
              <w:rPr>
                <w:rFonts w:ascii="Calibri" w:hAnsi="Calibri" w:cs="Calibri"/>
                <w:sz w:val="16"/>
                <w:szCs w:val="16"/>
              </w:rPr>
              <w:t>Education portfolio, Support Services Delivery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EC0FBA4" w14:textId="77777777" w:rsidR="00951BB7" w:rsidRPr="008C2E5E" w:rsidRDefault="00951BB7" w:rsidP="008C2E5E">
            <w:pPr>
              <w:pStyle w:val="ESTablebody"/>
              <w:rPr>
                <w:rFonts w:ascii="Calibri" w:hAnsi="Calibri" w:cs="Calibri"/>
                <w:sz w:val="16"/>
                <w:szCs w:val="16"/>
              </w:rPr>
            </w:pPr>
            <w:r>
              <w:rPr>
                <w:rFonts w:ascii="Calibri" w:hAnsi="Calibri" w:cs="Calibri"/>
                <w:sz w:val="16"/>
                <w:szCs w:val="16"/>
              </w:rPr>
              <w:t>ACIL</w:t>
            </w:r>
            <w:r w:rsidRPr="008C2E5E">
              <w:rPr>
                <w:rFonts w:ascii="Calibri" w:hAnsi="Calibri" w:cs="Calibri"/>
                <w:sz w:val="16"/>
                <w:szCs w:val="16"/>
              </w:rPr>
              <w:t xml:space="preserve"> Allen</w:t>
            </w:r>
            <w:r>
              <w:rPr>
                <w:rFonts w:ascii="Calibri" w:hAnsi="Calibri" w:cs="Calibri"/>
                <w:sz w:val="16"/>
                <w:szCs w:val="16"/>
              </w:rPr>
              <w:t xml:space="preserve"> Consulting</w:t>
            </w:r>
          </w:p>
        </w:tc>
        <w:tc>
          <w:tcPr>
            <w:tcW w:w="2127" w:type="dxa"/>
            <w:tcBorders>
              <w:top w:val="single" w:sz="4" w:space="0" w:color="auto"/>
              <w:bottom w:val="single" w:sz="4" w:space="0" w:color="auto"/>
            </w:tcBorders>
            <w:shd w:val="clear" w:color="auto" w:fill="auto"/>
          </w:tcPr>
          <w:p w14:paraId="0C82A291" w14:textId="77777777" w:rsidR="00951BB7" w:rsidRPr="008C2E5E" w:rsidRDefault="00951BB7" w:rsidP="008C2E5E">
            <w:pPr>
              <w:pStyle w:val="ESTablebody"/>
              <w:rPr>
                <w:rFonts w:ascii="Calibri" w:hAnsi="Calibri" w:cs="Calibri"/>
                <w:sz w:val="16"/>
                <w:szCs w:val="16"/>
              </w:rPr>
            </w:pPr>
            <w:r w:rsidRPr="008C2E5E">
              <w:rPr>
                <w:rFonts w:ascii="Calibri" w:hAnsi="Calibri" w:cs="Calibri"/>
                <w:sz w:val="16"/>
                <w:szCs w:val="16"/>
              </w:rPr>
              <w:t>To assess the progress and performance of the initiative, with a particular focus on reducing student concern about getting their period at school and relieving financial burdens for parents and students.</w:t>
            </w:r>
          </w:p>
        </w:tc>
        <w:tc>
          <w:tcPr>
            <w:tcW w:w="2409" w:type="dxa"/>
            <w:tcBorders>
              <w:top w:val="single" w:sz="4" w:space="0" w:color="auto"/>
              <w:bottom w:val="single" w:sz="4" w:space="0" w:color="auto"/>
            </w:tcBorders>
          </w:tcPr>
          <w:p w14:paraId="0AA33BF1" w14:textId="77777777" w:rsidR="00951BB7" w:rsidRPr="008C2E5E" w:rsidRDefault="00951BB7" w:rsidP="008C2E5E">
            <w:pPr>
              <w:pStyle w:val="ESTablebody"/>
              <w:rPr>
                <w:rFonts w:ascii="Calibri" w:hAnsi="Calibri" w:cs="Calibri"/>
                <w:sz w:val="16"/>
                <w:szCs w:val="16"/>
              </w:rPr>
            </w:pPr>
            <w:r w:rsidRPr="008C2E5E">
              <w:rPr>
                <w:rFonts w:ascii="Calibri" w:hAnsi="Calibri" w:cs="Calibri"/>
                <w:sz w:val="16"/>
                <w:szCs w:val="16"/>
              </w:rPr>
              <w:t>To measure the effectiveness, efficiency, and impact of the implementation of the initiative and make evidence-based recommendations to inform ongoing delivery of the initiative.</w:t>
            </w:r>
          </w:p>
        </w:tc>
        <w:tc>
          <w:tcPr>
            <w:tcW w:w="1134" w:type="dxa"/>
            <w:tcBorders>
              <w:top w:val="single" w:sz="4" w:space="0" w:color="auto"/>
              <w:bottom w:val="single" w:sz="4" w:space="0" w:color="auto"/>
            </w:tcBorders>
          </w:tcPr>
          <w:p w14:paraId="333F46EC" w14:textId="77777777" w:rsidR="00951BB7" w:rsidRPr="008C2E5E" w:rsidRDefault="00951BB7" w:rsidP="008C2E5E">
            <w:pPr>
              <w:pStyle w:val="ESTablebody"/>
              <w:rPr>
                <w:rFonts w:ascii="Calibri" w:hAnsi="Calibri" w:cs="Calibri"/>
                <w:sz w:val="16"/>
                <w:szCs w:val="16"/>
              </w:rPr>
            </w:pPr>
            <w:r w:rsidRPr="008C2E5E">
              <w:rPr>
                <w:rFonts w:ascii="Calibri" w:hAnsi="Calibri" w:cs="Calibri"/>
                <w:sz w:val="16"/>
                <w:szCs w:val="16"/>
              </w:rPr>
              <w:t>December 2020 – October 2022</w:t>
            </w:r>
          </w:p>
        </w:tc>
        <w:tc>
          <w:tcPr>
            <w:tcW w:w="1701" w:type="dxa"/>
            <w:tcBorders>
              <w:top w:val="single" w:sz="4" w:space="0" w:color="auto"/>
              <w:bottom w:val="single" w:sz="4" w:space="0" w:color="auto"/>
            </w:tcBorders>
          </w:tcPr>
          <w:p w14:paraId="1D909252" w14:textId="77777777" w:rsidR="00951BB7" w:rsidRPr="008C2E5E" w:rsidRDefault="00951BB7" w:rsidP="008C2E5E">
            <w:pPr>
              <w:pStyle w:val="ESTablebody"/>
              <w:rPr>
                <w:rFonts w:ascii="Calibri" w:hAnsi="Calibri" w:cs="Calibri"/>
                <w:sz w:val="16"/>
                <w:szCs w:val="16"/>
              </w:rPr>
            </w:pPr>
            <w:r w:rsidRPr="008C2E5E">
              <w:rPr>
                <w:rFonts w:ascii="Calibri" w:hAnsi="Calibri" w:cs="Calibri"/>
                <w:sz w:val="16"/>
                <w:szCs w:val="16"/>
              </w:rPr>
              <w:t>To provide the Department with information which informs future direction for the initiative, including lapsing program requirements</w:t>
            </w:r>
            <w:r>
              <w:rPr>
                <w:rFonts w:ascii="Calibri" w:hAnsi="Calibri" w:cs="Calibri"/>
                <w:sz w:val="16"/>
                <w:szCs w:val="16"/>
              </w:rPr>
              <w:t>.</w:t>
            </w:r>
          </w:p>
        </w:tc>
        <w:tc>
          <w:tcPr>
            <w:tcW w:w="1134" w:type="dxa"/>
            <w:tcBorders>
              <w:top w:val="single" w:sz="4" w:space="0" w:color="auto"/>
              <w:bottom w:val="single" w:sz="4" w:space="0" w:color="auto"/>
            </w:tcBorders>
          </w:tcPr>
          <w:p w14:paraId="4E4A0B4F" w14:textId="77777777" w:rsidR="00951BB7" w:rsidRPr="008C2E5E" w:rsidRDefault="00951BB7" w:rsidP="008C2E5E">
            <w:pPr>
              <w:pStyle w:val="ESTablebody"/>
              <w:jc w:val="right"/>
              <w:rPr>
                <w:rFonts w:ascii="Calibri" w:hAnsi="Calibri" w:cs="Calibri"/>
                <w:sz w:val="16"/>
                <w:szCs w:val="16"/>
              </w:rPr>
            </w:pPr>
            <w:r w:rsidRPr="008C2E5E">
              <w:rPr>
                <w:rFonts w:ascii="Calibri" w:hAnsi="Calibri" w:cs="Calibri"/>
                <w:sz w:val="16"/>
                <w:szCs w:val="16"/>
              </w:rPr>
              <w:t>391,580</w:t>
            </w:r>
          </w:p>
        </w:tc>
        <w:tc>
          <w:tcPr>
            <w:tcW w:w="993" w:type="dxa"/>
            <w:tcBorders>
              <w:top w:val="single" w:sz="4" w:space="0" w:color="auto"/>
              <w:bottom w:val="single" w:sz="4" w:space="0" w:color="auto"/>
            </w:tcBorders>
          </w:tcPr>
          <w:p w14:paraId="09A0C665" w14:textId="77777777" w:rsidR="00951BB7" w:rsidRPr="008C2E5E" w:rsidRDefault="00951BB7" w:rsidP="008C2E5E">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77E7CB5B" w14:textId="77777777" w:rsidR="00951BB7" w:rsidRPr="008C2E5E" w:rsidRDefault="00951BB7" w:rsidP="008C2E5E">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60564597" w14:textId="77777777" w:rsidTr="00383663">
        <w:trPr>
          <w:cantSplit/>
          <w:trHeight w:val="628"/>
        </w:trPr>
        <w:tc>
          <w:tcPr>
            <w:tcW w:w="1696" w:type="dxa"/>
            <w:tcBorders>
              <w:top w:val="single" w:sz="4" w:space="0" w:color="auto"/>
              <w:bottom w:val="single" w:sz="4" w:space="0" w:color="auto"/>
            </w:tcBorders>
            <w:shd w:val="clear" w:color="auto" w:fill="auto"/>
          </w:tcPr>
          <w:p w14:paraId="241E074B" w14:textId="77777777" w:rsidR="00951BB7" w:rsidRDefault="00951BB7" w:rsidP="00375B4C">
            <w:pPr>
              <w:pStyle w:val="ESTablebody"/>
              <w:rPr>
                <w:rFonts w:ascii="Calibri" w:hAnsi="Calibri" w:cs="Calibri"/>
                <w:sz w:val="16"/>
                <w:szCs w:val="16"/>
              </w:rPr>
            </w:pPr>
            <w:r w:rsidRPr="00925213">
              <w:rPr>
                <w:rFonts w:ascii="Calibri" w:hAnsi="Calibri" w:cs="Calibri"/>
                <w:sz w:val="16"/>
                <w:szCs w:val="16"/>
              </w:rPr>
              <w:lastRenderedPageBreak/>
              <w:t xml:space="preserve">Funded </w:t>
            </w:r>
            <w:r>
              <w:rPr>
                <w:rFonts w:ascii="Calibri" w:hAnsi="Calibri" w:cs="Calibri"/>
                <w:sz w:val="16"/>
                <w:szCs w:val="16"/>
              </w:rPr>
              <w:t>T</w:t>
            </w:r>
            <w:r w:rsidRPr="00925213">
              <w:rPr>
                <w:rFonts w:ascii="Calibri" w:hAnsi="Calibri" w:cs="Calibri"/>
                <w:sz w:val="16"/>
                <w:szCs w:val="16"/>
              </w:rPr>
              <w:t>hree-</w:t>
            </w:r>
            <w:r>
              <w:rPr>
                <w:rFonts w:ascii="Calibri" w:hAnsi="Calibri" w:cs="Calibri"/>
                <w:sz w:val="16"/>
                <w:szCs w:val="16"/>
              </w:rPr>
              <w:t>Y</w:t>
            </w:r>
            <w:r w:rsidRPr="00925213">
              <w:rPr>
                <w:rFonts w:ascii="Calibri" w:hAnsi="Calibri" w:cs="Calibri"/>
                <w:sz w:val="16"/>
                <w:szCs w:val="16"/>
              </w:rPr>
              <w:t>ear-</w:t>
            </w:r>
            <w:r>
              <w:rPr>
                <w:rFonts w:ascii="Calibri" w:hAnsi="Calibri" w:cs="Calibri"/>
                <w:sz w:val="16"/>
                <w:szCs w:val="16"/>
              </w:rPr>
              <w:t>O</w:t>
            </w:r>
            <w:r w:rsidRPr="00925213">
              <w:rPr>
                <w:rFonts w:ascii="Calibri" w:hAnsi="Calibri" w:cs="Calibri"/>
                <w:sz w:val="16"/>
                <w:szCs w:val="16"/>
              </w:rPr>
              <w:t xml:space="preserve">ld </w:t>
            </w:r>
            <w:r>
              <w:rPr>
                <w:rFonts w:ascii="Calibri" w:hAnsi="Calibri" w:cs="Calibri"/>
                <w:sz w:val="16"/>
                <w:szCs w:val="16"/>
              </w:rPr>
              <w:t>K</w:t>
            </w:r>
            <w:r w:rsidRPr="00925213">
              <w:rPr>
                <w:rFonts w:ascii="Calibri" w:hAnsi="Calibri" w:cs="Calibri"/>
                <w:sz w:val="16"/>
                <w:szCs w:val="16"/>
              </w:rPr>
              <w:t>indergarten: Evaluation of implementation and early outcomes</w:t>
            </w:r>
          </w:p>
          <w:p w14:paraId="2F0A7BA6"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6E6D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0365A0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0027DC3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evaluate the implementation of funded </w:t>
            </w:r>
            <w:r>
              <w:rPr>
                <w:rFonts w:ascii="Calibri" w:hAnsi="Calibri" w:cs="Calibri"/>
                <w:sz w:val="16"/>
                <w:szCs w:val="16"/>
              </w:rPr>
              <w:t>T</w:t>
            </w:r>
            <w:r w:rsidRPr="00925213">
              <w:rPr>
                <w:rFonts w:ascii="Calibri" w:hAnsi="Calibri" w:cs="Calibri"/>
                <w:sz w:val="16"/>
                <w:szCs w:val="16"/>
              </w:rPr>
              <w:t>hree-</w:t>
            </w:r>
            <w:r>
              <w:rPr>
                <w:rFonts w:ascii="Calibri" w:hAnsi="Calibri" w:cs="Calibri"/>
                <w:sz w:val="16"/>
                <w:szCs w:val="16"/>
              </w:rPr>
              <w:t>Y</w:t>
            </w:r>
            <w:r w:rsidRPr="00925213">
              <w:rPr>
                <w:rFonts w:ascii="Calibri" w:hAnsi="Calibri" w:cs="Calibri"/>
                <w:sz w:val="16"/>
                <w:szCs w:val="16"/>
              </w:rPr>
              <w:t>ear-</w:t>
            </w:r>
            <w:r>
              <w:rPr>
                <w:rFonts w:ascii="Calibri" w:hAnsi="Calibri" w:cs="Calibri"/>
                <w:sz w:val="16"/>
                <w:szCs w:val="16"/>
              </w:rPr>
              <w:t>O</w:t>
            </w:r>
            <w:r w:rsidRPr="00925213">
              <w:rPr>
                <w:rFonts w:ascii="Calibri" w:hAnsi="Calibri" w:cs="Calibri"/>
                <w:sz w:val="16"/>
                <w:szCs w:val="16"/>
              </w:rPr>
              <w:t xml:space="preserve">ld </w:t>
            </w:r>
            <w:r>
              <w:rPr>
                <w:rFonts w:ascii="Calibri" w:hAnsi="Calibri" w:cs="Calibri"/>
                <w:sz w:val="16"/>
                <w:szCs w:val="16"/>
              </w:rPr>
              <w:t>K</w:t>
            </w:r>
            <w:r w:rsidRPr="00925213">
              <w:rPr>
                <w:rFonts w:ascii="Calibri" w:hAnsi="Calibri" w:cs="Calibri"/>
                <w:sz w:val="16"/>
                <w:szCs w:val="16"/>
              </w:rPr>
              <w:t>indergarten, covering the first two years of the staged rollout of the reform and identify early outcomes. The evaluation assists in guiding statewide delivery in 2022.</w:t>
            </w:r>
          </w:p>
        </w:tc>
        <w:tc>
          <w:tcPr>
            <w:tcW w:w="2409" w:type="dxa"/>
            <w:tcBorders>
              <w:top w:val="single" w:sz="4" w:space="0" w:color="auto"/>
              <w:bottom w:val="single" w:sz="4" w:space="0" w:color="auto"/>
            </w:tcBorders>
          </w:tcPr>
          <w:p w14:paraId="1438DE03"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To conduct a program evaluation to assess program design and implementation.</w:t>
            </w:r>
          </w:p>
        </w:tc>
        <w:tc>
          <w:tcPr>
            <w:tcW w:w="1134" w:type="dxa"/>
            <w:tcBorders>
              <w:top w:val="single" w:sz="4" w:space="0" w:color="auto"/>
              <w:bottom w:val="single" w:sz="4" w:space="0" w:color="auto"/>
            </w:tcBorders>
          </w:tcPr>
          <w:p w14:paraId="64A9E85D"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2020 – December 2021</w:t>
            </w:r>
          </w:p>
        </w:tc>
        <w:tc>
          <w:tcPr>
            <w:tcW w:w="1701" w:type="dxa"/>
            <w:tcBorders>
              <w:top w:val="single" w:sz="4" w:space="0" w:color="auto"/>
              <w:bottom w:val="single" w:sz="4" w:space="0" w:color="auto"/>
            </w:tcBorders>
          </w:tcPr>
          <w:p w14:paraId="654426B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Provide the Department with an evaluation of early implementation that informs ongoing </w:t>
            </w:r>
            <w:r>
              <w:rPr>
                <w:rFonts w:ascii="Calibri" w:hAnsi="Calibri" w:cs="Calibri"/>
                <w:sz w:val="16"/>
                <w:szCs w:val="16"/>
              </w:rPr>
              <w:t>refinements</w:t>
            </w:r>
            <w:r w:rsidRPr="00925213">
              <w:rPr>
                <w:rFonts w:ascii="Calibri" w:hAnsi="Calibri" w:cs="Calibri"/>
                <w:sz w:val="16"/>
                <w:szCs w:val="16"/>
              </w:rPr>
              <w:t xml:space="preserve"> to</w:t>
            </w:r>
            <w:r>
              <w:rPr>
                <w:rFonts w:ascii="Calibri" w:hAnsi="Calibri" w:cs="Calibri"/>
                <w:sz w:val="16"/>
                <w:szCs w:val="16"/>
              </w:rPr>
              <w:t xml:space="preserve"> </w:t>
            </w:r>
            <w:r w:rsidRPr="00925213">
              <w:rPr>
                <w:rFonts w:ascii="Calibri" w:hAnsi="Calibri" w:cs="Calibri"/>
                <w:sz w:val="16"/>
                <w:szCs w:val="16"/>
              </w:rPr>
              <w:t>implementation and policy design.</w:t>
            </w:r>
          </w:p>
        </w:tc>
        <w:tc>
          <w:tcPr>
            <w:tcW w:w="1134" w:type="dxa"/>
            <w:tcBorders>
              <w:top w:val="single" w:sz="4" w:space="0" w:color="auto"/>
              <w:bottom w:val="single" w:sz="4" w:space="0" w:color="auto"/>
            </w:tcBorders>
          </w:tcPr>
          <w:p w14:paraId="028EDC6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338,000</w:t>
            </w:r>
          </w:p>
        </w:tc>
        <w:tc>
          <w:tcPr>
            <w:tcW w:w="993" w:type="dxa"/>
            <w:tcBorders>
              <w:top w:val="single" w:sz="4" w:space="0" w:color="auto"/>
              <w:bottom w:val="single" w:sz="4" w:space="0" w:color="auto"/>
            </w:tcBorders>
          </w:tcPr>
          <w:p w14:paraId="3DA9462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21F57355"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2CA1EFA4" w14:textId="77777777" w:rsidTr="00383663">
        <w:trPr>
          <w:cantSplit/>
          <w:trHeight w:val="628"/>
        </w:trPr>
        <w:tc>
          <w:tcPr>
            <w:tcW w:w="1696" w:type="dxa"/>
            <w:tcBorders>
              <w:top w:val="single" w:sz="4" w:space="0" w:color="auto"/>
              <w:bottom w:val="single" w:sz="4" w:space="0" w:color="auto"/>
            </w:tcBorders>
            <w:shd w:val="clear" w:color="auto" w:fill="auto"/>
          </w:tcPr>
          <w:p w14:paraId="68B8972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Graduate teacher survey</w:t>
            </w:r>
          </w:p>
          <w:p w14:paraId="0C8BC98D"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sidRPr="00F87439">
              <w:rPr>
                <w:rFonts w:ascii="Calibri" w:hAnsi="Calibri" w:cs="Calibri"/>
                <w:sz w:val="16"/>
                <w:szCs w:val="16"/>
              </w:rPr>
              <w:t>—</w:t>
            </w:r>
            <w:r w:rsidRPr="00925213">
              <w:rPr>
                <w:rFonts w:ascii="Calibri" w:hAnsi="Calibri" w:cs="Calibri"/>
                <w:sz w:val="16"/>
                <w:szCs w:val="16"/>
              </w:rPr>
              <w:t>primary and secondary</w:t>
            </w:r>
            <w:r>
              <w:rPr>
                <w:rFonts w:ascii="Calibri" w:hAnsi="Calibri" w:cs="Calibri"/>
                <w:sz w:val="16"/>
                <w:szCs w:val="16"/>
              </w:rPr>
              <w:t>)</w:t>
            </w:r>
          </w:p>
          <w:p w14:paraId="69BFEEE7"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033CF51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Social Research Centre</w:t>
            </w:r>
          </w:p>
        </w:tc>
        <w:tc>
          <w:tcPr>
            <w:tcW w:w="2127" w:type="dxa"/>
            <w:tcBorders>
              <w:top w:val="single" w:sz="4" w:space="0" w:color="auto"/>
              <w:bottom w:val="single" w:sz="4" w:space="0" w:color="auto"/>
            </w:tcBorders>
            <w:shd w:val="clear" w:color="auto" w:fill="auto"/>
          </w:tcPr>
          <w:p w14:paraId="5493B079"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understand the experiences of recent entrants to the teaching profession so that the Department can influence the provision of quality Initial Teacher Education and make improvements to systems and supports.</w:t>
            </w:r>
          </w:p>
        </w:tc>
        <w:tc>
          <w:tcPr>
            <w:tcW w:w="2409" w:type="dxa"/>
            <w:tcBorders>
              <w:top w:val="single" w:sz="4" w:space="0" w:color="auto"/>
              <w:bottom w:val="single" w:sz="4" w:space="0" w:color="auto"/>
            </w:tcBorders>
          </w:tcPr>
          <w:p w14:paraId="40E5FD7B" w14:textId="77777777" w:rsidR="00951BB7" w:rsidRPr="00355385" w:rsidRDefault="00951BB7" w:rsidP="00375B4C">
            <w:pPr>
              <w:pStyle w:val="ESTablebody"/>
              <w:rPr>
                <w:rFonts w:ascii="Calibri" w:hAnsi="Calibri" w:cs="Calibri"/>
                <w:sz w:val="16"/>
                <w:szCs w:val="16"/>
              </w:rPr>
            </w:pPr>
            <w:r w:rsidRPr="00554F44">
              <w:rPr>
                <w:rFonts w:ascii="Calibri" w:hAnsi="Calibri" w:cs="Calibri"/>
                <w:sz w:val="16"/>
                <w:szCs w:val="16"/>
              </w:rPr>
              <w:t>To support targeted and responsive investment in Excellence in Teacher Education Reform initiatives. The survey collects information on key areas, including teacher preparedness, professional experience, school–university partnerships, and school-based processes that support graduate teachers’ development. Data collected also provides insights into the impact of reforms and programs such as the Transforming the First Years of the Teaching Career pilot and Graduate Teacher Conferences in addressing priority areas for new teachers.</w:t>
            </w:r>
            <w:r w:rsidRPr="00355385">
              <w:rPr>
                <w:rFonts w:ascii="Calibri" w:hAnsi="Calibri" w:cs="Calibri"/>
                <w:sz w:val="16"/>
                <w:szCs w:val="16"/>
              </w:rPr>
              <w:t xml:space="preserve"> </w:t>
            </w:r>
          </w:p>
        </w:tc>
        <w:tc>
          <w:tcPr>
            <w:tcW w:w="1134" w:type="dxa"/>
            <w:tcBorders>
              <w:top w:val="single" w:sz="4" w:space="0" w:color="auto"/>
              <w:bottom w:val="single" w:sz="4" w:space="0" w:color="auto"/>
            </w:tcBorders>
          </w:tcPr>
          <w:p w14:paraId="523A3B43"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 2021 – September 2022</w:t>
            </w:r>
          </w:p>
        </w:tc>
        <w:tc>
          <w:tcPr>
            <w:tcW w:w="1701" w:type="dxa"/>
            <w:tcBorders>
              <w:top w:val="single" w:sz="4" w:space="0" w:color="auto"/>
              <w:bottom w:val="single" w:sz="4" w:space="0" w:color="auto"/>
            </w:tcBorders>
          </w:tcPr>
          <w:p w14:paraId="1F00628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The survey results are shared with stakeholders and inform further improvements in Initial Teacher Education and graduate teacher experience. </w:t>
            </w:r>
          </w:p>
        </w:tc>
        <w:tc>
          <w:tcPr>
            <w:tcW w:w="1134" w:type="dxa"/>
            <w:tcBorders>
              <w:top w:val="single" w:sz="4" w:space="0" w:color="auto"/>
              <w:bottom w:val="single" w:sz="4" w:space="0" w:color="auto"/>
            </w:tcBorders>
          </w:tcPr>
          <w:p w14:paraId="6CD122DE"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306,000</w:t>
            </w:r>
          </w:p>
        </w:tc>
        <w:tc>
          <w:tcPr>
            <w:tcW w:w="993" w:type="dxa"/>
            <w:tcBorders>
              <w:top w:val="single" w:sz="4" w:space="0" w:color="auto"/>
              <w:bottom w:val="single" w:sz="4" w:space="0" w:color="auto"/>
            </w:tcBorders>
          </w:tcPr>
          <w:p w14:paraId="2E339D9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0D310538"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3472447F" w14:textId="77777777" w:rsidTr="00383663">
        <w:trPr>
          <w:cantSplit/>
          <w:trHeight w:val="628"/>
        </w:trPr>
        <w:tc>
          <w:tcPr>
            <w:tcW w:w="1696" w:type="dxa"/>
            <w:tcBorders>
              <w:top w:val="single" w:sz="4" w:space="0" w:color="auto"/>
              <w:bottom w:val="single" w:sz="4" w:space="0" w:color="auto"/>
            </w:tcBorders>
            <w:shd w:val="clear" w:color="auto" w:fill="auto"/>
          </w:tcPr>
          <w:p w14:paraId="5B732631"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lastRenderedPageBreak/>
              <w:t>Head Start evaluation</w:t>
            </w:r>
          </w:p>
          <w:p w14:paraId="6B8D07C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sidRPr="00F87439">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C715A28"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Nous Group</w:t>
            </w:r>
          </w:p>
        </w:tc>
        <w:tc>
          <w:tcPr>
            <w:tcW w:w="2127" w:type="dxa"/>
            <w:tcBorders>
              <w:top w:val="single" w:sz="4" w:space="0" w:color="auto"/>
              <w:bottom w:val="single" w:sz="4" w:space="0" w:color="auto"/>
            </w:tcBorders>
            <w:shd w:val="clear" w:color="auto" w:fill="auto"/>
          </w:tcPr>
          <w:p w14:paraId="439C6ECC"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undertake a process and impact evaluation to determine how the Head Start pilot has been rolled out in the 10 Head Start clusters, including its impact on schools, </w:t>
            </w:r>
            <w:proofErr w:type="gramStart"/>
            <w:r w:rsidRPr="00355385">
              <w:rPr>
                <w:rFonts w:ascii="Calibri" w:hAnsi="Calibri" w:cs="Calibri"/>
                <w:sz w:val="16"/>
                <w:szCs w:val="16"/>
              </w:rPr>
              <w:t>families</w:t>
            </w:r>
            <w:proofErr w:type="gramEnd"/>
            <w:r w:rsidRPr="00355385">
              <w:rPr>
                <w:rFonts w:ascii="Calibri" w:hAnsi="Calibri" w:cs="Calibri"/>
                <w:sz w:val="16"/>
                <w:szCs w:val="16"/>
              </w:rPr>
              <w:t xml:space="preserve"> and employers.</w:t>
            </w:r>
          </w:p>
        </w:tc>
        <w:tc>
          <w:tcPr>
            <w:tcW w:w="2409" w:type="dxa"/>
            <w:tcBorders>
              <w:top w:val="single" w:sz="4" w:space="0" w:color="auto"/>
              <w:bottom w:val="single" w:sz="4" w:space="0" w:color="auto"/>
            </w:tcBorders>
          </w:tcPr>
          <w:p w14:paraId="63535FC6"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support targeted and responsive investment in Excellence in Teacher Education Reform initiatives. The survey collects information on key areas, including teacher preparedness, professional experience, school–university partnerships, and school-based processes that support graduate teachers’ development. Data collected also provides insights into on the impact of reforms and programs such as the Transforming the First Years of the Teaching Career pilot and Graduate Teacher Conferences in addressing priority areas for new teachers. </w:t>
            </w:r>
          </w:p>
        </w:tc>
        <w:tc>
          <w:tcPr>
            <w:tcW w:w="1134" w:type="dxa"/>
            <w:tcBorders>
              <w:top w:val="single" w:sz="4" w:space="0" w:color="auto"/>
              <w:bottom w:val="single" w:sz="4" w:space="0" w:color="auto"/>
            </w:tcBorders>
          </w:tcPr>
          <w:p w14:paraId="108E1CB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February 2020 – October 2022</w:t>
            </w:r>
          </w:p>
        </w:tc>
        <w:tc>
          <w:tcPr>
            <w:tcW w:w="1701" w:type="dxa"/>
            <w:tcBorders>
              <w:top w:val="single" w:sz="4" w:space="0" w:color="auto"/>
              <w:bottom w:val="single" w:sz="4" w:space="0" w:color="auto"/>
            </w:tcBorders>
          </w:tcPr>
          <w:p w14:paraId="36EFDCD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Evidence to evaluate the initiative rolled out, the return on the Government’s investment and the impact on schools, </w:t>
            </w:r>
            <w:proofErr w:type="gramStart"/>
            <w:r w:rsidRPr="00925213">
              <w:rPr>
                <w:rFonts w:ascii="Calibri" w:hAnsi="Calibri" w:cs="Calibri"/>
                <w:sz w:val="16"/>
                <w:szCs w:val="16"/>
              </w:rPr>
              <w:t>families</w:t>
            </w:r>
            <w:proofErr w:type="gramEnd"/>
            <w:r w:rsidRPr="00925213">
              <w:rPr>
                <w:rFonts w:ascii="Calibri" w:hAnsi="Calibri" w:cs="Calibri"/>
                <w:sz w:val="16"/>
                <w:szCs w:val="16"/>
              </w:rPr>
              <w:t xml:space="preserve"> and employers. The evaluation will inform incremental improvements and future investment decisions in school</w:t>
            </w:r>
            <w:r w:rsidRPr="00925213">
              <w:rPr>
                <w:rFonts w:ascii="Calibri" w:hAnsi="Calibri" w:cs="Calibri"/>
                <w:sz w:val="16"/>
                <w:szCs w:val="16"/>
              </w:rPr>
              <w:noBreakHyphen/>
              <w:t>based apprenticeships and traineeships.</w:t>
            </w:r>
          </w:p>
        </w:tc>
        <w:tc>
          <w:tcPr>
            <w:tcW w:w="1134" w:type="dxa"/>
            <w:tcBorders>
              <w:top w:val="single" w:sz="4" w:space="0" w:color="auto"/>
              <w:bottom w:val="single" w:sz="4" w:space="0" w:color="auto"/>
            </w:tcBorders>
          </w:tcPr>
          <w:p w14:paraId="2AF7E778"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660,000</w:t>
            </w:r>
          </w:p>
        </w:tc>
        <w:tc>
          <w:tcPr>
            <w:tcW w:w="993" w:type="dxa"/>
            <w:tcBorders>
              <w:top w:val="single" w:sz="4" w:space="0" w:color="auto"/>
              <w:bottom w:val="single" w:sz="4" w:space="0" w:color="auto"/>
            </w:tcBorders>
          </w:tcPr>
          <w:p w14:paraId="0377A56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 xml:space="preserve"> – </w:t>
            </w:r>
          </w:p>
        </w:tc>
        <w:tc>
          <w:tcPr>
            <w:tcW w:w="1622" w:type="dxa"/>
            <w:tcBorders>
              <w:top w:val="single" w:sz="4" w:space="0" w:color="auto"/>
              <w:bottom w:val="single" w:sz="4" w:space="0" w:color="auto"/>
            </w:tcBorders>
          </w:tcPr>
          <w:p w14:paraId="201082A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1AAD61D7" w14:textId="77777777" w:rsidTr="00383663">
        <w:trPr>
          <w:cantSplit/>
          <w:trHeight w:val="628"/>
        </w:trPr>
        <w:tc>
          <w:tcPr>
            <w:tcW w:w="1696" w:type="dxa"/>
            <w:tcBorders>
              <w:top w:val="single" w:sz="4" w:space="0" w:color="auto"/>
              <w:bottom w:val="single" w:sz="4" w:space="0" w:color="auto"/>
            </w:tcBorders>
            <w:shd w:val="clear" w:color="auto" w:fill="auto"/>
          </w:tcPr>
          <w:p w14:paraId="1EBA9C92"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International student program marketing and evaluation project</w:t>
            </w:r>
          </w:p>
          <w:p w14:paraId="78155E1C"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Education Portfolio, Strategy, review and regulation, School Education–Secondary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66C8468A" w14:textId="77777777" w:rsidR="00951BB7" w:rsidRPr="00F55FBA" w:rsidRDefault="00951BB7" w:rsidP="00375B4C">
            <w:pPr>
              <w:pStyle w:val="ESTablebody"/>
              <w:rPr>
                <w:rFonts w:ascii="Calibri" w:hAnsi="Calibri" w:cs="Calibri"/>
                <w:sz w:val="16"/>
                <w:szCs w:val="16"/>
              </w:rPr>
            </w:pPr>
            <w:r w:rsidRPr="00355385">
              <w:rPr>
                <w:rFonts w:ascii="Calibri" w:hAnsi="Calibri" w:cs="Calibri"/>
                <w:sz w:val="16"/>
                <w:szCs w:val="16"/>
              </w:rPr>
              <w:t>Edified</w:t>
            </w:r>
          </w:p>
        </w:tc>
        <w:tc>
          <w:tcPr>
            <w:tcW w:w="2127" w:type="dxa"/>
            <w:tcBorders>
              <w:top w:val="single" w:sz="4" w:space="0" w:color="auto"/>
              <w:bottom w:val="single" w:sz="4" w:space="0" w:color="auto"/>
            </w:tcBorders>
            <w:shd w:val="clear" w:color="auto" w:fill="auto"/>
          </w:tcPr>
          <w:p w14:paraId="2C470B67"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conduct an objective analysis and evaluation of international student program marketing activity and a competitor scan for best practice examples to provide recommendations regarding future marketing activities and service innovations.</w:t>
            </w:r>
          </w:p>
        </w:tc>
        <w:tc>
          <w:tcPr>
            <w:tcW w:w="2409" w:type="dxa"/>
            <w:tcBorders>
              <w:top w:val="single" w:sz="4" w:space="0" w:color="auto"/>
              <w:bottom w:val="single" w:sz="4" w:space="0" w:color="auto"/>
            </w:tcBorders>
          </w:tcPr>
          <w:p w14:paraId="3C8D3E2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review the international student program. Study tour programs and education agents are also in scope.</w:t>
            </w:r>
          </w:p>
        </w:tc>
        <w:tc>
          <w:tcPr>
            <w:tcW w:w="1134" w:type="dxa"/>
            <w:tcBorders>
              <w:top w:val="single" w:sz="4" w:space="0" w:color="auto"/>
              <w:bottom w:val="single" w:sz="4" w:space="0" w:color="auto"/>
            </w:tcBorders>
          </w:tcPr>
          <w:p w14:paraId="1195CF1C" w14:textId="77777777" w:rsidR="00951BB7" w:rsidRPr="00946824" w:rsidRDefault="00951BB7" w:rsidP="00375B4C">
            <w:pPr>
              <w:pStyle w:val="ESTablebody"/>
              <w:rPr>
                <w:rFonts w:ascii="Calibri" w:hAnsi="Calibri" w:cs="Calibri"/>
                <w:sz w:val="16"/>
                <w:szCs w:val="16"/>
              </w:rPr>
            </w:pPr>
            <w:r w:rsidRPr="00355385">
              <w:rPr>
                <w:rFonts w:ascii="Calibri" w:hAnsi="Calibri" w:cs="Calibri"/>
                <w:sz w:val="16"/>
                <w:szCs w:val="16"/>
              </w:rPr>
              <w:t>October 2020 – January 2021</w:t>
            </w:r>
          </w:p>
        </w:tc>
        <w:tc>
          <w:tcPr>
            <w:tcW w:w="1701" w:type="dxa"/>
            <w:tcBorders>
              <w:top w:val="single" w:sz="4" w:space="0" w:color="auto"/>
              <w:bottom w:val="single" w:sz="4" w:space="0" w:color="auto"/>
            </w:tcBorders>
          </w:tcPr>
          <w:p w14:paraId="3B372B75" w14:textId="77777777" w:rsidR="00951BB7" w:rsidRPr="00946824" w:rsidRDefault="00951BB7" w:rsidP="00375B4C">
            <w:pPr>
              <w:pStyle w:val="ESTablebody"/>
              <w:rPr>
                <w:rFonts w:ascii="Calibri" w:hAnsi="Calibri" w:cs="Calibri"/>
                <w:sz w:val="16"/>
                <w:szCs w:val="16"/>
              </w:rPr>
            </w:pPr>
            <w:r w:rsidRPr="00355385">
              <w:rPr>
                <w:rFonts w:ascii="Calibri" w:hAnsi="Calibri" w:cs="Calibri"/>
                <w:sz w:val="16"/>
                <w:szCs w:val="16"/>
              </w:rPr>
              <w:t>Produce a report to preserve and enhance the international student program brand and reputation. The report will also guide the marketing and communications strategy.</w:t>
            </w:r>
          </w:p>
        </w:tc>
        <w:tc>
          <w:tcPr>
            <w:tcW w:w="1134" w:type="dxa"/>
            <w:tcBorders>
              <w:top w:val="single" w:sz="4" w:space="0" w:color="auto"/>
              <w:bottom w:val="single" w:sz="4" w:space="0" w:color="auto"/>
            </w:tcBorders>
          </w:tcPr>
          <w:p w14:paraId="4E8AE984"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70,000</w:t>
            </w:r>
          </w:p>
        </w:tc>
        <w:tc>
          <w:tcPr>
            <w:tcW w:w="993" w:type="dxa"/>
            <w:tcBorders>
              <w:top w:val="single" w:sz="4" w:space="0" w:color="auto"/>
              <w:bottom w:val="single" w:sz="4" w:space="0" w:color="auto"/>
            </w:tcBorders>
          </w:tcPr>
          <w:p w14:paraId="422D47C4"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109,075</w:t>
            </w:r>
          </w:p>
        </w:tc>
        <w:tc>
          <w:tcPr>
            <w:tcW w:w="1622" w:type="dxa"/>
            <w:tcBorders>
              <w:top w:val="single" w:sz="4" w:space="0" w:color="auto"/>
              <w:bottom w:val="single" w:sz="4" w:space="0" w:color="auto"/>
            </w:tcBorders>
          </w:tcPr>
          <w:p w14:paraId="5E2709BC"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N</w:t>
            </w:r>
          </w:p>
        </w:tc>
      </w:tr>
      <w:tr w:rsidR="00951BB7" w:rsidRPr="00925213" w14:paraId="4EAD9BD5" w14:textId="77777777" w:rsidTr="00A94D2D">
        <w:trPr>
          <w:cantSplit/>
          <w:trHeight w:val="628"/>
        </w:trPr>
        <w:tc>
          <w:tcPr>
            <w:tcW w:w="1696" w:type="dxa"/>
            <w:tcBorders>
              <w:top w:val="single" w:sz="4" w:space="0" w:color="auto"/>
              <w:bottom w:val="single" w:sz="4" w:space="0" w:color="auto"/>
            </w:tcBorders>
            <w:shd w:val="clear" w:color="auto" w:fill="auto"/>
          </w:tcPr>
          <w:p w14:paraId="088F4834" w14:textId="77777777" w:rsidR="00951BB7" w:rsidRDefault="00951BB7" w:rsidP="00A94D2D">
            <w:pPr>
              <w:pStyle w:val="ESTablebody"/>
              <w:rPr>
                <w:rFonts w:ascii="Calibri" w:hAnsi="Calibri" w:cs="Calibri"/>
                <w:sz w:val="16"/>
                <w:szCs w:val="16"/>
              </w:rPr>
            </w:pPr>
            <w:r w:rsidRPr="006B57F3">
              <w:rPr>
                <w:rFonts w:ascii="Calibri" w:hAnsi="Calibri" w:cs="Calibri"/>
                <w:sz w:val="16"/>
                <w:szCs w:val="16"/>
              </w:rPr>
              <w:t>Investing in our People</w:t>
            </w:r>
            <w:r>
              <w:rPr>
                <w:rFonts w:ascii="Calibri" w:hAnsi="Calibri" w:cs="Calibri"/>
                <w:sz w:val="16"/>
                <w:szCs w:val="16"/>
              </w:rPr>
              <w:t xml:space="preserve"> evaluation</w:t>
            </w:r>
          </w:p>
          <w:p w14:paraId="7BD1B739" w14:textId="77777777" w:rsidR="00951BB7" w:rsidRPr="00BD4000" w:rsidRDefault="00951BB7" w:rsidP="00A94D2D">
            <w:pPr>
              <w:pStyle w:val="ESTablebody"/>
              <w:rPr>
                <w:rFonts w:ascii="Calibri" w:hAnsi="Calibri" w:cs="Calibri"/>
                <w:sz w:val="16"/>
                <w:szCs w:val="16"/>
              </w:rPr>
            </w:pPr>
            <w:r>
              <w:rPr>
                <w:rFonts w:ascii="Calibri" w:hAnsi="Calibri" w:cs="Calibri"/>
                <w:sz w:val="16"/>
                <w:szCs w:val="16"/>
              </w:rPr>
              <w:t>(</w:t>
            </w:r>
            <w:r w:rsidRPr="00A94D2D">
              <w:rPr>
                <w:rFonts w:ascii="Calibri" w:hAnsi="Calibri" w:cs="Calibri"/>
                <w:sz w:val="16"/>
                <w:szCs w:val="16"/>
              </w:rPr>
              <w:t xml:space="preserve">Education </w:t>
            </w:r>
            <w:r>
              <w:rPr>
                <w:rFonts w:ascii="Calibri" w:hAnsi="Calibri" w:cs="Calibri"/>
                <w:sz w:val="16"/>
                <w:szCs w:val="16"/>
              </w:rPr>
              <w:t>p</w:t>
            </w:r>
            <w:r w:rsidRPr="00A94D2D">
              <w:rPr>
                <w:rFonts w:ascii="Calibri" w:hAnsi="Calibri" w:cs="Calibri"/>
                <w:sz w:val="16"/>
                <w:szCs w:val="16"/>
              </w:rPr>
              <w:t xml:space="preserve">ortfolio, </w:t>
            </w:r>
            <w:r w:rsidRPr="00566BA3">
              <w:rPr>
                <w:rFonts w:ascii="Calibri" w:hAnsi="Calibri" w:cs="Calibri"/>
                <w:sz w:val="16"/>
                <w:szCs w:val="16"/>
              </w:rPr>
              <w:t>Strategy Review and Regulation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76EF8B9" w14:textId="77777777" w:rsidR="00951BB7" w:rsidRDefault="00951BB7" w:rsidP="00A94D2D">
            <w:pPr>
              <w:pStyle w:val="ESTablebody"/>
              <w:rPr>
                <w:rFonts w:ascii="Calibri" w:hAnsi="Calibri" w:cs="Calibri"/>
                <w:sz w:val="16"/>
                <w:szCs w:val="16"/>
              </w:rPr>
            </w:pPr>
            <w:r w:rsidRPr="00A94D2D">
              <w:rPr>
                <w:rFonts w:ascii="Calibri" w:hAnsi="Calibri" w:cs="Calibri"/>
                <w:sz w:val="16"/>
                <w:szCs w:val="16"/>
              </w:rPr>
              <w:t>Pinnacle Group Australia</w:t>
            </w:r>
          </w:p>
        </w:tc>
        <w:tc>
          <w:tcPr>
            <w:tcW w:w="2127" w:type="dxa"/>
            <w:tcBorders>
              <w:top w:val="single" w:sz="4" w:space="0" w:color="auto"/>
              <w:bottom w:val="single" w:sz="4" w:space="0" w:color="auto"/>
            </w:tcBorders>
            <w:shd w:val="clear" w:color="auto" w:fill="auto"/>
          </w:tcPr>
          <w:p w14:paraId="3748A427" w14:textId="77777777" w:rsidR="00951BB7" w:rsidRPr="00A94D2D" w:rsidRDefault="00951BB7" w:rsidP="00A94D2D">
            <w:pPr>
              <w:pStyle w:val="ESTablebody"/>
              <w:rPr>
                <w:rFonts w:ascii="Calibri" w:hAnsi="Calibri" w:cs="Calibri"/>
                <w:sz w:val="16"/>
                <w:szCs w:val="16"/>
              </w:rPr>
            </w:pPr>
            <w:r w:rsidRPr="00A94D2D">
              <w:rPr>
                <w:rFonts w:ascii="Calibri" w:hAnsi="Calibri" w:cs="Calibri"/>
                <w:sz w:val="16"/>
                <w:szCs w:val="16"/>
              </w:rPr>
              <w:t xml:space="preserve">To review the 2016–20 </w:t>
            </w:r>
            <w:r>
              <w:rPr>
                <w:rFonts w:ascii="Calibri" w:hAnsi="Calibri" w:cs="Calibri"/>
                <w:sz w:val="16"/>
                <w:szCs w:val="16"/>
              </w:rPr>
              <w:t>Victorian Public Sector</w:t>
            </w:r>
            <w:r w:rsidRPr="00A94D2D">
              <w:rPr>
                <w:rFonts w:ascii="Calibri" w:hAnsi="Calibri" w:cs="Calibri"/>
                <w:sz w:val="16"/>
                <w:szCs w:val="16"/>
              </w:rPr>
              <w:t xml:space="preserve"> People Strategy, the Investing in Our People Strategy. </w:t>
            </w:r>
          </w:p>
        </w:tc>
        <w:tc>
          <w:tcPr>
            <w:tcW w:w="2409" w:type="dxa"/>
            <w:tcBorders>
              <w:top w:val="single" w:sz="4" w:space="0" w:color="auto"/>
              <w:bottom w:val="single" w:sz="4" w:space="0" w:color="auto"/>
            </w:tcBorders>
          </w:tcPr>
          <w:p w14:paraId="78CE48ED" w14:textId="77777777" w:rsidR="00951BB7" w:rsidRPr="00A94D2D" w:rsidRDefault="00951BB7" w:rsidP="00A94D2D">
            <w:pPr>
              <w:pStyle w:val="ESTablebody"/>
              <w:rPr>
                <w:rFonts w:ascii="Calibri" w:hAnsi="Calibri" w:cs="Calibri"/>
                <w:sz w:val="16"/>
                <w:szCs w:val="16"/>
              </w:rPr>
            </w:pPr>
            <w:r w:rsidRPr="00A94D2D">
              <w:rPr>
                <w:rFonts w:ascii="Calibri" w:hAnsi="Calibri" w:cs="Calibri"/>
                <w:sz w:val="16"/>
                <w:szCs w:val="16"/>
              </w:rPr>
              <w:t xml:space="preserve">To review the Department’s inaugural People Strategy, to gain insights and help shape and inform the Department’s next VPS People Strategy. </w:t>
            </w:r>
          </w:p>
        </w:tc>
        <w:tc>
          <w:tcPr>
            <w:tcW w:w="1134" w:type="dxa"/>
            <w:tcBorders>
              <w:top w:val="single" w:sz="4" w:space="0" w:color="auto"/>
              <w:bottom w:val="single" w:sz="4" w:space="0" w:color="auto"/>
            </w:tcBorders>
          </w:tcPr>
          <w:p w14:paraId="1CD0A75B" w14:textId="77777777" w:rsidR="00951BB7" w:rsidRPr="00A94D2D" w:rsidRDefault="00951BB7" w:rsidP="00A94D2D">
            <w:pPr>
              <w:pStyle w:val="ESTablebody"/>
              <w:rPr>
                <w:rFonts w:ascii="Calibri" w:hAnsi="Calibri" w:cs="Calibri"/>
                <w:sz w:val="16"/>
                <w:szCs w:val="16"/>
              </w:rPr>
            </w:pPr>
            <w:r w:rsidRPr="00A94D2D">
              <w:rPr>
                <w:rFonts w:ascii="Calibri" w:hAnsi="Calibri" w:cs="Calibri"/>
                <w:sz w:val="16"/>
                <w:szCs w:val="16"/>
              </w:rPr>
              <w:t>April 2020</w:t>
            </w:r>
            <w:r>
              <w:rPr>
                <w:rFonts w:ascii="Calibri" w:hAnsi="Calibri" w:cs="Calibri"/>
                <w:sz w:val="16"/>
                <w:szCs w:val="16"/>
              </w:rPr>
              <w:t xml:space="preserve"> – January 2021</w:t>
            </w:r>
          </w:p>
        </w:tc>
        <w:tc>
          <w:tcPr>
            <w:tcW w:w="1701" w:type="dxa"/>
            <w:tcBorders>
              <w:top w:val="single" w:sz="4" w:space="0" w:color="auto"/>
              <w:bottom w:val="single" w:sz="4" w:space="0" w:color="auto"/>
            </w:tcBorders>
          </w:tcPr>
          <w:p w14:paraId="0BB12042" w14:textId="77777777" w:rsidR="00951BB7" w:rsidRPr="00A94D2D" w:rsidRDefault="00951BB7" w:rsidP="00A94D2D">
            <w:pPr>
              <w:pStyle w:val="ESTablebody"/>
              <w:rPr>
                <w:rFonts w:ascii="Calibri" w:hAnsi="Calibri" w:cs="Calibri"/>
                <w:sz w:val="16"/>
                <w:szCs w:val="16"/>
              </w:rPr>
            </w:pPr>
            <w:r w:rsidRPr="00A94D2D">
              <w:rPr>
                <w:rFonts w:ascii="Calibri" w:hAnsi="Calibri" w:cs="Calibri"/>
                <w:sz w:val="16"/>
                <w:szCs w:val="16"/>
              </w:rPr>
              <w:t xml:space="preserve">To provide the Department with insights into the impact of the Strategy including the provision of a findings report to help inform the development of the subsequent strategy. </w:t>
            </w:r>
          </w:p>
        </w:tc>
        <w:tc>
          <w:tcPr>
            <w:tcW w:w="1134" w:type="dxa"/>
            <w:tcBorders>
              <w:top w:val="single" w:sz="4" w:space="0" w:color="auto"/>
              <w:bottom w:val="single" w:sz="4" w:space="0" w:color="auto"/>
            </w:tcBorders>
          </w:tcPr>
          <w:p w14:paraId="252F416B" w14:textId="77777777" w:rsidR="00951BB7" w:rsidRPr="00A94D2D" w:rsidRDefault="00951BB7" w:rsidP="00A94D2D">
            <w:pPr>
              <w:pStyle w:val="ESTablebody"/>
              <w:jc w:val="right"/>
              <w:rPr>
                <w:rFonts w:ascii="Calibri" w:hAnsi="Calibri" w:cs="Calibri"/>
                <w:sz w:val="16"/>
                <w:szCs w:val="16"/>
              </w:rPr>
            </w:pPr>
            <w:r w:rsidRPr="00A94D2D">
              <w:rPr>
                <w:rFonts w:ascii="Calibri" w:hAnsi="Calibri" w:cs="Calibri"/>
                <w:sz w:val="16"/>
                <w:szCs w:val="16"/>
              </w:rPr>
              <w:t>20,000</w:t>
            </w:r>
          </w:p>
        </w:tc>
        <w:tc>
          <w:tcPr>
            <w:tcW w:w="993" w:type="dxa"/>
            <w:tcBorders>
              <w:top w:val="single" w:sz="4" w:space="0" w:color="auto"/>
              <w:bottom w:val="single" w:sz="4" w:space="0" w:color="auto"/>
            </w:tcBorders>
          </w:tcPr>
          <w:p w14:paraId="20ED7D9D" w14:textId="77777777" w:rsidR="00951BB7" w:rsidRPr="00A94D2D" w:rsidRDefault="00951BB7" w:rsidP="00A94D2D">
            <w:pPr>
              <w:pStyle w:val="ESTablebody"/>
              <w:jc w:val="right"/>
              <w:rPr>
                <w:rFonts w:ascii="Calibri" w:hAnsi="Calibri" w:cs="Calibri"/>
                <w:sz w:val="16"/>
                <w:szCs w:val="16"/>
              </w:rPr>
            </w:pPr>
            <w:r w:rsidRPr="00A94D2D">
              <w:rPr>
                <w:rFonts w:ascii="Calibri" w:hAnsi="Calibri" w:cs="Calibri"/>
                <w:sz w:val="16"/>
                <w:szCs w:val="16"/>
              </w:rPr>
              <w:t>20,000</w:t>
            </w:r>
          </w:p>
        </w:tc>
        <w:tc>
          <w:tcPr>
            <w:tcW w:w="1622" w:type="dxa"/>
            <w:tcBorders>
              <w:top w:val="single" w:sz="4" w:space="0" w:color="auto"/>
              <w:bottom w:val="single" w:sz="4" w:space="0" w:color="auto"/>
            </w:tcBorders>
          </w:tcPr>
          <w:p w14:paraId="51F8BE69" w14:textId="77777777" w:rsidR="00951BB7" w:rsidRPr="00A94D2D" w:rsidRDefault="00951BB7" w:rsidP="00A94D2D">
            <w:pPr>
              <w:pStyle w:val="ESTablebody"/>
              <w:jc w:val="right"/>
              <w:rPr>
                <w:rFonts w:ascii="Calibri" w:hAnsi="Calibri" w:cs="Calibri"/>
                <w:sz w:val="16"/>
                <w:szCs w:val="16"/>
              </w:rPr>
            </w:pPr>
            <w:r w:rsidRPr="00A94D2D">
              <w:rPr>
                <w:rFonts w:ascii="Calibri" w:hAnsi="Calibri" w:cs="Calibri"/>
                <w:sz w:val="16"/>
                <w:szCs w:val="16"/>
              </w:rPr>
              <w:t>N</w:t>
            </w:r>
          </w:p>
        </w:tc>
      </w:tr>
      <w:tr w:rsidR="00951BB7" w:rsidRPr="00925213" w14:paraId="234015F0" w14:textId="77777777" w:rsidTr="00383663">
        <w:trPr>
          <w:cantSplit/>
          <w:trHeight w:val="628"/>
        </w:trPr>
        <w:tc>
          <w:tcPr>
            <w:tcW w:w="1696" w:type="dxa"/>
            <w:tcBorders>
              <w:top w:val="single" w:sz="4" w:space="0" w:color="auto"/>
              <w:bottom w:val="single" w:sz="4" w:space="0" w:color="auto"/>
            </w:tcBorders>
            <w:shd w:val="clear" w:color="auto" w:fill="auto"/>
          </w:tcPr>
          <w:p w14:paraId="75402479"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lastRenderedPageBreak/>
              <w:t>Job feed data</w:t>
            </w:r>
          </w:p>
          <w:p w14:paraId="38C43DF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5B898731"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Burning Glass International</w:t>
            </w:r>
          </w:p>
        </w:tc>
        <w:tc>
          <w:tcPr>
            <w:tcW w:w="2127" w:type="dxa"/>
            <w:tcBorders>
              <w:top w:val="single" w:sz="4" w:space="0" w:color="auto"/>
              <w:bottom w:val="single" w:sz="4" w:space="0" w:color="auto"/>
            </w:tcBorders>
            <w:shd w:val="clear" w:color="auto" w:fill="auto"/>
          </w:tcPr>
          <w:p w14:paraId="46143C91"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provide job feed data.</w:t>
            </w:r>
          </w:p>
        </w:tc>
        <w:tc>
          <w:tcPr>
            <w:tcW w:w="2409" w:type="dxa"/>
            <w:tcBorders>
              <w:top w:val="single" w:sz="4" w:space="0" w:color="auto"/>
              <w:bottom w:val="single" w:sz="4" w:space="0" w:color="auto"/>
            </w:tcBorders>
          </w:tcPr>
          <w:p w14:paraId="11645162"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provide detailed real-time and time-series job feed data that covers Victorian online job vacancies and is coded to standard classification structures.</w:t>
            </w:r>
          </w:p>
        </w:tc>
        <w:tc>
          <w:tcPr>
            <w:tcW w:w="1134" w:type="dxa"/>
            <w:tcBorders>
              <w:top w:val="single" w:sz="4" w:space="0" w:color="auto"/>
              <w:bottom w:val="single" w:sz="4" w:space="0" w:color="auto"/>
            </w:tcBorders>
          </w:tcPr>
          <w:p w14:paraId="5092D3C0"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August 2020 – May 2022</w:t>
            </w:r>
          </w:p>
        </w:tc>
        <w:tc>
          <w:tcPr>
            <w:tcW w:w="1701" w:type="dxa"/>
            <w:tcBorders>
              <w:top w:val="single" w:sz="4" w:space="0" w:color="auto"/>
              <w:bottom w:val="single" w:sz="4" w:space="0" w:color="auto"/>
            </w:tcBorders>
          </w:tcPr>
          <w:p w14:paraId="2BD23A9A"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use the data to support and update the Department’s models and tools, which in turn allow for up-to-date advice on the </w:t>
            </w:r>
            <w:proofErr w:type="spellStart"/>
            <w:r w:rsidRPr="00355385">
              <w:rPr>
                <w:rFonts w:ascii="Calibri" w:hAnsi="Calibri" w:cs="Calibri"/>
                <w:sz w:val="16"/>
                <w:szCs w:val="16"/>
              </w:rPr>
              <w:t>labour</w:t>
            </w:r>
            <w:proofErr w:type="spellEnd"/>
            <w:r w:rsidRPr="00355385">
              <w:rPr>
                <w:rFonts w:ascii="Calibri" w:hAnsi="Calibri" w:cs="Calibri"/>
                <w:sz w:val="16"/>
                <w:szCs w:val="16"/>
              </w:rPr>
              <w:t xml:space="preserve"> market and its implications for training.</w:t>
            </w:r>
          </w:p>
        </w:tc>
        <w:tc>
          <w:tcPr>
            <w:tcW w:w="1134" w:type="dxa"/>
            <w:tcBorders>
              <w:top w:val="single" w:sz="4" w:space="0" w:color="auto"/>
              <w:bottom w:val="single" w:sz="4" w:space="0" w:color="auto"/>
            </w:tcBorders>
          </w:tcPr>
          <w:p w14:paraId="3B1EF538" w14:textId="77777777" w:rsidR="00951BB7" w:rsidRPr="00925213" w:rsidRDefault="00951BB7" w:rsidP="00375B4C">
            <w:pPr>
              <w:spacing w:before="120" w:after="120"/>
              <w:jc w:val="right"/>
              <w:rPr>
                <w:rFonts w:ascii="Calibri" w:eastAsia="Times New Roman" w:hAnsi="Calibri" w:cs="Calibri"/>
                <w:sz w:val="16"/>
                <w:szCs w:val="16"/>
                <w:lang w:val="en-US"/>
              </w:rPr>
            </w:pPr>
            <w:r w:rsidRPr="002A3C2C">
              <w:rPr>
                <w:rFonts w:ascii="Calibri" w:eastAsia="Times New Roman" w:hAnsi="Calibri" w:cs="Calibri"/>
                <w:sz w:val="18"/>
                <w:szCs w:val="18"/>
                <w:lang w:val="en-US"/>
              </w:rPr>
              <w:t>181,800</w:t>
            </w:r>
          </w:p>
        </w:tc>
        <w:tc>
          <w:tcPr>
            <w:tcW w:w="993" w:type="dxa"/>
            <w:tcBorders>
              <w:top w:val="single" w:sz="4" w:space="0" w:color="auto"/>
              <w:bottom w:val="single" w:sz="4" w:space="0" w:color="auto"/>
            </w:tcBorders>
          </w:tcPr>
          <w:p w14:paraId="2DB245EE" w14:textId="77777777" w:rsidR="00951BB7" w:rsidRPr="00925213" w:rsidRDefault="00951BB7" w:rsidP="00375B4C">
            <w:pPr>
              <w:spacing w:before="120" w:after="120"/>
              <w:jc w:val="right"/>
              <w:rPr>
                <w:rFonts w:ascii="Calibri" w:eastAsia="Times New Roman" w:hAnsi="Calibri" w:cs="Calibri"/>
                <w:sz w:val="16"/>
                <w:szCs w:val="16"/>
                <w:lang w:val="en-US"/>
              </w:rPr>
            </w:pPr>
            <w:r w:rsidRPr="002A3C2C">
              <w:rPr>
                <w:rFonts w:ascii="Calibri" w:eastAsia="Times New Roman" w:hAnsi="Calibri" w:cs="Calibri"/>
                <w:sz w:val="18"/>
                <w:szCs w:val="18"/>
                <w:lang w:val="en-US"/>
              </w:rPr>
              <w:t>181,800</w:t>
            </w:r>
          </w:p>
        </w:tc>
        <w:tc>
          <w:tcPr>
            <w:tcW w:w="1622" w:type="dxa"/>
            <w:tcBorders>
              <w:top w:val="single" w:sz="4" w:space="0" w:color="auto"/>
              <w:bottom w:val="single" w:sz="4" w:space="0" w:color="auto"/>
            </w:tcBorders>
          </w:tcPr>
          <w:p w14:paraId="2B31741C" w14:textId="77777777" w:rsidR="00951BB7" w:rsidRPr="00925213" w:rsidRDefault="00951BB7" w:rsidP="00375B4C">
            <w:pPr>
              <w:spacing w:before="120" w:after="120"/>
              <w:jc w:val="right"/>
              <w:rPr>
                <w:rFonts w:ascii="Calibri" w:eastAsia="Times New Roman" w:hAnsi="Calibri" w:cs="Calibri"/>
                <w:sz w:val="16"/>
                <w:szCs w:val="16"/>
                <w:lang w:val="en-US"/>
              </w:rPr>
            </w:pPr>
            <w:r w:rsidRPr="002A3C2C">
              <w:rPr>
                <w:rFonts w:ascii="Calibri" w:eastAsia="Times New Roman" w:hAnsi="Calibri" w:cs="Calibri"/>
                <w:sz w:val="18"/>
                <w:szCs w:val="18"/>
                <w:lang w:val="en-US"/>
              </w:rPr>
              <w:t>N</w:t>
            </w:r>
          </w:p>
        </w:tc>
      </w:tr>
      <w:tr w:rsidR="00951BB7" w:rsidRPr="00925213" w14:paraId="686A7532" w14:textId="77777777" w:rsidTr="00383663">
        <w:trPr>
          <w:cantSplit/>
          <w:trHeight w:val="628"/>
        </w:trPr>
        <w:tc>
          <w:tcPr>
            <w:tcW w:w="1696" w:type="dxa"/>
            <w:tcBorders>
              <w:top w:val="single" w:sz="4" w:space="0" w:color="auto"/>
              <w:bottom w:val="single" w:sz="4" w:space="0" w:color="auto"/>
            </w:tcBorders>
            <w:shd w:val="clear" w:color="auto" w:fill="auto"/>
          </w:tcPr>
          <w:p w14:paraId="6C9661C4" w14:textId="77777777" w:rsidR="00951BB7" w:rsidRPr="00355385" w:rsidRDefault="00951BB7" w:rsidP="00355385">
            <w:pPr>
              <w:pStyle w:val="ESTablebody"/>
              <w:rPr>
                <w:rFonts w:ascii="Calibri" w:hAnsi="Calibri" w:cs="Calibri"/>
                <w:sz w:val="16"/>
                <w:szCs w:val="16"/>
              </w:rPr>
            </w:pPr>
            <w:proofErr w:type="spellStart"/>
            <w:r w:rsidRPr="00355385">
              <w:rPr>
                <w:rFonts w:ascii="Calibri" w:hAnsi="Calibri" w:cs="Calibri"/>
                <w:sz w:val="16"/>
                <w:szCs w:val="16"/>
              </w:rPr>
              <w:t>Koorie</w:t>
            </w:r>
            <w:proofErr w:type="spellEnd"/>
            <w:r w:rsidRPr="00355385">
              <w:rPr>
                <w:rFonts w:ascii="Calibri" w:hAnsi="Calibri" w:cs="Calibri"/>
                <w:sz w:val="16"/>
                <w:szCs w:val="16"/>
              </w:rPr>
              <w:t xml:space="preserve"> education operational workforce review</w:t>
            </w:r>
          </w:p>
          <w:p w14:paraId="60318447" w14:textId="77777777" w:rsidR="00951BB7" w:rsidRPr="00355385" w:rsidRDefault="00951BB7" w:rsidP="00355385">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Pr>
                <w:rFonts w:ascii="Calibri" w:hAnsi="Calibri" w:cs="Calibri"/>
                <w:sz w:val="16"/>
                <w:szCs w:val="16"/>
              </w:rPr>
              <w:t>—P</w:t>
            </w:r>
            <w:r w:rsidRPr="00925213">
              <w:rPr>
                <w:rFonts w:ascii="Calibri" w:hAnsi="Calibri" w:cs="Calibri"/>
                <w:sz w:val="16"/>
                <w:szCs w:val="16"/>
              </w:rPr>
              <w:t xml:space="preserve">rimary and </w:t>
            </w:r>
            <w:r>
              <w:rPr>
                <w:rFonts w:ascii="Calibri" w:hAnsi="Calibri" w:cs="Calibri"/>
                <w:sz w:val="16"/>
                <w:szCs w:val="16"/>
              </w:rPr>
              <w:t>S</w:t>
            </w:r>
            <w:r w:rsidRPr="00925213">
              <w:rPr>
                <w:rFonts w:ascii="Calibri" w:hAnsi="Calibri" w:cs="Calibri"/>
                <w:sz w:val="16"/>
                <w:szCs w:val="16"/>
              </w:rPr>
              <w:t>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66AC7D2B" w14:textId="77777777" w:rsidR="00951BB7" w:rsidRPr="00946824" w:rsidRDefault="00951BB7" w:rsidP="00355385">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024AD19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understand current resourcing needs as well as work activities of </w:t>
            </w:r>
            <w:proofErr w:type="spellStart"/>
            <w:r w:rsidRPr="00355385">
              <w:rPr>
                <w:rFonts w:ascii="Calibri" w:hAnsi="Calibri" w:cs="Calibri"/>
                <w:sz w:val="16"/>
                <w:szCs w:val="16"/>
              </w:rPr>
              <w:t>Koorie</w:t>
            </w:r>
            <w:proofErr w:type="spellEnd"/>
            <w:r w:rsidRPr="00355385">
              <w:rPr>
                <w:rFonts w:ascii="Calibri" w:hAnsi="Calibri" w:cs="Calibri"/>
                <w:sz w:val="16"/>
                <w:szCs w:val="16"/>
              </w:rPr>
              <w:t xml:space="preserve"> engagement support officers and the </w:t>
            </w:r>
            <w:proofErr w:type="spellStart"/>
            <w:r w:rsidRPr="00355385">
              <w:rPr>
                <w:rFonts w:ascii="Calibri" w:hAnsi="Calibri" w:cs="Calibri"/>
                <w:sz w:val="16"/>
                <w:szCs w:val="16"/>
              </w:rPr>
              <w:t>Koorie</w:t>
            </w:r>
            <w:proofErr w:type="spellEnd"/>
            <w:r w:rsidRPr="00355385">
              <w:rPr>
                <w:rFonts w:ascii="Calibri" w:hAnsi="Calibri" w:cs="Calibri"/>
                <w:sz w:val="16"/>
                <w:szCs w:val="16"/>
              </w:rPr>
              <w:t xml:space="preserve"> education coordinators.</w:t>
            </w:r>
          </w:p>
        </w:tc>
        <w:tc>
          <w:tcPr>
            <w:tcW w:w="2409" w:type="dxa"/>
            <w:tcBorders>
              <w:top w:val="single" w:sz="4" w:space="0" w:color="auto"/>
              <w:bottom w:val="single" w:sz="4" w:space="0" w:color="auto"/>
            </w:tcBorders>
          </w:tcPr>
          <w:p w14:paraId="0B58123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review existing data on workforce distribution comparative to early childhood and school locations, including consideration of </w:t>
            </w:r>
            <w:proofErr w:type="spellStart"/>
            <w:r w:rsidRPr="00355385">
              <w:rPr>
                <w:rFonts w:ascii="Calibri" w:hAnsi="Calibri" w:cs="Calibri"/>
                <w:sz w:val="16"/>
                <w:szCs w:val="16"/>
              </w:rPr>
              <w:t>Koorie</w:t>
            </w:r>
            <w:proofErr w:type="spellEnd"/>
            <w:r w:rsidRPr="00355385">
              <w:rPr>
                <w:rFonts w:ascii="Calibri" w:hAnsi="Calibri" w:cs="Calibri"/>
                <w:sz w:val="16"/>
                <w:szCs w:val="16"/>
              </w:rPr>
              <w:t xml:space="preserve"> children and student populations across the state. The review will develop a stakeholder engagement plan, hold </w:t>
            </w:r>
            <w:proofErr w:type="gramStart"/>
            <w:r w:rsidRPr="00355385">
              <w:rPr>
                <w:rFonts w:ascii="Calibri" w:hAnsi="Calibri" w:cs="Calibri"/>
                <w:sz w:val="16"/>
                <w:szCs w:val="16"/>
              </w:rPr>
              <w:t>interviews</w:t>
            </w:r>
            <w:proofErr w:type="gramEnd"/>
            <w:r w:rsidRPr="00355385">
              <w:rPr>
                <w:rFonts w:ascii="Calibri" w:hAnsi="Calibri" w:cs="Calibri"/>
                <w:sz w:val="16"/>
                <w:szCs w:val="16"/>
              </w:rPr>
              <w:t xml:space="preserve"> and focus groups with identified stakeholders in each region, and deliver an online survey to reach additional </w:t>
            </w:r>
            <w:proofErr w:type="spellStart"/>
            <w:r w:rsidRPr="00355385">
              <w:rPr>
                <w:rFonts w:ascii="Calibri" w:hAnsi="Calibri" w:cs="Calibri"/>
                <w:sz w:val="16"/>
                <w:szCs w:val="16"/>
              </w:rPr>
              <w:t>Koorie</w:t>
            </w:r>
            <w:proofErr w:type="spellEnd"/>
            <w:r w:rsidRPr="00355385">
              <w:rPr>
                <w:rFonts w:ascii="Calibri" w:hAnsi="Calibri" w:cs="Calibri"/>
                <w:sz w:val="16"/>
                <w:szCs w:val="16"/>
              </w:rPr>
              <w:t xml:space="preserve"> education workforce members.</w:t>
            </w:r>
          </w:p>
        </w:tc>
        <w:tc>
          <w:tcPr>
            <w:tcW w:w="1134" w:type="dxa"/>
            <w:tcBorders>
              <w:top w:val="single" w:sz="4" w:space="0" w:color="auto"/>
              <w:bottom w:val="single" w:sz="4" w:space="0" w:color="auto"/>
            </w:tcBorders>
          </w:tcPr>
          <w:p w14:paraId="4CC042FE" w14:textId="77777777" w:rsidR="00951BB7" w:rsidRPr="00946824" w:rsidRDefault="00951BB7" w:rsidP="00355385">
            <w:pPr>
              <w:pStyle w:val="ESTablebody"/>
              <w:rPr>
                <w:rFonts w:ascii="Calibri" w:hAnsi="Calibri" w:cs="Calibri"/>
                <w:sz w:val="16"/>
                <w:szCs w:val="16"/>
              </w:rPr>
            </w:pPr>
            <w:r w:rsidRPr="00355385">
              <w:rPr>
                <w:rFonts w:ascii="Calibri" w:hAnsi="Calibri" w:cs="Calibri"/>
                <w:sz w:val="16"/>
                <w:szCs w:val="16"/>
              </w:rPr>
              <w:t>June 2020 – June 2021</w:t>
            </w:r>
          </w:p>
        </w:tc>
        <w:tc>
          <w:tcPr>
            <w:tcW w:w="1701" w:type="dxa"/>
            <w:tcBorders>
              <w:top w:val="single" w:sz="4" w:space="0" w:color="auto"/>
              <w:bottom w:val="single" w:sz="4" w:space="0" w:color="auto"/>
            </w:tcBorders>
          </w:tcPr>
          <w:p w14:paraId="06D6E7C7" w14:textId="77777777" w:rsidR="00951BB7" w:rsidRPr="00946824" w:rsidRDefault="00951BB7" w:rsidP="00355385">
            <w:pPr>
              <w:pStyle w:val="ESTablebody"/>
              <w:rPr>
                <w:rFonts w:ascii="Calibri" w:hAnsi="Calibri" w:cs="Calibri"/>
                <w:sz w:val="16"/>
                <w:szCs w:val="16"/>
              </w:rPr>
            </w:pPr>
            <w:r w:rsidRPr="00355385">
              <w:rPr>
                <w:rFonts w:ascii="Calibri" w:hAnsi="Calibri" w:cs="Calibri"/>
                <w:sz w:val="16"/>
                <w:szCs w:val="16"/>
              </w:rPr>
              <w:t>To understand how the workforce is distributed across the state, whether current arrangements are equitable and ensure that resources are available in the areas of greatest need.</w:t>
            </w:r>
          </w:p>
        </w:tc>
        <w:tc>
          <w:tcPr>
            <w:tcW w:w="1134" w:type="dxa"/>
            <w:tcBorders>
              <w:top w:val="single" w:sz="4" w:space="0" w:color="auto"/>
              <w:bottom w:val="single" w:sz="4" w:space="0" w:color="auto"/>
            </w:tcBorders>
          </w:tcPr>
          <w:p w14:paraId="7D867BDB"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150,000</w:t>
            </w:r>
          </w:p>
        </w:tc>
        <w:tc>
          <w:tcPr>
            <w:tcW w:w="993" w:type="dxa"/>
            <w:tcBorders>
              <w:top w:val="single" w:sz="4" w:space="0" w:color="auto"/>
              <w:bottom w:val="single" w:sz="4" w:space="0" w:color="auto"/>
            </w:tcBorders>
          </w:tcPr>
          <w:p w14:paraId="2B4A741A"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95,330</w:t>
            </w:r>
          </w:p>
        </w:tc>
        <w:tc>
          <w:tcPr>
            <w:tcW w:w="1622" w:type="dxa"/>
            <w:tcBorders>
              <w:top w:val="single" w:sz="4" w:space="0" w:color="auto"/>
              <w:bottom w:val="single" w:sz="4" w:space="0" w:color="auto"/>
            </w:tcBorders>
          </w:tcPr>
          <w:p w14:paraId="6254C084"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color w:val="000000" w:themeColor="text2"/>
                <w:sz w:val="16"/>
                <w:szCs w:val="16"/>
              </w:rPr>
              <w:t>N</w:t>
            </w:r>
          </w:p>
        </w:tc>
      </w:tr>
      <w:tr w:rsidR="00951BB7" w:rsidRPr="00925213" w14:paraId="3271CEDA" w14:textId="77777777" w:rsidTr="00383663">
        <w:trPr>
          <w:cantSplit/>
          <w:trHeight w:val="628"/>
        </w:trPr>
        <w:tc>
          <w:tcPr>
            <w:tcW w:w="1696" w:type="dxa"/>
            <w:tcBorders>
              <w:top w:val="single" w:sz="4" w:space="0" w:color="auto"/>
              <w:bottom w:val="single" w:sz="4" w:space="0" w:color="auto"/>
            </w:tcBorders>
            <w:shd w:val="clear" w:color="auto" w:fill="auto"/>
          </w:tcPr>
          <w:p w14:paraId="5B005E7F"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Literacy and numeracy strategy evaluation</w:t>
            </w:r>
          </w:p>
          <w:p w14:paraId="38361829"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 xml:space="preserve">Education portfolio, School </w:t>
            </w:r>
            <w:r>
              <w:rPr>
                <w:rFonts w:ascii="Calibri" w:hAnsi="Calibri" w:cs="Calibri"/>
                <w:sz w:val="16"/>
                <w:szCs w:val="16"/>
              </w:rPr>
              <w:t>E</w:t>
            </w:r>
            <w:r w:rsidRPr="00925213">
              <w:rPr>
                <w:rFonts w:ascii="Calibri" w:hAnsi="Calibri" w:cs="Calibri"/>
                <w:sz w:val="16"/>
                <w:szCs w:val="16"/>
              </w:rPr>
              <w:t>ducation</w:t>
            </w:r>
            <w:r>
              <w:rPr>
                <w:rFonts w:ascii="Calibri" w:hAnsi="Calibri" w:cs="Calibri"/>
                <w:sz w:val="16"/>
                <w:szCs w:val="16"/>
              </w:rPr>
              <w:t>—P</w:t>
            </w:r>
            <w:r w:rsidRPr="00925213">
              <w:rPr>
                <w:rFonts w:ascii="Calibri" w:hAnsi="Calibri" w:cs="Calibri"/>
                <w:sz w:val="16"/>
                <w:szCs w:val="16"/>
              </w:rPr>
              <w:t xml:space="preserve">rimary and </w:t>
            </w:r>
            <w:r>
              <w:rPr>
                <w:rFonts w:ascii="Calibri" w:hAnsi="Calibri" w:cs="Calibri"/>
                <w:sz w:val="16"/>
                <w:szCs w:val="16"/>
              </w:rPr>
              <w:t>S</w:t>
            </w:r>
            <w:r w:rsidRPr="00925213">
              <w:rPr>
                <w:rFonts w:ascii="Calibri" w:hAnsi="Calibri" w:cs="Calibri"/>
                <w:sz w:val="16"/>
                <w:szCs w:val="16"/>
              </w:rPr>
              <w:t>econdary</w:t>
            </w:r>
            <w:r>
              <w:rPr>
                <w:rFonts w:ascii="Calibri" w:hAnsi="Calibri" w:cs="Calibri"/>
                <w:sz w:val="16"/>
                <w:szCs w:val="16"/>
              </w:rPr>
              <w:t>)</w:t>
            </w:r>
          </w:p>
          <w:p w14:paraId="0E49B790"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3D13BA8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University of Melbourne: Centre for Program Evaluation </w:t>
            </w:r>
          </w:p>
        </w:tc>
        <w:tc>
          <w:tcPr>
            <w:tcW w:w="2127" w:type="dxa"/>
            <w:tcBorders>
              <w:top w:val="single" w:sz="4" w:space="0" w:color="auto"/>
              <w:bottom w:val="single" w:sz="4" w:space="0" w:color="auto"/>
            </w:tcBorders>
            <w:shd w:val="clear" w:color="auto" w:fill="auto"/>
          </w:tcPr>
          <w:p w14:paraId="38E85F48"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determine the extent to which the strategy improves literacy and numeracy achievement, recommend improvements to the strategy’s design and implementation, and inform decision-making about future investment in literacy and numeracy resources, professional </w:t>
            </w:r>
            <w:proofErr w:type="gramStart"/>
            <w:r w:rsidRPr="00355385">
              <w:rPr>
                <w:rFonts w:ascii="Calibri" w:hAnsi="Calibri" w:cs="Calibri"/>
                <w:sz w:val="16"/>
                <w:szCs w:val="16"/>
              </w:rPr>
              <w:t>learning</w:t>
            </w:r>
            <w:proofErr w:type="gramEnd"/>
            <w:r w:rsidRPr="00355385">
              <w:rPr>
                <w:rFonts w:ascii="Calibri" w:hAnsi="Calibri" w:cs="Calibri"/>
                <w:sz w:val="16"/>
                <w:szCs w:val="16"/>
              </w:rPr>
              <w:t xml:space="preserve"> and other supports.</w:t>
            </w:r>
          </w:p>
          <w:p w14:paraId="459C1F81" w14:textId="77777777" w:rsidR="00951BB7" w:rsidRPr="00355385"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1171633F"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information regarding the collective impact of reform strategies, including the effectiveness, gaps, and opportunities. The evaluation supports the strategy to adapt and enhance over time. </w:t>
            </w:r>
            <w:proofErr w:type="gramStart"/>
            <w:r w:rsidRPr="00925213">
              <w:rPr>
                <w:rFonts w:ascii="Calibri" w:hAnsi="Calibri" w:cs="Calibri"/>
                <w:sz w:val="16"/>
                <w:szCs w:val="16"/>
              </w:rPr>
              <w:t>All of</w:t>
            </w:r>
            <w:proofErr w:type="gramEnd"/>
            <w:r w:rsidRPr="00925213">
              <w:rPr>
                <w:rFonts w:ascii="Calibri" w:hAnsi="Calibri" w:cs="Calibri"/>
                <w:sz w:val="16"/>
                <w:szCs w:val="16"/>
              </w:rPr>
              <w:t xml:space="preserve"> the strategy’s initiatives are in</w:t>
            </w:r>
            <w:r>
              <w:rPr>
                <w:rFonts w:ascii="Calibri" w:hAnsi="Calibri" w:cs="Calibri"/>
                <w:sz w:val="16"/>
                <w:szCs w:val="16"/>
              </w:rPr>
              <w:t xml:space="preserve"> </w:t>
            </w:r>
            <w:r w:rsidRPr="00925213">
              <w:rPr>
                <w:rFonts w:ascii="Calibri" w:hAnsi="Calibri" w:cs="Calibri"/>
                <w:sz w:val="16"/>
                <w:szCs w:val="16"/>
              </w:rPr>
              <w:t>scope.</w:t>
            </w:r>
          </w:p>
        </w:tc>
        <w:tc>
          <w:tcPr>
            <w:tcW w:w="1134" w:type="dxa"/>
            <w:tcBorders>
              <w:top w:val="single" w:sz="4" w:space="0" w:color="auto"/>
              <w:bottom w:val="single" w:sz="4" w:space="0" w:color="auto"/>
            </w:tcBorders>
          </w:tcPr>
          <w:p w14:paraId="45F9110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January 2019 – June 2022</w:t>
            </w:r>
          </w:p>
        </w:tc>
        <w:tc>
          <w:tcPr>
            <w:tcW w:w="1701" w:type="dxa"/>
            <w:tcBorders>
              <w:top w:val="single" w:sz="4" w:space="0" w:color="auto"/>
              <w:bottom w:val="single" w:sz="4" w:space="0" w:color="auto"/>
            </w:tcBorders>
          </w:tcPr>
          <w:p w14:paraId="7F0EE24D"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The evaluation will detail the impact of the strategy, including awareness and engagement, practice change, and student outcomes.</w:t>
            </w:r>
          </w:p>
        </w:tc>
        <w:tc>
          <w:tcPr>
            <w:tcW w:w="1134" w:type="dxa"/>
            <w:tcBorders>
              <w:top w:val="single" w:sz="4" w:space="0" w:color="auto"/>
              <w:bottom w:val="single" w:sz="4" w:space="0" w:color="auto"/>
            </w:tcBorders>
          </w:tcPr>
          <w:p w14:paraId="790C9CFB" w14:textId="77777777" w:rsidR="00951BB7" w:rsidRPr="00925213" w:rsidRDefault="00951BB7" w:rsidP="00375B4C">
            <w:pPr>
              <w:pStyle w:val="ESTablebody"/>
              <w:jc w:val="right"/>
              <w:rPr>
                <w:rFonts w:ascii="Calibri" w:hAnsi="Calibri" w:cs="Calibri"/>
                <w:sz w:val="16"/>
                <w:szCs w:val="16"/>
              </w:rPr>
            </w:pPr>
            <w:r w:rsidRPr="00CF2D68">
              <w:rPr>
                <w:rFonts w:ascii="Calibri" w:hAnsi="Calibri" w:cs="Calibri"/>
                <w:sz w:val="16"/>
                <w:szCs w:val="16"/>
              </w:rPr>
              <w:t>885,942</w:t>
            </w:r>
          </w:p>
        </w:tc>
        <w:tc>
          <w:tcPr>
            <w:tcW w:w="993" w:type="dxa"/>
            <w:tcBorders>
              <w:top w:val="single" w:sz="4" w:space="0" w:color="auto"/>
              <w:bottom w:val="single" w:sz="4" w:space="0" w:color="auto"/>
            </w:tcBorders>
          </w:tcPr>
          <w:p w14:paraId="73EF308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3A24D7A6"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06BACBF1" w14:textId="77777777" w:rsidTr="00383663">
        <w:trPr>
          <w:cantSplit/>
          <w:trHeight w:val="628"/>
        </w:trPr>
        <w:tc>
          <w:tcPr>
            <w:tcW w:w="1696" w:type="dxa"/>
            <w:tcBorders>
              <w:top w:val="single" w:sz="4" w:space="0" w:color="auto"/>
              <w:bottom w:val="single" w:sz="4" w:space="0" w:color="auto"/>
            </w:tcBorders>
            <w:shd w:val="clear" w:color="auto" w:fill="auto"/>
          </w:tcPr>
          <w:p w14:paraId="531948FA" w14:textId="2EE49489" w:rsidR="00951BB7" w:rsidRPr="00670826" w:rsidRDefault="00951BB7" w:rsidP="00372B38">
            <w:pPr>
              <w:pStyle w:val="ESTablebody"/>
              <w:rPr>
                <w:rFonts w:ascii="Calibri" w:hAnsi="Calibri" w:cs="Calibri"/>
                <w:sz w:val="16"/>
                <w:szCs w:val="16"/>
              </w:rPr>
            </w:pPr>
            <w:r w:rsidRPr="00670826">
              <w:rPr>
                <w:rFonts w:ascii="Calibri" w:hAnsi="Calibri" w:cs="Calibri"/>
                <w:sz w:val="16"/>
                <w:szCs w:val="16"/>
              </w:rPr>
              <w:lastRenderedPageBreak/>
              <w:t xml:space="preserve">Local </w:t>
            </w:r>
            <w:proofErr w:type="spellStart"/>
            <w:r w:rsidRPr="00670826">
              <w:rPr>
                <w:rFonts w:ascii="Calibri" w:hAnsi="Calibri" w:cs="Calibri"/>
                <w:sz w:val="16"/>
                <w:szCs w:val="16"/>
              </w:rPr>
              <w:t>Labour</w:t>
            </w:r>
            <w:proofErr w:type="spellEnd"/>
            <w:r w:rsidRPr="00670826">
              <w:rPr>
                <w:rFonts w:ascii="Calibri" w:hAnsi="Calibri" w:cs="Calibri"/>
                <w:sz w:val="16"/>
                <w:szCs w:val="16"/>
              </w:rPr>
              <w:t xml:space="preserve"> Market Needs Extension – COVID Dashboard</w:t>
            </w:r>
          </w:p>
          <w:p w14:paraId="0C11791D" w14:textId="77777777" w:rsidR="00951BB7" w:rsidRPr="00670826" w:rsidRDefault="00951BB7" w:rsidP="00372B38">
            <w:pPr>
              <w:pStyle w:val="ESTablebody"/>
              <w:rPr>
                <w:rFonts w:ascii="Calibri" w:hAnsi="Calibri" w:cs="Calibri"/>
                <w:sz w:val="16"/>
                <w:szCs w:val="16"/>
              </w:rPr>
            </w:pPr>
            <w:r w:rsidRPr="00670826">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155FFC4B" w14:textId="4CABC20A" w:rsidR="00951BB7" w:rsidRPr="00670826" w:rsidRDefault="00DC0A8C" w:rsidP="00372B38">
            <w:pPr>
              <w:pStyle w:val="ESTablebody"/>
              <w:rPr>
                <w:rFonts w:ascii="Calibri" w:hAnsi="Calibri" w:cs="Calibri"/>
                <w:sz w:val="16"/>
                <w:szCs w:val="16"/>
              </w:rPr>
            </w:pPr>
            <w:r>
              <w:rPr>
                <w:rFonts w:ascii="Calibri" w:hAnsi="Calibri" w:cs="Calibri"/>
                <w:sz w:val="16"/>
                <w:szCs w:val="16"/>
              </w:rPr>
              <w:t>Deloitte</w:t>
            </w:r>
          </w:p>
        </w:tc>
        <w:tc>
          <w:tcPr>
            <w:tcW w:w="2127" w:type="dxa"/>
            <w:tcBorders>
              <w:top w:val="single" w:sz="4" w:space="0" w:color="auto"/>
              <w:bottom w:val="single" w:sz="4" w:space="0" w:color="auto"/>
            </w:tcBorders>
            <w:shd w:val="clear" w:color="auto" w:fill="auto"/>
          </w:tcPr>
          <w:p w14:paraId="1E5E89E9" w14:textId="77777777" w:rsidR="00951BB7" w:rsidRPr="00355385" w:rsidRDefault="00951BB7" w:rsidP="00372B38">
            <w:pPr>
              <w:pStyle w:val="ESTablebody"/>
              <w:rPr>
                <w:rFonts w:ascii="Calibri" w:hAnsi="Calibri" w:cs="Calibri"/>
                <w:sz w:val="16"/>
                <w:szCs w:val="16"/>
              </w:rPr>
            </w:pPr>
            <w:r w:rsidRPr="00355385">
              <w:rPr>
                <w:rFonts w:ascii="Calibri" w:hAnsi="Calibri" w:cs="Calibri"/>
                <w:sz w:val="16"/>
                <w:szCs w:val="16"/>
              </w:rPr>
              <w:t xml:space="preserve">To provide a better understanding of the impacts of COVID-19 on the Victorian </w:t>
            </w:r>
            <w:proofErr w:type="spellStart"/>
            <w:r w:rsidRPr="00355385">
              <w:rPr>
                <w:rFonts w:ascii="Calibri" w:hAnsi="Calibri" w:cs="Calibri"/>
                <w:sz w:val="16"/>
                <w:szCs w:val="16"/>
              </w:rPr>
              <w:t>labour</w:t>
            </w:r>
            <w:proofErr w:type="spellEnd"/>
            <w:r w:rsidRPr="00355385">
              <w:rPr>
                <w:rFonts w:ascii="Calibri" w:hAnsi="Calibri" w:cs="Calibri"/>
                <w:sz w:val="16"/>
                <w:szCs w:val="16"/>
              </w:rPr>
              <w:t xml:space="preserve"> market.</w:t>
            </w:r>
          </w:p>
        </w:tc>
        <w:tc>
          <w:tcPr>
            <w:tcW w:w="2409" w:type="dxa"/>
            <w:tcBorders>
              <w:top w:val="single" w:sz="4" w:space="0" w:color="auto"/>
              <w:bottom w:val="single" w:sz="4" w:space="0" w:color="auto"/>
            </w:tcBorders>
          </w:tcPr>
          <w:p w14:paraId="2BDD801E" w14:textId="77777777" w:rsidR="00951BB7" w:rsidRPr="00670826" w:rsidRDefault="00951BB7" w:rsidP="00372B38">
            <w:pPr>
              <w:pStyle w:val="ESTablebody"/>
              <w:rPr>
                <w:rFonts w:ascii="Calibri" w:hAnsi="Calibri" w:cs="Calibri"/>
                <w:sz w:val="16"/>
                <w:szCs w:val="16"/>
              </w:rPr>
            </w:pPr>
            <w:r w:rsidRPr="00355385">
              <w:rPr>
                <w:rFonts w:ascii="Calibri" w:hAnsi="Calibri" w:cs="Calibri"/>
                <w:sz w:val="16"/>
                <w:szCs w:val="16"/>
              </w:rPr>
              <w:t xml:space="preserve">To develop a ‘COVID-19 extension’ to the Local </w:t>
            </w:r>
            <w:proofErr w:type="spellStart"/>
            <w:r w:rsidRPr="00355385">
              <w:rPr>
                <w:rFonts w:ascii="Calibri" w:hAnsi="Calibri" w:cs="Calibri"/>
                <w:sz w:val="16"/>
                <w:szCs w:val="16"/>
              </w:rPr>
              <w:t>Labour</w:t>
            </w:r>
            <w:proofErr w:type="spellEnd"/>
            <w:r w:rsidRPr="00355385">
              <w:rPr>
                <w:rFonts w:ascii="Calibri" w:hAnsi="Calibri" w:cs="Calibri"/>
                <w:sz w:val="16"/>
                <w:szCs w:val="16"/>
              </w:rPr>
              <w:t xml:space="preserve"> Market Needs dashboard, focused on more current rather than granular data.</w:t>
            </w:r>
          </w:p>
        </w:tc>
        <w:tc>
          <w:tcPr>
            <w:tcW w:w="1134" w:type="dxa"/>
            <w:tcBorders>
              <w:top w:val="single" w:sz="4" w:space="0" w:color="auto"/>
              <w:bottom w:val="single" w:sz="4" w:space="0" w:color="auto"/>
            </w:tcBorders>
          </w:tcPr>
          <w:p w14:paraId="6B88DBE2" w14:textId="77777777" w:rsidR="00951BB7" w:rsidRPr="00670826" w:rsidRDefault="00951BB7" w:rsidP="00372B38">
            <w:pPr>
              <w:pStyle w:val="ESTablebody"/>
              <w:rPr>
                <w:rFonts w:ascii="Calibri" w:hAnsi="Calibri" w:cs="Calibri"/>
                <w:sz w:val="16"/>
                <w:szCs w:val="16"/>
              </w:rPr>
            </w:pPr>
            <w:r w:rsidRPr="00355385">
              <w:rPr>
                <w:rFonts w:ascii="Calibri" w:hAnsi="Calibri" w:cs="Calibri"/>
                <w:sz w:val="16"/>
                <w:szCs w:val="16"/>
              </w:rPr>
              <w:t>June –August 2020</w:t>
            </w:r>
          </w:p>
        </w:tc>
        <w:tc>
          <w:tcPr>
            <w:tcW w:w="1701" w:type="dxa"/>
            <w:tcBorders>
              <w:top w:val="single" w:sz="4" w:space="0" w:color="auto"/>
              <w:bottom w:val="single" w:sz="4" w:space="0" w:color="auto"/>
            </w:tcBorders>
          </w:tcPr>
          <w:p w14:paraId="7C6856E6" w14:textId="77777777" w:rsidR="00951BB7" w:rsidRPr="00670826" w:rsidRDefault="00951BB7" w:rsidP="00372B38">
            <w:pPr>
              <w:pStyle w:val="ESTablebody"/>
              <w:rPr>
                <w:rFonts w:ascii="Calibri" w:hAnsi="Calibri" w:cs="Calibri"/>
                <w:sz w:val="16"/>
                <w:szCs w:val="16"/>
              </w:rPr>
            </w:pPr>
            <w:r w:rsidRPr="00355385">
              <w:rPr>
                <w:rFonts w:ascii="Calibri" w:hAnsi="Calibri" w:cs="Calibri"/>
                <w:sz w:val="16"/>
                <w:szCs w:val="16"/>
              </w:rPr>
              <w:t>To support government decision-making in response to and the recovery from the COVID-19 disruption.</w:t>
            </w:r>
          </w:p>
        </w:tc>
        <w:tc>
          <w:tcPr>
            <w:tcW w:w="1134" w:type="dxa"/>
            <w:tcBorders>
              <w:top w:val="single" w:sz="4" w:space="0" w:color="auto"/>
              <w:bottom w:val="single" w:sz="4" w:space="0" w:color="auto"/>
            </w:tcBorders>
          </w:tcPr>
          <w:p w14:paraId="49DAA1AD" w14:textId="77777777" w:rsidR="00951BB7" w:rsidRPr="00670826" w:rsidRDefault="00951BB7" w:rsidP="00372B38">
            <w:pPr>
              <w:pStyle w:val="ESTablebody"/>
              <w:jc w:val="right"/>
              <w:rPr>
                <w:rFonts w:ascii="Calibri" w:hAnsi="Calibri" w:cs="Calibri"/>
                <w:sz w:val="16"/>
                <w:szCs w:val="16"/>
                <w:lang w:val="en-AU"/>
              </w:rPr>
            </w:pPr>
            <w:r w:rsidRPr="00670826">
              <w:rPr>
                <w:rFonts w:ascii="Calibri" w:hAnsi="Calibri" w:cs="Calibri"/>
                <w:sz w:val="16"/>
                <w:szCs w:val="16"/>
                <w:lang w:val="en-AU"/>
              </w:rPr>
              <w:t>43,</w:t>
            </w:r>
            <w:r w:rsidRPr="00670826">
              <w:rPr>
                <w:rFonts w:ascii="Calibri" w:hAnsi="Calibri" w:cs="Calibri"/>
                <w:sz w:val="16"/>
                <w:szCs w:val="16"/>
              </w:rPr>
              <w:t>890</w:t>
            </w:r>
          </w:p>
        </w:tc>
        <w:tc>
          <w:tcPr>
            <w:tcW w:w="993" w:type="dxa"/>
            <w:tcBorders>
              <w:top w:val="single" w:sz="4" w:space="0" w:color="auto"/>
              <w:bottom w:val="single" w:sz="4" w:space="0" w:color="auto"/>
            </w:tcBorders>
          </w:tcPr>
          <w:p w14:paraId="637947E1" w14:textId="77777777" w:rsidR="00951BB7" w:rsidRPr="00670826" w:rsidRDefault="00951BB7" w:rsidP="00372B38">
            <w:pPr>
              <w:pStyle w:val="ESTablebody"/>
              <w:jc w:val="right"/>
              <w:rPr>
                <w:rFonts w:ascii="Calibri" w:hAnsi="Calibri" w:cs="Calibri"/>
                <w:sz w:val="16"/>
                <w:szCs w:val="16"/>
                <w:lang w:val="en-AU"/>
              </w:rPr>
            </w:pPr>
            <w:r w:rsidRPr="00670826">
              <w:rPr>
                <w:rFonts w:ascii="Calibri" w:hAnsi="Calibri" w:cs="Calibri"/>
                <w:sz w:val="16"/>
                <w:szCs w:val="16"/>
                <w:lang w:val="en-AU"/>
              </w:rPr>
              <w:t>43,</w:t>
            </w:r>
            <w:r w:rsidRPr="00670826">
              <w:rPr>
                <w:rFonts w:ascii="Calibri" w:hAnsi="Calibri" w:cs="Calibri"/>
                <w:sz w:val="16"/>
                <w:szCs w:val="16"/>
              </w:rPr>
              <w:t>890</w:t>
            </w:r>
          </w:p>
        </w:tc>
        <w:tc>
          <w:tcPr>
            <w:tcW w:w="1622" w:type="dxa"/>
            <w:tcBorders>
              <w:top w:val="single" w:sz="4" w:space="0" w:color="auto"/>
              <w:bottom w:val="single" w:sz="4" w:space="0" w:color="auto"/>
            </w:tcBorders>
          </w:tcPr>
          <w:p w14:paraId="3EC7815E" w14:textId="77777777" w:rsidR="00951BB7" w:rsidRPr="00670826" w:rsidRDefault="00951BB7" w:rsidP="00372B38">
            <w:pPr>
              <w:pStyle w:val="ESTablebody"/>
              <w:jc w:val="right"/>
              <w:rPr>
                <w:rFonts w:ascii="Calibri" w:hAnsi="Calibri" w:cs="Calibri"/>
                <w:sz w:val="16"/>
                <w:szCs w:val="16"/>
                <w:lang w:val="en-AU"/>
              </w:rPr>
            </w:pPr>
            <w:r w:rsidRPr="00670826">
              <w:rPr>
                <w:rFonts w:ascii="Calibri" w:hAnsi="Calibri" w:cs="Calibri"/>
                <w:sz w:val="16"/>
                <w:szCs w:val="16"/>
                <w:lang w:val="en-AU"/>
              </w:rPr>
              <w:t>N</w:t>
            </w:r>
          </w:p>
        </w:tc>
      </w:tr>
      <w:tr w:rsidR="00951BB7" w:rsidRPr="00925213" w14:paraId="2C81ACF7" w14:textId="77777777" w:rsidTr="00383663">
        <w:trPr>
          <w:cantSplit/>
          <w:trHeight w:val="628"/>
        </w:trPr>
        <w:tc>
          <w:tcPr>
            <w:tcW w:w="1696" w:type="dxa"/>
            <w:tcBorders>
              <w:top w:val="single" w:sz="4" w:space="0" w:color="auto"/>
              <w:bottom w:val="single" w:sz="4" w:space="0" w:color="auto"/>
            </w:tcBorders>
            <w:shd w:val="clear" w:color="auto" w:fill="auto"/>
          </w:tcPr>
          <w:p w14:paraId="472E996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Mental Health Practitioners (MHP) initiative evaluation</w:t>
            </w:r>
          </w:p>
          <w:p w14:paraId="61BF7E0C"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 Secondary; Support Services Delivery</w:t>
            </w:r>
            <w:r>
              <w:rPr>
                <w:rFonts w:ascii="Calibri" w:hAnsi="Calibri" w:cs="Calibri"/>
                <w:sz w:val="16"/>
                <w:szCs w:val="16"/>
              </w:rPr>
              <w:t>)</w:t>
            </w:r>
          </w:p>
          <w:p w14:paraId="0A5381B5"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40A3AD15" w14:textId="77777777" w:rsidR="00951BB7" w:rsidRPr="00925213" w:rsidRDefault="00951BB7" w:rsidP="00375B4C">
            <w:pPr>
              <w:pStyle w:val="ESTablebody"/>
              <w:rPr>
                <w:rFonts w:ascii="Calibri" w:hAnsi="Calibri" w:cs="Calibri"/>
                <w:sz w:val="16"/>
                <w:szCs w:val="16"/>
              </w:rPr>
            </w:pPr>
            <w:proofErr w:type="spellStart"/>
            <w:r w:rsidRPr="00925213">
              <w:rPr>
                <w:rFonts w:ascii="Calibri" w:hAnsi="Calibri" w:cs="Calibri"/>
                <w:sz w:val="16"/>
                <w:szCs w:val="16"/>
              </w:rPr>
              <w:t>Dandolo</w:t>
            </w:r>
            <w:proofErr w:type="spellEnd"/>
            <w:r w:rsidRPr="00925213">
              <w:rPr>
                <w:rFonts w:ascii="Calibri" w:hAnsi="Calibri" w:cs="Calibri"/>
                <w:sz w:val="16"/>
                <w:szCs w:val="16"/>
              </w:rPr>
              <w:t xml:space="preserve"> </w:t>
            </w:r>
            <w:r>
              <w:rPr>
                <w:rFonts w:ascii="Calibri" w:hAnsi="Calibri" w:cs="Calibri"/>
                <w:sz w:val="16"/>
                <w:szCs w:val="16"/>
              </w:rPr>
              <w:t>P</w:t>
            </w:r>
            <w:r w:rsidRPr="00925213">
              <w:rPr>
                <w:rFonts w:ascii="Calibri" w:hAnsi="Calibri" w:cs="Calibri"/>
                <w:sz w:val="16"/>
                <w:szCs w:val="16"/>
              </w:rPr>
              <w:t>artners</w:t>
            </w:r>
          </w:p>
        </w:tc>
        <w:tc>
          <w:tcPr>
            <w:tcW w:w="2127" w:type="dxa"/>
            <w:tcBorders>
              <w:top w:val="single" w:sz="4" w:space="0" w:color="auto"/>
              <w:bottom w:val="single" w:sz="4" w:space="0" w:color="auto"/>
            </w:tcBorders>
            <w:shd w:val="clear" w:color="auto" w:fill="auto"/>
          </w:tcPr>
          <w:p w14:paraId="6233DE8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evaluate the MHP initiative in secondary and specialist schools.</w:t>
            </w:r>
          </w:p>
        </w:tc>
        <w:tc>
          <w:tcPr>
            <w:tcW w:w="2409" w:type="dxa"/>
            <w:tcBorders>
              <w:top w:val="single" w:sz="4" w:space="0" w:color="auto"/>
              <w:bottom w:val="single" w:sz="4" w:space="0" w:color="auto"/>
            </w:tcBorders>
          </w:tcPr>
          <w:p w14:paraId="7AED1AC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evaluation the design, </w:t>
            </w:r>
            <w:proofErr w:type="gramStart"/>
            <w:r w:rsidRPr="00355385">
              <w:rPr>
                <w:rFonts w:ascii="Calibri" w:hAnsi="Calibri" w:cs="Calibri"/>
                <w:sz w:val="16"/>
                <w:szCs w:val="16"/>
              </w:rPr>
              <w:t>delivery</w:t>
            </w:r>
            <w:proofErr w:type="gramEnd"/>
            <w:r w:rsidRPr="00355385">
              <w:rPr>
                <w:rFonts w:ascii="Calibri" w:hAnsi="Calibri" w:cs="Calibri"/>
                <w:sz w:val="16"/>
                <w:szCs w:val="16"/>
              </w:rPr>
              <w:t xml:space="preserve"> and impact of the MHP initiative.</w:t>
            </w:r>
          </w:p>
        </w:tc>
        <w:tc>
          <w:tcPr>
            <w:tcW w:w="1134" w:type="dxa"/>
            <w:tcBorders>
              <w:top w:val="single" w:sz="4" w:space="0" w:color="auto"/>
              <w:bottom w:val="single" w:sz="4" w:space="0" w:color="auto"/>
            </w:tcBorders>
          </w:tcPr>
          <w:p w14:paraId="75299C3C"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August 2020</w:t>
            </w:r>
            <w:r w:rsidRPr="00925213">
              <w:rPr>
                <w:rFonts w:ascii="Calibri" w:hAnsi="Calibri" w:cs="Calibri"/>
                <w:sz w:val="16"/>
                <w:szCs w:val="16"/>
              </w:rPr>
              <w:t xml:space="preserve"> – December 2022</w:t>
            </w:r>
          </w:p>
        </w:tc>
        <w:tc>
          <w:tcPr>
            <w:tcW w:w="1701" w:type="dxa"/>
            <w:tcBorders>
              <w:top w:val="single" w:sz="4" w:space="0" w:color="auto"/>
              <w:bottom w:val="single" w:sz="4" w:space="0" w:color="auto"/>
            </w:tcBorders>
          </w:tcPr>
          <w:p w14:paraId="585B968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input into current and future implementation and design to </w:t>
            </w:r>
            <w:proofErr w:type="spellStart"/>
            <w:r w:rsidRPr="00925213">
              <w:rPr>
                <w:rFonts w:ascii="Calibri" w:hAnsi="Calibri" w:cs="Calibri"/>
                <w:sz w:val="16"/>
                <w:szCs w:val="16"/>
              </w:rPr>
              <w:t>maximise</w:t>
            </w:r>
            <w:proofErr w:type="spellEnd"/>
            <w:r w:rsidRPr="00925213">
              <w:rPr>
                <w:rFonts w:ascii="Calibri" w:hAnsi="Calibri" w:cs="Calibri"/>
                <w:sz w:val="16"/>
                <w:szCs w:val="16"/>
              </w:rPr>
              <w:t xml:space="preserve"> impact on student mental health outcomes.</w:t>
            </w:r>
          </w:p>
        </w:tc>
        <w:tc>
          <w:tcPr>
            <w:tcW w:w="1134" w:type="dxa"/>
            <w:tcBorders>
              <w:top w:val="single" w:sz="4" w:space="0" w:color="auto"/>
              <w:bottom w:val="single" w:sz="4" w:space="0" w:color="auto"/>
            </w:tcBorders>
          </w:tcPr>
          <w:p w14:paraId="4CAA355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720,318</w:t>
            </w:r>
          </w:p>
        </w:tc>
        <w:tc>
          <w:tcPr>
            <w:tcW w:w="993" w:type="dxa"/>
            <w:tcBorders>
              <w:top w:val="single" w:sz="4" w:space="0" w:color="auto"/>
              <w:bottom w:val="single" w:sz="4" w:space="0" w:color="auto"/>
            </w:tcBorders>
          </w:tcPr>
          <w:p w14:paraId="38CE5B2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5F8C82C5"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78D87F6D" w14:textId="77777777" w:rsidTr="00383663">
        <w:trPr>
          <w:cantSplit/>
          <w:trHeight w:val="628"/>
        </w:trPr>
        <w:tc>
          <w:tcPr>
            <w:tcW w:w="1696" w:type="dxa"/>
            <w:tcBorders>
              <w:top w:val="single" w:sz="4" w:space="0" w:color="auto"/>
              <w:bottom w:val="single" w:sz="4" w:space="0" w:color="auto"/>
            </w:tcBorders>
            <w:shd w:val="clear" w:color="auto" w:fill="auto"/>
          </w:tcPr>
          <w:p w14:paraId="05D53AB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Middle Years Literacy and Numeracy Support (MYLNS) initiative evaluation</w:t>
            </w:r>
          </w:p>
          <w:p w14:paraId="6039BCF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2143F8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ACER</w:t>
            </w:r>
          </w:p>
        </w:tc>
        <w:tc>
          <w:tcPr>
            <w:tcW w:w="2127" w:type="dxa"/>
            <w:tcBorders>
              <w:top w:val="single" w:sz="4" w:space="0" w:color="auto"/>
              <w:bottom w:val="single" w:sz="4" w:space="0" w:color="auto"/>
            </w:tcBorders>
            <w:shd w:val="clear" w:color="auto" w:fill="auto"/>
          </w:tcPr>
          <w:p w14:paraId="7DD6F7E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determine whether the initiative is achieving intended outcomes for students, teachers, school leaders and parents/</w:t>
            </w:r>
            <w:proofErr w:type="spellStart"/>
            <w:r w:rsidRPr="00355385">
              <w:rPr>
                <w:rFonts w:ascii="Calibri" w:hAnsi="Calibri" w:cs="Calibri"/>
                <w:sz w:val="16"/>
                <w:szCs w:val="16"/>
              </w:rPr>
              <w:t>carers</w:t>
            </w:r>
            <w:proofErr w:type="spellEnd"/>
            <w:r w:rsidRPr="00355385">
              <w:rPr>
                <w:rFonts w:ascii="Calibri" w:hAnsi="Calibri" w:cs="Calibri"/>
                <w:sz w:val="16"/>
                <w:szCs w:val="16"/>
              </w:rPr>
              <w:t xml:space="preserve"> and being implemented effectively, with sufficient accountability, </w:t>
            </w:r>
            <w:proofErr w:type="gramStart"/>
            <w:r w:rsidRPr="00355385">
              <w:rPr>
                <w:rFonts w:ascii="Calibri" w:hAnsi="Calibri" w:cs="Calibri"/>
                <w:sz w:val="16"/>
                <w:szCs w:val="16"/>
              </w:rPr>
              <w:t>flexibility</w:t>
            </w:r>
            <w:proofErr w:type="gramEnd"/>
            <w:r w:rsidRPr="00355385">
              <w:rPr>
                <w:rFonts w:ascii="Calibri" w:hAnsi="Calibri" w:cs="Calibri"/>
                <w:sz w:val="16"/>
                <w:szCs w:val="16"/>
              </w:rPr>
              <w:t xml:space="preserve"> and feedback loops to support individual and </w:t>
            </w:r>
            <w:proofErr w:type="spellStart"/>
            <w:r w:rsidRPr="00355385">
              <w:rPr>
                <w:rFonts w:ascii="Calibri" w:hAnsi="Calibri" w:cs="Calibri"/>
                <w:sz w:val="16"/>
                <w:szCs w:val="16"/>
              </w:rPr>
              <w:t>localised</w:t>
            </w:r>
            <w:proofErr w:type="spellEnd"/>
            <w:r w:rsidRPr="00355385">
              <w:rPr>
                <w:rFonts w:ascii="Calibri" w:hAnsi="Calibri" w:cs="Calibri"/>
                <w:sz w:val="16"/>
                <w:szCs w:val="16"/>
              </w:rPr>
              <w:t xml:space="preserve"> needs. </w:t>
            </w:r>
          </w:p>
        </w:tc>
        <w:tc>
          <w:tcPr>
            <w:tcW w:w="2409" w:type="dxa"/>
            <w:tcBorders>
              <w:top w:val="single" w:sz="4" w:space="0" w:color="auto"/>
              <w:bottom w:val="single" w:sz="4" w:space="0" w:color="auto"/>
            </w:tcBorders>
          </w:tcPr>
          <w:p w14:paraId="3AF190DE"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information on the implementation and impact of the MYLNS. The scope includes implementation activities at the central, </w:t>
            </w:r>
            <w:proofErr w:type="gramStart"/>
            <w:r w:rsidRPr="00925213">
              <w:rPr>
                <w:rFonts w:ascii="Calibri" w:hAnsi="Calibri" w:cs="Calibri"/>
                <w:sz w:val="16"/>
                <w:szCs w:val="16"/>
              </w:rPr>
              <w:t>regional</w:t>
            </w:r>
            <w:proofErr w:type="gramEnd"/>
            <w:r w:rsidRPr="00925213">
              <w:rPr>
                <w:rFonts w:ascii="Calibri" w:hAnsi="Calibri" w:cs="Calibri"/>
                <w:sz w:val="16"/>
                <w:szCs w:val="16"/>
              </w:rPr>
              <w:t xml:space="preserve"> and school levels, to inform adaptive implementation. It measures the impact on students and teachers primarily, as well as on schools and communities.</w:t>
            </w:r>
          </w:p>
        </w:tc>
        <w:tc>
          <w:tcPr>
            <w:tcW w:w="1134" w:type="dxa"/>
            <w:tcBorders>
              <w:top w:val="single" w:sz="4" w:space="0" w:color="auto"/>
              <w:bottom w:val="single" w:sz="4" w:space="0" w:color="auto"/>
            </w:tcBorders>
          </w:tcPr>
          <w:p w14:paraId="604F6BC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October 2019 – June 2022</w:t>
            </w:r>
          </w:p>
        </w:tc>
        <w:tc>
          <w:tcPr>
            <w:tcW w:w="1701" w:type="dxa"/>
            <w:tcBorders>
              <w:top w:val="single" w:sz="4" w:space="0" w:color="auto"/>
              <w:bottom w:val="single" w:sz="4" w:space="0" w:color="auto"/>
            </w:tcBorders>
          </w:tcPr>
          <w:p w14:paraId="61E707B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Advice on opportunities to adapt implementation and supports at a central, </w:t>
            </w:r>
            <w:proofErr w:type="gramStart"/>
            <w:r w:rsidRPr="00925213">
              <w:rPr>
                <w:rFonts w:ascii="Calibri" w:hAnsi="Calibri" w:cs="Calibri"/>
                <w:sz w:val="16"/>
                <w:szCs w:val="16"/>
              </w:rPr>
              <w:t>regional</w:t>
            </w:r>
            <w:proofErr w:type="gramEnd"/>
            <w:r w:rsidRPr="00925213">
              <w:rPr>
                <w:rFonts w:ascii="Calibri" w:hAnsi="Calibri" w:cs="Calibri"/>
                <w:sz w:val="16"/>
                <w:szCs w:val="16"/>
              </w:rPr>
              <w:t xml:space="preserve"> and school level and provision of impact and effectiveness evidence.</w:t>
            </w:r>
          </w:p>
          <w:p w14:paraId="7720B1F4" w14:textId="77777777" w:rsidR="00951BB7" w:rsidRPr="00925213" w:rsidRDefault="00951BB7" w:rsidP="00375B4C">
            <w:pPr>
              <w:pStyle w:val="ESTablebody"/>
              <w:rPr>
                <w:rFonts w:ascii="Calibri" w:hAnsi="Calibri" w:cs="Calibri"/>
                <w:sz w:val="16"/>
                <w:szCs w:val="16"/>
              </w:rPr>
            </w:pPr>
          </w:p>
          <w:p w14:paraId="3C57C4BE"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0E238478"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1,158,953</w:t>
            </w:r>
          </w:p>
        </w:tc>
        <w:tc>
          <w:tcPr>
            <w:tcW w:w="993" w:type="dxa"/>
            <w:tcBorders>
              <w:top w:val="single" w:sz="4" w:space="0" w:color="auto"/>
              <w:bottom w:val="single" w:sz="4" w:space="0" w:color="auto"/>
            </w:tcBorders>
          </w:tcPr>
          <w:p w14:paraId="039DA21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51605CE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1357BD0C" w14:textId="77777777" w:rsidTr="00383663">
        <w:trPr>
          <w:cantSplit/>
          <w:trHeight w:val="628"/>
        </w:trPr>
        <w:tc>
          <w:tcPr>
            <w:tcW w:w="1696" w:type="dxa"/>
            <w:tcBorders>
              <w:top w:val="single" w:sz="4" w:space="0" w:color="auto"/>
              <w:bottom w:val="single" w:sz="4" w:space="0" w:color="auto"/>
            </w:tcBorders>
            <w:shd w:val="clear" w:color="auto" w:fill="auto"/>
          </w:tcPr>
          <w:p w14:paraId="249D6851"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lastRenderedPageBreak/>
              <w:t>Multilingual resources for plurilingual strategies</w:t>
            </w:r>
          </w:p>
          <w:p w14:paraId="45B7BEAC"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 xml:space="preserve">Education portfolio, School </w:t>
            </w:r>
            <w:r>
              <w:rPr>
                <w:rFonts w:ascii="Calibri" w:hAnsi="Calibri" w:cs="Calibri"/>
                <w:sz w:val="16"/>
                <w:szCs w:val="16"/>
              </w:rPr>
              <w:t>E</w:t>
            </w:r>
            <w:r w:rsidRPr="00F55FBA">
              <w:rPr>
                <w:rFonts w:ascii="Calibri" w:hAnsi="Calibri" w:cs="Calibri"/>
                <w:sz w:val="16"/>
                <w:szCs w:val="16"/>
              </w:rPr>
              <w:t>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51A9EC2"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Monash University</w:t>
            </w:r>
          </w:p>
        </w:tc>
        <w:tc>
          <w:tcPr>
            <w:tcW w:w="2127" w:type="dxa"/>
            <w:tcBorders>
              <w:top w:val="single" w:sz="4" w:space="0" w:color="auto"/>
              <w:bottom w:val="single" w:sz="4" w:space="0" w:color="auto"/>
            </w:tcBorders>
            <w:shd w:val="clear" w:color="auto" w:fill="auto"/>
          </w:tcPr>
          <w:p w14:paraId="59493CE3"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To create resources that support teachers and schools to use multilingual resources that foster language learning.</w:t>
            </w:r>
            <w:r>
              <w:rPr>
                <w:rFonts w:ascii="Calibri" w:hAnsi="Calibri" w:cs="Calibri"/>
                <w:sz w:val="16"/>
                <w:szCs w:val="16"/>
              </w:rPr>
              <w:t xml:space="preserve"> </w:t>
            </w:r>
          </w:p>
        </w:tc>
        <w:tc>
          <w:tcPr>
            <w:tcW w:w="2409" w:type="dxa"/>
            <w:tcBorders>
              <w:top w:val="single" w:sz="4" w:space="0" w:color="auto"/>
              <w:bottom w:val="single" w:sz="4" w:space="0" w:color="auto"/>
            </w:tcBorders>
          </w:tcPr>
          <w:p w14:paraId="69B1A415"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 xml:space="preserve">To deliver professional learning to seven to nine school settings across a range of contexts and create between 15 and 20 teaching resources for digital publication. The resources and professional learning will build teacher capacity to use aspects of the plurilingual strategies in the EAL Curriculum to develop students’ English language proficiency. </w:t>
            </w:r>
          </w:p>
        </w:tc>
        <w:tc>
          <w:tcPr>
            <w:tcW w:w="1134" w:type="dxa"/>
            <w:tcBorders>
              <w:top w:val="single" w:sz="4" w:space="0" w:color="auto"/>
              <w:bottom w:val="single" w:sz="4" w:space="0" w:color="auto"/>
            </w:tcBorders>
          </w:tcPr>
          <w:p w14:paraId="5EF0AEBE" w14:textId="77777777" w:rsidR="00951BB7" w:rsidRPr="00355385" w:rsidRDefault="00951BB7" w:rsidP="00375B4C">
            <w:pPr>
              <w:pStyle w:val="ESTableheadingwhite"/>
              <w:rPr>
                <w:rFonts w:ascii="Calibri" w:hAnsi="Calibri" w:cs="Calibri"/>
                <w:b w:val="0"/>
                <w:color w:val="auto"/>
                <w:sz w:val="16"/>
                <w:szCs w:val="16"/>
              </w:rPr>
            </w:pPr>
            <w:r w:rsidRPr="00946824">
              <w:rPr>
                <w:rFonts w:ascii="Calibri" w:hAnsi="Calibri" w:cs="Calibri"/>
                <w:b w:val="0"/>
                <w:color w:val="auto"/>
                <w:sz w:val="16"/>
                <w:szCs w:val="16"/>
              </w:rPr>
              <w:t>March 2020 –</w:t>
            </w:r>
            <w:r w:rsidRPr="00355385">
              <w:rPr>
                <w:rFonts w:ascii="Calibri" w:hAnsi="Calibri" w:cs="Calibri"/>
                <w:b w:val="0"/>
                <w:color w:val="auto"/>
                <w:sz w:val="16"/>
                <w:szCs w:val="16"/>
              </w:rPr>
              <w:t xml:space="preserve"> June 2022 </w:t>
            </w:r>
          </w:p>
        </w:tc>
        <w:tc>
          <w:tcPr>
            <w:tcW w:w="1701" w:type="dxa"/>
            <w:tcBorders>
              <w:top w:val="single" w:sz="4" w:space="0" w:color="auto"/>
              <w:bottom w:val="single" w:sz="4" w:space="0" w:color="auto"/>
            </w:tcBorders>
          </w:tcPr>
          <w:p w14:paraId="526C8531"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An approach </w:t>
            </w:r>
            <w:r>
              <w:rPr>
                <w:rFonts w:ascii="Calibri" w:hAnsi="Calibri" w:cs="Calibri"/>
                <w:sz w:val="16"/>
                <w:szCs w:val="16"/>
              </w:rPr>
              <w:t>that</w:t>
            </w:r>
            <w:r w:rsidRPr="00946824">
              <w:rPr>
                <w:rFonts w:ascii="Calibri" w:hAnsi="Calibri" w:cs="Calibri"/>
                <w:sz w:val="16"/>
                <w:szCs w:val="16"/>
              </w:rPr>
              <w:t xml:space="preserve"> leverages digital technologies and literacies, and </w:t>
            </w:r>
            <w:r>
              <w:rPr>
                <w:rFonts w:ascii="Calibri" w:hAnsi="Calibri" w:cs="Calibri"/>
                <w:sz w:val="16"/>
                <w:szCs w:val="16"/>
              </w:rPr>
              <w:t>that</w:t>
            </w:r>
            <w:r w:rsidRPr="00946824">
              <w:rPr>
                <w:rFonts w:ascii="Calibri" w:hAnsi="Calibri" w:cs="Calibri"/>
                <w:sz w:val="16"/>
                <w:szCs w:val="16"/>
              </w:rPr>
              <w:t xml:space="preserve"> can be scaled up to meet the needs of teachers and schools across Victoria.</w:t>
            </w:r>
          </w:p>
        </w:tc>
        <w:tc>
          <w:tcPr>
            <w:tcW w:w="1134" w:type="dxa"/>
            <w:tcBorders>
              <w:top w:val="single" w:sz="4" w:space="0" w:color="auto"/>
              <w:bottom w:val="single" w:sz="4" w:space="0" w:color="auto"/>
            </w:tcBorders>
          </w:tcPr>
          <w:p w14:paraId="283E7E4C"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131,142</w:t>
            </w:r>
          </w:p>
        </w:tc>
        <w:tc>
          <w:tcPr>
            <w:tcW w:w="993" w:type="dxa"/>
            <w:tcBorders>
              <w:top w:val="single" w:sz="4" w:space="0" w:color="auto"/>
              <w:bottom w:val="single" w:sz="4" w:space="0" w:color="auto"/>
            </w:tcBorders>
          </w:tcPr>
          <w:p w14:paraId="007FE6C1"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tcPr>
          <w:p w14:paraId="45C435FB"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2FBBE5CB" w14:textId="77777777" w:rsidTr="00383663">
        <w:trPr>
          <w:cantSplit/>
          <w:trHeight w:val="628"/>
        </w:trPr>
        <w:tc>
          <w:tcPr>
            <w:tcW w:w="1696" w:type="dxa"/>
            <w:tcBorders>
              <w:top w:val="single" w:sz="4" w:space="0" w:color="auto"/>
              <w:bottom w:val="single" w:sz="4" w:space="0" w:color="auto"/>
            </w:tcBorders>
            <w:shd w:val="clear" w:color="auto" w:fill="auto"/>
          </w:tcPr>
          <w:p w14:paraId="27FC32A7"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Precis development for policy scoping in science teaching and learning</w:t>
            </w:r>
          </w:p>
          <w:p w14:paraId="112FFA7A"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 xml:space="preserve">Education portfolio, School </w:t>
            </w:r>
            <w:r>
              <w:rPr>
                <w:rFonts w:ascii="Calibri" w:hAnsi="Calibri" w:cs="Calibri"/>
                <w:sz w:val="16"/>
                <w:szCs w:val="16"/>
              </w:rPr>
              <w:t>E</w:t>
            </w:r>
            <w:r w:rsidRPr="00F55FBA">
              <w:rPr>
                <w:rFonts w:ascii="Calibri" w:hAnsi="Calibri" w:cs="Calibri"/>
                <w:sz w:val="16"/>
                <w:szCs w:val="16"/>
              </w:rPr>
              <w:t>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78A8CA92"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Deakin University and University of Melbourne</w:t>
            </w:r>
          </w:p>
        </w:tc>
        <w:tc>
          <w:tcPr>
            <w:tcW w:w="2127" w:type="dxa"/>
            <w:tcBorders>
              <w:top w:val="single" w:sz="4" w:space="0" w:color="auto"/>
              <w:bottom w:val="single" w:sz="4" w:space="0" w:color="auto"/>
            </w:tcBorders>
            <w:shd w:val="clear" w:color="auto" w:fill="auto"/>
          </w:tcPr>
          <w:p w14:paraId="7E704257"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provide an evidence base to highlight key challenges and opportunities for science education from birth to Year 10.</w:t>
            </w:r>
          </w:p>
          <w:p w14:paraId="33ADF4D3" w14:textId="77777777" w:rsidR="00951BB7" w:rsidRPr="00946824"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339607D0"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undertake a literature review and problem identification for birth to Year 10 learning and teaching of science in early childhood education and schools.</w:t>
            </w:r>
          </w:p>
        </w:tc>
        <w:tc>
          <w:tcPr>
            <w:tcW w:w="1134" w:type="dxa"/>
            <w:tcBorders>
              <w:top w:val="single" w:sz="4" w:space="0" w:color="auto"/>
              <w:bottom w:val="single" w:sz="4" w:space="0" w:color="auto"/>
            </w:tcBorders>
          </w:tcPr>
          <w:p w14:paraId="1DB68324"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July</w:t>
            </w:r>
            <w:r>
              <w:rPr>
                <w:rFonts w:ascii="Calibri" w:hAnsi="Calibri" w:cs="Calibri"/>
                <w:sz w:val="16"/>
                <w:szCs w:val="16"/>
              </w:rPr>
              <w:t xml:space="preserve"> </w:t>
            </w:r>
            <w:r w:rsidRPr="00946824">
              <w:rPr>
                <w:rFonts w:ascii="Calibri" w:hAnsi="Calibri" w:cs="Calibri"/>
                <w:sz w:val="16"/>
                <w:szCs w:val="16"/>
              </w:rPr>
              <w:t>– December 2020</w:t>
            </w:r>
          </w:p>
        </w:tc>
        <w:tc>
          <w:tcPr>
            <w:tcW w:w="1701" w:type="dxa"/>
            <w:tcBorders>
              <w:top w:val="single" w:sz="4" w:space="0" w:color="auto"/>
              <w:bottom w:val="single" w:sz="4" w:space="0" w:color="auto"/>
            </w:tcBorders>
          </w:tcPr>
          <w:p w14:paraId="7DD1C7FA"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A</w:t>
            </w:r>
            <w:r w:rsidRPr="00946824">
              <w:rPr>
                <w:rFonts w:ascii="Calibri" w:hAnsi="Calibri" w:cs="Calibri"/>
                <w:sz w:val="16"/>
                <w:szCs w:val="16"/>
              </w:rPr>
              <w:t xml:space="preserve"> report that includes a literature review of the issues and challenges experienced by schools and early childhood settings in delivering quality science teaching programs. The report will identify the nature and scope of teaching and learning resources that best support schools and early childhood settings to address these issues.</w:t>
            </w:r>
          </w:p>
        </w:tc>
        <w:tc>
          <w:tcPr>
            <w:tcW w:w="1134" w:type="dxa"/>
            <w:tcBorders>
              <w:top w:val="single" w:sz="4" w:space="0" w:color="auto"/>
              <w:bottom w:val="single" w:sz="4" w:space="0" w:color="auto"/>
            </w:tcBorders>
          </w:tcPr>
          <w:p w14:paraId="73F1C21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993" w:type="dxa"/>
            <w:tcBorders>
              <w:top w:val="single" w:sz="4" w:space="0" w:color="auto"/>
              <w:bottom w:val="single" w:sz="4" w:space="0" w:color="auto"/>
            </w:tcBorders>
          </w:tcPr>
          <w:p w14:paraId="1CB011BA"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72,818</w:t>
            </w:r>
          </w:p>
        </w:tc>
        <w:tc>
          <w:tcPr>
            <w:tcW w:w="1622" w:type="dxa"/>
            <w:tcBorders>
              <w:top w:val="single" w:sz="4" w:space="0" w:color="auto"/>
              <w:bottom w:val="single" w:sz="4" w:space="0" w:color="auto"/>
            </w:tcBorders>
          </w:tcPr>
          <w:p w14:paraId="29A4BB8D"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4D4D34E6" w14:textId="77777777" w:rsidTr="00383663">
        <w:trPr>
          <w:cantSplit/>
          <w:trHeight w:val="628"/>
        </w:trPr>
        <w:tc>
          <w:tcPr>
            <w:tcW w:w="1696" w:type="dxa"/>
            <w:tcBorders>
              <w:top w:val="single" w:sz="4" w:space="0" w:color="auto"/>
              <w:bottom w:val="single" w:sz="4" w:space="0" w:color="auto"/>
            </w:tcBorders>
            <w:shd w:val="clear" w:color="auto" w:fill="auto"/>
          </w:tcPr>
          <w:p w14:paraId="566B60DB"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lastRenderedPageBreak/>
              <w:t xml:space="preserve">Primary Mathematics and Science Specialists initiative: Cohort 5 </w:t>
            </w:r>
          </w:p>
          <w:p w14:paraId="706F8FAA"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School Education</w:t>
            </w:r>
            <w:r>
              <w:rPr>
                <w:rFonts w:ascii="Calibri" w:hAnsi="Calibri" w:cs="Calibri"/>
                <w:sz w:val="16"/>
                <w:szCs w:val="16"/>
              </w:rPr>
              <w:t>—</w:t>
            </w:r>
            <w:r w:rsidRPr="00946824">
              <w:rPr>
                <w:rFonts w:ascii="Calibri" w:hAnsi="Calibri" w:cs="Calibri"/>
                <w:sz w:val="16"/>
                <w:szCs w:val="16"/>
              </w:rPr>
              <w:t>Primary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02E7725C"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I &amp; J Management Services</w:t>
            </w:r>
          </w:p>
        </w:tc>
        <w:tc>
          <w:tcPr>
            <w:tcW w:w="2127" w:type="dxa"/>
            <w:tcBorders>
              <w:top w:val="single" w:sz="4" w:space="0" w:color="auto"/>
              <w:bottom w:val="single" w:sz="4" w:space="0" w:color="auto"/>
            </w:tcBorders>
            <w:shd w:val="clear" w:color="auto" w:fill="auto"/>
          </w:tcPr>
          <w:p w14:paraId="041AE1CE"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 xml:space="preserve">To evaluate Cohort 5 of the Primary Mathematics and Science Specialists initiative and inform the iterative improvement of the program. </w:t>
            </w:r>
          </w:p>
        </w:tc>
        <w:tc>
          <w:tcPr>
            <w:tcW w:w="2409" w:type="dxa"/>
            <w:tcBorders>
              <w:top w:val="single" w:sz="4" w:space="0" w:color="auto"/>
              <w:bottom w:val="single" w:sz="4" w:space="0" w:color="auto"/>
            </w:tcBorders>
          </w:tcPr>
          <w:p w14:paraId="16556007"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provide an evaluation that informs continuous improvement throughout the implementation of the initiative for Cohort 5. The evaluation measure</w:t>
            </w:r>
            <w:r>
              <w:rPr>
                <w:rFonts w:ascii="Calibri" w:hAnsi="Calibri" w:cs="Calibri"/>
                <w:sz w:val="16"/>
                <w:szCs w:val="16"/>
              </w:rPr>
              <w:t>s</w:t>
            </w:r>
            <w:r w:rsidRPr="00946824">
              <w:rPr>
                <w:rFonts w:ascii="Calibri" w:hAnsi="Calibri" w:cs="Calibri"/>
                <w:sz w:val="16"/>
                <w:szCs w:val="16"/>
              </w:rPr>
              <w:t xml:space="preserve"> the extent to which the initiative is meeting its proposed outcomes and will enable comparison of the achievements of Cohort 5 with the evaluations of previous cohorts. </w:t>
            </w:r>
          </w:p>
          <w:p w14:paraId="64519BE3" w14:textId="77777777" w:rsidR="00951BB7" w:rsidRPr="00946824"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29D63CA1"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January 2019</w:t>
            </w:r>
            <w:r>
              <w:rPr>
                <w:rFonts w:ascii="Calibri" w:hAnsi="Calibri" w:cs="Calibri"/>
                <w:sz w:val="16"/>
                <w:szCs w:val="16"/>
              </w:rPr>
              <w:t xml:space="preserve"> </w:t>
            </w:r>
            <w:r w:rsidRPr="00946824">
              <w:rPr>
                <w:rFonts w:ascii="Calibri" w:hAnsi="Calibri" w:cs="Calibri"/>
                <w:sz w:val="16"/>
                <w:szCs w:val="16"/>
              </w:rPr>
              <w:t>– April 2021</w:t>
            </w:r>
          </w:p>
        </w:tc>
        <w:tc>
          <w:tcPr>
            <w:tcW w:w="1701" w:type="dxa"/>
            <w:tcBorders>
              <w:top w:val="single" w:sz="4" w:space="0" w:color="auto"/>
              <w:bottom w:val="single" w:sz="4" w:space="0" w:color="auto"/>
            </w:tcBorders>
          </w:tcPr>
          <w:p w14:paraId="1AE0B087"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refine the course design during the initiative and improve future initiatives that support improved student learning outcomes in </w:t>
            </w:r>
            <w:r>
              <w:rPr>
                <w:rFonts w:ascii="Calibri" w:hAnsi="Calibri" w:cs="Calibri"/>
                <w:sz w:val="16"/>
                <w:szCs w:val="16"/>
              </w:rPr>
              <w:t xml:space="preserve">science, technology, </w:t>
            </w:r>
            <w:proofErr w:type="gramStart"/>
            <w:r>
              <w:rPr>
                <w:rFonts w:ascii="Calibri" w:hAnsi="Calibri" w:cs="Calibri"/>
                <w:sz w:val="16"/>
                <w:szCs w:val="16"/>
              </w:rPr>
              <w:t>engineering</w:t>
            </w:r>
            <w:proofErr w:type="gramEnd"/>
            <w:r>
              <w:rPr>
                <w:rFonts w:ascii="Calibri" w:hAnsi="Calibri" w:cs="Calibri"/>
                <w:sz w:val="16"/>
                <w:szCs w:val="16"/>
              </w:rPr>
              <w:t xml:space="preserve"> and mathematics</w:t>
            </w:r>
            <w:r w:rsidRPr="00946824">
              <w:rPr>
                <w:rFonts w:ascii="Calibri" w:hAnsi="Calibri" w:cs="Calibri"/>
                <w:sz w:val="16"/>
                <w:szCs w:val="16"/>
              </w:rPr>
              <w:t>.</w:t>
            </w:r>
          </w:p>
        </w:tc>
        <w:tc>
          <w:tcPr>
            <w:tcW w:w="1134" w:type="dxa"/>
            <w:tcBorders>
              <w:top w:val="single" w:sz="4" w:space="0" w:color="auto"/>
              <w:bottom w:val="single" w:sz="4" w:space="0" w:color="auto"/>
            </w:tcBorders>
          </w:tcPr>
          <w:p w14:paraId="38E0DBD2"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224,125</w:t>
            </w:r>
          </w:p>
        </w:tc>
        <w:tc>
          <w:tcPr>
            <w:tcW w:w="993" w:type="dxa"/>
            <w:tcBorders>
              <w:top w:val="single" w:sz="4" w:space="0" w:color="auto"/>
              <w:bottom w:val="single" w:sz="4" w:space="0" w:color="auto"/>
            </w:tcBorders>
          </w:tcPr>
          <w:p w14:paraId="255DEAA5"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224,125</w:t>
            </w:r>
          </w:p>
        </w:tc>
        <w:tc>
          <w:tcPr>
            <w:tcW w:w="1622" w:type="dxa"/>
            <w:tcBorders>
              <w:top w:val="single" w:sz="4" w:space="0" w:color="auto"/>
              <w:bottom w:val="single" w:sz="4" w:space="0" w:color="auto"/>
            </w:tcBorders>
          </w:tcPr>
          <w:p w14:paraId="1EFF903D"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1E9CC4A3" w14:textId="77777777" w:rsidTr="00383663">
        <w:trPr>
          <w:cantSplit/>
          <w:trHeight w:val="628"/>
        </w:trPr>
        <w:tc>
          <w:tcPr>
            <w:tcW w:w="1696" w:type="dxa"/>
            <w:tcBorders>
              <w:top w:val="single" w:sz="4" w:space="0" w:color="auto"/>
              <w:bottom w:val="single" w:sz="4" w:space="0" w:color="auto"/>
            </w:tcBorders>
            <w:shd w:val="clear" w:color="auto" w:fill="auto"/>
          </w:tcPr>
          <w:p w14:paraId="25F332FF"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Primary Mathematics and Science Specialists initiative: Cohort 6 </w:t>
            </w:r>
          </w:p>
          <w:p w14:paraId="7DF83980"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School Education</w:t>
            </w:r>
            <w:r>
              <w:rPr>
                <w:rFonts w:ascii="Calibri" w:hAnsi="Calibri" w:cs="Calibri"/>
                <w:sz w:val="16"/>
                <w:szCs w:val="16"/>
              </w:rPr>
              <w:t>—</w:t>
            </w:r>
            <w:r w:rsidRPr="00946824">
              <w:rPr>
                <w:rFonts w:ascii="Calibri" w:hAnsi="Calibri" w:cs="Calibri"/>
                <w:sz w:val="16"/>
                <w:szCs w:val="16"/>
              </w:rPr>
              <w:t>Primary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6C2CDAD"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The Department</w:t>
            </w:r>
          </w:p>
        </w:tc>
        <w:tc>
          <w:tcPr>
            <w:tcW w:w="2127" w:type="dxa"/>
            <w:tcBorders>
              <w:top w:val="single" w:sz="4" w:space="0" w:color="auto"/>
              <w:bottom w:val="single" w:sz="4" w:space="0" w:color="auto"/>
            </w:tcBorders>
            <w:shd w:val="clear" w:color="auto" w:fill="auto"/>
          </w:tcPr>
          <w:p w14:paraId="6A592828"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 xml:space="preserve">To evaluate Cohort 6 of the Primary Mathematics and Science Specialists initiative and inform the iterative improvement of the program. </w:t>
            </w:r>
          </w:p>
        </w:tc>
        <w:tc>
          <w:tcPr>
            <w:tcW w:w="2409" w:type="dxa"/>
            <w:tcBorders>
              <w:top w:val="single" w:sz="4" w:space="0" w:color="auto"/>
              <w:bottom w:val="single" w:sz="4" w:space="0" w:color="auto"/>
            </w:tcBorders>
          </w:tcPr>
          <w:p w14:paraId="79667D37" w14:textId="3EF20D51"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provide an evaluation that informs </w:t>
            </w:r>
            <w:proofErr w:type="spellStart"/>
            <w:r w:rsidRPr="00946824">
              <w:rPr>
                <w:rFonts w:ascii="Calibri" w:hAnsi="Calibri" w:cs="Calibri"/>
                <w:sz w:val="16"/>
                <w:szCs w:val="16"/>
              </w:rPr>
              <w:t>continuus</w:t>
            </w:r>
            <w:proofErr w:type="spellEnd"/>
            <w:r w:rsidRPr="00946824">
              <w:rPr>
                <w:rFonts w:ascii="Calibri" w:hAnsi="Calibri" w:cs="Calibri"/>
                <w:sz w:val="16"/>
                <w:szCs w:val="16"/>
              </w:rPr>
              <w:t xml:space="preserve"> improvement throughout the implementation of the initiative for Cohort 6. The evaluation measure</w:t>
            </w:r>
            <w:r>
              <w:rPr>
                <w:rFonts w:ascii="Calibri" w:hAnsi="Calibri" w:cs="Calibri"/>
                <w:sz w:val="16"/>
                <w:szCs w:val="16"/>
              </w:rPr>
              <w:t>s</w:t>
            </w:r>
            <w:r w:rsidRPr="00946824">
              <w:rPr>
                <w:rFonts w:ascii="Calibri" w:hAnsi="Calibri" w:cs="Calibri"/>
                <w:sz w:val="16"/>
                <w:szCs w:val="16"/>
              </w:rPr>
              <w:t xml:space="preserve"> the extent to which the initiative is meeting its proposed outcomes and will enable comparison of the achievements of Cohort 6 with the evaluations of previous cohorts. </w:t>
            </w:r>
          </w:p>
        </w:tc>
        <w:tc>
          <w:tcPr>
            <w:tcW w:w="1134" w:type="dxa"/>
            <w:tcBorders>
              <w:top w:val="single" w:sz="4" w:space="0" w:color="auto"/>
              <w:bottom w:val="single" w:sz="4" w:space="0" w:color="auto"/>
            </w:tcBorders>
          </w:tcPr>
          <w:p w14:paraId="6BDE9C64"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January 2021 – December 2023</w:t>
            </w:r>
          </w:p>
        </w:tc>
        <w:tc>
          <w:tcPr>
            <w:tcW w:w="1701" w:type="dxa"/>
            <w:tcBorders>
              <w:top w:val="single" w:sz="4" w:space="0" w:color="auto"/>
              <w:bottom w:val="single" w:sz="4" w:space="0" w:color="auto"/>
            </w:tcBorders>
          </w:tcPr>
          <w:p w14:paraId="56229A71"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refine the course design during the initiative and improve future initiatives that support improved student learning outcomes in STEM.</w:t>
            </w:r>
          </w:p>
        </w:tc>
        <w:tc>
          <w:tcPr>
            <w:tcW w:w="1134" w:type="dxa"/>
            <w:tcBorders>
              <w:top w:val="single" w:sz="4" w:space="0" w:color="auto"/>
              <w:bottom w:val="single" w:sz="4" w:space="0" w:color="auto"/>
            </w:tcBorders>
          </w:tcPr>
          <w:p w14:paraId="088BD37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275,311</w:t>
            </w:r>
          </w:p>
        </w:tc>
        <w:tc>
          <w:tcPr>
            <w:tcW w:w="993" w:type="dxa"/>
            <w:tcBorders>
              <w:top w:val="single" w:sz="4" w:space="0" w:color="auto"/>
              <w:bottom w:val="single" w:sz="4" w:space="0" w:color="auto"/>
            </w:tcBorders>
          </w:tcPr>
          <w:p w14:paraId="773C6414"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N/A</w:t>
            </w:r>
          </w:p>
        </w:tc>
        <w:tc>
          <w:tcPr>
            <w:tcW w:w="1622" w:type="dxa"/>
            <w:tcBorders>
              <w:top w:val="single" w:sz="4" w:space="0" w:color="auto"/>
              <w:bottom w:val="single" w:sz="4" w:space="0" w:color="auto"/>
            </w:tcBorders>
          </w:tcPr>
          <w:p w14:paraId="62D84A06"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1CBEA000" w14:textId="77777777" w:rsidTr="00383663">
        <w:trPr>
          <w:cantSplit/>
          <w:trHeight w:val="628"/>
        </w:trPr>
        <w:tc>
          <w:tcPr>
            <w:tcW w:w="1696" w:type="dxa"/>
            <w:tcBorders>
              <w:top w:val="single" w:sz="4" w:space="0" w:color="auto"/>
              <w:bottom w:val="single" w:sz="4" w:space="0" w:color="auto"/>
            </w:tcBorders>
            <w:shd w:val="clear" w:color="auto" w:fill="auto"/>
          </w:tcPr>
          <w:p w14:paraId="7F306FBC"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Primary Mathematics and Science Specialists initiative: Impact evaluation </w:t>
            </w:r>
          </w:p>
          <w:p w14:paraId="003B8D4A"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School Education – Primary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07A80B74" w14:textId="77777777" w:rsidR="00951BB7" w:rsidRPr="00946824" w:rsidRDefault="00951BB7" w:rsidP="00375B4C">
            <w:pPr>
              <w:pStyle w:val="ESTablebody"/>
              <w:rPr>
                <w:rFonts w:ascii="Calibri" w:hAnsi="Calibri" w:cs="Calibri"/>
                <w:sz w:val="16"/>
                <w:szCs w:val="16"/>
              </w:rPr>
            </w:pPr>
            <w:proofErr w:type="spellStart"/>
            <w:r w:rsidRPr="00946824">
              <w:rPr>
                <w:rFonts w:ascii="Calibri" w:hAnsi="Calibri" w:cs="Calibri"/>
                <w:sz w:val="16"/>
                <w:szCs w:val="16"/>
              </w:rPr>
              <w:t>Synergistiq</w:t>
            </w:r>
            <w:proofErr w:type="spellEnd"/>
          </w:p>
        </w:tc>
        <w:tc>
          <w:tcPr>
            <w:tcW w:w="2127" w:type="dxa"/>
            <w:tcBorders>
              <w:top w:val="single" w:sz="4" w:space="0" w:color="auto"/>
              <w:bottom w:val="single" w:sz="4" w:space="0" w:color="auto"/>
            </w:tcBorders>
            <w:shd w:val="clear" w:color="auto" w:fill="auto"/>
          </w:tcPr>
          <w:p w14:paraId="54CC2421"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To increase understanding of the sustained effects of the initiative in participating schools</w:t>
            </w:r>
            <w:r w:rsidRPr="00355385">
              <w:rPr>
                <w:rFonts w:ascii="Calibri" w:hAnsi="Calibri" w:cs="Calibri"/>
                <w:sz w:val="16"/>
                <w:szCs w:val="16"/>
              </w:rPr>
              <w:t> </w:t>
            </w:r>
          </w:p>
        </w:tc>
        <w:tc>
          <w:tcPr>
            <w:tcW w:w="2409" w:type="dxa"/>
            <w:tcBorders>
              <w:top w:val="single" w:sz="4" w:space="0" w:color="auto"/>
              <w:bottom w:val="single" w:sz="4" w:space="0" w:color="auto"/>
            </w:tcBorders>
          </w:tcPr>
          <w:p w14:paraId="3692D6AD"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identify the extent</w:t>
            </w:r>
            <w:r>
              <w:rPr>
                <w:rFonts w:ascii="Calibri" w:hAnsi="Calibri" w:cs="Calibri"/>
                <w:sz w:val="16"/>
                <w:szCs w:val="16"/>
              </w:rPr>
              <w:t xml:space="preserve"> to which</w:t>
            </w:r>
            <w:r w:rsidRPr="00946824">
              <w:rPr>
                <w:rFonts w:ascii="Calibri" w:hAnsi="Calibri" w:cs="Calibri"/>
                <w:sz w:val="16"/>
                <w:szCs w:val="16"/>
              </w:rPr>
              <w:t xml:space="preserve"> the initiative achieved a sustained and ongoing impact in schools. The evaluation identifies the opportunities that exist to leverage the expertise of previous specialists to build student outcomes in mathematics and science. </w:t>
            </w:r>
          </w:p>
        </w:tc>
        <w:tc>
          <w:tcPr>
            <w:tcW w:w="1134" w:type="dxa"/>
            <w:tcBorders>
              <w:top w:val="single" w:sz="4" w:space="0" w:color="auto"/>
              <w:bottom w:val="single" w:sz="4" w:space="0" w:color="auto"/>
            </w:tcBorders>
          </w:tcPr>
          <w:p w14:paraId="3A428D74"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October 2019 – May 2021</w:t>
            </w:r>
          </w:p>
        </w:tc>
        <w:tc>
          <w:tcPr>
            <w:tcW w:w="1701" w:type="dxa"/>
            <w:tcBorders>
              <w:top w:val="single" w:sz="4" w:space="0" w:color="auto"/>
              <w:bottom w:val="single" w:sz="4" w:space="0" w:color="auto"/>
            </w:tcBorders>
          </w:tcPr>
          <w:p w14:paraId="2639767B"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inform design and delivery of future of primary </w:t>
            </w:r>
            <w:proofErr w:type="spellStart"/>
            <w:r w:rsidRPr="00946824">
              <w:rPr>
                <w:rFonts w:ascii="Calibri" w:hAnsi="Calibri" w:cs="Calibri"/>
                <w:sz w:val="16"/>
                <w:szCs w:val="16"/>
              </w:rPr>
              <w:t>maths</w:t>
            </w:r>
            <w:proofErr w:type="spellEnd"/>
            <w:r w:rsidRPr="00946824">
              <w:rPr>
                <w:rFonts w:ascii="Calibri" w:hAnsi="Calibri" w:cs="Calibri"/>
                <w:sz w:val="16"/>
                <w:szCs w:val="16"/>
              </w:rPr>
              <w:t xml:space="preserve"> and science specialists initiatives and school improvement initiatives.</w:t>
            </w:r>
          </w:p>
        </w:tc>
        <w:tc>
          <w:tcPr>
            <w:tcW w:w="1134" w:type="dxa"/>
            <w:tcBorders>
              <w:top w:val="single" w:sz="4" w:space="0" w:color="auto"/>
              <w:bottom w:val="single" w:sz="4" w:space="0" w:color="auto"/>
            </w:tcBorders>
          </w:tcPr>
          <w:p w14:paraId="05831046"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197,486</w:t>
            </w:r>
          </w:p>
        </w:tc>
        <w:tc>
          <w:tcPr>
            <w:tcW w:w="993" w:type="dxa"/>
            <w:tcBorders>
              <w:top w:val="single" w:sz="4" w:space="0" w:color="auto"/>
              <w:bottom w:val="single" w:sz="4" w:space="0" w:color="auto"/>
            </w:tcBorders>
          </w:tcPr>
          <w:p w14:paraId="1013FAC4"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197,486</w:t>
            </w:r>
          </w:p>
        </w:tc>
        <w:tc>
          <w:tcPr>
            <w:tcW w:w="1622" w:type="dxa"/>
            <w:tcBorders>
              <w:top w:val="single" w:sz="4" w:space="0" w:color="auto"/>
              <w:bottom w:val="single" w:sz="4" w:space="0" w:color="auto"/>
            </w:tcBorders>
          </w:tcPr>
          <w:p w14:paraId="6987E08E"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4CC4BC2B" w14:textId="77777777" w:rsidTr="003513C8">
        <w:trPr>
          <w:cantSplit/>
          <w:trHeight w:val="628"/>
        </w:trPr>
        <w:tc>
          <w:tcPr>
            <w:tcW w:w="1696" w:type="dxa"/>
            <w:tcBorders>
              <w:top w:val="single" w:sz="4" w:space="0" w:color="auto"/>
              <w:bottom w:val="single" w:sz="4" w:space="0" w:color="auto"/>
            </w:tcBorders>
            <w:shd w:val="clear" w:color="auto" w:fill="auto"/>
          </w:tcPr>
          <w:p w14:paraId="580CCF81" w14:textId="77777777" w:rsidR="00951BB7" w:rsidRDefault="00951BB7" w:rsidP="003513C8">
            <w:pPr>
              <w:pStyle w:val="ESTablebody"/>
              <w:rPr>
                <w:rFonts w:ascii="Calibri" w:hAnsi="Calibri" w:cs="Calibri"/>
                <w:sz w:val="16"/>
                <w:szCs w:val="16"/>
              </w:rPr>
            </w:pPr>
            <w:r w:rsidRPr="000F1564">
              <w:rPr>
                <w:rFonts w:ascii="Calibri" w:hAnsi="Calibri" w:cs="Calibri"/>
                <w:sz w:val="16"/>
                <w:szCs w:val="16"/>
              </w:rPr>
              <w:lastRenderedPageBreak/>
              <w:t>Professional practice elements of the Victorian Government Schools Agreement 2017</w:t>
            </w:r>
          </w:p>
          <w:p w14:paraId="7E8167D8" w14:textId="77777777" w:rsidR="00951BB7" w:rsidRPr="00997A0A" w:rsidRDefault="00951BB7" w:rsidP="003513C8">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579BD75" w14:textId="77777777" w:rsidR="00951BB7" w:rsidRPr="00355385" w:rsidRDefault="00951BB7" w:rsidP="003513C8">
            <w:pPr>
              <w:pStyle w:val="ESTablebody"/>
              <w:rPr>
                <w:rFonts w:ascii="Calibri" w:hAnsi="Calibri" w:cs="Calibri"/>
                <w:sz w:val="16"/>
                <w:szCs w:val="16"/>
              </w:rPr>
            </w:pPr>
            <w:r w:rsidRPr="00355385">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6A66123C" w14:textId="77777777" w:rsidR="00951BB7" w:rsidRPr="00EF21F0" w:rsidRDefault="00951BB7" w:rsidP="003513C8">
            <w:pPr>
              <w:pStyle w:val="ESTablebody"/>
              <w:rPr>
                <w:rFonts w:ascii="Calibri" w:hAnsi="Calibri" w:cs="Calibri"/>
                <w:sz w:val="16"/>
                <w:szCs w:val="16"/>
              </w:rPr>
            </w:pPr>
            <w:r w:rsidRPr="00EF21F0">
              <w:rPr>
                <w:rFonts w:ascii="Calibri" w:hAnsi="Calibri" w:cs="Calibri"/>
                <w:sz w:val="16"/>
                <w:szCs w:val="16"/>
              </w:rPr>
              <w:t>To monitor and gain insight into how professional practice elements are being implemented in schools</w:t>
            </w:r>
            <w:r>
              <w:rPr>
                <w:rFonts w:ascii="Calibri" w:hAnsi="Calibri" w:cs="Calibri"/>
                <w:sz w:val="16"/>
                <w:szCs w:val="16"/>
              </w:rPr>
              <w:t>,</w:t>
            </w:r>
            <w:r w:rsidRPr="00EF21F0">
              <w:rPr>
                <w:rFonts w:ascii="Calibri" w:hAnsi="Calibri" w:cs="Calibri"/>
                <w:sz w:val="16"/>
                <w:szCs w:val="16"/>
              </w:rPr>
              <w:t xml:space="preserve"> and whether the professional practice days and learning specialist initiatives are leading to improvements.</w:t>
            </w:r>
          </w:p>
          <w:p w14:paraId="68D674BE" w14:textId="77777777" w:rsidR="00951BB7" w:rsidRPr="00997A0A" w:rsidRDefault="00951BB7" w:rsidP="003513C8">
            <w:pPr>
              <w:pStyle w:val="ESTablebody"/>
              <w:rPr>
                <w:rFonts w:ascii="Calibri" w:hAnsi="Calibri" w:cs="Calibri"/>
                <w:sz w:val="16"/>
                <w:szCs w:val="16"/>
              </w:rPr>
            </w:pPr>
            <w:r w:rsidRPr="00EF21F0">
              <w:rPr>
                <w:rFonts w:ascii="Calibri" w:hAnsi="Calibri" w:cs="Calibri"/>
                <w:sz w:val="16"/>
                <w:szCs w:val="16"/>
              </w:rPr>
              <w:t>To understand the impact (effectiveness) of the reforms on teaching practice.</w:t>
            </w:r>
          </w:p>
        </w:tc>
        <w:tc>
          <w:tcPr>
            <w:tcW w:w="2409" w:type="dxa"/>
            <w:tcBorders>
              <w:top w:val="single" w:sz="4" w:space="0" w:color="auto"/>
              <w:bottom w:val="single" w:sz="4" w:space="0" w:color="auto"/>
            </w:tcBorders>
          </w:tcPr>
          <w:p w14:paraId="06497AEA" w14:textId="77777777" w:rsidR="00951BB7" w:rsidRPr="00997A0A" w:rsidRDefault="00951BB7" w:rsidP="003513C8">
            <w:pPr>
              <w:pStyle w:val="ESTablebody"/>
              <w:rPr>
                <w:rFonts w:ascii="Calibri" w:hAnsi="Calibri" w:cs="Calibri"/>
                <w:sz w:val="16"/>
                <w:szCs w:val="16"/>
              </w:rPr>
            </w:pPr>
            <w:r w:rsidRPr="00EF21F0">
              <w:rPr>
                <w:rFonts w:ascii="Calibri" w:hAnsi="Calibri" w:cs="Calibri"/>
                <w:sz w:val="16"/>
                <w:szCs w:val="16"/>
              </w:rPr>
              <w:t>To understand the effectiveness of the reforms on teaching practice.</w:t>
            </w:r>
            <w:r>
              <w:rPr>
                <w:rFonts w:ascii="Calibri" w:hAnsi="Calibri" w:cs="Calibri"/>
                <w:sz w:val="16"/>
                <w:szCs w:val="16"/>
              </w:rPr>
              <w:t xml:space="preserve"> </w:t>
            </w:r>
            <w:r w:rsidRPr="00EF21F0">
              <w:rPr>
                <w:rFonts w:ascii="Calibri" w:hAnsi="Calibri" w:cs="Calibri"/>
                <w:sz w:val="16"/>
                <w:szCs w:val="16"/>
              </w:rPr>
              <w:t xml:space="preserve">The evaluation of the professional practice elements </w:t>
            </w:r>
            <w:r>
              <w:rPr>
                <w:rFonts w:ascii="Calibri" w:hAnsi="Calibri" w:cs="Calibri"/>
                <w:sz w:val="16"/>
                <w:szCs w:val="16"/>
              </w:rPr>
              <w:t>involves</w:t>
            </w:r>
            <w:r w:rsidRPr="00EF21F0">
              <w:rPr>
                <w:rFonts w:ascii="Calibri" w:hAnsi="Calibri" w:cs="Calibri"/>
                <w:sz w:val="16"/>
                <w:szCs w:val="16"/>
              </w:rPr>
              <w:t xml:space="preserve"> both developmental and summative phases. The developmental phase inform</w:t>
            </w:r>
            <w:r>
              <w:rPr>
                <w:rFonts w:ascii="Calibri" w:hAnsi="Calibri" w:cs="Calibri"/>
                <w:sz w:val="16"/>
                <w:szCs w:val="16"/>
              </w:rPr>
              <w:t>s</w:t>
            </w:r>
            <w:r w:rsidRPr="00EF21F0">
              <w:rPr>
                <w:rFonts w:ascii="Calibri" w:hAnsi="Calibri" w:cs="Calibri"/>
                <w:sz w:val="16"/>
                <w:szCs w:val="16"/>
              </w:rPr>
              <w:t xml:space="preserve"> ongoing implementation efforts. The summative phase inform</w:t>
            </w:r>
            <w:r>
              <w:rPr>
                <w:rFonts w:ascii="Calibri" w:hAnsi="Calibri" w:cs="Calibri"/>
                <w:sz w:val="16"/>
                <w:szCs w:val="16"/>
              </w:rPr>
              <w:t>s</w:t>
            </w:r>
            <w:r w:rsidRPr="00EF21F0">
              <w:rPr>
                <w:rFonts w:ascii="Calibri" w:hAnsi="Calibri" w:cs="Calibri"/>
                <w:sz w:val="16"/>
                <w:szCs w:val="16"/>
              </w:rPr>
              <w:t xml:space="preserve"> future funding decisions for professional practice days</w:t>
            </w:r>
            <w:r>
              <w:rPr>
                <w:rFonts w:ascii="Calibri" w:hAnsi="Calibri" w:cs="Calibri"/>
                <w:sz w:val="16"/>
                <w:szCs w:val="16"/>
              </w:rPr>
              <w:t>.</w:t>
            </w:r>
          </w:p>
        </w:tc>
        <w:tc>
          <w:tcPr>
            <w:tcW w:w="1134" w:type="dxa"/>
            <w:tcBorders>
              <w:top w:val="single" w:sz="4" w:space="0" w:color="auto"/>
              <w:bottom w:val="single" w:sz="4" w:space="0" w:color="auto"/>
            </w:tcBorders>
          </w:tcPr>
          <w:p w14:paraId="4BFD06F9" w14:textId="77777777" w:rsidR="00951BB7" w:rsidRPr="00997A0A" w:rsidRDefault="00951BB7" w:rsidP="003513C8">
            <w:pPr>
              <w:pStyle w:val="ESTablebody"/>
              <w:rPr>
                <w:rFonts w:ascii="Calibri" w:hAnsi="Calibri" w:cs="Calibri"/>
                <w:sz w:val="16"/>
                <w:szCs w:val="16"/>
              </w:rPr>
            </w:pPr>
            <w:r w:rsidRPr="00EF21F0">
              <w:rPr>
                <w:rFonts w:ascii="Calibri" w:hAnsi="Calibri" w:cs="Calibri"/>
                <w:sz w:val="16"/>
                <w:szCs w:val="16"/>
              </w:rPr>
              <w:t xml:space="preserve">January 2018 </w:t>
            </w:r>
            <w:r>
              <w:rPr>
                <w:rFonts w:ascii="Calibri" w:hAnsi="Calibri" w:cs="Calibri"/>
                <w:sz w:val="16"/>
                <w:szCs w:val="16"/>
              </w:rPr>
              <w:t>–</w:t>
            </w:r>
            <w:r w:rsidRPr="00EF21F0">
              <w:rPr>
                <w:rFonts w:ascii="Calibri" w:hAnsi="Calibri" w:cs="Calibri"/>
                <w:sz w:val="16"/>
                <w:szCs w:val="16"/>
              </w:rPr>
              <w:t xml:space="preserve"> April 2021</w:t>
            </w:r>
          </w:p>
        </w:tc>
        <w:tc>
          <w:tcPr>
            <w:tcW w:w="1701" w:type="dxa"/>
            <w:tcBorders>
              <w:top w:val="single" w:sz="4" w:space="0" w:color="auto"/>
              <w:bottom w:val="single" w:sz="4" w:space="0" w:color="auto"/>
            </w:tcBorders>
          </w:tcPr>
          <w:p w14:paraId="45015F7D" w14:textId="77777777" w:rsidR="00951BB7" w:rsidRDefault="00951BB7" w:rsidP="003513C8">
            <w:pPr>
              <w:pStyle w:val="ESTablebody"/>
              <w:rPr>
                <w:rFonts w:ascii="Calibri" w:hAnsi="Calibri" w:cs="Calibri"/>
                <w:sz w:val="16"/>
                <w:szCs w:val="16"/>
              </w:rPr>
            </w:pPr>
            <w:r w:rsidRPr="00EF21F0">
              <w:rPr>
                <w:rFonts w:ascii="Calibri" w:hAnsi="Calibri" w:cs="Calibri"/>
                <w:sz w:val="16"/>
                <w:szCs w:val="16"/>
              </w:rPr>
              <w:t xml:space="preserve">The evaluation is a key input into the Department’s position in the negotiations for a new </w:t>
            </w:r>
            <w:r>
              <w:rPr>
                <w:rFonts w:ascii="Calibri" w:hAnsi="Calibri" w:cs="Calibri"/>
                <w:sz w:val="16"/>
                <w:szCs w:val="16"/>
              </w:rPr>
              <w:t>Victorian Government Schools Agreement</w:t>
            </w:r>
            <w:r w:rsidRPr="00EF21F0">
              <w:rPr>
                <w:rFonts w:ascii="Calibri" w:hAnsi="Calibri" w:cs="Calibri"/>
                <w:sz w:val="16"/>
                <w:szCs w:val="16"/>
              </w:rPr>
              <w:t xml:space="preserve"> with the A</w:t>
            </w:r>
            <w:r>
              <w:rPr>
                <w:rFonts w:ascii="Calibri" w:hAnsi="Calibri" w:cs="Calibri"/>
                <w:sz w:val="16"/>
                <w:szCs w:val="16"/>
              </w:rPr>
              <w:t xml:space="preserve">ustralian </w:t>
            </w:r>
            <w:r w:rsidRPr="00EF21F0">
              <w:rPr>
                <w:rFonts w:ascii="Calibri" w:hAnsi="Calibri" w:cs="Calibri"/>
                <w:sz w:val="16"/>
                <w:szCs w:val="16"/>
              </w:rPr>
              <w:t>E</w:t>
            </w:r>
            <w:r>
              <w:rPr>
                <w:rFonts w:ascii="Calibri" w:hAnsi="Calibri" w:cs="Calibri"/>
                <w:sz w:val="16"/>
                <w:szCs w:val="16"/>
              </w:rPr>
              <w:t xml:space="preserve">ducation </w:t>
            </w:r>
            <w:r w:rsidRPr="00EF21F0">
              <w:rPr>
                <w:rFonts w:ascii="Calibri" w:hAnsi="Calibri" w:cs="Calibri"/>
                <w:sz w:val="16"/>
                <w:szCs w:val="16"/>
              </w:rPr>
              <w:t>U</w:t>
            </w:r>
            <w:r>
              <w:rPr>
                <w:rFonts w:ascii="Calibri" w:hAnsi="Calibri" w:cs="Calibri"/>
                <w:sz w:val="16"/>
                <w:szCs w:val="16"/>
              </w:rPr>
              <w:t>nion</w:t>
            </w:r>
            <w:r w:rsidRPr="00EF21F0">
              <w:rPr>
                <w:rFonts w:ascii="Calibri" w:hAnsi="Calibri" w:cs="Calibri"/>
                <w:sz w:val="16"/>
                <w:szCs w:val="16"/>
              </w:rPr>
              <w:t>.</w:t>
            </w:r>
          </w:p>
        </w:tc>
        <w:tc>
          <w:tcPr>
            <w:tcW w:w="1134" w:type="dxa"/>
            <w:tcBorders>
              <w:top w:val="single" w:sz="4" w:space="0" w:color="auto"/>
              <w:bottom w:val="single" w:sz="4" w:space="0" w:color="auto"/>
            </w:tcBorders>
          </w:tcPr>
          <w:p w14:paraId="60B920DD" w14:textId="77777777" w:rsidR="00951BB7" w:rsidRPr="00997A0A" w:rsidRDefault="00951BB7" w:rsidP="003513C8">
            <w:pPr>
              <w:pStyle w:val="ESTablebody"/>
              <w:jc w:val="right"/>
              <w:rPr>
                <w:rFonts w:ascii="Calibri" w:hAnsi="Calibri" w:cs="Calibri"/>
                <w:sz w:val="16"/>
                <w:szCs w:val="16"/>
              </w:rPr>
            </w:pPr>
            <w:r w:rsidRPr="00EF21F0">
              <w:rPr>
                <w:rFonts w:ascii="Calibri" w:hAnsi="Calibri" w:cs="Calibri"/>
                <w:sz w:val="16"/>
                <w:szCs w:val="16"/>
              </w:rPr>
              <w:t>905,346</w:t>
            </w:r>
          </w:p>
        </w:tc>
        <w:tc>
          <w:tcPr>
            <w:tcW w:w="993" w:type="dxa"/>
            <w:tcBorders>
              <w:top w:val="single" w:sz="4" w:space="0" w:color="auto"/>
              <w:bottom w:val="single" w:sz="4" w:space="0" w:color="auto"/>
            </w:tcBorders>
          </w:tcPr>
          <w:p w14:paraId="392EB20D" w14:textId="77777777" w:rsidR="00951BB7" w:rsidRPr="00997A0A" w:rsidRDefault="00951BB7" w:rsidP="003513C8">
            <w:pPr>
              <w:pStyle w:val="ESTablebody"/>
              <w:jc w:val="right"/>
              <w:rPr>
                <w:rFonts w:ascii="Calibri" w:hAnsi="Calibri" w:cs="Calibri"/>
                <w:sz w:val="16"/>
                <w:szCs w:val="16"/>
              </w:rPr>
            </w:pPr>
            <w:r w:rsidRPr="00EF21F0">
              <w:rPr>
                <w:rFonts w:ascii="Calibri" w:hAnsi="Calibri" w:cs="Calibri"/>
                <w:sz w:val="16"/>
                <w:szCs w:val="16"/>
              </w:rPr>
              <w:t>904,418</w:t>
            </w:r>
          </w:p>
        </w:tc>
        <w:tc>
          <w:tcPr>
            <w:tcW w:w="1622" w:type="dxa"/>
            <w:tcBorders>
              <w:top w:val="single" w:sz="4" w:space="0" w:color="auto"/>
              <w:bottom w:val="single" w:sz="4" w:space="0" w:color="auto"/>
            </w:tcBorders>
          </w:tcPr>
          <w:p w14:paraId="4F71688D" w14:textId="77777777" w:rsidR="00951BB7" w:rsidRPr="00997A0A" w:rsidRDefault="00951BB7" w:rsidP="003513C8">
            <w:pPr>
              <w:pStyle w:val="ESTablebody"/>
              <w:jc w:val="right"/>
              <w:rPr>
                <w:rFonts w:ascii="Calibri" w:hAnsi="Calibri" w:cs="Calibri"/>
                <w:sz w:val="16"/>
                <w:szCs w:val="16"/>
              </w:rPr>
            </w:pPr>
            <w:r>
              <w:rPr>
                <w:rFonts w:ascii="Calibri" w:hAnsi="Calibri" w:cs="Calibri"/>
                <w:sz w:val="16"/>
                <w:szCs w:val="16"/>
              </w:rPr>
              <w:t>N</w:t>
            </w:r>
          </w:p>
        </w:tc>
      </w:tr>
      <w:tr w:rsidR="00951BB7" w:rsidRPr="00925213" w14:paraId="5901174E" w14:textId="77777777" w:rsidTr="00383663">
        <w:trPr>
          <w:cantSplit/>
          <w:trHeight w:val="628"/>
        </w:trPr>
        <w:tc>
          <w:tcPr>
            <w:tcW w:w="1696" w:type="dxa"/>
            <w:tcBorders>
              <w:top w:val="single" w:sz="4" w:space="0" w:color="auto"/>
              <w:bottom w:val="single" w:sz="4" w:space="0" w:color="auto"/>
            </w:tcBorders>
            <w:shd w:val="clear" w:color="auto" w:fill="auto"/>
          </w:tcPr>
          <w:p w14:paraId="32739A62"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Provision of evaluation services of the impact on </w:t>
            </w:r>
            <w:proofErr w:type="spellStart"/>
            <w:r w:rsidRPr="00355385">
              <w:rPr>
                <w:rFonts w:ascii="Calibri" w:hAnsi="Calibri" w:cs="Calibri"/>
                <w:sz w:val="16"/>
                <w:szCs w:val="16"/>
              </w:rPr>
              <w:t>Bastow</w:t>
            </w:r>
            <w:proofErr w:type="spellEnd"/>
            <w:r w:rsidRPr="00355385">
              <w:rPr>
                <w:rFonts w:ascii="Calibri" w:hAnsi="Calibri" w:cs="Calibri"/>
                <w:sz w:val="16"/>
                <w:szCs w:val="16"/>
              </w:rPr>
              <w:t xml:space="preserve"> leadership courses, and alignment against best practice evaluation methodology</w:t>
            </w:r>
          </w:p>
          <w:p w14:paraId="17F67680"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(Education portfolio, Strategy, Review and Regulation; Support Services Delivery)</w:t>
            </w:r>
          </w:p>
        </w:tc>
        <w:tc>
          <w:tcPr>
            <w:tcW w:w="1134" w:type="dxa"/>
            <w:tcBorders>
              <w:top w:val="single" w:sz="4" w:space="0" w:color="auto"/>
              <w:bottom w:val="single" w:sz="4" w:space="0" w:color="auto"/>
            </w:tcBorders>
            <w:shd w:val="clear" w:color="auto" w:fill="auto"/>
          </w:tcPr>
          <w:p w14:paraId="652CB842" w14:textId="77777777" w:rsidR="00951BB7" w:rsidRPr="00925213" w:rsidRDefault="00951BB7" w:rsidP="00355385">
            <w:pPr>
              <w:pStyle w:val="ESTablebody"/>
              <w:rPr>
                <w:rFonts w:ascii="Calibri" w:hAnsi="Calibri" w:cs="Calibri"/>
                <w:sz w:val="16"/>
                <w:szCs w:val="16"/>
              </w:rPr>
            </w:pPr>
            <w:proofErr w:type="spellStart"/>
            <w:r w:rsidRPr="00925213">
              <w:rPr>
                <w:rFonts w:ascii="Calibri" w:hAnsi="Calibri" w:cs="Calibri"/>
                <w:sz w:val="16"/>
                <w:szCs w:val="16"/>
              </w:rPr>
              <w:t>Dandolo</w:t>
            </w:r>
            <w:proofErr w:type="spellEnd"/>
            <w:r w:rsidRPr="00925213">
              <w:rPr>
                <w:rFonts w:ascii="Calibri" w:hAnsi="Calibri" w:cs="Calibri"/>
                <w:sz w:val="16"/>
                <w:szCs w:val="16"/>
              </w:rPr>
              <w:t xml:space="preserve"> partners</w:t>
            </w:r>
          </w:p>
        </w:tc>
        <w:tc>
          <w:tcPr>
            <w:tcW w:w="2127" w:type="dxa"/>
            <w:tcBorders>
              <w:top w:val="single" w:sz="4" w:space="0" w:color="auto"/>
              <w:bottom w:val="single" w:sz="4" w:space="0" w:color="auto"/>
            </w:tcBorders>
            <w:shd w:val="clear" w:color="auto" w:fill="auto"/>
          </w:tcPr>
          <w:p w14:paraId="7FA598C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evaluate the impact of selected professional learning courses to understand </w:t>
            </w:r>
            <w:proofErr w:type="spellStart"/>
            <w:r w:rsidRPr="00355385">
              <w:rPr>
                <w:rFonts w:ascii="Calibri" w:hAnsi="Calibri" w:cs="Calibri"/>
                <w:sz w:val="16"/>
                <w:szCs w:val="16"/>
              </w:rPr>
              <w:t>Bastow’s</w:t>
            </w:r>
            <w:proofErr w:type="spellEnd"/>
            <w:r w:rsidRPr="00355385">
              <w:rPr>
                <w:rFonts w:ascii="Calibri" w:hAnsi="Calibri" w:cs="Calibri"/>
                <w:sz w:val="16"/>
                <w:szCs w:val="16"/>
              </w:rPr>
              <w:t xml:space="preserve"> impact and contribution to the wider Victorian education landscape, based on detailed participant perspectives.</w:t>
            </w:r>
          </w:p>
          <w:p w14:paraId="0EE43F6E" w14:textId="77777777" w:rsidR="00951BB7" w:rsidRPr="00355385" w:rsidRDefault="00951BB7" w:rsidP="00355385">
            <w:pPr>
              <w:pStyle w:val="ESTablebody"/>
              <w:rPr>
                <w:rFonts w:ascii="Calibri" w:hAnsi="Calibri" w:cs="Calibri"/>
                <w:sz w:val="16"/>
                <w:szCs w:val="16"/>
              </w:rPr>
            </w:pPr>
          </w:p>
        </w:tc>
        <w:tc>
          <w:tcPr>
            <w:tcW w:w="2409" w:type="dxa"/>
            <w:tcBorders>
              <w:top w:val="single" w:sz="4" w:space="0" w:color="auto"/>
              <w:bottom w:val="single" w:sz="4" w:space="0" w:color="auto"/>
            </w:tcBorders>
          </w:tcPr>
          <w:p w14:paraId="656206B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ensure that internal course design principles </w:t>
            </w:r>
            <w:proofErr w:type="gramStart"/>
            <w:r w:rsidRPr="00355385">
              <w:rPr>
                <w:rFonts w:ascii="Calibri" w:hAnsi="Calibri" w:cs="Calibri"/>
                <w:sz w:val="16"/>
                <w:szCs w:val="16"/>
              </w:rPr>
              <w:t>reflects</w:t>
            </w:r>
            <w:proofErr w:type="gramEnd"/>
            <w:r w:rsidRPr="00355385">
              <w:rPr>
                <w:rFonts w:ascii="Calibri" w:hAnsi="Calibri" w:cs="Calibri"/>
                <w:sz w:val="16"/>
                <w:szCs w:val="16"/>
              </w:rPr>
              <w:t xml:space="preserve"> best practice, assess the impact of </w:t>
            </w:r>
            <w:proofErr w:type="spellStart"/>
            <w:r w:rsidRPr="00355385">
              <w:rPr>
                <w:rFonts w:ascii="Calibri" w:hAnsi="Calibri" w:cs="Calibri"/>
                <w:sz w:val="16"/>
                <w:szCs w:val="16"/>
              </w:rPr>
              <w:t>Bastow’s</w:t>
            </w:r>
            <w:proofErr w:type="spellEnd"/>
            <w:r w:rsidRPr="00355385">
              <w:rPr>
                <w:rFonts w:ascii="Calibri" w:hAnsi="Calibri" w:cs="Calibri"/>
                <w:sz w:val="16"/>
                <w:szCs w:val="16"/>
              </w:rPr>
              <w:t xml:space="preserve"> professional learning offerings and opportunities for improvement on teacher and student outcomes, and to assess the alignment of implementation with initial course design.</w:t>
            </w:r>
          </w:p>
          <w:p w14:paraId="7CA9B888" w14:textId="77777777" w:rsidR="00951BB7" w:rsidRPr="00355385" w:rsidRDefault="00951BB7" w:rsidP="00355385">
            <w:pPr>
              <w:pStyle w:val="ESTablebody"/>
              <w:rPr>
                <w:rFonts w:ascii="Calibri" w:hAnsi="Calibri" w:cs="Calibri"/>
                <w:sz w:val="16"/>
                <w:szCs w:val="16"/>
              </w:rPr>
            </w:pPr>
          </w:p>
        </w:tc>
        <w:tc>
          <w:tcPr>
            <w:tcW w:w="1134" w:type="dxa"/>
            <w:tcBorders>
              <w:top w:val="single" w:sz="4" w:space="0" w:color="auto"/>
              <w:bottom w:val="single" w:sz="4" w:space="0" w:color="auto"/>
            </w:tcBorders>
          </w:tcPr>
          <w:p w14:paraId="16192FDF"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May 2020 –July 2021</w:t>
            </w:r>
          </w:p>
        </w:tc>
        <w:tc>
          <w:tcPr>
            <w:tcW w:w="1701" w:type="dxa"/>
            <w:tcBorders>
              <w:top w:val="single" w:sz="4" w:space="0" w:color="auto"/>
              <w:bottom w:val="single" w:sz="4" w:space="0" w:color="auto"/>
            </w:tcBorders>
          </w:tcPr>
          <w:p w14:paraId="5F4E383B"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The final report assesses course impacts for participants and indicates how </w:t>
            </w:r>
            <w:proofErr w:type="spellStart"/>
            <w:r w:rsidRPr="00355385">
              <w:rPr>
                <w:rFonts w:ascii="Calibri" w:hAnsi="Calibri" w:cs="Calibri"/>
                <w:sz w:val="16"/>
                <w:szCs w:val="16"/>
              </w:rPr>
              <w:t>Bastow</w:t>
            </w:r>
            <w:proofErr w:type="spellEnd"/>
            <w:r w:rsidRPr="00355385">
              <w:rPr>
                <w:rFonts w:ascii="Calibri" w:hAnsi="Calibri" w:cs="Calibri"/>
                <w:sz w:val="16"/>
                <w:szCs w:val="16"/>
              </w:rPr>
              <w:t xml:space="preserve"> can best met its budget paper targets. The report also assesses the alignment of </w:t>
            </w:r>
            <w:proofErr w:type="spellStart"/>
            <w:r w:rsidRPr="00355385">
              <w:rPr>
                <w:rFonts w:ascii="Calibri" w:hAnsi="Calibri" w:cs="Calibri"/>
                <w:sz w:val="16"/>
                <w:szCs w:val="16"/>
              </w:rPr>
              <w:t>Bastow</w:t>
            </w:r>
            <w:proofErr w:type="spellEnd"/>
            <w:r w:rsidRPr="00355385">
              <w:rPr>
                <w:rFonts w:ascii="Calibri" w:hAnsi="Calibri" w:cs="Calibri"/>
                <w:sz w:val="16"/>
                <w:szCs w:val="16"/>
              </w:rPr>
              <w:t xml:space="preserve"> leadership courses against best practice in evaluation methodology. Report findings support future evaluation practice.</w:t>
            </w:r>
          </w:p>
          <w:p w14:paraId="56D00E71" w14:textId="77777777" w:rsidR="00951BB7" w:rsidRPr="00925213" w:rsidRDefault="00951BB7" w:rsidP="00355385">
            <w:pPr>
              <w:pStyle w:val="ESTablebody"/>
              <w:rPr>
                <w:rFonts w:ascii="Calibri" w:hAnsi="Calibri" w:cs="Calibri"/>
                <w:sz w:val="16"/>
                <w:szCs w:val="16"/>
              </w:rPr>
            </w:pPr>
          </w:p>
        </w:tc>
        <w:tc>
          <w:tcPr>
            <w:tcW w:w="1134" w:type="dxa"/>
            <w:tcBorders>
              <w:top w:val="single" w:sz="4" w:space="0" w:color="auto"/>
              <w:bottom w:val="single" w:sz="4" w:space="0" w:color="auto"/>
            </w:tcBorders>
          </w:tcPr>
          <w:p w14:paraId="06C6EB2F"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104,998</w:t>
            </w:r>
          </w:p>
        </w:tc>
        <w:tc>
          <w:tcPr>
            <w:tcW w:w="993" w:type="dxa"/>
            <w:tcBorders>
              <w:top w:val="single" w:sz="4" w:space="0" w:color="auto"/>
              <w:bottom w:val="single" w:sz="4" w:space="0" w:color="auto"/>
            </w:tcBorders>
          </w:tcPr>
          <w:p w14:paraId="18390D4B"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104,998</w:t>
            </w:r>
          </w:p>
        </w:tc>
        <w:tc>
          <w:tcPr>
            <w:tcW w:w="1622" w:type="dxa"/>
            <w:tcBorders>
              <w:top w:val="single" w:sz="4" w:space="0" w:color="auto"/>
              <w:bottom w:val="single" w:sz="4" w:space="0" w:color="auto"/>
            </w:tcBorders>
          </w:tcPr>
          <w:p w14:paraId="5FBFB7F5"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N</w:t>
            </w:r>
          </w:p>
        </w:tc>
      </w:tr>
      <w:tr w:rsidR="00951BB7" w:rsidRPr="00925213" w14:paraId="42C9F42C" w14:textId="77777777" w:rsidTr="00383663">
        <w:trPr>
          <w:cantSplit/>
          <w:trHeight w:val="628"/>
        </w:trPr>
        <w:tc>
          <w:tcPr>
            <w:tcW w:w="1696" w:type="dxa"/>
            <w:tcBorders>
              <w:top w:val="single" w:sz="4" w:space="0" w:color="auto"/>
              <w:bottom w:val="single" w:sz="4" w:space="0" w:color="auto"/>
            </w:tcBorders>
            <w:shd w:val="clear" w:color="auto" w:fill="auto"/>
          </w:tcPr>
          <w:p w14:paraId="19E7FB5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Remote and Flexible Learning Qualitative Research</w:t>
            </w:r>
          </w:p>
          <w:p w14:paraId="73A29ABC"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Education–Primary, School Education–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01725D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QDOS</w:t>
            </w:r>
          </w:p>
        </w:tc>
        <w:tc>
          <w:tcPr>
            <w:tcW w:w="2127" w:type="dxa"/>
            <w:tcBorders>
              <w:top w:val="single" w:sz="4" w:space="0" w:color="auto"/>
              <w:bottom w:val="single" w:sz="4" w:space="0" w:color="auto"/>
            </w:tcBorders>
            <w:shd w:val="clear" w:color="auto" w:fill="auto"/>
          </w:tcPr>
          <w:p w14:paraId="53139992"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provide </w:t>
            </w:r>
            <w:r w:rsidRPr="00925213">
              <w:rPr>
                <w:rFonts w:ascii="Calibri" w:hAnsi="Calibri" w:cs="Calibri"/>
                <w:sz w:val="16"/>
                <w:szCs w:val="16"/>
              </w:rPr>
              <w:t>an independent and cross-sectoral picture of the experience of remote and flexible learning between March and June 2020.</w:t>
            </w:r>
          </w:p>
        </w:tc>
        <w:tc>
          <w:tcPr>
            <w:tcW w:w="2409" w:type="dxa"/>
            <w:tcBorders>
              <w:top w:val="single" w:sz="4" w:space="0" w:color="auto"/>
              <w:bottom w:val="single" w:sz="4" w:space="0" w:color="auto"/>
            </w:tcBorders>
          </w:tcPr>
          <w:p w14:paraId="31F76888"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investigate experiences of students, parents and </w:t>
            </w:r>
            <w:proofErr w:type="spellStart"/>
            <w:r w:rsidRPr="00925213">
              <w:rPr>
                <w:rFonts w:ascii="Calibri" w:hAnsi="Calibri" w:cs="Calibri"/>
                <w:sz w:val="16"/>
                <w:szCs w:val="16"/>
              </w:rPr>
              <w:t>carers</w:t>
            </w:r>
            <w:proofErr w:type="spellEnd"/>
            <w:r w:rsidRPr="00925213">
              <w:rPr>
                <w:rFonts w:ascii="Calibri" w:hAnsi="Calibri" w:cs="Calibri"/>
                <w:sz w:val="16"/>
                <w:szCs w:val="16"/>
              </w:rPr>
              <w:t>, teachers and school principal</w:t>
            </w:r>
            <w:r>
              <w:rPr>
                <w:rFonts w:ascii="Calibri" w:hAnsi="Calibri" w:cs="Calibri"/>
                <w:sz w:val="16"/>
                <w:szCs w:val="16"/>
              </w:rPr>
              <w:t>s</w:t>
            </w:r>
            <w:r w:rsidRPr="00925213">
              <w:rPr>
                <w:rFonts w:ascii="Calibri" w:hAnsi="Calibri" w:cs="Calibri"/>
                <w:sz w:val="16"/>
                <w:szCs w:val="16"/>
              </w:rPr>
              <w:t xml:space="preserve"> relating to remote and flexible learning.</w:t>
            </w:r>
          </w:p>
        </w:tc>
        <w:tc>
          <w:tcPr>
            <w:tcW w:w="1134" w:type="dxa"/>
            <w:tcBorders>
              <w:top w:val="single" w:sz="4" w:space="0" w:color="auto"/>
              <w:bottom w:val="single" w:sz="4" w:space="0" w:color="auto"/>
            </w:tcBorders>
          </w:tcPr>
          <w:p w14:paraId="7B71F1D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w:t>
            </w:r>
            <w:r w:rsidRPr="00355385">
              <w:rPr>
                <w:rFonts w:ascii="Calibri" w:hAnsi="Calibri" w:cs="Calibri"/>
                <w:sz w:val="16"/>
                <w:szCs w:val="16"/>
              </w:rPr>
              <w:t>–</w:t>
            </w:r>
            <w:r w:rsidRPr="00925213">
              <w:rPr>
                <w:rFonts w:ascii="Calibri" w:hAnsi="Calibri" w:cs="Calibri"/>
                <w:sz w:val="16"/>
                <w:szCs w:val="16"/>
              </w:rPr>
              <w:t>July 2020</w:t>
            </w:r>
          </w:p>
        </w:tc>
        <w:tc>
          <w:tcPr>
            <w:tcW w:w="1701" w:type="dxa"/>
            <w:tcBorders>
              <w:top w:val="single" w:sz="4" w:space="0" w:color="auto"/>
              <w:bottom w:val="single" w:sz="4" w:space="0" w:color="auto"/>
            </w:tcBorders>
          </w:tcPr>
          <w:p w14:paraId="5D58779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gain a comprehensive understanding </w:t>
            </w:r>
            <w:r>
              <w:rPr>
                <w:rFonts w:ascii="Calibri" w:hAnsi="Calibri" w:cs="Calibri"/>
                <w:sz w:val="16"/>
                <w:szCs w:val="16"/>
              </w:rPr>
              <w:t>to the experience of</w:t>
            </w:r>
            <w:r w:rsidRPr="00925213">
              <w:rPr>
                <w:rFonts w:ascii="Calibri" w:hAnsi="Calibri" w:cs="Calibri"/>
                <w:sz w:val="16"/>
                <w:szCs w:val="16"/>
              </w:rPr>
              <w:t xml:space="preserve"> remote learning.</w:t>
            </w:r>
          </w:p>
        </w:tc>
        <w:tc>
          <w:tcPr>
            <w:tcW w:w="1134" w:type="dxa"/>
            <w:tcBorders>
              <w:top w:val="single" w:sz="4" w:space="0" w:color="auto"/>
              <w:bottom w:val="single" w:sz="4" w:space="0" w:color="auto"/>
            </w:tcBorders>
          </w:tcPr>
          <w:p w14:paraId="25EFA5DB"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49,995</w:t>
            </w:r>
          </w:p>
        </w:tc>
        <w:tc>
          <w:tcPr>
            <w:tcW w:w="993" w:type="dxa"/>
            <w:tcBorders>
              <w:top w:val="single" w:sz="4" w:space="0" w:color="auto"/>
              <w:bottom w:val="single" w:sz="4" w:space="0" w:color="auto"/>
            </w:tcBorders>
          </w:tcPr>
          <w:p w14:paraId="75BA9487"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61,105</w:t>
            </w:r>
          </w:p>
        </w:tc>
        <w:tc>
          <w:tcPr>
            <w:tcW w:w="1622" w:type="dxa"/>
            <w:tcBorders>
              <w:top w:val="single" w:sz="4" w:space="0" w:color="auto"/>
              <w:bottom w:val="single" w:sz="4" w:space="0" w:color="auto"/>
            </w:tcBorders>
          </w:tcPr>
          <w:p w14:paraId="11E0F44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Y</w:t>
            </w:r>
          </w:p>
          <w:p w14:paraId="7E09388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https://www.education.vic.gov.au/Documents/about/department/covid-19/remote-and-flexible-learning-qualitative-research.pdf</w:t>
            </w:r>
          </w:p>
        </w:tc>
      </w:tr>
      <w:tr w:rsidR="00951BB7" w:rsidRPr="00925213" w14:paraId="60D5BC0B" w14:textId="77777777" w:rsidTr="00383663">
        <w:trPr>
          <w:cantSplit/>
          <w:trHeight w:val="628"/>
        </w:trPr>
        <w:tc>
          <w:tcPr>
            <w:tcW w:w="1696" w:type="dxa"/>
            <w:tcBorders>
              <w:top w:val="single" w:sz="4" w:space="0" w:color="auto"/>
              <w:bottom w:val="single" w:sz="4" w:space="0" w:color="auto"/>
            </w:tcBorders>
            <w:shd w:val="clear" w:color="auto" w:fill="auto"/>
          </w:tcPr>
          <w:p w14:paraId="58A91C1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Report on state and territory VET arrangements</w:t>
            </w:r>
          </w:p>
          <w:p w14:paraId="6AA8867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5E3B355B"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Ithaca Group</w:t>
            </w:r>
          </w:p>
        </w:tc>
        <w:tc>
          <w:tcPr>
            <w:tcW w:w="2127" w:type="dxa"/>
            <w:tcBorders>
              <w:top w:val="single" w:sz="4" w:space="0" w:color="auto"/>
              <w:bottom w:val="single" w:sz="4" w:space="0" w:color="auto"/>
            </w:tcBorders>
            <w:shd w:val="clear" w:color="auto" w:fill="auto"/>
          </w:tcPr>
          <w:p w14:paraId="207AD1C2"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w:t>
            </w:r>
            <w:proofErr w:type="spellStart"/>
            <w:r w:rsidRPr="00355385">
              <w:rPr>
                <w:rFonts w:ascii="Calibri" w:hAnsi="Calibri" w:cs="Calibri"/>
                <w:sz w:val="16"/>
                <w:szCs w:val="16"/>
              </w:rPr>
              <w:t>summarise</w:t>
            </w:r>
            <w:proofErr w:type="spellEnd"/>
            <w:r w:rsidRPr="00355385">
              <w:rPr>
                <w:rFonts w:ascii="Calibri" w:hAnsi="Calibri" w:cs="Calibri"/>
                <w:sz w:val="16"/>
                <w:szCs w:val="16"/>
              </w:rPr>
              <w:t xml:space="preserve"> recent developments in the State/Territory-based VET arrangements in Victoria.</w:t>
            </w:r>
          </w:p>
        </w:tc>
        <w:tc>
          <w:tcPr>
            <w:tcW w:w="2409" w:type="dxa"/>
            <w:tcBorders>
              <w:top w:val="single" w:sz="4" w:space="0" w:color="auto"/>
              <w:bottom w:val="single" w:sz="4" w:space="0" w:color="auto"/>
            </w:tcBorders>
          </w:tcPr>
          <w:p w14:paraId="22CDAFF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identify the distinguishing features of VET arrangements and recent State/Territory-based VET reforms that are of relevance to Victoria.</w:t>
            </w:r>
          </w:p>
        </w:tc>
        <w:tc>
          <w:tcPr>
            <w:tcW w:w="1134" w:type="dxa"/>
            <w:tcBorders>
              <w:top w:val="single" w:sz="4" w:space="0" w:color="auto"/>
              <w:bottom w:val="single" w:sz="4" w:space="0" w:color="auto"/>
            </w:tcBorders>
          </w:tcPr>
          <w:p w14:paraId="47E4117C" w14:textId="30AA36FE"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June – </w:t>
            </w:r>
            <w:r w:rsidR="008E62FB">
              <w:rPr>
                <w:rFonts w:ascii="Calibri" w:hAnsi="Calibri" w:cs="Calibri"/>
                <w:sz w:val="16"/>
                <w:szCs w:val="16"/>
              </w:rPr>
              <w:t>November</w:t>
            </w:r>
            <w:r w:rsidRPr="00355385">
              <w:rPr>
                <w:rFonts w:ascii="Calibri" w:hAnsi="Calibri" w:cs="Calibri"/>
                <w:sz w:val="16"/>
                <w:szCs w:val="16"/>
              </w:rPr>
              <w:t xml:space="preserve"> 2021</w:t>
            </w:r>
          </w:p>
        </w:tc>
        <w:tc>
          <w:tcPr>
            <w:tcW w:w="1701" w:type="dxa"/>
            <w:tcBorders>
              <w:top w:val="single" w:sz="4" w:space="0" w:color="auto"/>
              <w:bottom w:val="single" w:sz="4" w:space="0" w:color="auto"/>
            </w:tcBorders>
          </w:tcPr>
          <w:p w14:paraId="137FA6D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inform potential policy advice and areas for further investigation.</w:t>
            </w:r>
          </w:p>
        </w:tc>
        <w:tc>
          <w:tcPr>
            <w:tcW w:w="1134" w:type="dxa"/>
            <w:tcBorders>
              <w:top w:val="single" w:sz="4" w:space="0" w:color="auto"/>
              <w:bottom w:val="single" w:sz="4" w:space="0" w:color="auto"/>
            </w:tcBorders>
          </w:tcPr>
          <w:p w14:paraId="232FD242"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45,320</w:t>
            </w:r>
          </w:p>
        </w:tc>
        <w:tc>
          <w:tcPr>
            <w:tcW w:w="993" w:type="dxa"/>
            <w:tcBorders>
              <w:top w:val="single" w:sz="4" w:space="0" w:color="auto"/>
              <w:bottom w:val="single" w:sz="4" w:space="0" w:color="auto"/>
            </w:tcBorders>
          </w:tcPr>
          <w:p w14:paraId="7CA1ED23" w14:textId="77777777" w:rsidR="00951BB7" w:rsidRPr="0080332D" w:rsidRDefault="00951BB7" w:rsidP="00375B4C">
            <w:pPr>
              <w:spacing w:before="120" w:after="120"/>
              <w:jc w:val="right"/>
              <w:rPr>
                <w:rFonts w:ascii="Calibri" w:eastAsia="Times New Roman" w:hAnsi="Calibri" w:cs="Calibri"/>
                <w:sz w:val="16"/>
                <w:szCs w:val="16"/>
                <w:highlight w:val="yellow"/>
                <w:lang w:val="en-US"/>
              </w:rPr>
            </w:pPr>
            <w:r w:rsidRPr="00402275">
              <w:rPr>
                <w:rFonts w:ascii="Calibri" w:eastAsia="Times New Roman" w:hAnsi="Calibri" w:cs="Calibri"/>
                <w:sz w:val="16"/>
                <w:szCs w:val="16"/>
                <w:lang w:val="en-US"/>
              </w:rPr>
              <w:softHyphen/>
            </w:r>
          </w:p>
        </w:tc>
        <w:tc>
          <w:tcPr>
            <w:tcW w:w="1622" w:type="dxa"/>
            <w:tcBorders>
              <w:top w:val="single" w:sz="4" w:space="0" w:color="auto"/>
              <w:bottom w:val="single" w:sz="4" w:space="0" w:color="auto"/>
            </w:tcBorders>
          </w:tcPr>
          <w:p w14:paraId="6B135CA3"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N</w:t>
            </w:r>
          </w:p>
        </w:tc>
      </w:tr>
      <w:tr w:rsidR="00951BB7" w:rsidRPr="00925213" w14:paraId="6F6A9396" w14:textId="77777777" w:rsidTr="00383663">
        <w:trPr>
          <w:cantSplit/>
          <w:trHeight w:val="628"/>
        </w:trPr>
        <w:tc>
          <w:tcPr>
            <w:tcW w:w="1696" w:type="dxa"/>
            <w:tcBorders>
              <w:top w:val="single" w:sz="4" w:space="0" w:color="auto"/>
              <w:bottom w:val="single" w:sz="4" w:space="0" w:color="auto"/>
            </w:tcBorders>
            <w:shd w:val="clear" w:color="auto" w:fill="auto"/>
          </w:tcPr>
          <w:p w14:paraId="029BE25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Research into impacts of bushfires and COVID-19 pandemic on staff and student wellbeing in bushfire-impacted schools</w:t>
            </w:r>
          </w:p>
          <w:p w14:paraId="3145FB9E"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and Education portfolios, School Education</w:t>
            </w:r>
            <w:r>
              <w:rPr>
                <w:rFonts w:ascii="Calibri" w:hAnsi="Calibri" w:cs="Calibri"/>
                <w:sz w:val="16"/>
                <w:szCs w:val="16"/>
              </w:rPr>
              <w:t>—</w:t>
            </w:r>
            <w:r w:rsidRPr="00925213">
              <w:rPr>
                <w:rFonts w:ascii="Calibri" w:hAnsi="Calibri" w:cs="Calibri"/>
                <w:sz w:val="16"/>
                <w:szCs w:val="16"/>
              </w:rPr>
              <w:t>Primary and Secondary; Support Services Delivery</w:t>
            </w:r>
            <w:r>
              <w:rPr>
                <w:rFonts w:ascii="Calibri" w:hAnsi="Calibri" w:cs="Calibri"/>
                <w:sz w:val="16"/>
                <w:szCs w:val="16"/>
              </w:rPr>
              <w:t>)</w:t>
            </w:r>
          </w:p>
          <w:p w14:paraId="64D2AD19" w14:textId="77777777" w:rsidR="00951BB7" w:rsidRPr="00925213"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01477A9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2E37AD68"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measure wellbeing </w:t>
            </w:r>
            <w:r>
              <w:rPr>
                <w:rFonts w:ascii="Calibri" w:hAnsi="Calibri" w:cs="Calibri"/>
                <w:sz w:val="16"/>
                <w:szCs w:val="16"/>
              </w:rPr>
              <w:t>of</w:t>
            </w:r>
            <w:r w:rsidRPr="00925213">
              <w:rPr>
                <w:rFonts w:ascii="Calibri" w:hAnsi="Calibri" w:cs="Calibri"/>
                <w:sz w:val="16"/>
                <w:szCs w:val="16"/>
              </w:rPr>
              <w:t xml:space="preserve"> staff and student cohorts in up to 101 schools across bushfire impacted areas.</w:t>
            </w:r>
          </w:p>
        </w:tc>
        <w:tc>
          <w:tcPr>
            <w:tcW w:w="2409" w:type="dxa"/>
            <w:tcBorders>
              <w:top w:val="single" w:sz="4" w:space="0" w:color="auto"/>
              <w:bottom w:val="single" w:sz="4" w:space="0" w:color="auto"/>
            </w:tcBorders>
          </w:tcPr>
          <w:p w14:paraId="2904367E"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measure staff and student wellbeing </w:t>
            </w:r>
            <w:r>
              <w:rPr>
                <w:rFonts w:ascii="Calibri" w:hAnsi="Calibri" w:cs="Calibri"/>
                <w:sz w:val="16"/>
                <w:szCs w:val="16"/>
              </w:rPr>
              <w:t xml:space="preserve">in </w:t>
            </w:r>
            <w:r w:rsidRPr="00925213">
              <w:rPr>
                <w:rFonts w:ascii="Calibri" w:hAnsi="Calibri" w:cs="Calibri"/>
                <w:sz w:val="16"/>
                <w:szCs w:val="16"/>
              </w:rPr>
              <w:t xml:space="preserve">bushfire </w:t>
            </w:r>
            <w:r>
              <w:rPr>
                <w:rFonts w:ascii="Calibri" w:hAnsi="Calibri" w:cs="Calibri"/>
                <w:sz w:val="16"/>
                <w:szCs w:val="16"/>
              </w:rPr>
              <w:t xml:space="preserve">impacted areas </w:t>
            </w:r>
            <w:r w:rsidRPr="00925213">
              <w:rPr>
                <w:rFonts w:ascii="Calibri" w:hAnsi="Calibri" w:cs="Calibri"/>
                <w:sz w:val="16"/>
                <w:szCs w:val="16"/>
              </w:rPr>
              <w:t xml:space="preserve">in up to 101 schools across six local government areas declared a state of disaster during the 2019–20 Eastern Victoria Bushfires (East Gippsland, Mansfield, Wangaratta, Wellington, </w:t>
            </w:r>
            <w:proofErr w:type="spellStart"/>
            <w:r w:rsidRPr="00925213">
              <w:rPr>
                <w:rFonts w:ascii="Calibri" w:hAnsi="Calibri" w:cs="Calibri"/>
                <w:sz w:val="16"/>
                <w:szCs w:val="16"/>
              </w:rPr>
              <w:t>Towong</w:t>
            </w:r>
            <w:proofErr w:type="spellEnd"/>
            <w:r w:rsidRPr="00925213">
              <w:rPr>
                <w:rFonts w:ascii="Calibri" w:hAnsi="Calibri" w:cs="Calibri"/>
                <w:sz w:val="16"/>
                <w:szCs w:val="16"/>
              </w:rPr>
              <w:t xml:space="preserve"> and Alpine).</w:t>
            </w:r>
          </w:p>
        </w:tc>
        <w:tc>
          <w:tcPr>
            <w:tcW w:w="1134" w:type="dxa"/>
            <w:tcBorders>
              <w:top w:val="single" w:sz="4" w:space="0" w:color="auto"/>
              <w:bottom w:val="single" w:sz="4" w:space="0" w:color="auto"/>
            </w:tcBorders>
          </w:tcPr>
          <w:p w14:paraId="21AB383C"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January –</w:t>
            </w:r>
            <w:r>
              <w:rPr>
                <w:rFonts w:ascii="Calibri" w:hAnsi="Calibri" w:cs="Calibri"/>
                <w:sz w:val="16"/>
                <w:szCs w:val="16"/>
              </w:rPr>
              <w:t xml:space="preserve"> </w:t>
            </w:r>
            <w:r w:rsidRPr="00925213">
              <w:rPr>
                <w:rFonts w:ascii="Calibri" w:hAnsi="Calibri" w:cs="Calibri"/>
                <w:sz w:val="16"/>
                <w:szCs w:val="16"/>
              </w:rPr>
              <w:t>December 2021</w:t>
            </w:r>
          </w:p>
        </w:tc>
        <w:tc>
          <w:tcPr>
            <w:tcW w:w="1701" w:type="dxa"/>
            <w:tcBorders>
              <w:top w:val="single" w:sz="4" w:space="0" w:color="auto"/>
              <w:bottom w:val="single" w:sz="4" w:space="0" w:color="auto"/>
            </w:tcBorders>
          </w:tcPr>
          <w:p w14:paraId="4099175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To provide advice on the impacts of COVID</w:t>
            </w:r>
            <w:r w:rsidRPr="00925213">
              <w:rPr>
                <w:rFonts w:ascii="Calibri" w:hAnsi="Calibri" w:cs="Calibri"/>
                <w:sz w:val="16"/>
                <w:szCs w:val="16"/>
              </w:rPr>
              <w:noBreakHyphen/>
              <w:t xml:space="preserve">19 and the 2019-20 Eastern Victoria Bushfires on wellbeing. This informs psychosocial recovery supports provided by the Department’s Trauma Recovery Team. </w:t>
            </w:r>
          </w:p>
        </w:tc>
        <w:tc>
          <w:tcPr>
            <w:tcW w:w="1134" w:type="dxa"/>
            <w:tcBorders>
              <w:top w:val="single" w:sz="4" w:space="0" w:color="auto"/>
              <w:bottom w:val="single" w:sz="4" w:space="0" w:color="auto"/>
            </w:tcBorders>
          </w:tcPr>
          <w:p w14:paraId="4C208BD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180,000</w:t>
            </w:r>
          </w:p>
        </w:tc>
        <w:tc>
          <w:tcPr>
            <w:tcW w:w="993" w:type="dxa"/>
            <w:tcBorders>
              <w:top w:val="single" w:sz="4" w:space="0" w:color="auto"/>
              <w:bottom w:val="single" w:sz="4" w:space="0" w:color="auto"/>
            </w:tcBorders>
          </w:tcPr>
          <w:p w14:paraId="17A2114D"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3F7E680D"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379EFDCF" w14:textId="77777777" w:rsidTr="00383663">
        <w:trPr>
          <w:cantSplit/>
          <w:trHeight w:val="628"/>
        </w:trPr>
        <w:tc>
          <w:tcPr>
            <w:tcW w:w="1696" w:type="dxa"/>
            <w:tcBorders>
              <w:top w:val="single" w:sz="4" w:space="0" w:color="auto"/>
              <w:bottom w:val="single" w:sz="4" w:space="0" w:color="auto"/>
            </w:tcBorders>
            <w:shd w:val="clear" w:color="auto" w:fill="auto"/>
          </w:tcPr>
          <w:p w14:paraId="66ACCBAA"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lastRenderedPageBreak/>
              <w:t>Respectful relationships evaluation 2019–21: Phase 2</w:t>
            </w:r>
          </w:p>
          <w:p w14:paraId="0E0E2170"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 xml:space="preserve">Education portfolio, School </w:t>
            </w:r>
            <w:r>
              <w:rPr>
                <w:rFonts w:ascii="Calibri" w:hAnsi="Calibri" w:cs="Calibri"/>
                <w:sz w:val="16"/>
                <w:szCs w:val="16"/>
              </w:rPr>
              <w:t>E</w:t>
            </w:r>
            <w:r w:rsidRPr="00F55FBA">
              <w:rPr>
                <w:rFonts w:ascii="Calibri" w:hAnsi="Calibri" w:cs="Calibri"/>
                <w:sz w:val="16"/>
                <w:szCs w:val="16"/>
              </w:rPr>
              <w:t>ducation</w:t>
            </w:r>
            <w:r>
              <w:rPr>
                <w:rFonts w:ascii="Calibri" w:hAnsi="Calibri" w:cs="Calibri"/>
                <w:sz w:val="16"/>
                <w:szCs w:val="16"/>
              </w:rPr>
              <w:t>—</w:t>
            </w:r>
            <w:r w:rsidRPr="00F55FBA">
              <w:rPr>
                <w:rFonts w:ascii="Calibri" w:hAnsi="Calibri" w:cs="Calibri"/>
                <w:sz w:val="16"/>
                <w:szCs w:val="16"/>
              </w:rPr>
              <w:t>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F256FA6" w14:textId="77777777" w:rsidR="00951BB7" w:rsidRPr="00F55FBA"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6A39025A"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examine the effectiveness of implementing a whole school approach to respectful relationships in Victorian schools and to capture early signs of impact on school communities and funded kindergarten programs.</w:t>
            </w:r>
          </w:p>
          <w:p w14:paraId="281C28BD" w14:textId="77777777" w:rsidR="00951BB7" w:rsidRPr="00355385"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5B539FAB"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examine the effectiveness of the program through participating Victorian school communities, early childhood educators and community </w:t>
            </w:r>
            <w:proofErr w:type="spellStart"/>
            <w:r w:rsidRPr="00355385">
              <w:rPr>
                <w:rFonts w:ascii="Calibri" w:hAnsi="Calibri" w:cs="Calibri"/>
                <w:sz w:val="16"/>
                <w:szCs w:val="16"/>
              </w:rPr>
              <w:t>organisations</w:t>
            </w:r>
            <w:proofErr w:type="spellEnd"/>
            <w:r w:rsidRPr="00355385">
              <w:rPr>
                <w:rFonts w:ascii="Calibri" w:hAnsi="Calibri" w:cs="Calibri"/>
                <w:sz w:val="16"/>
                <w:szCs w:val="16"/>
              </w:rPr>
              <w:t>.</w:t>
            </w:r>
          </w:p>
        </w:tc>
        <w:tc>
          <w:tcPr>
            <w:tcW w:w="1134" w:type="dxa"/>
            <w:tcBorders>
              <w:top w:val="single" w:sz="4" w:space="0" w:color="auto"/>
              <w:bottom w:val="single" w:sz="4" w:space="0" w:color="auto"/>
            </w:tcBorders>
          </w:tcPr>
          <w:p w14:paraId="32214820" w14:textId="77777777" w:rsidR="00951BB7" w:rsidRPr="00F55FBA" w:rsidRDefault="00951BB7" w:rsidP="00375B4C">
            <w:pPr>
              <w:pStyle w:val="ESTablebody"/>
              <w:rPr>
                <w:rFonts w:ascii="Calibri" w:hAnsi="Calibri" w:cs="Calibri"/>
                <w:sz w:val="16"/>
                <w:szCs w:val="16"/>
              </w:rPr>
            </w:pPr>
            <w:r w:rsidRPr="00355385">
              <w:rPr>
                <w:rFonts w:ascii="Calibri" w:hAnsi="Calibri" w:cs="Calibri"/>
                <w:sz w:val="16"/>
                <w:szCs w:val="16"/>
              </w:rPr>
              <w:t>February 2019 – June 2020</w:t>
            </w:r>
          </w:p>
        </w:tc>
        <w:tc>
          <w:tcPr>
            <w:tcW w:w="1701" w:type="dxa"/>
            <w:tcBorders>
              <w:top w:val="single" w:sz="4" w:space="0" w:color="auto"/>
              <w:bottom w:val="single" w:sz="4" w:space="0" w:color="auto"/>
            </w:tcBorders>
          </w:tcPr>
          <w:p w14:paraId="41D8C7C5" w14:textId="77777777" w:rsidR="00951BB7" w:rsidRPr="00F55FBA" w:rsidRDefault="00951BB7" w:rsidP="00375B4C">
            <w:pPr>
              <w:pStyle w:val="ESTablebody"/>
              <w:rPr>
                <w:rFonts w:ascii="Calibri" w:hAnsi="Calibri" w:cs="Calibri"/>
                <w:sz w:val="16"/>
                <w:szCs w:val="16"/>
              </w:rPr>
            </w:pPr>
            <w:r w:rsidRPr="00355385">
              <w:rPr>
                <w:rFonts w:ascii="Calibri" w:hAnsi="Calibri" w:cs="Calibri"/>
                <w:sz w:val="16"/>
                <w:szCs w:val="16"/>
              </w:rPr>
              <w:t>Findings from the evaluation will inform ongoing initiative implementation.</w:t>
            </w:r>
          </w:p>
        </w:tc>
        <w:tc>
          <w:tcPr>
            <w:tcW w:w="1134" w:type="dxa"/>
            <w:tcBorders>
              <w:top w:val="single" w:sz="4" w:space="0" w:color="auto"/>
              <w:bottom w:val="single" w:sz="4" w:space="0" w:color="auto"/>
            </w:tcBorders>
          </w:tcPr>
          <w:p w14:paraId="3474A9BB"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color w:val="000000" w:themeColor="text2"/>
                <w:sz w:val="16"/>
                <w:szCs w:val="16"/>
                <w:lang w:val="en-GB"/>
              </w:rPr>
              <w:t>274,925</w:t>
            </w:r>
          </w:p>
        </w:tc>
        <w:tc>
          <w:tcPr>
            <w:tcW w:w="993" w:type="dxa"/>
            <w:tcBorders>
              <w:top w:val="single" w:sz="4" w:space="0" w:color="auto"/>
              <w:bottom w:val="single" w:sz="4" w:space="0" w:color="auto"/>
            </w:tcBorders>
          </w:tcPr>
          <w:p w14:paraId="7AA04A9D"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color w:val="000000" w:themeColor="text2"/>
                <w:sz w:val="16"/>
                <w:szCs w:val="16"/>
                <w:lang w:val="en-GB"/>
              </w:rPr>
              <w:t>274,925</w:t>
            </w:r>
          </w:p>
        </w:tc>
        <w:tc>
          <w:tcPr>
            <w:tcW w:w="1622" w:type="dxa"/>
            <w:tcBorders>
              <w:top w:val="single" w:sz="4" w:space="0" w:color="auto"/>
              <w:bottom w:val="single" w:sz="4" w:space="0" w:color="auto"/>
            </w:tcBorders>
          </w:tcPr>
          <w:p w14:paraId="725B6783"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color w:val="000000" w:themeColor="text2"/>
                <w:sz w:val="16"/>
                <w:szCs w:val="16"/>
                <w:lang w:val="en-GB"/>
              </w:rPr>
              <w:t>N</w:t>
            </w:r>
          </w:p>
        </w:tc>
      </w:tr>
      <w:tr w:rsidR="00951BB7" w:rsidRPr="00925213" w14:paraId="47DDDF3E" w14:textId="77777777" w:rsidTr="00383663">
        <w:trPr>
          <w:cantSplit/>
          <w:trHeight w:val="628"/>
        </w:trPr>
        <w:tc>
          <w:tcPr>
            <w:tcW w:w="1696" w:type="dxa"/>
            <w:tcBorders>
              <w:top w:val="single" w:sz="4" w:space="0" w:color="auto"/>
              <w:bottom w:val="single" w:sz="4" w:space="0" w:color="auto"/>
            </w:tcBorders>
            <w:shd w:val="clear" w:color="auto" w:fill="auto"/>
          </w:tcPr>
          <w:p w14:paraId="697BB35B"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Review of initial implementation of the innovative initial teacher education project</w:t>
            </w:r>
          </w:p>
          <w:p w14:paraId="499C9D00" w14:textId="77777777" w:rsidR="00951BB7" w:rsidRPr="00925213" w:rsidRDefault="00951BB7" w:rsidP="00355385">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Training, Higher Education and Workforce Development, School Education</w:t>
            </w:r>
            <w:r>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83FD4E8"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 xml:space="preserve">Deloitte </w:t>
            </w:r>
          </w:p>
        </w:tc>
        <w:tc>
          <w:tcPr>
            <w:tcW w:w="2127" w:type="dxa"/>
            <w:tcBorders>
              <w:top w:val="single" w:sz="4" w:space="0" w:color="auto"/>
              <w:bottom w:val="single" w:sz="4" w:space="0" w:color="auto"/>
            </w:tcBorders>
            <w:shd w:val="clear" w:color="auto" w:fill="auto"/>
          </w:tcPr>
          <w:p w14:paraId="63D77BD4"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identify opportunities to strengthen implementation of the project supporting achievement of its objectives (to increase the supply of high</w:t>
            </w:r>
            <w:r w:rsidRPr="00355385">
              <w:rPr>
                <w:rFonts w:ascii="Calibri" w:hAnsi="Calibri" w:cs="Calibri"/>
                <w:sz w:val="16"/>
                <w:szCs w:val="16"/>
              </w:rPr>
              <w:noBreakHyphen/>
              <w:t>quality teachers to areas of Victoria’s education system that need them most).</w:t>
            </w:r>
          </w:p>
        </w:tc>
        <w:tc>
          <w:tcPr>
            <w:tcW w:w="2409" w:type="dxa"/>
            <w:tcBorders>
              <w:top w:val="single" w:sz="4" w:space="0" w:color="auto"/>
              <w:bottom w:val="single" w:sz="4" w:space="0" w:color="auto"/>
            </w:tcBorders>
          </w:tcPr>
          <w:p w14:paraId="5CB67305"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draw on consultations with participating schools and providers of initial teacher education providers and schools, </w:t>
            </w:r>
            <w:proofErr w:type="spellStart"/>
            <w:r w:rsidRPr="00355385">
              <w:rPr>
                <w:rFonts w:ascii="Calibri" w:hAnsi="Calibri" w:cs="Calibri"/>
                <w:sz w:val="16"/>
                <w:szCs w:val="16"/>
              </w:rPr>
              <w:t>analyse</w:t>
            </w:r>
            <w:proofErr w:type="spellEnd"/>
            <w:r w:rsidRPr="00355385">
              <w:rPr>
                <w:rFonts w:ascii="Calibri" w:hAnsi="Calibri" w:cs="Calibri"/>
                <w:sz w:val="16"/>
                <w:szCs w:val="16"/>
              </w:rPr>
              <w:t xml:space="preserve"> strengths and areas for development of the project’s implementation (November 2020–April 2021).</w:t>
            </w:r>
          </w:p>
        </w:tc>
        <w:tc>
          <w:tcPr>
            <w:tcW w:w="1134" w:type="dxa"/>
            <w:tcBorders>
              <w:top w:val="single" w:sz="4" w:space="0" w:color="auto"/>
              <w:bottom w:val="single" w:sz="4" w:space="0" w:color="auto"/>
            </w:tcBorders>
          </w:tcPr>
          <w:p w14:paraId="5E675C15"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May – June 2021</w:t>
            </w:r>
          </w:p>
        </w:tc>
        <w:tc>
          <w:tcPr>
            <w:tcW w:w="1701" w:type="dxa"/>
            <w:tcBorders>
              <w:top w:val="single" w:sz="4" w:space="0" w:color="auto"/>
              <w:bottom w:val="single" w:sz="4" w:space="0" w:color="auto"/>
            </w:tcBorders>
          </w:tcPr>
          <w:p w14:paraId="3E448698" w14:textId="77777777" w:rsidR="00951BB7" w:rsidRPr="00925213" w:rsidRDefault="00951BB7" w:rsidP="00355385">
            <w:pPr>
              <w:pStyle w:val="ESTablebody"/>
              <w:rPr>
                <w:rFonts w:ascii="Calibri" w:hAnsi="Calibri" w:cs="Calibri"/>
                <w:sz w:val="16"/>
                <w:szCs w:val="16"/>
              </w:rPr>
            </w:pPr>
            <w:r w:rsidRPr="00355385">
              <w:rPr>
                <w:rFonts w:ascii="Calibri" w:hAnsi="Calibri" w:cs="Calibri"/>
                <w:sz w:val="16"/>
                <w:szCs w:val="16"/>
              </w:rPr>
              <w:t>To enable refinement of project implementation for second cohort and support any extension or expansion project planning.</w:t>
            </w:r>
          </w:p>
        </w:tc>
        <w:tc>
          <w:tcPr>
            <w:tcW w:w="1134" w:type="dxa"/>
            <w:tcBorders>
              <w:top w:val="single" w:sz="4" w:space="0" w:color="auto"/>
              <w:bottom w:val="single" w:sz="4" w:space="0" w:color="auto"/>
            </w:tcBorders>
          </w:tcPr>
          <w:p w14:paraId="65EC3D73"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48,750</w:t>
            </w:r>
          </w:p>
        </w:tc>
        <w:tc>
          <w:tcPr>
            <w:tcW w:w="993" w:type="dxa"/>
            <w:tcBorders>
              <w:top w:val="single" w:sz="4" w:space="0" w:color="auto"/>
              <w:bottom w:val="single" w:sz="4" w:space="0" w:color="auto"/>
            </w:tcBorders>
          </w:tcPr>
          <w:p w14:paraId="32FE4284"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48,750</w:t>
            </w:r>
          </w:p>
        </w:tc>
        <w:tc>
          <w:tcPr>
            <w:tcW w:w="1622" w:type="dxa"/>
            <w:tcBorders>
              <w:top w:val="single" w:sz="4" w:space="0" w:color="auto"/>
              <w:bottom w:val="single" w:sz="4" w:space="0" w:color="auto"/>
            </w:tcBorders>
          </w:tcPr>
          <w:p w14:paraId="5F4A7E58" w14:textId="77777777" w:rsidR="00951BB7" w:rsidRPr="00925213" w:rsidRDefault="00951BB7" w:rsidP="00375B4C">
            <w:pPr>
              <w:pStyle w:val="ESTablebody"/>
              <w:jc w:val="right"/>
              <w:rPr>
                <w:rFonts w:ascii="Calibri" w:hAnsi="Calibri" w:cs="Calibri"/>
                <w:sz w:val="16"/>
                <w:szCs w:val="16"/>
              </w:rPr>
            </w:pPr>
            <w:r w:rsidRPr="00925213">
              <w:rPr>
                <w:rFonts w:ascii="Calibri" w:eastAsia="Times New Roman" w:hAnsi="Calibri" w:cs="Calibri"/>
                <w:sz w:val="16"/>
                <w:szCs w:val="16"/>
              </w:rPr>
              <w:t>N</w:t>
            </w:r>
          </w:p>
        </w:tc>
      </w:tr>
      <w:tr w:rsidR="00951BB7" w:rsidRPr="00925213" w14:paraId="2E3238A1" w14:textId="77777777" w:rsidTr="00383663">
        <w:trPr>
          <w:cantSplit/>
          <w:trHeight w:val="628"/>
        </w:trPr>
        <w:tc>
          <w:tcPr>
            <w:tcW w:w="1696" w:type="dxa"/>
            <w:tcBorders>
              <w:top w:val="single" w:sz="4" w:space="0" w:color="auto"/>
              <w:bottom w:val="single" w:sz="4" w:space="0" w:color="auto"/>
            </w:tcBorders>
            <w:shd w:val="clear" w:color="auto" w:fill="auto"/>
          </w:tcPr>
          <w:p w14:paraId="25CA2F3B" w14:textId="77777777" w:rsidR="00951BB7" w:rsidRPr="00DF18DB" w:rsidRDefault="00951BB7" w:rsidP="001A173F">
            <w:pPr>
              <w:pStyle w:val="ESTablebody"/>
              <w:rPr>
                <w:rFonts w:ascii="Calibri" w:hAnsi="Calibri" w:cs="Calibri"/>
                <w:sz w:val="16"/>
                <w:szCs w:val="16"/>
              </w:rPr>
            </w:pPr>
            <w:r w:rsidRPr="00DF18DB">
              <w:rPr>
                <w:rFonts w:ascii="Calibri" w:hAnsi="Calibri" w:cs="Calibri"/>
                <w:sz w:val="16"/>
                <w:szCs w:val="16"/>
              </w:rPr>
              <w:t xml:space="preserve">Review of performance and development practices for school leaders and staff </w:t>
            </w:r>
          </w:p>
          <w:p w14:paraId="5882BEE0" w14:textId="77777777" w:rsidR="00951BB7" w:rsidRPr="00355385" w:rsidRDefault="00951BB7" w:rsidP="001A173F">
            <w:pPr>
              <w:pStyle w:val="ESTablebody"/>
              <w:rPr>
                <w:rFonts w:ascii="Calibri" w:hAnsi="Calibri" w:cs="Calibri"/>
                <w:sz w:val="16"/>
                <w:szCs w:val="16"/>
              </w:rPr>
            </w:pPr>
            <w:r w:rsidRPr="00DF18DB">
              <w:rPr>
                <w:rFonts w:ascii="Calibri" w:hAnsi="Calibri" w:cs="Calibri"/>
                <w:sz w:val="16"/>
                <w:szCs w:val="16"/>
              </w:rPr>
              <w:t>(Education portfolio School Education – Primary and Secondary)</w:t>
            </w:r>
          </w:p>
        </w:tc>
        <w:tc>
          <w:tcPr>
            <w:tcW w:w="1134" w:type="dxa"/>
            <w:tcBorders>
              <w:top w:val="single" w:sz="4" w:space="0" w:color="auto"/>
              <w:bottom w:val="single" w:sz="4" w:space="0" w:color="auto"/>
            </w:tcBorders>
            <w:shd w:val="clear" w:color="auto" w:fill="auto"/>
          </w:tcPr>
          <w:p w14:paraId="2AE18C6A" w14:textId="77777777" w:rsidR="00951BB7" w:rsidRPr="00355385" w:rsidRDefault="00951BB7" w:rsidP="00A606A0">
            <w:pPr>
              <w:pStyle w:val="ESTablebody"/>
              <w:rPr>
                <w:rFonts w:ascii="Calibri" w:hAnsi="Calibri" w:cs="Calibri"/>
                <w:sz w:val="16"/>
                <w:szCs w:val="16"/>
              </w:rPr>
            </w:pPr>
            <w:r w:rsidRPr="00355385">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29D48DB5" w14:textId="77777777" w:rsidR="00951BB7" w:rsidRPr="00355385" w:rsidRDefault="00951BB7" w:rsidP="00A606A0">
            <w:pPr>
              <w:pStyle w:val="ESTablebody"/>
              <w:rPr>
                <w:rFonts w:ascii="Calibri" w:hAnsi="Calibri" w:cs="Calibri"/>
                <w:sz w:val="16"/>
                <w:szCs w:val="16"/>
              </w:rPr>
            </w:pPr>
            <w:r w:rsidRPr="00DF18DB">
              <w:rPr>
                <w:rFonts w:ascii="Calibri" w:hAnsi="Calibri" w:cs="Calibri"/>
                <w:sz w:val="16"/>
                <w:szCs w:val="16"/>
              </w:rPr>
              <w:t>To support a review of current Performance and Development Plan (PDP) process design and implementation, to determine areas of strength and areas for improvement.</w:t>
            </w:r>
          </w:p>
        </w:tc>
        <w:tc>
          <w:tcPr>
            <w:tcW w:w="2409" w:type="dxa"/>
            <w:tcBorders>
              <w:top w:val="single" w:sz="4" w:space="0" w:color="auto"/>
              <w:bottom w:val="single" w:sz="4" w:space="0" w:color="auto"/>
            </w:tcBorders>
          </w:tcPr>
          <w:p w14:paraId="5A4D325E" w14:textId="77777777" w:rsidR="00951BB7" w:rsidRPr="00355385" w:rsidRDefault="00951BB7" w:rsidP="00A606A0">
            <w:pPr>
              <w:pStyle w:val="ESTablebody"/>
              <w:rPr>
                <w:rFonts w:ascii="Calibri" w:hAnsi="Calibri" w:cs="Calibri"/>
                <w:sz w:val="16"/>
                <w:szCs w:val="16"/>
              </w:rPr>
            </w:pPr>
            <w:r w:rsidRPr="00DF18DB">
              <w:rPr>
                <w:rFonts w:ascii="Calibri" w:hAnsi="Calibri" w:cs="Calibri"/>
                <w:sz w:val="16"/>
                <w:szCs w:val="16"/>
              </w:rPr>
              <w:t>To provide a literature review of key academic research and reports on performance and development practices including a scan of global practices and trends.</w:t>
            </w:r>
          </w:p>
        </w:tc>
        <w:tc>
          <w:tcPr>
            <w:tcW w:w="1134" w:type="dxa"/>
            <w:tcBorders>
              <w:top w:val="single" w:sz="4" w:space="0" w:color="auto"/>
              <w:bottom w:val="single" w:sz="4" w:space="0" w:color="auto"/>
            </w:tcBorders>
          </w:tcPr>
          <w:p w14:paraId="5E922347" w14:textId="77777777" w:rsidR="00951BB7" w:rsidRPr="00355385" w:rsidRDefault="00951BB7" w:rsidP="00A606A0">
            <w:pPr>
              <w:pStyle w:val="ESTablebody"/>
              <w:rPr>
                <w:rFonts w:ascii="Calibri" w:hAnsi="Calibri" w:cs="Calibri"/>
                <w:sz w:val="16"/>
                <w:szCs w:val="16"/>
              </w:rPr>
            </w:pPr>
            <w:r>
              <w:rPr>
                <w:rFonts w:ascii="Calibri" w:hAnsi="Calibri" w:cs="Calibri"/>
                <w:sz w:val="16"/>
                <w:szCs w:val="16"/>
              </w:rPr>
              <w:t>May –</w:t>
            </w:r>
            <w:r w:rsidRPr="00DF18DB">
              <w:rPr>
                <w:rFonts w:ascii="Calibri" w:hAnsi="Calibri" w:cs="Calibri"/>
                <w:sz w:val="16"/>
                <w:szCs w:val="16"/>
              </w:rPr>
              <w:t xml:space="preserve"> June 2021</w:t>
            </w:r>
          </w:p>
        </w:tc>
        <w:tc>
          <w:tcPr>
            <w:tcW w:w="1701" w:type="dxa"/>
            <w:tcBorders>
              <w:top w:val="single" w:sz="4" w:space="0" w:color="auto"/>
              <w:bottom w:val="single" w:sz="4" w:space="0" w:color="auto"/>
            </w:tcBorders>
          </w:tcPr>
          <w:p w14:paraId="2760408C" w14:textId="77777777" w:rsidR="00951BB7" w:rsidRPr="00355385" w:rsidRDefault="00951BB7" w:rsidP="00A606A0">
            <w:pPr>
              <w:pStyle w:val="ESTablebody"/>
              <w:rPr>
                <w:rFonts w:ascii="Calibri" w:hAnsi="Calibri" w:cs="Calibri"/>
                <w:sz w:val="16"/>
                <w:szCs w:val="16"/>
              </w:rPr>
            </w:pPr>
            <w:r w:rsidRPr="00DF18DB">
              <w:rPr>
                <w:rFonts w:ascii="Calibri" w:hAnsi="Calibri" w:cs="Calibri"/>
                <w:sz w:val="16"/>
                <w:szCs w:val="16"/>
              </w:rPr>
              <w:t xml:space="preserve">The report will inform improvements to how the Performance and Development Plan process supports school leader and staff performance and development. </w:t>
            </w:r>
          </w:p>
        </w:tc>
        <w:tc>
          <w:tcPr>
            <w:tcW w:w="1134" w:type="dxa"/>
            <w:tcBorders>
              <w:top w:val="single" w:sz="4" w:space="0" w:color="auto"/>
              <w:bottom w:val="single" w:sz="4" w:space="0" w:color="auto"/>
            </w:tcBorders>
          </w:tcPr>
          <w:p w14:paraId="329907F6" w14:textId="77777777" w:rsidR="00951BB7" w:rsidRPr="00DF18DB" w:rsidRDefault="00951BB7" w:rsidP="00A606A0">
            <w:pPr>
              <w:pStyle w:val="ESTablebody"/>
              <w:jc w:val="right"/>
              <w:rPr>
                <w:rFonts w:ascii="Calibri" w:eastAsia="Times New Roman" w:hAnsi="Calibri" w:cs="Calibri"/>
                <w:sz w:val="16"/>
                <w:szCs w:val="16"/>
              </w:rPr>
            </w:pPr>
            <w:r w:rsidRPr="00DF18DB">
              <w:rPr>
                <w:rFonts w:ascii="Calibri" w:hAnsi="Calibri" w:cs="Calibri"/>
                <w:sz w:val="16"/>
                <w:szCs w:val="16"/>
              </w:rPr>
              <w:t>$25,000</w:t>
            </w:r>
          </w:p>
        </w:tc>
        <w:tc>
          <w:tcPr>
            <w:tcW w:w="993" w:type="dxa"/>
            <w:tcBorders>
              <w:top w:val="single" w:sz="4" w:space="0" w:color="auto"/>
              <w:bottom w:val="single" w:sz="4" w:space="0" w:color="auto"/>
            </w:tcBorders>
          </w:tcPr>
          <w:p w14:paraId="33D33EB0" w14:textId="77777777" w:rsidR="00951BB7" w:rsidRPr="00DF18DB" w:rsidRDefault="00951BB7" w:rsidP="00A606A0">
            <w:pPr>
              <w:pStyle w:val="ESTablebody"/>
              <w:jc w:val="right"/>
              <w:rPr>
                <w:rFonts w:ascii="Calibri" w:hAnsi="Calibri" w:cs="Calibri"/>
                <w:sz w:val="16"/>
                <w:szCs w:val="16"/>
              </w:rPr>
            </w:pPr>
            <w:r w:rsidRPr="00DF18DB">
              <w:rPr>
                <w:rFonts w:ascii="Calibri" w:hAnsi="Calibri" w:cs="Calibri"/>
                <w:sz w:val="16"/>
                <w:szCs w:val="16"/>
              </w:rPr>
              <w:t>$24, 926</w:t>
            </w:r>
          </w:p>
        </w:tc>
        <w:tc>
          <w:tcPr>
            <w:tcW w:w="1622" w:type="dxa"/>
            <w:tcBorders>
              <w:top w:val="single" w:sz="4" w:space="0" w:color="auto"/>
              <w:bottom w:val="single" w:sz="4" w:space="0" w:color="auto"/>
            </w:tcBorders>
          </w:tcPr>
          <w:p w14:paraId="4A18A301" w14:textId="77777777" w:rsidR="00951BB7" w:rsidRPr="00DF18DB" w:rsidRDefault="00951BB7" w:rsidP="00A606A0">
            <w:pPr>
              <w:pStyle w:val="ESTablebody"/>
              <w:jc w:val="right"/>
              <w:rPr>
                <w:rFonts w:ascii="Calibri" w:eastAsia="Times New Roman" w:hAnsi="Calibri" w:cs="Calibri"/>
                <w:sz w:val="16"/>
                <w:szCs w:val="16"/>
              </w:rPr>
            </w:pPr>
            <w:r w:rsidRPr="00DF18DB">
              <w:rPr>
                <w:rFonts w:ascii="Calibri" w:hAnsi="Calibri" w:cs="Calibri"/>
                <w:sz w:val="16"/>
                <w:szCs w:val="16"/>
              </w:rPr>
              <w:t>N</w:t>
            </w:r>
          </w:p>
        </w:tc>
      </w:tr>
      <w:tr w:rsidR="00951BB7" w:rsidRPr="00925213" w14:paraId="033953C3" w14:textId="77777777" w:rsidTr="00946824">
        <w:trPr>
          <w:cantSplit/>
          <w:trHeight w:val="628"/>
        </w:trPr>
        <w:tc>
          <w:tcPr>
            <w:tcW w:w="1696" w:type="dxa"/>
            <w:tcBorders>
              <w:top w:val="single" w:sz="4" w:space="0" w:color="auto"/>
              <w:bottom w:val="single" w:sz="4" w:space="0" w:color="auto"/>
            </w:tcBorders>
            <w:shd w:val="clear" w:color="auto" w:fill="auto"/>
          </w:tcPr>
          <w:p w14:paraId="57B3351B"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lastRenderedPageBreak/>
              <w:t>Review of the 2017 home education regulatory reform</w:t>
            </w:r>
          </w:p>
          <w:p w14:paraId="110924A1"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Strategy</w:t>
            </w:r>
            <w:r>
              <w:rPr>
                <w:rFonts w:ascii="Calibri" w:hAnsi="Calibri" w:cs="Calibri"/>
                <w:sz w:val="16"/>
                <w:szCs w:val="16"/>
              </w:rPr>
              <w:t>,</w:t>
            </w:r>
            <w:r w:rsidRPr="00946824">
              <w:rPr>
                <w:rFonts w:ascii="Calibri" w:hAnsi="Calibri" w:cs="Calibri"/>
                <w:sz w:val="16"/>
                <w:szCs w:val="16"/>
              </w:rPr>
              <w:t xml:space="preserve"> </w:t>
            </w:r>
            <w:proofErr w:type="gramStart"/>
            <w:r w:rsidRPr="00946824">
              <w:rPr>
                <w:rFonts w:ascii="Calibri" w:hAnsi="Calibri" w:cs="Calibri"/>
                <w:sz w:val="16"/>
                <w:szCs w:val="16"/>
              </w:rPr>
              <w:t>review</w:t>
            </w:r>
            <w:proofErr w:type="gramEnd"/>
            <w:r w:rsidRPr="00946824">
              <w:rPr>
                <w:rFonts w:ascii="Calibri" w:hAnsi="Calibri" w:cs="Calibri"/>
                <w:sz w:val="16"/>
                <w:szCs w:val="16"/>
              </w:rPr>
              <w:t xml:space="preserve"> and regulation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6CEE378"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Regulatory Impact Solutions</w:t>
            </w:r>
          </w:p>
        </w:tc>
        <w:tc>
          <w:tcPr>
            <w:tcW w:w="2127" w:type="dxa"/>
            <w:tcBorders>
              <w:top w:val="single" w:sz="4" w:space="0" w:color="auto"/>
              <w:bottom w:val="single" w:sz="4" w:space="0" w:color="auto"/>
            </w:tcBorders>
            <w:shd w:val="clear" w:color="auto" w:fill="auto"/>
          </w:tcPr>
          <w:p w14:paraId="69F9482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assess the effectiveness of the 2017 regulatory changes and identify whether further changes are required.</w:t>
            </w:r>
          </w:p>
        </w:tc>
        <w:tc>
          <w:tcPr>
            <w:tcW w:w="2409" w:type="dxa"/>
            <w:tcBorders>
              <w:top w:val="single" w:sz="4" w:space="0" w:color="auto"/>
              <w:bottom w:val="single" w:sz="4" w:space="0" w:color="auto"/>
            </w:tcBorders>
            <w:shd w:val="clear" w:color="auto" w:fill="auto"/>
          </w:tcPr>
          <w:p w14:paraId="1B52375F"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identify the effectiveness of the existing regulations and further potential changes. The review will also identify further VRQA services improvements. </w:t>
            </w:r>
          </w:p>
        </w:tc>
        <w:tc>
          <w:tcPr>
            <w:tcW w:w="1134" w:type="dxa"/>
            <w:tcBorders>
              <w:top w:val="single" w:sz="4" w:space="0" w:color="auto"/>
              <w:bottom w:val="single" w:sz="4" w:space="0" w:color="auto"/>
            </w:tcBorders>
            <w:shd w:val="clear" w:color="auto" w:fill="auto"/>
          </w:tcPr>
          <w:p w14:paraId="3C22EF42"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January – </w:t>
            </w:r>
            <w:r>
              <w:rPr>
                <w:rFonts w:ascii="Calibri" w:hAnsi="Calibri" w:cs="Calibri"/>
                <w:sz w:val="16"/>
                <w:szCs w:val="16"/>
              </w:rPr>
              <w:t>August</w:t>
            </w:r>
            <w:r w:rsidRPr="00946824">
              <w:rPr>
                <w:rFonts w:ascii="Calibri" w:hAnsi="Calibri" w:cs="Calibri"/>
                <w:sz w:val="16"/>
                <w:szCs w:val="16"/>
              </w:rPr>
              <w:t xml:space="preserve"> 2021</w:t>
            </w:r>
          </w:p>
        </w:tc>
        <w:tc>
          <w:tcPr>
            <w:tcW w:w="1701" w:type="dxa"/>
            <w:tcBorders>
              <w:top w:val="single" w:sz="4" w:space="0" w:color="auto"/>
              <w:bottom w:val="single" w:sz="4" w:space="0" w:color="auto"/>
            </w:tcBorders>
            <w:shd w:val="clear" w:color="auto" w:fill="auto"/>
          </w:tcPr>
          <w:p w14:paraId="23419636"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Findings from the review will inform any amendments to the regulations and changes to the regulation’s implementation.</w:t>
            </w:r>
          </w:p>
          <w:p w14:paraId="262C6A4A" w14:textId="77777777" w:rsidR="00951BB7" w:rsidRPr="00946824"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shd w:val="clear" w:color="auto" w:fill="auto"/>
          </w:tcPr>
          <w:p w14:paraId="10F6561A"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40,000</w:t>
            </w:r>
          </w:p>
        </w:tc>
        <w:tc>
          <w:tcPr>
            <w:tcW w:w="993" w:type="dxa"/>
            <w:tcBorders>
              <w:top w:val="single" w:sz="4" w:space="0" w:color="auto"/>
              <w:bottom w:val="single" w:sz="4" w:space="0" w:color="auto"/>
            </w:tcBorders>
            <w:shd w:val="clear" w:color="auto" w:fill="auto"/>
          </w:tcPr>
          <w:p w14:paraId="5551E64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shd w:val="clear" w:color="auto" w:fill="auto"/>
          </w:tcPr>
          <w:p w14:paraId="41FC32E5"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10383D0D" w14:textId="77777777" w:rsidTr="00383663">
        <w:trPr>
          <w:cantSplit/>
          <w:trHeight w:val="628"/>
        </w:trPr>
        <w:tc>
          <w:tcPr>
            <w:tcW w:w="1696" w:type="dxa"/>
            <w:tcBorders>
              <w:top w:val="single" w:sz="4" w:space="0" w:color="auto"/>
              <w:bottom w:val="single" w:sz="4" w:space="0" w:color="auto"/>
            </w:tcBorders>
            <w:shd w:val="clear" w:color="auto" w:fill="auto"/>
          </w:tcPr>
          <w:p w14:paraId="494F07C7"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Review of the Registered Training </w:t>
            </w:r>
            <w:proofErr w:type="spellStart"/>
            <w:r w:rsidRPr="00355385">
              <w:rPr>
                <w:rFonts w:ascii="Calibri" w:hAnsi="Calibri" w:cs="Calibri"/>
                <w:sz w:val="16"/>
                <w:szCs w:val="16"/>
              </w:rPr>
              <w:t>Organisations</w:t>
            </w:r>
            <w:proofErr w:type="spellEnd"/>
            <w:r w:rsidRPr="00355385">
              <w:rPr>
                <w:rFonts w:ascii="Calibri" w:hAnsi="Calibri" w:cs="Calibri"/>
                <w:sz w:val="16"/>
                <w:szCs w:val="16"/>
              </w:rPr>
              <w:t xml:space="preserve"> (RTO) performance indicators framework</w:t>
            </w:r>
          </w:p>
          <w:p w14:paraId="77EA300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6E40E84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Victoria University: Centre for International Research on Education Systems (CIRES) </w:t>
            </w:r>
          </w:p>
        </w:tc>
        <w:tc>
          <w:tcPr>
            <w:tcW w:w="2127" w:type="dxa"/>
            <w:tcBorders>
              <w:top w:val="single" w:sz="4" w:space="0" w:color="auto"/>
              <w:bottom w:val="single" w:sz="4" w:space="0" w:color="auto"/>
            </w:tcBorders>
            <w:shd w:val="clear" w:color="auto" w:fill="auto"/>
          </w:tcPr>
          <w:p w14:paraId="4B1D1D67"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review the Department’s RTO performance indicators framework and ensure it continues to be an accurate and relevant input into monitoring the quality of VET in Victoria.</w:t>
            </w:r>
          </w:p>
        </w:tc>
        <w:tc>
          <w:tcPr>
            <w:tcW w:w="2409" w:type="dxa"/>
            <w:tcBorders>
              <w:top w:val="single" w:sz="4" w:space="0" w:color="auto"/>
              <w:bottom w:val="single" w:sz="4" w:space="0" w:color="auto"/>
            </w:tcBorders>
          </w:tcPr>
          <w:p w14:paraId="36FDD841"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undertake a thorough desktop research and evaluation to ensure the framework stands up to existing best practice. Each of the 16 performance measures will be assessed for effectiveness and currency. </w:t>
            </w:r>
          </w:p>
        </w:tc>
        <w:tc>
          <w:tcPr>
            <w:tcW w:w="1134" w:type="dxa"/>
            <w:tcBorders>
              <w:top w:val="single" w:sz="4" w:space="0" w:color="auto"/>
              <w:bottom w:val="single" w:sz="4" w:space="0" w:color="auto"/>
            </w:tcBorders>
          </w:tcPr>
          <w:p w14:paraId="435DF54D"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June –October 2021</w:t>
            </w:r>
          </w:p>
        </w:tc>
        <w:tc>
          <w:tcPr>
            <w:tcW w:w="1701" w:type="dxa"/>
            <w:tcBorders>
              <w:top w:val="single" w:sz="4" w:space="0" w:color="auto"/>
              <w:bottom w:val="single" w:sz="4" w:space="0" w:color="auto"/>
            </w:tcBorders>
          </w:tcPr>
          <w:p w14:paraId="069873F3"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A set of recommendations to improve the performance measures that make up the current framework. </w:t>
            </w:r>
          </w:p>
        </w:tc>
        <w:tc>
          <w:tcPr>
            <w:tcW w:w="1134" w:type="dxa"/>
            <w:tcBorders>
              <w:top w:val="single" w:sz="4" w:space="0" w:color="auto"/>
              <w:bottom w:val="single" w:sz="4" w:space="0" w:color="auto"/>
            </w:tcBorders>
          </w:tcPr>
          <w:p w14:paraId="21A4F71D"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54,285</w:t>
            </w:r>
          </w:p>
        </w:tc>
        <w:tc>
          <w:tcPr>
            <w:tcW w:w="993" w:type="dxa"/>
            <w:tcBorders>
              <w:top w:val="single" w:sz="4" w:space="0" w:color="auto"/>
              <w:bottom w:val="single" w:sz="4" w:space="0" w:color="auto"/>
            </w:tcBorders>
          </w:tcPr>
          <w:p w14:paraId="50A8D219"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54,285</w:t>
            </w:r>
          </w:p>
        </w:tc>
        <w:tc>
          <w:tcPr>
            <w:tcW w:w="1622" w:type="dxa"/>
            <w:tcBorders>
              <w:top w:val="single" w:sz="4" w:space="0" w:color="auto"/>
              <w:bottom w:val="single" w:sz="4" w:space="0" w:color="auto"/>
            </w:tcBorders>
          </w:tcPr>
          <w:p w14:paraId="7790FC9E"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N</w:t>
            </w:r>
          </w:p>
        </w:tc>
      </w:tr>
      <w:tr w:rsidR="00951BB7" w:rsidRPr="00925213" w14:paraId="31F22474" w14:textId="77777777" w:rsidTr="008C2E5E">
        <w:trPr>
          <w:cantSplit/>
          <w:trHeight w:val="628"/>
        </w:trPr>
        <w:tc>
          <w:tcPr>
            <w:tcW w:w="1696" w:type="dxa"/>
            <w:tcBorders>
              <w:top w:val="single" w:sz="4" w:space="0" w:color="auto"/>
              <w:bottom w:val="single" w:sz="4" w:space="0" w:color="auto"/>
            </w:tcBorders>
            <w:shd w:val="clear" w:color="auto" w:fill="auto"/>
          </w:tcPr>
          <w:p w14:paraId="588AD4BE"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Rural and Regional educational reform program evaluation</w:t>
            </w:r>
          </w:p>
          <w:p w14:paraId="61105FA1"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(Education portfolio, School Education</w:t>
            </w:r>
            <w:r>
              <w:rPr>
                <w:rFonts w:ascii="Calibri" w:hAnsi="Calibri" w:cs="Calibri"/>
                <w:sz w:val="16"/>
                <w:szCs w:val="16"/>
              </w:rPr>
              <w:t>—</w:t>
            </w:r>
            <w:r w:rsidRPr="00355385">
              <w:rPr>
                <w:rFonts w:ascii="Calibri" w:hAnsi="Calibri" w:cs="Calibri"/>
                <w:sz w:val="16"/>
                <w:szCs w:val="16"/>
              </w:rPr>
              <w:t>Primary and Secondary)</w:t>
            </w:r>
          </w:p>
        </w:tc>
        <w:tc>
          <w:tcPr>
            <w:tcW w:w="1134" w:type="dxa"/>
            <w:tcBorders>
              <w:top w:val="single" w:sz="4" w:space="0" w:color="auto"/>
              <w:bottom w:val="single" w:sz="4" w:space="0" w:color="auto"/>
            </w:tcBorders>
            <w:shd w:val="clear" w:color="auto" w:fill="auto"/>
          </w:tcPr>
          <w:p w14:paraId="4C317ED3" w14:textId="77777777" w:rsidR="00951BB7" w:rsidRPr="008C2E5E" w:rsidRDefault="00951BB7" w:rsidP="00355385">
            <w:pPr>
              <w:pStyle w:val="ESTablebody"/>
              <w:rPr>
                <w:rFonts w:ascii="Calibri" w:hAnsi="Calibri" w:cs="Calibri"/>
                <w:sz w:val="16"/>
                <w:szCs w:val="16"/>
              </w:rPr>
            </w:pPr>
            <w:proofErr w:type="spellStart"/>
            <w:r w:rsidRPr="008C2E5E">
              <w:rPr>
                <w:rFonts w:ascii="Calibri" w:hAnsi="Calibri" w:cs="Calibri"/>
                <w:sz w:val="16"/>
                <w:szCs w:val="16"/>
              </w:rPr>
              <w:t>Synergistiq</w:t>
            </w:r>
            <w:proofErr w:type="spellEnd"/>
          </w:p>
        </w:tc>
        <w:tc>
          <w:tcPr>
            <w:tcW w:w="2127" w:type="dxa"/>
            <w:tcBorders>
              <w:top w:val="single" w:sz="4" w:space="0" w:color="auto"/>
              <w:bottom w:val="single" w:sz="4" w:space="0" w:color="auto"/>
            </w:tcBorders>
            <w:shd w:val="clear" w:color="auto" w:fill="auto"/>
          </w:tcPr>
          <w:p w14:paraId="21DB4E9A" w14:textId="77777777" w:rsidR="00951BB7" w:rsidRPr="008C2E5E" w:rsidRDefault="00951BB7" w:rsidP="00355385">
            <w:pPr>
              <w:pStyle w:val="ESTablebody"/>
              <w:rPr>
                <w:rFonts w:ascii="Calibri" w:hAnsi="Calibri" w:cs="Calibri"/>
                <w:sz w:val="16"/>
                <w:szCs w:val="16"/>
              </w:rPr>
            </w:pPr>
            <w:r w:rsidRPr="00355385">
              <w:rPr>
                <w:rFonts w:ascii="Calibri" w:hAnsi="Calibri" w:cs="Calibri"/>
                <w:sz w:val="16"/>
                <w:szCs w:val="16"/>
              </w:rPr>
              <w:t>To determine if the program has improved educational outcomes for rural and regional students.</w:t>
            </w:r>
          </w:p>
        </w:tc>
        <w:tc>
          <w:tcPr>
            <w:tcW w:w="2409" w:type="dxa"/>
            <w:tcBorders>
              <w:top w:val="single" w:sz="4" w:space="0" w:color="auto"/>
              <w:bottom w:val="single" w:sz="4" w:space="0" w:color="auto"/>
            </w:tcBorders>
          </w:tcPr>
          <w:p w14:paraId="75633DA3" w14:textId="77777777" w:rsidR="00951BB7" w:rsidRPr="008C2E5E" w:rsidRDefault="00951BB7" w:rsidP="00355385">
            <w:pPr>
              <w:pStyle w:val="ESTablebody"/>
              <w:rPr>
                <w:rFonts w:ascii="Calibri" w:hAnsi="Calibri" w:cs="Calibri"/>
                <w:sz w:val="16"/>
                <w:szCs w:val="16"/>
              </w:rPr>
            </w:pPr>
            <w:r w:rsidRPr="008C2E5E">
              <w:rPr>
                <w:rFonts w:ascii="Calibri" w:hAnsi="Calibri" w:cs="Calibri"/>
                <w:sz w:val="16"/>
                <w:szCs w:val="16"/>
              </w:rPr>
              <w:t>To provide an evaluation of 15 rural and regional</w:t>
            </w:r>
            <w:r>
              <w:rPr>
                <w:rFonts w:ascii="Calibri" w:hAnsi="Calibri" w:cs="Calibri"/>
                <w:sz w:val="16"/>
                <w:szCs w:val="16"/>
              </w:rPr>
              <w:t xml:space="preserve"> </w:t>
            </w:r>
            <w:r w:rsidRPr="008C2E5E">
              <w:rPr>
                <w:rFonts w:ascii="Calibri" w:hAnsi="Calibri" w:cs="Calibri"/>
                <w:sz w:val="16"/>
                <w:szCs w:val="16"/>
              </w:rPr>
              <w:t>V</w:t>
            </w:r>
            <w:r>
              <w:rPr>
                <w:rFonts w:ascii="Calibri" w:hAnsi="Calibri" w:cs="Calibri"/>
                <w:sz w:val="16"/>
                <w:szCs w:val="16"/>
              </w:rPr>
              <w:t>ictorian Certificate of Education</w:t>
            </w:r>
            <w:r w:rsidRPr="008C2E5E">
              <w:rPr>
                <w:rFonts w:ascii="Calibri" w:hAnsi="Calibri" w:cs="Calibri"/>
                <w:sz w:val="16"/>
                <w:szCs w:val="16"/>
              </w:rPr>
              <w:t xml:space="preserve"> </w:t>
            </w:r>
            <w:r>
              <w:rPr>
                <w:rFonts w:ascii="Calibri" w:hAnsi="Calibri" w:cs="Calibri"/>
                <w:sz w:val="16"/>
                <w:szCs w:val="16"/>
              </w:rPr>
              <w:t>e</w:t>
            </w:r>
            <w:r w:rsidRPr="008C2E5E">
              <w:rPr>
                <w:rFonts w:ascii="Calibri" w:hAnsi="Calibri" w:cs="Calibri"/>
                <w:sz w:val="16"/>
                <w:szCs w:val="16"/>
              </w:rPr>
              <w:t>xpansion initiatives.</w:t>
            </w:r>
          </w:p>
        </w:tc>
        <w:tc>
          <w:tcPr>
            <w:tcW w:w="1134" w:type="dxa"/>
            <w:tcBorders>
              <w:top w:val="single" w:sz="4" w:space="0" w:color="auto"/>
              <w:bottom w:val="single" w:sz="4" w:space="0" w:color="auto"/>
            </w:tcBorders>
          </w:tcPr>
          <w:p w14:paraId="7B40924B" w14:textId="77777777" w:rsidR="00951BB7" w:rsidRPr="008C2E5E" w:rsidRDefault="00951BB7" w:rsidP="00355385">
            <w:pPr>
              <w:pStyle w:val="ESTablebody"/>
              <w:rPr>
                <w:rFonts w:ascii="Calibri" w:hAnsi="Calibri" w:cs="Calibri"/>
                <w:sz w:val="16"/>
                <w:szCs w:val="16"/>
              </w:rPr>
            </w:pPr>
            <w:r w:rsidRPr="008C2E5E">
              <w:rPr>
                <w:rFonts w:ascii="Calibri" w:hAnsi="Calibri" w:cs="Calibri"/>
                <w:sz w:val="16"/>
                <w:szCs w:val="16"/>
              </w:rPr>
              <w:t>June 2021 – June 2024</w:t>
            </w:r>
          </w:p>
        </w:tc>
        <w:tc>
          <w:tcPr>
            <w:tcW w:w="1701" w:type="dxa"/>
            <w:tcBorders>
              <w:top w:val="single" w:sz="4" w:space="0" w:color="auto"/>
              <w:bottom w:val="single" w:sz="4" w:space="0" w:color="auto"/>
            </w:tcBorders>
          </w:tcPr>
          <w:p w14:paraId="77393FA7" w14:textId="77777777" w:rsidR="00951BB7" w:rsidRPr="008C2E5E" w:rsidRDefault="00951BB7" w:rsidP="00355385">
            <w:pPr>
              <w:pStyle w:val="ESTablebody"/>
              <w:rPr>
                <w:rFonts w:ascii="Calibri" w:hAnsi="Calibri" w:cs="Calibri"/>
                <w:sz w:val="16"/>
                <w:szCs w:val="16"/>
              </w:rPr>
            </w:pPr>
            <w:r w:rsidRPr="008C2E5E">
              <w:rPr>
                <w:rFonts w:ascii="Calibri" w:hAnsi="Calibri" w:cs="Calibri"/>
                <w:sz w:val="16"/>
                <w:szCs w:val="16"/>
              </w:rPr>
              <w:t>Formative evaluation data will drive improvements in ongoing and future program implementation</w:t>
            </w:r>
            <w:r>
              <w:rPr>
                <w:rFonts w:ascii="Calibri" w:hAnsi="Calibri" w:cs="Calibri"/>
                <w:sz w:val="16"/>
                <w:szCs w:val="16"/>
              </w:rPr>
              <w:t>. S</w:t>
            </w:r>
            <w:r w:rsidRPr="008C2E5E">
              <w:rPr>
                <w:rFonts w:ascii="Calibri" w:hAnsi="Calibri" w:cs="Calibri"/>
                <w:sz w:val="16"/>
                <w:szCs w:val="16"/>
              </w:rPr>
              <w:t xml:space="preserve">ummative evaluation data will provide insights into outcomes. </w:t>
            </w:r>
          </w:p>
        </w:tc>
        <w:tc>
          <w:tcPr>
            <w:tcW w:w="1134" w:type="dxa"/>
            <w:tcBorders>
              <w:top w:val="single" w:sz="4" w:space="0" w:color="auto"/>
              <w:bottom w:val="single" w:sz="4" w:space="0" w:color="auto"/>
            </w:tcBorders>
          </w:tcPr>
          <w:p w14:paraId="6A4BE5F9" w14:textId="77777777" w:rsidR="00951BB7" w:rsidRPr="008C2E5E" w:rsidRDefault="00951BB7" w:rsidP="008C2E5E">
            <w:pPr>
              <w:pStyle w:val="ESTablebody"/>
              <w:jc w:val="right"/>
              <w:rPr>
                <w:rFonts w:ascii="Calibri" w:hAnsi="Calibri" w:cs="Calibri"/>
                <w:sz w:val="16"/>
                <w:szCs w:val="16"/>
              </w:rPr>
            </w:pPr>
            <w:r w:rsidRPr="008C2E5E">
              <w:rPr>
                <w:rFonts w:ascii="Calibri" w:hAnsi="Calibri" w:cs="Calibri"/>
                <w:sz w:val="16"/>
                <w:szCs w:val="16"/>
              </w:rPr>
              <w:t xml:space="preserve">393,720 </w:t>
            </w:r>
          </w:p>
        </w:tc>
        <w:tc>
          <w:tcPr>
            <w:tcW w:w="993" w:type="dxa"/>
            <w:tcBorders>
              <w:top w:val="single" w:sz="4" w:space="0" w:color="auto"/>
              <w:bottom w:val="single" w:sz="4" w:space="0" w:color="auto"/>
            </w:tcBorders>
          </w:tcPr>
          <w:p w14:paraId="7CC2687B" w14:textId="77777777" w:rsidR="00951BB7" w:rsidRPr="008C2E5E" w:rsidRDefault="00951BB7" w:rsidP="008C2E5E">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tcPr>
          <w:p w14:paraId="492F2D85" w14:textId="77777777" w:rsidR="00951BB7" w:rsidRPr="008C2E5E" w:rsidRDefault="00951BB7" w:rsidP="008C2E5E">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0319AF17" w14:textId="77777777" w:rsidTr="00383663">
        <w:trPr>
          <w:cantSplit/>
          <w:trHeight w:val="628"/>
        </w:trPr>
        <w:tc>
          <w:tcPr>
            <w:tcW w:w="1696" w:type="dxa"/>
            <w:tcBorders>
              <w:top w:val="single" w:sz="4" w:space="0" w:color="auto"/>
              <w:bottom w:val="single" w:sz="4" w:space="0" w:color="auto"/>
            </w:tcBorders>
            <w:shd w:val="clear" w:color="auto" w:fill="auto"/>
          </w:tcPr>
          <w:p w14:paraId="316D478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School breakfast clubs program evaluation </w:t>
            </w:r>
          </w:p>
          <w:p w14:paraId="485D5078" w14:textId="77777777" w:rsidR="00951BB7" w:rsidRPr="00F55FBA" w:rsidRDefault="00951BB7" w:rsidP="00375B4C">
            <w:pPr>
              <w:pStyle w:val="ESTablebody"/>
              <w:rPr>
                <w:rFonts w:ascii="Calibri" w:hAnsi="Calibri" w:cs="Calibri"/>
                <w:sz w:val="16"/>
                <w:szCs w:val="16"/>
              </w:rPr>
            </w:pPr>
            <w:r>
              <w:rPr>
                <w:rFonts w:ascii="Calibri" w:hAnsi="Calibri" w:cs="Calibri"/>
                <w:sz w:val="16"/>
                <w:szCs w:val="16"/>
              </w:rPr>
              <w:t>(</w:t>
            </w:r>
            <w:r w:rsidRPr="00F55FBA">
              <w:rPr>
                <w:rFonts w:ascii="Calibri" w:hAnsi="Calibri" w:cs="Calibri"/>
                <w:sz w:val="16"/>
                <w:szCs w:val="16"/>
              </w:rPr>
              <w:t xml:space="preserve">Education portfolio, Support </w:t>
            </w:r>
            <w:r>
              <w:rPr>
                <w:rFonts w:ascii="Calibri" w:hAnsi="Calibri" w:cs="Calibri"/>
                <w:sz w:val="16"/>
                <w:szCs w:val="16"/>
              </w:rPr>
              <w:t>S</w:t>
            </w:r>
            <w:r w:rsidRPr="00F55FBA">
              <w:rPr>
                <w:rFonts w:ascii="Calibri" w:hAnsi="Calibri" w:cs="Calibri"/>
                <w:sz w:val="16"/>
                <w:szCs w:val="16"/>
              </w:rPr>
              <w:t xml:space="preserve">ervices </w:t>
            </w:r>
            <w:r>
              <w:rPr>
                <w:rFonts w:ascii="Calibri" w:hAnsi="Calibri" w:cs="Calibri"/>
                <w:sz w:val="16"/>
                <w:szCs w:val="16"/>
              </w:rPr>
              <w:t>D</w:t>
            </w:r>
            <w:r w:rsidRPr="00F55FBA">
              <w:rPr>
                <w:rFonts w:ascii="Calibri" w:hAnsi="Calibri" w:cs="Calibri"/>
                <w:sz w:val="16"/>
                <w:szCs w:val="16"/>
              </w:rPr>
              <w:t>elivery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EE4EA4E"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ACIL Allen</w:t>
            </w:r>
            <w:r>
              <w:rPr>
                <w:rFonts w:ascii="Calibri" w:hAnsi="Calibri" w:cs="Calibri"/>
                <w:sz w:val="16"/>
                <w:szCs w:val="16"/>
              </w:rPr>
              <w:t xml:space="preserve"> Consulting</w:t>
            </w:r>
            <w:r w:rsidRPr="00F55FBA">
              <w:rPr>
                <w:rFonts w:ascii="Calibri" w:hAnsi="Calibri" w:cs="Calibri"/>
                <w:sz w:val="16"/>
                <w:szCs w:val="16"/>
              </w:rPr>
              <w:t xml:space="preserve"> </w:t>
            </w:r>
          </w:p>
        </w:tc>
        <w:tc>
          <w:tcPr>
            <w:tcW w:w="2127" w:type="dxa"/>
            <w:tcBorders>
              <w:top w:val="single" w:sz="4" w:space="0" w:color="auto"/>
              <w:bottom w:val="single" w:sz="4" w:space="0" w:color="auto"/>
            </w:tcBorders>
            <w:shd w:val="clear" w:color="auto" w:fill="auto"/>
          </w:tcPr>
          <w:p w14:paraId="6EFD7C96"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support the Department’s understanding of the progress and performance of the program across the 1,000 participating schools. </w:t>
            </w:r>
          </w:p>
        </w:tc>
        <w:tc>
          <w:tcPr>
            <w:tcW w:w="2409" w:type="dxa"/>
            <w:tcBorders>
              <w:top w:val="single" w:sz="4" w:space="0" w:color="auto"/>
              <w:bottom w:val="single" w:sz="4" w:space="0" w:color="auto"/>
            </w:tcBorders>
          </w:tcPr>
          <w:p w14:paraId="0DA186EC"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measure formative and summative components of the program and understand its impact on schools, </w:t>
            </w:r>
            <w:proofErr w:type="gramStart"/>
            <w:r w:rsidRPr="00355385">
              <w:rPr>
                <w:rFonts w:ascii="Calibri" w:hAnsi="Calibri" w:cs="Calibri"/>
                <w:sz w:val="16"/>
                <w:szCs w:val="16"/>
              </w:rPr>
              <w:t>students</w:t>
            </w:r>
            <w:proofErr w:type="gramEnd"/>
            <w:r w:rsidRPr="00355385">
              <w:rPr>
                <w:rFonts w:ascii="Calibri" w:hAnsi="Calibri" w:cs="Calibri"/>
                <w:sz w:val="16"/>
                <w:szCs w:val="16"/>
              </w:rPr>
              <w:t xml:space="preserve"> and the broader community. This includes investigating program implementation and delivery.</w:t>
            </w:r>
          </w:p>
          <w:p w14:paraId="08C1CC1A" w14:textId="77777777" w:rsidR="00951BB7" w:rsidRPr="00355385"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0DBFB60C"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November 2020 – September 2022</w:t>
            </w:r>
          </w:p>
        </w:tc>
        <w:tc>
          <w:tcPr>
            <w:tcW w:w="1701" w:type="dxa"/>
            <w:tcBorders>
              <w:top w:val="single" w:sz="4" w:space="0" w:color="auto"/>
              <w:bottom w:val="single" w:sz="4" w:space="0" w:color="auto"/>
            </w:tcBorders>
          </w:tcPr>
          <w:p w14:paraId="0EB7B178" w14:textId="77777777" w:rsidR="00951BB7" w:rsidRPr="00F55FBA" w:rsidRDefault="00951BB7" w:rsidP="00375B4C">
            <w:pPr>
              <w:pStyle w:val="ESTablebody"/>
              <w:rPr>
                <w:rFonts w:ascii="Calibri" w:hAnsi="Calibri" w:cs="Calibri"/>
                <w:sz w:val="16"/>
                <w:szCs w:val="16"/>
              </w:rPr>
            </w:pPr>
            <w:r w:rsidRPr="00F55FBA">
              <w:rPr>
                <w:rFonts w:ascii="Calibri" w:hAnsi="Calibri" w:cs="Calibri"/>
                <w:sz w:val="16"/>
                <w:szCs w:val="16"/>
              </w:rPr>
              <w:t xml:space="preserve">Findings from the evaluation </w:t>
            </w:r>
            <w:r w:rsidRPr="00355385">
              <w:rPr>
                <w:rFonts w:ascii="Calibri" w:hAnsi="Calibri" w:cs="Calibri"/>
                <w:sz w:val="16"/>
                <w:szCs w:val="16"/>
              </w:rPr>
              <w:t>inform ongoing program implementation, lapsing program requirements and future policy directions.</w:t>
            </w:r>
          </w:p>
        </w:tc>
        <w:tc>
          <w:tcPr>
            <w:tcW w:w="1134" w:type="dxa"/>
            <w:tcBorders>
              <w:top w:val="single" w:sz="4" w:space="0" w:color="auto"/>
              <w:bottom w:val="single" w:sz="4" w:space="0" w:color="auto"/>
            </w:tcBorders>
          </w:tcPr>
          <w:p w14:paraId="38200A88"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sz w:val="16"/>
                <w:szCs w:val="16"/>
              </w:rPr>
              <w:t>398,944</w:t>
            </w:r>
          </w:p>
        </w:tc>
        <w:tc>
          <w:tcPr>
            <w:tcW w:w="993" w:type="dxa"/>
            <w:tcBorders>
              <w:top w:val="single" w:sz="4" w:space="0" w:color="auto"/>
              <w:bottom w:val="single" w:sz="4" w:space="0" w:color="auto"/>
            </w:tcBorders>
          </w:tcPr>
          <w:p w14:paraId="4040D740"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sz w:val="16"/>
                <w:szCs w:val="16"/>
              </w:rPr>
              <w:t>–</w:t>
            </w:r>
          </w:p>
        </w:tc>
        <w:tc>
          <w:tcPr>
            <w:tcW w:w="1622" w:type="dxa"/>
            <w:tcBorders>
              <w:top w:val="single" w:sz="4" w:space="0" w:color="auto"/>
              <w:bottom w:val="single" w:sz="4" w:space="0" w:color="auto"/>
            </w:tcBorders>
          </w:tcPr>
          <w:p w14:paraId="128E95E8" w14:textId="77777777" w:rsidR="00951BB7" w:rsidRPr="00F55FBA" w:rsidRDefault="00951BB7" w:rsidP="00375B4C">
            <w:pPr>
              <w:pStyle w:val="ESTablebody"/>
              <w:jc w:val="right"/>
              <w:rPr>
                <w:rFonts w:ascii="Calibri" w:hAnsi="Calibri" w:cs="Calibri"/>
                <w:sz w:val="16"/>
                <w:szCs w:val="16"/>
              </w:rPr>
            </w:pPr>
            <w:r w:rsidRPr="00F55FBA">
              <w:rPr>
                <w:rFonts w:ascii="Calibri" w:hAnsi="Calibri" w:cs="Calibri"/>
                <w:sz w:val="16"/>
                <w:szCs w:val="16"/>
              </w:rPr>
              <w:t>N</w:t>
            </w:r>
          </w:p>
        </w:tc>
      </w:tr>
      <w:tr w:rsidR="00951BB7" w:rsidRPr="00925213" w14:paraId="75930642" w14:textId="77777777" w:rsidTr="00383663">
        <w:trPr>
          <w:cantSplit/>
          <w:trHeight w:val="628"/>
        </w:trPr>
        <w:tc>
          <w:tcPr>
            <w:tcW w:w="1696" w:type="dxa"/>
            <w:tcBorders>
              <w:top w:val="single" w:sz="4" w:space="0" w:color="auto"/>
              <w:bottom w:val="single" w:sz="4" w:space="0" w:color="auto"/>
            </w:tcBorders>
            <w:shd w:val="clear" w:color="auto" w:fill="auto"/>
          </w:tcPr>
          <w:p w14:paraId="0B5EB59D"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lastRenderedPageBreak/>
              <w:t>School-focused youth services review</w:t>
            </w:r>
          </w:p>
          <w:p w14:paraId="4B69FA9D" w14:textId="77777777" w:rsidR="00951BB7" w:rsidRPr="006645B0" w:rsidRDefault="00951BB7" w:rsidP="00375B4C">
            <w:pPr>
              <w:pStyle w:val="ESTablebody"/>
              <w:rPr>
                <w:rFonts w:ascii="Calibri" w:hAnsi="Calibri" w:cs="Calibri"/>
                <w:sz w:val="16"/>
                <w:szCs w:val="16"/>
              </w:rPr>
            </w:pPr>
            <w:r>
              <w:rPr>
                <w:rFonts w:ascii="Calibri" w:hAnsi="Calibri" w:cs="Calibri"/>
                <w:sz w:val="16"/>
                <w:szCs w:val="16"/>
              </w:rPr>
              <w:t>(</w:t>
            </w:r>
            <w:r w:rsidRPr="006645B0">
              <w:rPr>
                <w:rFonts w:ascii="Calibri" w:hAnsi="Calibri" w:cs="Calibri"/>
                <w:sz w:val="16"/>
                <w:szCs w:val="16"/>
              </w:rPr>
              <w:t xml:space="preserve">Education </w:t>
            </w:r>
            <w:r>
              <w:rPr>
                <w:rFonts w:ascii="Calibri" w:hAnsi="Calibri" w:cs="Calibri"/>
                <w:sz w:val="16"/>
                <w:szCs w:val="16"/>
              </w:rPr>
              <w:t>p</w:t>
            </w:r>
            <w:r w:rsidRPr="006645B0">
              <w:rPr>
                <w:rFonts w:ascii="Calibri" w:hAnsi="Calibri" w:cs="Calibri"/>
                <w:sz w:val="16"/>
                <w:szCs w:val="16"/>
              </w:rPr>
              <w:t>ortfolio, School Education</w:t>
            </w:r>
            <w:r>
              <w:rPr>
                <w:rFonts w:ascii="Calibri" w:hAnsi="Calibri" w:cs="Calibri"/>
                <w:sz w:val="16"/>
                <w:szCs w:val="16"/>
              </w:rPr>
              <w:t>—</w:t>
            </w:r>
            <w:r w:rsidRPr="006645B0">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BC03ACF" w14:textId="77777777" w:rsidR="00951BB7" w:rsidRPr="006645B0"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589CE353"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build on the Department’s knowledge of the program and provide clear recommendations for a future program model.</w:t>
            </w:r>
          </w:p>
        </w:tc>
        <w:tc>
          <w:tcPr>
            <w:tcW w:w="2409" w:type="dxa"/>
            <w:tcBorders>
              <w:top w:val="single" w:sz="4" w:space="0" w:color="auto"/>
              <w:bottom w:val="single" w:sz="4" w:space="0" w:color="auto"/>
            </w:tcBorders>
          </w:tcPr>
          <w:p w14:paraId="15C9D5F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establish the project, collect data and produce a final report including recommendations. Data collection includes a literature review, online surveys, targeted interviews, and analysis of departmental data.</w:t>
            </w:r>
          </w:p>
        </w:tc>
        <w:tc>
          <w:tcPr>
            <w:tcW w:w="1134" w:type="dxa"/>
            <w:tcBorders>
              <w:top w:val="single" w:sz="4" w:space="0" w:color="auto"/>
              <w:bottom w:val="single" w:sz="4" w:space="0" w:color="auto"/>
            </w:tcBorders>
          </w:tcPr>
          <w:p w14:paraId="7B227DBB"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 xml:space="preserve">February – May </w:t>
            </w:r>
            <w:r w:rsidRPr="00355385">
              <w:rPr>
                <w:rFonts w:ascii="Calibri" w:hAnsi="Calibri" w:cs="Calibri"/>
                <w:sz w:val="16"/>
                <w:szCs w:val="16"/>
              </w:rPr>
              <w:t>2021</w:t>
            </w:r>
          </w:p>
        </w:tc>
        <w:tc>
          <w:tcPr>
            <w:tcW w:w="1701" w:type="dxa"/>
            <w:tcBorders>
              <w:top w:val="single" w:sz="4" w:space="0" w:color="auto"/>
              <w:bottom w:val="single" w:sz="4" w:space="0" w:color="auto"/>
            </w:tcBorders>
          </w:tcPr>
          <w:p w14:paraId="753E6BB0"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Findings from the review provide clear recommendations for a future program model.</w:t>
            </w:r>
          </w:p>
        </w:tc>
        <w:tc>
          <w:tcPr>
            <w:tcW w:w="1134" w:type="dxa"/>
            <w:tcBorders>
              <w:top w:val="single" w:sz="4" w:space="0" w:color="auto"/>
              <w:bottom w:val="single" w:sz="4" w:space="0" w:color="auto"/>
            </w:tcBorders>
          </w:tcPr>
          <w:p w14:paraId="76B62968"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color w:val="000000" w:themeColor="text2"/>
                <w:sz w:val="16"/>
                <w:szCs w:val="16"/>
                <w:lang w:val="en-GB"/>
              </w:rPr>
              <w:t>97,303</w:t>
            </w:r>
          </w:p>
        </w:tc>
        <w:tc>
          <w:tcPr>
            <w:tcW w:w="993" w:type="dxa"/>
            <w:tcBorders>
              <w:top w:val="single" w:sz="4" w:space="0" w:color="auto"/>
              <w:bottom w:val="single" w:sz="4" w:space="0" w:color="auto"/>
            </w:tcBorders>
          </w:tcPr>
          <w:p w14:paraId="455F7F54"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color w:val="000000" w:themeColor="text2"/>
                <w:sz w:val="16"/>
                <w:szCs w:val="16"/>
              </w:rPr>
              <w:t>97,303</w:t>
            </w:r>
          </w:p>
        </w:tc>
        <w:tc>
          <w:tcPr>
            <w:tcW w:w="1622" w:type="dxa"/>
            <w:tcBorders>
              <w:top w:val="single" w:sz="4" w:space="0" w:color="auto"/>
              <w:bottom w:val="single" w:sz="4" w:space="0" w:color="auto"/>
            </w:tcBorders>
          </w:tcPr>
          <w:p w14:paraId="7BA49FCA" w14:textId="77777777" w:rsidR="00951BB7" w:rsidRPr="006645B0" w:rsidRDefault="00951BB7" w:rsidP="00375B4C">
            <w:pPr>
              <w:pStyle w:val="ESTablebody"/>
              <w:jc w:val="right"/>
              <w:rPr>
                <w:rFonts w:ascii="Calibri" w:hAnsi="Calibri" w:cs="Calibri"/>
                <w:sz w:val="16"/>
                <w:szCs w:val="16"/>
              </w:rPr>
            </w:pPr>
            <w:r>
              <w:rPr>
                <w:rFonts w:ascii="Calibri" w:hAnsi="Calibri" w:cs="Calibri"/>
                <w:color w:val="000000" w:themeColor="text2"/>
                <w:sz w:val="16"/>
                <w:szCs w:val="16"/>
                <w:lang w:val="en-GB"/>
              </w:rPr>
              <w:t>N</w:t>
            </w:r>
          </w:p>
        </w:tc>
      </w:tr>
      <w:tr w:rsidR="00951BB7" w:rsidRPr="00925213" w14:paraId="582806AB" w14:textId="77777777" w:rsidTr="000101A8">
        <w:trPr>
          <w:cantSplit/>
          <w:trHeight w:val="628"/>
        </w:trPr>
        <w:tc>
          <w:tcPr>
            <w:tcW w:w="1696" w:type="dxa"/>
            <w:tcBorders>
              <w:top w:val="single" w:sz="4" w:space="0" w:color="auto"/>
              <w:bottom w:val="single" w:sz="4" w:space="0" w:color="auto"/>
            </w:tcBorders>
            <w:shd w:val="clear" w:color="auto" w:fill="auto"/>
            <w:vAlign w:val="center"/>
          </w:tcPr>
          <w:p w14:paraId="2464182D" w14:textId="77777777" w:rsidR="00951BB7" w:rsidRDefault="00951BB7" w:rsidP="00E11F50">
            <w:pPr>
              <w:pStyle w:val="ESTablebody"/>
              <w:rPr>
                <w:rFonts w:ascii="Calibri" w:hAnsi="Calibri" w:cs="Calibri"/>
                <w:sz w:val="16"/>
                <w:szCs w:val="16"/>
              </w:rPr>
            </w:pPr>
            <w:r w:rsidRPr="000F1564">
              <w:rPr>
                <w:rFonts w:ascii="Calibri" w:hAnsi="Calibri" w:cs="Calibri"/>
                <w:sz w:val="16"/>
                <w:szCs w:val="16"/>
              </w:rPr>
              <w:t xml:space="preserve">Schoolwide Positive </w:t>
            </w:r>
            <w:proofErr w:type="spellStart"/>
            <w:r w:rsidRPr="000F1564">
              <w:rPr>
                <w:rFonts w:ascii="Calibri" w:hAnsi="Calibri" w:cs="Calibri"/>
                <w:sz w:val="16"/>
                <w:szCs w:val="16"/>
              </w:rPr>
              <w:t>Behaviour</w:t>
            </w:r>
            <w:proofErr w:type="spellEnd"/>
            <w:r w:rsidRPr="000F1564">
              <w:rPr>
                <w:rFonts w:ascii="Calibri" w:hAnsi="Calibri" w:cs="Calibri"/>
                <w:sz w:val="16"/>
                <w:szCs w:val="16"/>
              </w:rPr>
              <w:t xml:space="preserve"> Support evaluation</w:t>
            </w:r>
          </w:p>
          <w:p w14:paraId="2F00361D" w14:textId="77777777" w:rsidR="00951BB7" w:rsidRPr="00997A0A" w:rsidRDefault="00951BB7" w:rsidP="00E11F50">
            <w:pPr>
              <w:pStyle w:val="ESTablebody"/>
              <w:rPr>
                <w:rFonts w:ascii="Calibri" w:hAnsi="Calibri" w:cs="Calibri"/>
                <w:sz w:val="16"/>
                <w:szCs w:val="16"/>
              </w:rPr>
            </w:pPr>
            <w:r>
              <w:rPr>
                <w:rFonts w:ascii="Calibri" w:hAnsi="Calibri" w:cs="Calibri"/>
                <w:sz w:val="16"/>
                <w:szCs w:val="16"/>
              </w:rPr>
              <w:t>(</w:t>
            </w:r>
            <w:r w:rsidRPr="002D12B8">
              <w:rPr>
                <w:rFonts w:ascii="Calibri" w:hAnsi="Calibri" w:cs="Calibri"/>
                <w:sz w:val="16"/>
                <w:szCs w:val="16"/>
              </w:rPr>
              <w:t>Education portfolio, School Education–Primary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628C01E" w14:textId="77777777" w:rsidR="00951BB7" w:rsidRPr="00997A0A" w:rsidRDefault="00951BB7" w:rsidP="00E11F50">
            <w:pPr>
              <w:pStyle w:val="ESTablebody"/>
              <w:rPr>
                <w:rFonts w:ascii="Calibri" w:hAnsi="Calibri" w:cs="Calibri"/>
                <w:sz w:val="16"/>
                <w:szCs w:val="16"/>
              </w:rPr>
            </w:pPr>
            <w:proofErr w:type="spellStart"/>
            <w:r w:rsidRPr="00EF21F0">
              <w:rPr>
                <w:rFonts w:ascii="Calibri" w:hAnsi="Calibri" w:cs="Calibri"/>
                <w:sz w:val="16"/>
                <w:szCs w:val="16"/>
              </w:rPr>
              <w:t>Dandolo</w:t>
            </w:r>
            <w:proofErr w:type="spellEnd"/>
            <w:r>
              <w:rPr>
                <w:rFonts w:ascii="Calibri" w:hAnsi="Calibri" w:cs="Calibri"/>
                <w:sz w:val="16"/>
                <w:szCs w:val="16"/>
              </w:rPr>
              <w:t xml:space="preserve"> P</w:t>
            </w:r>
            <w:r w:rsidRPr="00EF21F0">
              <w:rPr>
                <w:rFonts w:ascii="Calibri" w:hAnsi="Calibri" w:cs="Calibri"/>
                <w:sz w:val="16"/>
                <w:szCs w:val="16"/>
              </w:rPr>
              <w:t>artners</w:t>
            </w:r>
          </w:p>
        </w:tc>
        <w:tc>
          <w:tcPr>
            <w:tcW w:w="2127" w:type="dxa"/>
            <w:tcBorders>
              <w:top w:val="single" w:sz="4" w:space="0" w:color="auto"/>
              <w:bottom w:val="single" w:sz="4" w:space="0" w:color="auto"/>
            </w:tcBorders>
            <w:shd w:val="clear" w:color="auto" w:fill="auto"/>
          </w:tcPr>
          <w:p w14:paraId="545F009C" w14:textId="77777777" w:rsidR="00951BB7" w:rsidRPr="00997A0A" w:rsidRDefault="00951BB7" w:rsidP="00E11F50">
            <w:pPr>
              <w:pStyle w:val="ESTablebody"/>
              <w:rPr>
                <w:rFonts w:ascii="Calibri" w:hAnsi="Calibri" w:cs="Calibri"/>
                <w:sz w:val="16"/>
                <w:szCs w:val="16"/>
              </w:rPr>
            </w:pPr>
            <w:r>
              <w:rPr>
                <w:rFonts w:ascii="Calibri" w:hAnsi="Calibri" w:cs="Calibri"/>
                <w:sz w:val="16"/>
                <w:szCs w:val="16"/>
              </w:rPr>
              <w:t>To</w:t>
            </w:r>
            <w:r w:rsidRPr="00EF21F0">
              <w:rPr>
                <w:rFonts w:ascii="Calibri" w:hAnsi="Calibri" w:cs="Calibri"/>
                <w:sz w:val="16"/>
                <w:szCs w:val="16"/>
              </w:rPr>
              <w:t xml:space="preserve"> consider all aspects of the </w:t>
            </w:r>
            <w:r>
              <w:rPr>
                <w:rFonts w:ascii="Calibri" w:hAnsi="Calibri" w:cs="Calibri"/>
                <w:sz w:val="16"/>
                <w:szCs w:val="16"/>
              </w:rPr>
              <w:t xml:space="preserve">Schoolwide positive </w:t>
            </w:r>
            <w:proofErr w:type="spellStart"/>
            <w:r>
              <w:rPr>
                <w:rFonts w:ascii="Calibri" w:hAnsi="Calibri" w:cs="Calibri"/>
                <w:sz w:val="16"/>
                <w:szCs w:val="16"/>
              </w:rPr>
              <w:t>behaviour</w:t>
            </w:r>
            <w:proofErr w:type="spellEnd"/>
            <w:r>
              <w:rPr>
                <w:rFonts w:ascii="Calibri" w:hAnsi="Calibri" w:cs="Calibri"/>
                <w:sz w:val="16"/>
                <w:szCs w:val="16"/>
              </w:rPr>
              <w:t xml:space="preserve"> support </w:t>
            </w:r>
            <w:r w:rsidRPr="00EF21F0">
              <w:rPr>
                <w:rFonts w:ascii="Calibri" w:hAnsi="Calibri" w:cs="Calibri"/>
                <w:sz w:val="16"/>
                <w:szCs w:val="16"/>
              </w:rPr>
              <w:t>project from 2018 to 2020.</w:t>
            </w:r>
          </w:p>
        </w:tc>
        <w:tc>
          <w:tcPr>
            <w:tcW w:w="2409" w:type="dxa"/>
            <w:tcBorders>
              <w:top w:val="single" w:sz="4" w:space="0" w:color="auto"/>
              <w:bottom w:val="single" w:sz="4" w:space="0" w:color="auto"/>
            </w:tcBorders>
          </w:tcPr>
          <w:p w14:paraId="5BA745F9" w14:textId="77777777" w:rsidR="00951BB7" w:rsidRPr="00997A0A" w:rsidRDefault="00951BB7" w:rsidP="00E11F50">
            <w:pPr>
              <w:pStyle w:val="ESTablebody"/>
              <w:rPr>
                <w:rFonts w:ascii="Calibri" w:hAnsi="Calibri" w:cs="Calibri"/>
                <w:sz w:val="16"/>
                <w:szCs w:val="16"/>
              </w:rPr>
            </w:pPr>
            <w:r>
              <w:rPr>
                <w:rFonts w:ascii="Calibri" w:hAnsi="Calibri" w:cs="Calibri"/>
                <w:sz w:val="16"/>
                <w:szCs w:val="16"/>
              </w:rPr>
              <w:t>T</w:t>
            </w:r>
            <w:r w:rsidRPr="00EF21F0">
              <w:rPr>
                <w:rFonts w:ascii="Calibri" w:hAnsi="Calibri" w:cs="Calibri"/>
                <w:sz w:val="16"/>
                <w:szCs w:val="16"/>
              </w:rPr>
              <w:t>o assess the project’s effectiveness and impact, identify opportunities for improvement and inform decisions about the continuation of the project.</w:t>
            </w:r>
          </w:p>
        </w:tc>
        <w:tc>
          <w:tcPr>
            <w:tcW w:w="1134" w:type="dxa"/>
            <w:tcBorders>
              <w:top w:val="single" w:sz="4" w:space="0" w:color="auto"/>
              <w:bottom w:val="single" w:sz="4" w:space="0" w:color="auto"/>
            </w:tcBorders>
          </w:tcPr>
          <w:p w14:paraId="3B34517A" w14:textId="77777777" w:rsidR="00951BB7" w:rsidRPr="00997A0A" w:rsidRDefault="00951BB7" w:rsidP="00E11F50">
            <w:pPr>
              <w:pStyle w:val="ESTablebody"/>
              <w:rPr>
                <w:rFonts w:ascii="Calibri" w:hAnsi="Calibri" w:cs="Calibri"/>
                <w:sz w:val="16"/>
                <w:szCs w:val="16"/>
              </w:rPr>
            </w:pPr>
            <w:r w:rsidRPr="00EF21F0">
              <w:rPr>
                <w:rFonts w:ascii="Calibri" w:hAnsi="Calibri" w:cs="Calibri"/>
                <w:sz w:val="16"/>
                <w:szCs w:val="16"/>
              </w:rPr>
              <w:t>August – December 2020</w:t>
            </w:r>
          </w:p>
        </w:tc>
        <w:tc>
          <w:tcPr>
            <w:tcW w:w="1701" w:type="dxa"/>
            <w:tcBorders>
              <w:top w:val="single" w:sz="4" w:space="0" w:color="auto"/>
              <w:bottom w:val="single" w:sz="4" w:space="0" w:color="auto"/>
            </w:tcBorders>
          </w:tcPr>
          <w:p w14:paraId="61267E00" w14:textId="77777777" w:rsidR="00951BB7" w:rsidRDefault="00951BB7" w:rsidP="00E11F50">
            <w:pPr>
              <w:pStyle w:val="ESTablebody"/>
              <w:rPr>
                <w:rFonts w:ascii="Calibri" w:hAnsi="Calibri" w:cs="Calibri"/>
                <w:sz w:val="16"/>
                <w:szCs w:val="16"/>
              </w:rPr>
            </w:pPr>
            <w:r>
              <w:rPr>
                <w:rFonts w:ascii="Calibri" w:hAnsi="Calibri" w:cs="Calibri"/>
                <w:sz w:val="16"/>
                <w:szCs w:val="16"/>
              </w:rPr>
              <w:t>The e</w:t>
            </w:r>
            <w:r w:rsidRPr="00EF21F0">
              <w:rPr>
                <w:rFonts w:ascii="Calibri" w:hAnsi="Calibri" w:cs="Calibri"/>
                <w:sz w:val="16"/>
                <w:szCs w:val="16"/>
              </w:rPr>
              <w:t xml:space="preserve">valuation report </w:t>
            </w:r>
            <w:r>
              <w:rPr>
                <w:rFonts w:ascii="Calibri" w:hAnsi="Calibri" w:cs="Calibri"/>
                <w:sz w:val="16"/>
                <w:szCs w:val="16"/>
              </w:rPr>
              <w:t>will</w:t>
            </w:r>
            <w:r w:rsidRPr="00EF21F0">
              <w:rPr>
                <w:rFonts w:ascii="Calibri" w:hAnsi="Calibri" w:cs="Calibri"/>
                <w:sz w:val="16"/>
                <w:szCs w:val="16"/>
              </w:rPr>
              <w:t xml:space="preserve"> detail outcomes achieved to date </w:t>
            </w:r>
            <w:r>
              <w:rPr>
                <w:rFonts w:ascii="Calibri" w:hAnsi="Calibri" w:cs="Calibri"/>
                <w:sz w:val="16"/>
                <w:szCs w:val="16"/>
              </w:rPr>
              <w:t>and suggest</w:t>
            </w:r>
            <w:r w:rsidRPr="00EF21F0">
              <w:rPr>
                <w:rFonts w:ascii="Calibri" w:hAnsi="Calibri" w:cs="Calibri"/>
                <w:sz w:val="16"/>
                <w:szCs w:val="16"/>
              </w:rPr>
              <w:t xml:space="preserve"> areas for implementation improvement.</w:t>
            </w:r>
          </w:p>
        </w:tc>
        <w:tc>
          <w:tcPr>
            <w:tcW w:w="1134" w:type="dxa"/>
            <w:tcBorders>
              <w:top w:val="single" w:sz="4" w:space="0" w:color="auto"/>
              <w:bottom w:val="single" w:sz="4" w:space="0" w:color="auto"/>
            </w:tcBorders>
          </w:tcPr>
          <w:p w14:paraId="1CBCA72F" w14:textId="77777777" w:rsidR="00951BB7" w:rsidRPr="00997A0A" w:rsidRDefault="00951BB7" w:rsidP="00E11F50">
            <w:pPr>
              <w:pStyle w:val="ESTablebody"/>
              <w:jc w:val="right"/>
              <w:rPr>
                <w:rFonts w:ascii="Calibri" w:hAnsi="Calibri" w:cs="Calibri"/>
                <w:sz w:val="16"/>
                <w:szCs w:val="16"/>
              </w:rPr>
            </w:pPr>
            <w:r w:rsidRPr="00EF21F0">
              <w:rPr>
                <w:rFonts w:ascii="Calibri" w:hAnsi="Calibri" w:cs="Calibri"/>
                <w:sz w:val="16"/>
                <w:szCs w:val="16"/>
              </w:rPr>
              <w:t>49,75</w:t>
            </w:r>
            <w:r>
              <w:rPr>
                <w:rFonts w:ascii="Calibri" w:hAnsi="Calibri" w:cs="Calibri"/>
                <w:sz w:val="16"/>
                <w:szCs w:val="16"/>
              </w:rPr>
              <w:t>8</w:t>
            </w:r>
          </w:p>
        </w:tc>
        <w:tc>
          <w:tcPr>
            <w:tcW w:w="993" w:type="dxa"/>
            <w:tcBorders>
              <w:top w:val="single" w:sz="4" w:space="0" w:color="auto"/>
              <w:bottom w:val="single" w:sz="4" w:space="0" w:color="auto"/>
            </w:tcBorders>
          </w:tcPr>
          <w:p w14:paraId="0C66801B" w14:textId="77777777" w:rsidR="00951BB7" w:rsidRPr="00997A0A" w:rsidRDefault="00951BB7" w:rsidP="00E11F50">
            <w:pPr>
              <w:pStyle w:val="ESTablebody"/>
              <w:jc w:val="right"/>
              <w:rPr>
                <w:rFonts w:ascii="Calibri" w:hAnsi="Calibri" w:cs="Calibri"/>
                <w:sz w:val="16"/>
                <w:szCs w:val="16"/>
              </w:rPr>
            </w:pPr>
            <w:r w:rsidRPr="00EF21F0">
              <w:rPr>
                <w:rFonts w:ascii="Calibri" w:hAnsi="Calibri" w:cs="Calibri"/>
                <w:sz w:val="16"/>
                <w:szCs w:val="16"/>
              </w:rPr>
              <w:t>49,75</w:t>
            </w:r>
            <w:r>
              <w:rPr>
                <w:rFonts w:ascii="Calibri" w:hAnsi="Calibri" w:cs="Calibri"/>
                <w:sz w:val="16"/>
                <w:szCs w:val="16"/>
              </w:rPr>
              <w:t>8</w:t>
            </w:r>
          </w:p>
        </w:tc>
        <w:tc>
          <w:tcPr>
            <w:tcW w:w="1622" w:type="dxa"/>
            <w:tcBorders>
              <w:top w:val="single" w:sz="4" w:space="0" w:color="auto"/>
              <w:bottom w:val="single" w:sz="4" w:space="0" w:color="auto"/>
            </w:tcBorders>
          </w:tcPr>
          <w:p w14:paraId="534D50F7" w14:textId="77777777" w:rsidR="00951BB7" w:rsidRPr="00997A0A" w:rsidRDefault="00951BB7" w:rsidP="00E11F50">
            <w:pPr>
              <w:pStyle w:val="ESTablebody"/>
              <w:jc w:val="right"/>
              <w:rPr>
                <w:rFonts w:ascii="Calibri" w:hAnsi="Calibri" w:cs="Calibri"/>
                <w:sz w:val="16"/>
                <w:szCs w:val="16"/>
              </w:rPr>
            </w:pPr>
            <w:r w:rsidRPr="00EF21F0">
              <w:rPr>
                <w:rFonts w:ascii="Calibri" w:hAnsi="Calibri" w:cs="Calibri"/>
                <w:sz w:val="16"/>
                <w:szCs w:val="16"/>
              </w:rPr>
              <w:t>N</w:t>
            </w:r>
          </w:p>
        </w:tc>
      </w:tr>
      <w:tr w:rsidR="00951BB7" w:rsidRPr="00925213" w14:paraId="1CA500E8" w14:textId="77777777" w:rsidTr="00383663">
        <w:trPr>
          <w:cantSplit/>
          <w:trHeight w:val="628"/>
        </w:trPr>
        <w:tc>
          <w:tcPr>
            <w:tcW w:w="1696" w:type="dxa"/>
            <w:tcBorders>
              <w:top w:val="single" w:sz="4" w:space="0" w:color="auto"/>
              <w:bottom w:val="single" w:sz="4" w:space="0" w:color="auto"/>
            </w:tcBorders>
            <w:shd w:val="clear" w:color="auto" w:fill="auto"/>
          </w:tcPr>
          <w:p w14:paraId="1294C06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Senior Secondary Pathways Reform Strategic evaluation</w:t>
            </w:r>
          </w:p>
          <w:p w14:paraId="6FA56FE0"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 xml:space="preserve">Education </w:t>
            </w:r>
            <w:r>
              <w:rPr>
                <w:rFonts w:ascii="Calibri" w:hAnsi="Calibri" w:cs="Calibri"/>
                <w:sz w:val="16"/>
                <w:szCs w:val="16"/>
              </w:rPr>
              <w:t>p</w:t>
            </w:r>
            <w:r w:rsidRPr="00925213">
              <w:rPr>
                <w:rFonts w:ascii="Calibri" w:hAnsi="Calibri" w:cs="Calibri"/>
                <w:sz w:val="16"/>
                <w:szCs w:val="16"/>
              </w:rPr>
              <w:t>ortfolio, School Education</w:t>
            </w:r>
            <w:r>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8C1E361"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The Department </w:t>
            </w:r>
          </w:p>
        </w:tc>
        <w:tc>
          <w:tcPr>
            <w:tcW w:w="2127" w:type="dxa"/>
            <w:tcBorders>
              <w:top w:val="single" w:sz="4" w:space="0" w:color="auto"/>
              <w:bottom w:val="single" w:sz="4" w:space="0" w:color="auto"/>
            </w:tcBorders>
            <w:shd w:val="clear" w:color="auto" w:fill="auto"/>
          </w:tcPr>
          <w:p w14:paraId="013CD596"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design and implement a strategic evaluation for the senior secondary </w:t>
            </w:r>
            <w:proofErr w:type="gramStart"/>
            <w:r w:rsidRPr="00925213">
              <w:rPr>
                <w:rFonts w:ascii="Calibri" w:hAnsi="Calibri" w:cs="Calibri"/>
                <w:sz w:val="16"/>
                <w:szCs w:val="16"/>
              </w:rPr>
              <w:t>pathways</w:t>
            </w:r>
            <w:proofErr w:type="gramEnd"/>
            <w:r w:rsidRPr="00925213">
              <w:rPr>
                <w:rFonts w:ascii="Calibri" w:hAnsi="Calibri" w:cs="Calibri"/>
                <w:sz w:val="16"/>
                <w:szCs w:val="16"/>
              </w:rPr>
              <w:t xml:space="preserve"> reforms.</w:t>
            </w:r>
          </w:p>
        </w:tc>
        <w:tc>
          <w:tcPr>
            <w:tcW w:w="2409" w:type="dxa"/>
            <w:tcBorders>
              <w:top w:val="single" w:sz="4" w:space="0" w:color="auto"/>
              <w:bottom w:val="single" w:sz="4" w:space="0" w:color="auto"/>
            </w:tcBorders>
          </w:tcPr>
          <w:p w14:paraId="15DA8AB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The terms of reference are under development.</w:t>
            </w:r>
          </w:p>
        </w:tc>
        <w:tc>
          <w:tcPr>
            <w:tcW w:w="1134" w:type="dxa"/>
            <w:tcBorders>
              <w:top w:val="single" w:sz="4" w:space="0" w:color="auto"/>
              <w:bottom w:val="single" w:sz="4" w:space="0" w:color="auto"/>
            </w:tcBorders>
          </w:tcPr>
          <w:p w14:paraId="7C07B923"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Feb</w:t>
            </w:r>
            <w:r>
              <w:rPr>
                <w:rFonts w:ascii="Calibri" w:hAnsi="Calibri" w:cs="Calibri"/>
                <w:sz w:val="16"/>
                <w:szCs w:val="16"/>
              </w:rPr>
              <w:t>ruary</w:t>
            </w:r>
            <w:r w:rsidRPr="00925213">
              <w:rPr>
                <w:rFonts w:ascii="Calibri" w:hAnsi="Calibri" w:cs="Calibri"/>
                <w:sz w:val="16"/>
                <w:szCs w:val="16"/>
              </w:rPr>
              <w:t xml:space="preserve"> 2021 –</w:t>
            </w:r>
            <w:r>
              <w:rPr>
                <w:rFonts w:ascii="Calibri" w:hAnsi="Calibri" w:cs="Calibri"/>
                <w:sz w:val="16"/>
                <w:szCs w:val="16"/>
              </w:rPr>
              <w:t xml:space="preserve"> </w:t>
            </w:r>
            <w:r w:rsidRPr="00925213">
              <w:rPr>
                <w:rFonts w:ascii="Calibri" w:hAnsi="Calibri" w:cs="Calibri"/>
                <w:sz w:val="16"/>
                <w:szCs w:val="16"/>
              </w:rPr>
              <w:t>June 2024</w:t>
            </w:r>
          </w:p>
        </w:tc>
        <w:tc>
          <w:tcPr>
            <w:tcW w:w="1701" w:type="dxa"/>
            <w:tcBorders>
              <w:top w:val="single" w:sz="4" w:space="0" w:color="auto"/>
              <w:bottom w:val="single" w:sz="4" w:space="0" w:color="auto"/>
            </w:tcBorders>
          </w:tcPr>
          <w:p w14:paraId="4F565D53"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provide a strategic evaluation of the senior secondary </w:t>
            </w:r>
            <w:proofErr w:type="gramStart"/>
            <w:r w:rsidRPr="00925213">
              <w:rPr>
                <w:rFonts w:ascii="Calibri" w:hAnsi="Calibri" w:cs="Calibri"/>
                <w:sz w:val="16"/>
                <w:szCs w:val="16"/>
              </w:rPr>
              <w:t>pathways</w:t>
            </w:r>
            <w:proofErr w:type="gramEnd"/>
            <w:r w:rsidRPr="00925213">
              <w:rPr>
                <w:rFonts w:ascii="Calibri" w:hAnsi="Calibri" w:cs="Calibri"/>
                <w:sz w:val="16"/>
                <w:szCs w:val="16"/>
              </w:rPr>
              <w:t xml:space="preserve"> reforms.</w:t>
            </w:r>
          </w:p>
        </w:tc>
        <w:tc>
          <w:tcPr>
            <w:tcW w:w="1134" w:type="dxa"/>
            <w:tcBorders>
              <w:top w:val="single" w:sz="4" w:space="0" w:color="auto"/>
              <w:bottom w:val="single" w:sz="4" w:space="0" w:color="auto"/>
            </w:tcBorders>
          </w:tcPr>
          <w:p w14:paraId="3F47271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290,000</w:t>
            </w:r>
          </w:p>
        </w:tc>
        <w:tc>
          <w:tcPr>
            <w:tcW w:w="993" w:type="dxa"/>
            <w:tcBorders>
              <w:top w:val="single" w:sz="4" w:space="0" w:color="auto"/>
              <w:bottom w:val="single" w:sz="4" w:space="0" w:color="auto"/>
            </w:tcBorders>
          </w:tcPr>
          <w:p w14:paraId="27B2C94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10E0D701"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78D8B47A" w14:textId="77777777" w:rsidTr="00383663">
        <w:trPr>
          <w:cantSplit/>
          <w:trHeight w:val="628"/>
        </w:trPr>
        <w:tc>
          <w:tcPr>
            <w:tcW w:w="1696" w:type="dxa"/>
            <w:tcBorders>
              <w:top w:val="single" w:sz="4" w:space="0" w:color="auto"/>
              <w:bottom w:val="single" w:sz="4" w:space="0" w:color="auto"/>
            </w:tcBorders>
            <w:shd w:val="clear" w:color="auto" w:fill="auto"/>
          </w:tcPr>
          <w:p w14:paraId="012078F6"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 xml:space="preserve">Software for </w:t>
            </w:r>
            <w:proofErr w:type="gramStart"/>
            <w:r w:rsidRPr="006645B0">
              <w:rPr>
                <w:rFonts w:ascii="Calibri" w:hAnsi="Calibri" w:cs="Calibri"/>
                <w:sz w:val="16"/>
                <w:szCs w:val="16"/>
              </w:rPr>
              <w:t>schools</w:t>
            </w:r>
            <w:proofErr w:type="gramEnd"/>
            <w:r w:rsidRPr="006645B0">
              <w:rPr>
                <w:rFonts w:ascii="Calibri" w:hAnsi="Calibri" w:cs="Calibri"/>
                <w:sz w:val="16"/>
                <w:szCs w:val="16"/>
              </w:rPr>
              <w:t xml:space="preserve"> program evaluation</w:t>
            </w:r>
          </w:p>
          <w:p w14:paraId="55CD1D14" w14:textId="77777777" w:rsidR="00951BB7" w:rsidRPr="006645B0" w:rsidRDefault="00951BB7" w:rsidP="00375B4C">
            <w:pPr>
              <w:pStyle w:val="ESTablebody"/>
              <w:rPr>
                <w:rFonts w:ascii="Calibri" w:hAnsi="Calibri" w:cs="Calibri"/>
                <w:sz w:val="16"/>
                <w:szCs w:val="16"/>
              </w:rPr>
            </w:pPr>
            <w:r>
              <w:rPr>
                <w:rFonts w:ascii="Calibri" w:hAnsi="Calibri" w:cs="Calibri"/>
                <w:sz w:val="16"/>
                <w:szCs w:val="16"/>
              </w:rPr>
              <w:t>(</w:t>
            </w:r>
            <w:r w:rsidRPr="006645B0">
              <w:rPr>
                <w:rFonts w:ascii="Calibri" w:hAnsi="Calibri" w:cs="Calibri"/>
                <w:sz w:val="16"/>
                <w:szCs w:val="16"/>
              </w:rPr>
              <w:t xml:space="preserve">Education portfolio, School </w:t>
            </w:r>
            <w:r>
              <w:rPr>
                <w:rFonts w:ascii="Calibri" w:hAnsi="Calibri" w:cs="Calibri"/>
                <w:sz w:val="16"/>
                <w:szCs w:val="16"/>
              </w:rPr>
              <w:t>E</w:t>
            </w:r>
            <w:r w:rsidRPr="006645B0">
              <w:rPr>
                <w:rFonts w:ascii="Calibri" w:hAnsi="Calibri" w:cs="Calibri"/>
                <w:sz w:val="16"/>
                <w:szCs w:val="16"/>
              </w:rPr>
              <w:t>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8E16C72"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University of Melbourne</w:t>
            </w:r>
          </w:p>
        </w:tc>
        <w:tc>
          <w:tcPr>
            <w:tcW w:w="2127" w:type="dxa"/>
            <w:tcBorders>
              <w:top w:val="single" w:sz="4" w:space="0" w:color="auto"/>
              <w:bottom w:val="single" w:sz="4" w:space="0" w:color="auto"/>
            </w:tcBorders>
            <w:shd w:val="clear" w:color="auto" w:fill="auto"/>
          </w:tcPr>
          <w:p w14:paraId="3B0A311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evaluate the program, and other key digital tools supporting learning and teaching in Victorian Government schools and assess impacts and outcomes. </w:t>
            </w:r>
          </w:p>
        </w:tc>
        <w:tc>
          <w:tcPr>
            <w:tcW w:w="2409" w:type="dxa"/>
            <w:tcBorders>
              <w:top w:val="single" w:sz="4" w:space="0" w:color="auto"/>
              <w:bottom w:val="single" w:sz="4" w:space="0" w:color="auto"/>
            </w:tcBorders>
          </w:tcPr>
          <w:p w14:paraId="110A6433" w14:textId="77777777" w:rsidR="00951BB7" w:rsidRPr="00355385" w:rsidRDefault="00951BB7" w:rsidP="00375B4C">
            <w:pPr>
              <w:tabs>
                <w:tab w:val="left" w:pos="709"/>
                <w:tab w:val="left" w:pos="1418"/>
                <w:tab w:val="left" w:pos="2126"/>
                <w:tab w:val="right" w:pos="9356"/>
              </w:tabs>
              <w:overflowPunct w:val="0"/>
              <w:autoSpaceDE w:val="0"/>
              <w:autoSpaceDN w:val="0"/>
              <w:adjustRightInd w:val="0"/>
              <w:spacing w:before="60" w:after="60"/>
              <w:textAlignment w:val="baseline"/>
              <w:rPr>
                <w:rFonts w:ascii="Calibri" w:eastAsiaTheme="minorEastAsia" w:hAnsi="Calibri" w:cs="Calibri"/>
                <w:sz w:val="16"/>
                <w:szCs w:val="16"/>
                <w:lang w:val="en-US"/>
              </w:rPr>
            </w:pPr>
            <w:r w:rsidRPr="00355385">
              <w:rPr>
                <w:rFonts w:ascii="Calibri" w:eastAsiaTheme="minorEastAsia" w:hAnsi="Calibri" w:cs="Calibri"/>
                <w:sz w:val="16"/>
                <w:szCs w:val="16"/>
                <w:lang w:val="en-US"/>
              </w:rPr>
              <w:t>To identify the extent to which the program is being implemented as intended, participants are being reached, and the program meets the users’ needs. The evaluation will examine the extent to which the program improves teacher capability and student outcomes.</w:t>
            </w:r>
          </w:p>
        </w:tc>
        <w:tc>
          <w:tcPr>
            <w:tcW w:w="1134" w:type="dxa"/>
            <w:tcBorders>
              <w:top w:val="single" w:sz="4" w:space="0" w:color="auto"/>
              <w:bottom w:val="single" w:sz="4" w:space="0" w:color="auto"/>
            </w:tcBorders>
          </w:tcPr>
          <w:p w14:paraId="56B2C361"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May – November 2021</w:t>
            </w:r>
          </w:p>
        </w:tc>
        <w:tc>
          <w:tcPr>
            <w:tcW w:w="1701" w:type="dxa"/>
            <w:tcBorders>
              <w:top w:val="single" w:sz="4" w:space="0" w:color="auto"/>
              <w:bottom w:val="single" w:sz="4" w:space="0" w:color="auto"/>
            </w:tcBorders>
          </w:tcPr>
          <w:p w14:paraId="22FE4BB0" w14:textId="77777777" w:rsidR="00951BB7" w:rsidRPr="00355385" w:rsidRDefault="00951BB7" w:rsidP="00375B4C">
            <w:pPr>
              <w:tabs>
                <w:tab w:val="left" w:pos="709"/>
                <w:tab w:val="left" w:pos="1418"/>
                <w:tab w:val="left" w:pos="2126"/>
                <w:tab w:val="right" w:pos="9356"/>
              </w:tabs>
              <w:overflowPunct w:val="0"/>
              <w:autoSpaceDE w:val="0"/>
              <w:autoSpaceDN w:val="0"/>
              <w:adjustRightInd w:val="0"/>
              <w:spacing w:before="60" w:after="60"/>
              <w:textAlignment w:val="baseline"/>
              <w:rPr>
                <w:rFonts w:ascii="Calibri" w:eastAsiaTheme="minorEastAsia" w:hAnsi="Calibri" w:cs="Calibri"/>
                <w:sz w:val="16"/>
                <w:szCs w:val="16"/>
                <w:lang w:val="en-US"/>
              </w:rPr>
            </w:pPr>
            <w:r w:rsidRPr="00355385">
              <w:rPr>
                <w:rFonts w:ascii="Calibri" w:eastAsiaTheme="minorEastAsia" w:hAnsi="Calibri" w:cs="Calibri"/>
                <w:sz w:val="16"/>
                <w:szCs w:val="16"/>
                <w:lang w:val="en-US"/>
              </w:rPr>
              <w:t>Findings will inform decisions about the continuation of the program and the approach the Department takes to drive uptake of software titles.</w:t>
            </w:r>
          </w:p>
          <w:p w14:paraId="10AA648D" w14:textId="77777777" w:rsidR="00951BB7" w:rsidRPr="00355385"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73E01EE1"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rPr>
              <w:t>236,053</w:t>
            </w:r>
          </w:p>
        </w:tc>
        <w:tc>
          <w:tcPr>
            <w:tcW w:w="993" w:type="dxa"/>
            <w:tcBorders>
              <w:top w:val="single" w:sz="4" w:space="0" w:color="auto"/>
              <w:bottom w:val="single" w:sz="4" w:space="0" w:color="auto"/>
            </w:tcBorders>
          </w:tcPr>
          <w:p w14:paraId="780D9DA3"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rPr>
              <w:t>–</w:t>
            </w:r>
          </w:p>
        </w:tc>
        <w:tc>
          <w:tcPr>
            <w:tcW w:w="1622" w:type="dxa"/>
            <w:tcBorders>
              <w:top w:val="single" w:sz="4" w:space="0" w:color="auto"/>
              <w:bottom w:val="single" w:sz="4" w:space="0" w:color="auto"/>
            </w:tcBorders>
          </w:tcPr>
          <w:p w14:paraId="3D6578D1"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rPr>
              <w:t>N</w:t>
            </w:r>
          </w:p>
        </w:tc>
      </w:tr>
      <w:tr w:rsidR="00951BB7" w:rsidRPr="00925213" w14:paraId="7CEB4743" w14:textId="77777777" w:rsidTr="00D85AEC">
        <w:trPr>
          <w:cantSplit/>
          <w:trHeight w:val="628"/>
        </w:trPr>
        <w:tc>
          <w:tcPr>
            <w:tcW w:w="1696" w:type="dxa"/>
            <w:tcBorders>
              <w:top w:val="single" w:sz="4" w:space="0" w:color="auto"/>
              <w:bottom w:val="single" w:sz="4" w:space="0" w:color="auto"/>
            </w:tcBorders>
            <w:shd w:val="clear" w:color="auto" w:fill="auto"/>
          </w:tcPr>
          <w:p w14:paraId="2C90A242"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lastRenderedPageBreak/>
              <w:t>Speech Pathology in Schools evaluation</w:t>
            </w:r>
          </w:p>
          <w:p w14:paraId="43AD9438" w14:textId="77777777" w:rsidR="00951BB7" w:rsidRPr="00D85AEC" w:rsidRDefault="00951BB7" w:rsidP="00D85AEC">
            <w:pPr>
              <w:pStyle w:val="ESTablebody"/>
              <w:rPr>
                <w:rFonts w:ascii="Calibri" w:hAnsi="Calibri" w:cs="Calibri"/>
                <w:sz w:val="16"/>
                <w:szCs w:val="16"/>
              </w:rPr>
            </w:pPr>
            <w:r>
              <w:rPr>
                <w:rFonts w:ascii="Calibri" w:hAnsi="Calibri" w:cs="Calibri"/>
                <w:sz w:val="16"/>
                <w:szCs w:val="16"/>
              </w:rPr>
              <w:t>(</w:t>
            </w:r>
            <w:r w:rsidRPr="00D85AEC">
              <w:rPr>
                <w:rFonts w:ascii="Calibri" w:hAnsi="Calibri" w:cs="Calibri"/>
                <w:sz w:val="16"/>
                <w:szCs w:val="16"/>
              </w:rPr>
              <w:t xml:space="preserve">Education portfolio, School Education– </w:t>
            </w:r>
            <w:r>
              <w:rPr>
                <w:rFonts w:ascii="Calibri" w:hAnsi="Calibri" w:cs="Calibri"/>
                <w:sz w:val="16"/>
                <w:szCs w:val="16"/>
              </w:rPr>
              <w:t>Primary)</w:t>
            </w:r>
          </w:p>
        </w:tc>
        <w:tc>
          <w:tcPr>
            <w:tcW w:w="1134" w:type="dxa"/>
            <w:tcBorders>
              <w:top w:val="single" w:sz="4" w:space="0" w:color="auto"/>
              <w:bottom w:val="single" w:sz="4" w:space="0" w:color="auto"/>
            </w:tcBorders>
            <w:shd w:val="clear" w:color="auto" w:fill="auto"/>
          </w:tcPr>
          <w:p w14:paraId="751C04CD"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t xml:space="preserve">Deloitte Access Economics </w:t>
            </w:r>
          </w:p>
        </w:tc>
        <w:tc>
          <w:tcPr>
            <w:tcW w:w="2127" w:type="dxa"/>
            <w:tcBorders>
              <w:top w:val="single" w:sz="4" w:space="0" w:color="auto"/>
              <w:bottom w:val="single" w:sz="4" w:space="0" w:color="auto"/>
            </w:tcBorders>
            <w:shd w:val="clear" w:color="auto" w:fill="auto"/>
          </w:tcPr>
          <w:p w14:paraId="4EF13238"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t>To investigate the implementation to inform ongoing rollout and the impact of the initiative on building longer</w:t>
            </w:r>
            <w:r>
              <w:rPr>
                <w:rFonts w:ascii="Calibri" w:hAnsi="Calibri" w:cs="Calibri"/>
                <w:sz w:val="16"/>
                <w:szCs w:val="16"/>
              </w:rPr>
              <w:t>-</w:t>
            </w:r>
            <w:r w:rsidRPr="00D85AEC">
              <w:rPr>
                <w:rFonts w:ascii="Calibri" w:hAnsi="Calibri" w:cs="Calibri"/>
                <w:sz w:val="16"/>
                <w:szCs w:val="16"/>
              </w:rPr>
              <w:t>term teacher capability.</w:t>
            </w:r>
          </w:p>
        </w:tc>
        <w:tc>
          <w:tcPr>
            <w:tcW w:w="2409" w:type="dxa"/>
            <w:tcBorders>
              <w:top w:val="single" w:sz="4" w:space="0" w:color="auto"/>
              <w:bottom w:val="single" w:sz="4" w:space="0" w:color="auto"/>
            </w:tcBorders>
          </w:tcPr>
          <w:p w14:paraId="16207107"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t>To provide an understanding of the impact of the program on teach</w:t>
            </w:r>
            <w:r>
              <w:rPr>
                <w:rFonts w:ascii="Calibri" w:hAnsi="Calibri" w:cs="Calibri"/>
                <w:sz w:val="16"/>
                <w:szCs w:val="16"/>
              </w:rPr>
              <w:t>er</w:t>
            </w:r>
            <w:r w:rsidRPr="00D85AEC">
              <w:rPr>
                <w:rFonts w:ascii="Calibri" w:hAnsi="Calibri" w:cs="Calibri"/>
                <w:sz w:val="16"/>
                <w:szCs w:val="16"/>
              </w:rPr>
              <w:t xml:space="preserve"> capability including skills, </w:t>
            </w:r>
            <w:proofErr w:type="gramStart"/>
            <w:r w:rsidRPr="00D85AEC">
              <w:rPr>
                <w:rFonts w:ascii="Calibri" w:hAnsi="Calibri" w:cs="Calibri"/>
                <w:sz w:val="16"/>
                <w:szCs w:val="16"/>
              </w:rPr>
              <w:t>confidence</w:t>
            </w:r>
            <w:proofErr w:type="gramEnd"/>
            <w:r w:rsidRPr="00D85AEC">
              <w:rPr>
                <w:rFonts w:ascii="Calibri" w:hAnsi="Calibri" w:cs="Calibri"/>
                <w:sz w:val="16"/>
                <w:szCs w:val="16"/>
              </w:rPr>
              <w:t xml:space="preserve"> and knowledge, as well as the level of improvement in student outcomes. </w:t>
            </w:r>
          </w:p>
        </w:tc>
        <w:tc>
          <w:tcPr>
            <w:tcW w:w="1134" w:type="dxa"/>
            <w:tcBorders>
              <w:top w:val="single" w:sz="4" w:space="0" w:color="auto"/>
              <w:bottom w:val="single" w:sz="4" w:space="0" w:color="auto"/>
            </w:tcBorders>
          </w:tcPr>
          <w:p w14:paraId="759CD57C"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t>July 2019 – March 2022</w:t>
            </w:r>
          </w:p>
        </w:tc>
        <w:tc>
          <w:tcPr>
            <w:tcW w:w="1701" w:type="dxa"/>
            <w:tcBorders>
              <w:top w:val="single" w:sz="4" w:space="0" w:color="auto"/>
              <w:bottom w:val="single" w:sz="4" w:space="0" w:color="auto"/>
            </w:tcBorders>
          </w:tcPr>
          <w:p w14:paraId="1CB6DBE0" w14:textId="77777777" w:rsidR="00951BB7" w:rsidRPr="00D85AEC" w:rsidRDefault="00951BB7" w:rsidP="00D85AEC">
            <w:pPr>
              <w:pStyle w:val="ESTablebody"/>
              <w:rPr>
                <w:rFonts w:ascii="Calibri" w:hAnsi="Calibri" w:cs="Calibri"/>
                <w:sz w:val="16"/>
                <w:szCs w:val="16"/>
              </w:rPr>
            </w:pPr>
            <w:r w:rsidRPr="00D85AEC">
              <w:rPr>
                <w:rFonts w:ascii="Calibri" w:hAnsi="Calibri" w:cs="Calibri"/>
                <w:sz w:val="16"/>
                <w:szCs w:val="16"/>
              </w:rPr>
              <w:t xml:space="preserve">To provide the Department with an evidence base around future funding opportunities including expansion to other areas. </w:t>
            </w:r>
          </w:p>
        </w:tc>
        <w:tc>
          <w:tcPr>
            <w:tcW w:w="1134" w:type="dxa"/>
            <w:tcBorders>
              <w:top w:val="single" w:sz="4" w:space="0" w:color="auto"/>
              <w:bottom w:val="single" w:sz="4" w:space="0" w:color="auto"/>
            </w:tcBorders>
          </w:tcPr>
          <w:p w14:paraId="2E1DF485" w14:textId="77777777" w:rsidR="00951BB7" w:rsidRPr="00D85AEC" w:rsidRDefault="00951BB7" w:rsidP="00D85AEC">
            <w:pPr>
              <w:pStyle w:val="ESTablebody"/>
              <w:jc w:val="right"/>
              <w:rPr>
                <w:rFonts w:ascii="Calibri" w:hAnsi="Calibri" w:cs="Calibri"/>
                <w:sz w:val="16"/>
                <w:szCs w:val="16"/>
              </w:rPr>
            </w:pPr>
            <w:r w:rsidRPr="00D85AEC">
              <w:rPr>
                <w:rFonts w:ascii="Calibri" w:hAnsi="Calibri" w:cs="Calibri"/>
                <w:sz w:val="16"/>
                <w:szCs w:val="16"/>
              </w:rPr>
              <w:t>475,155</w:t>
            </w:r>
          </w:p>
        </w:tc>
        <w:tc>
          <w:tcPr>
            <w:tcW w:w="993" w:type="dxa"/>
            <w:tcBorders>
              <w:top w:val="single" w:sz="4" w:space="0" w:color="auto"/>
              <w:bottom w:val="single" w:sz="4" w:space="0" w:color="auto"/>
            </w:tcBorders>
          </w:tcPr>
          <w:p w14:paraId="4E3A6B7B" w14:textId="77777777" w:rsidR="00951BB7" w:rsidRPr="00D85AEC" w:rsidRDefault="00951BB7" w:rsidP="00D85AE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323A2D5E" w14:textId="77777777" w:rsidR="00951BB7" w:rsidRPr="00D85AEC" w:rsidRDefault="00951BB7" w:rsidP="00D85AE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747722FD" w14:textId="77777777" w:rsidTr="00383663">
        <w:trPr>
          <w:cantSplit/>
          <w:trHeight w:val="628"/>
        </w:trPr>
        <w:tc>
          <w:tcPr>
            <w:tcW w:w="1696" w:type="dxa"/>
            <w:tcBorders>
              <w:top w:val="single" w:sz="4" w:space="0" w:color="auto"/>
              <w:bottom w:val="single" w:sz="4" w:space="0" w:color="auto"/>
            </w:tcBorders>
            <w:shd w:val="clear" w:color="auto" w:fill="auto"/>
          </w:tcPr>
          <w:p w14:paraId="6919C68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Teacher Recruitment Campaign</w:t>
            </w:r>
            <w:r>
              <w:rPr>
                <w:rFonts w:ascii="Calibri" w:hAnsi="Calibri" w:cs="Calibri"/>
                <w:sz w:val="16"/>
                <w:szCs w:val="16"/>
              </w:rPr>
              <w:t xml:space="preserve">: </w:t>
            </w:r>
            <w:r w:rsidRPr="00925213">
              <w:rPr>
                <w:rFonts w:ascii="Calibri" w:hAnsi="Calibri" w:cs="Calibri"/>
                <w:sz w:val="16"/>
                <w:szCs w:val="16"/>
              </w:rPr>
              <w:t>Teach the Future</w:t>
            </w:r>
          </w:p>
          <w:p w14:paraId="1CE3211C"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 xml:space="preserve">(Education portfolio, </w:t>
            </w:r>
            <w:r w:rsidRPr="005A04C2">
              <w:rPr>
                <w:rFonts w:ascii="Calibri" w:hAnsi="Calibri" w:cs="Calibri"/>
                <w:sz w:val="16"/>
                <w:szCs w:val="16"/>
              </w:rPr>
              <w:t>School Education–Primary</w:t>
            </w:r>
            <w:r>
              <w:rPr>
                <w:rFonts w:ascii="Calibri" w:hAnsi="Calibri" w:cs="Calibri"/>
                <w:sz w:val="16"/>
                <w:szCs w:val="16"/>
              </w:rPr>
              <w:t xml:space="preserve">, </w:t>
            </w:r>
            <w:r w:rsidRPr="005A04C2">
              <w:rPr>
                <w:rFonts w:ascii="Calibri" w:hAnsi="Calibri" w:cs="Calibri"/>
                <w:sz w:val="16"/>
                <w:szCs w:val="16"/>
              </w:rPr>
              <w:t>School Education</w:t>
            </w:r>
            <w:r>
              <w:rPr>
                <w:rFonts w:ascii="Calibri" w:hAnsi="Calibri" w:cs="Calibri"/>
                <w:sz w:val="16"/>
                <w:szCs w:val="16"/>
              </w:rPr>
              <w:t>–</w:t>
            </w:r>
            <w:r w:rsidRPr="005A04C2">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5079FBBF"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The </w:t>
            </w:r>
            <w:proofErr w:type="spellStart"/>
            <w:r w:rsidRPr="00925213">
              <w:rPr>
                <w:rFonts w:ascii="Calibri" w:hAnsi="Calibri" w:cs="Calibri"/>
                <w:sz w:val="16"/>
                <w:szCs w:val="16"/>
              </w:rPr>
              <w:t>Behavioural</w:t>
            </w:r>
            <w:proofErr w:type="spellEnd"/>
            <w:r w:rsidRPr="00925213">
              <w:rPr>
                <w:rFonts w:ascii="Calibri" w:hAnsi="Calibri" w:cs="Calibri"/>
                <w:sz w:val="16"/>
                <w:szCs w:val="16"/>
              </w:rPr>
              <w:t xml:space="preserve"> Architects</w:t>
            </w:r>
          </w:p>
        </w:tc>
        <w:tc>
          <w:tcPr>
            <w:tcW w:w="2127" w:type="dxa"/>
            <w:tcBorders>
              <w:top w:val="single" w:sz="4" w:space="0" w:color="auto"/>
              <w:bottom w:val="single" w:sz="4" w:space="0" w:color="auto"/>
            </w:tcBorders>
            <w:shd w:val="clear" w:color="auto" w:fill="auto"/>
          </w:tcPr>
          <w:p w14:paraId="72BBC0A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inform the development of creative and future campaign direction. </w:t>
            </w:r>
            <w:r>
              <w:rPr>
                <w:rFonts w:ascii="Calibri" w:hAnsi="Calibri" w:cs="Calibri"/>
                <w:sz w:val="16"/>
                <w:szCs w:val="16"/>
              </w:rPr>
              <w:t xml:space="preserve"> </w:t>
            </w:r>
          </w:p>
          <w:p w14:paraId="27DAA095"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measure </w:t>
            </w:r>
            <w:proofErr w:type="spellStart"/>
            <w:r w:rsidRPr="00355385">
              <w:rPr>
                <w:rFonts w:ascii="Calibri" w:hAnsi="Calibri" w:cs="Calibri"/>
                <w:sz w:val="16"/>
                <w:szCs w:val="16"/>
              </w:rPr>
              <w:t>behavioural</w:t>
            </w:r>
            <w:proofErr w:type="spellEnd"/>
            <w:r w:rsidRPr="00925213">
              <w:rPr>
                <w:rFonts w:ascii="Calibri" w:hAnsi="Calibri" w:cs="Calibri"/>
                <w:sz w:val="16"/>
                <w:szCs w:val="16"/>
              </w:rPr>
              <w:t xml:space="preserve"> and attitudinal impacts of the campaign. </w:t>
            </w:r>
          </w:p>
        </w:tc>
        <w:tc>
          <w:tcPr>
            <w:tcW w:w="2409" w:type="dxa"/>
            <w:tcBorders>
              <w:top w:val="single" w:sz="4" w:space="0" w:color="auto"/>
              <w:bottom w:val="single" w:sz="4" w:space="0" w:color="auto"/>
            </w:tcBorders>
          </w:tcPr>
          <w:p w14:paraId="094F4CC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To develop campaign creative and track campaign impact.  </w:t>
            </w:r>
          </w:p>
        </w:tc>
        <w:tc>
          <w:tcPr>
            <w:tcW w:w="1134" w:type="dxa"/>
            <w:tcBorders>
              <w:top w:val="single" w:sz="4" w:space="0" w:color="auto"/>
              <w:bottom w:val="single" w:sz="4" w:space="0" w:color="auto"/>
            </w:tcBorders>
          </w:tcPr>
          <w:p w14:paraId="4240F6D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October 2020 – June 2021</w:t>
            </w:r>
            <w:r>
              <w:rPr>
                <w:rFonts w:ascii="Calibri" w:hAnsi="Calibri" w:cs="Calibri"/>
                <w:sz w:val="16"/>
                <w:szCs w:val="16"/>
              </w:rPr>
              <w:t xml:space="preserve"> </w:t>
            </w:r>
          </w:p>
        </w:tc>
        <w:tc>
          <w:tcPr>
            <w:tcW w:w="1701" w:type="dxa"/>
            <w:tcBorders>
              <w:top w:val="single" w:sz="4" w:space="0" w:color="auto"/>
              <w:bottom w:val="single" w:sz="4" w:space="0" w:color="auto"/>
            </w:tcBorders>
          </w:tcPr>
          <w:p w14:paraId="514A3E5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To inform future campaign messages and creative, media buying</w:t>
            </w:r>
            <w:r>
              <w:rPr>
                <w:rFonts w:ascii="Calibri" w:hAnsi="Calibri" w:cs="Calibri"/>
                <w:sz w:val="16"/>
                <w:szCs w:val="16"/>
              </w:rPr>
              <w:t xml:space="preserve">, </w:t>
            </w:r>
            <w:r w:rsidRPr="00925213">
              <w:rPr>
                <w:rFonts w:ascii="Calibri" w:hAnsi="Calibri" w:cs="Calibri"/>
                <w:sz w:val="16"/>
                <w:szCs w:val="16"/>
              </w:rPr>
              <w:t>and communication activities.</w:t>
            </w:r>
            <w:r>
              <w:rPr>
                <w:rFonts w:ascii="Calibri" w:hAnsi="Calibri" w:cs="Calibri"/>
                <w:sz w:val="16"/>
                <w:szCs w:val="16"/>
              </w:rPr>
              <w:t xml:space="preserve"> </w:t>
            </w:r>
          </w:p>
        </w:tc>
        <w:tc>
          <w:tcPr>
            <w:tcW w:w="1134" w:type="dxa"/>
            <w:tcBorders>
              <w:top w:val="single" w:sz="4" w:space="0" w:color="auto"/>
              <w:bottom w:val="single" w:sz="4" w:space="0" w:color="auto"/>
            </w:tcBorders>
          </w:tcPr>
          <w:p w14:paraId="28467E3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 xml:space="preserve">108,685 </w:t>
            </w:r>
          </w:p>
        </w:tc>
        <w:tc>
          <w:tcPr>
            <w:tcW w:w="993" w:type="dxa"/>
            <w:tcBorders>
              <w:top w:val="single" w:sz="4" w:space="0" w:color="auto"/>
              <w:bottom w:val="single" w:sz="4" w:space="0" w:color="auto"/>
            </w:tcBorders>
          </w:tcPr>
          <w:p w14:paraId="3364484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 xml:space="preserve">108,685 </w:t>
            </w:r>
          </w:p>
        </w:tc>
        <w:tc>
          <w:tcPr>
            <w:tcW w:w="1622" w:type="dxa"/>
            <w:tcBorders>
              <w:top w:val="single" w:sz="4" w:space="0" w:color="auto"/>
              <w:bottom w:val="single" w:sz="4" w:space="0" w:color="auto"/>
            </w:tcBorders>
          </w:tcPr>
          <w:p w14:paraId="2935151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11916AF3" w14:textId="77777777" w:rsidTr="00383663">
        <w:trPr>
          <w:cantSplit/>
          <w:trHeight w:val="628"/>
        </w:trPr>
        <w:tc>
          <w:tcPr>
            <w:tcW w:w="1696" w:type="dxa"/>
            <w:tcBorders>
              <w:top w:val="single" w:sz="4" w:space="0" w:color="auto"/>
              <w:bottom w:val="single" w:sz="4" w:space="0" w:color="auto"/>
            </w:tcBorders>
            <w:shd w:val="clear" w:color="auto" w:fill="auto"/>
          </w:tcPr>
          <w:p w14:paraId="19864BFC"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 xml:space="preserve">Tech </w:t>
            </w:r>
            <w:r>
              <w:rPr>
                <w:rFonts w:ascii="Calibri" w:hAnsi="Calibri" w:cs="Calibri"/>
                <w:sz w:val="16"/>
                <w:szCs w:val="16"/>
              </w:rPr>
              <w:t>S</w:t>
            </w:r>
            <w:r w:rsidRPr="006645B0">
              <w:rPr>
                <w:rFonts w:ascii="Calibri" w:hAnsi="Calibri" w:cs="Calibri"/>
                <w:sz w:val="16"/>
                <w:szCs w:val="16"/>
              </w:rPr>
              <w:t>chools evaluation</w:t>
            </w:r>
          </w:p>
          <w:p w14:paraId="501DB0A1" w14:textId="77777777" w:rsidR="00951BB7" w:rsidRPr="006645B0" w:rsidRDefault="00951BB7" w:rsidP="00375B4C">
            <w:pPr>
              <w:pStyle w:val="ESTablebody"/>
              <w:rPr>
                <w:rFonts w:ascii="Calibri" w:hAnsi="Calibri" w:cs="Calibri"/>
                <w:sz w:val="16"/>
                <w:szCs w:val="16"/>
              </w:rPr>
            </w:pPr>
            <w:r>
              <w:rPr>
                <w:rFonts w:ascii="Calibri" w:hAnsi="Calibri" w:cs="Calibri"/>
                <w:sz w:val="16"/>
                <w:szCs w:val="16"/>
              </w:rPr>
              <w:t>(</w:t>
            </w:r>
            <w:r w:rsidRPr="006645B0">
              <w:rPr>
                <w:rFonts w:ascii="Calibri" w:hAnsi="Calibri" w:cs="Calibri"/>
                <w:sz w:val="16"/>
                <w:szCs w:val="16"/>
              </w:rPr>
              <w:t>Education portfolio, School Education–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E0DDF2A"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Deakin University</w:t>
            </w:r>
          </w:p>
        </w:tc>
        <w:tc>
          <w:tcPr>
            <w:tcW w:w="2127" w:type="dxa"/>
            <w:tcBorders>
              <w:top w:val="single" w:sz="4" w:space="0" w:color="auto"/>
              <w:bottom w:val="single" w:sz="4" w:space="0" w:color="auto"/>
            </w:tcBorders>
            <w:shd w:val="clear" w:color="auto" w:fill="auto"/>
          </w:tcPr>
          <w:p w14:paraId="15371D76" w14:textId="77777777" w:rsidR="00951BB7" w:rsidRPr="00355385" w:rsidRDefault="00951BB7" w:rsidP="00375B4C">
            <w:pPr>
              <w:pStyle w:val="ESTablebody"/>
              <w:rPr>
                <w:rFonts w:ascii="Calibri" w:hAnsi="Calibri" w:cs="Calibri"/>
                <w:sz w:val="16"/>
                <w:szCs w:val="16"/>
              </w:rPr>
            </w:pPr>
            <w:r w:rsidRPr="006645B0">
              <w:rPr>
                <w:rFonts w:ascii="Calibri" w:hAnsi="Calibri" w:cs="Calibri"/>
                <w:sz w:val="16"/>
                <w:szCs w:val="16"/>
              </w:rPr>
              <w:t xml:space="preserve">To evaluate and inform the ongoing operations and strategic development of the </w:t>
            </w:r>
            <w:r>
              <w:rPr>
                <w:rFonts w:ascii="Calibri" w:hAnsi="Calibri" w:cs="Calibri"/>
                <w:sz w:val="16"/>
                <w:szCs w:val="16"/>
              </w:rPr>
              <w:t>T</w:t>
            </w:r>
            <w:r w:rsidRPr="006645B0">
              <w:rPr>
                <w:rFonts w:ascii="Calibri" w:hAnsi="Calibri" w:cs="Calibri"/>
                <w:sz w:val="16"/>
                <w:szCs w:val="16"/>
              </w:rPr>
              <w:t xml:space="preserve">ech </w:t>
            </w:r>
            <w:r>
              <w:rPr>
                <w:rFonts w:ascii="Calibri" w:hAnsi="Calibri" w:cs="Calibri"/>
                <w:sz w:val="16"/>
                <w:szCs w:val="16"/>
              </w:rPr>
              <w:t>S</w:t>
            </w:r>
            <w:r w:rsidRPr="006645B0">
              <w:rPr>
                <w:rFonts w:ascii="Calibri" w:hAnsi="Calibri" w:cs="Calibri"/>
                <w:sz w:val="16"/>
                <w:szCs w:val="16"/>
              </w:rPr>
              <w:t>chool initiative.</w:t>
            </w:r>
          </w:p>
        </w:tc>
        <w:tc>
          <w:tcPr>
            <w:tcW w:w="2409" w:type="dxa"/>
            <w:tcBorders>
              <w:top w:val="single" w:sz="4" w:space="0" w:color="auto"/>
              <w:bottom w:val="single" w:sz="4" w:space="0" w:color="auto"/>
            </w:tcBorders>
          </w:tcPr>
          <w:p w14:paraId="7E71EB1D"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 xml:space="preserve">To provide an evaluation that monitors outcomes and processes and clarifies the development of individual Tech </w:t>
            </w:r>
            <w:r>
              <w:rPr>
                <w:rFonts w:ascii="Calibri" w:hAnsi="Calibri" w:cs="Calibri"/>
                <w:sz w:val="16"/>
                <w:szCs w:val="16"/>
              </w:rPr>
              <w:t>S</w:t>
            </w:r>
            <w:r w:rsidRPr="006645B0">
              <w:rPr>
                <w:rFonts w:ascii="Calibri" w:hAnsi="Calibri" w:cs="Calibri"/>
                <w:sz w:val="16"/>
                <w:szCs w:val="16"/>
              </w:rPr>
              <w:t xml:space="preserve">chools influence </w:t>
            </w:r>
            <w:r>
              <w:rPr>
                <w:rFonts w:ascii="Calibri" w:hAnsi="Calibri" w:cs="Calibri"/>
                <w:sz w:val="16"/>
                <w:szCs w:val="16"/>
              </w:rPr>
              <w:t>on</w:t>
            </w:r>
            <w:r w:rsidRPr="006645B0">
              <w:rPr>
                <w:rFonts w:ascii="Calibri" w:hAnsi="Calibri" w:cs="Calibri"/>
                <w:sz w:val="16"/>
                <w:szCs w:val="16"/>
              </w:rPr>
              <w:t xml:space="preserve"> the local community and industry. The evaluation will draw on publish</w:t>
            </w:r>
            <w:r>
              <w:rPr>
                <w:rFonts w:ascii="Calibri" w:hAnsi="Calibri" w:cs="Calibri"/>
                <w:sz w:val="16"/>
                <w:szCs w:val="16"/>
              </w:rPr>
              <w:t>ed</w:t>
            </w:r>
            <w:r w:rsidRPr="006645B0">
              <w:rPr>
                <w:rFonts w:ascii="Calibri" w:hAnsi="Calibri" w:cs="Calibri"/>
                <w:sz w:val="16"/>
                <w:szCs w:val="16"/>
              </w:rPr>
              <w:t xml:space="preserve"> research findings through a range of academic and professional forums.</w:t>
            </w:r>
          </w:p>
        </w:tc>
        <w:tc>
          <w:tcPr>
            <w:tcW w:w="1134" w:type="dxa"/>
            <w:tcBorders>
              <w:top w:val="single" w:sz="4" w:space="0" w:color="auto"/>
              <w:bottom w:val="single" w:sz="4" w:space="0" w:color="auto"/>
            </w:tcBorders>
          </w:tcPr>
          <w:p w14:paraId="7355C107"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June 2019 – June 2022</w:t>
            </w:r>
          </w:p>
        </w:tc>
        <w:tc>
          <w:tcPr>
            <w:tcW w:w="1701" w:type="dxa"/>
            <w:tcBorders>
              <w:top w:val="single" w:sz="4" w:space="0" w:color="auto"/>
              <w:bottom w:val="single" w:sz="4" w:space="0" w:color="auto"/>
            </w:tcBorders>
          </w:tcPr>
          <w:p w14:paraId="3BDB0F5F"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identify the extent </w:t>
            </w:r>
            <w:r>
              <w:rPr>
                <w:rFonts w:ascii="Calibri" w:hAnsi="Calibri" w:cs="Calibri"/>
                <w:sz w:val="16"/>
                <w:szCs w:val="16"/>
              </w:rPr>
              <w:t>to which T</w:t>
            </w:r>
            <w:r w:rsidRPr="00946824">
              <w:rPr>
                <w:rFonts w:ascii="Calibri" w:hAnsi="Calibri" w:cs="Calibri"/>
                <w:sz w:val="16"/>
                <w:szCs w:val="16"/>
              </w:rPr>
              <w:t xml:space="preserve">ech </w:t>
            </w:r>
            <w:r>
              <w:rPr>
                <w:rFonts w:ascii="Calibri" w:hAnsi="Calibri" w:cs="Calibri"/>
                <w:sz w:val="16"/>
                <w:szCs w:val="16"/>
              </w:rPr>
              <w:t>S</w:t>
            </w:r>
            <w:r w:rsidRPr="00946824">
              <w:rPr>
                <w:rFonts w:ascii="Calibri" w:hAnsi="Calibri" w:cs="Calibri"/>
                <w:sz w:val="16"/>
                <w:szCs w:val="16"/>
              </w:rPr>
              <w:t>chools achieve their intended outcomes, including the observed enablers and barriers.</w:t>
            </w:r>
          </w:p>
        </w:tc>
        <w:tc>
          <w:tcPr>
            <w:tcW w:w="1134" w:type="dxa"/>
            <w:tcBorders>
              <w:top w:val="single" w:sz="4" w:space="0" w:color="auto"/>
              <w:bottom w:val="single" w:sz="4" w:space="0" w:color="auto"/>
            </w:tcBorders>
          </w:tcPr>
          <w:p w14:paraId="5DE983A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573,511</w:t>
            </w:r>
          </w:p>
        </w:tc>
        <w:tc>
          <w:tcPr>
            <w:tcW w:w="993" w:type="dxa"/>
            <w:tcBorders>
              <w:top w:val="single" w:sz="4" w:space="0" w:color="auto"/>
              <w:bottom w:val="single" w:sz="4" w:space="0" w:color="auto"/>
            </w:tcBorders>
          </w:tcPr>
          <w:p w14:paraId="626C9D32"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tcPr>
          <w:p w14:paraId="7BD766D8"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576B798B" w14:textId="77777777" w:rsidTr="00383663">
        <w:trPr>
          <w:cantSplit/>
          <w:trHeight w:val="628"/>
        </w:trPr>
        <w:tc>
          <w:tcPr>
            <w:tcW w:w="1696" w:type="dxa"/>
            <w:tcBorders>
              <w:top w:val="single" w:sz="4" w:space="0" w:color="auto"/>
              <w:bottom w:val="single" w:sz="4" w:space="0" w:color="auto"/>
            </w:tcBorders>
            <w:shd w:val="clear" w:color="auto" w:fill="auto"/>
          </w:tcPr>
          <w:p w14:paraId="12C0B722" w14:textId="77777777" w:rsidR="00951BB7" w:rsidRPr="00FD77E0" w:rsidRDefault="00951BB7" w:rsidP="00375B4C">
            <w:pPr>
              <w:pStyle w:val="ESTablebody"/>
              <w:rPr>
                <w:rFonts w:ascii="Calibri" w:hAnsi="Calibri" w:cs="Calibri"/>
                <w:sz w:val="16"/>
                <w:szCs w:val="16"/>
              </w:rPr>
            </w:pPr>
            <w:r w:rsidRPr="00FD77E0">
              <w:rPr>
                <w:rFonts w:ascii="Calibri" w:hAnsi="Calibri" w:cs="Calibri"/>
                <w:sz w:val="16"/>
                <w:szCs w:val="16"/>
              </w:rPr>
              <w:t xml:space="preserve">Tech </w:t>
            </w:r>
            <w:r>
              <w:rPr>
                <w:rFonts w:ascii="Calibri" w:hAnsi="Calibri" w:cs="Calibri"/>
                <w:sz w:val="16"/>
                <w:szCs w:val="16"/>
              </w:rPr>
              <w:t>S</w:t>
            </w:r>
            <w:r w:rsidRPr="00FD77E0">
              <w:rPr>
                <w:rFonts w:ascii="Calibri" w:hAnsi="Calibri" w:cs="Calibri"/>
                <w:sz w:val="16"/>
                <w:szCs w:val="16"/>
              </w:rPr>
              <w:t>chools operating funding model review</w:t>
            </w:r>
          </w:p>
          <w:p w14:paraId="063E5870" w14:textId="77777777" w:rsidR="00951BB7" w:rsidRPr="00355385" w:rsidRDefault="00951BB7" w:rsidP="00375B4C">
            <w:pPr>
              <w:pStyle w:val="ESTablebody"/>
              <w:rPr>
                <w:rFonts w:ascii="Calibri" w:hAnsi="Calibri" w:cs="Calibri"/>
                <w:sz w:val="16"/>
                <w:szCs w:val="16"/>
              </w:rPr>
            </w:pPr>
            <w:r>
              <w:rPr>
                <w:rFonts w:ascii="Calibri" w:hAnsi="Calibri" w:cs="Calibri"/>
                <w:sz w:val="16"/>
                <w:szCs w:val="16"/>
              </w:rPr>
              <w:t>(</w:t>
            </w:r>
            <w:r w:rsidRPr="006645B0">
              <w:rPr>
                <w:rFonts w:ascii="Calibri" w:hAnsi="Calibri" w:cs="Calibri"/>
                <w:sz w:val="16"/>
                <w:szCs w:val="16"/>
              </w:rPr>
              <w:t>Education portfolio, School Education</w:t>
            </w:r>
            <w:r>
              <w:rPr>
                <w:rFonts w:ascii="Calibri" w:hAnsi="Calibri" w:cs="Calibri"/>
                <w:sz w:val="16"/>
                <w:szCs w:val="16"/>
              </w:rPr>
              <w:t>—</w:t>
            </w:r>
            <w:r w:rsidRPr="006645B0">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20D3864C"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KPMG</w:t>
            </w:r>
          </w:p>
        </w:tc>
        <w:tc>
          <w:tcPr>
            <w:tcW w:w="2127" w:type="dxa"/>
            <w:tcBorders>
              <w:top w:val="single" w:sz="4" w:space="0" w:color="auto"/>
              <w:bottom w:val="single" w:sz="4" w:space="0" w:color="auto"/>
            </w:tcBorders>
            <w:shd w:val="clear" w:color="auto" w:fill="auto"/>
          </w:tcPr>
          <w:p w14:paraId="6DD3E1A1"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 xml:space="preserve">To </w:t>
            </w:r>
            <w:r>
              <w:rPr>
                <w:rFonts w:ascii="Calibri" w:hAnsi="Calibri" w:cs="Calibri"/>
                <w:sz w:val="16"/>
                <w:szCs w:val="16"/>
              </w:rPr>
              <w:t xml:space="preserve">review </w:t>
            </w:r>
            <w:r w:rsidRPr="00946824">
              <w:rPr>
                <w:rFonts w:ascii="Calibri" w:hAnsi="Calibri" w:cs="Calibri"/>
                <w:sz w:val="16"/>
                <w:szCs w:val="16"/>
              </w:rPr>
              <w:t xml:space="preserve">the funding model </w:t>
            </w:r>
            <w:r>
              <w:rPr>
                <w:rFonts w:ascii="Calibri" w:hAnsi="Calibri" w:cs="Calibri"/>
                <w:sz w:val="16"/>
                <w:szCs w:val="16"/>
              </w:rPr>
              <w:t xml:space="preserve">for Tech Schools to </w:t>
            </w:r>
            <w:r w:rsidRPr="00946824">
              <w:rPr>
                <w:rFonts w:ascii="Calibri" w:hAnsi="Calibri" w:cs="Calibri"/>
                <w:sz w:val="16"/>
                <w:szCs w:val="16"/>
              </w:rPr>
              <w:t xml:space="preserve">support </w:t>
            </w:r>
            <w:r>
              <w:rPr>
                <w:rFonts w:ascii="Calibri" w:hAnsi="Calibri" w:cs="Calibri"/>
                <w:sz w:val="16"/>
                <w:szCs w:val="16"/>
              </w:rPr>
              <w:t>high-quality STEM learning for secondary students</w:t>
            </w:r>
            <w:r w:rsidRPr="00946824">
              <w:rPr>
                <w:rFonts w:ascii="Calibri" w:hAnsi="Calibri" w:cs="Calibri"/>
                <w:sz w:val="16"/>
                <w:szCs w:val="16"/>
              </w:rPr>
              <w:t>.</w:t>
            </w:r>
          </w:p>
        </w:tc>
        <w:tc>
          <w:tcPr>
            <w:tcW w:w="2409" w:type="dxa"/>
            <w:tcBorders>
              <w:top w:val="single" w:sz="4" w:space="0" w:color="auto"/>
              <w:bottom w:val="single" w:sz="4" w:space="0" w:color="auto"/>
            </w:tcBorders>
          </w:tcPr>
          <w:p w14:paraId="7483DD63" w14:textId="77777777" w:rsidR="00951BB7" w:rsidRPr="00946824" w:rsidRDefault="00951BB7" w:rsidP="00894417">
            <w:pPr>
              <w:pStyle w:val="ESTablebody"/>
              <w:rPr>
                <w:rFonts w:ascii="Calibri" w:hAnsi="Calibri" w:cs="Calibri"/>
                <w:sz w:val="16"/>
                <w:szCs w:val="16"/>
              </w:rPr>
            </w:pPr>
            <w:r w:rsidRPr="00946824">
              <w:rPr>
                <w:rFonts w:ascii="Calibri" w:hAnsi="Calibri" w:cs="Calibri"/>
                <w:sz w:val="16"/>
                <w:szCs w:val="16"/>
              </w:rPr>
              <w:t xml:space="preserve">To review and consider whether existing assumptions hold true. This involves developing a base and variable funding model. </w:t>
            </w:r>
          </w:p>
          <w:p w14:paraId="01D12192" w14:textId="77777777" w:rsidR="00951BB7" w:rsidRPr="00946824" w:rsidRDefault="00951BB7" w:rsidP="00894417">
            <w:pPr>
              <w:pStyle w:val="ESTablebody"/>
              <w:rPr>
                <w:rFonts w:ascii="Calibri" w:hAnsi="Calibri" w:cs="Calibri"/>
                <w:sz w:val="16"/>
                <w:szCs w:val="16"/>
              </w:rPr>
            </w:pPr>
          </w:p>
        </w:tc>
        <w:tc>
          <w:tcPr>
            <w:tcW w:w="1134" w:type="dxa"/>
            <w:tcBorders>
              <w:top w:val="single" w:sz="4" w:space="0" w:color="auto"/>
              <w:bottom w:val="single" w:sz="4" w:space="0" w:color="auto"/>
            </w:tcBorders>
          </w:tcPr>
          <w:p w14:paraId="4F01823B"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January – July 2021</w:t>
            </w:r>
          </w:p>
        </w:tc>
        <w:tc>
          <w:tcPr>
            <w:tcW w:w="1701" w:type="dxa"/>
            <w:tcBorders>
              <w:top w:val="single" w:sz="4" w:space="0" w:color="auto"/>
              <w:bottom w:val="single" w:sz="4" w:space="0" w:color="auto"/>
            </w:tcBorders>
          </w:tcPr>
          <w:p w14:paraId="07EDE103"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A report with recommended changes to the future funding model and alternative funding models.</w:t>
            </w:r>
          </w:p>
        </w:tc>
        <w:tc>
          <w:tcPr>
            <w:tcW w:w="1134" w:type="dxa"/>
            <w:tcBorders>
              <w:top w:val="single" w:sz="4" w:space="0" w:color="auto"/>
              <w:bottom w:val="single" w:sz="4" w:space="0" w:color="auto"/>
            </w:tcBorders>
          </w:tcPr>
          <w:p w14:paraId="4BDDF6D2"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134,701</w:t>
            </w:r>
          </w:p>
        </w:tc>
        <w:tc>
          <w:tcPr>
            <w:tcW w:w="993" w:type="dxa"/>
            <w:tcBorders>
              <w:top w:val="single" w:sz="4" w:space="0" w:color="auto"/>
              <w:bottom w:val="single" w:sz="4" w:space="0" w:color="auto"/>
            </w:tcBorders>
          </w:tcPr>
          <w:p w14:paraId="1D52C21D"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tcPr>
          <w:p w14:paraId="0AED94A0"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5DC59F6C" w14:textId="77777777" w:rsidTr="00383663">
        <w:trPr>
          <w:cantSplit/>
          <w:trHeight w:val="628"/>
        </w:trPr>
        <w:tc>
          <w:tcPr>
            <w:tcW w:w="1696" w:type="dxa"/>
            <w:tcBorders>
              <w:top w:val="single" w:sz="4" w:space="0" w:color="auto"/>
              <w:bottom w:val="single" w:sz="4" w:space="0" w:color="auto"/>
            </w:tcBorders>
            <w:shd w:val="clear" w:color="auto" w:fill="auto"/>
          </w:tcPr>
          <w:p w14:paraId="5122A4E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The experience of remote and flexible learning in Victoria</w:t>
            </w:r>
          </w:p>
          <w:p w14:paraId="391D4933"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Education–Primary, School Education–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38DF91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Learning First</w:t>
            </w:r>
          </w:p>
        </w:tc>
        <w:tc>
          <w:tcPr>
            <w:tcW w:w="2127" w:type="dxa"/>
            <w:tcBorders>
              <w:top w:val="single" w:sz="4" w:space="0" w:color="auto"/>
              <w:bottom w:val="single" w:sz="4" w:space="0" w:color="auto"/>
            </w:tcBorders>
            <w:shd w:val="clear" w:color="auto" w:fill="auto"/>
          </w:tcPr>
          <w:p w14:paraId="689A3089"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w:t>
            </w:r>
            <w:r w:rsidRPr="00925213">
              <w:rPr>
                <w:rFonts w:ascii="Calibri" w:hAnsi="Calibri" w:cs="Calibri"/>
                <w:sz w:val="16"/>
                <w:szCs w:val="16"/>
              </w:rPr>
              <w:t xml:space="preserve">understand the experiences of students, </w:t>
            </w:r>
            <w:proofErr w:type="gramStart"/>
            <w:r w:rsidRPr="00925213">
              <w:rPr>
                <w:rFonts w:ascii="Calibri" w:hAnsi="Calibri" w:cs="Calibri"/>
                <w:sz w:val="16"/>
                <w:szCs w:val="16"/>
              </w:rPr>
              <w:t>families</w:t>
            </w:r>
            <w:proofErr w:type="gramEnd"/>
            <w:r w:rsidRPr="00925213">
              <w:rPr>
                <w:rFonts w:ascii="Calibri" w:hAnsi="Calibri" w:cs="Calibri"/>
                <w:sz w:val="16"/>
                <w:szCs w:val="16"/>
              </w:rPr>
              <w:t xml:space="preserve"> and school staff during the period of remote learning from 16 March to 9 June 2020.</w:t>
            </w:r>
          </w:p>
        </w:tc>
        <w:tc>
          <w:tcPr>
            <w:tcW w:w="2409" w:type="dxa"/>
            <w:tcBorders>
              <w:top w:val="single" w:sz="4" w:space="0" w:color="auto"/>
              <w:bottom w:val="single" w:sz="4" w:space="0" w:color="auto"/>
            </w:tcBorders>
          </w:tcPr>
          <w:p w14:paraId="7E44ECA7"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present findings from surveys, focus groups and interviews conducted with school communities to understand their experience of the remote learning period, which ended for all students on 9 June 2020.</w:t>
            </w:r>
          </w:p>
        </w:tc>
        <w:tc>
          <w:tcPr>
            <w:tcW w:w="1134" w:type="dxa"/>
            <w:tcBorders>
              <w:top w:val="single" w:sz="4" w:space="0" w:color="auto"/>
              <w:bottom w:val="single" w:sz="4" w:space="0" w:color="auto"/>
            </w:tcBorders>
          </w:tcPr>
          <w:p w14:paraId="3537D0A8"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 –</w:t>
            </w:r>
            <w:r>
              <w:rPr>
                <w:rFonts w:ascii="Calibri" w:hAnsi="Calibri" w:cs="Calibri"/>
                <w:sz w:val="16"/>
                <w:szCs w:val="16"/>
              </w:rPr>
              <w:t xml:space="preserve"> </w:t>
            </w:r>
            <w:r w:rsidRPr="00925213">
              <w:rPr>
                <w:rFonts w:ascii="Calibri" w:hAnsi="Calibri" w:cs="Calibri"/>
                <w:sz w:val="16"/>
                <w:szCs w:val="16"/>
              </w:rPr>
              <w:t>July 2020</w:t>
            </w:r>
          </w:p>
        </w:tc>
        <w:tc>
          <w:tcPr>
            <w:tcW w:w="1701" w:type="dxa"/>
            <w:tcBorders>
              <w:top w:val="single" w:sz="4" w:space="0" w:color="auto"/>
              <w:bottom w:val="single" w:sz="4" w:space="0" w:color="auto"/>
            </w:tcBorders>
          </w:tcPr>
          <w:p w14:paraId="394C9EF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To provide independent analysis of data, survey findings and focus group responses to provide insights into experiences of, and lesson learned from, the period of remote learning in Victoria from March to June 2020.</w:t>
            </w:r>
          </w:p>
        </w:tc>
        <w:tc>
          <w:tcPr>
            <w:tcW w:w="1134" w:type="dxa"/>
            <w:tcBorders>
              <w:top w:val="single" w:sz="4" w:space="0" w:color="auto"/>
              <w:bottom w:val="single" w:sz="4" w:space="0" w:color="auto"/>
            </w:tcBorders>
          </w:tcPr>
          <w:p w14:paraId="4B7B2CB7"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101,200</w:t>
            </w:r>
          </w:p>
        </w:tc>
        <w:tc>
          <w:tcPr>
            <w:tcW w:w="993" w:type="dxa"/>
            <w:tcBorders>
              <w:top w:val="single" w:sz="4" w:space="0" w:color="auto"/>
              <w:bottom w:val="single" w:sz="4" w:space="0" w:color="auto"/>
            </w:tcBorders>
          </w:tcPr>
          <w:p w14:paraId="4F6F5128"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101,200</w:t>
            </w:r>
          </w:p>
        </w:tc>
        <w:tc>
          <w:tcPr>
            <w:tcW w:w="1622" w:type="dxa"/>
            <w:tcBorders>
              <w:top w:val="single" w:sz="4" w:space="0" w:color="auto"/>
              <w:bottom w:val="single" w:sz="4" w:space="0" w:color="auto"/>
            </w:tcBorders>
          </w:tcPr>
          <w:p w14:paraId="7C893BD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Y</w:t>
            </w:r>
          </w:p>
          <w:p w14:paraId="37CA0F9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https://www.education.vic.gov.au/Documents/about/department/covid-19/experience-of-remote-and-flexible-learning-report.pdf</w:t>
            </w:r>
          </w:p>
        </w:tc>
      </w:tr>
      <w:tr w:rsidR="00951BB7" w:rsidRPr="00925213" w14:paraId="30811EF2" w14:textId="77777777" w:rsidTr="00383663">
        <w:trPr>
          <w:cantSplit/>
          <w:trHeight w:val="628"/>
        </w:trPr>
        <w:tc>
          <w:tcPr>
            <w:tcW w:w="1696" w:type="dxa"/>
            <w:tcBorders>
              <w:top w:val="single" w:sz="4" w:space="0" w:color="auto"/>
              <w:bottom w:val="single" w:sz="4" w:space="0" w:color="auto"/>
            </w:tcBorders>
            <w:shd w:val="clear" w:color="auto" w:fill="auto"/>
          </w:tcPr>
          <w:p w14:paraId="0181E49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The Geelong project evaluation</w:t>
            </w:r>
          </w:p>
          <w:p w14:paraId="6F2ABC48" w14:textId="77777777" w:rsidR="00951BB7" w:rsidRPr="006645B0" w:rsidRDefault="00951BB7" w:rsidP="00375B4C">
            <w:pPr>
              <w:pStyle w:val="ESTablebody"/>
              <w:rPr>
                <w:rFonts w:ascii="Calibri" w:hAnsi="Calibri" w:cs="Calibri"/>
                <w:sz w:val="16"/>
                <w:szCs w:val="16"/>
              </w:rPr>
            </w:pPr>
            <w:r>
              <w:rPr>
                <w:rFonts w:ascii="Calibri" w:hAnsi="Calibri" w:cs="Calibri"/>
                <w:sz w:val="16"/>
                <w:szCs w:val="16"/>
              </w:rPr>
              <w:t>(</w:t>
            </w:r>
            <w:r w:rsidRPr="006645B0">
              <w:rPr>
                <w:rFonts w:ascii="Calibri" w:hAnsi="Calibri" w:cs="Calibri"/>
                <w:sz w:val="16"/>
                <w:szCs w:val="16"/>
              </w:rPr>
              <w:t>Education portfolio, School Education–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5586110A" w14:textId="77777777" w:rsidR="00951BB7" w:rsidRPr="006645B0" w:rsidRDefault="00951BB7" w:rsidP="00375B4C">
            <w:pPr>
              <w:pStyle w:val="ESTablebody"/>
              <w:rPr>
                <w:rFonts w:ascii="Calibri" w:hAnsi="Calibri" w:cs="Calibri"/>
                <w:sz w:val="16"/>
                <w:szCs w:val="16"/>
              </w:rPr>
            </w:pPr>
            <w:proofErr w:type="spellStart"/>
            <w:r w:rsidRPr="00355385">
              <w:rPr>
                <w:rFonts w:ascii="Calibri" w:hAnsi="Calibri" w:cs="Calibri"/>
                <w:sz w:val="16"/>
                <w:szCs w:val="16"/>
              </w:rPr>
              <w:t>Lirata</w:t>
            </w:r>
            <w:proofErr w:type="spellEnd"/>
            <w:r w:rsidRPr="00355385">
              <w:rPr>
                <w:rFonts w:ascii="Calibri" w:hAnsi="Calibri" w:cs="Calibri"/>
                <w:sz w:val="16"/>
                <w:szCs w:val="16"/>
              </w:rPr>
              <w:t xml:space="preserve"> Ltd</w:t>
            </w:r>
          </w:p>
        </w:tc>
        <w:tc>
          <w:tcPr>
            <w:tcW w:w="2127" w:type="dxa"/>
            <w:tcBorders>
              <w:top w:val="single" w:sz="4" w:space="0" w:color="auto"/>
              <w:bottom w:val="single" w:sz="4" w:space="0" w:color="auto"/>
            </w:tcBorders>
            <w:shd w:val="clear" w:color="auto" w:fill="auto"/>
          </w:tcPr>
          <w:p w14:paraId="13488DD1"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assess the application of the model in the four new schools, and the changes occurring </w:t>
            </w:r>
            <w:proofErr w:type="gramStart"/>
            <w:r w:rsidRPr="00355385">
              <w:rPr>
                <w:rFonts w:ascii="Calibri" w:hAnsi="Calibri" w:cs="Calibri"/>
                <w:sz w:val="16"/>
                <w:szCs w:val="16"/>
              </w:rPr>
              <w:t>as a result of</w:t>
            </w:r>
            <w:proofErr w:type="gramEnd"/>
            <w:r w:rsidRPr="00355385">
              <w:rPr>
                <w:rFonts w:ascii="Calibri" w:hAnsi="Calibri" w:cs="Calibri"/>
                <w:sz w:val="16"/>
                <w:szCs w:val="16"/>
              </w:rPr>
              <w:t xml:space="preserve"> this implementation. The evaluation also </w:t>
            </w:r>
            <w:proofErr w:type="gramStart"/>
            <w:r w:rsidRPr="00355385">
              <w:rPr>
                <w:rFonts w:ascii="Calibri" w:hAnsi="Calibri" w:cs="Calibri"/>
                <w:sz w:val="16"/>
                <w:szCs w:val="16"/>
              </w:rPr>
              <w:t>takes into account</w:t>
            </w:r>
            <w:proofErr w:type="gramEnd"/>
            <w:r w:rsidRPr="00355385">
              <w:rPr>
                <w:rFonts w:ascii="Calibri" w:hAnsi="Calibri" w:cs="Calibri"/>
                <w:sz w:val="16"/>
                <w:szCs w:val="16"/>
              </w:rPr>
              <w:t xml:space="preserve"> the implementation experience and the outcomes that have occurred in the existing three schools.</w:t>
            </w:r>
          </w:p>
        </w:tc>
        <w:tc>
          <w:tcPr>
            <w:tcW w:w="2409" w:type="dxa"/>
            <w:tcBorders>
              <w:top w:val="single" w:sz="4" w:space="0" w:color="auto"/>
              <w:bottom w:val="single" w:sz="4" w:space="0" w:color="auto"/>
            </w:tcBorders>
          </w:tcPr>
          <w:p w14:paraId="617554F4"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understand implementation of the project in the expansion schools, and program impact across attendance, engagement, </w:t>
            </w:r>
            <w:proofErr w:type="gramStart"/>
            <w:r w:rsidRPr="00355385">
              <w:rPr>
                <w:rFonts w:ascii="Calibri" w:hAnsi="Calibri" w:cs="Calibri"/>
                <w:sz w:val="16"/>
                <w:szCs w:val="16"/>
              </w:rPr>
              <w:t>wellbeing</w:t>
            </w:r>
            <w:proofErr w:type="gramEnd"/>
            <w:r w:rsidRPr="00355385">
              <w:rPr>
                <w:rFonts w:ascii="Calibri" w:hAnsi="Calibri" w:cs="Calibri"/>
                <w:sz w:val="16"/>
                <w:szCs w:val="16"/>
              </w:rPr>
              <w:t xml:space="preserve"> and achievement outcomes. Understanding how the model works best across different schools and communities. </w:t>
            </w:r>
          </w:p>
        </w:tc>
        <w:tc>
          <w:tcPr>
            <w:tcW w:w="1134" w:type="dxa"/>
            <w:tcBorders>
              <w:top w:val="single" w:sz="4" w:space="0" w:color="auto"/>
              <w:bottom w:val="single" w:sz="4" w:space="0" w:color="auto"/>
            </w:tcBorders>
          </w:tcPr>
          <w:p w14:paraId="6D490029" w14:textId="77777777" w:rsidR="00951BB7" w:rsidRPr="006645B0" w:rsidRDefault="00951BB7" w:rsidP="00375B4C">
            <w:pPr>
              <w:pStyle w:val="ESTablebody"/>
              <w:rPr>
                <w:rFonts w:ascii="Calibri" w:hAnsi="Calibri" w:cs="Calibri"/>
                <w:sz w:val="16"/>
                <w:szCs w:val="16"/>
              </w:rPr>
            </w:pPr>
            <w:r w:rsidRPr="00355385">
              <w:rPr>
                <w:rFonts w:ascii="Calibri" w:hAnsi="Calibri" w:cs="Calibri"/>
                <w:sz w:val="16"/>
                <w:szCs w:val="16"/>
              </w:rPr>
              <w:t>February 2019 – October 2021</w:t>
            </w:r>
          </w:p>
        </w:tc>
        <w:tc>
          <w:tcPr>
            <w:tcW w:w="1701" w:type="dxa"/>
            <w:tcBorders>
              <w:top w:val="single" w:sz="4" w:space="0" w:color="auto"/>
              <w:bottom w:val="single" w:sz="4" w:space="0" w:color="auto"/>
            </w:tcBorders>
          </w:tcPr>
          <w:p w14:paraId="249817D6" w14:textId="77777777" w:rsidR="00951BB7" w:rsidRPr="006645B0" w:rsidRDefault="00951BB7" w:rsidP="00375B4C">
            <w:pPr>
              <w:pStyle w:val="ESTablebody"/>
              <w:rPr>
                <w:rFonts w:ascii="Calibri" w:hAnsi="Calibri" w:cs="Calibri"/>
                <w:sz w:val="16"/>
                <w:szCs w:val="16"/>
              </w:rPr>
            </w:pPr>
            <w:r w:rsidRPr="006645B0">
              <w:rPr>
                <w:rFonts w:ascii="Calibri" w:hAnsi="Calibri" w:cs="Calibri"/>
                <w:sz w:val="16"/>
                <w:szCs w:val="16"/>
              </w:rPr>
              <w:t>Inform decisions regarding future opportunities to expand the program</w:t>
            </w:r>
            <w:r>
              <w:rPr>
                <w:rFonts w:ascii="Calibri" w:hAnsi="Calibri" w:cs="Calibri"/>
                <w:sz w:val="16"/>
                <w:szCs w:val="16"/>
              </w:rPr>
              <w:t>.</w:t>
            </w:r>
          </w:p>
        </w:tc>
        <w:tc>
          <w:tcPr>
            <w:tcW w:w="1134" w:type="dxa"/>
            <w:tcBorders>
              <w:top w:val="single" w:sz="4" w:space="0" w:color="auto"/>
              <w:bottom w:val="single" w:sz="4" w:space="0" w:color="auto"/>
            </w:tcBorders>
          </w:tcPr>
          <w:p w14:paraId="79D738CB"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lang w:val="en-GB"/>
              </w:rPr>
              <w:t>59,829</w:t>
            </w:r>
          </w:p>
        </w:tc>
        <w:tc>
          <w:tcPr>
            <w:tcW w:w="993" w:type="dxa"/>
            <w:tcBorders>
              <w:top w:val="single" w:sz="4" w:space="0" w:color="auto"/>
              <w:bottom w:val="single" w:sz="4" w:space="0" w:color="auto"/>
            </w:tcBorders>
          </w:tcPr>
          <w:p w14:paraId="50AAAB99"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rPr>
              <w:t>–</w:t>
            </w:r>
          </w:p>
        </w:tc>
        <w:tc>
          <w:tcPr>
            <w:tcW w:w="1622" w:type="dxa"/>
            <w:tcBorders>
              <w:top w:val="single" w:sz="4" w:space="0" w:color="auto"/>
              <w:bottom w:val="single" w:sz="4" w:space="0" w:color="auto"/>
            </w:tcBorders>
          </w:tcPr>
          <w:p w14:paraId="3E85DD21" w14:textId="77777777" w:rsidR="00951BB7" w:rsidRPr="006645B0" w:rsidRDefault="00951BB7" w:rsidP="00375B4C">
            <w:pPr>
              <w:pStyle w:val="ESTablebody"/>
              <w:jc w:val="right"/>
              <w:rPr>
                <w:rFonts w:ascii="Calibri" w:hAnsi="Calibri" w:cs="Calibri"/>
                <w:sz w:val="16"/>
                <w:szCs w:val="16"/>
              </w:rPr>
            </w:pPr>
            <w:r w:rsidRPr="006645B0">
              <w:rPr>
                <w:rFonts w:ascii="Calibri" w:hAnsi="Calibri" w:cs="Calibri"/>
                <w:sz w:val="16"/>
                <w:szCs w:val="16"/>
                <w:lang w:val="en-GB"/>
              </w:rPr>
              <w:t>N</w:t>
            </w:r>
          </w:p>
        </w:tc>
      </w:tr>
      <w:tr w:rsidR="00951BB7" w:rsidRPr="00925213" w14:paraId="595D2E39" w14:textId="77777777" w:rsidTr="00383663">
        <w:trPr>
          <w:cantSplit/>
          <w:trHeight w:val="628"/>
        </w:trPr>
        <w:tc>
          <w:tcPr>
            <w:tcW w:w="1696" w:type="dxa"/>
            <w:tcBorders>
              <w:top w:val="single" w:sz="4" w:space="0" w:color="auto"/>
              <w:bottom w:val="single" w:sz="4" w:space="0" w:color="auto"/>
            </w:tcBorders>
            <w:shd w:val="clear" w:color="auto" w:fill="auto"/>
          </w:tcPr>
          <w:p w14:paraId="648CE93A"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Transforming career education in Victorian government </w:t>
            </w:r>
            <w:proofErr w:type="gramStart"/>
            <w:r w:rsidRPr="00355385">
              <w:rPr>
                <w:rFonts w:ascii="Calibri" w:hAnsi="Calibri" w:cs="Calibri"/>
                <w:sz w:val="16"/>
                <w:szCs w:val="16"/>
              </w:rPr>
              <w:t>schools</w:t>
            </w:r>
            <w:proofErr w:type="gramEnd"/>
            <w:r w:rsidRPr="00355385">
              <w:rPr>
                <w:rFonts w:ascii="Calibri" w:hAnsi="Calibri" w:cs="Calibri"/>
                <w:sz w:val="16"/>
                <w:szCs w:val="16"/>
              </w:rPr>
              <w:t xml:space="preserve"> evaluation</w:t>
            </w:r>
          </w:p>
          <w:p w14:paraId="0CDC4292"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 xml:space="preserve">Education </w:t>
            </w:r>
            <w:r>
              <w:rPr>
                <w:rFonts w:ascii="Calibri" w:hAnsi="Calibri" w:cs="Calibri"/>
                <w:sz w:val="16"/>
                <w:szCs w:val="16"/>
              </w:rPr>
              <w:t>p</w:t>
            </w:r>
            <w:r w:rsidRPr="00925213">
              <w:rPr>
                <w:rFonts w:ascii="Calibri" w:hAnsi="Calibri" w:cs="Calibri"/>
                <w:sz w:val="16"/>
                <w:szCs w:val="16"/>
              </w:rPr>
              <w:t>ortfolio, School Education</w:t>
            </w:r>
            <w:r>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78F28F1C"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 xml:space="preserve">Urbis </w:t>
            </w:r>
          </w:p>
        </w:tc>
        <w:tc>
          <w:tcPr>
            <w:tcW w:w="2127" w:type="dxa"/>
            <w:tcBorders>
              <w:top w:val="single" w:sz="4" w:space="0" w:color="auto"/>
              <w:bottom w:val="single" w:sz="4" w:space="0" w:color="auto"/>
            </w:tcBorders>
            <w:shd w:val="clear" w:color="auto" w:fill="auto"/>
          </w:tcPr>
          <w:p w14:paraId="0C692E98"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undertake a process and outcome evaluation of the suite of initiatives that make up the transforming career education in Victorian government schools reforms</w:t>
            </w:r>
          </w:p>
        </w:tc>
        <w:tc>
          <w:tcPr>
            <w:tcW w:w="2409" w:type="dxa"/>
            <w:tcBorders>
              <w:top w:val="single" w:sz="4" w:space="0" w:color="auto"/>
              <w:bottom w:val="single" w:sz="4" w:space="0" w:color="auto"/>
            </w:tcBorders>
          </w:tcPr>
          <w:p w14:paraId="3A2D35CA"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examine the 13 separate initiatives implemented </w:t>
            </w:r>
            <w:proofErr w:type="gramStart"/>
            <w:r w:rsidRPr="00925213">
              <w:rPr>
                <w:rFonts w:ascii="Calibri" w:hAnsi="Calibri" w:cs="Calibri"/>
                <w:sz w:val="16"/>
                <w:szCs w:val="16"/>
              </w:rPr>
              <w:t>as a result of</w:t>
            </w:r>
            <w:proofErr w:type="gramEnd"/>
            <w:r w:rsidRPr="00925213">
              <w:rPr>
                <w:rFonts w:ascii="Calibri" w:hAnsi="Calibri" w:cs="Calibri"/>
                <w:sz w:val="16"/>
                <w:szCs w:val="16"/>
              </w:rPr>
              <w:t xml:space="preserve"> the 2017 career education review. The scope includes all initiatives aligned with the review's recommendations to start early, connect to </w:t>
            </w:r>
            <w:proofErr w:type="gramStart"/>
            <w:r w:rsidRPr="00925213">
              <w:rPr>
                <w:rFonts w:ascii="Calibri" w:hAnsi="Calibri" w:cs="Calibri"/>
                <w:sz w:val="16"/>
                <w:szCs w:val="16"/>
              </w:rPr>
              <w:t>work</w:t>
            </w:r>
            <w:proofErr w:type="gramEnd"/>
            <w:r w:rsidRPr="00925213">
              <w:rPr>
                <w:rFonts w:ascii="Calibri" w:hAnsi="Calibri" w:cs="Calibri"/>
                <w:sz w:val="16"/>
                <w:szCs w:val="16"/>
              </w:rPr>
              <w:t xml:space="preserve"> and make career education a priority in government schools. The evaluation will examine the implementation and impact of reforms.</w:t>
            </w:r>
            <w:r>
              <w:rPr>
                <w:rFonts w:ascii="Calibri" w:hAnsi="Calibri" w:cs="Calibri"/>
                <w:sz w:val="16"/>
                <w:szCs w:val="16"/>
              </w:rPr>
              <w:t xml:space="preserve"> </w:t>
            </w:r>
          </w:p>
        </w:tc>
        <w:tc>
          <w:tcPr>
            <w:tcW w:w="1134" w:type="dxa"/>
            <w:tcBorders>
              <w:top w:val="single" w:sz="4" w:space="0" w:color="auto"/>
              <w:bottom w:val="single" w:sz="4" w:space="0" w:color="auto"/>
            </w:tcBorders>
          </w:tcPr>
          <w:p w14:paraId="7375658A"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2019 –</w:t>
            </w:r>
            <w:r>
              <w:rPr>
                <w:rFonts w:ascii="Calibri" w:hAnsi="Calibri" w:cs="Calibri"/>
                <w:sz w:val="16"/>
                <w:szCs w:val="16"/>
              </w:rPr>
              <w:t xml:space="preserve"> </w:t>
            </w:r>
            <w:r w:rsidRPr="00925213">
              <w:rPr>
                <w:rFonts w:ascii="Calibri" w:hAnsi="Calibri" w:cs="Calibri"/>
                <w:sz w:val="16"/>
                <w:szCs w:val="16"/>
              </w:rPr>
              <w:t>December 2022</w:t>
            </w:r>
          </w:p>
        </w:tc>
        <w:tc>
          <w:tcPr>
            <w:tcW w:w="1701" w:type="dxa"/>
            <w:tcBorders>
              <w:top w:val="single" w:sz="4" w:space="0" w:color="auto"/>
              <w:bottom w:val="single" w:sz="4" w:space="0" w:color="auto"/>
            </w:tcBorders>
          </w:tcPr>
          <w:p w14:paraId="79C55332"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The evaluation will determine if the reforms achieved their short and medium</w:t>
            </w:r>
            <w:r w:rsidRPr="00925213">
              <w:rPr>
                <w:rFonts w:ascii="Calibri" w:hAnsi="Calibri" w:cs="Calibri"/>
                <w:sz w:val="16"/>
                <w:szCs w:val="16"/>
              </w:rPr>
              <w:noBreakHyphen/>
              <w:t>term objectives. It will ascertain how the reforms align with other reforms, calculate the economic and social benefits, and identify barriers to the sustainability of the reforms</w:t>
            </w:r>
            <w:r>
              <w:rPr>
                <w:rFonts w:ascii="Calibri" w:hAnsi="Calibri" w:cs="Calibri"/>
                <w:sz w:val="16"/>
                <w:szCs w:val="16"/>
              </w:rPr>
              <w:t xml:space="preserve"> in the</w:t>
            </w:r>
            <w:r w:rsidRPr="00925213">
              <w:rPr>
                <w:rFonts w:ascii="Calibri" w:hAnsi="Calibri" w:cs="Calibri"/>
                <w:sz w:val="16"/>
                <w:szCs w:val="16"/>
              </w:rPr>
              <w:t xml:space="preserve"> longer term. </w:t>
            </w:r>
          </w:p>
        </w:tc>
        <w:tc>
          <w:tcPr>
            <w:tcW w:w="1134" w:type="dxa"/>
            <w:tcBorders>
              <w:top w:val="single" w:sz="4" w:space="0" w:color="auto"/>
              <w:bottom w:val="single" w:sz="4" w:space="0" w:color="auto"/>
            </w:tcBorders>
          </w:tcPr>
          <w:p w14:paraId="22158CF1"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801,877</w:t>
            </w:r>
          </w:p>
        </w:tc>
        <w:tc>
          <w:tcPr>
            <w:tcW w:w="993" w:type="dxa"/>
            <w:tcBorders>
              <w:top w:val="single" w:sz="4" w:space="0" w:color="auto"/>
              <w:bottom w:val="single" w:sz="4" w:space="0" w:color="auto"/>
            </w:tcBorders>
          </w:tcPr>
          <w:p w14:paraId="2FCCC30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5D63D131"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4D1E8BDE" w14:textId="77777777" w:rsidTr="00383663">
        <w:trPr>
          <w:cantSplit/>
          <w:trHeight w:val="628"/>
        </w:trPr>
        <w:tc>
          <w:tcPr>
            <w:tcW w:w="1696" w:type="dxa"/>
            <w:tcBorders>
              <w:top w:val="single" w:sz="4" w:space="0" w:color="auto"/>
              <w:bottom w:val="single" w:sz="4" w:space="0" w:color="auto"/>
            </w:tcBorders>
            <w:shd w:val="clear" w:color="auto" w:fill="auto"/>
          </w:tcPr>
          <w:p w14:paraId="66C33059"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lastRenderedPageBreak/>
              <w:t>Two-year review of Child Link</w:t>
            </w:r>
          </w:p>
          <w:p w14:paraId="6922B8E5"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741C1EFA"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75DD4B56"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review the adequacy of the design of the Child Link implementation program, and policy planning. </w:t>
            </w:r>
          </w:p>
        </w:tc>
        <w:tc>
          <w:tcPr>
            <w:tcW w:w="2409" w:type="dxa"/>
            <w:tcBorders>
              <w:top w:val="single" w:sz="4" w:space="0" w:color="auto"/>
              <w:bottom w:val="single" w:sz="4" w:space="0" w:color="auto"/>
            </w:tcBorders>
          </w:tcPr>
          <w:p w14:paraId="45A01F7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conduct a developmental review, including how Child Link is achieving the legislative intent of </w:t>
            </w:r>
            <w:r>
              <w:rPr>
                <w:rFonts w:ascii="Calibri" w:hAnsi="Calibri" w:cs="Calibri"/>
                <w:sz w:val="16"/>
                <w:szCs w:val="16"/>
              </w:rPr>
              <w:t>p</w:t>
            </w:r>
            <w:r w:rsidRPr="00925213">
              <w:rPr>
                <w:rFonts w:ascii="Calibri" w:hAnsi="Calibri" w:cs="Calibri"/>
                <w:sz w:val="16"/>
                <w:szCs w:val="16"/>
              </w:rPr>
              <w:t xml:space="preserve">art 7A of the </w:t>
            </w:r>
            <w:r w:rsidRPr="00355385">
              <w:rPr>
                <w:rFonts w:ascii="Calibri" w:hAnsi="Calibri" w:cs="Calibri"/>
                <w:sz w:val="16"/>
                <w:szCs w:val="16"/>
              </w:rPr>
              <w:t>Child Wellbeing and Safety Act 2005</w:t>
            </w:r>
            <w:r w:rsidRPr="00925213">
              <w:rPr>
                <w:rFonts w:ascii="Calibri" w:hAnsi="Calibri" w:cs="Calibri"/>
                <w:sz w:val="16"/>
                <w:szCs w:val="16"/>
              </w:rPr>
              <w:t>.</w:t>
            </w:r>
          </w:p>
        </w:tc>
        <w:tc>
          <w:tcPr>
            <w:tcW w:w="1134" w:type="dxa"/>
            <w:tcBorders>
              <w:top w:val="single" w:sz="4" w:space="0" w:color="auto"/>
              <w:bottom w:val="single" w:sz="4" w:space="0" w:color="auto"/>
            </w:tcBorders>
          </w:tcPr>
          <w:p w14:paraId="2AE3465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February 2019</w:t>
            </w:r>
            <w:r>
              <w:rPr>
                <w:rFonts w:ascii="Calibri" w:hAnsi="Calibri" w:cs="Calibri"/>
                <w:sz w:val="16"/>
                <w:szCs w:val="16"/>
              </w:rPr>
              <w:t xml:space="preserve"> –</w:t>
            </w:r>
            <w:r w:rsidRPr="00925213">
              <w:rPr>
                <w:rFonts w:ascii="Calibri" w:hAnsi="Calibri" w:cs="Calibri"/>
                <w:sz w:val="16"/>
                <w:szCs w:val="16"/>
              </w:rPr>
              <w:t>February 2021</w:t>
            </w:r>
          </w:p>
        </w:tc>
        <w:tc>
          <w:tcPr>
            <w:tcW w:w="1701" w:type="dxa"/>
            <w:tcBorders>
              <w:top w:val="single" w:sz="4" w:space="0" w:color="auto"/>
              <w:bottom w:val="single" w:sz="4" w:space="0" w:color="auto"/>
            </w:tcBorders>
          </w:tcPr>
          <w:p w14:paraId="6C0E16A0"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 review report that provides recommendations to inform the implementation of Child Link.</w:t>
            </w:r>
          </w:p>
        </w:tc>
        <w:tc>
          <w:tcPr>
            <w:tcW w:w="1134" w:type="dxa"/>
            <w:tcBorders>
              <w:top w:val="single" w:sz="4" w:space="0" w:color="auto"/>
              <w:bottom w:val="single" w:sz="4" w:space="0" w:color="auto"/>
            </w:tcBorders>
          </w:tcPr>
          <w:p w14:paraId="7386D99B"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84,901</w:t>
            </w:r>
          </w:p>
        </w:tc>
        <w:tc>
          <w:tcPr>
            <w:tcW w:w="993" w:type="dxa"/>
            <w:tcBorders>
              <w:top w:val="single" w:sz="4" w:space="0" w:color="auto"/>
              <w:bottom w:val="single" w:sz="4" w:space="0" w:color="auto"/>
            </w:tcBorders>
          </w:tcPr>
          <w:p w14:paraId="1756F54A"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84,901</w:t>
            </w:r>
          </w:p>
        </w:tc>
        <w:tc>
          <w:tcPr>
            <w:tcW w:w="1622" w:type="dxa"/>
            <w:tcBorders>
              <w:top w:val="single" w:sz="4" w:space="0" w:color="auto"/>
              <w:bottom w:val="single" w:sz="4" w:space="0" w:color="auto"/>
            </w:tcBorders>
          </w:tcPr>
          <w:p w14:paraId="7E0CD399"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274C6B3B" w14:textId="77777777" w:rsidTr="00383663">
        <w:trPr>
          <w:cantSplit/>
          <w:trHeight w:val="628"/>
        </w:trPr>
        <w:tc>
          <w:tcPr>
            <w:tcW w:w="1696" w:type="dxa"/>
            <w:tcBorders>
              <w:top w:val="single" w:sz="4" w:space="0" w:color="auto"/>
              <w:bottom w:val="single" w:sz="4" w:space="0" w:color="auto"/>
            </w:tcBorders>
            <w:shd w:val="clear" w:color="auto" w:fill="auto"/>
          </w:tcPr>
          <w:p w14:paraId="27E8A415"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Two-year review of the Child Information Sharing Scheme</w:t>
            </w:r>
          </w:p>
          <w:p w14:paraId="22EB8AB4"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Early Childhood portfolio, Early Childhood Education</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4134E366" w14:textId="77777777" w:rsidR="00951BB7" w:rsidRPr="00925213" w:rsidRDefault="00951BB7" w:rsidP="00375B4C">
            <w:pPr>
              <w:pStyle w:val="ESTablebody"/>
              <w:rPr>
                <w:rFonts w:ascii="Calibri" w:hAnsi="Calibri" w:cs="Calibri"/>
                <w:sz w:val="16"/>
                <w:szCs w:val="16"/>
              </w:rPr>
            </w:pPr>
            <w:r w:rsidRPr="00355385">
              <w:rPr>
                <w:rFonts w:ascii="Calibri" w:hAnsi="Calibri" w:cs="Calibri"/>
                <w:sz w:val="16"/>
                <w:szCs w:val="16"/>
              </w:rPr>
              <w:t>ACIL Allen Consulting</w:t>
            </w:r>
          </w:p>
        </w:tc>
        <w:tc>
          <w:tcPr>
            <w:tcW w:w="2127" w:type="dxa"/>
            <w:tcBorders>
              <w:top w:val="single" w:sz="4" w:space="0" w:color="auto"/>
              <w:bottom w:val="single" w:sz="4" w:space="0" w:color="auto"/>
            </w:tcBorders>
            <w:shd w:val="clear" w:color="auto" w:fill="auto"/>
          </w:tcPr>
          <w:p w14:paraId="250488E3"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review the operation of the Child Information Sharing Scheme. </w:t>
            </w:r>
          </w:p>
        </w:tc>
        <w:tc>
          <w:tcPr>
            <w:tcW w:w="2409" w:type="dxa"/>
            <w:tcBorders>
              <w:top w:val="single" w:sz="4" w:space="0" w:color="auto"/>
              <w:bottom w:val="single" w:sz="4" w:space="0" w:color="auto"/>
            </w:tcBorders>
          </w:tcPr>
          <w:p w14:paraId="3A043539"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To conduct an outcomes-based review. The review covers September 2018 to September 2020. It determines to what extent the Scheme has been implemented effectively and to what extent it is achieving its intended outcomes.</w:t>
            </w:r>
          </w:p>
        </w:tc>
        <w:tc>
          <w:tcPr>
            <w:tcW w:w="1134" w:type="dxa"/>
            <w:tcBorders>
              <w:top w:val="single" w:sz="4" w:space="0" w:color="auto"/>
              <w:bottom w:val="single" w:sz="4" w:space="0" w:color="auto"/>
            </w:tcBorders>
          </w:tcPr>
          <w:p w14:paraId="4E7A8D7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September 2018</w:t>
            </w:r>
            <w:r>
              <w:rPr>
                <w:rFonts w:ascii="Calibri" w:hAnsi="Calibri" w:cs="Calibri"/>
                <w:sz w:val="16"/>
                <w:szCs w:val="16"/>
              </w:rPr>
              <w:t xml:space="preserve"> – </w:t>
            </w:r>
            <w:r w:rsidRPr="00925213">
              <w:rPr>
                <w:rFonts w:ascii="Calibri" w:hAnsi="Calibri" w:cs="Calibri"/>
                <w:sz w:val="16"/>
                <w:szCs w:val="16"/>
              </w:rPr>
              <w:t>September 2020</w:t>
            </w:r>
          </w:p>
        </w:tc>
        <w:tc>
          <w:tcPr>
            <w:tcW w:w="1701" w:type="dxa"/>
            <w:tcBorders>
              <w:top w:val="single" w:sz="4" w:space="0" w:color="auto"/>
              <w:bottom w:val="single" w:sz="4" w:space="0" w:color="auto"/>
            </w:tcBorders>
          </w:tcPr>
          <w:p w14:paraId="4E93070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 review report that provides recommendations to inform the operation of the scheme.</w:t>
            </w:r>
          </w:p>
        </w:tc>
        <w:tc>
          <w:tcPr>
            <w:tcW w:w="1134" w:type="dxa"/>
            <w:tcBorders>
              <w:top w:val="single" w:sz="4" w:space="0" w:color="auto"/>
              <w:bottom w:val="single" w:sz="4" w:space="0" w:color="auto"/>
            </w:tcBorders>
          </w:tcPr>
          <w:p w14:paraId="79821CE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617,189</w:t>
            </w:r>
          </w:p>
        </w:tc>
        <w:tc>
          <w:tcPr>
            <w:tcW w:w="993" w:type="dxa"/>
            <w:tcBorders>
              <w:top w:val="single" w:sz="4" w:space="0" w:color="auto"/>
              <w:bottom w:val="single" w:sz="4" w:space="0" w:color="auto"/>
            </w:tcBorders>
          </w:tcPr>
          <w:p w14:paraId="0F9B4640"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617,189</w:t>
            </w:r>
          </w:p>
        </w:tc>
        <w:tc>
          <w:tcPr>
            <w:tcW w:w="1622" w:type="dxa"/>
            <w:tcBorders>
              <w:top w:val="single" w:sz="4" w:space="0" w:color="auto"/>
              <w:bottom w:val="single" w:sz="4" w:space="0" w:color="auto"/>
            </w:tcBorders>
          </w:tcPr>
          <w:p w14:paraId="52E2BC9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Y</w:t>
            </w:r>
          </w:p>
          <w:p w14:paraId="5F6B0284"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(https://www.vic.gov.au/child-information-sharing-scheme-two-year-review)</w:t>
            </w:r>
          </w:p>
        </w:tc>
      </w:tr>
      <w:tr w:rsidR="00951BB7" w:rsidRPr="00925213" w14:paraId="704ED1F0" w14:textId="77777777" w:rsidTr="00383663">
        <w:trPr>
          <w:cantSplit/>
          <w:trHeight w:val="628"/>
        </w:trPr>
        <w:tc>
          <w:tcPr>
            <w:tcW w:w="1696" w:type="dxa"/>
            <w:tcBorders>
              <w:top w:val="single" w:sz="4" w:space="0" w:color="auto"/>
              <w:bottom w:val="single" w:sz="4" w:space="0" w:color="auto"/>
            </w:tcBorders>
            <w:shd w:val="clear" w:color="auto" w:fill="auto"/>
          </w:tcPr>
          <w:p w14:paraId="39BA71C7"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VET-VCAL workforce reform program</w:t>
            </w:r>
          </w:p>
          <w:p w14:paraId="40ABB3BD"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w:t>
            </w:r>
            <w:r>
              <w:rPr>
                <w:rFonts w:ascii="Calibri" w:hAnsi="Calibri" w:cs="Calibri"/>
                <w:sz w:val="16"/>
                <w:szCs w:val="16"/>
              </w:rPr>
              <w:t>—</w:t>
            </w:r>
            <w:r w:rsidRPr="00925213">
              <w:rPr>
                <w:rFonts w:ascii="Calibri" w:hAnsi="Calibri" w:cs="Calibri"/>
                <w:sz w:val="16"/>
                <w:szCs w:val="16"/>
              </w:rPr>
              <w:t>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61B2856"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ACER</w:t>
            </w:r>
          </w:p>
        </w:tc>
        <w:tc>
          <w:tcPr>
            <w:tcW w:w="2127" w:type="dxa"/>
            <w:tcBorders>
              <w:top w:val="single" w:sz="4" w:space="0" w:color="auto"/>
              <w:bottom w:val="single" w:sz="4" w:space="0" w:color="auto"/>
            </w:tcBorders>
            <w:shd w:val="clear" w:color="auto" w:fill="auto"/>
          </w:tcPr>
          <w:p w14:paraId="2AE73A71" w14:textId="77777777" w:rsidR="00951BB7" w:rsidRPr="00355385" w:rsidRDefault="00951BB7" w:rsidP="00375B4C">
            <w:pPr>
              <w:pStyle w:val="ESTablebody"/>
              <w:rPr>
                <w:rFonts w:ascii="Calibri" w:hAnsi="Calibri" w:cs="Calibri"/>
                <w:sz w:val="16"/>
                <w:szCs w:val="16"/>
              </w:rPr>
            </w:pPr>
            <w:r w:rsidRPr="00925213">
              <w:rPr>
                <w:rFonts w:ascii="Calibri" w:hAnsi="Calibri" w:cs="Calibri"/>
                <w:sz w:val="16"/>
                <w:szCs w:val="16"/>
              </w:rPr>
              <w:t xml:space="preserve">To undertake a developmental and summative evaluation of the individual initiatives that make up the VET-VCAL workforce reform program, and the </w:t>
            </w:r>
            <w:proofErr w:type="gramStart"/>
            <w:r w:rsidRPr="00925213">
              <w:rPr>
                <w:rFonts w:ascii="Calibri" w:hAnsi="Calibri" w:cs="Calibri"/>
                <w:sz w:val="16"/>
                <w:szCs w:val="16"/>
              </w:rPr>
              <w:t>program as a whole</w:t>
            </w:r>
            <w:proofErr w:type="gramEnd"/>
            <w:r w:rsidRPr="00925213">
              <w:rPr>
                <w:rFonts w:ascii="Calibri" w:hAnsi="Calibri" w:cs="Calibri"/>
                <w:sz w:val="16"/>
                <w:szCs w:val="16"/>
              </w:rPr>
              <w:t>.</w:t>
            </w:r>
          </w:p>
        </w:tc>
        <w:tc>
          <w:tcPr>
            <w:tcW w:w="2409" w:type="dxa"/>
            <w:tcBorders>
              <w:top w:val="single" w:sz="4" w:space="0" w:color="auto"/>
              <w:bottom w:val="single" w:sz="4" w:space="0" w:color="auto"/>
            </w:tcBorders>
          </w:tcPr>
          <w:p w14:paraId="03B9DAAB"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 xml:space="preserve">To develop a program logic and lead indicators, a monitoring, </w:t>
            </w:r>
            <w:proofErr w:type="gramStart"/>
            <w:r w:rsidRPr="00355385">
              <w:rPr>
                <w:rFonts w:ascii="Calibri" w:hAnsi="Calibri" w:cs="Calibri"/>
                <w:sz w:val="16"/>
                <w:szCs w:val="16"/>
              </w:rPr>
              <w:t>evaluation</w:t>
            </w:r>
            <w:proofErr w:type="gramEnd"/>
            <w:r w:rsidRPr="00355385">
              <w:rPr>
                <w:rFonts w:ascii="Calibri" w:hAnsi="Calibri" w:cs="Calibri"/>
                <w:sz w:val="16"/>
                <w:szCs w:val="16"/>
              </w:rPr>
              <w:t xml:space="preserve"> and learning framework focusing on continuous quality improvement, and a developmental evaluation leading to reports in September 2021 and September 2022.</w:t>
            </w:r>
          </w:p>
        </w:tc>
        <w:tc>
          <w:tcPr>
            <w:tcW w:w="1134" w:type="dxa"/>
            <w:tcBorders>
              <w:top w:val="single" w:sz="4" w:space="0" w:color="auto"/>
              <w:bottom w:val="single" w:sz="4" w:space="0" w:color="auto"/>
            </w:tcBorders>
          </w:tcPr>
          <w:p w14:paraId="0C068EE4"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June 2020 –</w:t>
            </w:r>
            <w:r>
              <w:rPr>
                <w:rFonts w:ascii="Calibri" w:hAnsi="Calibri" w:cs="Calibri"/>
                <w:sz w:val="16"/>
                <w:szCs w:val="16"/>
              </w:rPr>
              <w:t xml:space="preserve"> </w:t>
            </w:r>
            <w:r w:rsidRPr="00925213">
              <w:rPr>
                <w:rFonts w:ascii="Calibri" w:hAnsi="Calibri" w:cs="Calibri"/>
                <w:sz w:val="16"/>
                <w:szCs w:val="16"/>
              </w:rPr>
              <w:t>December 2022</w:t>
            </w:r>
          </w:p>
        </w:tc>
        <w:tc>
          <w:tcPr>
            <w:tcW w:w="1701" w:type="dxa"/>
            <w:tcBorders>
              <w:top w:val="single" w:sz="4" w:space="0" w:color="auto"/>
              <w:bottom w:val="single" w:sz="4" w:space="0" w:color="auto"/>
            </w:tcBorders>
          </w:tcPr>
          <w:p w14:paraId="72A4803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Evidence of improvements throughout the program, specifically </w:t>
            </w:r>
            <w:r>
              <w:rPr>
                <w:rFonts w:ascii="Calibri" w:hAnsi="Calibri" w:cs="Calibri"/>
                <w:sz w:val="16"/>
                <w:szCs w:val="16"/>
              </w:rPr>
              <w:t xml:space="preserve">in </w:t>
            </w:r>
            <w:r w:rsidRPr="00925213">
              <w:rPr>
                <w:rFonts w:ascii="Calibri" w:hAnsi="Calibri" w:cs="Calibri"/>
                <w:sz w:val="16"/>
                <w:szCs w:val="16"/>
              </w:rPr>
              <w:t>working with external suppliers. Evidence of improved teacher confidence and capability in teaching applied learning and VET.</w:t>
            </w:r>
          </w:p>
        </w:tc>
        <w:tc>
          <w:tcPr>
            <w:tcW w:w="1134" w:type="dxa"/>
            <w:tcBorders>
              <w:top w:val="single" w:sz="4" w:space="0" w:color="auto"/>
              <w:bottom w:val="single" w:sz="4" w:space="0" w:color="auto"/>
            </w:tcBorders>
          </w:tcPr>
          <w:p w14:paraId="2BD7B172"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1,021,924</w:t>
            </w:r>
          </w:p>
        </w:tc>
        <w:tc>
          <w:tcPr>
            <w:tcW w:w="993" w:type="dxa"/>
            <w:tcBorders>
              <w:top w:val="single" w:sz="4" w:space="0" w:color="auto"/>
              <w:bottom w:val="single" w:sz="4" w:space="0" w:color="auto"/>
            </w:tcBorders>
          </w:tcPr>
          <w:p w14:paraId="0CBF38CF"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w:t>
            </w:r>
          </w:p>
        </w:tc>
        <w:tc>
          <w:tcPr>
            <w:tcW w:w="1622" w:type="dxa"/>
            <w:tcBorders>
              <w:top w:val="single" w:sz="4" w:space="0" w:color="auto"/>
              <w:bottom w:val="single" w:sz="4" w:space="0" w:color="auto"/>
            </w:tcBorders>
          </w:tcPr>
          <w:p w14:paraId="1EF3213D"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7E9E6B92" w14:textId="77777777" w:rsidTr="00383663">
        <w:trPr>
          <w:cantSplit/>
          <w:trHeight w:val="628"/>
        </w:trPr>
        <w:tc>
          <w:tcPr>
            <w:tcW w:w="1696" w:type="dxa"/>
            <w:tcBorders>
              <w:top w:val="single" w:sz="4" w:space="0" w:color="auto"/>
              <w:bottom w:val="single" w:sz="4" w:space="0" w:color="auto"/>
            </w:tcBorders>
            <w:shd w:val="clear" w:color="auto" w:fill="auto"/>
          </w:tcPr>
          <w:p w14:paraId="1AD8C78C"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Victorian Employer Skills Survey</w:t>
            </w:r>
          </w:p>
          <w:p w14:paraId="096BF3F2"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(Training and Skills portfolio, Training, Higher Education and Workforce Development)</w:t>
            </w:r>
          </w:p>
        </w:tc>
        <w:tc>
          <w:tcPr>
            <w:tcW w:w="1134" w:type="dxa"/>
            <w:tcBorders>
              <w:top w:val="single" w:sz="4" w:space="0" w:color="auto"/>
              <w:bottom w:val="single" w:sz="4" w:space="0" w:color="auto"/>
            </w:tcBorders>
            <w:shd w:val="clear" w:color="auto" w:fill="auto"/>
          </w:tcPr>
          <w:p w14:paraId="0D7A333B"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Wallis Group</w:t>
            </w:r>
          </w:p>
        </w:tc>
        <w:tc>
          <w:tcPr>
            <w:tcW w:w="2127" w:type="dxa"/>
            <w:tcBorders>
              <w:top w:val="single" w:sz="4" w:space="0" w:color="auto"/>
              <w:bottom w:val="single" w:sz="4" w:space="0" w:color="auto"/>
            </w:tcBorders>
            <w:shd w:val="clear" w:color="auto" w:fill="auto"/>
          </w:tcPr>
          <w:p w14:paraId="240C0746"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 xml:space="preserve">To conduct a biennial survey of the views of Victorian employers on their training and skills needs. </w:t>
            </w:r>
          </w:p>
        </w:tc>
        <w:tc>
          <w:tcPr>
            <w:tcW w:w="2409" w:type="dxa"/>
            <w:tcBorders>
              <w:top w:val="single" w:sz="4" w:space="0" w:color="auto"/>
              <w:bottom w:val="single" w:sz="4" w:space="0" w:color="auto"/>
            </w:tcBorders>
          </w:tcPr>
          <w:p w14:paraId="7C7FBBAD"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gather information from Victorian employers about recruitment experiences, skill experiences and challenges, the business impacts of those challenges, and the strategies used to address them, including training.</w:t>
            </w:r>
          </w:p>
        </w:tc>
        <w:tc>
          <w:tcPr>
            <w:tcW w:w="1134" w:type="dxa"/>
            <w:tcBorders>
              <w:top w:val="single" w:sz="4" w:space="0" w:color="auto"/>
              <w:bottom w:val="single" w:sz="4" w:space="0" w:color="auto"/>
            </w:tcBorders>
          </w:tcPr>
          <w:p w14:paraId="4B4FE557"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April – December 2021</w:t>
            </w:r>
          </w:p>
        </w:tc>
        <w:tc>
          <w:tcPr>
            <w:tcW w:w="1701" w:type="dxa"/>
            <w:tcBorders>
              <w:top w:val="single" w:sz="4" w:space="0" w:color="auto"/>
              <w:bottom w:val="single" w:sz="4" w:space="0" w:color="auto"/>
            </w:tcBorders>
          </w:tcPr>
          <w:p w14:paraId="531E206F" w14:textId="77777777" w:rsidR="00951BB7" w:rsidRPr="00355385" w:rsidRDefault="00951BB7" w:rsidP="00355385">
            <w:pPr>
              <w:pStyle w:val="ESTablebody"/>
              <w:rPr>
                <w:rFonts w:ascii="Calibri" w:hAnsi="Calibri" w:cs="Calibri"/>
                <w:sz w:val="16"/>
                <w:szCs w:val="16"/>
              </w:rPr>
            </w:pPr>
            <w:r w:rsidRPr="00355385">
              <w:rPr>
                <w:rFonts w:ascii="Calibri" w:hAnsi="Calibri" w:cs="Calibri"/>
                <w:sz w:val="16"/>
                <w:szCs w:val="16"/>
              </w:rPr>
              <w:t>To use the survey results to help identify areas of skill demand and provide insights that help improve the TAFE and training system, so that it better meets the needs of employers.</w:t>
            </w:r>
          </w:p>
        </w:tc>
        <w:tc>
          <w:tcPr>
            <w:tcW w:w="1134" w:type="dxa"/>
            <w:tcBorders>
              <w:top w:val="single" w:sz="4" w:space="0" w:color="auto"/>
              <w:bottom w:val="single" w:sz="4" w:space="0" w:color="auto"/>
            </w:tcBorders>
          </w:tcPr>
          <w:p w14:paraId="45CF1665"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433,000</w:t>
            </w:r>
          </w:p>
        </w:tc>
        <w:tc>
          <w:tcPr>
            <w:tcW w:w="993" w:type="dxa"/>
            <w:tcBorders>
              <w:top w:val="single" w:sz="4" w:space="0" w:color="auto"/>
              <w:bottom w:val="single" w:sz="4" w:space="0" w:color="auto"/>
            </w:tcBorders>
          </w:tcPr>
          <w:p w14:paraId="349AF2E4"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w:t>
            </w:r>
          </w:p>
        </w:tc>
        <w:tc>
          <w:tcPr>
            <w:tcW w:w="1622" w:type="dxa"/>
            <w:tcBorders>
              <w:top w:val="single" w:sz="4" w:space="0" w:color="auto"/>
              <w:bottom w:val="single" w:sz="4" w:space="0" w:color="auto"/>
            </w:tcBorders>
          </w:tcPr>
          <w:p w14:paraId="3764D245" w14:textId="77777777" w:rsidR="00951BB7" w:rsidRPr="00925213" w:rsidRDefault="00951BB7" w:rsidP="00375B4C">
            <w:pPr>
              <w:spacing w:before="120" w:after="120"/>
              <w:jc w:val="right"/>
              <w:rPr>
                <w:rFonts w:ascii="Calibri" w:eastAsia="Times New Roman" w:hAnsi="Calibri" w:cs="Calibri"/>
                <w:sz w:val="16"/>
                <w:szCs w:val="16"/>
                <w:lang w:val="en-US"/>
              </w:rPr>
            </w:pPr>
            <w:r w:rsidRPr="00925213">
              <w:rPr>
                <w:rFonts w:ascii="Calibri" w:eastAsia="Times New Roman" w:hAnsi="Calibri" w:cs="Calibri"/>
                <w:sz w:val="16"/>
                <w:szCs w:val="16"/>
                <w:lang w:val="en-US"/>
              </w:rPr>
              <w:t>Y</w:t>
            </w:r>
          </w:p>
          <w:p w14:paraId="31E378CF" w14:textId="77777777" w:rsidR="00951BB7" w:rsidRPr="00925213" w:rsidRDefault="00951BB7" w:rsidP="00375B4C">
            <w:pPr>
              <w:spacing w:before="120" w:after="120"/>
              <w:jc w:val="right"/>
              <w:rPr>
                <w:rFonts w:ascii="Calibri" w:eastAsia="Times New Roman" w:hAnsi="Calibri" w:cs="Calibri"/>
                <w:b/>
                <w:bCs/>
                <w:sz w:val="16"/>
                <w:szCs w:val="16"/>
                <w:lang w:val="en-US"/>
              </w:rPr>
            </w:pPr>
            <w:r w:rsidRPr="00925213">
              <w:rPr>
                <w:rFonts w:ascii="Calibri" w:eastAsia="Times New Roman" w:hAnsi="Calibri" w:cs="Calibri"/>
                <w:sz w:val="16"/>
                <w:szCs w:val="16"/>
                <w:lang w:val="en-US"/>
              </w:rPr>
              <w:t>The 2021 Employer Skills Survey will be published at:</w:t>
            </w:r>
            <w:r w:rsidRPr="00925213">
              <w:rPr>
                <w:rFonts w:ascii="Calibri" w:hAnsi="Calibri" w:cs="Calibri"/>
                <w:color w:val="000000"/>
                <w:sz w:val="16"/>
                <w:szCs w:val="16"/>
                <w:shd w:val="clear" w:color="auto" w:fill="FFFF00"/>
                <w:lang w:val="en-US"/>
              </w:rPr>
              <w:t xml:space="preserve"> </w:t>
            </w:r>
            <w:hyperlink r:id="rId20" w:history="1">
              <w:r w:rsidRPr="00925213">
                <w:rPr>
                  <w:rStyle w:val="Hyperlink"/>
                  <w:rFonts w:ascii="Calibri" w:hAnsi="Calibri" w:cs="Calibri"/>
                  <w:sz w:val="18"/>
                  <w:szCs w:val="18"/>
                </w:rPr>
                <w:t>https://www.education.vic.gov.au/training/providers/market/Pages/employersurvey.aspx</w:t>
              </w:r>
            </w:hyperlink>
            <w:r w:rsidRPr="00925213">
              <w:rPr>
                <w:rFonts w:ascii="Calibri" w:hAnsi="Calibri" w:cs="Calibri"/>
              </w:rPr>
              <w:t xml:space="preserve"> </w:t>
            </w:r>
          </w:p>
        </w:tc>
      </w:tr>
      <w:tr w:rsidR="00951BB7" w:rsidRPr="00925213" w14:paraId="4F01EBBE" w14:textId="77777777" w:rsidTr="00383663">
        <w:trPr>
          <w:cantSplit/>
          <w:trHeight w:val="628"/>
        </w:trPr>
        <w:tc>
          <w:tcPr>
            <w:tcW w:w="1696" w:type="dxa"/>
            <w:tcBorders>
              <w:top w:val="single" w:sz="4" w:space="0" w:color="auto"/>
              <w:bottom w:val="single" w:sz="4" w:space="0" w:color="auto"/>
            </w:tcBorders>
            <w:shd w:val="clear" w:color="auto" w:fill="auto"/>
          </w:tcPr>
          <w:p w14:paraId="1E91C018"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lastRenderedPageBreak/>
              <w:t>Victorian government school music programs evaluation</w:t>
            </w:r>
          </w:p>
          <w:p w14:paraId="58831C87" w14:textId="77777777" w:rsidR="00951BB7" w:rsidRPr="00946824" w:rsidRDefault="00951BB7" w:rsidP="00375B4C">
            <w:pPr>
              <w:pStyle w:val="ESTablebody"/>
              <w:rPr>
                <w:rFonts w:ascii="Calibri" w:hAnsi="Calibri" w:cs="Calibri"/>
                <w:sz w:val="16"/>
                <w:szCs w:val="16"/>
              </w:rPr>
            </w:pPr>
            <w:r>
              <w:rPr>
                <w:rFonts w:ascii="Calibri" w:hAnsi="Calibri" w:cs="Calibri"/>
                <w:sz w:val="16"/>
                <w:szCs w:val="16"/>
              </w:rPr>
              <w:t>(</w:t>
            </w:r>
            <w:r w:rsidRPr="00946824">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38EA4FA5"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ARTD</w:t>
            </w:r>
            <w:r>
              <w:rPr>
                <w:rFonts w:ascii="Calibri" w:hAnsi="Calibri" w:cs="Calibri"/>
                <w:sz w:val="16"/>
                <w:szCs w:val="16"/>
              </w:rPr>
              <w:t xml:space="preserve"> Pty Ltd</w:t>
            </w:r>
          </w:p>
        </w:tc>
        <w:tc>
          <w:tcPr>
            <w:tcW w:w="2127" w:type="dxa"/>
            <w:tcBorders>
              <w:top w:val="single" w:sz="4" w:space="0" w:color="auto"/>
              <w:bottom w:val="single" w:sz="4" w:space="0" w:color="auto"/>
            </w:tcBorders>
            <w:shd w:val="clear" w:color="auto" w:fill="auto"/>
          </w:tcPr>
          <w:p w14:paraId="0FFE364D" w14:textId="77777777" w:rsidR="00951BB7" w:rsidRPr="00355385" w:rsidRDefault="00951BB7" w:rsidP="00375B4C">
            <w:pPr>
              <w:pStyle w:val="ESTablebody"/>
              <w:rPr>
                <w:rFonts w:ascii="Calibri" w:hAnsi="Calibri" w:cs="Calibri"/>
                <w:sz w:val="16"/>
                <w:szCs w:val="16"/>
              </w:rPr>
            </w:pPr>
            <w:r w:rsidRPr="00946824">
              <w:rPr>
                <w:rFonts w:ascii="Calibri" w:hAnsi="Calibri" w:cs="Calibri"/>
                <w:sz w:val="16"/>
                <w:szCs w:val="16"/>
              </w:rPr>
              <w:t>To evaluate music programs in Victorian government schools.</w:t>
            </w:r>
          </w:p>
        </w:tc>
        <w:tc>
          <w:tcPr>
            <w:tcW w:w="2409" w:type="dxa"/>
            <w:tcBorders>
              <w:top w:val="single" w:sz="4" w:space="0" w:color="auto"/>
              <w:bottom w:val="single" w:sz="4" w:space="0" w:color="auto"/>
            </w:tcBorders>
          </w:tcPr>
          <w:p w14:paraId="2675D4C8"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To assess the effectiveness of music programs and identify significant challenges in the provision of quality music education in Victorian government schools.</w:t>
            </w:r>
          </w:p>
          <w:p w14:paraId="1170C7F6" w14:textId="77777777" w:rsidR="00951BB7" w:rsidRPr="00355385"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2EB3F0E6" w14:textId="77777777" w:rsidR="00951BB7" w:rsidRPr="00946824" w:rsidRDefault="00951BB7" w:rsidP="00375B4C">
            <w:pPr>
              <w:pStyle w:val="ESTablebody"/>
              <w:rPr>
                <w:rFonts w:ascii="Calibri" w:hAnsi="Calibri" w:cs="Calibri"/>
                <w:sz w:val="16"/>
                <w:szCs w:val="16"/>
              </w:rPr>
            </w:pPr>
            <w:r w:rsidRPr="00946824">
              <w:rPr>
                <w:rFonts w:ascii="Calibri" w:hAnsi="Calibri" w:cs="Calibri"/>
                <w:sz w:val="16"/>
                <w:szCs w:val="16"/>
              </w:rPr>
              <w:t>June – December 2021</w:t>
            </w:r>
          </w:p>
        </w:tc>
        <w:tc>
          <w:tcPr>
            <w:tcW w:w="1701" w:type="dxa"/>
            <w:tcBorders>
              <w:top w:val="single" w:sz="4" w:space="0" w:color="auto"/>
              <w:bottom w:val="single" w:sz="4" w:space="0" w:color="auto"/>
            </w:tcBorders>
          </w:tcPr>
          <w:p w14:paraId="482D7ACD" w14:textId="77777777" w:rsidR="00951BB7" w:rsidRPr="00355385" w:rsidRDefault="00951BB7" w:rsidP="00375B4C">
            <w:pPr>
              <w:tabs>
                <w:tab w:val="left" w:pos="709"/>
                <w:tab w:val="left" w:pos="1418"/>
                <w:tab w:val="left" w:pos="2126"/>
                <w:tab w:val="right" w:pos="9356"/>
              </w:tabs>
              <w:overflowPunct w:val="0"/>
              <w:autoSpaceDE w:val="0"/>
              <w:autoSpaceDN w:val="0"/>
              <w:adjustRightInd w:val="0"/>
              <w:spacing w:before="60" w:after="60"/>
              <w:textAlignment w:val="baseline"/>
              <w:rPr>
                <w:rFonts w:ascii="Calibri" w:eastAsiaTheme="minorEastAsia" w:hAnsi="Calibri" w:cs="Calibri"/>
                <w:sz w:val="16"/>
                <w:szCs w:val="16"/>
                <w:lang w:val="en-US"/>
              </w:rPr>
            </w:pPr>
            <w:r w:rsidRPr="00355385">
              <w:rPr>
                <w:rFonts w:ascii="Calibri" w:eastAsiaTheme="minorEastAsia" w:hAnsi="Calibri" w:cs="Calibri"/>
                <w:sz w:val="16"/>
                <w:szCs w:val="16"/>
                <w:lang w:val="en-US"/>
              </w:rPr>
              <w:t>A report that informs and improves program scope for future implementation and improves future music initiatives.</w:t>
            </w:r>
          </w:p>
          <w:p w14:paraId="13CCDCBF" w14:textId="77777777" w:rsidR="00951BB7" w:rsidRPr="00946824" w:rsidRDefault="00951BB7" w:rsidP="00375B4C">
            <w:pPr>
              <w:pStyle w:val="ESTablebody"/>
              <w:rPr>
                <w:rFonts w:ascii="Calibri" w:hAnsi="Calibri" w:cs="Calibri"/>
                <w:sz w:val="16"/>
                <w:szCs w:val="16"/>
              </w:rPr>
            </w:pPr>
          </w:p>
        </w:tc>
        <w:tc>
          <w:tcPr>
            <w:tcW w:w="1134" w:type="dxa"/>
            <w:tcBorders>
              <w:top w:val="single" w:sz="4" w:space="0" w:color="auto"/>
              <w:bottom w:val="single" w:sz="4" w:space="0" w:color="auto"/>
            </w:tcBorders>
          </w:tcPr>
          <w:p w14:paraId="353D4FCC"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121,485</w:t>
            </w:r>
          </w:p>
        </w:tc>
        <w:tc>
          <w:tcPr>
            <w:tcW w:w="993" w:type="dxa"/>
            <w:tcBorders>
              <w:top w:val="single" w:sz="4" w:space="0" w:color="auto"/>
              <w:bottom w:val="single" w:sz="4" w:space="0" w:color="auto"/>
            </w:tcBorders>
          </w:tcPr>
          <w:p w14:paraId="0C2B18BC"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w:t>
            </w:r>
          </w:p>
        </w:tc>
        <w:tc>
          <w:tcPr>
            <w:tcW w:w="1622" w:type="dxa"/>
            <w:tcBorders>
              <w:top w:val="single" w:sz="4" w:space="0" w:color="auto"/>
              <w:bottom w:val="single" w:sz="4" w:space="0" w:color="auto"/>
            </w:tcBorders>
          </w:tcPr>
          <w:p w14:paraId="6C608CAE" w14:textId="77777777" w:rsidR="00951BB7" w:rsidRPr="00946824" w:rsidRDefault="00951BB7" w:rsidP="00375B4C">
            <w:pPr>
              <w:pStyle w:val="ESTablebody"/>
              <w:jc w:val="right"/>
              <w:rPr>
                <w:rFonts w:ascii="Calibri" w:hAnsi="Calibri" w:cs="Calibri"/>
                <w:sz w:val="16"/>
                <w:szCs w:val="16"/>
              </w:rPr>
            </w:pPr>
            <w:r w:rsidRPr="00946824">
              <w:rPr>
                <w:rFonts w:ascii="Calibri" w:hAnsi="Calibri" w:cs="Calibri"/>
                <w:sz w:val="16"/>
                <w:szCs w:val="16"/>
              </w:rPr>
              <w:t>N</w:t>
            </w:r>
          </w:p>
        </w:tc>
      </w:tr>
      <w:tr w:rsidR="00951BB7" w:rsidRPr="00925213" w14:paraId="102D5587" w14:textId="77777777" w:rsidTr="00383663">
        <w:trPr>
          <w:cantSplit/>
          <w:trHeight w:val="628"/>
        </w:trPr>
        <w:tc>
          <w:tcPr>
            <w:tcW w:w="1696" w:type="dxa"/>
            <w:tcBorders>
              <w:top w:val="single" w:sz="4" w:space="0" w:color="auto"/>
              <w:bottom w:val="single" w:sz="4" w:space="0" w:color="auto"/>
            </w:tcBorders>
            <w:shd w:val="clear" w:color="auto" w:fill="auto"/>
          </w:tcPr>
          <w:p w14:paraId="17BDADAB"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Visiting Teacher Service (VTS) project</w:t>
            </w:r>
          </w:p>
          <w:p w14:paraId="62BC4433" w14:textId="77777777" w:rsidR="00951BB7" w:rsidRPr="00925213" w:rsidRDefault="00951BB7" w:rsidP="00375B4C">
            <w:pPr>
              <w:pStyle w:val="ESTablebody"/>
              <w:rPr>
                <w:rFonts w:ascii="Calibri" w:hAnsi="Calibri" w:cs="Calibri"/>
                <w:sz w:val="16"/>
                <w:szCs w:val="16"/>
              </w:rPr>
            </w:pPr>
            <w:r>
              <w:rPr>
                <w:rFonts w:ascii="Calibri" w:hAnsi="Calibri" w:cs="Calibri"/>
                <w:sz w:val="16"/>
                <w:szCs w:val="16"/>
              </w:rPr>
              <w:t>(</w:t>
            </w:r>
            <w:r w:rsidRPr="00925213">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6B913284" w14:textId="77777777" w:rsidR="00951BB7" w:rsidRPr="00925213" w:rsidRDefault="00951BB7" w:rsidP="00375B4C">
            <w:pPr>
              <w:pStyle w:val="ESTablebody"/>
              <w:rPr>
                <w:rFonts w:ascii="Calibri" w:hAnsi="Calibri" w:cs="Calibri"/>
                <w:sz w:val="16"/>
                <w:szCs w:val="16"/>
              </w:rPr>
            </w:pPr>
            <w:proofErr w:type="spellStart"/>
            <w:r w:rsidRPr="00925213">
              <w:rPr>
                <w:rFonts w:ascii="Calibri" w:hAnsi="Calibri" w:cs="Calibri"/>
                <w:sz w:val="16"/>
                <w:szCs w:val="16"/>
              </w:rPr>
              <w:t>Dandolo</w:t>
            </w:r>
            <w:proofErr w:type="spellEnd"/>
            <w:r w:rsidRPr="00925213">
              <w:rPr>
                <w:rFonts w:ascii="Calibri" w:hAnsi="Calibri" w:cs="Calibri"/>
                <w:sz w:val="16"/>
                <w:szCs w:val="16"/>
              </w:rPr>
              <w:t xml:space="preserve"> </w:t>
            </w:r>
            <w:r>
              <w:rPr>
                <w:rFonts w:ascii="Calibri" w:hAnsi="Calibri" w:cs="Calibri"/>
                <w:sz w:val="16"/>
                <w:szCs w:val="16"/>
              </w:rPr>
              <w:t>P</w:t>
            </w:r>
            <w:r w:rsidRPr="00925213">
              <w:rPr>
                <w:rFonts w:ascii="Calibri" w:hAnsi="Calibri" w:cs="Calibri"/>
                <w:sz w:val="16"/>
                <w:szCs w:val="16"/>
              </w:rPr>
              <w:t>artners</w:t>
            </w:r>
          </w:p>
        </w:tc>
        <w:tc>
          <w:tcPr>
            <w:tcW w:w="2127" w:type="dxa"/>
            <w:tcBorders>
              <w:top w:val="single" w:sz="4" w:space="0" w:color="auto"/>
              <w:bottom w:val="single" w:sz="4" w:space="0" w:color="auto"/>
            </w:tcBorders>
            <w:shd w:val="clear" w:color="auto" w:fill="auto"/>
          </w:tcPr>
          <w:p w14:paraId="3C4BD190" w14:textId="77777777" w:rsidR="00951BB7" w:rsidRPr="00355385" w:rsidRDefault="00951BB7" w:rsidP="00A606A0">
            <w:pPr>
              <w:pStyle w:val="ESTablebody"/>
              <w:rPr>
                <w:rFonts w:ascii="Calibri" w:hAnsi="Calibri" w:cs="Calibri"/>
                <w:sz w:val="16"/>
                <w:szCs w:val="16"/>
              </w:rPr>
            </w:pPr>
            <w:r w:rsidRPr="00355385">
              <w:rPr>
                <w:rFonts w:ascii="Calibri" w:hAnsi="Calibri" w:cs="Calibri"/>
                <w:sz w:val="16"/>
                <w:szCs w:val="16"/>
              </w:rPr>
              <w:t xml:space="preserve">To identify VTS needs including, areas of practice to strengthen and evidence-based skills and expertise required to work in multidisciplinary teams and provide guidance to schools and teachers working with students with disabilities and/or additional needs. </w:t>
            </w:r>
          </w:p>
          <w:p w14:paraId="43B35276" w14:textId="77777777" w:rsidR="00951BB7" w:rsidRPr="00355385" w:rsidRDefault="00951BB7" w:rsidP="00375B4C">
            <w:pPr>
              <w:pStyle w:val="ESTablebody"/>
              <w:rPr>
                <w:rFonts w:ascii="Calibri" w:hAnsi="Calibri" w:cs="Calibri"/>
                <w:sz w:val="16"/>
                <w:szCs w:val="16"/>
              </w:rPr>
            </w:pPr>
          </w:p>
        </w:tc>
        <w:tc>
          <w:tcPr>
            <w:tcW w:w="2409" w:type="dxa"/>
            <w:tcBorders>
              <w:top w:val="single" w:sz="4" w:space="0" w:color="auto"/>
              <w:bottom w:val="single" w:sz="4" w:space="0" w:color="auto"/>
            </w:tcBorders>
          </w:tcPr>
          <w:p w14:paraId="516F47D7" w14:textId="77777777" w:rsidR="00951BB7" w:rsidRPr="00355385" w:rsidRDefault="00951BB7" w:rsidP="00375B4C">
            <w:pPr>
              <w:pStyle w:val="ESTablebody"/>
              <w:rPr>
                <w:rFonts w:ascii="Calibri" w:hAnsi="Calibri" w:cs="Calibri"/>
                <w:sz w:val="16"/>
                <w:szCs w:val="16"/>
              </w:rPr>
            </w:pPr>
            <w:r w:rsidRPr="00355385">
              <w:rPr>
                <w:rFonts w:ascii="Calibri" w:hAnsi="Calibri" w:cs="Calibri"/>
                <w:sz w:val="16"/>
                <w:szCs w:val="16"/>
              </w:rPr>
              <w:t>To design and implement an inclusive and multi-modal consultation plan to engage with key stakeholders to identify VTS needs; conduct a national review identifying the approaches each state/territory implement to support the equivalent workforce to VTS in their state/territory.</w:t>
            </w:r>
          </w:p>
        </w:tc>
        <w:tc>
          <w:tcPr>
            <w:tcW w:w="1134" w:type="dxa"/>
            <w:tcBorders>
              <w:top w:val="single" w:sz="4" w:space="0" w:color="auto"/>
              <w:bottom w:val="single" w:sz="4" w:space="0" w:color="auto"/>
            </w:tcBorders>
          </w:tcPr>
          <w:p w14:paraId="3523EE2E"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May – June 2021</w:t>
            </w:r>
          </w:p>
        </w:tc>
        <w:tc>
          <w:tcPr>
            <w:tcW w:w="1701" w:type="dxa"/>
            <w:tcBorders>
              <w:top w:val="single" w:sz="4" w:space="0" w:color="auto"/>
              <w:bottom w:val="single" w:sz="4" w:space="0" w:color="auto"/>
            </w:tcBorders>
          </w:tcPr>
          <w:p w14:paraId="3E7523D7" w14:textId="77777777" w:rsidR="00951BB7" w:rsidRPr="00925213" w:rsidRDefault="00951BB7" w:rsidP="00375B4C">
            <w:pPr>
              <w:pStyle w:val="ESTablebody"/>
              <w:rPr>
                <w:rFonts w:ascii="Calibri" w:hAnsi="Calibri" w:cs="Calibri"/>
                <w:sz w:val="16"/>
                <w:szCs w:val="16"/>
              </w:rPr>
            </w:pPr>
            <w:r w:rsidRPr="00925213">
              <w:rPr>
                <w:rFonts w:ascii="Calibri" w:hAnsi="Calibri" w:cs="Calibri"/>
                <w:sz w:val="16"/>
                <w:szCs w:val="16"/>
              </w:rPr>
              <w:t xml:space="preserve">A report that provides a national review of approaches implemented in other jurisdictions to support VTS equivalent workforces. The report will </w:t>
            </w:r>
            <w:r w:rsidRPr="00355385">
              <w:rPr>
                <w:rFonts w:ascii="Calibri" w:hAnsi="Calibri" w:cs="Calibri"/>
                <w:sz w:val="16"/>
                <w:szCs w:val="16"/>
              </w:rPr>
              <w:t xml:space="preserve">identify, </w:t>
            </w:r>
            <w:proofErr w:type="gramStart"/>
            <w:r w:rsidRPr="00355385">
              <w:rPr>
                <w:rFonts w:ascii="Calibri" w:hAnsi="Calibri" w:cs="Calibri"/>
                <w:sz w:val="16"/>
                <w:szCs w:val="16"/>
              </w:rPr>
              <w:t>describe</w:t>
            </w:r>
            <w:proofErr w:type="gramEnd"/>
            <w:r w:rsidRPr="00355385">
              <w:rPr>
                <w:rFonts w:ascii="Calibri" w:hAnsi="Calibri" w:cs="Calibri"/>
                <w:sz w:val="16"/>
                <w:szCs w:val="16"/>
              </w:rPr>
              <w:t xml:space="preserve"> and map the current </w:t>
            </w:r>
            <w:r w:rsidRPr="00925213">
              <w:rPr>
                <w:rFonts w:ascii="Calibri" w:hAnsi="Calibri" w:cs="Calibri"/>
                <w:sz w:val="16"/>
                <w:szCs w:val="16"/>
              </w:rPr>
              <w:t>practices</w:t>
            </w:r>
            <w:r w:rsidRPr="00355385">
              <w:rPr>
                <w:rFonts w:ascii="Calibri" w:hAnsi="Calibri" w:cs="Calibri"/>
                <w:sz w:val="16"/>
                <w:szCs w:val="16"/>
              </w:rPr>
              <w:t>, workflow and needs of the VTS.</w:t>
            </w:r>
          </w:p>
        </w:tc>
        <w:tc>
          <w:tcPr>
            <w:tcW w:w="1134" w:type="dxa"/>
            <w:tcBorders>
              <w:top w:val="single" w:sz="4" w:space="0" w:color="auto"/>
              <w:bottom w:val="single" w:sz="4" w:space="0" w:color="auto"/>
            </w:tcBorders>
          </w:tcPr>
          <w:p w14:paraId="2EECD3BC"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125,000</w:t>
            </w:r>
          </w:p>
        </w:tc>
        <w:tc>
          <w:tcPr>
            <w:tcW w:w="993" w:type="dxa"/>
            <w:tcBorders>
              <w:top w:val="single" w:sz="4" w:space="0" w:color="auto"/>
              <w:bottom w:val="single" w:sz="4" w:space="0" w:color="auto"/>
            </w:tcBorders>
          </w:tcPr>
          <w:p w14:paraId="4E83AAF6" w14:textId="77777777" w:rsidR="00951BB7" w:rsidRPr="00925213" w:rsidRDefault="00951BB7" w:rsidP="00375B4C">
            <w:pPr>
              <w:pStyle w:val="ESTablebody"/>
              <w:jc w:val="right"/>
              <w:rPr>
                <w:rFonts w:ascii="Calibri" w:hAnsi="Calibri" w:cs="Calibri"/>
                <w:sz w:val="16"/>
                <w:szCs w:val="16"/>
              </w:rPr>
            </w:pPr>
            <w:r w:rsidRPr="002C38B2">
              <w:rPr>
                <w:rFonts w:ascii="Calibri" w:hAnsi="Calibri" w:cs="Calibri"/>
                <w:sz w:val="16"/>
                <w:szCs w:val="16"/>
              </w:rPr>
              <w:t>124 394</w:t>
            </w:r>
          </w:p>
        </w:tc>
        <w:tc>
          <w:tcPr>
            <w:tcW w:w="1622" w:type="dxa"/>
            <w:tcBorders>
              <w:top w:val="single" w:sz="4" w:space="0" w:color="auto"/>
              <w:bottom w:val="single" w:sz="4" w:space="0" w:color="auto"/>
            </w:tcBorders>
          </w:tcPr>
          <w:p w14:paraId="2C428D23" w14:textId="77777777" w:rsidR="00951BB7" w:rsidRPr="00925213" w:rsidRDefault="00951BB7" w:rsidP="00375B4C">
            <w:pPr>
              <w:pStyle w:val="ESTablebody"/>
              <w:jc w:val="right"/>
              <w:rPr>
                <w:rFonts w:ascii="Calibri" w:hAnsi="Calibri" w:cs="Calibri"/>
                <w:sz w:val="16"/>
                <w:szCs w:val="16"/>
              </w:rPr>
            </w:pPr>
            <w:r w:rsidRPr="00925213">
              <w:rPr>
                <w:rFonts w:ascii="Calibri" w:hAnsi="Calibri" w:cs="Calibri"/>
                <w:sz w:val="16"/>
                <w:szCs w:val="16"/>
              </w:rPr>
              <w:t>N</w:t>
            </w:r>
          </w:p>
        </w:tc>
      </w:tr>
      <w:tr w:rsidR="00951BB7" w:rsidRPr="00925213" w14:paraId="6A1AE5FD" w14:textId="77777777" w:rsidTr="00B22FBC">
        <w:trPr>
          <w:cantSplit/>
          <w:trHeight w:val="628"/>
        </w:trPr>
        <w:tc>
          <w:tcPr>
            <w:tcW w:w="1696" w:type="dxa"/>
            <w:tcBorders>
              <w:top w:val="single" w:sz="4" w:space="0" w:color="auto"/>
              <w:bottom w:val="single" w:sz="4" w:space="0" w:color="auto"/>
            </w:tcBorders>
            <w:shd w:val="clear" w:color="auto" w:fill="auto"/>
          </w:tcPr>
          <w:p w14:paraId="3636DF68" w14:textId="77777777" w:rsidR="00951BB7" w:rsidRPr="00B22FBC" w:rsidRDefault="00951BB7" w:rsidP="00B22FBC">
            <w:pPr>
              <w:pStyle w:val="ESTablebody"/>
              <w:rPr>
                <w:rFonts w:ascii="Calibri" w:hAnsi="Calibri" w:cs="Calibri"/>
                <w:sz w:val="16"/>
                <w:szCs w:val="16"/>
              </w:rPr>
            </w:pPr>
            <w:r w:rsidRPr="00B22FBC">
              <w:rPr>
                <w:rFonts w:ascii="Calibri" w:hAnsi="Calibri" w:cs="Calibri"/>
                <w:sz w:val="16"/>
                <w:szCs w:val="16"/>
              </w:rPr>
              <w:t>Women in School Leadership pilot program evaluation</w:t>
            </w:r>
          </w:p>
          <w:p w14:paraId="72255792" w14:textId="77777777" w:rsidR="00951BB7" w:rsidRPr="00B22FBC" w:rsidRDefault="00951BB7" w:rsidP="00B22FBC">
            <w:pPr>
              <w:pStyle w:val="ESTablebody"/>
              <w:rPr>
                <w:rFonts w:ascii="Calibri" w:hAnsi="Calibri" w:cs="Calibri"/>
                <w:sz w:val="16"/>
                <w:szCs w:val="16"/>
              </w:rPr>
            </w:pPr>
            <w:r>
              <w:rPr>
                <w:rFonts w:ascii="Calibri" w:hAnsi="Calibri" w:cs="Calibri"/>
                <w:sz w:val="16"/>
                <w:szCs w:val="16"/>
              </w:rPr>
              <w:t>(</w:t>
            </w:r>
            <w:r w:rsidRPr="00B22FBC">
              <w:rPr>
                <w:rFonts w:ascii="Calibri" w:hAnsi="Calibri" w:cs="Calibri"/>
                <w:sz w:val="16"/>
                <w:szCs w:val="16"/>
              </w:rPr>
              <w:t>Education portfolio, School education – Primary and Secondary</w:t>
            </w:r>
            <w:r>
              <w:rPr>
                <w:rFonts w:ascii="Calibri" w:hAnsi="Calibri" w:cs="Calibri"/>
                <w:sz w:val="16"/>
                <w:szCs w:val="16"/>
              </w:rPr>
              <w:t>)</w:t>
            </w:r>
          </w:p>
        </w:tc>
        <w:tc>
          <w:tcPr>
            <w:tcW w:w="1134" w:type="dxa"/>
            <w:tcBorders>
              <w:top w:val="single" w:sz="4" w:space="0" w:color="auto"/>
              <w:bottom w:val="single" w:sz="4" w:space="0" w:color="auto"/>
            </w:tcBorders>
            <w:shd w:val="clear" w:color="auto" w:fill="auto"/>
          </w:tcPr>
          <w:p w14:paraId="1D9D5E1F" w14:textId="77777777" w:rsidR="00951BB7" w:rsidRPr="00B22FBC" w:rsidRDefault="00951BB7" w:rsidP="00B22FBC">
            <w:pPr>
              <w:pStyle w:val="ESTablebody"/>
              <w:rPr>
                <w:rFonts w:ascii="Calibri" w:hAnsi="Calibri" w:cs="Calibri"/>
                <w:sz w:val="16"/>
                <w:szCs w:val="16"/>
              </w:rPr>
            </w:pPr>
            <w:r w:rsidRPr="00B22FBC">
              <w:rPr>
                <w:rFonts w:ascii="Calibri" w:hAnsi="Calibri" w:cs="Calibri"/>
                <w:sz w:val="16"/>
                <w:szCs w:val="16"/>
              </w:rPr>
              <w:t>Asia Education Foundation</w:t>
            </w:r>
          </w:p>
        </w:tc>
        <w:tc>
          <w:tcPr>
            <w:tcW w:w="2127" w:type="dxa"/>
            <w:tcBorders>
              <w:top w:val="single" w:sz="4" w:space="0" w:color="auto"/>
              <w:bottom w:val="single" w:sz="4" w:space="0" w:color="auto"/>
            </w:tcBorders>
            <w:shd w:val="clear" w:color="auto" w:fill="auto"/>
          </w:tcPr>
          <w:p w14:paraId="39309C43" w14:textId="77777777" w:rsidR="00951BB7" w:rsidRPr="00B22FBC" w:rsidRDefault="00951BB7" w:rsidP="00B22FBC">
            <w:pPr>
              <w:pStyle w:val="ESTablebody"/>
              <w:rPr>
                <w:rFonts w:ascii="Calibri" w:hAnsi="Calibri" w:cs="Calibri"/>
                <w:sz w:val="16"/>
                <w:szCs w:val="16"/>
              </w:rPr>
            </w:pPr>
            <w:r w:rsidRPr="00B22FBC">
              <w:rPr>
                <w:rFonts w:ascii="Calibri" w:hAnsi="Calibri" w:cs="Calibri"/>
                <w:sz w:val="16"/>
                <w:szCs w:val="16"/>
              </w:rPr>
              <w:t>To review the Women in School Leadership pilot program and determine areas of success and future improvement for similar programs</w:t>
            </w:r>
            <w:r>
              <w:rPr>
                <w:rFonts w:ascii="Calibri" w:hAnsi="Calibri" w:cs="Calibri"/>
                <w:sz w:val="16"/>
                <w:szCs w:val="16"/>
              </w:rPr>
              <w:t>.</w:t>
            </w:r>
          </w:p>
        </w:tc>
        <w:tc>
          <w:tcPr>
            <w:tcW w:w="2409" w:type="dxa"/>
            <w:tcBorders>
              <w:top w:val="single" w:sz="4" w:space="0" w:color="auto"/>
              <w:bottom w:val="single" w:sz="4" w:space="0" w:color="auto"/>
            </w:tcBorders>
          </w:tcPr>
          <w:p w14:paraId="18E77761" w14:textId="77777777" w:rsidR="00951BB7" w:rsidRPr="00B22FBC" w:rsidRDefault="00951BB7" w:rsidP="00B22FBC">
            <w:pPr>
              <w:pStyle w:val="ESTablebody"/>
              <w:rPr>
                <w:rFonts w:ascii="Calibri" w:hAnsi="Calibri" w:cs="Calibri"/>
                <w:sz w:val="16"/>
                <w:szCs w:val="16"/>
              </w:rPr>
            </w:pPr>
            <w:r w:rsidRPr="00B22FBC">
              <w:rPr>
                <w:rFonts w:ascii="Calibri" w:hAnsi="Calibri" w:cs="Calibri"/>
                <w:sz w:val="16"/>
                <w:szCs w:val="16"/>
              </w:rPr>
              <w:t xml:space="preserve">To report </w:t>
            </w:r>
            <w:r>
              <w:rPr>
                <w:rFonts w:ascii="Calibri" w:hAnsi="Calibri" w:cs="Calibri"/>
                <w:sz w:val="16"/>
                <w:szCs w:val="16"/>
              </w:rPr>
              <w:t>on</w:t>
            </w:r>
            <w:r w:rsidRPr="00B22FBC">
              <w:rPr>
                <w:rFonts w:ascii="Calibri" w:hAnsi="Calibri" w:cs="Calibri"/>
                <w:sz w:val="16"/>
                <w:szCs w:val="16"/>
              </w:rPr>
              <w:t xml:space="preserve"> </w:t>
            </w:r>
            <w:r>
              <w:rPr>
                <w:rFonts w:ascii="Calibri" w:hAnsi="Calibri" w:cs="Calibri"/>
                <w:sz w:val="16"/>
                <w:szCs w:val="16"/>
              </w:rPr>
              <w:t>whether</w:t>
            </w:r>
            <w:r w:rsidRPr="00B22FBC">
              <w:rPr>
                <w:rFonts w:ascii="Calibri" w:hAnsi="Calibri" w:cs="Calibri"/>
                <w:sz w:val="16"/>
                <w:szCs w:val="16"/>
              </w:rPr>
              <w:t xml:space="preserve"> the program enhanced participating principals’ intercultural skills, leadership capacity and tools to lead social change particularly in the realm of health and wellbeing and measure how the principals implemented </w:t>
            </w:r>
            <w:r>
              <w:rPr>
                <w:rFonts w:ascii="Calibri" w:hAnsi="Calibri" w:cs="Calibri"/>
                <w:sz w:val="16"/>
                <w:szCs w:val="16"/>
              </w:rPr>
              <w:t>program learnings</w:t>
            </w:r>
            <w:r w:rsidRPr="00B22FBC">
              <w:rPr>
                <w:rFonts w:ascii="Calibri" w:hAnsi="Calibri" w:cs="Calibri"/>
                <w:sz w:val="16"/>
                <w:szCs w:val="16"/>
              </w:rPr>
              <w:t>.</w:t>
            </w:r>
          </w:p>
        </w:tc>
        <w:tc>
          <w:tcPr>
            <w:tcW w:w="1134" w:type="dxa"/>
            <w:tcBorders>
              <w:top w:val="single" w:sz="4" w:space="0" w:color="auto"/>
              <w:bottom w:val="single" w:sz="4" w:space="0" w:color="auto"/>
            </w:tcBorders>
          </w:tcPr>
          <w:p w14:paraId="02DB9132" w14:textId="77777777" w:rsidR="00951BB7" w:rsidRPr="00B22FBC" w:rsidRDefault="00951BB7" w:rsidP="00B22FBC">
            <w:pPr>
              <w:pStyle w:val="ESTablebody"/>
              <w:rPr>
                <w:rFonts w:ascii="Calibri" w:hAnsi="Calibri" w:cs="Calibri"/>
                <w:sz w:val="16"/>
                <w:szCs w:val="16"/>
              </w:rPr>
            </w:pPr>
            <w:r w:rsidRPr="00B22FBC">
              <w:rPr>
                <w:rFonts w:ascii="Calibri" w:hAnsi="Calibri" w:cs="Calibri"/>
                <w:sz w:val="16"/>
                <w:szCs w:val="16"/>
              </w:rPr>
              <w:t>September 2019 – January 2021</w:t>
            </w:r>
          </w:p>
        </w:tc>
        <w:tc>
          <w:tcPr>
            <w:tcW w:w="1701" w:type="dxa"/>
            <w:tcBorders>
              <w:top w:val="single" w:sz="4" w:space="0" w:color="auto"/>
              <w:bottom w:val="single" w:sz="4" w:space="0" w:color="auto"/>
            </w:tcBorders>
          </w:tcPr>
          <w:p w14:paraId="3C5DCD2F" w14:textId="77777777" w:rsidR="00951BB7" w:rsidRPr="00B22FBC" w:rsidRDefault="00951BB7" w:rsidP="00B22FBC">
            <w:pPr>
              <w:pStyle w:val="ESTablebody"/>
              <w:rPr>
                <w:rFonts w:ascii="Calibri" w:hAnsi="Calibri" w:cs="Calibri"/>
                <w:sz w:val="16"/>
                <w:szCs w:val="16"/>
              </w:rPr>
            </w:pPr>
            <w:r>
              <w:rPr>
                <w:rFonts w:ascii="Calibri" w:hAnsi="Calibri" w:cs="Calibri"/>
                <w:sz w:val="16"/>
                <w:szCs w:val="16"/>
              </w:rPr>
              <w:t xml:space="preserve">To </w:t>
            </w:r>
            <w:r w:rsidRPr="00B22FBC">
              <w:rPr>
                <w:rFonts w:ascii="Calibri" w:hAnsi="Calibri" w:cs="Calibri"/>
                <w:sz w:val="16"/>
                <w:szCs w:val="16"/>
              </w:rPr>
              <w:t>guide future professional development programs in global learning and engagement for principals.</w:t>
            </w:r>
          </w:p>
        </w:tc>
        <w:tc>
          <w:tcPr>
            <w:tcW w:w="1134" w:type="dxa"/>
            <w:tcBorders>
              <w:top w:val="single" w:sz="4" w:space="0" w:color="auto"/>
              <w:bottom w:val="single" w:sz="4" w:space="0" w:color="auto"/>
            </w:tcBorders>
          </w:tcPr>
          <w:p w14:paraId="75954962" w14:textId="77777777" w:rsidR="00951BB7" w:rsidRPr="00B22FBC" w:rsidRDefault="00951BB7" w:rsidP="00B22FBC">
            <w:pPr>
              <w:pStyle w:val="ESTablebody"/>
              <w:jc w:val="right"/>
              <w:rPr>
                <w:rFonts w:ascii="Calibri" w:hAnsi="Calibri" w:cs="Calibri"/>
                <w:sz w:val="16"/>
                <w:szCs w:val="16"/>
              </w:rPr>
            </w:pPr>
            <w:r w:rsidRPr="00B22FBC">
              <w:rPr>
                <w:rFonts w:ascii="Calibri" w:hAnsi="Calibri" w:cs="Calibri"/>
                <w:sz w:val="16"/>
                <w:szCs w:val="16"/>
              </w:rPr>
              <w:t>5,341</w:t>
            </w:r>
          </w:p>
        </w:tc>
        <w:tc>
          <w:tcPr>
            <w:tcW w:w="993" w:type="dxa"/>
            <w:tcBorders>
              <w:top w:val="single" w:sz="4" w:space="0" w:color="auto"/>
              <w:bottom w:val="single" w:sz="4" w:space="0" w:color="auto"/>
            </w:tcBorders>
          </w:tcPr>
          <w:p w14:paraId="7B2D261D" w14:textId="77777777" w:rsidR="00951BB7" w:rsidRPr="00B22FBC" w:rsidRDefault="00951BB7" w:rsidP="00B22FBC">
            <w:pPr>
              <w:pStyle w:val="ESTablebody"/>
              <w:jc w:val="right"/>
              <w:rPr>
                <w:rFonts w:ascii="Calibri" w:hAnsi="Calibri" w:cs="Calibri"/>
                <w:sz w:val="16"/>
                <w:szCs w:val="16"/>
              </w:rPr>
            </w:pPr>
            <w:r w:rsidRPr="00B22FBC">
              <w:rPr>
                <w:rFonts w:ascii="Calibri" w:hAnsi="Calibri" w:cs="Calibri"/>
                <w:sz w:val="16"/>
                <w:szCs w:val="16"/>
              </w:rPr>
              <w:t>5,341</w:t>
            </w:r>
          </w:p>
        </w:tc>
        <w:tc>
          <w:tcPr>
            <w:tcW w:w="1622" w:type="dxa"/>
            <w:tcBorders>
              <w:top w:val="single" w:sz="4" w:space="0" w:color="auto"/>
              <w:bottom w:val="single" w:sz="4" w:space="0" w:color="auto"/>
            </w:tcBorders>
          </w:tcPr>
          <w:p w14:paraId="0E1C2DEF" w14:textId="77777777" w:rsidR="00951BB7" w:rsidRPr="00B22FBC" w:rsidRDefault="00951BB7" w:rsidP="00B22FBC">
            <w:pPr>
              <w:pStyle w:val="ESTablebody"/>
              <w:jc w:val="right"/>
              <w:rPr>
                <w:rFonts w:ascii="Calibri" w:hAnsi="Calibri" w:cs="Calibri"/>
                <w:sz w:val="16"/>
                <w:szCs w:val="16"/>
              </w:rPr>
            </w:pPr>
            <w:r w:rsidRPr="00B22FBC">
              <w:rPr>
                <w:rFonts w:ascii="Calibri" w:hAnsi="Calibri" w:cs="Calibri"/>
                <w:sz w:val="16"/>
                <w:szCs w:val="16"/>
              </w:rPr>
              <w:t>N</w:t>
            </w:r>
          </w:p>
        </w:tc>
      </w:tr>
      <w:bookmarkEnd w:id="7"/>
    </w:tbl>
    <w:p w14:paraId="0FD90D51" w14:textId="77777777" w:rsidR="00EF3558" w:rsidRPr="00B85B32" w:rsidRDefault="00EF3558" w:rsidP="00724727">
      <w:pPr>
        <w:rPr>
          <w:rFonts w:ascii="Calibri" w:hAnsi="Calibri" w:cs="Calibri"/>
          <w:b/>
          <w:bCs/>
        </w:rPr>
      </w:pPr>
    </w:p>
    <w:p w14:paraId="726C6DCB" w14:textId="1FFEBDF6" w:rsidR="00350862" w:rsidRPr="00B85B32" w:rsidRDefault="00350862" w:rsidP="00724727">
      <w:pPr>
        <w:rPr>
          <w:rFonts w:ascii="Calibri" w:hAnsi="Calibri" w:cs="Calibri"/>
          <w:b/>
          <w:bCs/>
        </w:rPr>
      </w:pPr>
    </w:p>
    <w:bookmarkEnd w:id="5"/>
    <w:p w14:paraId="621628A7" w14:textId="77777777" w:rsidR="00BE7A69" w:rsidRPr="00B85B32" w:rsidRDefault="00BE7A69" w:rsidP="00724727">
      <w:pPr>
        <w:rPr>
          <w:rFonts w:ascii="Calibri" w:hAnsi="Calibri" w:cs="Calibri"/>
        </w:rPr>
        <w:sectPr w:rsidR="00BE7A69" w:rsidRPr="00B85B32" w:rsidSect="00FB0926">
          <w:pgSz w:w="16840" w:h="11900" w:orient="landscape"/>
          <w:pgMar w:top="1276" w:right="1440" w:bottom="1134" w:left="1440" w:header="709" w:footer="709" w:gutter="0"/>
          <w:cols w:space="708"/>
          <w:docGrid w:linePitch="360"/>
        </w:sectPr>
      </w:pPr>
    </w:p>
    <w:p w14:paraId="3AD88468" w14:textId="116B9076" w:rsidR="00BE7A69" w:rsidRPr="00B85B32" w:rsidRDefault="00BE7A69" w:rsidP="0048665E">
      <w:pPr>
        <w:pStyle w:val="ESHeading1"/>
        <w:rPr>
          <w:rFonts w:ascii="Calibri" w:hAnsi="Calibri" w:cs="Calibri"/>
        </w:rPr>
      </w:pPr>
      <w:bookmarkStart w:id="8" w:name="_Toc8899536"/>
      <w:bookmarkStart w:id="9" w:name="_Toc78458387"/>
      <w:r w:rsidRPr="00B85B32">
        <w:rPr>
          <w:rFonts w:ascii="Calibri" w:hAnsi="Calibri" w:cs="Calibri"/>
        </w:rPr>
        <w:lastRenderedPageBreak/>
        <w:t>Overseas travel</w:t>
      </w:r>
      <w:bookmarkEnd w:id="8"/>
      <w:bookmarkEnd w:id="9"/>
    </w:p>
    <w:p w14:paraId="166A3BA1" w14:textId="525E3F25" w:rsidR="00BE7A69" w:rsidRPr="00B85B32" w:rsidRDefault="006C27C1" w:rsidP="00724727">
      <w:pPr>
        <w:rPr>
          <w:rFonts w:ascii="Calibri" w:hAnsi="Calibri" w:cs="Calibri"/>
        </w:rPr>
        <w:sectPr w:rsidR="00BE7A69" w:rsidRPr="00B85B32" w:rsidSect="00554F68">
          <w:pgSz w:w="11900" w:h="16840"/>
          <w:pgMar w:top="1440" w:right="1276" w:bottom="1440" w:left="1134" w:header="709" w:footer="709" w:gutter="0"/>
          <w:cols w:space="708"/>
          <w:docGrid w:linePitch="360"/>
        </w:sectPr>
      </w:pPr>
      <w:r w:rsidRPr="00B85B32">
        <w:rPr>
          <w:rFonts w:ascii="Calibri" w:hAnsi="Calibri" w:cs="Calibri"/>
          <w:szCs w:val="22"/>
        </w:rPr>
        <w:t xml:space="preserve">In 2020, the Department’s </w:t>
      </w:r>
      <w:r w:rsidR="000A737C" w:rsidRPr="00925213">
        <w:rPr>
          <w:rFonts w:ascii="Calibri" w:hAnsi="Calibri" w:cs="Calibri"/>
          <w:szCs w:val="22"/>
        </w:rPr>
        <w:t>t</w:t>
      </w:r>
      <w:r w:rsidRPr="00925213">
        <w:rPr>
          <w:rFonts w:ascii="Calibri" w:hAnsi="Calibri" w:cs="Calibri"/>
          <w:szCs w:val="22"/>
        </w:rPr>
        <w:t xml:space="preserve">ravel </w:t>
      </w:r>
      <w:r w:rsidR="000A737C" w:rsidRPr="00925213">
        <w:rPr>
          <w:rFonts w:ascii="Calibri" w:hAnsi="Calibri" w:cs="Calibri"/>
          <w:szCs w:val="22"/>
        </w:rPr>
        <w:t>p</w:t>
      </w:r>
      <w:r w:rsidRPr="00925213">
        <w:rPr>
          <w:rFonts w:ascii="Calibri" w:hAnsi="Calibri" w:cs="Calibri"/>
          <w:szCs w:val="22"/>
        </w:rPr>
        <w:t>olicy</w:t>
      </w:r>
      <w:r w:rsidRPr="00B85B32">
        <w:rPr>
          <w:rFonts w:ascii="Calibri" w:hAnsi="Calibri" w:cs="Calibri"/>
          <w:szCs w:val="22"/>
        </w:rPr>
        <w:t xml:space="preserve"> was updated to reflect </w:t>
      </w:r>
      <w:r w:rsidR="001F3C88">
        <w:rPr>
          <w:rFonts w:ascii="Calibri" w:hAnsi="Calibri" w:cs="Calibri"/>
          <w:szCs w:val="22"/>
        </w:rPr>
        <w:t xml:space="preserve">the fact </w:t>
      </w:r>
      <w:r w:rsidRPr="00B85B32">
        <w:rPr>
          <w:rFonts w:ascii="Calibri" w:hAnsi="Calibri" w:cs="Calibri"/>
          <w:szCs w:val="22"/>
        </w:rPr>
        <w:t>that overseas travel is not permitted due to the COVID-19 pandemic and associated travel restrictions. In 2020–21 there were no recorded overseas trips undertaken by school-based or</w:t>
      </w:r>
      <w:r w:rsidR="00803DB4" w:rsidRPr="00B85B32">
        <w:rPr>
          <w:rFonts w:ascii="Calibri" w:hAnsi="Calibri" w:cs="Calibri"/>
        </w:rPr>
        <w:t xml:space="preserve"> corporate staff</w:t>
      </w:r>
      <w:r w:rsidRPr="00B85B32">
        <w:rPr>
          <w:rFonts w:ascii="Calibri" w:hAnsi="Calibri" w:cs="Calibri"/>
        </w:rPr>
        <w:t>.</w:t>
      </w:r>
    </w:p>
    <w:p w14:paraId="4C7C3449" w14:textId="7F6475E4" w:rsidR="00343610" w:rsidRPr="00B85B32" w:rsidRDefault="00343610" w:rsidP="0048665E">
      <w:pPr>
        <w:pStyle w:val="ESHeading1"/>
        <w:rPr>
          <w:rFonts w:ascii="Calibri" w:hAnsi="Calibri" w:cs="Calibri"/>
        </w:rPr>
      </w:pPr>
      <w:bookmarkStart w:id="10" w:name="_Toc9432496"/>
      <w:bookmarkStart w:id="11" w:name="_Toc78458388"/>
      <w:r w:rsidRPr="00B85B32">
        <w:rPr>
          <w:rFonts w:ascii="Calibri" w:hAnsi="Calibri" w:cs="Calibri"/>
        </w:rPr>
        <w:lastRenderedPageBreak/>
        <w:t>Major promotional, public relations and marketing activities</w:t>
      </w:r>
      <w:bookmarkEnd w:id="10"/>
      <w:bookmarkEnd w:id="11"/>
    </w:p>
    <w:p w14:paraId="53EEA418" w14:textId="705B0A0B" w:rsidR="00343610" w:rsidRPr="00B85B32" w:rsidRDefault="005D5FC8" w:rsidP="00CA7331">
      <w:pPr>
        <w:rPr>
          <w:rFonts w:ascii="Calibri" w:hAnsi="Calibri" w:cs="Calibri"/>
        </w:rPr>
      </w:pPr>
      <w:r w:rsidRPr="00B85B32">
        <w:rPr>
          <w:rFonts w:ascii="Calibri" w:hAnsi="Calibri" w:cs="Calibri"/>
        </w:rPr>
        <w:t xml:space="preserve">The table </w:t>
      </w:r>
      <w:r w:rsidR="00CE3E50" w:rsidRPr="00B85B32">
        <w:rPr>
          <w:rFonts w:ascii="Calibri" w:hAnsi="Calibri" w:cs="Calibri"/>
        </w:rPr>
        <w:t xml:space="preserve">below </w:t>
      </w:r>
      <w:r w:rsidRPr="00B85B32">
        <w:rPr>
          <w:rFonts w:ascii="Calibri" w:hAnsi="Calibri" w:cs="Calibri"/>
        </w:rPr>
        <w:t>details the</w:t>
      </w:r>
      <w:r w:rsidR="00343610" w:rsidRPr="00B85B32">
        <w:rPr>
          <w:rFonts w:ascii="Calibri" w:hAnsi="Calibri" w:cs="Calibri"/>
        </w:rPr>
        <w:t xml:space="preserve"> Department’s major promotional, public relations and marketing activities </w:t>
      </w:r>
      <w:r w:rsidR="009824E2" w:rsidRPr="00B85B32">
        <w:rPr>
          <w:rFonts w:ascii="Calibri" w:hAnsi="Calibri" w:cs="Calibri"/>
        </w:rPr>
        <w:t>during 20</w:t>
      </w:r>
      <w:r w:rsidR="002463DA" w:rsidRPr="00B85B32">
        <w:rPr>
          <w:rFonts w:ascii="Calibri" w:hAnsi="Calibri" w:cs="Calibri"/>
        </w:rPr>
        <w:t>20</w:t>
      </w:r>
      <w:r w:rsidR="009824E2" w:rsidRPr="00B85B32">
        <w:rPr>
          <w:rFonts w:ascii="Calibri" w:hAnsi="Calibri" w:cs="Calibri"/>
        </w:rPr>
        <w:t>–2</w:t>
      </w:r>
      <w:r w:rsidR="002463DA" w:rsidRPr="00B85B32">
        <w:rPr>
          <w:rFonts w:ascii="Calibri" w:hAnsi="Calibri" w:cs="Calibri"/>
        </w:rPr>
        <w:t>1</w:t>
      </w:r>
      <w:r w:rsidR="001517DB">
        <w:rPr>
          <w:rFonts w:ascii="Calibri" w:hAnsi="Calibri" w:cs="Calibri"/>
        </w:rPr>
        <w:t>, the aim of which is to</w:t>
      </w:r>
      <w:r w:rsidR="00343610" w:rsidRPr="00B85B32">
        <w:rPr>
          <w:rFonts w:ascii="Calibri" w:hAnsi="Calibri" w:cs="Calibri"/>
        </w:rPr>
        <w:t xml:space="preserve"> develop community awareness of the Department and its services.</w:t>
      </w:r>
    </w:p>
    <w:p w14:paraId="051A02D1" w14:textId="696D70BC" w:rsidR="00343610" w:rsidRPr="00B85B32" w:rsidRDefault="00343610" w:rsidP="00343610">
      <w:pPr>
        <w:pStyle w:val="ESTableintroheading"/>
        <w:rPr>
          <w:rFonts w:ascii="Calibri" w:hAnsi="Calibri" w:cs="Calibri"/>
        </w:rPr>
      </w:pPr>
      <w:r w:rsidRPr="00B85B32">
        <w:rPr>
          <w:rFonts w:ascii="Calibri" w:hAnsi="Calibri" w:cs="Calibri"/>
        </w:rPr>
        <w:t>Major promotional, public relations and marketing activities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Activity, Purpose, Cost ($ excluding GST)"/>
      </w:tblPr>
      <w:tblGrid>
        <w:gridCol w:w="1853"/>
        <w:gridCol w:w="4521"/>
        <w:gridCol w:w="1397"/>
      </w:tblGrid>
      <w:tr w:rsidR="000A737C" w:rsidRPr="00925213" w14:paraId="1C92B0B9" w14:textId="77777777" w:rsidTr="00B94DE1">
        <w:trPr>
          <w:cantSplit/>
          <w:trHeight w:val="130"/>
          <w:tblHeader/>
        </w:trPr>
        <w:tc>
          <w:tcPr>
            <w:tcW w:w="1853" w:type="dxa"/>
            <w:tcBorders>
              <w:bottom w:val="single" w:sz="4" w:space="0" w:color="FFFFFF" w:themeColor="background1"/>
            </w:tcBorders>
            <w:shd w:val="clear" w:color="auto" w:fill="AF272F"/>
          </w:tcPr>
          <w:p w14:paraId="4828F650" w14:textId="77777777" w:rsidR="000A737C" w:rsidRPr="00925213" w:rsidRDefault="000A737C" w:rsidP="00B94DE1">
            <w:pPr>
              <w:pStyle w:val="ESTableheadingwhite"/>
              <w:rPr>
                <w:rFonts w:ascii="Calibri" w:hAnsi="Calibri" w:cs="Calibri"/>
                <w:sz w:val="18"/>
              </w:rPr>
            </w:pPr>
            <w:r w:rsidRPr="00925213">
              <w:rPr>
                <w:rFonts w:ascii="Calibri" w:hAnsi="Calibri" w:cs="Calibri"/>
                <w:sz w:val="18"/>
              </w:rPr>
              <w:t>Activity</w:t>
            </w:r>
          </w:p>
        </w:tc>
        <w:tc>
          <w:tcPr>
            <w:tcW w:w="4521" w:type="dxa"/>
            <w:tcBorders>
              <w:bottom w:val="single" w:sz="4" w:space="0" w:color="FFFFFF" w:themeColor="background1"/>
            </w:tcBorders>
            <w:shd w:val="clear" w:color="auto" w:fill="AF272F" w:themeFill="accent4"/>
          </w:tcPr>
          <w:p w14:paraId="667E24DD" w14:textId="77777777" w:rsidR="000A737C" w:rsidRPr="00925213" w:rsidRDefault="000A737C" w:rsidP="00B94DE1">
            <w:pPr>
              <w:pStyle w:val="ESTableheadingwhite"/>
              <w:rPr>
                <w:rFonts w:ascii="Calibri" w:hAnsi="Calibri" w:cs="Calibri"/>
                <w:sz w:val="18"/>
              </w:rPr>
            </w:pPr>
            <w:r w:rsidRPr="00925213">
              <w:rPr>
                <w:rFonts w:ascii="Calibri" w:hAnsi="Calibri" w:cs="Calibri"/>
                <w:sz w:val="18"/>
              </w:rPr>
              <w:t>Purpose</w:t>
            </w:r>
          </w:p>
        </w:tc>
        <w:tc>
          <w:tcPr>
            <w:tcW w:w="1397" w:type="dxa"/>
            <w:tcBorders>
              <w:bottom w:val="single" w:sz="4" w:space="0" w:color="FFFFFF" w:themeColor="background1"/>
            </w:tcBorders>
            <w:shd w:val="clear" w:color="auto" w:fill="AF272F" w:themeFill="accent4"/>
          </w:tcPr>
          <w:p w14:paraId="10592F45" w14:textId="70E2F965" w:rsidR="000A737C" w:rsidRPr="00925213" w:rsidRDefault="000A737C" w:rsidP="00D01DBF">
            <w:pPr>
              <w:pStyle w:val="ESTableheadingwhite"/>
              <w:spacing w:after="0"/>
              <w:jc w:val="right"/>
              <w:rPr>
                <w:rFonts w:ascii="Calibri" w:hAnsi="Calibri" w:cs="Calibri"/>
                <w:sz w:val="18"/>
              </w:rPr>
            </w:pPr>
            <w:r w:rsidRPr="00925213">
              <w:rPr>
                <w:rFonts w:ascii="Calibri" w:hAnsi="Calibri" w:cs="Calibri"/>
                <w:sz w:val="18"/>
              </w:rPr>
              <w:t>Cost</w:t>
            </w:r>
            <w:r w:rsidR="00443FC0">
              <w:rPr>
                <w:rFonts w:ascii="Calibri" w:hAnsi="Calibri" w:cs="Calibri"/>
                <w:sz w:val="18"/>
              </w:rPr>
              <w:t xml:space="preserve"> </w:t>
            </w:r>
          </w:p>
          <w:p w14:paraId="48771CA5" w14:textId="77777777" w:rsidR="000A737C" w:rsidRPr="00925213" w:rsidRDefault="000A737C" w:rsidP="00D01DBF">
            <w:pPr>
              <w:pStyle w:val="ESTableheadingwhite"/>
              <w:spacing w:before="0"/>
              <w:jc w:val="right"/>
              <w:rPr>
                <w:rFonts w:ascii="Calibri" w:hAnsi="Calibri" w:cs="Calibri"/>
                <w:sz w:val="18"/>
              </w:rPr>
            </w:pPr>
            <w:r w:rsidRPr="00925213">
              <w:rPr>
                <w:rFonts w:ascii="Calibri" w:hAnsi="Calibri" w:cs="Calibri"/>
                <w:sz w:val="18"/>
              </w:rPr>
              <w:t>($ excl. GST)</w:t>
            </w:r>
          </w:p>
        </w:tc>
      </w:tr>
      <w:tr w:rsidR="000A737C" w:rsidRPr="00925213" w14:paraId="5FB3D8F7" w14:textId="77777777" w:rsidTr="00B94DE1">
        <w:trPr>
          <w:cantSplit/>
          <w:trHeight w:val="1001"/>
        </w:trPr>
        <w:tc>
          <w:tcPr>
            <w:tcW w:w="1853" w:type="dxa"/>
            <w:tcBorders>
              <w:top w:val="single" w:sz="4" w:space="0" w:color="53565A" w:themeColor="accent5"/>
              <w:bottom w:val="single" w:sz="4" w:space="0" w:color="53565A" w:themeColor="accent5"/>
            </w:tcBorders>
            <w:shd w:val="clear" w:color="auto" w:fill="auto"/>
          </w:tcPr>
          <w:p w14:paraId="42926753" w14:textId="77777777" w:rsidR="000A737C" w:rsidRPr="00925213" w:rsidRDefault="000A737C" w:rsidP="00B94DE1">
            <w:pPr>
              <w:pStyle w:val="ESTablebody"/>
              <w:spacing w:after="0"/>
              <w:rPr>
                <w:rFonts w:ascii="Calibri" w:hAnsi="Calibri" w:cs="Calibri"/>
                <w:sz w:val="18"/>
              </w:rPr>
            </w:pPr>
            <w:r w:rsidRPr="00925213">
              <w:rPr>
                <w:rFonts w:ascii="Calibri" w:hAnsi="Calibri" w:cs="Calibri"/>
                <w:sz w:val="18"/>
                <w:lang w:val="en-AU"/>
              </w:rPr>
              <w:t xml:space="preserve">Learning from home </w:t>
            </w:r>
          </w:p>
        </w:tc>
        <w:tc>
          <w:tcPr>
            <w:tcW w:w="4521" w:type="dxa"/>
            <w:tcBorders>
              <w:top w:val="single" w:sz="4" w:space="0" w:color="53565A" w:themeColor="accent5"/>
              <w:bottom w:val="single" w:sz="4" w:space="0" w:color="53565A" w:themeColor="accent5"/>
            </w:tcBorders>
          </w:tcPr>
          <w:p w14:paraId="0592A4E3"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 xml:space="preserve">The learning from home functional advertising was developed to support the Victorian Government’s directive for all schools to transition to remote learning and teaching </w:t>
            </w:r>
            <w:proofErr w:type="gramStart"/>
            <w:r w:rsidRPr="00925213">
              <w:rPr>
                <w:rFonts w:ascii="Calibri" w:hAnsi="Calibri" w:cs="Calibri"/>
                <w:bCs/>
                <w:sz w:val="18"/>
                <w:lang w:val="en-AU"/>
              </w:rPr>
              <w:t>in order to</w:t>
            </w:r>
            <w:proofErr w:type="gramEnd"/>
            <w:r w:rsidRPr="00925213">
              <w:rPr>
                <w:rFonts w:ascii="Calibri" w:hAnsi="Calibri" w:cs="Calibri"/>
                <w:bCs/>
                <w:sz w:val="18"/>
                <w:lang w:val="en-AU"/>
              </w:rPr>
              <w:t xml:space="preserve"> slow the spread of COVID-19. Advertising targeted parents, </w:t>
            </w:r>
            <w:proofErr w:type="gramStart"/>
            <w:r w:rsidRPr="00925213">
              <w:rPr>
                <w:rFonts w:ascii="Calibri" w:hAnsi="Calibri" w:cs="Calibri"/>
                <w:bCs/>
                <w:sz w:val="18"/>
                <w:lang w:val="en-AU"/>
              </w:rPr>
              <w:t>carers</w:t>
            </w:r>
            <w:proofErr w:type="gramEnd"/>
            <w:r w:rsidRPr="00925213">
              <w:rPr>
                <w:rFonts w:ascii="Calibri" w:hAnsi="Calibri" w:cs="Calibri"/>
                <w:bCs/>
                <w:sz w:val="18"/>
                <w:lang w:val="en-AU"/>
              </w:rPr>
              <w:t xml:space="preserve"> and students across Victoria. Advertising communicated resources, tips and advice for parents and carers to support their child in learning from home. Advertising was in market from 22 July to 18 September 2020. </w:t>
            </w:r>
          </w:p>
        </w:tc>
        <w:tc>
          <w:tcPr>
            <w:tcW w:w="1397" w:type="dxa"/>
            <w:tcBorders>
              <w:top w:val="single" w:sz="4" w:space="0" w:color="53565A" w:themeColor="accent5"/>
              <w:bottom w:val="single" w:sz="4" w:space="0" w:color="53565A" w:themeColor="accent5"/>
            </w:tcBorders>
          </w:tcPr>
          <w:p w14:paraId="65CC41C0" w14:textId="77777777" w:rsidR="000A737C" w:rsidRPr="00925213" w:rsidRDefault="000A737C" w:rsidP="00074399">
            <w:pPr>
              <w:pStyle w:val="ESTableintroheading"/>
              <w:jc w:val="right"/>
              <w:rPr>
                <w:rFonts w:ascii="Calibri" w:hAnsi="Calibri" w:cs="Calibri"/>
                <w:b w:val="0"/>
                <w:bCs/>
                <w:color w:val="auto"/>
                <w:sz w:val="18"/>
                <w:lang w:val="en-AU"/>
              </w:rPr>
            </w:pPr>
            <w:r w:rsidRPr="00925213">
              <w:rPr>
                <w:rFonts w:ascii="Calibri" w:hAnsi="Calibri" w:cs="Calibri"/>
                <w:b w:val="0"/>
                <w:bCs/>
                <w:color w:val="auto"/>
                <w:sz w:val="18"/>
                <w:lang w:val="en-AU"/>
              </w:rPr>
              <w:t xml:space="preserve">64,955 </w:t>
            </w:r>
          </w:p>
          <w:p w14:paraId="68033FCF" w14:textId="77777777" w:rsidR="000A737C" w:rsidRPr="00925213" w:rsidRDefault="000A737C" w:rsidP="00B94DE1">
            <w:pPr>
              <w:pStyle w:val="DETTableTextFinancial"/>
              <w:jc w:val="right"/>
              <w:rPr>
                <w:rFonts w:ascii="Calibri" w:hAnsi="Calibri" w:cs="Calibri"/>
                <w:sz w:val="18"/>
              </w:rPr>
            </w:pPr>
          </w:p>
        </w:tc>
      </w:tr>
      <w:tr w:rsidR="000A737C" w:rsidRPr="00925213" w14:paraId="37A92DED" w14:textId="77777777" w:rsidTr="00B94DE1">
        <w:trPr>
          <w:cantSplit/>
          <w:trHeight w:val="1001"/>
        </w:trPr>
        <w:tc>
          <w:tcPr>
            <w:tcW w:w="1853" w:type="dxa"/>
            <w:tcBorders>
              <w:top w:val="single" w:sz="4" w:space="0" w:color="53565A" w:themeColor="accent5"/>
              <w:bottom w:val="single" w:sz="4" w:space="0" w:color="53565A" w:themeColor="accent5"/>
            </w:tcBorders>
            <w:shd w:val="clear" w:color="auto" w:fill="auto"/>
          </w:tcPr>
          <w:p w14:paraId="119763BC" w14:textId="07C00041" w:rsidR="000A737C" w:rsidRPr="00925213" w:rsidRDefault="000A737C" w:rsidP="00B94DE1">
            <w:pPr>
              <w:pStyle w:val="ESTablebody"/>
              <w:spacing w:after="0"/>
              <w:rPr>
                <w:rFonts w:ascii="Calibri" w:hAnsi="Calibri" w:cs="Calibri"/>
                <w:sz w:val="18"/>
              </w:rPr>
            </w:pPr>
            <w:r w:rsidRPr="00925213">
              <w:rPr>
                <w:rFonts w:ascii="Calibri" w:hAnsi="Calibri" w:cs="Calibri"/>
                <w:sz w:val="18"/>
                <w:lang w:val="en-AU"/>
              </w:rPr>
              <w:t xml:space="preserve">Premiers’ </w:t>
            </w:r>
            <w:r w:rsidR="00256474">
              <w:rPr>
                <w:rFonts w:ascii="Calibri" w:hAnsi="Calibri" w:cs="Calibri"/>
                <w:sz w:val="18"/>
                <w:lang w:val="en-AU"/>
              </w:rPr>
              <w:t>R</w:t>
            </w:r>
            <w:r w:rsidRPr="00925213">
              <w:rPr>
                <w:rFonts w:ascii="Calibri" w:hAnsi="Calibri" w:cs="Calibri"/>
                <w:sz w:val="18"/>
                <w:lang w:val="en-AU"/>
              </w:rPr>
              <w:t xml:space="preserve">eading </w:t>
            </w:r>
            <w:r w:rsidR="00256474">
              <w:rPr>
                <w:rFonts w:ascii="Calibri" w:hAnsi="Calibri" w:cs="Calibri"/>
                <w:sz w:val="18"/>
                <w:lang w:val="en-AU"/>
              </w:rPr>
              <w:t>C</w:t>
            </w:r>
            <w:r w:rsidRPr="00925213">
              <w:rPr>
                <w:rFonts w:ascii="Calibri" w:hAnsi="Calibri" w:cs="Calibri"/>
                <w:sz w:val="18"/>
                <w:lang w:val="en-AU"/>
              </w:rPr>
              <w:t>hallenge 2020</w:t>
            </w:r>
          </w:p>
        </w:tc>
        <w:tc>
          <w:tcPr>
            <w:tcW w:w="4521" w:type="dxa"/>
            <w:tcBorders>
              <w:top w:val="single" w:sz="4" w:space="0" w:color="53565A" w:themeColor="accent5"/>
              <w:bottom w:val="single" w:sz="4" w:space="0" w:color="53565A" w:themeColor="accent5"/>
            </w:tcBorders>
          </w:tcPr>
          <w:p w14:paraId="77D9DB44"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The Premiers’ Reading Challenge promotes interest in literacy and reading by encouraging children to read a set number of books and record their efforts online.</w:t>
            </w:r>
          </w:p>
        </w:tc>
        <w:tc>
          <w:tcPr>
            <w:tcW w:w="1397" w:type="dxa"/>
            <w:tcBorders>
              <w:top w:val="single" w:sz="4" w:space="0" w:color="53565A" w:themeColor="accent5"/>
              <w:bottom w:val="single" w:sz="4" w:space="0" w:color="53565A" w:themeColor="accent5"/>
            </w:tcBorders>
          </w:tcPr>
          <w:p w14:paraId="7BBDB3D7"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lang w:val="en-AU"/>
              </w:rPr>
              <w:t>12,500</w:t>
            </w:r>
          </w:p>
        </w:tc>
      </w:tr>
      <w:tr w:rsidR="000A737C" w:rsidRPr="00925213" w14:paraId="24E8A988" w14:textId="77777777" w:rsidTr="00B94DE1">
        <w:trPr>
          <w:cantSplit/>
          <w:trHeight w:val="755"/>
        </w:trPr>
        <w:tc>
          <w:tcPr>
            <w:tcW w:w="1853" w:type="dxa"/>
            <w:tcBorders>
              <w:top w:val="single" w:sz="4" w:space="0" w:color="53565A" w:themeColor="accent5"/>
              <w:bottom w:val="single" w:sz="4" w:space="0" w:color="53565A" w:themeColor="accent5"/>
            </w:tcBorders>
            <w:shd w:val="clear" w:color="auto" w:fill="auto"/>
          </w:tcPr>
          <w:p w14:paraId="7053A972" w14:textId="7BEBD507" w:rsidR="000A737C" w:rsidRPr="00925213" w:rsidRDefault="000A737C" w:rsidP="00B94DE1">
            <w:pPr>
              <w:pStyle w:val="ESTablebody"/>
              <w:rPr>
                <w:rFonts w:ascii="Calibri" w:hAnsi="Calibri" w:cs="Calibri"/>
                <w:sz w:val="18"/>
              </w:rPr>
            </w:pPr>
            <w:r w:rsidRPr="00925213">
              <w:rPr>
                <w:rFonts w:ascii="Calibri" w:hAnsi="Calibri" w:cs="Calibri"/>
                <w:sz w:val="18"/>
                <w:lang w:val="en-AU"/>
              </w:rPr>
              <w:t xml:space="preserve">Premiers’ </w:t>
            </w:r>
            <w:r w:rsidR="00256474">
              <w:rPr>
                <w:rFonts w:ascii="Calibri" w:hAnsi="Calibri" w:cs="Calibri"/>
                <w:sz w:val="18"/>
                <w:lang w:val="en-AU"/>
              </w:rPr>
              <w:t>R</w:t>
            </w:r>
            <w:r w:rsidRPr="00925213">
              <w:rPr>
                <w:rFonts w:ascii="Calibri" w:hAnsi="Calibri" w:cs="Calibri"/>
                <w:sz w:val="18"/>
                <w:lang w:val="en-AU"/>
              </w:rPr>
              <w:t xml:space="preserve">eading </w:t>
            </w:r>
            <w:r w:rsidR="00256474">
              <w:rPr>
                <w:rFonts w:ascii="Calibri" w:hAnsi="Calibri" w:cs="Calibri"/>
                <w:sz w:val="18"/>
                <w:lang w:val="en-AU"/>
              </w:rPr>
              <w:t>C</w:t>
            </w:r>
            <w:r w:rsidRPr="00925213">
              <w:rPr>
                <w:rFonts w:ascii="Calibri" w:hAnsi="Calibri" w:cs="Calibri"/>
                <w:sz w:val="18"/>
                <w:lang w:val="en-AU"/>
              </w:rPr>
              <w:t>hallenge 2021</w:t>
            </w:r>
          </w:p>
        </w:tc>
        <w:tc>
          <w:tcPr>
            <w:tcW w:w="4521" w:type="dxa"/>
            <w:tcBorders>
              <w:top w:val="single" w:sz="4" w:space="0" w:color="53565A" w:themeColor="accent5"/>
              <w:bottom w:val="single" w:sz="4" w:space="0" w:color="53565A" w:themeColor="accent5"/>
            </w:tcBorders>
          </w:tcPr>
          <w:p w14:paraId="54987E23"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The Premiers’ Reading Challenge promotes interest in literacy and reading by encouraging children to read a set number of books and record their efforts online.</w:t>
            </w:r>
          </w:p>
        </w:tc>
        <w:tc>
          <w:tcPr>
            <w:tcW w:w="1397" w:type="dxa"/>
            <w:tcBorders>
              <w:top w:val="single" w:sz="4" w:space="0" w:color="53565A" w:themeColor="accent5"/>
              <w:bottom w:val="single" w:sz="4" w:space="0" w:color="53565A" w:themeColor="accent5"/>
            </w:tcBorders>
          </w:tcPr>
          <w:p w14:paraId="792BEB23"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lang w:val="en-AU"/>
              </w:rPr>
              <w:t>42,500</w:t>
            </w:r>
          </w:p>
        </w:tc>
      </w:tr>
      <w:tr w:rsidR="000A737C" w:rsidRPr="00925213" w14:paraId="1EA1CF28" w14:textId="77777777" w:rsidTr="00B94DE1">
        <w:trPr>
          <w:cantSplit/>
          <w:trHeight w:val="628"/>
        </w:trPr>
        <w:tc>
          <w:tcPr>
            <w:tcW w:w="1853" w:type="dxa"/>
            <w:tcBorders>
              <w:top w:val="single" w:sz="4" w:space="0" w:color="53565A" w:themeColor="accent5"/>
              <w:bottom w:val="single" w:sz="4" w:space="0" w:color="53565A" w:themeColor="accent5"/>
            </w:tcBorders>
            <w:shd w:val="clear" w:color="auto" w:fill="auto"/>
          </w:tcPr>
          <w:p w14:paraId="0CBC9E27" w14:textId="78B8550E" w:rsidR="000A737C" w:rsidRPr="00925213" w:rsidRDefault="000A737C" w:rsidP="00B94DE1">
            <w:pPr>
              <w:pStyle w:val="ESTablebody"/>
              <w:rPr>
                <w:rFonts w:ascii="Calibri" w:hAnsi="Calibri" w:cs="Calibri"/>
                <w:sz w:val="18"/>
              </w:rPr>
            </w:pPr>
            <w:r w:rsidRPr="00925213">
              <w:rPr>
                <w:rFonts w:ascii="Calibri" w:hAnsi="Calibri" w:cs="Calibri"/>
                <w:sz w:val="18"/>
                <w:lang w:val="en-AU"/>
              </w:rPr>
              <w:t xml:space="preserve">Return to </w:t>
            </w:r>
            <w:r w:rsidR="004F64D4">
              <w:rPr>
                <w:rFonts w:ascii="Calibri" w:hAnsi="Calibri" w:cs="Calibri"/>
                <w:sz w:val="18"/>
                <w:lang w:val="en-AU"/>
              </w:rPr>
              <w:t>on</w:t>
            </w:r>
            <w:r w:rsidR="004F64D4">
              <w:rPr>
                <w:rFonts w:ascii="Calibri" w:hAnsi="Calibri" w:cs="Calibri"/>
                <w:sz w:val="18"/>
                <w:lang w:val="en-AU"/>
              </w:rPr>
              <w:noBreakHyphen/>
              <w:t>site learning</w:t>
            </w:r>
            <w:r w:rsidRPr="00925213">
              <w:rPr>
                <w:rFonts w:ascii="Calibri" w:hAnsi="Calibri" w:cs="Calibri"/>
                <w:sz w:val="18"/>
                <w:lang w:val="en-AU"/>
              </w:rPr>
              <w:t xml:space="preserve"> </w:t>
            </w:r>
          </w:p>
        </w:tc>
        <w:tc>
          <w:tcPr>
            <w:tcW w:w="4521" w:type="dxa"/>
            <w:tcBorders>
              <w:top w:val="single" w:sz="4" w:space="0" w:color="53565A" w:themeColor="accent5"/>
              <w:bottom w:val="single" w:sz="4" w:space="0" w:color="53565A" w:themeColor="accent5"/>
            </w:tcBorders>
          </w:tcPr>
          <w:p w14:paraId="3B0BE62E" w14:textId="616B81DD"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 xml:space="preserve">The return to </w:t>
            </w:r>
            <w:r w:rsidR="004F64D4">
              <w:rPr>
                <w:rFonts w:ascii="Calibri" w:hAnsi="Calibri" w:cs="Calibri"/>
                <w:bCs/>
                <w:sz w:val="18"/>
                <w:lang w:val="en-AU"/>
              </w:rPr>
              <w:t>on-site learning</w:t>
            </w:r>
            <w:r w:rsidRPr="00925213">
              <w:rPr>
                <w:rFonts w:ascii="Calibri" w:hAnsi="Calibri" w:cs="Calibri"/>
                <w:bCs/>
                <w:sz w:val="18"/>
                <w:lang w:val="en-AU"/>
              </w:rPr>
              <w:t xml:space="preserve"> functional advertising aimed to inform the Victorian public about the staged return to </w:t>
            </w:r>
            <w:r w:rsidR="00076CAF">
              <w:rPr>
                <w:rFonts w:ascii="Calibri" w:hAnsi="Calibri" w:cs="Calibri"/>
                <w:bCs/>
                <w:sz w:val="18"/>
                <w:lang w:val="en-AU"/>
              </w:rPr>
              <w:t>on-site learning</w:t>
            </w:r>
            <w:r w:rsidRPr="00925213">
              <w:rPr>
                <w:rFonts w:ascii="Calibri" w:hAnsi="Calibri" w:cs="Calibri"/>
                <w:bCs/>
                <w:sz w:val="18"/>
                <w:lang w:val="en-AU"/>
              </w:rPr>
              <w:t xml:space="preserve"> due to the COVID-19 pandemic. The advertising carried a secondary hygiene message and instruction to keep unwell children at home. Advertising was in market from 11 October to 14 November 2020.</w:t>
            </w:r>
          </w:p>
        </w:tc>
        <w:tc>
          <w:tcPr>
            <w:tcW w:w="1397" w:type="dxa"/>
            <w:tcBorders>
              <w:top w:val="single" w:sz="4" w:space="0" w:color="53565A" w:themeColor="accent5"/>
              <w:bottom w:val="single" w:sz="4" w:space="0" w:color="53565A" w:themeColor="accent5"/>
            </w:tcBorders>
          </w:tcPr>
          <w:p w14:paraId="528A4C66"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lang w:val="en-AU"/>
              </w:rPr>
              <w:t>67,067</w:t>
            </w:r>
          </w:p>
        </w:tc>
      </w:tr>
      <w:tr w:rsidR="000A737C" w:rsidRPr="00925213" w14:paraId="449E91B5" w14:textId="77777777" w:rsidTr="00B94DE1">
        <w:trPr>
          <w:cantSplit/>
          <w:trHeight w:val="1001"/>
        </w:trPr>
        <w:tc>
          <w:tcPr>
            <w:tcW w:w="1853" w:type="dxa"/>
            <w:tcBorders>
              <w:top w:val="single" w:sz="4" w:space="0" w:color="53565A" w:themeColor="accent5"/>
              <w:bottom w:val="single" w:sz="4" w:space="0" w:color="53565A" w:themeColor="accent5"/>
            </w:tcBorders>
            <w:shd w:val="clear" w:color="auto" w:fill="auto"/>
          </w:tcPr>
          <w:p w14:paraId="4094ECCD" w14:textId="145E1E42" w:rsidR="000A737C" w:rsidRPr="00925213" w:rsidRDefault="000A737C" w:rsidP="00B94DE1">
            <w:pPr>
              <w:pStyle w:val="ESTablebody"/>
              <w:rPr>
                <w:rFonts w:ascii="Calibri" w:hAnsi="Calibri" w:cs="Calibri"/>
                <w:sz w:val="18"/>
              </w:rPr>
            </w:pPr>
            <w:r w:rsidRPr="00925213">
              <w:rPr>
                <w:rFonts w:ascii="Calibri" w:hAnsi="Calibri" w:cs="Calibri"/>
                <w:sz w:val="18"/>
                <w:lang w:val="en-AU"/>
              </w:rPr>
              <w:t xml:space="preserve">Victorian </w:t>
            </w:r>
            <w:r w:rsidR="00E36AC2">
              <w:rPr>
                <w:rFonts w:ascii="Calibri" w:hAnsi="Calibri" w:cs="Calibri"/>
                <w:sz w:val="18"/>
                <w:lang w:val="en-AU"/>
              </w:rPr>
              <w:t>E</w:t>
            </w:r>
            <w:r w:rsidRPr="00925213">
              <w:rPr>
                <w:rFonts w:ascii="Calibri" w:hAnsi="Calibri" w:cs="Calibri"/>
                <w:sz w:val="18"/>
                <w:lang w:val="en-AU"/>
              </w:rPr>
              <w:t xml:space="preserve">ducation </w:t>
            </w:r>
            <w:r w:rsidR="00E36AC2">
              <w:rPr>
                <w:rFonts w:ascii="Calibri" w:hAnsi="Calibri" w:cs="Calibri"/>
                <w:sz w:val="18"/>
                <w:lang w:val="en-AU"/>
              </w:rPr>
              <w:t>E</w:t>
            </w:r>
            <w:r w:rsidRPr="00925213">
              <w:rPr>
                <w:rFonts w:ascii="Calibri" w:hAnsi="Calibri" w:cs="Calibri"/>
                <w:sz w:val="18"/>
                <w:lang w:val="en-AU"/>
              </w:rPr>
              <w:t xml:space="preserve">xcellence </w:t>
            </w:r>
            <w:r w:rsidR="00E36AC2">
              <w:rPr>
                <w:rFonts w:ascii="Calibri" w:hAnsi="Calibri" w:cs="Calibri"/>
                <w:sz w:val="18"/>
                <w:lang w:val="en-AU"/>
              </w:rPr>
              <w:t>A</w:t>
            </w:r>
            <w:r w:rsidRPr="00925213">
              <w:rPr>
                <w:rFonts w:ascii="Calibri" w:hAnsi="Calibri" w:cs="Calibri"/>
                <w:sz w:val="18"/>
                <w:lang w:val="en-AU"/>
              </w:rPr>
              <w:t>wards (online ceremony)</w:t>
            </w:r>
          </w:p>
        </w:tc>
        <w:tc>
          <w:tcPr>
            <w:tcW w:w="4521" w:type="dxa"/>
            <w:tcBorders>
              <w:top w:val="single" w:sz="4" w:space="0" w:color="53565A" w:themeColor="accent5"/>
              <w:bottom w:val="single" w:sz="4" w:space="0" w:color="53565A" w:themeColor="accent5"/>
            </w:tcBorders>
          </w:tcPr>
          <w:p w14:paraId="2C4D41F3" w14:textId="77777777" w:rsidR="000A737C" w:rsidRPr="00925213" w:rsidRDefault="000A737C" w:rsidP="00074399">
            <w:pPr>
              <w:pStyle w:val="ESTableintroheading"/>
              <w:rPr>
                <w:rFonts w:ascii="Calibri" w:hAnsi="Calibri" w:cs="Calibri"/>
                <w:b w:val="0"/>
                <w:bCs/>
                <w:color w:val="auto"/>
                <w:sz w:val="18"/>
                <w:lang w:val="en-AU"/>
              </w:rPr>
            </w:pPr>
            <w:r w:rsidRPr="00925213">
              <w:rPr>
                <w:rFonts w:ascii="Calibri" w:hAnsi="Calibri" w:cs="Calibri"/>
                <w:b w:val="0"/>
                <w:bCs/>
                <w:color w:val="auto"/>
                <w:sz w:val="18"/>
                <w:lang w:val="en-AU"/>
              </w:rPr>
              <w:t xml:space="preserve">The Victorian education excellence awards recognise and celebrate the outstanding contributions to school and student outcomes made by teachers, </w:t>
            </w:r>
            <w:proofErr w:type="gramStart"/>
            <w:r w:rsidRPr="00925213">
              <w:rPr>
                <w:rFonts w:ascii="Calibri" w:hAnsi="Calibri" w:cs="Calibri"/>
                <w:b w:val="0"/>
                <w:bCs/>
                <w:color w:val="auto"/>
                <w:sz w:val="18"/>
                <w:lang w:val="en-AU"/>
              </w:rPr>
              <w:t>principals</w:t>
            </w:r>
            <w:proofErr w:type="gramEnd"/>
            <w:r w:rsidRPr="00925213">
              <w:rPr>
                <w:rFonts w:ascii="Calibri" w:hAnsi="Calibri" w:cs="Calibri"/>
                <w:b w:val="0"/>
                <w:bCs/>
                <w:color w:val="auto"/>
                <w:sz w:val="18"/>
                <w:lang w:val="en-AU"/>
              </w:rPr>
              <w:t xml:space="preserve"> and support staff in government schools.</w:t>
            </w:r>
          </w:p>
          <w:p w14:paraId="2AE7DA13"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Presented across 10 categories, the awards promote the reputation of government schools as centres of excellence by recognising outstanding practice in areas of leadership, classroom teaching, student engagement and curriculum development.</w:t>
            </w:r>
          </w:p>
        </w:tc>
        <w:tc>
          <w:tcPr>
            <w:tcW w:w="1397" w:type="dxa"/>
            <w:tcBorders>
              <w:top w:val="single" w:sz="4" w:space="0" w:color="53565A" w:themeColor="accent5"/>
              <w:bottom w:val="single" w:sz="4" w:space="0" w:color="53565A" w:themeColor="accent5"/>
            </w:tcBorders>
          </w:tcPr>
          <w:p w14:paraId="1BA5D9BB"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lang w:val="en-AU"/>
              </w:rPr>
              <w:t>44,356</w:t>
            </w:r>
          </w:p>
        </w:tc>
      </w:tr>
      <w:tr w:rsidR="000A737C" w:rsidRPr="00925213" w14:paraId="6E57D5A7" w14:textId="77777777" w:rsidTr="00074399">
        <w:trPr>
          <w:cantSplit/>
          <w:trHeight w:val="1257"/>
        </w:trPr>
        <w:tc>
          <w:tcPr>
            <w:tcW w:w="1853" w:type="dxa"/>
            <w:tcBorders>
              <w:top w:val="single" w:sz="4" w:space="0" w:color="FFFFFF" w:themeColor="background1"/>
              <w:bottom w:val="single" w:sz="4" w:space="0" w:color="53565A" w:themeColor="accent5"/>
            </w:tcBorders>
            <w:shd w:val="clear" w:color="auto" w:fill="auto"/>
          </w:tcPr>
          <w:p w14:paraId="12489E21" w14:textId="77777777" w:rsidR="000A737C" w:rsidRPr="00925213" w:rsidRDefault="000A737C" w:rsidP="00B94DE1">
            <w:pPr>
              <w:pStyle w:val="ESTablebody"/>
              <w:rPr>
                <w:rFonts w:ascii="Calibri" w:hAnsi="Calibri" w:cs="Calibri"/>
                <w:sz w:val="18"/>
              </w:rPr>
            </w:pPr>
            <w:r w:rsidRPr="00925213">
              <w:rPr>
                <w:rFonts w:ascii="Calibri" w:hAnsi="Calibri" w:cs="Calibri"/>
                <w:sz w:val="18"/>
                <w:lang w:val="en-AU"/>
              </w:rPr>
              <w:t>Victorian school sports awards</w:t>
            </w:r>
          </w:p>
        </w:tc>
        <w:tc>
          <w:tcPr>
            <w:tcW w:w="4521" w:type="dxa"/>
            <w:tcBorders>
              <w:top w:val="single" w:sz="4" w:space="0" w:color="FFFFFF" w:themeColor="background1"/>
              <w:bottom w:val="single" w:sz="4" w:space="0" w:color="53565A" w:themeColor="accent5"/>
            </w:tcBorders>
          </w:tcPr>
          <w:p w14:paraId="06E71582"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 xml:space="preserve">The Victorian school sports awards are the highest sporting accolades presented by Victoria’s government school system. Awards are for students, teachers, </w:t>
            </w:r>
            <w:proofErr w:type="gramStart"/>
            <w:r w:rsidRPr="00925213">
              <w:rPr>
                <w:rFonts w:ascii="Calibri" w:hAnsi="Calibri" w:cs="Calibri"/>
                <w:bCs/>
                <w:sz w:val="18"/>
                <w:lang w:val="en-AU"/>
              </w:rPr>
              <w:t>parents</w:t>
            </w:r>
            <w:proofErr w:type="gramEnd"/>
            <w:r w:rsidRPr="00925213">
              <w:rPr>
                <w:rFonts w:ascii="Calibri" w:hAnsi="Calibri" w:cs="Calibri"/>
                <w:bCs/>
                <w:sz w:val="18"/>
                <w:lang w:val="en-AU"/>
              </w:rPr>
              <w:t xml:space="preserve"> and volunteers who have excelled or made an outstanding contribution to school sport.</w:t>
            </w:r>
          </w:p>
        </w:tc>
        <w:tc>
          <w:tcPr>
            <w:tcW w:w="1397" w:type="dxa"/>
            <w:tcBorders>
              <w:top w:val="single" w:sz="4" w:space="0" w:color="FFFFFF" w:themeColor="background1"/>
              <w:bottom w:val="single" w:sz="4" w:space="0" w:color="53565A" w:themeColor="accent5"/>
            </w:tcBorders>
          </w:tcPr>
          <w:p w14:paraId="6A30D492"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rPr>
              <w:t>46,124</w:t>
            </w:r>
          </w:p>
        </w:tc>
      </w:tr>
      <w:tr w:rsidR="000A737C" w:rsidRPr="00925213" w14:paraId="23F03F5A" w14:textId="77777777" w:rsidTr="00B94DE1">
        <w:trPr>
          <w:cantSplit/>
          <w:trHeight w:val="1001"/>
        </w:trPr>
        <w:tc>
          <w:tcPr>
            <w:tcW w:w="1853" w:type="dxa"/>
            <w:tcBorders>
              <w:top w:val="single" w:sz="4" w:space="0" w:color="53565A" w:themeColor="accent5"/>
              <w:bottom w:val="single" w:sz="4" w:space="0" w:color="53565A" w:themeColor="accent5"/>
            </w:tcBorders>
            <w:shd w:val="clear" w:color="auto" w:fill="auto"/>
          </w:tcPr>
          <w:p w14:paraId="3AAC6819" w14:textId="77777777" w:rsidR="000A737C" w:rsidRPr="00925213" w:rsidRDefault="000A737C" w:rsidP="00B94DE1">
            <w:pPr>
              <w:pStyle w:val="ESTablebody"/>
              <w:spacing w:after="0"/>
              <w:rPr>
                <w:rFonts w:ascii="Calibri" w:hAnsi="Calibri" w:cs="Calibri"/>
                <w:sz w:val="18"/>
              </w:rPr>
            </w:pPr>
            <w:r w:rsidRPr="00925213">
              <w:rPr>
                <w:rFonts w:ascii="Calibri" w:hAnsi="Calibri" w:cs="Calibri"/>
                <w:sz w:val="18"/>
                <w:lang w:val="en-AU"/>
              </w:rPr>
              <w:t>Victorian training awards</w:t>
            </w:r>
          </w:p>
        </w:tc>
        <w:tc>
          <w:tcPr>
            <w:tcW w:w="4521" w:type="dxa"/>
            <w:tcBorders>
              <w:top w:val="single" w:sz="4" w:space="0" w:color="53565A" w:themeColor="accent5"/>
              <w:bottom w:val="single" w:sz="4" w:space="0" w:color="53565A" w:themeColor="accent5"/>
            </w:tcBorders>
          </w:tcPr>
          <w:p w14:paraId="03224773" w14:textId="77777777" w:rsidR="000A737C" w:rsidRPr="00925213" w:rsidRDefault="000A737C" w:rsidP="00B94DE1">
            <w:pPr>
              <w:pStyle w:val="ESTablebody"/>
              <w:rPr>
                <w:rFonts w:ascii="Calibri" w:hAnsi="Calibri" w:cs="Calibri"/>
                <w:sz w:val="18"/>
              </w:rPr>
            </w:pPr>
            <w:r w:rsidRPr="00925213">
              <w:rPr>
                <w:rFonts w:ascii="Calibri" w:hAnsi="Calibri" w:cs="Calibri"/>
                <w:bCs/>
                <w:sz w:val="18"/>
                <w:lang w:val="en-AU"/>
              </w:rPr>
              <w:t>The Victorian training awards recognise and honour the outstanding achievements of individuals and organisations in the Victorian TAFE and training sector.</w:t>
            </w:r>
          </w:p>
        </w:tc>
        <w:tc>
          <w:tcPr>
            <w:tcW w:w="1397" w:type="dxa"/>
            <w:tcBorders>
              <w:top w:val="single" w:sz="4" w:space="0" w:color="53565A" w:themeColor="accent5"/>
              <w:bottom w:val="single" w:sz="4" w:space="0" w:color="53565A" w:themeColor="accent5"/>
            </w:tcBorders>
          </w:tcPr>
          <w:p w14:paraId="551BBB60" w14:textId="77777777" w:rsidR="000A737C" w:rsidRPr="00925213" w:rsidRDefault="000A737C" w:rsidP="00B94DE1">
            <w:pPr>
              <w:pStyle w:val="ESTablebody"/>
              <w:jc w:val="right"/>
              <w:rPr>
                <w:rFonts w:ascii="Calibri" w:hAnsi="Calibri" w:cs="Calibri"/>
                <w:sz w:val="18"/>
              </w:rPr>
            </w:pPr>
            <w:r w:rsidRPr="00925213">
              <w:rPr>
                <w:rFonts w:ascii="Calibri" w:hAnsi="Calibri" w:cs="Calibri"/>
                <w:bCs/>
                <w:sz w:val="18"/>
                <w:lang w:val="en-AU"/>
              </w:rPr>
              <w:t>19,509</w:t>
            </w:r>
          </w:p>
        </w:tc>
      </w:tr>
    </w:tbl>
    <w:p w14:paraId="0C5A38A0" w14:textId="77777777" w:rsidR="003F72B6" w:rsidRPr="00B85B32" w:rsidRDefault="003F72B6" w:rsidP="00343610">
      <w:pPr>
        <w:pStyle w:val="ESTableintroheading"/>
        <w:rPr>
          <w:rFonts w:ascii="Calibri" w:hAnsi="Calibri" w:cs="Calibri"/>
        </w:rPr>
        <w:sectPr w:rsidR="003F72B6" w:rsidRPr="00B85B32" w:rsidSect="003B3A5C">
          <w:pgSz w:w="11900" w:h="16840"/>
          <w:pgMar w:top="1440" w:right="1134" w:bottom="1440" w:left="2835" w:header="708" w:footer="708" w:gutter="0"/>
          <w:cols w:space="708"/>
          <w:docGrid w:linePitch="360"/>
        </w:sectPr>
      </w:pPr>
    </w:p>
    <w:p w14:paraId="3B2B92A9" w14:textId="77777777" w:rsidR="00343610" w:rsidRPr="00B85B32" w:rsidRDefault="00343610" w:rsidP="0048665E">
      <w:pPr>
        <w:pStyle w:val="ESHeading1"/>
        <w:rPr>
          <w:rFonts w:ascii="Calibri" w:hAnsi="Calibri" w:cs="Calibri"/>
        </w:rPr>
      </w:pPr>
      <w:bookmarkStart w:id="12" w:name="_Toc8812156"/>
      <w:bookmarkStart w:id="13" w:name="_Toc78458389"/>
      <w:r w:rsidRPr="00B85B32">
        <w:rPr>
          <w:rFonts w:ascii="Calibri" w:hAnsi="Calibri" w:cs="Calibri"/>
        </w:rPr>
        <w:lastRenderedPageBreak/>
        <w:t>Major committees</w:t>
      </w:r>
      <w:bookmarkEnd w:id="12"/>
      <w:bookmarkEnd w:id="13"/>
    </w:p>
    <w:p w14:paraId="4AC1656B" w14:textId="62A4CDD8" w:rsidR="00F02ECF" w:rsidRPr="00B85B32" w:rsidRDefault="006F2C51" w:rsidP="00343610">
      <w:pPr>
        <w:rPr>
          <w:rFonts w:ascii="Calibri" w:hAnsi="Calibri" w:cs="Calibri"/>
        </w:rPr>
      </w:pPr>
      <w:r w:rsidRPr="00B85B32">
        <w:rPr>
          <w:rFonts w:ascii="Calibri" w:hAnsi="Calibri" w:cs="Calibri"/>
        </w:rPr>
        <w:t xml:space="preserve">The </w:t>
      </w:r>
      <w:r w:rsidR="00076B6C" w:rsidRPr="00B85B32">
        <w:rPr>
          <w:rFonts w:ascii="Calibri" w:hAnsi="Calibri" w:cs="Calibri"/>
        </w:rPr>
        <w:t xml:space="preserve">following two </w:t>
      </w:r>
      <w:r w:rsidRPr="00B85B32">
        <w:rPr>
          <w:rFonts w:ascii="Calibri" w:hAnsi="Calibri" w:cs="Calibri"/>
        </w:rPr>
        <w:t>tables list</w:t>
      </w:r>
      <w:r w:rsidR="00343610" w:rsidRPr="00B85B32">
        <w:rPr>
          <w:rFonts w:ascii="Calibri" w:hAnsi="Calibri" w:cs="Calibri"/>
        </w:rPr>
        <w:t xml:space="preserve"> the Department-sponsored major governance committees and major project</w:t>
      </w:r>
      <w:r w:rsidR="00F73C0E">
        <w:rPr>
          <w:rFonts w:ascii="Calibri" w:hAnsi="Calibri" w:cs="Calibri"/>
        </w:rPr>
        <w:t xml:space="preserve"> and </w:t>
      </w:r>
      <w:r w:rsidR="00343610" w:rsidRPr="00B85B32">
        <w:rPr>
          <w:rFonts w:ascii="Calibri" w:hAnsi="Calibri" w:cs="Calibri"/>
        </w:rPr>
        <w:t xml:space="preserve">operational committees. The tables detail </w:t>
      </w:r>
      <w:r w:rsidR="00D94151">
        <w:rPr>
          <w:rFonts w:ascii="Calibri" w:hAnsi="Calibri" w:cs="Calibri"/>
        </w:rPr>
        <w:t xml:space="preserve">the purpose of </w:t>
      </w:r>
      <w:r w:rsidR="00343610" w:rsidRPr="00B85B32">
        <w:rPr>
          <w:rFonts w:ascii="Calibri" w:hAnsi="Calibri" w:cs="Calibri"/>
        </w:rPr>
        <w:t xml:space="preserve">each committee and the extent to which </w:t>
      </w:r>
      <w:r w:rsidR="00D94151">
        <w:rPr>
          <w:rFonts w:ascii="Calibri" w:hAnsi="Calibri" w:cs="Calibri"/>
        </w:rPr>
        <w:t>this was achieved</w:t>
      </w:r>
      <w:r w:rsidR="00343610" w:rsidRPr="00B85B32">
        <w:rPr>
          <w:rFonts w:ascii="Calibri" w:hAnsi="Calibri" w:cs="Calibri"/>
        </w:rPr>
        <w:t xml:space="preserve">. </w:t>
      </w:r>
    </w:p>
    <w:p w14:paraId="04B57F0C" w14:textId="73EECF94" w:rsidR="00F02ECF" w:rsidRPr="00B85B32" w:rsidRDefault="00F02ECF" w:rsidP="00F02ECF">
      <w:pPr>
        <w:pStyle w:val="ESTableintroheading"/>
        <w:rPr>
          <w:rFonts w:ascii="Calibri" w:hAnsi="Calibri" w:cs="Calibri"/>
        </w:rPr>
      </w:pPr>
      <w:r w:rsidRPr="00B85B32">
        <w:rPr>
          <w:rFonts w:ascii="Calibri" w:hAnsi="Calibri" w:cs="Calibri"/>
        </w:rPr>
        <w:t xml:space="preserve">Major </w:t>
      </w:r>
      <w:r w:rsidR="00895C8B" w:rsidRPr="00B85B32">
        <w:rPr>
          <w:rFonts w:ascii="Calibri" w:hAnsi="Calibri" w:cs="Calibri"/>
        </w:rPr>
        <w:t xml:space="preserve">departmental </w:t>
      </w:r>
      <w:r w:rsidRPr="00B85B32">
        <w:rPr>
          <w:rFonts w:ascii="Calibri" w:hAnsi="Calibri" w:cs="Calibri"/>
        </w:rPr>
        <w:t>governance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1872"/>
        <w:gridCol w:w="3426"/>
        <w:gridCol w:w="3541"/>
      </w:tblGrid>
      <w:tr w:rsidR="00F02ECF" w:rsidRPr="00B85B32" w14:paraId="3F12F4CA" w14:textId="77777777" w:rsidTr="003F72B6">
        <w:trPr>
          <w:cantSplit/>
          <w:trHeight w:val="130"/>
          <w:tblHeader/>
        </w:trPr>
        <w:tc>
          <w:tcPr>
            <w:tcW w:w="2488" w:type="dxa"/>
            <w:tcBorders>
              <w:bottom w:val="single" w:sz="4" w:space="0" w:color="FFFFFF" w:themeColor="background1"/>
            </w:tcBorders>
            <w:shd w:val="clear" w:color="auto" w:fill="AF272F"/>
          </w:tcPr>
          <w:p w14:paraId="6B95B773" w14:textId="4FA546EB" w:rsidR="00F02ECF" w:rsidRPr="00B85B32" w:rsidRDefault="00F02ECF" w:rsidP="00F02ECF">
            <w:pPr>
              <w:pStyle w:val="ESTableheadingwhite"/>
              <w:rPr>
                <w:rFonts w:ascii="Calibri" w:hAnsi="Calibri" w:cs="Calibri"/>
                <w:sz w:val="18"/>
              </w:rPr>
            </w:pPr>
            <w:r w:rsidRPr="00B85B32">
              <w:rPr>
                <w:rFonts w:ascii="Calibri" w:hAnsi="Calibri" w:cs="Calibri"/>
                <w:sz w:val="18"/>
              </w:rPr>
              <w:t>Major Committee</w:t>
            </w:r>
          </w:p>
        </w:tc>
        <w:tc>
          <w:tcPr>
            <w:tcW w:w="5491" w:type="dxa"/>
            <w:tcBorders>
              <w:bottom w:val="single" w:sz="4" w:space="0" w:color="FFFFFF" w:themeColor="background1"/>
            </w:tcBorders>
            <w:shd w:val="clear" w:color="auto" w:fill="AF272F" w:themeFill="accent4"/>
          </w:tcPr>
          <w:p w14:paraId="69ABB5A1" w14:textId="77777777" w:rsidR="00F02ECF" w:rsidRPr="00B85B32" w:rsidRDefault="00F02ECF" w:rsidP="00F02ECF">
            <w:pPr>
              <w:pStyle w:val="ESTableheadingwhite"/>
              <w:rPr>
                <w:rFonts w:ascii="Calibri" w:hAnsi="Calibri" w:cs="Calibri"/>
                <w:sz w:val="18"/>
              </w:rPr>
            </w:pPr>
            <w:r w:rsidRPr="00B85B32">
              <w:rPr>
                <w:rFonts w:ascii="Calibri" w:hAnsi="Calibri" w:cs="Calibri"/>
                <w:sz w:val="18"/>
              </w:rPr>
              <w:t>Purpose</w:t>
            </w:r>
          </w:p>
        </w:tc>
        <w:tc>
          <w:tcPr>
            <w:tcW w:w="5706" w:type="dxa"/>
            <w:tcBorders>
              <w:bottom w:val="single" w:sz="4" w:space="0" w:color="FFFFFF" w:themeColor="background1"/>
            </w:tcBorders>
            <w:shd w:val="clear" w:color="auto" w:fill="AF272F" w:themeFill="accent4"/>
          </w:tcPr>
          <w:p w14:paraId="7B63CF41" w14:textId="77777777" w:rsidR="00F02ECF" w:rsidRPr="00B85B32" w:rsidRDefault="00F02ECF" w:rsidP="00F02ECF">
            <w:pPr>
              <w:pStyle w:val="ESTableheadingwhite"/>
              <w:rPr>
                <w:rFonts w:ascii="Calibri" w:hAnsi="Calibri" w:cs="Calibri"/>
                <w:sz w:val="18"/>
              </w:rPr>
            </w:pPr>
            <w:r w:rsidRPr="00B85B32">
              <w:rPr>
                <w:rFonts w:ascii="Calibri" w:hAnsi="Calibri" w:cs="Calibri"/>
                <w:sz w:val="18"/>
              </w:rPr>
              <w:t>Extent of purpose achieved</w:t>
            </w:r>
          </w:p>
        </w:tc>
      </w:tr>
      <w:tr w:rsidR="003F72B6" w:rsidRPr="00B85B32" w14:paraId="66FB1C67" w14:textId="77777777" w:rsidTr="003F72B6">
        <w:trPr>
          <w:cantSplit/>
          <w:trHeight w:val="1257"/>
        </w:trPr>
        <w:tc>
          <w:tcPr>
            <w:tcW w:w="2488" w:type="dxa"/>
            <w:tcBorders>
              <w:top w:val="single" w:sz="4" w:space="0" w:color="FFFFFF" w:themeColor="background1"/>
              <w:bottom w:val="single" w:sz="4" w:space="0" w:color="53565A" w:themeColor="accent5"/>
            </w:tcBorders>
            <w:shd w:val="clear" w:color="auto" w:fill="auto"/>
          </w:tcPr>
          <w:p w14:paraId="73144B1B" w14:textId="77777777" w:rsidR="003F72B6" w:rsidRPr="00B85B32" w:rsidRDefault="003F72B6" w:rsidP="003F72B6">
            <w:pPr>
              <w:pStyle w:val="ESTablebody"/>
              <w:rPr>
                <w:rFonts w:ascii="Calibri" w:hAnsi="Calibri" w:cs="Calibri"/>
                <w:bCs/>
                <w:sz w:val="18"/>
              </w:rPr>
            </w:pPr>
            <w:r w:rsidRPr="00B85B32">
              <w:rPr>
                <w:rFonts w:ascii="Calibri" w:hAnsi="Calibri" w:cs="Calibri"/>
                <w:bCs/>
                <w:sz w:val="18"/>
              </w:rPr>
              <w:t xml:space="preserve">Audit and Risk Committee (ARC) </w:t>
            </w:r>
          </w:p>
          <w:p w14:paraId="6D00DA2D" w14:textId="77777777" w:rsidR="003F72B6" w:rsidRPr="00B85B32" w:rsidRDefault="003F72B6" w:rsidP="003F72B6">
            <w:pPr>
              <w:pStyle w:val="ESTablebody"/>
              <w:rPr>
                <w:rFonts w:ascii="Calibri" w:hAnsi="Calibri" w:cs="Calibri"/>
                <w:sz w:val="18"/>
              </w:rPr>
            </w:pPr>
          </w:p>
        </w:tc>
        <w:tc>
          <w:tcPr>
            <w:tcW w:w="5491" w:type="dxa"/>
            <w:tcBorders>
              <w:top w:val="single" w:sz="4" w:space="0" w:color="FFFFFF" w:themeColor="background1"/>
              <w:bottom w:val="single" w:sz="4" w:space="0" w:color="53565A" w:themeColor="accent5"/>
            </w:tcBorders>
          </w:tcPr>
          <w:p w14:paraId="54BED26E" w14:textId="6C924BFC" w:rsidR="003F72B6" w:rsidRPr="00B85B32" w:rsidRDefault="003F72B6" w:rsidP="003F72B6">
            <w:pPr>
              <w:pStyle w:val="ESTablebody"/>
              <w:rPr>
                <w:rFonts w:ascii="Calibri" w:hAnsi="Calibri" w:cs="Calibri"/>
                <w:sz w:val="18"/>
                <w:lang w:val="en-AU"/>
              </w:rPr>
            </w:pPr>
            <w:r w:rsidRPr="00B85B32">
              <w:rPr>
                <w:rFonts w:ascii="Calibri" w:hAnsi="Calibri" w:cs="Calibri"/>
                <w:bCs/>
                <w:sz w:val="18"/>
              </w:rPr>
              <w:t xml:space="preserve">ARC assists the Secretary to fulfil governance responsibilities and obligations under the </w:t>
            </w:r>
            <w:r w:rsidRPr="00B85B32">
              <w:rPr>
                <w:rFonts w:ascii="Calibri" w:hAnsi="Calibri" w:cs="Calibri"/>
                <w:bCs/>
                <w:i/>
                <w:sz w:val="18"/>
              </w:rPr>
              <w:t>Financial Management Act 1994</w:t>
            </w:r>
            <w:r w:rsidRPr="00B85B32">
              <w:rPr>
                <w:rFonts w:ascii="Calibri" w:hAnsi="Calibri" w:cs="Calibri"/>
                <w:bCs/>
                <w:sz w:val="18"/>
              </w:rPr>
              <w:t xml:space="preserve"> (the FM Act). ARC was established in August 2003 to comply with Standing Directions under the FM Act, which requires an audit committee to oversee and advise on matters of accountability and internal control affecting the Department’s operations. ARC provides direct advice to the Secretary on governance, risk management, </w:t>
            </w:r>
            <w:proofErr w:type="gramStart"/>
            <w:r w:rsidRPr="00B85B32">
              <w:rPr>
                <w:rFonts w:ascii="Calibri" w:hAnsi="Calibri" w:cs="Calibri"/>
                <w:bCs/>
                <w:sz w:val="18"/>
              </w:rPr>
              <w:t>audit</w:t>
            </w:r>
            <w:proofErr w:type="gramEnd"/>
            <w:r w:rsidRPr="00B85B32">
              <w:rPr>
                <w:rFonts w:ascii="Calibri" w:hAnsi="Calibri" w:cs="Calibri"/>
                <w:bCs/>
                <w:sz w:val="18"/>
              </w:rPr>
              <w:t xml:space="preserve"> and control assurance activities.</w:t>
            </w:r>
          </w:p>
        </w:tc>
        <w:tc>
          <w:tcPr>
            <w:tcW w:w="5706" w:type="dxa"/>
            <w:tcBorders>
              <w:top w:val="single" w:sz="4" w:space="0" w:color="FFFFFF" w:themeColor="background1"/>
              <w:bottom w:val="single" w:sz="4" w:space="0" w:color="53565A" w:themeColor="accent5"/>
            </w:tcBorders>
          </w:tcPr>
          <w:p w14:paraId="4379E215" w14:textId="11F4627F" w:rsidR="003F72B6" w:rsidRPr="00B85B32" w:rsidRDefault="003F72B6" w:rsidP="003F72B6">
            <w:pPr>
              <w:pStyle w:val="ESTablebody"/>
              <w:rPr>
                <w:rFonts w:ascii="Calibri" w:hAnsi="Calibri" w:cs="Calibri"/>
                <w:bCs/>
                <w:sz w:val="18"/>
              </w:rPr>
            </w:pPr>
            <w:r w:rsidRPr="00B85B32">
              <w:rPr>
                <w:rFonts w:ascii="Calibri" w:hAnsi="Calibri" w:cs="Calibri"/>
                <w:bCs/>
                <w:sz w:val="18"/>
              </w:rPr>
              <w:t>ARC met six times, including two special meetings in September 2020. The special meetings were held to perform the year-end attestation processes</w:t>
            </w:r>
            <w:r w:rsidR="00C23C1F">
              <w:rPr>
                <w:rFonts w:ascii="Calibri" w:hAnsi="Calibri" w:cs="Calibri"/>
                <w:bCs/>
                <w:sz w:val="18"/>
              </w:rPr>
              <w:t>,</w:t>
            </w:r>
            <w:r w:rsidRPr="00B85B32">
              <w:rPr>
                <w:rFonts w:ascii="Calibri" w:hAnsi="Calibri" w:cs="Calibri"/>
                <w:bCs/>
                <w:sz w:val="18"/>
              </w:rPr>
              <w:t xml:space="preserve"> including endorsement of the 2019–20 annual financial statements and to workshop the four-year Internal Audit plan and </w:t>
            </w:r>
            <w:proofErr w:type="spellStart"/>
            <w:r w:rsidRPr="00B85B32">
              <w:rPr>
                <w:rFonts w:ascii="Calibri" w:hAnsi="Calibri" w:cs="Calibri"/>
                <w:bCs/>
                <w:sz w:val="18"/>
              </w:rPr>
              <w:t>prioritise</w:t>
            </w:r>
            <w:proofErr w:type="spellEnd"/>
            <w:r w:rsidRPr="00B85B32">
              <w:rPr>
                <w:rFonts w:ascii="Calibri" w:hAnsi="Calibri" w:cs="Calibri"/>
                <w:bCs/>
                <w:sz w:val="18"/>
              </w:rPr>
              <w:t xml:space="preserve"> internal audits for 2021. </w:t>
            </w:r>
          </w:p>
          <w:p w14:paraId="379B96F6" w14:textId="35E309E2" w:rsidR="003F72B6" w:rsidRPr="00B85B32" w:rsidRDefault="003F72B6" w:rsidP="003F72B6">
            <w:pPr>
              <w:pStyle w:val="ESTablebody"/>
              <w:rPr>
                <w:rFonts w:ascii="Calibri" w:hAnsi="Calibri" w:cs="Calibri"/>
                <w:sz w:val="18"/>
                <w:lang w:val="en-AU"/>
              </w:rPr>
            </w:pPr>
            <w:r w:rsidRPr="00B85B32">
              <w:rPr>
                <w:rFonts w:ascii="Calibri" w:hAnsi="Calibri" w:cs="Calibri"/>
                <w:bCs/>
                <w:sz w:val="18"/>
              </w:rPr>
              <w:t>ARC also oversaw governance, financial, risk management, audit and control assurance activities and advised the Secretary on matters of accountability and internal controls affecting the Department’s operations.</w:t>
            </w:r>
          </w:p>
        </w:tc>
      </w:tr>
      <w:tr w:rsidR="003F72B6" w:rsidRPr="00B85B32" w14:paraId="3DBE8BC1" w14:textId="77777777" w:rsidTr="003F72B6">
        <w:trPr>
          <w:cantSplit/>
          <w:trHeight w:val="1257"/>
        </w:trPr>
        <w:tc>
          <w:tcPr>
            <w:tcW w:w="2488" w:type="dxa"/>
            <w:tcBorders>
              <w:top w:val="single" w:sz="4" w:space="0" w:color="FFFFFF" w:themeColor="background1"/>
              <w:bottom w:val="single" w:sz="4" w:space="0" w:color="53565A" w:themeColor="accent5"/>
            </w:tcBorders>
            <w:shd w:val="clear" w:color="auto" w:fill="auto"/>
          </w:tcPr>
          <w:p w14:paraId="61FEFD2A"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Budget and Financial Management Committee (BFMC)</w:t>
            </w:r>
          </w:p>
          <w:p w14:paraId="616CE7DA" w14:textId="77777777" w:rsidR="003F72B6" w:rsidRPr="00B85B32" w:rsidRDefault="003F72B6" w:rsidP="003F72B6">
            <w:pPr>
              <w:pStyle w:val="ESTablebody"/>
              <w:rPr>
                <w:rFonts w:ascii="Calibri" w:hAnsi="Calibri" w:cs="Calibri"/>
                <w:sz w:val="18"/>
              </w:rPr>
            </w:pPr>
          </w:p>
        </w:tc>
        <w:tc>
          <w:tcPr>
            <w:tcW w:w="5491" w:type="dxa"/>
            <w:tcBorders>
              <w:top w:val="single" w:sz="4" w:space="0" w:color="FFFFFF" w:themeColor="background1"/>
              <w:bottom w:val="single" w:sz="4" w:space="0" w:color="53565A" w:themeColor="accent5"/>
            </w:tcBorders>
          </w:tcPr>
          <w:p w14:paraId="2A078DA2" w14:textId="0E431AD7" w:rsidR="003F72B6" w:rsidRPr="00B85B32" w:rsidRDefault="003F72B6" w:rsidP="003F72B6">
            <w:pPr>
              <w:pStyle w:val="ESTablebody"/>
              <w:rPr>
                <w:rFonts w:ascii="Calibri" w:hAnsi="Calibri" w:cs="Calibri"/>
                <w:sz w:val="18"/>
                <w:lang w:val="en-AU"/>
              </w:rPr>
            </w:pPr>
            <w:r w:rsidRPr="00B85B32">
              <w:rPr>
                <w:rFonts w:ascii="Calibri" w:hAnsi="Calibri" w:cs="Calibri"/>
                <w:sz w:val="18"/>
              </w:rPr>
              <w:t>BFMC advises the Executive Board (EB) on priorities for budget and finance matters, provides oversight of the Department’s budget and finances, and acts as decision-maker for EB on budget and finance matters in accordance with its terms of reference. The BFMC’s scope includes the Victorian Curriculum and Assessment Authority and the Victorian Registration and Qualifications Authority, both of which are primarily funded through the Department.</w:t>
            </w:r>
          </w:p>
        </w:tc>
        <w:tc>
          <w:tcPr>
            <w:tcW w:w="5706" w:type="dxa"/>
            <w:tcBorders>
              <w:top w:val="single" w:sz="4" w:space="0" w:color="FFFFFF" w:themeColor="background1"/>
              <w:bottom w:val="single" w:sz="4" w:space="0" w:color="53565A" w:themeColor="accent5"/>
            </w:tcBorders>
          </w:tcPr>
          <w:p w14:paraId="3F6950C5"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 xml:space="preserve">BFMC met monthly and monitored the financial position of the Department, including the impact of the COVID-19 pandemic, by considering the Budget Management Report, Student Resource Package Report, Quarterly State Treasury Trust </w:t>
            </w:r>
            <w:proofErr w:type="gramStart"/>
            <w:r w:rsidRPr="00B85B32">
              <w:rPr>
                <w:rFonts w:ascii="Calibri" w:hAnsi="Calibri" w:cs="Calibri"/>
                <w:sz w:val="18"/>
              </w:rPr>
              <w:t>Balances</w:t>
            </w:r>
            <w:proofErr w:type="gramEnd"/>
            <w:r w:rsidRPr="00B85B32">
              <w:rPr>
                <w:rFonts w:ascii="Calibri" w:hAnsi="Calibri" w:cs="Calibri"/>
                <w:sz w:val="18"/>
              </w:rPr>
              <w:t xml:space="preserve"> and International Education Division Quarterly updates. The BFMC managed the allocation of financial resources in alignment with the Department’s service delivery, planning objectives and government priorities.</w:t>
            </w:r>
          </w:p>
          <w:p w14:paraId="7ED147DB" w14:textId="464C64EA" w:rsidR="003F72B6" w:rsidRPr="00B85B32" w:rsidRDefault="003F72B6" w:rsidP="003F72B6">
            <w:pPr>
              <w:pStyle w:val="ESTablebody"/>
              <w:rPr>
                <w:rFonts w:ascii="Calibri" w:hAnsi="Calibri" w:cs="Calibri"/>
                <w:sz w:val="18"/>
                <w:lang w:val="en-AU"/>
              </w:rPr>
            </w:pPr>
            <w:r w:rsidRPr="00B85B32">
              <w:rPr>
                <w:rFonts w:ascii="Calibri" w:hAnsi="Calibri" w:cs="Calibri"/>
                <w:sz w:val="18"/>
              </w:rPr>
              <w:t>BFMC’s key activities included oversight and management of the Student Resource Package and the Department’s budget including the annual internal budget and midyear budget review processes.</w:t>
            </w:r>
          </w:p>
        </w:tc>
      </w:tr>
      <w:tr w:rsidR="003F72B6" w:rsidRPr="00B85B32" w14:paraId="124AD760" w14:textId="77777777" w:rsidTr="003F72B6">
        <w:trPr>
          <w:cantSplit/>
          <w:trHeight w:val="1375"/>
        </w:trPr>
        <w:tc>
          <w:tcPr>
            <w:tcW w:w="2488" w:type="dxa"/>
            <w:tcBorders>
              <w:top w:val="single" w:sz="4" w:space="0" w:color="53565A" w:themeColor="accent5"/>
              <w:bottom w:val="single" w:sz="4" w:space="0" w:color="53565A" w:themeColor="accent5"/>
            </w:tcBorders>
            <w:shd w:val="clear" w:color="auto" w:fill="auto"/>
          </w:tcPr>
          <w:p w14:paraId="4DD98AAD" w14:textId="7BC84C8E" w:rsidR="003F72B6" w:rsidRPr="00B85B32" w:rsidRDefault="003F72B6" w:rsidP="003F72B6">
            <w:pPr>
              <w:pStyle w:val="ESTablebody"/>
              <w:rPr>
                <w:rFonts w:ascii="Calibri" w:hAnsi="Calibri" w:cs="Calibri"/>
                <w:sz w:val="18"/>
              </w:rPr>
            </w:pPr>
            <w:r w:rsidRPr="00B85B32">
              <w:rPr>
                <w:rFonts w:ascii="Calibri" w:hAnsi="Calibri" w:cs="Calibri"/>
                <w:sz w:val="18"/>
              </w:rPr>
              <w:t>Culture and People Committee (CPC)</w:t>
            </w:r>
          </w:p>
        </w:tc>
        <w:tc>
          <w:tcPr>
            <w:tcW w:w="5491" w:type="dxa"/>
            <w:tcBorders>
              <w:top w:val="single" w:sz="4" w:space="0" w:color="53565A" w:themeColor="accent5"/>
              <w:bottom w:val="single" w:sz="4" w:space="0" w:color="53565A" w:themeColor="accent5"/>
            </w:tcBorders>
          </w:tcPr>
          <w:p w14:paraId="4E2DE4D6" w14:textId="7A395F84" w:rsidR="003F72B6" w:rsidRPr="00B85B32" w:rsidRDefault="003F72B6" w:rsidP="003F72B6">
            <w:pPr>
              <w:pStyle w:val="ESTablebody"/>
              <w:rPr>
                <w:rFonts w:ascii="Calibri" w:hAnsi="Calibri" w:cs="Calibri"/>
                <w:sz w:val="18"/>
              </w:rPr>
            </w:pPr>
            <w:r w:rsidRPr="00B85B32">
              <w:rPr>
                <w:rFonts w:ascii="Calibri" w:hAnsi="Calibri" w:cs="Calibri"/>
                <w:sz w:val="18"/>
              </w:rPr>
              <w:t>CPC advises EB on significant and strategic culture and capability matters related to the Department’s Victorian Public Sector (VPS) workforce. CPC also provides oversight and assurance over strategies to promote diversity and inclusion, and occupational health and safety across the Department’s workforce.</w:t>
            </w:r>
          </w:p>
          <w:p w14:paraId="2DA9FA85" w14:textId="51B0CC51" w:rsidR="003F72B6" w:rsidRPr="00B85B32" w:rsidRDefault="003F72B6" w:rsidP="003F72B6">
            <w:pPr>
              <w:pStyle w:val="ESTablebody"/>
              <w:rPr>
                <w:rFonts w:ascii="Calibri" w:hAnsi="Calibri" w:cs="Calibri"/>
                <w:sz w:val="18"/>
                <w:lang w:val="en-AU"/>
              </w:rPr>
            </w:pPr>
            <w:r w:rsidRPr="00B85B32">
              <w:rPr>
                <w:rFonts w:ascii="Calibri" w:hAnsi="Calibri" w:cs="Calibri"/>
                <w:sz w:val="18"/>
              </w:rPr>
              <w:t xml:space="preserve">The VPS workforce in the Department includes central and regional corporate staff, </w:t>
            </w:r>
            <w:proofErr w:type="gramStart"/>
            <w:r w:rsidRPr="00B85B32">
              <w:rPr>
                <w:rFonts w:ascii="Calibri" w:hAnsi="Calibri" w:cs="Calibri"/>
                <w:sz w:val="18"/>
              </w:rPr>
              <w:t>nurses</w:t>
            </w:r>
            <w:proofErr w:type="gramEnd"/>
            <w:r w:rsidRPr="00B85B32">
              <w:rPr>
                <w:rFonts w:ascii="Calibri" w:hAnsi="Calibri" w:cs="Calibri"/>
                <w:sz w:val="18"/>
              </w:rPr>
              <w:t xml:space="preserve"> and allied health professionals.</w:t>
            </w:r>
          </w:p>
        </w:tc>
        <w:tc>
          <w:tcPr>
            <w:tcW w:w="5706" w:type="dxa"/>
            <w:tcBorders>
              <w:top w:val="single" w:sz="4" w:space="0" w:color="53565A" w:themeColor="accent5"/>
              <w:bottom w:val="single" w:sz="4" w:space="0" w:color="53565A" w:themeColor="accent5"/>
            </w:tcBorders>
          </w:tcPr>
          <w:p w14:paraId="31CCA10A" w14:textId="5194ED33" w:rsidR="003F72B6" w:rsidRPr="00B85B32" w:rsidRDefault="003F72B6" w:rsidP="003F72B6">
            <w:pPr>
              <w:pStyle w:val="ESTablebody"/>
              <w:rPr>
                <w:rFonts w:ascii="Calibri" w:hAnsi="Calibri" w:cs="Calibri"/>
                <w:sz w:val="18"/>
                <w:lang w:val="en-AU"/>
              </w:rPr>
            </w:pPr>
            <w:r w:rsidRPr="00B85B32">
              <w:rPr>
                <w:rFonts w:ascii="Calibri" w:hAnsi="Calibri" w:cs="Calibri"/>
                <w:sz w:val="18"/>
              </w:rPr>
              <w:t>CPC met quarterly</w:t>
            </w:r>
            <w:r w:rsidR="00164C16">
              <w:rPr>
                <w:rFonts w:ascii="Calibri" w:hAnsi="Calibri" w:cs="Calibri"/>
                <w:sz w:val="18"/>
              </w:rPr>
              <w:t>,</w:t>
            </w:r>
            <w:r w:rsidRPr="00B85B32">
              <w:rPr>
                <w:rFonts w:ascii="Calibri" w:hAnsi="Calibri" w:cs="Calibri"/>
                <w:sz w:val="18"/>
              </w:rPr>
              <w:t xml:space="preserve"> providing strategic oversight of relevant policies, </w:t>
            </w:r>
            <w:proofErr w:type="gramStart"/>
            <w:r w:rsidRPr="00B85B32">
              <w:rPr>
                <w:rFonts w:ascii="Calibri" w:hAnsi="Calibri" w:cs="Calibri"/>
                <w:sz w:val="18"/>
              </w:rPr>
              <w:t>strategies</w:t>
            </w:r>
            <w:proofErr w:type="gramEnd"/>
            <w:r w:rsidRPr="00B85B32">
              <w:rPr>
                <w:rFonts w:ascii="Calibri" w:hAnsi="Calibri" w:cs="Calibri"/>
                <w:sz w:val="18"/>
              </w:rPr>
              <w:t xml:space="preserve"> and initiatives, including the Investing in our People Strategy 2016–2020, the new VPS People Strategy 2021–24 and the People Matter Survey. It also discussed workforce planning and development, diversity and inclusion, and employee health, </w:t>
            </w:r>
            <w:proofErr w:type="gramStart"/>
            <w:r w:rsidRPr="00B85B32">
              <w:rPr>
                <w:rFonts w:ascii="Calibri" w:hAnsi="Calibri" w:cs="Calibri"/>
                <w:sz w:val="18"/>
              </w:rPr>
              <w:t>safety</w:t>
            </w:r>
            <w:proofErr w:type="gramEnd"/>
            <w:r w:rsidRPr="00B85B32">
              <w:rPr>
                <w:rFonts w:ascii="Calibri" w:hAnsi="Calibri" w:cs="Calibri"/>
                <w:sz w:val="18"/>
              </w:rPr>
              <w:t xml:space="preserve"> and wellbeing matters.</w:t>
            </w:r>
          </w:p>
        </w:tc>
      </w:tr>
      <w:tr w:rsidR="003F72B6" w:rsidRPr="00B85B32" w14:paraId="262E81E7" w14:textId="77777777" w:rsidTr="003F72B6">
        <w:trPr>
          <w:cantSplit/>
          <w:trHeight w:val="755"/>
        </w:trPr>
        <w:tc>
          <w:tcPr>
            <w:tcW w:w="2488" w:type="dxa"/>
            <w:tcBorders>
              <w:top w:val="single" w:sz="4" w:space="0" w:color="53565A" w:themeColor="accent5"/>
              <w:bottom w:val="single" w:sz="4" w:space="0" w:color="53565A" w:themeColor="accent5"/>
            </w:tcBorders>
            <w:shd w:val="clear" w:color="auto" w:fill="auto"/>
          </w:tcPr>
          <w:p w14:paraId="5C353013" w14:textId="0AF94B47" w:rsidR="003F72B6" w:rsidRPr="00B85B32" w:rsidRDefault="003F72B6" w:rsidP="003F72B6">
            <w:pPr>
              <w:pStyle w:val="ESTablebody"/>
              <w:rPr>
                <w:rFonts w:ascii="Calibri" w:hAnsi="Calibri" w:cs="Calibri"/>
                <w:sz w:val="18"/>
              </w:rPr>
            </w:pPr>
            <w:r w:rsidRPr="00B85B32">
              <w:rPr>
                <w:rFonts w:ascii="Calibri" w:hAnsi="Calibri" w:cs="Calibri"/>
                <w:sz w:val="18"/>
              </w:rPr>
              <w:lastRenderedPageBreak/>
              <w:t>Education State Board (ESB)</w:t>
            </w:r>
          </w:p>
        </w:tc>
        <w:tc>
          <w:tcPr>
            <w:tcW w:w="5491" w:type="dxa"/>
            <w:tcBorders>
              <w:top w:val="single" w:sz="4" w:space="0" w:color="53565A" w:themeColor="accent5"/>
              <w:bottom w:val="single" w:sz="4" w:space="0" w:color="53565A" w:themeColor="accent5"/>
            </w:tcBorders>
          </w:tcPr>
          <w:p w14:paraId="7F823D90" w14:textId="18C9A3FC" w:rsidR="003F72B6" w:rsidRPr="00B85B32" w:rsidRDefault="003F72B6" w:rsidP="003F72B6">
            <w:pPr>
              <w:pStyle w:val="ESTablebody"/>
              <w:rPr>
                <w:rFonts w:ascii="Calibri" w:hAnsi="Calibri" w:cs="Calibri"/>
                <w:sz w:val="18"/>
                <w:lang w:val="en-AU"/>
              </w:rPr>
            </w:pPr>
            <w:r w:rsidRPr="00B85B32">
              <w:rPr>
                <w:rFonts w:ascii="Calibri" w:hAnsi="Calibri" w:cs="Calibri"/>
                <w:sz w:val="18"/>
              </w:rPr>
              <w:t>ESB is an advisory body to EB for the Department’s strategic policy thinking. On referral from EB, ESB considers and provides advice on major policies or reforms to progress the Education State agenda. ESB acts as an escalation point for critical risks, issues and decisions affecting the reform agenda, and is also responsible for ensuring that all relevant activities of the Department are aligned with the Education State agenda.</w:t>
            </w:r>
          </w:p>
        </w:tc>
        <w:tc>
          <w:tcPr>
            <w:tcW w:w="5706" w:type="dxa"/>
            <w:tcBorders>
              <w:top w:val="single" w:sz="4" w:space="0" w:color="53565A" w:themeColor="accent5"/>
              <w:bottom w:val="single" w:sz="4" w:space="0" w:color="53565A" w:themeColor="accent5"/>
            </w:tcBorders>
          </w:tcPr>
          <w:p w14:paraId="0AA4AF13"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 xml:space="preserve">ESB met quarterly providing direction on strategic cross-portfolio issues and reforms across early childhood, </w:t>
            </w:r>
            <w:proofErr w:type="gramStart"/>
            <w:r w:rsidRPr="00B85B32">
              <w:rPr>
                <w:rFonts w:ascii="Calibri" w:hAnsi="Calibri" w:cs="Calibri"/>
                <w:sz w:val="18"/>
              </w:rPr>
              <w:t>schools</w:t>
            </w:r>
            <w:proofErr w:type="gramEnd"/>
            <w:r w:rsidRPr="00B85B32">
              <w:rPr>
                <w:rFonts w:ascii="Calibri" w:hAnsi="Calibri" w:cs="Calibri"/>
                <w:sz w:val="18"/>
              </w:rPr>
              <w:t xml:space="preserve"> and higher education. It maintained a focus on the design and implementation of Education State reforms and fostered cross-portfolio collaboration.</w:t>
            </w:r>
          </w:p>
          <w:p w14:paraId="5EE22EE9" w14:textId="28192999" w:rsidR="003F72B6" w:rsidRPr="00B85B32" w:rsidRDefault="003F72B6" w:rsidP="003F72B6">
            <w:pPr>
              <w:pStyle w:val="ESTablebody"/>
              <w:rPr>
                <w:rFonts w:ascii="Calibri" w:hAnsi="Calibri" w:cs="Calibri"/>
                <w:sz w:val="18"/>
                <w:lang w:val="en-AU"/>
              </w:rPr>
            </w:pPr>
            <w:r w:rsidRPr="00B85B32">
              <w:rPr>
                <w:rFonts w:ascii="Calibri" w:hAnsi="Calibri" w:cs="Calibri"/>
                <w:sz w:val="18"/>
              </w:rPr>
              <w:t xml:space="preserve">ESB focused on delivery imperatives for some of the Department’s significant reforms, including the Tutor Learning Initiative, the Department’s response to the Royal Commission into Victoria’s Mental Health System, </w:t>
            </w:r>
            <w:r w:rsidR="00171C4E">
              <w:rPr>
                <w:rFonts w:ascii="Calibri" w:hAnsi="Calibri" w:cs="Calibri"/>
                <w:sz w:val="18"/>
              </w:rPr>
              <w:t>v</w:t>
            </w:r>
            <w:r w:rsidRPr="00B85B32">
              <w:rPr>
                <w:rFonts w:ascii="Calibri" w:hAnsi="Calibri" w:cs="Calibri"/>
                <w:sz w:val="18"/>
              </w:rPr>
              <w:t xml:space="preserve">ulnerable </w:t>
            </w:r>
            <w:proofErr w:type="gramStart"/>
            <w:r w:rsidR="00171C4E">
              <w:rPr>
                <w:rFonts w:ascii="Calibri" w:hAnsi="Calibri" w:cs="Calibri"/>
                <w:sz w:val="18"/>
              </w:rPr>
              <w:t>l</w:t>
            </w:r>
            <w:r w:rsidRPr="00B85B32">
              <w:rPr>
                <w:rFonts w:ascii="Calibri" w:hAnsi="Calibri" w:cs="Calibri"/>
                <w:sz w:val="18"/>
              </w:rPr>
              <w:t>earners</w:t>
            </w:r>
            <w:proofErr w:type="gramEnd"/>
            <w:r w:rsidRPr="00B85B32">
              <w:rPr>
                <w:rFonts w:ascii="Calibri" w:hAnsi="Calibri" w:cs="Calibri"/>
                <w:sz w:val="18"/>
              </w:rPr>
              <w:t xml:space="preserve"> and the post-secondary portfolio reform.</w:t>
            </w:r>
          </w:p>
        </w:tc>
      </w:tr>
      <w:tr w:rsidR="003F72B6" w:rsidRPr="00B85B32" w14:paraId="5D249382" w14:textId="77777777" w:rsidTr="003F72B6">
        <w:trPr>
          <w:cantSplit/>
          <w:trHeight w:val="755"/>
        </w:trPr>
        <w:tc>
          <w:tcPr>
            <w:tcW w:w="2488" w:type="dxa"/>
            <w:tcBorders>
              <w:top w:val="single" w:sz="4" w:space="0" w:color="53565A" w:themeColor="accent5"/>
              <w:bottom w:val="single" w:sz="4" w:space="0" w:color="53565A" w:themeColor="accent5"/>
            </w:tcBorders>
            <w:shd w:val="clear" w:color="auto" w:fill="auto"/>
          </w:tcPr>
          <w:p w14:paraId="5241C717" w14:textId="41EF680E" w:rsidR="003F72B6" w:rsidRPr="00B85B32" w:rsidRDefault="003F72B6" w:rsidP="003F72B6">
            <w:pPr>
              <w:pStyle w:val="ESTablebody"/>
              <w:rPr>
                <w:rFonts w:ascii="Calibri" w:hAnsi="Calibri" w:cs="Calibri"/>
                <w:sz w:val="18"/>
              </w:rPr>
            </w:pPr>
            <w:r w:rsidRPr="00B85B32">
              <w:rPr>
                <w:rFonts w:ascii="Calibri" w:hAnsi="Calibri" w:cs="Calibri"/>
                <w:sz w:val="18"/>
              </w:rPr>
              <w:t>Executive Board</w:t>
            </w:r>
          </w:p>
        </w:tc>
        <w:tc>
          <w:tcPr>
            <w:tcW w:w="5491" w:type="dxa"/>
            <w:tcBorders>
              <w:top w:val="single" w:sz="4" w:space="0" w:color="53565A" w:themeColor="accent5"/>
              <w:bottom w:val="single" w:sz="4" w:space="0" w:color="53565A" w:themeColor="accent5"/>
            </w:tcBorders>
          </w:tcPr>
          <w:p w14:paraId="1877B4A2"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 xml:space="preserve">The Executive Board provides stewardship by giving a whole-of-department perspective to advise the Secretary (who, in turn, is responsible to Government and Ministers). </w:t>
            </w:r>
          </w:p>
          <w:p w14:paraId="407F9DCA" w14:textId="435972A2" w:rsidR="003F72B6" w:rsidRPr="00B85B32" w:rsidRDefault="003F72B6" w:rsidP="003F72B6">
            <w:pPr>
              <w:pStyle w:val="ESTablebody"/>
              <w:rPr>
                <w:rFonts w:ascii="Calibri" w:hAnsi="Calibri" w:cs="Calibri"/>
                <w:sz w:val="18"/>
                <w:lang w:val="en-AU"/>
              </w:rPr>
            </w:pPr>
            <w:r w:rsidRPr="00B85B32">
              <w:rPr>
                <w:rFonts w:ascii="Calibri" w:hAnsi="Calibri" w:cs="Calibri"/>
                <w:sz w:val="18"/>
              </w:rPr>
              <w:t xml:space="preserve">The Executive Board assists the Secretary with strategic leadership of the Department, its </w:t>
            </w:r>
            <w:proofErr w:type="gramStart"/>
            <w:r w:rsidRPr="00B85B32">
              <w:rPr>
                <w:rFonts w:ascii="Calibri" w:hAnsi="Calibri" w:cs="Calibri"/>
                <w:sz w:val="18"/>
              </w:rPr>
              <w:t>agencies</w:t>
            </w:r>
            <w:proofErr w:type="gramEnd"/>
            <w:r w:rsidRPr="00B85B32">
              <w:rPr>
                <w:rFonts w:ascii="Calibri" w:hAnsi="Calibri" w:cs="Calibri"/>
                <w:sz w:val="18"/>
              </w:rPr>
              <w:t xml:space="preserve"> and the Department’s portfolios as a whole, including vision, purpose, strategic direction and objectives.</w:t>
            </w:r>
          </w:p>
        </w:tc>
        <w:tc>
          <w:tcPr>
            <w:tcW w:w="5706" w:type="dxa"/>
            <w:tcBorders>
              <w:top w:val="single" w:sz="4" w:space="0" w:color="53565A" w:themeColor="accent5"/>
              <w:bottom w:val="single" w:sz="4" w:space="0" w:color="53565A" w:themeColor="accent5"/>
            </w:tcBorders>
          </w:tcPr>
          <w:p w14:paraId="7AD51F74" w14:textId="10080544" w:rsidR="003F72B6" w:rsidRPr="00B85B32" w:rsidRDefault="003F72B6" w:rsidP="003F72B6">
            <w:pPr>
              <w:pStyle w:val="ESTablebody"/>
              <w:rPr>
                <w:rFonts w:ascii="Calibri" w:hAnsi="Calibri" w:cs="Calibri"/>
                <w:sz w:val="18"/>
                <w:lang w:val="en-AU"/>
              </w:rPr>
            </w:pPr>
            <w:r w:rsidRPr="00B85B32">
              <w:rPr>
                <w:rFonts w:ascii="Calibri" w:hAnsi="Calibri" w:cs="Calibri"/>
                <w:sz w:val="18"/>
              </w:rPr>
              <w:t>The Executive Board met weekly to set the Department’s strategic direction and performance targets, managed the financial and operational performance of the Department,</w:t>
            </w:r>
            <w:r w:rsidR="004B7882">
              <w:rPr>
                <w:rFonts w:ascii="Calibri" w:hAnsi="Calibri" w:cs="Calibri"/>
                <w:sz w:val="18"/>
              </w:rPr>
              <w:t xml:space="preserve"> and</w:t>
            </w:r>
            <w:r w:rsidRPr="00B85B32">
              <w:rPr>
                <w:rFonts w:ascii="Calibri" w:hAnsi="Calibri" w:cs="Calibri"/>
                <w:sz w:val="18"/>
              </w:rPr>
              <w:t xml:space="preserve"> monitored the delivery of key priorities. This included ensuring integration and alignment across groups and agencies and supporting senior leadership to drive a high</w:t>
            </w:r>
            <w:r w:rsidRPr="00B85B32">
              <w:rPr>
                <w:rFonts w:ascii="Calibri" w:hAnsi="Calibri" w:cs="Calibri"/>
                <w:sz w:val="18"/>
              </w:rPr>
              <w:noBreakHyphen/>
              <w:t>performing culture. It also oversees the Department’s ongoing response to the COVID-19 pandemic.</w:t>
            </w:r>
          </w:p>
        </w:tc>
      </w:tr>
      <w:tr w:rsidR="003F72B6" w:rsidRPr="00B85B32" w14:paraId="3D417B77" w14:textId="77777777" w:rsidTr="003F72B6">
        <w:trPr>
          <w:cantSplit/>
          <w:trHeight w:val="628"/>
        </w:trPr>
        <w:tc>
          <w:tcPr>
            <w:tcW w:w="2488" w:type="dxa"/>
            <w:tcBorders>
              <w:top w:val="single" w:sz="4" w:space="0" w:color="53565A" w:themeColor="accent5"/>
              <w:bottom w:val="single" w:sz="4" w:space="0" w:color="53565A" w:themeColor="accent5"/>
            </w:tcBorders>
            <w:shd w:val="clear" w:color="auto" w:fill="auto"/>
          </w:tcPr>
          <w:p w14:paraId="613A4BEA" w14:textId="72D9B932" w:rsidR="003F72B6" w:rsidRPr="00B85B32" w:rsidRDefault="003F72B6" w:rsidP="003F72B6">
            <w:pPr>
              <w:pStyle w:val="ESTablebody"/>
              <w:rPr>
                <w:rFonts w:ascii="Calibri" w:hAnsi="Calibri" w:cs="Calibri"/>
                <w:sz w:val="18"/>
              </w:rPr>
            </w:pPr>
            <w:r w:rsidRPr="00B85B32">
              <w:rPr>
                <w:rFonts w:ascii="Calibri" w:hAnsi="Calibri" w:cs="Calibri"/>
                <w:sz w:val="18"/>
              </w:rPr>
              <w:t>Executive Remuneration Committee (ERC)</w:t>
            </w:r>
          </w:p>
        </w:tc>
        <w:tc>
          <w:tcPr>
            <w:tcW w:w="5491" w:type="dxa"/>
            <w:tcBorders>
              <w:top w:val="single" w:sz="4" w:space="0" w:color="53565A" w:themeColor="accent5"/>
              <w:bottom w:val="single" w:sz="4" w:space="0" w:color="53565A" w:themeColor="accent5"/>
            </w:tcBorders>
          </w:tcPr>
          <w:p w14:paraId="147F3769" w14:textId="668230F3" w:rsidR="003F72B6" w:rsidRPr="00B85B32" w:rsidRDefault="003F72B6" w:rsidP="003F72B6">
            <w:pPr>
              <w:pStyle w:val="ESTablebody"/>
              <w:rPr>
                <w:rFonts w:ascii="Calibri" w:hAnsi="Calibri" w:cs="Calibri"/>
                <w:sz w:val="18"/>
                <w:lang w:val="en-AU"/>
              </w:rPr>
            </w:pPr>
            <w:r w:rsidRPr="00B85B32">
              <w:rPr>
                <w:rFonts w:ascii="Calibri" w:hAnsi="Calibri" w:cs="Calibri"/>
                <w:sz w:val="18"/>
              </w:rPr>
              <w:t xml:space="preserve">The ERC ensures that a consistent and rigorous approach is taken to setting and adjusting remuneration for </w:t>
            </w:r>
            <w:r w:rsidR="00026E1D">
              <w:rPr>
                <w:rFonts w:ascii="Calibri" w:hAnsi="Calibri" w:cs="Calibri"/>
                <w:sz w:val="18"/>
              </w:rPr>
              <w:t xml:space="preserve">the </w:t>
            </w:r>
            <w:r w:rsidRPr="00B85B32">
              <w:rPr>
                <w:rFonts w:ascii="Calibri" w:hAnsi="Calibri" w:cs="Calibri"/>
                <w:sz w:val="18"/>
              </w:rPr>
              <w:t xml:space="preserve">senior executive service </w:t>
            </w:r>
            <w:r w:rsidR="007B58C1">
              <w:rPr>
                <w:rFonts w:ascii="Calibri" w:hAnsi="Calibri" w:cs="Calibri"/>
                <w:sz w:val="18"/>
              </w:rPr>
              <w:t>in</w:t>
            </w:r>
            <w:r w:rsidRPr="00B85B32">
              <w:rPr>
                <w:rFonts w:ascii="Calibri" w:hAnsi="Calibri" w:cs="Calibri"/>
                <w:sz w:val="18"/>
              </w:rPr>
              <w:t xml:space="preserve"> the Department and its statutory authorities. The approach to setting and adjusting remuneration is required to comply with the Victorian Public Sector Commission’s Victorian public service executive employment handbook (2019). </w:t>
            </w:r>
          </w:p>
        </w:tc>
        <w:tc>
          <w:tcPr>
            <w:tcW w:w="5706" w:type="dxa"/>
            <w:tcBorders>
              <w:top w:val="single" w:sz="4" w:space="0" w:color="53565A" w:themeColor="accent5"/>
              <w:bottom w:val="single" w:sz="4" w:space="0" w:color="53565A" w:themeColor="accent5"/>
            </w:tcBorders>
          </w:tcPr>
          <w:p w14:paraId="6F7D8418" w14:textId="647C2619" w:rsidR="003F72B6" w:rsidRPr="00B85B32" w:rsidRDefault="003F72B6" w:rsidP="003F72B6">
            <w:pPr>
              <w:pStyle w:val="ESTablebody"/>
              <w:rPr>
                <w:rFonts w:ascii="Calibri" w:hAnsi="Calibri" w:cs="Calibri"/>
                <w:sz w:val="18"/>
                <w:lang w:val="en-AU"/>
              </w:rPr>
            </w:pPr>
            <w:r w:rsidRPr="00B85B32">
              <w:rPr>
                <w:rFonts w:ascii="Calibri" w:hAnsi="Calibri" w:cs="Calibri"/>
                <w:sz w:val="18"/>
              </w:rPr>
              <w:t>ERC met four times in 2020–21 to consider and approve executive remuneration following the application of the annual executive remuneration review and ad hoc reviews. It provided a budget forecast of expenditure on executive salaries and forecast changes to the executive profile in the Department. ERC also monitored the executive rotation program and contract renewals.</w:t>
            </w:r>
          </w:p>
        </w:tc>
      </w:tr>
      <w:tr w:rsidR="003F72B6" w:rsidRPr="00B85B32" w14:paraId="33C1F3EF" w14:textId="77777777" w:rsidTr="003F72B6">
        <w:trPr>
          <w:cantSplit/>
          <w:trHeight w:val="628"/>
        </w:trPr>
        <w:tc>
          <w:tcPr>
            <w:tcW w:w="2488" w:type="dxa"/>
            <w:tcBorders>
              <w:top w:val="single" w:sz="4" w:space="0" w:color="53565A" w:themeColor="accent5"/>
              <w:bottom w:val="single" w:sz="4" w:space="0" w:color="53565A" w:themeColor="accent5"/>
            </w:tcBorders>
            <w:shd w:val="clear" w:color="auto" w:fill="auto"/>
          </w:tcPr>
          <w:p w14:paraId="0E9F4D05" w14:textId="6DB9AC49" w:rsidR="003F72B6" w:rsidRPr="00B85B32" w:rsidRDefault="003F72B6" w:rsidP="003F72B6">
            <w:pPr>
              <w:pStyle w:val="ESTablebody"/>
              <w:rPr>
                <w:rFonts w:ascii="Calibri" w:hAnsi="Calibri" w:cs="Calibri"/>
                <w:sz w:val="18"/>
              </w:rPr>
            </w:pPr>
            <w:r w:rsidRPr="00B85B32">
              <w:rPr>
                <w:rFonts w:ascii="Calibri" w:hAnsi="Calibri" w:cs="Calibri"/>
                <w:sz w:val="18"/>
              </w:rPr>
              <w:t>Government Schools Reform Committee (GSRC)</w:t>
            </w:r>
          </w:p>
        </w:tc>
        <w:tc>
          <w:tcPr>
            <w:tcW w:w="5491" w:type="dxa"/>
            <w:tcBorders>
              <w:top w:val="single" w:sz="4" w:space="0" w:color="53565A" w:themeColor="accent5"/>
              <w:bottom w:val="single" w:sz="4" w:space="0" w:color="53565A" w:themeColor="accent5"/>
            </w:tcBorders>
          </w:tcPr>
          <w:p w14:paraId="105A6A1F" w14:textId="3E3441A4" w:rsidR="003F72B6" w:rsidRPr="00B85B32" w:rsidRDefault="003F72B6" w:rsidP="003F72B6">
            <w:pPr>
              <w:pStyle w:val="ESTablebody"/>
              <w:rPr>
                <w:rFonts w:ascii="Calibri" w:hAnsi="Calibri" w:cs="Calibri"/>
                <w:sz w:val="18"/>
                <w:lang w:val="en-AU"/>
              </w:rPr>
            </w:pPr>
            <w:r w:rsidRPr="00B85B32">
              <w:rPr>
                <w:rFonts w:ascii="Calibri" w:hAnsi="Calibri" w:cs="Calibri"/>
                <w:sz w:val="18"/>
              </w:rPr>
              <w:t>GSRC advises the Executive Board on government schools reform</w:t>
            </w:r>
            <w:r w:rsidR="00BA793C">
              <w:rPr>
                <w:rFonts w:ascii="Calibri" w:hAnsi="Calibri" w:cs="Calibri"/>
                <w:sz w:val="18"/>
              </w:rPr>
              <w:t>,</w:t>
            </w:r>
            <w:r w:rsidRPr="00B85B32">
              <w:rPr>
                <w:rFonts w:ascii="Calibri" w:hAnsi="Calibri" w:cs="Calibri"/>
                <w:sz w:val="18"/>
              </w:rPr>
              <w:t xml:space="preserve"> from policy design to implementation and evaluation. It also provides strategic oversight of significant reform activities. </w:t>
            </w:r>
          </w:p>
        </w:tc>
        <w:tc>
          <w:tcPr>
            <w:tcW w:w="5706" w:type="dxa"/>
            <w:tcBorders>
              <w:top w:val="single" w:sz="4" w:space="0" w:color="53565A" w:themeColor="accent5"/>
              <w:bottom w:val="single" w:sz="4" w:space="0" w:color="53565A" w:themeColor="accent5"/>
            </w:tcBorders>
          </w:tcPr>
          <w:p w14:paraId="0B4534BD" w14:textId="5474AD34" w:rsidR="003F72B6" w:rsidRPr="00B85B32" w:rsidRDefault="003F72B6" w:rsidP="003F72B6">
            <w:pPr>
              <w:pStyle w:val="ESTablebody"/>
              <w:rPr>
                <w:rFonts w:ascii="Calibri" w:hAnsi="Calibri" w:cs="Calibri"/>
                <w:sz w:val="18"/>
              </w:rPr>
            </w:pPr>
            <w:r w:rsidRPr="00B85B32">
              <w:rPr>
                <w:rFonts w:ascii="Calibri" w:hAnsi="Calibri" w:cs="Calibri"/>
                <w:sz w:val="18"/>
              </w:rPr>
              <w:t xml:space="preserve">The GSRC </w:t>
            </w:r>
            <w:r w:rsidR="005754BD">
              <w:rPr>
                <w:rFonts w:ascii="Calibri" w:hAnsi="Calibri" w:cs="Calibri"/>
                <w:sz w:val="18"/>
              </w:rPr>
              <w:t xml:space="preserve">first </w:t>
            </w:r>
            <w:r w:rsidRPr="00B85B32">
              <w:rPr>
                <w:rFonts w:ascii="Calibri" w:hAnsi="Calibri" w:cs="Calibri"/>
                <w:sz w:val="18"/>
              </w:rPr>
              <w:t>convened on 11 February 2021 and met weekly thereafter. It maintained a focus on providing oversight of significant government school reform activities occurring across the Department.</w:t>
            </w:r>
          </w:p>
          <w:p w14:paraId="77A5EEAA" w14:textId="7904F1B3" w:rsidR="003F72B6" w:rsidRPr="00B85B32" w:rsidRDefault="003F72B6" w:rsidP="003F72B6">
            <w:pPr>
              <w:pStyle w:val="ESTablebody"/>
              <w:rPr>
                <w:rFonts w:ascii="Calibri" w:hAnsi="Calibri" w:cs="Calibri"/>
                <w:sz w:val="18"/>
                <w:lang w:val="en-AU"/>
              </w:rPr>
            </w:pPr>
            <w:r w:rsidRPr="00B85B32">
              <w:rPr>
                <w:rFonts w:ascii="Calibri" w:eastAsia="Times New Roman" w:hAnsi="Calibri" w:cs="Calibri"/>
                <w:sz w:val="18"/>
              </w:rPr>
              <w:t xml:space="preserve">Key areas of consideration were policy reform, program and project oversight, and evidence and evaluations across a range of areas including mental health and wellbeing, school improvement, </w:t>
            </w:r>
            <w:proofErr w:type="gramStart"/>
            <w:r w:rsidRPr="00B85B32">
              <w:rPr>
                <w:rFonts w:ascii="Calibri" w:eastAsia="Times New Roman" w:hAnsi="Calibri" w:cs="Calibri"/>
                <w:sz w:val="18"/>
              </w:rPr>
              <w:t>teaching</w:t>
            </w:r>
            <w:proofErr w:type="gramEnd"/>
            <w:r w:rsidRPr="00B85B32">
              <w:rPr>
                <w:rFonts w:ascii="Calibri" w:eastAsia="Times New Roman" w:hAnsi="Calibri" w:cs="Calibri"/>
                <w:sz w:val="18"/>
              </w:rPr>
              <w:t xml:space="preserve"> and leadership.</w:t>
            </w:r>
          </w:p>
        </w:tc>
      </w:tr>
      <w:tr w:rsidR="003F72B6" w:rsidRPr="00B85B32" w14:paraId="131F8508" w14:textId="77777777" w:rsidTr="003F72B6">
        <w:trPr>
          <w:cantSplit/>
          <w:trHeight w:val="747"/>
        </w:trPr>
        <w:tc>
          <w:tcPr>
            <w:tcW w:w="2488" w:type="dxa"/>
            <w:tcBorders>
              <w:top w:val="single" w:sz="4" w:space="0" w:color="53565A" w:themeColor="accent5"/>
              <w:bottom w:val="single" w:sz="4" w:space="0" w:color="53565A" w:themeColor="accent5"/>
            </w:tcBorders>
            <w:shd w:val="clear" w:color="auto" w:fill="auto"/>
          </w:tcPr>
          <w:p w14:paraId="142A49B1" w14:textId="4DB96553" w:rsidR="003F72B6" w:rsidRPr="00B85B32" w:rsidRDefault="003F72B6" w:rsidP="003F72B6">
            <w:pPr>
              <w:pStyle w:val="ESTablebody"/>
              <w:rPr>
                <w:rFonts w:ascii="Calibri" w:hAnsi="Calibri" w:cs="Calibri"/>
                <w:sz w:val="18"/>
                <w:lang w:val="en-AU"/>
              </w:rPr>
            </w:pPr>
            <w:r w:rsidRPr="00B85B32">
              <w:rPr>
                <w:rFonts w:ascii="Calibri" w:hAnsi="Calibri" w:cs="Calibri"/>
                <w:sz w:val="18"/>
              </w:rPr>
              <w:lastRenderedPageBreak/>
              <w:t>Information Management and Technology Committee (IMTC)</w:t>
            </w:r>
          </w:p>
        </w:tc>
        <w:tc>
          <w:tcPr>
            <w:tcW w:w="5491" w:type="dxa"/>
            <w:tcBorders>
              <w:top w:val="single" w:sz="4" w:space="0" w:color="53565A" w:themeColor="accent5"/>
              <w:bottom w:val="single" w:sz="4" w:space="0" w:color="53565A" w:themeColor="accent5"/>
            </w:tcBorders>
          </w:tcPr>
          <w:p w14:paraId="3559CD63" w14:textId="45514C83" w:rsidR="003F72B6" w:rsidRPr="00B85B32" w:rsidRDefault="003F72B6" w:rsidP="00636DB0">
            <w:pPr>
              <w:pStyle w:val="ESTablebody"/>
              <w:rPr>
                <w:rFonts w:ascii="Calibri" w:hAnsi="Calibri" w:cs="Calibri"/>
                <w:sz w:val="24"/>
                <w:lang w:val="en-AU" w:eastAsia="en-AU"/>
              </w:rPr>
            </w:pPr>
            <w:r w:rsidRPr="00636DB0">
              <w:rPr>
                <w:rFonts w:ascii="Calibri" w:hAnsi="Calibri" w:cs="Calibri"/>
                <w:sz w:val="18"/>
                <w:lang w:val="en-AU"/>
              </w:rPr>
              <w:t xml:space="preserve">IMTC advises </w:t>
            </w:r>
            <w:r w:rsidR="0094644C">
              <w:rPr>
                <w:rFonts w:ascii="Calibri" w:hAnsi="Calibri" w:cs="Calibri"/>
                <w:sz w:val="18"/>
                <w:lang w:val="en-AU"/>
              </w:rPr>
              <w:t>the Executive Board</w:t>
            </w:r>
            <w:r w:rsidRPr="00636DB0">
              <w:rPr>
                <w:rFonts w:ascii="Calibri" w:hAnsi="Calibri" w:cs="Calibri"/>
                <w:sz w:val="18"/>
                <w:lang w:val="en-AU"/>
              </w:rPr>
              <w:t xml:space="preserve"> on priorities relating to information management and technology (IMT) matters and provides oversight and decision-making authority on the Department’s IMT business objectives. IMTC ensures that departmental information systems are compliant with relevant legislation and standards, including the Victorian Government Information and Communication Technology Governance Framework</w:t>
            </w:r>
            <w:r w:rsidRPr="00B85B32">
              <w:rPr>
                <w:rFonts w:ascii="Calibri" w:hAnsi="Calibri" w:cs="Calibri"/>
                <w:sz w:val="18"/>
              </w:rPr>
              <w:t>.</w:t>
            </w:r>
          </w:p>
        </w:tc>
        <w:tc>
          <w:tcPr>
            <w:tcW w:w="5706" w:type="dxa"/>
            <w:tcBorders>
              <w:top w:val="single" w:sz="4" w:space="0" w:color="53565A" w:themeColor="accent5"/>
              <w:bottom w:val="single" w:sz="4" w:space="0" w:color="53565A" w:themeColor="accent5"/>
            </w:tcBorders>
          </w:tcPr>
          <w:p w14:paraId="7628AAA1" w14:textId="77777777" w:rsidR="003F72B6" w:rsidRPr="00B85B32" w:rsidRDefault="003F72B6" w:rsidP="003F72B6">
            <w:pPr>
              <w:pStyle w:val="ESTablebody"/>
              <w:rPr>
                <w:rFonts w:ascii="Calibri" w:hAnsi="Calibri" w:cs="Calibri"/>
                <w:sz w:val="18"/>
                <w:lang w:val="en-AU"/>
              </w:rPr>
            </w:pPr>
            <w:r w:rsidRPr="00B85B32">
              <w:rPr>
                <w:rFonts w:ascii="Calibri" w:hAnsi="Calibri" w:cs="Calibri"/>
                <w:sz w:val="18"/>
                <w:lang w:val="en-AU"/>
              </w:rPr>
              <w:t>IMTC met monthly and provided strategic oversight of the Department’s IMT priorities. This oversight included monitoring the implementation of all major IMT projects to ensure that risks were managed appropriately and in accordance with the directions of the Department and the Victorian Government.</w:t>
            </w:r>
          </w:p>
          <w:p w14:paraId="343FEACD" w14:textId="20C5E432" w:rsidR="003F72B6" w:rsidRPr="00B85B32" w:rsidRDefault="003F72B6" w:rsidP="003F72B6">
            <w:pPr>
              <w:pStyle w:val="ESTablebody"/>
              <w:rPr>
                <w:rFonts w:ascii="Calibri" w:hAnsi="Calibri" w:cs="Calibri"/>
                <w:sz w:val="18"/>
                <w:lang w:val="en-AU"/>
              </w:rPr>
            </w:pPr>
            <w:r w:rsidRPr="00B85B32">
              <w:rPr>
                <w:rFonts w:ascii="Calibri" w:hAnsi="Calibri" w:cs="Calibri"/>
                <w:sz w:val="18"/>
                <w:lang w:val="en-AU"/>
              </w:rPr>
              <w:t>Its activities included an information management maturity assessment, oversight of the corporate ICT platforms</w:t>
            </w:r>
            <w:r w:rsidR="00900B73">
              <w:rPr>
                <w:rFonts w:ascii="Calibri" w:hAnsi="Calibri" w:cs="Calibri"/>
                <w:sz w:val="18"/>
                <w:lang w:val="en-AU"/>
              </w:rPr>
              <w:t>,</w:t>
            </w:r>
            <w:r w:rsidRPr="00B85B32">
              <w:rPr>
                <w:rFonts w:ascii="Calibri" w:hAnsi="Calibri" w:cs="Calibri"/>
                <w:sz w:val="18"/>
                <w:lang w:val="en-AU"/>
              </w:rPr>
              <w:t xml:space="preserve"> and monitoring cyber security programs, standards, </w:t>
            </w:r>
            <w:proofErr w:type="gramStart"/>
            <w:r w:rsidRPr="00B85B32">
              <w:rPr>
                <w:rFonts w:ascii="Calibri" w:hAnsi="Calibri" w:cs="Calibri"/>
                <w:sz w:val="18"/>
                <w:lang w:val="en-AU"/>
              </w:rPr>
              <w:t>incidents</w:t>
            </w:r>
            <w:proofErr w:type="gramEnd"/>
            <w:r w:rsidRPr="00B85B32">
              <w:rPr>
                <w:rFonts w:ascii="Calibri" w:hAnsi="Calibri" w:cs="Calibri"/>
                <w:sz w:val="18"/>
                <w:lang w:val="en-AU"/>
              </w:rPr>
              <w:t xml:space="preserve"> and capability. It also developed and updated the Information Security Policy.</w:t>
            </w:r>
          </w:p>
        </w:tc>
      </w:tr>
      <w:tr w:rsidR="003F72B6" w:rsidRPr="00B85B32" w14:paraId="2F65C928" w14:textId="77777777" w:rsidTr="003F72B6">
        <w:trPr>
          <w:cantSplit/>
          <w:trHeight w:val="1001"/>
        </w:trPr>
        <w:tc>
          <w:tcPr>
            <w:tcW w:w="2488" w:type="dxa"/>
            <w:tcBorders>
              <w:top w:val="single" w:sz="4" w:space="0" w:color="53565A" w:themeColor="accent5"/>
              <w:bottom w:val="single" w:sz="4" w:space="0" w:color="53565A" w:themeColor="accent5"/>
            </w:tcBorders>
            <w:shd w:val="clear" w:color="auto" w:fill="auto"/>
          </w:tcPr>
          <w:p w14:paraId="3B3F2D1E" w14:textId="1D49213D" w:rsidR="003F72B6" w:rsidRPr="00B85B32" w:rsidRDefault="003F72B6" w:rsidP="003F72B6">
            <w:pPr>
              <w:pStyle w:val="ESTablebody"/>
              <w:rPr>
                <w:rFonts w:ascii="Calibri" w:hAnsi="Calibri" w:cs="Calibri"/>
                <w:sz w:val="18"/>
                <w:lang w:val="en-AU"/>
              </w:rPr>
            </w:pPr>
            <w:r w:rsidRPr="00B85B32">
              <w:rPr>
                <w:rFonts w:ascii="Calibri" w:hAnsi="Calibri" w:cs="Calibri"/>
                <w:sz w:val="18"/>
              </w:rPr>
              <w:t>Infrastructure Planning and Delivery Committee (IPDC)</w:t>
            </w:r>
          </w:p>
        </w:tc>
        <w:tc>
          <w:tcPr>
            <w:tcW w:w="5491" w:type="dxa"/>
            <w:tcBorders>
              <w:top w:val="single" w:sz="4" w:space="0" w:color="53565A" w:themeColor="accent5"/>
              <w:bottom w:val="single" w:sz="4" w:space="0" w:color="53565A" w:themeColor="accent5"/>
            </w:tcBorders>
          </w:tcPr>
          <w:p w14:paraId="198CDC82" w14:textId="77777777" w:rsidR="003F72B6" w:rsidRPr="00B85B32" w:rsidRDefault="003F72B6" w:rsidP="003F72B6">
            <w:pPr>
              <w:pStyle w:val="ESTablebody"/>
              <w:rPr>
                <w:rFonts w:ascii="Calibri" w:eastAsiaTheme="minorHAnsi" w:hAnsi="Calibri" w:cs="Calibri"/>
                <w:color w:val="000000"/>
                <w:sz w:val="18"/>
                <w:lang w:val="en-AU"/>
              </w:rPr>
            </w:pPr>
            <w:r w:rsidRPr="00B85B32">
              <w:rPr>
                <w:rFonts w:ascii="Calibri" w:eastAsiaTheme="minorHAnsi" w:hAnsi="Calibri" w:cs="Calibri"/>
                <w:color w:val="000000"/>
                <w:sz w:val="18"/>
                <w:lang w:val="en-AU"/>
              </w:rPr>
              <w:t xml:space="preserve">IPDC provides assurance to EB that the Department has a robust framework for developing and implementing infrastructure delivery, and managing strategic development, </w:t>
            </w:r>
            <w:proofErr w:type="gramStart"/>
            <w:r w:rsidRPr="00B85B32">
              <w:rPr>
                <w:rFonts w:ascii="Calibri" w:eastAsiaTheme="minorHAnsi" w:hAnsi="Calibri" w:cs="Calibri"/>
                <w:color w:val="000000"/>
                <w:sz w:val="18"/>
                <w:lang w:val="en-AU"/>
              </w:rPr>
              <w:t>implementation</w:t>
            </w:r>
            <w:proofErr w:type="gramEnd"/>
            <w:r w:rsidRPr="00B85B32">
              <w:rPr>
                <w:rFonts w:ascii="Calibri" w:eastAsiaTheme="minorHAnsi" w:hAnsi="Calibri" w:cs="Calibri"/>
                <w:color w:val="000000"/>
                <w:sz w:val="18"/>
                <w:lang w:val="en-AU"/>
              </w:rPr>
              <w:t xml:space="preserve"> and delivery of Departmental physical assets. </w:t>
            </w:r>
          </w:p>
          <w:p w14:paraId="01B2ADFF" w14:textId="4BF4154F" w:rsidR="003F72B6" w:rsidRPr="00B85B32" w:rsidRDefault="003F72B6" w:rsidP="003F72B6">
            <w:pPr>
              <w:pStyle w:val="ESTablebody"/>
              <w:rPr>
                <w:rFonts w:ascii="Calibri" w:hAnsi="Calibri" w:cs="Calibri"/>
                <w:sz w:val="18"/>
                <w:lang w:val="en-AU"/>
              </w:rPr>
            </w:pPr>
            <w:r w:rsidRPr="00B85B32">
              <w:rPr>
                <w:rFonts w:ascii="Calibri" w:eastAsiaTheme="minorHAnsi" w:hAnsi="Calibri" w:cs="Calibri"/>
                <w:color w:val="000000"/>
                <w:sz w:val="18"/>
                <w:lang w:val="en-AU"/>
              </w:rPr>
              <w:t>IPDC fulfils this role by approving and overseeing the infrastructure planning and implementation components of the Education State reform agenda.</w:t>
            </w:r>
          </w:p>
        </w:tc>
        <w:tc>
          <w:tcPr>
            <w:tcW w:w="5706" w:type="dxa"/>
            <w:tcBorders>
              <w:top w:val="single" w:sz="4" w:space="0" w:color="53565A" w:themeColor="accent5"/>
              <w:bottom w:val="single" w:sz="4" w:space="0" w:color="53565A" w:themeColor="accent5"/>
            </w:tcBorders>
          </w:tcPr>
          <w:p w14:paraId="6DE2465F" w14:textId="0902AF25" w:rsidR="003F72B6" w:rsidRPr="00B85B32" w:rsidRDefault="003F72B6" w:rsidP="003F72B6">
            <w:pPr>
              <w:pStyle w:val="ESTablebody"/>
              <w:rPr>
                <w:rFonts w:ascii="Calibri" w:hAnsi="Calibri" w:cs="Calibri"/>
                <w:sz w:val="18"/>
                <w:lang w:val="en-AU"/>
              </w:rPr>
            </w:pPr>
            <w:r w:rsidRPr="00B85B32">
              <w:rPr>
                <w:rFonts w:ascii="Calibri" w:hAnsi="Calibri" w:cs="Calibri"/>
                <w:sz w:val="18"/>
                <w:lang w:val="en-AU"/>
              </w:rPr>
              <w:t xml:space="preserve">IPDC met monthly and provided strategic oversight of the development and implementation of the Department’s infrastructure and planning strategies across all education portfolios. It focused on the impacts of </w:t>
            </w:r>
            <w:r w:rsidR="000A737C" w:rsidRPr="00925213">
              <w:rPr>
                <w:rFonts w:ascii="Calibri" w:hAnsi="Calibri" w:cs="Calibri"/>
                <w:sz w:val="18"/>
                <w:lang w:val="en-AU"/>
              </w:rPr>
              <w:t xml:space="preserve">the </w:t>
            </w:r>
            <w:r w:rsidRPr="00B85B32">
              <w:rPr>
                <w:rFonts w:ascii="Calibri" w:hAnsi="Calibri" w:cs="Calibri"/>
                <w:sz w:val="18"/>
                <w:lang w:val="en-AU"/>
              </w:rPr>
              <w:t>COVID-19</w:t>
            </w:r>
            <w:r w:rsidR="00B4758E">
              <w:rPr>
                <w:rFonts w:ascii="Calibri" w:hAnsi="Calibri" w:cs="Calibri"/>
                <w:sz w:val="18"/>
                <w:lang w:val="en-AU"/>
              </w:rPr>
              <w:t xml:space="preserve"> pandemic</w:t>
            </w:r>
            <w:r w:rsidRPr="00B85B32">
              <w:rPr>
                <w:rFonts w:ascii="Calibri" w:hAnsi="Calibri" w:cs="Calibri"/>
                <w:sz w:val="18"/>
                <w:lang w:val="en-AU"/>
              </w:rPr>
              <w:t xml:space="preserve"> on Government School enrolments, corporate office workforce priorities, an opt-in centralised model of Essential Safety Measures and on the Climate Change Adaptation Action Plan.</w:t>
            </w:r>
          </w:p>
          <w:p w14:paraId="5B9CF4BC" w14:textId="206DFD11" w:rsidR="003F72B6" w:rsidRPr="00B85B32" w:rsidRDefault="003F72B6" w:rsidP="003F72B6">
            <w:pPr>
              <w:pStyle w:val="ESTablebody"/>
              <w:rPr>
                <w:rFonts w:ascii="Calibri" w:hAnsi="Calibri" w:cs="Calibri"/>
                <w:sz w:val="18"/>
                <w:lang w:val="en-AU"/>
              </w:rPr>
            </w:pPr>
            <w:r w:rsidRPr="00B85B32">
              <w:rPr>
                <w:rFonts w:ascii="Calibri" w:hAnsi="Calibri" w:cs="Calibri"/>
                <w:sz w:val="18"/>
                <w:lang w:val="en-AU"/>
              </w:rPr>
              <w:t>Its key activities included improving the approval process for school reorganisation proposals, developing a school infrastructure investment strategy and capital allocation tool, updating the Placement Policy and related guidelines, overseeing specialist school operations and provision reform, and monitoring actions and deliverables under the Asset Strategy.</w:t>
            </w:r>
          </w:p>
        </w:tc>
      </w:tr>
      <w:tr w:rsidR="003F72B6" w:rsidRPr="00B85B32" w14:paraId="16552FA5" w14:textId="77777777" w:rsidTr="003F72B6">
        <w:trPr>
          <w:cantSplit/>
          <w:trHeight w:val="1001"/>
        </w:trPr>
        <w:tc>
          <w:tcPr>
            <w:tcW w:w="2488" w:type="dxa"/>
            <w:tcBorders>
              <w:top w:val="single" w:sz="4" w:space="0" w:color="53565A" w:themeColor="accent5"/>
              <w:bottom w:val="single" w:sz="4" w:space="0" w:color="53565A" w:themeColor="accent5"/>
            </w:tcBorders>
            <w:shd w:val="clear" w:color="auto" w:fill="auto"/>
          </w:tcPr>
          <w:p w14:paraId="6EE2DCD8" w14:textId="0BB3D298" w:rsidR="003F72B6" w:rsidRPr="00B85B32" w:rsidRDefault="003F72B6" w:rsidP="003F72B6">
            <w:pPr>
              <w:pStyle w:val="ESTablebody"/>
              <w:rPr>
                <w:rFonts w:ascii="Calibri" w:hAnsi="Calibri" w:cs="Calibri"/>
                <w:iCs/>
                <w:sz w:val="18"/>
              </w:rPr>
            </w:pPr>
            <w:r w:rsidRPr="00B85B32">
              <w:rPr>
                <w:rFonts w:ascii="Calibri" w:hAnsi="Calibri" w:cs="Calibri"/>
                <w:sz w:val="18"/>
              </w:rPr>
              <w:t>Integrity Committee (IC)</w:t>
            </w:r>
          </w:p>
        </w:tc>
        <w:tc>
          <w:tcPr>
            <w:tcW w:w="5491" w:type="dxa"/>
            <w:tcBorders>
              <w:top w:val="single" w:sz="4" w:space="0" w:color="53565A" w:themeColor="accent5"/>
              <w:bottom w:val="single" w:sz="4" w:space="0" w:color="53565A" w:themeColor="accent5"/>
            </w:tcBorders>
          </w:tcPr>
          <w:p w14:paraId="0CA2D4F5" w14:textId="4EABEB05" w:rsidR="003F72B6" w:rsidRPr="00B85B32" w:rsidRDefault="003F72B6" w:rsidP="003F72B6">
            <w:pPr>
              <w:pStyle w:val="ESTablebody"/>
              <w:rPr>
                <w:rFonts w:ascii="Calibri" w:hAnsi="Calibri" w:cs="Calibri"/>
                <w:sz w:val="18"/>
              </w:rPr>
            </w:pPr>
            <w:r w:rsidRPr="00B85B32">
              <w:rPr>
                <w:rFonts w:ascii="Calibri" w:hAnsi="Calibri" w:cs="Calibri"/>
                <w:sz w:val="18"/>
              </w:rPr>
              <w:t xml:space="preserve">IC provides assurance to the Secretary that the Department has a robust framework for managing integrity risks and lifting integrity performance. IC fulfils this role by approving and overseeing the development and delivery of integrity reforms </w:t>
            </w:r>
            <w:r w:rsidR="001A7AD2">
              <w:rPr>
                <w:rFonts w:ascii="Calibri" w:hAnsi="Calibri" w:cs="Calibri"/>
                <w:sz w:val="18"/>
              </w:rPr>
              <w:t>that</w:t>
            </w:r>
            <w:r w:rsidRPr="00B85B32">
              <w:rPr>
                <w:rFonts w:ascii="Calibri" w:hAnsi="Calibri" w:cs="Calibri"/>
                <w:sz w:val="18"/>
              </w:rPr>
              <w:t xml:space="preserve"> strengthen the Department’s three lines of </w:t>
            </w:r>
            <w:proofErr w:type="spellStart"/>
            <w:r w:rsidRPr="00B85B32">
              <w:rPr>
                <w:rFonts w:ascii="Calibri" w:hAnsi="Calibri" w:cs="Calibri"/>
                <w:sz w:val="18"/>
              </w:rPr>
              <w:t>defence</w:t>
            </w:r>
            <w:proofErr w:type="spellEnd"/>
            <w:r w:rsidRPr="00B85B32">
              <w:rPr>
                <w:rFonts w:ascii="Calibri" w:hAnsi="Calibri" w:cs="Calibri"/>
                <w:sz w:val="18"/>
              </w:rPr>
              <w:t xml:space="preserve"> for risk management.</w:t>
            </w:r>
          </w:p>
          <w:p w14:paraId="5DD07645"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The role of IC includes leadership of the Department’s efforts to strive for the highest standards of integrity and public trust.</w:t>
            </w:r>
          </w:p>
          <w:p w14:paraId="0FC774E9" w14:textId="25EE7B2E" w:rsidR="003F72B6" w:rsidRPr="00B85B32" w:rsidRDefault="003F72B6" w:rsidP="003F72B6">
            <w:pPr>
              <w:pStyle w:val="ESTablebody"/>
              <w:rPr>
                <w:rFonts w:ascii="Calibri" w:hAnsi="Calibri" w:cs="Calibri"/>
                <w:sz w:val="18"/>
              </w:rPr>
            </w:pPr>
            <w:r w:rsidRPr="00B85B32">
              <w:rPr>
                <w:rFonts w:ascii="Calibri" w:hAnsi="Calibri" w:cs="Calibri"/>
                <w:sz w:val="18"/>
              </w:rPr>
              <w:t xml:space="preserve">In relation to the Department’s statutory entities, the TAFE sector, and funded services, IC </w:t>
            </w:r>
            <w:r w:rsidR="008E07FB">
              <w:rPr>
                <w:rFonts w:ascii="Calibri" w:hAnsi="Calibri" w:cs="Calibri"/>
                <w:sz w:val="18"/>
              </w:rPr>
              <w:t>has</w:t>
            </w:r>
            <w:r w:rsidRPr="00B85B32">
              <w:rPr>
                <w:rFonts w:ascii="Calibri" w:hAnsi="Calibri" w:cs="Calibri"/>
                <w:sz w:val="18"/>
              </w:rPr>
              <w:t xml:space="preserve"> a stewardship role that reflects the Department’s governance responsibilities and operational relationships with these bodies.</w:t>
            </w:r>
          </w:p>
        </w:tc>
        <w:tc>
          <w:tcPr>
            <w:tcW w:w="5706" w:type="dxa"/>
            <w:tcBorders>
              <w:top w:val="single" w:sz="4" w:space="0" w:color="53565A" w:themeColor="accent5"/>
              <w:bottom w:val="single" w:sz="4" w:space="0" w:color="53565A" w:themeColor="accent5"/>
            </w:tcBorders>
          </w:tcPr>
          <w:p w14:paraId="016C1F15" w14:textId="5425BFBB" w:rsidR="003F72B6" w:rsidRPr="00925213" w:rsidRDefault="003F72B6" w:rsidP="003F72B6">
            <w:pPr>
              <w:pStyle w:val="ESTablebody"/>
              <w:rPr>
                <w:rFonts w:ascii="Calibri" w:hAnsi="Calibri" w:cs="Calibri"/>
                <w:sz w:val="18"/>
                <w:lang w:val="en-AU"/>
              </w:rPr>
            </w:pPr>
            <w:r w:rsidRPr="00B85B32">
              <w:rPr>
                <w:rFonts w:ascii="Calibri" w:hAnsi="Calibri" w:cs="Calibri"/>
                <w:sz w:val="18"/>
              </w:rPr>
              <w:t>IC met quarterly</w:t>
            </w:r>
            <w:r w:rsidRPr="00B85B32">
              <w:rPr>
                <w:rFonts w:ascii="Calibri" w:hAnsi="Calibri" w:cs="Calibri"/>
                <w:sz w:val="18"/>
                <w:lang w:val="en-AU"/>
              </w:rPr>
              <w:t>.</w:t>
            </w:r>
            <w:r w:rsidRPr="00B85B32">
              <w:rPr>
                <w:rFonts w:ascii="Calibri" w:hAnsi="Calibri" w:cs="Calibri"/>
                <w:sz w:val="18"/>
              </w:rPr>
              <w:t xml:space="preserve"> </w:t>
            </w:r>
            <w:r w:rsidRPr="00B85B32">
              <w:rPr>
                <w:rFonts w:ascii="Calibri" w:hAnsi="Calibri" w:cs="Calibri"/>
                <w:sz w:val="18"/>
                <w:lang w:val="en-AU"/>
              </w:rPr>
              <w:t xml:space="preserve">It oversaw the implementation of the Department’s </w:t>
            </w:r>
            <w:r w:rsidR="00EB1342" w:rsidRPr="00925213">
              <w:rPr>
                <w:rFonts w:ascii="Calibri" w:hAnsi="Calibri" w:cs="Calibri"/>
                <w:i/>
                <w:iCs/>
                <w:sz w:val="18"/>
                <w:lang w:val="en-AU"/>
              </w:rPr>
              <w:t>Raising the bar: Valuing</w:t>
            </w:r>
            <w:r w:rsidRPr="00925213">
              <w:rPr>
                <w:rFonts w:ascii="Calibri" w:hAnsi="Calibri" w:cs="Calibri"/>
                <w:i/>
                <w:sz w:val="18"/>
                <w:lang w:val="en-AU"/>
              </w:rPr>
              <w:t xml:space="preserve"> Integrity Strategy</w:t>
            </w:r>
            <w:r w:rsidR="00EB1342" w:rsidRPr="00925213">
              <w:rPr>
                <w:rFonts w:ascii="Calibri" w:hAnsi="Calibri" w:cs="Calibri"/>
                <w:i/>
                <w:iCs/>
                <w:sz w:val="18"/>
                <w:lang w:val="en-AU"/>
              </w:rPr>
              <w:t xml:space="preserve"> 2018–21</w:t>
            </w:r>
            <w:r w:rsidRPr="00B85B32">
              <w:rPr>
                <w:rFonts w:ascii="Calibri" w:hAnsi="Calibri" w:cs="Calibri"/>
                <w:sz w:val="18"/>
                <w:lang w:val="en-AU"/>
              </w:rPr>
              <w:t>, ensuring the ongoing strategic focus on integrity reform.</w:t>
            </w:r>
            <w:r w:rsidRPr="00B85B32">
              <w:rPr>
                <w:rFonts w:ascii="Calibri" w:hAnsi="Calibri" w:cs="Calibri"/>
                <w:sz w:val="18"/>
              </w:rPr>
              <w:t xml:space="preserve"> </w:t>
            </w:r>
          </w:p>
          <w:p w14:paraId="2BF11117" w14:textId="77777777" w:rsidR="003F72B6" w:rsidRPr="00B85B32" w:rsidRDefault="003F72B6" w:rsidP="003F72B6">
            <w:pPr>
              <w:pStyle w:val="ESTablebody"/>
              <w:rPr>
                <w:rFonts w:ascii="Calibri" w:hAnsi="Calibri" w:cs="Calibri"/>
                <w:sz w:val="18"/>
              </w:rPr>
            </w:pPr>
            <w:r w:rsidRPr="00B85B32">
              <w:rPr>
                <w:rFonts w:ascii="Calibri" w:hAnsi="Calibri" w:cs="Calibri"/>
                <w:sz w:val="18"/>
                <w:lang w:val="en-GB"/>
              </w:rPr>
              <w:t>IC continued to oversee integrity risk management and drive improvement in integrity performance.</w:t>
            </w:r>
          </w:p>
          <w:p w14:paraId="5A297C7E" w14:textId="77777777" w:rsidR="003F72B6" w:rsidRPr="00B85B32" w:rsidRDefault="003F72B6" w:rsidP="003F72B6">
            <w:pPr>
              <w:pStyle w:val="ESTablebody"/>
              <w:rPr>
                <w:rFonts w:ascii="Calibri" w:hAnsi="Calibri" w:cs="Calibri"/>
                <w:sz w:val="18"/>
              </w:rPr>
            </w:pPr>
            <w:r w:rsidRPr="00B85B32">
              <w:rPr>
                <w:rFonts w:ascii="Calibri" w:hAnsi="Calibri" w:cs="Calibri"/>
                <w:sz w:val="18"/>
              </w:rPr>
              <w:t xml:space="preserve">IC continued to lead the development of an </w:t>
            </w:r>
            <w:proofErr w:type="spellStart"/>
            <w:r w:rsidRPr="00B85B32">
              <w:rPr>
                <w:rFonts w:ascii="Calibri" w:hAnsi="Calibri" w:cs="Calibri"/>
                <w:sz w:val="18"/>
              </w:rPr>
              <w:t>organisational</w:t>
            </w:r>
            <w:proofErr w:type="spellEnd"/>
            <w:r w:rsidRPr="00B85B32">
              <w:rPr>
                <w:rFonts w:ascii="Calibri" w:hAnsi="Calibri" w:cs="Calibri"/>
                <w:sz w:val="18"/>
              </w:rPr>
              <w:t xml:space="preserve"> culture steered by the Department’s values: integrity, respect, responsiveness, accountability, impartiality, </w:t>
            </w:r>
            <w:proofErr w:type="gramStart"/>
            <w:r w:rsidRPr="00B85B32">
              <w:rPr>
                <w:rFonts w:ascii="Calibri" w:hAnsi="Calibri" w:cs="Calibri"/>
                <w:sz w:val="18"/>
              </w:rPr>
              <w:t>leadership</w:t>
            </w:r>
            <w:proofErr w:type="gramEnd"/>
            <w:r w:rsidRPr="00B85B32">
              <w:rPr>
                <w:rFonts w:ascii="Calibri" w:hAnsi="Calibri" w:cs="Calibri"/>
                <w:sz w:val="18"/>
              </w:rPr>
              <w:t xml:space="preserve"> and human rights.</w:t>
            </w:r>
          </w:p>
          <w:p w14:paraId="33426CD0" w14:textId="68F34D35" w:rsidR="003F72B6" w:rsidRPr="00B85B32" w:rsidRDefault="003F72B6" w:rsidP="003F72B6">
            <w:pPr>
              <w:pStyle w:val="ESTablebody"/>
              <w:rPr>
                <w:rFonts w:ascii="Calibri" w:hAnsi="Calibri" w:cs="Calibri"/>
                <w:sz w:val="18"/>
              </w:rPr>
            </w:pPr>
          </w:p>
        </w:tc>
      </w:tr>
      <w:tr w:rsidR="003F72B6" w:rsidRPr="00B85B32" w14:paraId="3B9736B3" w14:textId="77777777" w:rsidTr="003F72B6">
        <w:trPr>
          <w:cantSplit/>
          <w:trHeight w:val="1001"/>
        </w:trPr>
        <w:tc>
          <w:tcPr>
            <w:tcW w:w="2488" w:type="dxa"/>
            <w:tcBorders>
              <w:top w:val="single" w:sz="4" w:space="0" w:color="53565A" w:themeColor="accent5"/>
              <w:bottom w:val="single" w:sz="4" w:space="0" w:color="53565A" w:themeColor="accent5"/>
            </w:tcBorders>
            <w:shd w:val="clear" w:color="auto" w:fill="auto"/>
          </w:tcPr>
          <w:p w14:paraId="5D119CBD" w14:textId="0499CAA7" w:rsidR="003F72B6" w:rsidRPr="00B85B32" w:rsidRDefault="003F72B6" w:rsidP="003F72B6">
            <w:pPr>
              <w:pStyle w:val="ESTablebody"/>
              <w:rPr>
                <w:rFonts w:ascii="Calibri" w:hAnsi="Calibri" w:cs="Calibri"/>
                <w:iCs/>
                <w:sz w:val="18"/>
              </w:rPr>
            </w:pPr>
            <w:r w:rsidRPr="00B85B32">
              <w:rPr>
                <w:rFonts w:ascii="Calibri" w:hAnsi="Calibri" w:cs="Calibri"/>
                <w:sz w:val="18"/>
              </w:rPr>
              <w:lastRenderedPageBreak/>
              <w:t>Procurement and Probity Committee (PPC)</w:t>
            </w:r>
          </w:p>
        </w:tc>
        <w:tc>
          <w:tcPr>
            <w:tcW w:w="5491" w:type="dxa"/>
            <w:tcBorders>
              <w:top w:val="single" w:sz="4" w:space="0" w:color="53565A" w:themeColor="accent5"/>
              <w:bottom w:val="single" w:sz="4" w:space="0" w:color="53565A" w:themeColor="accent5"/>
            </w:tcBorders>
          </w:tcPr>
          <w:p w14:paraId="1B000E6F" w14:textId="5AA13410" w:rsidR="003F72B6" w:rsidRPr="00B85B32" w:rsidRDefault="003F72B6" w:rsidP="003F72B6">
            <w:pPr>
              <w:pStyle w:val="ESTablebody"/>
              <w:rPr>
                <w:rFonts w:ascii="Calibri" w:hAnsi="Calibri" w:cs="Calibri"/>
                <w:sz w:val="18"/>
              </w:rPr>
            </w:pPr>
            <w:r w:rsidRPr="00B85B32">
              <w:rPr>
                <w:rFonts w:ascii="Calibri" w:hAnsi="Calibri" w:cs="Calibri"/>
                <w:sz w:val="18"/>
              </w:rPr>
              <w:t xml:space="preserve">PPC provides strategic oversight of procurement activities </w:t>
            </w:r>
            <w:r w:rsidR="005F3A28">
              <w:rPr>
                <w:rFonts w:ascii="Calibri" w:hAnsi="Calibri" w:cs="Calibri"/>
                <w:sz w:val="18"/>
              </w:rPr>
              <w:t>in</w:t>
            </w:r>
            <w:r w:rsidRPr="00B85B32">
              <w:rPr>
                <w:rFonts w:ascii="Calibri" w:hAnsi="Calibri" w:cs="Calibri"/>
                <w:sz w:val="18"/>
              </w:rPr>
              <w:t xml:space="preserve"> the Department to ensure appropriate </w:t>
            </w:r>
            <w:r w:rsidRPr="00B85B32">
              <w:rPr>
                <w:rFonts w:ascii="Calibri" w:hAnsi="Calibri" w:cs="Calibri"/>
                <w:sz w:val="18"/>
                <w:lang w:val="en-AU"/>
              </w:rPr>
              <w:t>rigour</w:t>
            </w:r>
            <w:r w:rsidRPr="00B85B32">
              <w:rPr>
                <w:rFonts w:ascii="Calibri" w:hAnsi="Calibri" w:cs="Calibri"/>
                <w:sz w:val="18"/>
              </w:rPr>
              <w:t xml:space="preserve"> is exercised in accordance with the Department’s Procurement Policy. In doing so, the PPC supports the Secretary’s obligations under Victorian Government Purchasing Board policies and the FM Act. </w:t>
            </w:r>
          </w:p>
          <w:p w14:paraId="0F2EBA8F" w14:textId="6C3680C7" w:rsidR="003F72B6" w:rsidRPr="00B85B32" w:rsidRDefault="003F72B6" w:rsidP="003F72B6">
            <w:pPr>
              <w:pStyle w:val="ESTablebody"/>
              <w:rPr>
                <w:rFonts w:ascii="Calibri" w:hAnsi="Calibri" w:cs="Calibri"/>
                <w:sz w:val="18"/>
              </w:rPr>
            </w:pPr>
            <w:r w:rsidRPr="00B85B32">
              <w:rPr>
                <w:rFonts w:ascii="Calibri" w:hAnsi="Calibri" w:cs="Calibri"/>
                <w:sz w:val="18"/>
              </w:rPr>
              <w:t>PPC also considers procurement of goods and services in certain statutory authorities (VCAA, VRQA, and Merit Protection Boards). PPC does not consider procurement related to construction or property.</w:t>
            </w:r>
          </w:p>
        </w:tc>
        <w:tc>
          <w:tcPr>
            <w:tcW w:w="5706" w:type="dxa"/>
            <w:tcBorders>
              <w:top w:val="single" w:sz="4" w:space="0" w:color="53565A" w:themeColor="accent5"/>
              <w:bottom w:val="single" w:sz="4" w:space="0" w:color="53565A" w:themeColor="accent5"/>
            </w:tcBorders>
          </w:tcPr>
          <w:p w14:paraId="01F744F0" w14:textId="77777777" w:rsidR="003F72B6" w:rsidRPr="00B85B32" w:rsidRDefault="003F72B6" w:rsidP="003F72B6">
            <w:pPr>
              <w:pStyle w:val="ESTablebody"/>
              <w:keepLines/>
              <w:rPr>
                <w:rFonts w:ascii="Calibri" w:hAnsi="Calibri" w:cs="Calibri"/>
                <w:sz w:val="18"/>
              </w:rPr>
            </w:pPr>
            <w:r w:rsidRPr="00B85B32">
              <w:rPr>
                <w:rFonts w:ascii="Calibri" w:hAnsi="Calibri" w:cs="Calibri"/>
                <w:sz w:val="18"/>
              </w:rPr>
              <w:t>PPC met monthly. It considered 70 requests for approval, either to approach the market or to engage a recommended supplier, relating to high-value procurement activities in 2020–21.</w:t>
            </w:r>
          </w:p>
          <w:p w14:paraId="3AA73489" w14:textId="5907C4E1" w:rsidR="003F72B6" w:rsidRPr="00B85B32" w:rsidRDefault="003F72B6" w:rsidP="003F72B6">
            <w:pPr>
              <w:pStyle w:val="ESTablebody"/>
              <w:rPr>
                <w:rFonts w:ascii="Calibri" w:hAnsi="Calibri" w:cs="Calibri"/>
                <w:sz w:val="18"/>
              </w:rPr>
            </w:pPr>
            <w:r w:rsidRPr="00B85B32">
              <w:rPr>
                <w:rFonts w:ascii="Calibri" w:hAnsi="Calibri" w:cs="Calibri"/>
                <w:sz w:val="18"/>
              </w:rPr>
              <w:t xml:space="preserve">In addition to </w:t>
            </w:r>
            <w:r w:rsidR="000838F0">
              <w:rPr>
                <w:rFonts w:ascii="Calibri" w:hAnsi="Calibri" w:cs="Calibri"/>
                <w:sz w:val="18"/>
              </w:rPr>
              <w:t>overseeing</w:t>
            </w:r>
            <w:r w:rsidRPr="00B85B32">
              <w:rPr>
                <w:rFonts w:ascii="Calibri" w:hAnsi="Calibri" w:cs="Calibri"/>
                <w:sz w:val="18"/>
              </w:rPr>
              <w:t xml:space="preserve"> procurement activities, PPC and the IMTC agreed to an approach to endorse preferred technical solutions that align with procurement approval requirements. The PPC also endorsed the Department’s Procurement Activity Plan.</w:t>
            </w:r>
          </w:p>
        </w:tc>
      </w:tr>
    </w:tbl>
    <w:p w14:paraId="581025CF" w14:textId="542166FA" w:rsidR="008D52F6" w:rsidRPr="00B85B32" w:rsidRDefault="008D52F6" w:rsidP="00343610">
      <w:pPr>
        <w:rPr>
          <w:rFonts w:ascii="Calibri" w:hAnsi="Calibri" w:cs="Calibri"/>
        </w:rPr>
      </w:pPr>
      <w:r w:rsidRPr="00B85B32">
        <w:rPr>
          <w:rFonts w:ascii="Calibri" w:hAnsi="Calibri" w:cs="Calibri"/>
        </w:rPr>
        <w:br w:type="page"/>
      </w:r>
    </w:p>
    <w:p w14:paraId="3E77DE9A" w14:textId="5FA0C356" w:rsidR="00343610" w:rsidRPr="00B85B32" w:rsidRDefault="00343610" w:rsidP="00343610">
      <w:pPr>
        <w:pStyle w:val="ESTableintroheading"/>
        <w:rPr>
          <w:rFonts w:ascii="Calibri" w:hAnsi="Calibri" w:cs="Calibri"/>
        </w:rPr>
      </w:pPr>
      <w:r w:rsidRPr="00B85B32">
        <w:rPr>
          <w:rFonts w:ascii="Calibri" w:hAnsi="Calibri" w:cs="Calibri"/>
        </w:rPr>
        <w:lastRenderedPageBreak/>
        <w:t xml:space="preserve">Major </w:t>
      </w:r>
      <w:r w:rsidR="00895C8B" w:rsidRPr="00B85B32">
        <w:rPr>
          <w:rFonts w:ascii="Calibri" w:hAnsi="Calibri" w:cs="Calibri"/>
        </w:rPr>
        <w:t xml:space="preserve">departmental </w:t>
      </w:r>
      <w:r w:rsidRPr="00B85B32">
        <w:rPr>
          <w:rFonts w:ascii="Calibri" w:hAnsi="Calibri" w:cs="Calibri"/>
        </w:rPr>
        <w:t>project</w:t>
      </w:r>
      <w:r w:rsidR="001F4896">
        <w:rPr>
          <w:rFonts w:ascii="Calibri" w:hAnsi="Calibri" w:cs="Calibri"/>
        </w:rPr>
        <w:t xml:space="preserve"> and </w:t>
      </w:r>
      <w:r w:rsidRPr="00B85B32">
        <w:rPr>
          <w:rFonts w:ascii="Calibri" w:hAnsi="Calibri" w:cs="Calibri"/>
        </w:rPr>
        <w:t>operational committees</w:t>
      </w:r>
    </w:p>
    <w:tbl>
      <w:tblPr>
        <w:tblStyle w:val="TableGrid"/>
        <w:tblW w:w="490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Major Committee, Purpose, Extent of purpose achieved"/>
      </w:tblPr>
      <w:tblGrid>
        <w:gridCol w:w="2250"/>
        <w:gridCol w:w="3321"/>
        <w:gridCol w:w="3268"/>
      </w:tblGrid>
      <w:tr w:rsidR="006407EF" w:rsidRPr="00925213" w14:paraId="69481AD3" w14:textId="77777777" w:rsidTr="00CB69AB">
        <w:trPr>
          <w:cantSplit/>
          <w:trHeight w:val="130"/>
          <w:tblHeader/>
        </w:trPr>
        <w:tc>
          <w:tcPr>
            <w:tcW w:w="2250" w:type="dxa"/>
            <w:tcBorders>
              <w:bottom w:val="single" w:sz="4" w:space="0" w:color="FFFFFF" w:themeColor="background1"/>
            </w:tcBorders>
            <w:shd w:val="clear" w:color="auto" w:fill="AF272F"/>
          </w:tcPr>
          <w:p w14:paraId="6739088F" w14:textId="77777777" w:rsidR="006407EF" w:rsidRPr="00925213" w:rsidRDefault="006407EF" w:rsidP="004A0D72">
            <w:pPr>
              <w:pStyle w:val="ESTableheadingwhite"/>
              <w:rPr>
                <w:rFonts w:ascii="Calibri" w:hAnsi="Calibri" w:cs="Calibri"/>
                <w:sz w:val="18"/>
              </w:rPr>
            </w:pPr>
            <w:r w:rsidRPr="00925213">
              <w:rPr>
                <w:rFonts w:ascii="Calibri" w:hAnsi="Calibri" w:cs="Calibri"/>
                <w:sz w:val="18"/>
              </w:rPr>
              <w:t>Major Committee</w:t>
            </w:r>
          </w:p>
        </w:tc>
        <w:tc>
          <w:tcPr>
            <w:tcW w:w="3321" w:type="dxa"/>
            <w:tcBorders>
              <w:bottom w:val="single" w:sz="4" w:space="0" w:color="FFFFFF" w:themeColor="background1"/>
            </w:tcBorders>
            <w:shd w:val="clear" w:color="auto" w:fill="AF272F" w:themeFill="accent4"/>
          </w:tcPr>
          <w:p w14:paraId="120A3EA1" w14:textId="77777777" w:rsidR="006407EF" w:rsidRPr="00925213" w:rsidRDefault="006407EF" w:rsidP="004A0D72">
            <w:pPr>
              <w:pStyle w:val="ESTableheadingwhite"/>
              <w:rPr>
                <w:rFonts w:ascii="Calibri" w:hAnsi="Calibri" w:cs="Calibri"/>
                <w:sz w:val="18"/>
              </w:rPr>
            </w:pPr>
            <w:r w:rsidRPr="00925213">
              <w:rPr>
                <w:rFonts w:ascii="Calibri" w:hAnsi="Calibri" w:cs="Calibri"/>
                <w:sz w:val="18"/>
              </w:rPr>
              <w:t>Purpose</w:t>
            </w:r>
          </w:p>
        </w:tc>
        <w:tc>
          <w:tcPr>
            <w:tcW w:w="3268" w:type="dxa"/>
            <w:tcBorders>
              <w:bottom w:val="single" w:sz="4" w:space="0" w:color="FFFFFF" w:themeColor="background1"/>
            </w:tcBorders>
            <w:shd w:val="clear" w:color="auto" w:fill="AF272F" w:themeFill="accent4"/>
          </w:tcPr>
          <w:p w14:paraId="2E115073" w14:textId="77777777" w:rsidR="006407EF" w:rsidRPr="00925213" w:rsidRDefault="006407EF" w:rsidP="004A0D72">
            <w:pPr>
              <w:pStyle w:val="ESTableheadingwhite"/>
              <w:rPr>
                <w:rFonts w:ascii="Calibri" w:hAnsi="Calibri" w:cs="Calibri"/>
                <w:sz w:val="18"/>
              </w:rPr>
            </w:pPr>
            <w:r w:rsidRPr="00925213">
              <w:rPr>
                <w:rFonts w:ascii="Calibri" w:hAnsi="Calibri" w:cs="Calibri"/>
                <w:sz w:val="18"/>
              </w:rPr>
              <w:t>Extent of purpose achieved</w:t>
            </w:r>
          </w:p>
        </w:tc>
      </w:tr>
      <w:tr w:rsidR="006407EF" w:rsidRPr="00925213" w14:paraId="33A4718E" w14:textId="77777777" w:rsidTr="00CB69AB">
        <w:trPr>
          <w:cantSplit/>
          <w:trHeight w:val="1001"/>
        </w:trPr>
        <w:tc>
          <w:tcPr>
            <w:tcW w:w="2250" w:type="dxa"/>
            <w:tcBorders>
              <w:top w:val="single" w:sz="4" w:space="0" w:color="53565A" w:themeColor="accent5"/>
              <w:bottom w:val="single" w:sz="4" w:space="0" w:color="53565A" w:themeColor="accent5"/>
            </w:tcBorders>
            <w:shd w:val="clear" w:color="auto" w:fill="auto"/>
          </w:tcPr>
          <w:p w14:paraId="0E3A02B2" w14:textId="77777777" w:rsidR="006407EF" w:rsidRPr="00925213" w:rsidRDefault="006407EF" w:rsidP="00CB69AB">
            <w:pPr>
              <w:pStyle w:val="ESTablebody"/>
              <w:rPr>
                <w:rFonts w:ascii="Calibri" w:hAnsi="Calibri" w:cs="Calibri"/>
                <w:sz w:val="18"/>
              </w:rPr>
            </w:pPr>
            <w:proofErr w:type="spellStart"/>
            <w:r w:rsidRPr="00925213">
              <w:rPr>
                <w:rFonts w:ascii="Calibri" w:hAnsi="Calibri" w:cs="Calibri"/>
                <w:sz w:val="18"/>
              </w:rPr>
              <w:t>Bastow</w:t>
            </w:r>
            <w:proofErr w:type="spellEnd"/>
            <w:r w:rsidRPr="00925213">
              <w:rPr>
                <w:rFonts w:ascii="Calibri" w:hAnsi="Calibri" w:cs="Calibri"/>
                <w:sz w:val="18"/>
              </w:rPr>
              <w:t xml:space="preserve"> project control board</w:t>
            </w:r>
          </w:p>
        </w:tc>
        <w:tc>
          <w:tcPr>
            <w:tcW w:w="3321" w:type="dxa"/>
            <w:tcBorders>
              <w:top w:val="single" w:sz="4" w:space="0" w:color="53565A" w:themeColor="accent5"/>
              <w:bottom w:val="single" w:sz="4" w:space="0" w:color="53565A" w:themeColor="accent5"/>
            </w:tcBorders>
          </w:tcPr>
          <w:p w14:paraId="62862BAC" w14:textId="6FA517B6" w:rsidR="006407EF" w:rsidRPr="00925213" w:rsidRDefault="006407EF" w:rsidP="00CB69AB">
            <w:pPr>
              <w:pStyle w:val="ESTablebody"/>
              <w:rPr>
                <w:rFonts w:ascii="Calibri" w:hAnsi="Calibri" w:cs="Calibri"/>
                <w:sz w:val="18"/>
              </w:rPr>
            </w:pPr>
            <w:r w:rsidRPr="00925213">
              <w:rPr>
                <w:rFonts w:ascii="Calibri" w:hAnsi="Calibri" w:cs="Calibri"/>
                <w:sz w:val="18"/>
              </w:rPr>
              <w:t xml:space="preserve">The </w:t>
            </w:r>
            <w:proofErr w:type="spellStart"/>
            <w:r w:rsidRPr="00925213">
              <w:rPr>
                <w:rFonts w:ascii="Calibri" w:hAnsi="Calibri" w:cs="Calibri"/>
                <w:sz w:val="18"/>
              </w:rPr>
              <w:t>Bastow</w:t>
            </w:r>
            <w:proofErr w:type="spellEnd"/>
            <w:r w:rsidRPr="00925213">
              <w:rPr>
                <w:rFonts w:ascii="Calibri" w:hAnsi="Calibri" w:cs="Calibri"/>
                <w:sz w:val="18"/>
              </w:rPr>
              <w:t xml:space="preserve"> project control board is a time-bound, </w:t>
            </w:r>
            <w:proofErr w:type="gramStart"/>
            <w:r w:rsidRPr="00925213">
              <w:rPr>
                <w:rFonts w:ascii="Calibri" w:hAnsi="Calibri" w:cs="Calibri"/>
                <w:sz w:val="18"/>
              </w:rPr>
              <w:t>decision making</w:t>
            </w:r>
            <w:proofErr w:type="gramEnd"/>
            <w:r w:rsidRPr="00925213">
              <w:rPr>
                <w:rFonts w:ascii="Calibri" w:hAnsi="Calibri" w:cs="Calibri"/>
                <w:sz w:val="18"/>
              </w:rPr>
              <w:t xml:space="preserve"> body responsible for the management of the </w:t>
            </w:r>
            <w:proofErr w:type="spellStart"/>
            <w:r w:rsidRPr="00925213">
              <w:rPr>
                <w:rFonts w:ascii="Calibri" w:hAnsi="Calibri" w:cs="Calibri"/>
                <w:sz w:val="18"/>
              </w:rPr>
              <w:t>Bastow</w:t>
            </w:r>
            <w:proofErr w:type="spellEnd"/>
            <w:r w:rsidRPr="00925213">
              <w:rPr>
                <w:rFonts w:ascii="Calibri" w:hAnsi="Calibri" w:cs="Calibri"/>
                <w:sz w:val="18"/>
              </w:rPr>
              <w:t xml:space="preserve"> project, comprising the expansion of the Institute of Educational Leadership and the creation of the new Victorian Academy of Teaching and Leadership, including regional locations.</w:t>
            </w:r>
          </w:p>
        </w:tc>
        <w:tc>
          <w:tcPr>
            <w:tcW w:w="3268" w:type="dxa"/>
            <w:tcBorders>
              <w:top w:val="single" w:sz="4" w:space="0" w:color="53565A" w:themeColor="accent5"/>
              <w:bottom w:val="single" w:sz="4" w:space="0" w:color="53565A" w:themeColor="accent5"/>
            </w:tcBorders>
          </w:tcPr>
          <w:p w14:paraId="50464A7D" w14:textId="619C21FC" w:rsidR="006407EF" w:rsidRPr="00925213" w:rsidRDefault="006407EF" w:rsidP="00CB69AB">
            <w:pPr>
              <w:pStyle w:val="ESTablebody"/>
              <w:rPr>
                <w:rFonts w:ascii="Calibri" w:hAnsi="Calibri" w:cs="Calibri"/>
                <w:sz w:val="18"/>
              </w:rPr>
            </w:pPr>
            <w:r w:rsidRPr="00925213">
              <w:rPr>
                <w:rFonts w:ascii="Calibri" w:hAnsi="Calibri" w:cs="Calibri"/>
                <w:sz w:val="18"/>
                <w:lang w:val="en-AU"/>
              </w:rPr>
              <w:t xml:space="preserve">The project control board has provided a strategic direction for the project, leading to, approved budget funding over four years, legislation development, design of infrastructure, and the </w:t>
            </w:r>
            <w:r w:rsidRPr="00925213">
              <w:rPr>
                <w:rFonts w:ascii="Calibri" w:hAnsi="Calibri" w:cs="Calibri"/>
                <w:sz w:val="18"/>
              </w:rPr>
              <w:t>Victorian Academy of Teaching and Leadership</w:t>
            </w:r>
            <w:r w:rsidR="006F3BD3">
              <w:rPr>
                <w:rFonts w:ascii="Calibri" w:hAnsi="Calibri" w:cs="Calibri"/>
                <w:sz w:val="18"/>
              </w:rPr>
              <w:t xml:space="preserve"> (VATL)</w:t>
            </w:r>
            <w:r w:rsidRPr="00925213">
              <w:rPr>
                <w:rFonts w:ascii="Calibri" w:hAnsi="Calibri" w:cs="Calibri"/>
                <w:sz w:val="18"/>
                <w:lang w:val="en-AU"/>
              </w:rPr>
              <w:t xml:space="preserve"> implementation plan. Meetings have considered and provided advice on formalising </w:t>
            </w:r>
            <w:r w:rsidR="00D334B1">
              <w:rPr>
                <w:rFonts w:ascii="Calibri" w:hAnsi="Calibri" w:cs="Calibri"/>
                <w:sz w:val="18"/>
                <w:lang w:val="en-AU"/>
              </w:rPr>
              <w:t>VATL</w:t>
            </w:r>
            <w:r w:rsidRPr="00925213">
              <w:rPr>
                <w:rFonts w:ascii="Calibri" w:hAnsi="Calibri" w:cs="Calibri"/>
                <w:sz w:val="18"/>
                <w:lang w:val="en-AU"/>
              </w:rPr>
              <w:t xml:space="preserve"> as an entity, developing programmatic offerings, and construction of new </w:t>
            </w:r>
            <w:r w:rsidR="00273A8B">
              <w:rPr>
                <w:rFonts w:ascii="Calibri" w:hAnsi="Calibri" w:cs="Calibri"/>
                <w:sz w:val="18"/>
                <w:lang w:val="en-AU"/>
              </w:rPr>
              <w:t>VATL</w:t>
            </w:r>
            <w:r w:rsidRPr="00925213">
              <w:rPr>
                <w:rFonts w:ascii="Calibri" w:hAnsi="Calibri" w:cs="Calibri"/>
                <w:sz w:val="18"/>
                <w:lang w:val="en-AU"/>
              </w:rPr>
              <w:t xml:space="preserve"> locations in the regions.</w:t>
            </w:r>
          </w:p>
        </w:tc>
      </w:tr>
      <w:tr w:rsidR="006407EF" w:rsidRPr="00925213" w14:paraId="6E935F7F" w14:textId="77777777" w:rsidTr="00CB69AB">
        <w:trPr>
          <w:cantSplit/>
          <w:trHeight w:val="1257"/>
        </w:trPr>
        <w:tc>
          <w:tcPr>
            <w:tcW w:w="2250" w:type="dxa"/>
            <w:tcBorders>
              <w:top w:val="single" w:sz="4" w:space="0" w:color="auto"/>
              <w:bottom w:val="single" w:sz="4" w:space="0" w:color="auto"/>
            </w:tcBorders>
            <w:shd w:val="clear" w:color="auto" w:fill="auto"/>
          </w:tcPr>
          <w:p w14:paraId="46A52DC0" w14:textId="3C01A56A" w:rsidR="006407EF" w:rsidRPr="00925213" w:rsidRDefault="006407EF" w:rsidP="00A7613C">
            <w:pPr>
              <w:pStyle w:val="ESTablebody"/>
              <w:rPr>
                <w:rFonts w:ascii="Calibri" w:hAnsi="Calibri" w:cs="Calibri"/>
                <w:sz w:val="18"/>
              </w:rPr>
            </w:pPr>
            <w:r w:rsidRPr="00925213">
              <w:rPr>
                <w:rFonts w:ascii="Calibri" w:hAnsi="Calibri" w:cs="Calibri"/>
                <w:sz w:val="18"/>
              </w:rPr>
              <w:t>Child Information Sharing Scheme Steering Committee (CIS</w:t>
            </w:r>
            <w:r w:rsidR="002B5B59">
              <w:rPr>
                <w:rFonts w:ascii="Calibri" w:hAnsi="Calibri" w:cs="Calibri"/>
                <w:sz w:val="18"/>
              </w:rPr>
              <w:t>S</w:t>
            </w:r>
            <w:r w:rsidRPr="00925213">
              <w:rPr>
                <w:rFonts w:ascii="Calibri" w:hAnsi="Calibri" w:cs="Calibri"/>
                <w:sz w:val="18"/>
              </w:rPr>
              <w:t>SC).</w:t>
            </w:r>
          </w:p>
        </w:tc>
        <w:tc>
          <w:tcPr>
            <w:tcW w:w="3321" w:type="dxa"/>
            <w:tcBorders>
              <w:top w:val="single" w:sz="4" w:space="0" w:color="auto"/>
              <w:bottom w:val="single" w:sz="4" w:space="0" w:color="auto"/>
            </w:tcBorders>
          </w:tcPr>
          <w:p w14:paraId="49D8FE6F" w14:textId="05ED159C" w:rsidR="006407EF" w:rsidRPr="00925213" w:rsidRDefault="00B21C14" w:rsidP="00A7613C">
            <w:pPr>
              <w:pStyle w:val="ESTablebody"/>
              <w:rPr>
                <w:rFonts w:ascii="Calibri" w:hAnsi="Calibri" w:cs="Calibri"/>
                <w:sz w:val="18"/>
              </w:rPr>
            </w:pPr>
            <w:r>
              <w:rPr>
                <w:rFonts w:ascii="Calibri" w:hAnsi="Calibri" w:cs="Calibri"/>
                <w:sz w:val="18"/>
              </w:rPr>
              <w:t>CISSSC</w:t>
            </w:r>
            <w:r w:rsidR="006407EF" w:rsidRPr="00925213">
              <w:rPr>
                <w:rFonts w:ascii="Calibri" w:hAnsi="Calibri" w:cs="Calibri"/>
                <w:sz w:val="18"/>
              </w:rPr>
              <w:t xml:space="preserve"> monitors the use and impact of CISS and evaluates reform outcomes. It oversees a </w:t>
            </w:r>
            <w:r w:rsidR="00D051AA">
              <w:rPr>
                <w:rFonts w:ascii="Calibri" w:hAnsi="Calibri" w:cs="Calibri"/>
                <w:sz w:val="18"/>
              </w:rPr>
              <w:t>whole-of-government</w:t>
            </w:r>
            <w:r w:rsidR="006407EF" w:rsidRPr="00925213">
              <w:rPr>
                <w:rFonts w:ascii="Calibri" w:hAnsi="Calibri" w:cs="Calibri"/>
                <w:sz w:val="18"/>
              </w:rPr>
              <w:t xml:space="preserve"> workplan and contributes to strategic direction on critical policy elements, actions and plans to support the operation of the Scheme. </w:t>
            </w:r>
          </w:p>
          <w:p w14:paraId="24A5C071" w14:textId="1192DAC8" w:rsidR="006407EF" w:rsidRPr="00925213" w:rsidRDefault="0070415B" w:rsidP="00A7613C">
            <w:pPr>
              <w:pStyle w:val="ESTablebody"/>
              <w:rPr>
                <w:rFonts w:ascii="Calibri" w:hAnsi="Calibri" w:cs="Calibri"/>
                <w:sz w:val="18"/>
              </w:rPr>
            </w:pPr>
            <w:r>
              <w:rPr>
                <w:rFonts w:ascii="Calibri" w:hAnsi="Calibri" w:cs="Calibri"/>
                <w:sz w:val="18"/>
              </w:rPr>
              <w:t>CISSSC</w:t>
            </w:r>
            <w:r w:rsidR="006407EF" w:rsidRPr="00925213">
              <w:rPr>
                <w:rFonts w:ascii="Calibri" w:hAnsi="Calibri" w:cs="Calibri"/>
                <w:sz w:val="18"/>
              </w:rPr>
              <w:t xml:space="preserve"> comprises senior stakeholders across the Whole of Victorian Government and reports to the Children’s Services Coordination Board (CSCB) as required. </w:t>
            </w:r>
          </w:p>
          <w:p w14:paraId="43557E5E" w14:textId="692A0C3B" w:rsidR="006407EF" w:rsidRPr="00925213" w:rsidRDefault="00B15FA9" w:rsidP="00A7613C">
            <w:pPr>
              <w:pStyle w:val="ESTablebody"/>
              <w:rPr>
                <w:rFonts w:ascii="Calibri" w:hAnsi="Calibri" w:cs="Calibri"/>
                <w:sz w:val="18"/>
              </w:rPr>
            </w:pPr>
            <w:r>
              <w:rPr>
                <w:rFonts w:ascii="Calibri" w:hAnsi="Calibri" w:cs="Calibri"/>
                <w:sz w:val="18"/>
              </w:rPr>
              <w:t>CISSSC</w:t>
            </w:r>
            <w:r w:rsidR="006407EF" w:rsidRPr="00925213">
              <w:rPr>
                <w:rFonts w:ascii="Calibri" w:hAnsi="Calibri" w:cs="Calibri"/>
                <w:sz w:val="18"/>
              </w:rPr>
              <w:t xml:space="preserve"> replaced</w:t>
            </w:r>
            <w:r w:rsidR="00E05201">
              <w:rPr>
                <w:rFonts w:ascii="Calibri" w:hAnsi="Calibri" w:cs="Calibri"/>
                <w:sz w:val="18"/>
              </w:rPr>
              <w:t xml:space="preserve"> the</w:t>
            </w:r>
            <w:r w:rsidR="006407EF" w:rsidRPr="00925213">
              <w:rPr>
                <w:rFonts w:ascii="Calibri" w:hAnsi="Calibri" w:cs="Calibri"/>
                <w:sz w:val="18"/>
              </w:rPr>
              <w:t xml:space="preserve"> I</w:t>
            </w:r>
            <w:r w:rsidR="00E05201">
              <w:rPr>
                <w:rFonts w:ascii="Calibri" w:hAnsi="Calibri" w:cs="Calibri"/>
                <w:sz w:val="18"/>
              </w:rPr>
              <w:t xml:space="preserve">nformation Sharing and </w:t>
            </w:r>
            <w:r w:rsidR="00E05201" w:rsidRPr="00E05201">
              <w:rPr>
                <w:rFonts w:ascii="Calibri" w:hAnsi="Calibri" w:cs="Calibri"/>
                <w:sz w:val="18"/>
              </w:rPr>
              <w:t>Multi-Agency Risk Assessment and Management Framework</w:t>
            </w:r>
            <w:r w:rsidR="006407EF" w:rsidRPr="00925213">
              <w:rPr>
                <w:rFonts w:ascii="Calibri" w:hAnsi="Calibri" w:cs="Calibri"/>
                <w:sz w:val="18"/>
              </w:rPr>
              <w:t xml:space="preserve"> and had its inaugural meeting on 18 August 2020.</w:t>
            </w:r>
          </w:p>
        </w:tc>
        <w:tc>
          <w:tcPr>
            <w:tcW w:w="3268" w:type="dxa"/>
            <w:tcBorders>
              <w:top w:val="single" w:sz="4" w:space="0" w:color="auto"/>
              <w:bottom w:val="single" w:sz="4" w:space="0" w:color="auto"/>
            </w:tcBorders>
          </w:tcPr>
          <w:p w14:paraId="41DDA1C2" w14:textId="17D6806C" w:rsidR="006407EF" w:rsidRPr="00925213" w:rsidRDefault="00B562D9" w:rsidP="00A7613C">
            <w:pPr>
              <w:pStyle w:val="ESTablebody"/>
              <w:rPr>
                <w:rFonts w:ascii="Calibri" w:hAnsi="Calibri" w:cs="Calibri"/>
                <w:sz w:val="18"/>
              </w:rPr>
            </w:pPr>
            <w:r>
              <w:rPr>
                <w:rFonts w:ascii="Calibri" w:hAnsi="Calibri" w:cs="Calibri"/>
                <w:sz w:val="18"/>
              </w:rPr>
              <w:t>CISSSC</w:t>
            </w:r>
            <w:r w:rsidR="006407EF" w:rsidRPr="00925213">
              <w:rPr>
                <w:rFonts w:ascii="Calibri" w:hAnsi="Calibri" w:cs="Calibri"/>
                <w:sz w:val="18"/>
              </w:rPr>
              <w:t xml:space="preserve"> provides direction for activities supporting the implementation and operation of the Child Information Sharing Scheme and continues its ongoing governance role of the Scheme.</w:t>
            </w:r>
          </w:p>
        </w:tc>
      </w:tr>
      <w:tr w:rsidR="006407EF" w:rsidRPr="00925213" w14:paraId="2AA51561" w14:textId="77777777" w:rsidTr="00CB69AB">
        <w:trPr>
          <w:cantSplit/>
          <w:trHeight w:val="1257"/>
        </w:trPr>
        <w:tc>
          <w:tcPr>
            <w:tcW w:w="2250" w:type="dxa"/>
            <w:tcBorders>
              <w:top w:val="single" w:sz="4" w:space="0" w:color="auto"/>
              <w:bottom w:val="single" w:sz="4" w:space="0" w:color="auto"/>
            </w:tcBorders>
            <w:shd w:val="clear" w:color="auto" w:fill="auto"/>
          </w:tcPr>
          <w:p w14:paraId="26C38B0B" w14:textId="77777777" w:rsidR="006407EF" w:rsidRPr="00925213" w:rsidRDefault="006407EF" w:rsidP="00A7613C">
            <w:pPr>
              <w:pStyle w:val="ESTablebody"/>
              <w:rPr>
                <w:rFonts w:ascii="Calibri" w:hAnsi="Calibri" w:cs="Calibri"/>
                <w:sz w:val="18"/>
              </w:rPr>
            </w:pPr>
            <w:r w:rsidRPr="00925213">
              <w:rPr>
                <w:rFonts w:ascii="Calibri" w:hAnsi="Calibri" w:cs="Calibri"/>
                <w:sz w:val="18"/>
              </w:rPr>
              <w:t>Child Link Board</w:t>
            </w:r>
          </w:p>
        </w:tc>
        <w:tc>
          <w:tcPr>
            <w:tcW w:w="3321" w:type="dxa"/>
            <w:tcBorders>
              <w:top w:val="single" w:sz="4" w:space="0" w:color="auto"/>
              <w:bottom w:val="single" w:sz="4" w:space="0" w:color="auto"/>
            </w:tcBorders>
          </w:tcPr>
          <w:p w14:paraId="36B9DADF" w14:textId="38DA73EA" w:rsidR="006407EF" w:rsidRPr="00925213" w:rsidRDefault="006407EF" w:rsidP="00A7613C">
            <w:pPr>
              <w:pStyle w:val="ESTablebody"/>
              <w:rPr>
                <w:rFonts w:ascii="Calibri" w:hAnsi="Calibri" w:cs="Calibri"/>
                <w:sz w:val="18"/>
              </w:rPr>
            </w:pPr>
            <w:r w:rsidRPr="00925213">
              <w:rPr>
                <w:rFonts w:ascii="Calibri" w:hAnsi="Calibri" w:cs="Calibri"/>
                <w:sz w:val="18"/>
              </w:rPr>
              <w:t xml:space="preserve">The Board provides project oversight and decision-making to ensure that the Child Link program is designed and delivered to meet legislative and business requirements and reform outcomes. Membership comprises senior stakeholders across the </w:t>
            </w:r>
            <w:r w:rsidR="001571E7">
              <w:rPr>
                <w:rFonts w:ascii="Calibri" w:hAnsi="Calibri" w:cs="Calibri"/>
                <w:sz w:val="18"/>
              </w:rPr>
              <w:t>w</w:t>
            </w:r>
            <w:r w:rsidRPr="00925213">
              <w:rPr>
                <w:rFonts w:ascii="Calibri" w:hAnsi="Calibri" w:cs="Calibri"/>
                <w:sz w:val="18"/>
              </w:rPr>
              <w:t>hole</w:t>
            </w:r>
            <w:r w:rsidR="001571E7">
              <w:rPr>
                <w:rFonts w:ascii="Calibri" w:hAnsi="Calibri" w:cs="Calibri"/>
                <w:sz w:val="18"/>
              </w:rPr>
              <w:t>-</w:t>
            </w:r>
            <w:r w:rsidRPr="00925213">
              <w:rPr>
                <w:rFonts w:ascii="Calibri" w:hAnsi="Calibri" w:cs="Calibri"/>
                <w:sz w:val="18"/>
              </w:rPr>
              <w:t>of</w:t>
            </w:r>
            <w:r w:rsidR="001571E7">
              <w:rPr>
                <w:rFonts w:ascii="Calibri" w:hAnsi="Calibri" w:cs="Calibri"/>
                <w:sz w:val="18"/>
              </w:rPr>
              <w:t>-</w:t>
            </w:r>
            <w:r w:rsidRPr="00925213">
              <w:rPr>
                <w:rFonts w:ascii="Calibri" w:hAnsi="Calibri" w:cs="Calibri"/>
                <w:sz w:val="18"/>
              </w:rPr>
              <w:t>Victorian</w:t>
            </w:r>
            <w:r w:rsidR="001571E7">
              <w:rPr>
                <w:rFonts w:ascii="Calibri" w:hAnsi="Calibri" w:cs="Calibri"/>
                <w:sz w:val="18"/>
              </w:rPr>
              <w:t>-</w:t>
            </w:r>
            <w:r w:rsidRPr="00925213">
              <w:rPr>
                <w:rFonts w:ascii="Calibri" w:hAnsi="Calibri" w:cs="Calibri"/>
                <w:sz w:val="18"/>
              </w:rPr>
              <w:t>Government.</w:t>
            </w:r>
          </w:p>
        </w:tc>
        <w:tc>
          <w:tcPr>
            <w:tcW w:w="3268" w:type="dxa"/>
            <w:tcBorders>
              <w:top w:val="single" w:sz="4" w:space="0" w:color="auto"/>
              <w:bottom w:val="single" w:sz="4" w:space="0" w:color="auto"/>
            </w:tcBorders>
          </w:tcPr>
          <w:p w14:paraId="130E677E" w14:textId="77777777" w:rsidR="006407EF" w:rsidRPr="00925213" w:rsidRDefault="006407EF" w:rsidP="00A7613C">
            <w:pPr>
              <w:pStyle w:val="ESTablebody"/>
              <w:rPr>
                <w:rFonts w:ascii="Calibri" w:hAnsi="Calibri" w:cs="Calibri"/>
                <w:sz w:val="18"/>
              </w:rPr>
            </w:pPr>
            <w:r w:rsidRPr="00925213">
              <w:rPr>
                <w:rFonts w:ascii="Calibri" w:hAnsi="Calibri" w:cs="Calibri"/>
                <w:sz w:val="18"/>
              </w:rPr>
              <w:t xml:space="preserve">The Board provides direction and </w:t>
            </w:r>
            <w:proofErr w:type="spellStart"/>
            <w:r w:rsidRPr="00925213">
              <w:rPr>
                <w:rFonts w:ascii="Calibri" w:hAnsi="Calibri" w:cs="Calibri"/>
                <w:sz w:val="18"/>
              </w:rPr>
              <w:t>authorisation</w:t>
            </w:r>
            <w:proofErr w:type="spellEnd"/>
            <w:r w:rsidRPr="00925213">
              <w:rPr>
                <w:rFonts w:ascii="Calibri" w:hAnsi="Calibri" w:cs="Calibri"/>
                <w:sz w:val="18"/>
              </w:rPr>
              <w:t xml:space="preserve"> for activities in the Child Link program and continues its ongoing governance role.</w:t>
            </w:r>
          </w:p>
        </w:tc>
      </w:tr>
      <w:tr w:rsidR="006407EF" w:rsidRPr="00925213" w14:paraId="49508101" w14:textId="77777777" w:rsidTr="00CB69AB">
        <w:trPr>
          <w:cantSplit/>
          <w:trHeight w:val="225"/>
        </w:trPr>
        <w:tc>
          <w:tcPr>
            <w:tcW w:w="2250" w:type="dxa"/>
            <w:tcBorders>
              <w:top w:val="single" w:sz="4" w:space="0" w:color="auto"/>
              <w:bottom w:val="single" w:sz="4" w:space="0" w:color="auto"/>
            </w:tcBorders>
            <w:shd w:val="clear" w:color="auto" w:fill="auto"/>
          </w:tcPr>
          <w:p w14:paraId="1A320474" w14:textId="3F5F4389" w:rsidR="006407EF" w:rsidRPr="00946824" w:rsidRDefault="006407EF" w:rsidP="00CB69AB">
            <w:pPr>
              <w:pStyle w:val="ESTablebody"/>
              <w:rPr>
                <w:rFonts w:ascii="Calibri" w:hAnsi="Calibri" w:cs="Calibri"/>
                <w:sz w:val="18"/>
              </w:rPr>
            </w:pPr>
            <w:r w:rsidRPr="00946824">
              <w:rPr>
                <w:rFonts w:ascii="Calibri" w:hAnsi="Calibri" w:cs="Calibri"/>
                <w:color w:val="000000" w:themeColor="text2"/>
                <w:sz w:val="18"/>
              </w:rPr>
              <w:t>Children’s services coordination board Aboriginal families and children working group</w:t>
            </w:r>
          </w:p>
        </w:tc>
        <w:tc>
          <w:tcPr>
            <w:tcW w:w="3321" w:type="dxa"/>
            <w:tcBorders>
              <w:top w:val="single" w:sz="4" w:space="0" w:color="auto"/>
              <w:bottom w:val="single" w:sz="4" w:space="0" w:color="auto"/>
            </w:tcBorders>
          </w:tcPr>
          <w:p w14:paraId="0BE1A44B" w14:textId="77777777" w:rsidR="006407EF" w:rsidRPr="00946824" w:rsidRDefault="006407EF" w:rsidP="00CB69AB">
            <w:pPr>
              <w:pStyle w:val="ESTablebody"/>
              <w:rPr>
                <w:rFonts w:ascii="Calibri" w:hAnsi="Calibri" w:cs="Calibri"/>
                <w:sz w:val="18"/>
              </w:rPr>
            </w:pPr>
            <w:r w:rsidRPr="00946824">
              <w:rPr>
                <w:rFonts w:ascii="Calibri" w:hAnsi="Calibri" w:cs="Calibri"/>
                <w:color w:val="000000" w:themeColor="text2"/>
                <w:sz w:val="18"/>
              </w:rPr>
              <w:t xml:space="preserve">The working group meets quarterly and brings together executives from peak Victorian Aboriginal </w:t>
            </w:r>
            <w:proofErr w:type="gramStart"/>
            <w:r w:rsidRPr="00946824">
              <w:rPr>
                <w:rFonts w:ascii="Calibri" w:hAnsi="Calibri" w:cs="Calibri"/>
                <w:color w:val="000000" w:themeColor="text2"/>
                <w:sz w:val="18"/>
              </w:rPr>
              <w:t>community controlled</w:t>
            </w:r>
            <w:proofErr w:type="gramEnd"/>
            <w:r w:rsidRPr="00946824">
              <w:rPr>
                <w:rFonts w:ascii="Calibri" w:hAnsi="Calibri" w:cs="Calibri"/>
                <w:color w:val="000000" w:themeColor="text2"/>
                <w:sz w:val="18"/>
              </w:rPr>
              <w:t xml:space="preserve"> </w:t>
            </w:r>
            <w:proofErr w:type="spellStart"/>
            <w:r w:rsidRPr="00946824">
              <w:rPr>
                <w:rFonts w:ascii="Calibri" w:hAnsi="Calibri" w:cs="Calibri"/>
                <w:color w:val="000000" w:themeColor="text2"/>
                <w:sz w:val="18"/>
              </w:rPr>
              <w:t>organisations</w:t>
            </w:r>
            <w:proofErr w:type="spellEnd"/>
            <w:r w:rsidRPr="00946824">
              <w:rPr>
                <w:rFonts w:ascii="Calibri" w:hAnsi="Calibri" w:cs="Calibri"/>
                <w:color w:val="000000" w:themeColor="text2"/>
                <w:sz w:val="18"/>
              </w:rPr>
              <w:t xml:space="preserve"> and relevant Victorian government departments to share information and coordinate a strategic approach to improving outcomes for Aboriginal families and children, particularly those vulnerable to harm, disadvantage or social exclusion.</w:t>
            </w:r>
          </w:p>
        </w:tc>
        <w:tc>
          <w:tcPr>
            <w:tcW w:w="3268" w:type="dxa"/>
            <w:tcBorders>
              <w:top w:val="single" w:sz="4" w:space="0" w:color="auto"/>
              <w:bottom w:val="single" w:sz="4" w:space="0" w:color="auto"/>
            </w:tcBorders>
          </w:tcPr>
          <w:p w14:paraId="6A689607" w14:textId="77777777" w:rsidR="006407EF" w:rsidRPr="00946824" w:rsidRDefault="006407EF" w:rsidP="00CB69AB">
            <w:pPr>
              <w:pStyle w:val="ESTablebody"/>
              <w:rPr>
                <w:rFonts w:ascii="Calibri" w:hAnsi="Calibri" w:cs="Calibri"/>
                <w:sz w:val="18"/>
              </w:rPr>
            </w:pPr>
            <w:r w:rsidRPr="00946824">
              <w:rPr>
                <w:rFonts w:ascii="Calibri" w:hAnsi="Calibri" w:cs="Calibri"/>
                <w:color w:val="000000" w:themeColor="text2"/>
                <w:sz w:val="18"/>
                <w:lang w:val="en-AU"/>
              </w:rPr>
              <w:t xml:space="preserve">The working group met four times and has been the main stakeholder engagement mechanism for the State of Victoria’s Children 2019 report, focused on Aboriginal children and young people. The working group also considered new approaches and emerging issues for </w:t>
            </w:r>
            <w:proofErr w:type="spellStart"/>
            <w:r w:rsidRPr="00946824">
              <w:rPr>
                <w:rFonts w:ascii="Calibri" w:hAnsi="Calibri" w:cs="Calibri"/>
                <w:color w:val="000000" w:themeColor="text2"/>
                <w:sz w:val="18"/>
                <w:lang w:val="en-AU"/>
              </w:rPr>
              <w:t>Koorie</w:t>
            </w:r>
            <w:proofErr w:type="spellEnd"/>
            <w:r w:rsidRPr="00946824">
              <w:rPr>
                <w:rFonts w:ascii="Calibri" w:hAnsi="Calibri" w:cs="Calibri"/>
                <w:color w:val="000000" w:themeColor="text2"/>
                <w:sz w:val="18"/>
                <w:lang w:val="en-AU"/>
              </w:rPr>
              <w:t xml:space="preserve"> children and young people including the COVID-19 pandemic, education and out of home care, mental health, youth justice and child protection.</w:t>
            </w:r>
          </w:p>
        </w:tc>
      </w:tr>
      <w:tr w:rsidR="006407EF" w:rsidRPr="00925213" w14:paraId="249B0FAA" w14:textId="77777777" w:rsidTr="00CB69AB">
        <w:trPr>
          <w:cantSplit/>
          <w:trHeight w:val="225"/>
        </w:trPr>
        <w:tc>
          <w:tcPr>
            <w:tcW w:w="2250" w:type="dxa"/>
            <w:tcBorders>
              <w:top w:val="single" w:sz="4" w:space="0" w:color="auto"/>
              <w:bottom w:val="single" w:sz="4" w:space="0" w:color="auto"/>
            </w:tcBorders>
            <w:shd w:val="clear" w:color="auto" w:fill="auto"/>
          </w:tcPr>
          <w:p w14:paraId="3071E3DF" w14:textId="77777777" w:rsidR="006407EF" w:rsidRPr="00946824" w:rsidRDefault="006407EF" w:rsidP="00CB69AB">
            <w:pPr>
              <w:pStyle w:val="ESTablebody"/>
              <w:rPr>
                <w:rFonts w:ascii="Calibri" w:hAnsi="Calibri" w:cs="Calibri"/>
                <w:sz w:val="18"/>
              </w:rPr>
            </w:pPr>
            <w:r w:rsidRPr="00946824">
              <w:rPr>
                <w:rFonts w:ascii="Calibri" w:hAnsi="Calibri" w:cs="Calibri"/>
                <w:sz w:val="18"/>
              </w:rPr>
              <w:lastRenderedPageBreak/>
              <w:t>Disability inclusion advisory group</w:t>
            </w:r>
          </w:p>
        </w:tc>
        <w:tc>
          <w:tcPr>
            <w:tcW w:w="3321" w:type="dxa"/>
            <w:tcBorders>
              <w:top w:val="single" w:sz="4" w:space="0" w:color="auto"/>
              <w:bottom w:val="single" w:sz="4" w:space="0" w:color="auto"/>
            </w:tcBorders>
          </w:tcPr>
          <w:p w14:paraId="1C3FBA0E" w14:textId="3572AAC9" w:rsidR="006407EF" w:rsidRPr="00946824" w:rsidRDefault="006407EF" w:rsidP="00CB69AB">
            <w:pPr>
              <w:pStyle w:val="ESTablebody"/>
              <w:rPr>
                <w:rFonts w:ascii="Calibri" w:hAnsi="Calibri" w:cs="Calibri"/>
                <w:sz w:val="18"/>
              </w:rPr>
            </w:pPr>
            <w:r w:rsidRPr="00946824">
              <w:rPr>
                <w:rFonts w:ascii="Calibri" w:hAnsi="Calibri" w:cs="Calibri"/>
                <w:sz w:val="18"/>
              </w:rPr>
              <w:t>The group is chaired by the Department</w:t>
            </w:r>
            <w:r w:rsidR="00443FC0">
              <w:rPr>
                <w:rFonts w:ascii="Calibri" w:hAnsi="Calibri" w:cs="Calibri"/>
                <w:sz w:val="18"/>
              </w:rPr>
              <w:t xml:space="preserve"> </w:t>
            </w:r>
            <w:r w:rsidRPr="00946824">
              <w:rPr>
                <w:rFonts w:ascii="Calibri" w:hAnsi="Calibri" w:cs="Calibri"/>
                <w:sz w:val="18"/>
              </w:rPr>
              <w:t>and comprises peak bodies in the disability sector. It ensures that the voice</w:t>
            </w:r>
            <w:r w:rsidR="001F4896">
              <w:rPr>
                <w:rFonts w:ascii="Calibri" w:hAnsi="Calibri" w:cs="Calibri"/>
                <w:sz w:val="18"/>
              </w:rPr>
              <w:t>s</w:t>
            </w:r>
            <w:r w:rsidRPr="00946824">
              <w:rPr>
                <w:rFonts w:ascii="Calibri" w:hAnsi="Calibri" w:cs="Calibri"/>
                <w:sz w:val="18"/>
              </w:rPr>
              <w:t xml:space="preserve"> of families and students with disability </w:t>
            </w:r>
            <w:r w:rsidR="00DF5D54">
              <w:rPr>
                <w:rFonts w:ascii="Calibri" w:hAnsi="Calibri" w:cs="Calibri"/>
                <w:sz w:val="18"/>
              </w:rPr>
              <w:t>are</w:t>
            </w:r>
            <w:r w:rsidRPr="00946824">
              <w:rPr>
                <w:rFonts w:ascii="Calibri" w:hAnsi="Calibri" w:cs="Calibri"/>
                <w:sz w:val="18"/>
              </w:rPr>
              <w:t xml:space="preserve"> represented and amplified in the governance and implementation of disability inclusion programs.</w:t>
            </w:r>
          </w:p>
        </w:tc>
        <w:tc>
          <w:tcPr>
            <w:tcW w:w="3268" w:type="dxa"/>
            <w:tcBorders>
              <w:top w:val="single" w:sz="4" w:space="0" w:color="auto"/>
              <w:bottom w:val="single" w:sz="4" w:space="0" w:color="auto"/>
            </w:tcBorders>
          </w:tcPr>
          <w:p w14:paraId="53D16EF8" w14:textId="3E8A7315"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group’s inaugural meeting was in April </w:t>
            </w:r>
            <w:proofErr w:type="gramStart"/>
            <w:r w:rsidRPr="00946824">
              <w:rPr>
                <w:rFonts w:ascii="Calibri" w:hAnsi="Calibri" w:cs="Calibri"/>
                <w:sz w:val="18"/>
              </w:rPr>
              <w:t>2021</w:t>
            </w:r>
            <w:proofErr w:type="gramEnd"/>
            <w:r w:rsidRPr="00946824">
              <w:rPr>
                <w:rFonts w:ascii="Calibri" w:hAnsi="Calibri" w:cs="Calibri"/>
                <w:sz w:val="18"/>
              </w:rPr>
              <w:t xml:space="preserve"> and it met again in June</w:t>
            </w:r>
            <w:r w:rsidR="00443FC0">
              <w:rPr>
                <w:rFonts w:ascii="Calibri" w:hAnsi="Calibri" w:cs="Calibri"/>
                <w:sz w:val="18"/>
              </w:rPr>
              <w:t xml:space="preserve"> </w:t>
            </w:r>
            <w:r w:rsidRPr="00946824">
              <w:rPr>
                <w:rFonts w:ascii="Calibri" w:hAnsi="Calibri" w:cs="Calibri"/>
                <w:sz w:val="18"/>
              </w:rPr>
              <w:t>2021 to inform disability inclusion implementation in schools.</w:t>
            </w:r>
            <w:r w:rsidR="00443FC0">
              <w:rPr>
                <w:rFonts w:ascii="Calibri" w:hAnsi="Calibri" w:cs="Calibri"/>
                <w:sz w:val="18"/>
              </w:rPr>
              <w:t xml:space="preserve"> </w:t>
            </w:r>
          </w:p>
        </w:tc>
      </w:tr>
      <w:tr w:rsidR="006407EF" w:rsidRPr="00925213" w14:paraId="7D005CB2" w14:textId="77777777" w:rsidTr="00CB69AB">
        <w:trPr>
          <w:cantSplit/>
          <w:trHeight w:val="1257"/>
        </w:trPr>
        <w:tc>
          <w:tcPr>
            <w:tcW w:w="2250" w:type="dxa"/>
            <w:tcBorders>
              <w:top w:val="single" w:sz="4" w:space="0" w:color="auto"/>
              <w:bottom w:val="single" w:sz="4" w:space="0" w:color="auto"/>
            </w:tcBorders>
            <w:shd w:val="clear" w:color="auto" w:fill="auto"/>
          </w:tcPr>
          <w:p w14:paraId="6BB4B1FD"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Early Childhood Development Advisory Group</w:t>
            </w:r>
          </w:p>
        </w:tc>
        <w:tc>
          <w:tcPr>
            <w:tcW w:w="3321" w:type="dxa"/>
            <w:tcBorders>
              <w:top w:val="single" w:sz="4" w:space="0" w:color="auto"/>
              <w:bottom w:val="single" w:sz="4" w:space="0" w:color="auto"/>
            </w:tcBorders>
          </w:tcPr>
          <w:p w14:paraId="0E1D30D2" w14:textId="0B0EB41E" w:rsidR="006407EF" w:rsidRPr="00946824" w:rsidRDefault="006407EF" w:rsidP="00A7613C">
            <w:pPr>
              <w:pStyle w:val="ESTablebody"/>
              <w:rPr>
                <w:rFonts w:ascii="Calibri" w:hAnsi="Calibri" w:cs="Calibri"/>
                <w:sz w:val="18"/>
              </w:rPr>
            </w:pPr>
            <w:r w:rsidRPr="00946824">
              <w:rPr>
                <w:rFonts w:ascii="Calibri" w:hAnsi="Calibri" w:cs="Calibri"/>
                <w:color w:val="000000"/>
                <w:sz w:val="18"/>
                <w:lang w:val="en-AU"/>
              </w:rPr>
              <w:t xml:space="preserve">The </w:t>
            </w:r>
            <w:r w:rsidR="00C177B1">
              <w:rPr>
                <w:rFonts w:ascii="Calibri" w:hAnsi="Calibri" w:cs="Calibri"/>
                <w:color w:val="000000"/>
                <w:sz w:val="18"/>
                <w:lang w:val="en-AU"/>
              </w:rPr>
              <w:t>group</w:t>
            </w:r>
            <w:r w:rsidRPr="00946824">
              <w:rPr>
                <w:rFonts w:ascii="Calibri" w:hAnsi="Calibri" w:cs="Calibri"/>
                <w:color w:val="000000"/>
                <w:sz w:val="18"/>
                <w:lang w:val="en-AU"/>
              </w:rPr>
              <w:t xml:space="preserve"> </w:t>
            </w:r>
            <w:r w:rsidR="009B362A">
              <w:rPr>
                <w:rFonts w:ascii="Calibri" w:hAnsi="Calibri" w:cs="Calibri"/>
                <w:color w:val="000000"/>
                <w:sz w:val="18"/>
                <w:lang w:val="en-AU"/>
              </w:rPr>
              <w:t>works</w:t>
            </w:r>
            <w:r w:rsidRPr="00946824">
              <w:rPr>
                <w:rFonts w:ascii="Calibri" w:hAnsi="Calibri" w:cs="Calibri"/>
                <w:color w:val="000000"/>
                <w:sz w:val="18"/>
                <w:lang w:val="en-AU"/>
              </w:rPr>
              <w:t xml:space="preserve"> with representatives of early childhood services, including the Department of Health and Department of Fairness, Families and Housing, to continue to improve outcomes for children and young people and create a seamless service delivery system for children aged 0-8 years.</w:t>
            </w:r>
          </w:p>
        </w:tc>
        <w:tc>
          <w:tcPr>
            <w:tcW w:w="3268" w:type="dxa"/>
            <w:tcBorders>
              <w:top w:val="single" w:sz="4" w:space="0" w:color="auto"/>
              <w:bottom w:val="single" w:sz="4" w:space="0" w:color="auto"/>
            </w:tcBorders>
          </w:tcPr>
          <w:p w14:paraId="10E6B026" w14:textId="0940E488" w:rsidR="006407EF" w:rsidRPr="00946824" w:rsidRDefault="006407EF" w:rsidP="00A7613C">
            <w:pPr>
              <w:pStyle w:val="ESTablebody"/>
              <w:rPr>
                <w:rFonts w:ascii="Calibri" w:hAnsi="Calibri" w:cs="Calibri"/>
                <w:sz w:val="18"/>
              </w:rPr>
            </w:pPr>
            <w:r w:rsidRPr="00946824">
              <w:rPr>
                <w:rFonts w:ascii="Calibri" w:hAnsi="Calibri" w:cs="Calibri"/>
                <w:sz w:val="18"/>
              </w:rPr>
              <w:t>Meetings scheduled for September 2020 and February 2021 did not occur</w:t>
            </w:r>
            <w:r w:rsidR="00BA3A7E">
              <w:rPr>
                <w:rFonts w:ascii="Calibri" w:hAnsi="Calibri" w:cs="Calibri"/>
                <w:sz w:val="18"/>
              </w:rPr>
              <w:t>,</w:t>
            </w:r>
            <w:r w:rsidRPr="00946824">
              <w:rPr>
                <w:rFonts w:ascii="Calibri" w:hAnsi="Calibri" w:cs="Calibri"/>
                <w:sz w:val="18"/>
              </w:rPr>
              <w:t xml:space="preserve"> due to the impacts of the COVID-19 pandemic</w:t>
            </w:r>
            <w:r w:rsidR="00BA3A7E">
              <w:rPr>
                <w:rFonts w:ascii="Calibri" w:hAnsi="Calibri" w:cs="Calibri"/>
                <w:sz w:val="18"/>
              </w:rPr>
              <w:t>.</w:t>
            </w:r>
          </w:p>
        </w:tc>
      </w:tr>
      <w:tr w:rsidR="006407EF" w:rsidRPr="00925213" w14:paraId="1713F8AE" w14:textId="77777777" w:rsidTr="00CB69AB">
        <w:trPr>
          <w:cantSplit/>
          <w:trHeight w:val="1257"/>
        </w:trPr>
        <w:tc>
          <w:tcPr>
            <w:tcW w:w="2250" w:type="dxa"/>
            <w:tcBorders>
              <w:top w:val="single" w:sz="4" w:space="0" w:color="auto"/>
              <w:bottom w:val="single" w:sz="4" w:space="0" w:color="auto"/>
            </w:tcBorders>
            <w:shd w:val="clear" w:color="auto" w:fill="auto"/>
          </w:tcPr>
          <w:p w14:paraId="11F11007"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Early Childhood Education Reform Stakeholder Group</w:t>
            </w:r>
          </w:p>
        </w:tc>
        <w:tc>
          <w:tcPr>
            <w:tcW w:w="3321" w:type="dxa"/>
            <w:tcBorders>
              <w:top w:val="single" w:sz="4" w:space="0" w:color="auto"/>
              <w:bottom w:val="single" w:sz="4" w:space="0" w:color="auto"/>
            </w:tcBorders>
          </w:tcPr>
          <w:p w14:paraId="68009DA7" w14:textId="25F9CC4A" w:rsidR="006407EF" w:rsidRPr="00946824" w:rsidRDefault="006407EF" w:rsidP="00A7613C">
            <w:pPr>
              <w:pStyle w:val="ESTablebody"/>
              <w:rPr>
                <w:rFonts w:ascii="Calibri" w:hAnsi="Calibri" w:cs="Calibri"/>
                <w:sz w:val="18"/>
              </w:rPr>
            </w:pPr>
            <w:r w:rsidRPr="00946824">
              <w:rPr>
                <w:rFonts w:ascii="Calibri" w:hAnsi="Calibri" w:cs="Calibri"/>
                <w:color w:val="000000"/>
                <w:sz w:val="18"/>
                <w:lang w:val="en-AU"/>
              </w:rPr>
              <w:t xml:space="preserve">The </w:t>
            </w:r>
            <w:r w:rsidR="005B6770">
              <w:rPr>
                <w:rFonts w:ascii="Calibri" w:hAnsi="Calibri" w:cs="Calibri"/>
                <w:color w:val="000000"/>
                <w:sz w:val="18"/>
                <w:lang w:val="en-AU"/>
              </w:rPr>
              <w:t>g</w:t>
            </w:r>
            <w:r w:rsidRPr="00946824">
              <w:rPr>
                <w:rFonts w:ascii="Calibri" w:hAnsi="Calibri" w:cs="Calibri"/>
                <w:color w:val="000000"/>
                <w:sz w:val="18"/>
                <w:lang w:val="en-AU"/>
              </w:rPr>
              <w:t>roup explores evidence</w:t>
            </w:r>
            <w:r w:rsidR="00C80BF3">
              <w:rPr>
                <w:rFonts w:ascii="Calibri" w:hAnsi="Calibri" w:cs="Calibri"/>
                <w:color w:val="000000"/>
                <w:sz w:val="18"/>
                <w:lang w:val="en-AU"/>
              </w:rPr>
              <w:t>-based</w:t>
            </w:r>
            <w:r w:rsidRPr="00946824">
              <w:rPr>
                <w:rFonts w:ascii="Calibri" w:hAnsi="Calibri" w:cs="Calibri"/>
                <w:color w:val="000000"/>
                <w:sz w:val="18"/>
                <w:lang w:val="en-AU"/>
              </w:rPr>
              <w:t xml:space="preserve"> and place</w:t>
            </w:r>
            <w:r w:rsidR="00C80BF3">
              <w:rPr>
                <w:rFonts w:ascii="Calibri" w:hAnsi="Calibri" w:cs="Calibri"/>
                <w:color w:val="000000"/>
                <w:sz w:val="18"/>
                <w:lang w:val="en-AU"/>
              </w:rPr>
              <w:t>-</w:t>
            </w:r>
            <w:r w:rsidRPr="00946824">
              <w:rPr>
                <w:rFonts w:ascii="Calibri" w:hAnsi="Calibri" w:cs="Calibri"/>
                <w:color w:val="000000"/>
                <w:sz w:val="18"/>
                <w:lang w:val="en-AU"/>
              </w:rPr>
              <w:t xml:space="preserve">based approaches in delivering </w:t>
            </w:r>
            <w:proofErr w:type="spellStart"/>
            <w:r w:rsidRPr="00946824">
              <w:rPr>
                <w:rFonts w:ascii="Calibri" w:hAnsi="Calibri" w:cs="Calibri"/>
                <w:color w:val="000000"/>
                <w:sz w:val="18"/>
                <w:lang w:val="en-AU"/>
              </w:rPr>
              <w:t>statewide</w:t>
            </w:r>
            <w:proofErr w:type="spellEnd"/>
            <w:r w:rsidRPr="00946824">
              <w:rPr>
                <w:rFonts w:ascii="Calibri" w:hAnsi="Calibri" w:cs="Calibri"/>
                <w:color w:val="000000"/>
                <w:sz w:val="18"/>
                <w:lang w:val="en-AU"/>
              </w:rPr>
              <w:t>, high-quality, play based early childhood education to improve outcomes and ensure equity for children and their families.</w:t>
            </w:r>
          </w:p>
        </w:tc>
        <w:tc>
          <w:tcPr>
            <w:tcW w:w="3268" w:type="dxa"/>
            <w:tcBorders>
              <w:top w:val="single" w:sz="4" w:space="0" w:color="auto"/>
              <w:bottom w:val="single" w:sz="4" w:space="0" w:color="auto"/>
            </w:tcBorders>
          </w:tcPr>
          <w:p w14:paraId="7AAD09F3" w14:textId="318A66B5" w:rsidR="006407EF" w:rsidRPr="00946824" w:rsidRDefault="006407EF" w:rsidP="00A7613C">
            <w:pPr>
              <w:autoSpaceDE w:val="0"/>
              <w:autoSpaceDN w:val="0"/>
              <w:adjustRightInd w:val="0"/>
              <w:rPr>
                <w:rFonts w:ascii="Calibri" w:hAnsi="Calibri" w:cs="Calibri"/>
                <w:color w:val="000000"/>
                <w:sz w:val="18"/>
                <w:szCs w:val="18"/>
                <w:lang w:val="en-AU"/>
              </w:rPr>
            </w:pPr>
            <w:r w:rsidRPr="00946824">
              <w:rPr>
                <w:rFonts w:ascii="Calibri" w:hAnsi="Calibri" w:cs="Calibri"/>
                <w:color w:val="000000"/>
                <w:sz w:val="18"/>
                <w:szCs w:val="18"/>
                <w:lang w:val="en-AU"/>
              </w:rPr>
              <w:t xml:space="preserve">The </w:t>
            </w:r>
            <w:r w:rsidR="000235C1">
              <w:rPr>
                <w:rFonts w:ascii="Calibri" w:hAnsi="Calibri" w:cs="Calibri"/>
                <w:color w:val="000000"/>
                <w:sz w:val="18"/>
                <w:szCs w:val="18"/>
                <w:lang w:val="en-AU"/>
              </w:rPr>
              <w:t>group</w:t>
            </w:r>
            <w:r w:rsidRPr="00946824">
              <w:rPr>
                <w:rFonts w:ascii="Calibri" w:hAnsi="Calibri" w:cs="Calibri"/>
                <w:color w:val="000000"/>
                <w:sz w:val="18"/>
                <w:szCs w:val="18"/>
                <w:lang w:val="en-AU"/>
              </w:rPr>
              <w:t xml:space="preserve"> met once (December 2020)</w:t>
            </w:r>
            <w:r w:rsidR="006222B6">
              <w:rPr>
                <w:rFonts w:ascii="Calibri" w:hAnsi="Calibri" w:cs="Calibri"/>
                <w:color w:val="000000"/>
                <w:sz w:val="18"/>
                <w:szCs w:val="18"/>
                <w:lang w:val="en-AU"/>
              </w:rPr>
              <w:t>;</w:t>
            </w:r>
            <w:r w:rsidRPr="00946824">
              <w:rPr>
                <w:rFonts w:ascii="Calibri" w:hAnsi="Calibri" w:cs="Calibri"/>
                <w:color w:val="000000"/>
                <w:sz w:val="18"/>
                <w:szCs w:val="18"/>
                <w:lang w:val="en-AU"/>
              </w:rPr>
              <w:t xml:space="preserve"> the other three meetings scheduled during the year have been postponed due to the ongoing impacts of the COVID-19 pandemic. </w:t>
            </w:r>
          </w:p>
          <w:p w14:paraId="5B6399E6" w14:textId="606DB888" w:rsidR="006407EF" w:rsidRPr="00946824" w:rsidRDefault="006407EF" w:rsidP="00A7613C">
            <w:pPr>
              <w:pStyle w:val="ESTablebody"/>
              <w:rPr>
                <w:rFonts w:ascii="Calibri" w:hAnsi="Calibri" w:cs="Calibri"/>
                <w:sz w:val="18"/>
              </w:rPr>
            </w:pPr>
            <w:r w:rsidRPr="00946824">
              <w:rPr>
                <w:rFonts w:ascii="Calibri" w:hAnsi="Calibri" w:cs="Calibri"/>
                <w:color w:val="000000"/>
                <w:sz w:val="18"/>
                <w:lang w:val="en-AU"/>
              </w:rPr>
              <w:t>The Stakeholder Group has been developing a systemwide perspective to provide a guiding vision for the early childhood sector over the next five to ten years.</w:t>
            </w:r>
            <w:r w:rsidR="00443FC0">
              <w:rPr>
                <w:rFonts w:ascii="Calibri" w:hAnsi="Calibri" w:cs="Calibri"/>
                <w:color w:val="000000"/>
                <w:sz w:val="18"/>
                <w:lang w:val="en-AU"/>
              </w:rPr>
              <w:t xml:space="preserve"> </w:t>
            </w:r>
          </w:p>
        </w:tc>
      </w:tr>
      <w:tr w:rsidR="006407EF" w:rsidRPr="00925213" w14:paraId="41B63010" w14:textId="77777777" w:rsidTr="00CB69AB">
        <w:trPr>
          <w:cantSplit/>
          <w:trHeight w:val="1257"/>
        </w:trPr>
        <w:tc>
          <w:tcPr>
            <w:tcW w:w="2250" w:type="dxa"/>
            <w:tcBorders>
              <w:top w:val="single" w:sz="4" w:space="0" w:color="auto"/>
              <w:bottom w:val="single" w:sz="4" w:space="0" w:color="auto"/>
            </w:tcBorders>
            <w:shd w:val="clear" w:color="auto" w:fill="auto"/>
          </w:tcPr>
          <w:p w14:paraId="7437E2CE"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Early Years Compact Board</w:t>
            </w:r>
          </w:p>
        </w:tc>
        <w:tc>
          <w:tcPr>
            <w:tcW w:w="3321" w:type="dxa"/>
            <w:tcBorders>
              <w:top w:val="single" w:sz="4" w:space="0" w:color="auto"/>
              <w:bottom w:val="single" w:sz="4" w:space="0" w:color="auto"/>
            </w:tcBorders>
          </w:tcPr>
          <w:p w14:paraId="1F04F080"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The Board implements the Early Years Compact between the Department, DHHS and local governments (represented by the Municipal Association of Victoria) and collaborates in new ways to improve outcomes for children and families.</w:t>
            </w:r>
          </w:p>
        </w:tc>
        <w:tc>
          <w:tcPr>
            <w:tcW w:w="3268" w:type="dxa"/>
            <w:tcBorders>
              <w:top w:val="single" w:sz="4" w:space="0" w:color="auto"/>
              <w:bottom w:val="single" w:sz="4" w:space="0" w:color="auto"/>
            </w:tcBorders>
          </w:tcPr>
          <w:p w14:paraId="1B8B1520" w14:textId="6C4D1351" w:rsidR="006407EF" w:rsidRPr="00946824" w:rsidRDefault="006407EF" w:rsidP="00A7613C">
            <w:pPr>
              <w:pStyle w:val="ESTablebody"/>
              <w:rPr>
                <w:rFonts w:ascii="Calibri" w:hAnsi="Calibri" w:cs="Calibri"/>
                <w:sz w:val="18"/>
              </w:rPr>
            </w:pPr>
            <w:r w:rsidRPr="00946824">
              <w:rPr>
                <w:rFonts w:ascii="Calibri" w:hAnsi="Calibri" w:cs="Calibri"/>
                <w:sz w:val="18"/>
              </w:rPr>
              <w:t>Board meetings were put on hold during 2020, as partners efforts were necessarily diverted to responding to the COVID-19 pandemic.</w:t>
            </w:r>
            <w:r w:rsidR="00443FC0">
              <w:rPr>
                <w:rFonts w:ascii="Calibri" w:hAnsi="Calibri" w:cs="Calibri"/>
                <w:sz w:val="18"/>
              </w:rPr>
              <w:t xml:space="preserve"> </w:t>
            </w:r>
            <w:r w:rsidRPr="00946824">
              <w:rPr>
                <w:rFonts w:ascii="Calibri" w:hAnsi="Calibri" w:cs="Calibri"/>
                <w:sz w:val="18"/>
              </w:rPr>
              <w:t>The Board will be reconvened in 2021 to review and refresh Compact priorities and processes.</w:t>
            </w:r>
          </w:p>
        </w:tc>
      </w:tr>
      <w:tr w:rsidR="006407EF" w:rsidRPr="00925213" w14:paraId="11022B86" w14:textId="77777777" w:rsidTr="00CB69AB">
        <w:trPr>
          <w:cantSplit/>
          <w:trHeight w:val="853"/>
        </w:trPr>
        <w:tc>
          <w:tcPr>
            <w:tcW w:w="2250" w:type="dxa"/>
            <w:tcBorders>
              <w:top w:val="single" w:sz="4" w:space="0" w:color="auto"/>
              <w:bottom w:val="single" w:sz="4" w:space="0" w:color="auto"/>
            </w:tcBorders>
            <w:shd w:val="clear" w:color="auto" w:fill="auto"/>
          </w:tcPr>
          <w:p w14:paraId="055E9B93"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Education State Forum</w:t>
            </w:r>
          </w:p>
        </w:tc>
        <w:tc>
          <w:tcPr>
            <w:tcW w:w="3321" w:type="dxa"/>
            <w:tcBorders>
              <w:top w:val="single" w:sz="4" w:space="0" w:color="auto"/>
              <w:bottom w:val="single" w:sz="4" w:space="0" w:color="auto"/>
            </w:tcBorders>
          </w:tcPr>
          <w:p w14:paraId="19830E00" w14:textId="77777777" w:rsidR="006407EF" w:rsidRPr="00946824" w:rsidRDefault="006407EF" w:rsidP="00A5394B">
            <w:pPr>
              <w:autoSpaceDE w:val="0"/>
              <w:autoSpaceDN w:val="0"/>
              <w:adjustRightInd w:val="0"/>
              <w:rPr>
                <w:rFonts w:ascii="Calibri" w:hAnsi="Calibri" w:cs="Calibri"/>
                <w:color w:val="000000"/>
                <w:sz w:val="18"/>
                <w:szCs w:val="18"/>
                <w:lang w:val="en-AU"/>
              </w:rPr>
            </w:pPr>
            <w:r w:rsidRPr="00946824">
              <w:rPr>
                <w:rFonts w:ascii="Calibri" w:hAnsi="Calibri" w:cs="Calibri"/>
                <w:color w:val="000000"/>
                <w:sz w:val="18"/>
                <w:szCs w:val="18"/>
                <w:lang w:val="en-AU"/>
              </w:rPr>
              <w:t>Event involving key stakeholders from across the early childhood and education sectors. The forum presents an opportunity for the Department and stakeholders to work on building a coherent approach to delivering early childhood and education reforms.</w:t>
            </w:r>
          </w:p>
        </w:tc>
        <w:tc>
          <w:tcPr>
            <w:tcW w:w="3268" w:type="dxa"/>
            <w:tcBorders>
              <w:top w:val="single" w:sz="4" w:space="0" w:color="auto"/>
              <w:bottom w:val="single" w:sz="4" w:space="0" w:color="auto"/>
            </w:tcBorders>
          </w:tcPr>
          <w:p w14:paraId="53BCE74C" w14:textId="54CCFD19" w:rsidR="006407EF" w:rsidRPr="00946824" w:rsidRDefault="006407EF" w:rsidP="00A7613C">
            <w:pPr>
              <w:pStyle w:val="ESTablebody"/>
              <w:rPr>
                <w:rFonts w:ascii="Calibri" w:hAnsi="Calibri" w:cs="Calibri"/>
                <w:sz w:val="18"/>
              </w:rPr>
            </w:pPr>
            <w:r w:rsidRPr="00946824">
              <w:rPr>
                <w:rFonts w:ascii="Calibri" w:hAnsi="Calibri" w:cs="Calibri"/>
                <w:color w:val="000000"/>
                <w:sz w:val="18"/>
                <w:lang w:val="en-AU"/>
              </w:rPr>
              <w:t>The 2020 Forum was cancelled due to the</w:t>
            </w:r>
            <w:r w:rsidR="00443FC0">
              <w:rPr>
                <w:rFonts w:ascii="Calibri" w:hAnsi="Calibri" w:cs="Calibri"/>
                <w:color w:val="000000"/>
                <w:sz w:val="18"/>
                <w:lang w:val="en-AU"/>
              </w:rPr>
              <w:t xml:space="preserve"> </w:t>
            </w:r>
            <w:r w:rsidRPr="00946824">
              <w:rPr>
                <w:rFonts w:ascii="Calibri" w:hAnsi="Calibri" w:cs="Calibri"/>
                <w:color w:val="000000"/>
                <w:sz w:val="18"/>
                <w:lang w:val="en-AU"/>
              </w:rPr>
              <w:t xml:space="preserve">COVID-19 pandemic and its impacts on </w:t>
            </w:r>
            <w:r w:rsidR="00443FC0" w:rsidRPr="00946824">
              <w:rPr>
                <w:rFonts w:ascii="Calibri" w:hAnsi="Calibri" w:cs="Calibri"/>
                <w:color w:val="000000"/>
                <w:sz w:val="18"/>
                <w:lang w:val="en-AU"/>
              </w:rPr>
              <w:t>activities</w:t>
            </w:r>
            <w:r w:rsidRPr="00946824">
              <w:rPr>
                <w:rFonts w:ascii="Calibri" w:hAnsi="Calibri" w:cs="Calibri"/>
                <w:color w:val="000000"/>
                <w:sz w:val="18"/>
                <w:lang w:val="en-AU"/>
              </w:rPr>
              <w:t xml:space="preserve"> and priorities.</w:t>
            </w:r>
            <w:r w:rsidR="00443FC0">
              <w:rPr>
                <w:rFonts w:ascii="Calibri" w:hAnsi="Calibri" w:cs="Calibri"/>
                <w:color w:val="000000"/>
                <w:sz w:val="18"/>
                <w:lang w:val="en-AU"/>
              </w:rPr>
              <w:t xml:space="preserve"> </w:t>
            </w:r>
            <w:r w:rsidRPr="00946824">
              <w:rPr>
                <w:rFonts w:ascii="Calibri" w:hAnsi="Calibri" w:cs="Calibri"/>
                <w:color w:val="000000"/>
                <w:sz w:val="18"/>
                <w:lang w:val="en-AU"/>
              </w:rPr>
              <w:t xml:space="preserve">The 2021 Forum </w:t>
            </w:r>
            <w:r w:rsidR="008D37E8">
              <w:rPr>
                <w:rFonts w:ascii="Calibri" w:hAnsi="Calibri" w:cs="Calibri"/>
                <w:color w:val="000000"/>
                <w:sz w:val="18"/>
                <w:lang w:val="en-AU"/>
              </w:rPr>
              <w:t>was</w:t>
            </w:r>
            <w:r w:rsidRPr="00946824">
              <w:rPr>
                <w:rFonts w:ascii="Calibri" w:hAnsi="Calibri" w:cs="Calibri"/>
                <w:color w:val="000000"/>
                <w:sz w:val="18"/>
                <w:lang w:val="en-AU"/>
              </w:rPr>
              <w:t xml:space="preserve"> rescheduled to 11</w:t>
            </w:r>
            <w:r w:rsidR="001F4896">
              <w:rPr>
                <w:rFonts w:ascii="Calibri" w:hAnsi="Calibri" w:cs="Calibri"/>
                <w:color w:val="000000"/>
                <w:sz w:val="18"/>
                <w:lang w:val="en-AU"/>
              </w:rPr>
              <w:noBreakHyphen/>
            </w:r>
            <w:r w:rsidR="009402F4">
              <w:rPr>
                <w:rFonts w:ascii="Calibri" w:hAnsi="Calibri" w:cs="Calibri"/>
                <w:color w:val="000000"/>
                <w:sz w:val="18"/>
                <w:lang w:val="en-AU"/>
              </w:rPr>
              <w:softHyphen/>
            </w:r>
            <w:r w:rsidRPr="00946824">
              <w:rPr>
                <w:rFonts w:ascii="Calibri" w:hAnsi="Calibri" w:cs="Calibri"/>
                <w:color w:val="000000"/>
                <w:sz w:val="18"/>
                <w:lang w:val="en-AU"/>
              </w:rPr>
              <w:t xml:space="preserve">12 August 2021 </w:t>
            </w:r>
            <w:r w:rsidR="001F4896">
              <w:rPr>
                <w:rFonts w:ascii="Calibri" w:hAnsi="Calibri" w:cs="Calibri"/>
                <w:color w:val="000000"/>
                <w:sz w:val="18"/>
                <w:lang w:val="en-AU"/>
              </w:rPr>
              <w:t>and</w:t>
            </w:r>
            <w:r w:rsidRPr="00946824">
              <w:rPr>
                <w:rFonts w:ascii="Calibri" w:hAnsi="Calibri" w:cs="Calibri"/>
                <w:color w:val="000000"/>
                <w:sz w:val="18"/>
                <w:lang w:val="en-AU"/>
              </w:rPr>
              <w:t xml:space="preserve"> delivered online.</w:t>
            </w:r>
          </w:p>
        </w:tc>
      </w:tr>
      <w:tr w:rsidR="006407EF" w:rsidRPr="00925213" w14:paraId="010017B8" w14:textId="77777777" w:rsidTr="00CB69AB">
        <w:trPr>
          <w:cantSplit/>
          <w:trHeight w:val="225"/>
        </w:trPr>
        <w:tc>
          <w:tcPr>
            <w:tcW w:w="2250" w:type="dxa"/>
            <w:tcBorders>
              <w:top w:val="single" w:sz="4" w:space="0" w:color="auto"/>
              <w:bottom w:val="single" w:sz="4" w:space="0" w:color="auto"/>
            </w:tcBorders>
            <w:shd w:val="clear" w:color="auto" w:fill="auto"/>
          </w:tcPr>
          <w:p w14:paraId="1B4C7026"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Guiding coalition</w:t>
            </w:r>
          </w:p>
        </w:tc>
        <w:tc>
          <w:tcPr>
            <w:tcW w:w="3321" w:type="dxa"/>
            <w:tcBorders>
              <w:top w:val="single" w:sz="4" w:space="0" w:color="auto"/>
              <w:bottom w:val="single" w:sz="4" w:space="0" w:color="auto"/>
            </w:tcBorders>
          </w:tcPr>
          <w:p w14:paraId="5E772BAF"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The coalition ensures that key education stakeholders and critical thinkers engage with the Education State reform agenda to progress the common goal of improving student outcomes.</w:t>
            </w:r>
          </w:p>
        </w:tc>
        <w:tc>
          <w:tcPr>
            <w:tcW w:w="3268" w:type="dxa"/>
            <w:tcBorders>
              <w:top w:val="single" w:sz="4" w:space="0" w:color="auto"/>
              <w:bottom w:val="single" w:sz="4" w:space="0" w:color="auto"/>
            </w:tcBorders>
          </w:tcPr>
          <w:p w14:paraId="1CD3B62A" w14:textId="1A5D9D84"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coalition met quarterly and provided advice and guidance to the Department on the priority areas of the future of secondary schooling; workforce recruitment, </w:t>
            </w:r>
            <w:proofErr w:type="gramStart"/>
            <w:r w:rsidRPr="00946824">
              <w:rPr>
                <w:rFonts w:ascii="Calibri" w:hAnsi="Calibri" w:cs="Calibri"/>
                <w:sz w:val="18"/>
              </w:rPr>
              <w:t>retention</w:t>
            </w:r>
            <w:proofErr w:type="gramEnd"/>
            <w:r w:rsidRPr="00946824">
              <w:rPr>
                <w:rFonts w:ascii="Calibri" w:hAnsi="Calibri" w:cs="Calibri"/>
                <w:sz w:val="18"/>
              </w:rPr>
              <w:t xml:space="preserve"> and support; health and wellbeing; and inclusion.</w:t>
            </w:r>
          </w:p>
        </w:tc>
      </w:tr>
      <w:tr w:rsidR="006407EF" w:rsidRPr="00925213" w14:paraId="581DB69E" w14:textId="77777777" w:rsidTr="00CB69AB">
        <w:trPr>
          <w:cantSplit/>
          <w:trHeight w:val="225"/>
        </w:trPr>
        <w:tc>
          <w:tcPr>
            <w:tcW w:w="2250" w:type="dxa"/>
            <w:tcBorders>
              <w:top w:val="single" w:sz="4" w:space="0" w:color="auto"/>
              <w:bottom w:val="single" w:sz="4" w:space="0" w:color="auto"/>
            </w:tcBorders>
            <w:shd w:val="clear" w:color="auto" w:fill="auto"/>
          </w:tcPr>
          <w:p w14:paraId="7B9A92A1"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Inclusive education expert panel</w:t>
            </w:r>
          </w:p>
        </w:tc>
        <w:tc>
          <w:tcPr>
            <w:tcW w:w="3321" w:type="dxa"/>
            <w:tcBorders>
              <w:top w:val="single" w:sz="4" w:space="0" w:color="auto"/>
              <w:bottom w:val="single" w:sz="4" w:space="0" w:color="auto"/>
            </w:tcBorders>
          </w:tcPr>
          <w:p w14:paraId="73F831CF"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The panel is chaired by the Department and comprises experts in the disability and education sectors. It provides advice to the Department on the inclusive education agenda for students with disability.</w:t>
            </w:r>
          </w:p>
        </w:tc>
        <w:tc>
          <w:tcPr>
            <w:tcW w:w="3268" w:type="dxa"/>
            <w:tcBorders>
              <w:top w:val="single" w:sz="4" w:space="0" w:color="auto"/>
              <w:bottom w:val="single" w:sz="4" w:space="0" w:color="auto"/>
            </w:tcBorders>
          </w:tcPr>
          <w:p w14:paraId="139BB93B"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The panel met quarterly and provided valuable advice on the Department’s inclusive education agenda for students with disability.</w:t>
            </w:r>
          </w:p>
        </w:tc>
      </w:tr>
      <w:tr w:rsidR="006407EF" w:rsidRPr="00925213" w14:paraId="1C8C692B" w14:textId="77777777" w:rsidTr="00CB69AB">
        <w:trPr>
          <w:cantSplit/>
          <w:trHeight w:val="225"/>
        </w:trPr>
        <w:tc>
          <w:tcPr>
            <w:tcW w:w="2250" w:type="dxa"/>
            <w:tcBorders>
              <w:top w:val="single" w:sz="4" w:space="0" w:color="auto"/>
              <w:bottom w:val="single" w:sz="4" w:space="0" w:color="auto"/>
            </w:tcBorders>
            <w:shd w:val="clear" w:color="auto" w:fill="auto"/>
          </w:tcPr>
          <w:p w14:paraId="06F3AF5B" w14:textId="77777777" w:rsidR="006407EF" w:rsidRPr="00946824" w:rsidRDefault="006407EF" w:rsidP="00CB69AB">
            <w:pPr>
              <w:pStyle w:val="ESTablebody"/>
              <w:rPr>
                <w:rFonts w:ascii="Calibri" w:hAnsi="Calibri" w:cs="Calibri"/>
                <w:sz w:val="18"/>
              </w:rPr>
            </w:pPr>
            <w:r w:rsidRPr="00946824">
              <w:rPr>
                <w:rFonts w:ascii="Calibri" w:hAnsi="Calibri" w:cs="Calibri"/>
                <w:sz w:val="18"/>
              </w:rPr>
              <w:lastRenderedPageBreak/>
              <w:t>Inclusive education project control board</w:t>
            </w:r>
          </w:p>
        </w:tc>
        <w:tc>
          <w:tcPr>
            <w:tcW w:w="3321" w:type="dxa"/>
            <w:tcBorders>
              <w:top w:val="single" w:sz="4" w:space="0" w:color="auto"/>
              <w:bottom w:val="single" w:sz="4" w:space="0" w:color="auto"/>
            </w:tcBorders>
          </w:tcPr>
          <w:p w14:paraId="4D9AF55F" w14:textId="6EA97942" w:rsidR="006407EF" w:rsidRPr="00946824" w:rsidRDefault="006407EF" w:rsidP="00CB69AB">
            <w:pPr>
              <w:pStyle w:val="ESTablebody"/>
              <w:rPr>
                <w:rFonts w:ascii="Calibri" w:hAnsi="Calibri" w:cs="Calibri"/>
                <w:sz w:val="18"/>
              </w:rPr>
            </w:pPr>
            <w:r w:rsidRPr="00946824">
              <w:rPr>
                <w:rFonts w:ascii="Calibri" w:hAnsi="Calibri" w:cs="Calibri"/>
                <w:sz w:val="18"/>
              </w:rPr>
              <w:t>The board is responsible for the whole project lifecycle and management of the</w:t>
            </w:r>
            <w:r w:rsidRPr="00946824">
              <w:rPr>
                <w:rFonts w:ascii="Calibri" w:hAnsi="Calibri" w:cs="Calibri"/>
                <w:sz w:val="18"/>
                <w:lang w:eastAsia="ko-KR"/>
              </w:rPr>
              <w:t xml:space="preserve"> </w:t>
            </w:r>
            <w:r w:rsidRPr="00946824">
              <w:rPr>
                <w:rFonts w:ascii="Calibri" w:hAnsi="Calibri" w:cs="Calibri"/>
                <w:sz w:val="18"/>
              </w:rPr>
              <w:t>overall strategic direction and leadership of the Department’s disability inclusion reforms.</w:t>
            </w:r>
          </w:p>
        </w:tc>
        <w:tc>
          <w:tcPr>
            <w:tcW w:w="3268" w:type="dxa"/>
            <w:tcBorders>
              <w:top w:val="single" w:sz="4" w:space="0" w:color="auto"/>
              <w:bottom w:val="single" w:sz="4" w:space="0" w:color="auto"/>
            </w:tcBorders>
          </w:tcPr>
          <w:p w14:paraId="4CC42A02" w14:textId="58695988"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board met monthly to make decisions and </w:t>
            </w:r>
            <w:r w:rsidR="00174A39">
              <w:rPr>
                <w:rFonts w:ascii="Calibri" w:hAnsi="Calibri" w:cs="Calibri"/>
                <w:sz w:val="18"/>
              </w:rPr>
              <w:t>oversee</w:t>
            </w:r>
            <w:r w:rsidRPr="00946824">
              <w:rPr>
                <w:rFonts w:ascii="Calibri" w:hAnsi="Calibri" w:cs="Calibri"/>
                <w:sz w:val="18"/>
              </w:rPr>
              <w:t xml:space="preserve"> implementation of the disability inclusion reforms. This has ensured </w:t>
            </w:r>
            <w:r w:rsidR="00D66CF0">
              <w:rPr>
                <w:rFonts w:ascii="Calibri" w:hAnsi="Calibri" w:cs="Calibri"/>
                <w:sz w:val="18"/>
              </w:rPr>
              <w:t xml:space="preserve">that </w:t>
            </w:r>
            <w:r w:rsidRPr="00946824">
              <w:rPr>
                <w:rFonts w:ascii="Calibri" w:hAnsi="Calibri" w:cs="Calibri"/>
                <w:sz w:val="18"/>
              </w:rPr>
              <w:t>the Department is effectively delivering activities to prepare schools and implement disability inclusion over the reforms’ five-year period.</w:t>
            </w:r>
          </w:p>
        </w:tc>
      </w:tr>
      <w:tr w:rsidR="006407EF" w:rsidRPr="00925213" w14:paraId="0EE3567F" w14:textId="77777777" w:rsidTr="00CB69AB">
        <w:trPr>
          <w:cantSplit/>
          <w:trHeight w:val="1257"/>
        </w:trPr>
        <w:tc>
          <w:tcPr>
            <w:tcW w:w="2250" w:type="dxa"/>
            <w:tcBorders>
              <w:top w:val="single" w:sz="4" w:space="0" w:color="auto"/>
              <w:bottom w:val="single" w:sz="4" w:space="0" w:color="auto"/>
            </w:tcBorders>
            <w:shd w:val="clear" w:color="auto" w:fill="auto"/>
          </w:tcPr>
          <w:p w14:paraId="51AB5350"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Information Sharing and Multi-Agency Risk Assessment and Management Framework Steering Committee (until 7 July 2020)</w:t>
            </w:r>
          </w:p>
        </w:tc>
        <w:tc>
          <w:tcPr>
            <w:tcW w:w="3321" w:type="dxa"/>
            <w:tcBorders>
              <w:top w:val="single" w:sz="4" w:space="0" w:color="auto"/>
              <w:bottom w:val="single" w:sz="4" w:space="0" w:color="auto"/>
            </w:tcBorders>
          </w:tcPr>
          <w:p w14:paraId="34A802D9"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The Steering Committee ensures that the objectives of the Child Information Sharing Scheme, Family Violence Information Sharing Scheme and the Multi-Agency Risk Assessment Management Framework are achieved through aligned and coordinated planning and implementation across all departments and agencies.</w:t>
            </w:r>
          </w:p>
        </w:tc>
        <w:tc>
          <w:tcPr>
            <w:tcW w:w="3268" w:type="dxa"/>
            <w:tcBorders>
              <w:top w:val="single" w:sz="4" w:space="0" w:color="auto"/>
              <w:bottom w:val="single" w:sz="4" w:space="0" w:color="auto"/>
            </w:tcBorders>
          </w:tcPr>
          <w:p w14:paraId="2C82100E"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Department and Family Safety Victoria co-chair the Steering Committee. Its governance effectively ensured that preparation and planning for Phase 2 implementation of Child Information Sharing reforms were aligned for workforces. </w:t>
            </w:r>
          </w:p>
          <w:p w14:paraId="14AEBF08"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As the reforms move beyond implementation to embedding and outcomes monitoring, the Steering Committee replaced with separate Child Information Sharing and Family Violence governance.</w:t>
            </w:r>
          </w:p>
        </w:tc>
      </w:tr>
      <w:tr w:rsidR="006407EF" w:rsidRPr="00925213" w14:paraId="4F9CDF47" w14:textId="77777777" w:rsidTr="00CB69AB">
        <w:trPr>
          <w:cantSplit/>
          <w:trHeight w:val="1257"/>
        </w:trPr>
        <w:tc>
          <w:tcPr>
            <w:tcW w:w="2250" w:type="dxa"/>
            <w:tcBorders>
              <w:top w:val="single" w:sz="4" w:space="0" w:color="auto"/>
              <w:bottom w:val="single" w:sz="4" w:space="0" w:color="auto"/>
            </w:tcBorders>
            <w:shd w:val="clear" w:color="auto" w:fill="auto"/>
          </w:tcPr>
          <w:p w14:paraId="427A0FA4" w14:textId="6A269F19" w:rsidR="006407EF" w:rsidRPr="00946824" w:rsidRDefault="006407EF" w:rsidP="00A7613C">
            <w:pPr>
              <w:pStyle w:val="ESTablebody"/>
              <w:rPr>
                <w:rFonts w:ascii="Calibri" w:hAnsi="Calibri" w:cs="Calibri"/>
                <w:sz w:val="18"/>
              </w:rPr>
            </w:pPr>
            <w:r w:rsidRPr="00946824">
              <w:rPr>
                <w:rFonts w:ascii="Calibri" w:hAnsi="Calibri" w:cs="Calibri"/>
                <w:sz w:val="18"/>
              </w:rPr>
              <w:t>Kindergarten Expansion Consultative Committee</w:t>
            </w:r>
          </w:p>
        </w:tc>
        <w:tc>
          <w:tcPr>
            <w:tcW w:w="3321" w:type="dxa"/>
            <w:tcBorders>
              <w:top w:val="single" w:sz="4" w:space="0" w:color="auto"/>
              <w:bottom w:val="single" w:sz="4" w:space="0" w:color="auto"/>
            </w:tcBorders>
          </w:tcPr>
          <w:p w14:paraId="5FB6E7AF" w14:textId="26F87CE2"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Committee brings together senior representatives from Victoria’s early childhood sector, including local government, peak </w:t>
            </w:r>
            <w:proofErr w:type="gramStart"/>
            <w:r w:rsidRPr="00946824">
              <w:rPr>
                <w:rFonts w:ascii="Calibri" w:hAnsi="Calibri" w:cs="Calibri"/>
                <w:sz w:val="18"/>
              </w:rPr>
              <w:t>bodies</w:t>
            </w:r>
            <w:proofErr w:type="gramEnd"/>
            <w:r w:rsidRPr="00946824">
              <w:rPr>
                <w:rFonts w:ascii="Calibri" w:hAnsi="Calibri" w:cs="Calibri"/>
                <w:sz w:val="18"/>
              </w:rPr>
              <w:t xml:space="preserve"> and unions, to shape the future of the early learning sector in Victoria by supporting the implementation of high-quality three-year-old kindergarten.</w:t>
            </w:r>
            <w:r w:rsidR="00443FC0">
              <w:rPr>
                <w:rFonts w:ascii="Calibri" w:hAnsi="Calibri" w:cs="Calibri"/>
                <w:sz w:val="18"/>
              </w:rPr>
              <w:t xml:space="preserve"> </w:t>
            </w:r>
            <w:r w:rsidRPr="00946824">
              <w:rPr>
                <w:rFonts w:ascii="Calibri" w:hAnsi="Calibri" w:cs="Calibri"/>
                <w:sz w:val="18"/>
              </w:rPr>
              <w:t>It provides advice relating to policy and system issues, helping to ensure</w:t>
            </w:r>
            <w:r w:rsidR="00095062">
              <w:rPr>
                <w:rFonts w:ascii="Calibri" w:hAnsi="Calibri" w:cs="Calibri"/>
                <w:sz w:val="18"/>
              </w:rPr>
              <w:t xml:space="preserve"> that</w:t>
            </w:r>
            <w:r w:rsidRPr="00946824">
              <w:rPr>
                <w:rFonts w:ascii="Calibri" w:hAnsi="Calibri" w:cs="Calibri"/>
                <w:sz w:val="18"/>
              </w:rPr>
              <w:t xml:space="preserve"> implementation is in the best interests of Victorian children and families.</w:t>
            </w:r>
          </w:p>
        </w:tc>
        <w:tc>
          <w:tcPr>
            <w:tcW w:w="3268" w:type="dxa"/>
            <w:tcBorders>
              <w:top w:val="single" w:sz="4" w:space="0" w:color="auto"/>
              <w:bottom w:val="single" w:sz="4" w:space="0" w:color="auto"/>
            </w:tcBorders>
          </w:tcPr>
          <w:p w14:paraId="06E30E01" w14:textId="05F757AF" w:rsidR="006407EF" w:rsidRPr="00946824" w:rsidRDefault="006407EF" w:rsidP="00A7613C">
            <w:pPr>
              <w:pStyle w:val="ESTablebody"/>
              <w:rPr>
                <w:rFonts w:ascii="Calibri" w:hAnsi="Calibri" w:cs="Calibri"/>
                <w:sz w:val="18"/>
              </w:rPr>
            </w:pPr>
            <w:r w:rsidRPr="00946824">
              <w:rPr>
                <w:rFonts w:ascii="Calibri" w:hAnsi="Calibri" w:cs="Calibri"/>
                <w:sz w:val="18"/>
              </w:rPr>
              <w:t>The Committee usually meets four times a year, and in 2020</w:t>
            </w:r>
            <w:r w:rsidR="00423F2F">
              <w:rPr>
                <w:rFonts w:ascii="Calibri" w:hAnsi="Calibri" w:cs="Calibri"/>
                <w:sz w:val="18"/>
              </w:rPr>
              <w:t>–</w:t>
            </w:r>
            <w:r w:rsidRPr="00946824">
              <w:rPr>
                <w:rFonts w:ascii="Calibri" w:hAnsi="Calibri" w:cs="Calibri"/>
                <w:sz w:val="18"/>
              </w:rPr>
              <w:t xml:space="preserve">21 met in September, October, December, </w:t>
            </w:r>
            <w:proofErr w:type="gramStart"/>
            <w:r w:rsidRPr="00946824">
              <w:rPr>
                <w:rFonts w:ascii="Calibri" w:hAnsi="Calibri" w:cs="Calibri"/>
                <w:sz w:val="18"/>
              </w:rPr>
              <w:t>March</w:t>
            </w:r>
            <w:proofErr w:type="gramEnd"/>
            <w:r w:rsidRPr="00946824">
              <w:rPr>
                <w:rFonts w:ascii="Calibri" w:hAnsi="Calibri" w:cs="Calibri"/>
                <w:sz w:val="18"/>
              </w:rPr>
              <w:t xml:space="preserve"> and May. </w:t>
            </w:r>
            <w:r w:rsidR="00350921">
              <w:rPr>
                <w:rFonts w:ascii="Calibri" w:hAnsi="Calibri" w:cs="Calibri"/>
                <w:sz w:val="18"/>
              </w:rPr>
              <w:t>It</w:t>
            </w:r>
            <w:r w:rsidRPr="00946824">
              <w:rPr>
                <w:rFonts w:ascii="Calibri" w:hAnsi="Calibri" w:cs="Calibri"/>
                <w:sz w:val="18"/>
              </w:rPr>
              <w:t xml:space="preserve"> provided advice to the Minister and the Department on key implementation decisions and acted as a guide to building support for the initiative across the sector.</w:t>
            </w:r>
          </w:p>
        </w:tc>
      </w:tr>
      <w:tr w:rsidR="006407EF" w:rsidRPr="00925213" w14:paraId="22CE421C" w14:textId="77777777" w:rsidTr="00CB69AB">
        <w:trPr>
          <w:cantSplit/>
          <w:trHeight w:val="1257"/>
        </w:trPr>
        <w:tc>
          <w:tcPr>
            <w:tcW w:w="2250" w:type="dxa"/>
            <w:tcBorders>
              <w:top w:val="single" w:sz="4" w:space="0" w:color="auto"/>
              <w:bottom w:val="single" w:sz="4" w:space="0" w:color="auto"/>
            </w:tcBorders>
            <w:shd w:val="clear" w:color="auto" w:fill="auto"/>
          </w:tcPr>
          <w:p w14:paraId="502E995C"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Kindergarten Information Management System (KIMS) Reform Project Control Board (PCB)</w:t>
            </w:r>
          </w:p>
        </w:tc>
        <w:tc>
          <w:tcPr>
            <w:tcW w:w="3321" w:type="dxa"/>
            <w:tcBorders>
              <w:top w:val="single" w:sz="4" w:space="0" w:color="auto"/>
              <w:bottom w:val="single" w:sz="4" w:space="0" w:color="auto"/>
            </w:tcBorders>
          </w:tcPr>
          <w:p w14:paraId="26BE2DD9" w14:textId="445555C3" w:rsidR="006407EF" w:rsidRPr="00946824" w:rsidRDefault="006407EF" w:rsidP="00A7613C">
            <w:pPr>
              <w:autoSpaceDE w:val="0"/>
              <w:autoSpaceDN w:val="0"/>
              <w:adjustRightInd w:val="0"/>
              <w:rPr>
                <w:rFonts w:ascii="Calibri" w:hAnsi="Calibri" w:cs="Calibri"/>
                <w:color w:val="7030A1"/>
                <w:sz w:val="18"/>
                <w:szCs w:val="18"/>
                <w:lang w:val="en-AU"/>
              </w:rPr>
            </w:pPr>
            <w:r w:rsidRPr="00946824">
              <w:rPr>
                <w:rFonts w:ascii="Calibri" w:hAnsi="Calibri" w:cs="Calibri"/>
                <w:color w:val="000000"/>
                <w:sz w:val="18"/>
                <w:szCs w:val="18"/>
                <w:lang w:val="en-AU"/>
              </w:rPr>
              <w:t>The KIMS Reform PCB has been created by the Department’s Executive Board as a time-bound, decision-making body responsible for the whole program lifecycle and management of the implementation of the new Kindergarten Information Management System</w:t>
            </w:r>
            <w:r w:rsidRPr="00946824">
              <w:rPr>
                <w:rFonts w:ascii="Calibri" w:hAnsi="Calibri" w:cs="Calibri"/>
                <w:color w:val="7030A1"/>
                <w:sz w:val="18"/>
                <w:szCs w:val="18"/>
                <w:lang w:val="en-AU"/>
              </w:rPr>
              <w:t>.</w:t>
            </w:r>
          </w:p>
          <w:p w14:paraId="68F1A5FC" w14:textId="77777777" w:rsidR="006407EF" w:rsidRPr="00946824" w:rsidRDefault="006407EF" w:rsidP="00A7613C">
            <w:pPr>
              <w:pStyle w:val="ESTablebody"/>
              <w:rPr>
                <w:rFonts w:ascii="Calibri" w:hAnsi="Calibri" w:cs="Calibri"/>
                <w:sz w:val="18"/>
              </w:rPr>
            </w:pPr>
          </w:p>
        </w:tc>
        <w:tc>
          <w:tcPr>
            <w:tcW w:w="3268" w:type="dxa"/>
            <w:tcBorders>
              <w:top w:val="single" w:sz="4" w:space="0" w:color="auto"/>
              <w:bottom w:val="single" w:sz="4" w:space="0" w:color="auto"/>
            </w:tcBorders>
          </w:tcPr>
          <w:p w14:paraId="1979B1AE" w14:textId="77777777" w:rsidR="006407EF" w:rsidRPr="00946824" w:rsidRDefault="006407EF" w:rsidP="00A7613C">
            <w:pPr>
              <w:autoSpaceDE w:val="0"/>
              <w:autoSpaceDN w:val="0"/>
              <w:adjustRightInd w:val="0"/>
              <w:rPr>
                <w:rFonts w:ascii="Calibri" w:hAnsi="Calibri" w:cs="Calibri"/>
                <w:color w:val="000000"/>
                <w:sz w:val="18"/>
                <w:szCs w:val="18"/>
                <w:lang w:val="en-AU"/>
              </w:rPr>
            </w:pPr>
            <w:r w:rsidRPr="00946824">
              <w:rPr>
                <w:rFonts w:ascii="Calibri" w:hAnsi="Calibri" w:cs="Calibri"/>
                <w:color w:val="000000"/>
                <w:sz w:val="18"/>
                <w:szCs w:val="18"/>
                <w:lang w:val="en-AU"/>
              </w:rPr>
              <w:t xml:space="preserve">KIMS Reform PCB meets monthly and is a decision-making body, providing program/project governance. It monitors performance against objectives, plans and budget; advises on risk, </w:t>
            </w:r>
            <w:proofErr w:type="gramStart"/>
            <w:r w:rsidRPr="00946824">
              <w:rPr>
                <w:rFonts w:ascii="Calibri" w:hAnsi="Calibri" w:cs="Calibri"/>
                <w:color w:val="000000"/>
                <w:sz w:val="18"/>
                <w:szCs w:val="18"/>
                <w:lang w:val="en-AU"/>
              </w:rPr>
              <w:t>issues</w:t>
            </w:r>
            <w:proofErr w:type="gramEnd"/>
            <w:r w:rsidRPr="00946824">
              <w:rPr>
                <w:rFonts w:ascii="Calibri" w:hAnsi="Calibri" w:cs="Calibri"/>
                <w:color w:val="000000"/>
                <w:sz w:val="18"/>
                <w:szCs w:val="18"/>
                <w:lang w:val="en-AU"/>
              </w:rPr>
              <w:t xml:space="preserve"> and changes; assesses progress and uses its influence and authority to assist in achieving outcomes. </w:t>
            </w:r>
          </w:p>
          <w:p w14:paraId="6CA220B9" w14:textId="77777777" w:rsidR="006407EF" w:rsidRPr="00946824" w:rsidRDefault="006407EF" w:rsidP="00A7613C">
            <w:pPr>
              <w:pStyle w:val="ESTablebody"/>
              <w:rPr>
                <w:rFonts w:ascii="Calibri" w:hAnsi="Calibri" w:cs="Calibri"/>
                <w:sz w:val="18"/>
              </w:rPr>
            </w:pPr>
          </w:p>
        </w:tc>
      </w:tr>
      <w:tr w:rsidR="006407EF" w:rsidRPr="00925213" w14:paraId="3CFEE8AA" w14:textId="77777777" w:rsidTr="00CB69AB">
        <w:trPr>
          <w:cantSplit/>
          <w:trHeight w:val="1257"/>
        </w:trPr>
        <w:tc>
          <w:tcPr>
            <w:tcW w:w="2250" w:type="dxa"/>
            <w:tcBorders>
              <w:top w:val="single" w:sz="4" w:space="0" w:color="auto"/>
              <w:bottom w:val="single" w:sz="4" w:space="0" w:color="auto"/>
            </w:tcBorders>
            <w:shd w:val="clear" w:color="auto" w:fill="auto"/>
          </w:tcPr>
          <w:p w14:paraId="5DCAEB09"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Kindergarten Reform Implementation Board (KRIB)</w:t>
            </w:r>
          </w:p>
        </w:tc>
        <w:tc>
          <w:tcPr>
            <w:tcW w:w="3321" w:type="dxa"/>
            <w:tcBorders>
              <w:top w:val="single" w:sz="4" w:space="0" w:color="auto"/>
              <w:bottom w:val="single" w:sz="4" w:space="0" w:color="auto"/>
            </w:tcBorders>
          </w:tcPr>
          <w:p w14:paraId="4CA7A152" w14:textId="2E662FBC" w:rsidR="006407EF" w:rsidRPr="00946824" w:rsidRDefault="006407EF" w:rsidP="00A7613C">
            <w:pPr>
              <w:pStyle w:val="ESTablebody"/>
              <w:rPr>
                <w:rFonts w:ascii="Calibri" w:hAnsi="Calibri" w:cs="Calibri"/>
                <w:sz w:val="18"/>
              </w:rPr>
            </w:pPr>
            <w:r w:rsidRPr="00946824">
              <w:rPr>
                <w:rFonts w:ascii="Calibri" w:hAnsi="Calibri" w:cs="Calibri"/>
                <w:sz w:val="18"/>
              </w:rPr>
              <w:t>KRIB was created by the Department’s Executive Board as a time-bound, decision-making body responsible for the whole project lifecycle and management of the Three-Year-Old Kindergarten commitment</w:t>
            </w:r>
          </w:p>
        </w:tc>
        <w:tc>
          <w:tcPr>
            <w:tcW w:w="3268" w:type="dxa"/>
            <w:tcBorders>
              <w:top w:val="single" w:sz="4" w:space="0" w:color="auto"/>
              <w:bottom w:val="single" w:sz="4" w:space="0" w:color="auto"/>
            </w:tcBorders>
          </w:tcPr>
          <w:p w14:paraId="55E49397" w14:textId="144C9A60" w:rsidR="006407EF" w:rsidRPr="00946824" w:rsidRDefault="006407EF" w:rsidP="00A7613C">
            <w:pPr>
              <w:pStyle w:val="ESTablebody"/>
              <w:rPr>
                <w:rFonts w:ascii="Calibri" w:hAnsi="Calibri" w:cs="Calibri"/>
                <w:sz w:val="18"/>
              </w:rPr>
            </w:pPr>
            <w:r w:rsidRPr="00946824">
              <w:rPr>
                <w:rFonts w:ascii="Calibri" w:hAnsi="Calibri" w:cs="Calibri"/>
                <w:sz w:val="18"/>
              </w:rPr>
              <w:t xml:space="preserve">KRIB meets monthly and provides program/project governance; monitors performance against objectives, plans and budget; advises on risk, </w:t>
            </w:r>
            <w:proofErr w:type="gramStart"/>
            <w:r w:rsidRPr="00946824">
              <w:rPr>
                <w:rFonts w:ascii="Calibri" w:hAnsi="Calibri" w:cs="Calibri"/>
                <w:sz w:val="18"/>
              </w:rPr>
              <w:t>issues</w:t>
            </w:r>
            <w:proofErr w:type="gramEnd"/>
            <w:r w:rsidRPr="00946824">
              <w:rPr>
                <w:rFonts w:ascii="Calibri" w:hAnsi="Calibri" w:cs="Calibri"/>
                <w:sz w:val="18"/>
              </w:rPr>
              <w:t xml:space="preserve"> and changes; assesses progress and benefits</w:t>
            </w:r>
            <w:r w:rsidR="00AC785D">
              <w:rPr>
                <w:rFonts w:ascii="Calibri" w:hAnsi="Calibri" w:cs="Calibri"/>
                <w:sz w:val="18"/>
              </w:rPr>
              <w:t xml:space="preserve"> and</w:t>
            </w:r>
            <w:r w:rsidRPr="00946824">
              <w:rPr>
                <w:rFonts w:ascii="Calibri" w:hAnsi="Calibri" w:cs="Calibri"/>
                <w:sz w:val="18"/>
              </w:rPr>
              <w:t xml:space="preserve"> uses its influence and authority to assist in achieving outcomes</w:t>
            </w:r>
            <w:r w:rsidR="001F4896">
              <w:rPr>
                <w:rFonts w:ascii="Calibri" w:hAnsi="Calibri" w:cs="Calibri"/>
                <w:sz w:val="18"/>
              </w:rPr>
              <w:t>.</w:t>
            </w:r>
          </w:p>
        </w:tc>
      </w:tr>
      <w:tr w:rsidR="006407EF" w:rsidRPr="00925213" w14:paraId="633852BB" w14:textId="77777777" w:rsidTr="00CB69AB">
        <w:trPr>
          <w:cantSplit/>
          <w:trHeight w:val="225"/>
        </w:trPr>
        <w:tc>
          <w:tcPr>
            <w:tcW w:w="2250" w:type="dxa"/>
            <w:tcBorders>
              <w:top w:val="single" w:sz="4" w:space="0" w:color="auto"/>
              <w:bottom w:val="single" w:sz="4" w:space="0" w:color="auto"/>
            </w:tcBorders>
            <w:shd w:val="clear" w:color="auto" w:fill="auto"/>
          </w:tcPr>
          <w:p w14:paraId="1A308F50" w14:textId="61FA93B4" w:rsidR="006407EF" w:rsidRPr="00946824" w:rsidRDefault="006407EF" w:rsidP="00CB69AB">
            <w:pPr>
              <w:pStyle w:val="ESTablebody"/>
              <w:rPr>
                <w:rFonts w:ascii="Calibri" w:hAnsi="Calibri" w:cs="Calibri"/>
                <w:sz w:val="18"/>
              </w:rPr>
            </w:pPr>
            <w:proofErr w:type="spellStart"/>
            <w:r w:rsidRPr="00946824">
              <w:rPr>
                <w:rFonts w:ascii="Calibri" w:hAnsi="Calibri" w:cs="Calibri"/>
                <w:sz w:val="18"/>
              </w:rPr>
              <w:lastRenderedPageBreak/>
              <w:t>Koorie</w:t>
            </w:r>
            <w:proofErr w:type="spellEnd"/>
            <w:r w:rsidRPr="00946824">
              <w:rPr>
                <w:rFonts w:ascii="Calibri" w:hAnsi="Calibri" w:cs="Calibri"/>
                <w:sz w:val="18"/>
              </w:rPr>
              <w:t xml:space="preserve"> Vocational Education </w:t>
            </w:r>
            <w:r w:rsidR="00971928">
              <w:rPr>
                <w:rFonts w:ascii="Calibri" w:hAnsi="Calibri" w:cs="Calibri"/>
                <w:sz w:val="18"/>
              </w:rPr>
              <w:t>and</w:t>
            </w:r>
            <w:r w:rsidRPr="00946824">
              <w:rPr>
                <w:rFonts w:ascii="Calibri" w:hAnsi="Calibri" w:cs="Calibri"/>
                <w:sz w:val="18"/>
              </w:rPr>
              <w:t xml:space="preserve"> Training (VET) Advisory Group</w:t>
            </w:r>
          </w:p>
          <w:p w14:paraId="53F6A376" w14:textId="77777777" w:rsidR="006407EF" w:rsidRPr="00946824" w:rsidRDefault="006407EF" w:rsidP="00CB69AB">
            <w:pPr>
              <w:pStyle w:val="ESTablebody"/>
              <w:rPr>
                <w:rFonts w:ascii="Calibri" w:hAnsi="Calibri" w:cs="Calibri"/>
                <w:color w:val="FF0000"/>
                <w:sz w:val="18"/>
              </w:rPr>
            </w:pPr>
          </w:p>
          <w:p w14:paraId="37E9D6EF" w14:textId="77777777" w:rsidR="006407EF" w:rsidRPr="00946824" w:rsidRDefault="006407EF" w:rsidP="00CB69AB">
            <w:pPr>
              <w:pStyle w:val="ESTablebody"/>
              <w:rPr>
                <w:rFonts w:ascii="Calibri" w:hAnsi="Calibri" w:cs="Calibri"/>
                <w:color w:val="FF0000"/>
                <w:sz w:val="18"/>
              </w:rPr>
            </w:pPr>
          </w:p>
          <w:p w14:paraId="20E76C56" w14:textId="77777777" w:rsidR="006407EF" w:rsidRPr="00946824" w:rsidRDefault="006407EF" w:rsidP="00CB69AB">
            <w:pPr>
              <w:pStyle w:val="ESTablebody"/>
              <w:rPr>
                <w:rFonts w:ascii="Calibri" w:hAnsi="Calibri" w:cs="Calibri"/>
                <w:color w:val="FF0000"/>
                <w:sz w:val="18"/>
              </w:rPr>
            </w:pPr>
          </w:p>
          <w:p w14:paraId="6933ED17" w14:textId="77777777" w:rsidR="006407EF" w:rsidRPr="00946824" w:rsidRDefault="006407EF" w:rsidP="00CB69AB">
            <w:pPr>
              <w:pStyle w:val="ESTablebody"/>
              <w:rPr>
                <w:rFonts w:ascii="Calibri" w:hAnsi="Calibri" w:cs="Calibri"/>
                <w:color w:val="FF0000"/>
                <w:sz w:val="18"/>
              </w:rPr>
            </w:pPr>
          </w:p>
          <w:p w14:paraId="081B80FF" w14:textId="77777777" w:rsidR="006407EF" w:rsidRPr="00946824" w:rsidRDefault="006407EF" w:rsidP="00CB69AB">
            <w:pPr>
              <w:pStyle w:val="ESTablebody"/>
              <w:rPr>
                <w:rFonts w:ascii="Calibri" w:hAnsi="Calibri" w:cs="Calibri"/>
                <w:color w:val="FF0000"/>
                <w:sz w:val="18"/>
              </w:rPr>
            </w:pPr>
          </w:p>
          <w:p w14:paraId="223070DC" w14:textId="77777777" w:rsidR="006407EF" w:rsidRPr="00946824" w:rsidRDefault="006407EF" w:rsidP="00CB69AB">
            <w:pPr>
              <w:pStyle w:val="ESTablebody"/>
              <w:rPr>
                <w:rFonts w:ascii="Calibri" w:hAnsi="Calibri" w:cs="Calibri"/>
                <w:sz w:val="18"/>
              </w:rPr>
            </w:pPr>
          </w:p>
        </w:tc>
        <w:tc>
          <w:tcPr>
            <w:tcW w:w="3321" w:type="dxa"/>
            <w:tcBorders>
              <w:top w:val="single" w:sz="4" w:space="0" w:color="auto"/>
              <w:bottom w:val="single" w:sz="4" w:space="0" w:color="auto"/>
            </w:tcBorders>
          </w:tcPr>
          <w:p w14:paraId="37666092" w14:textId="3EFE0107"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advisory group is co-chaired by the Department and the General Manager of the </w:t>
            </w:r>
            <w:r w:rsidRPr="00946824">
              <w:rPr>
                <w:rFonts w:ascii="Calibri" w:hAnsi="Calibri" w:cs="Calibri"/>
                <w:iCs/>
                <w:sz w:val="18"/>
              </w:rPr>
              <w:t>Victorian Aboriginal Education Association Inc</w:t>
            </w:r>
            <w:r w:rsidRPr="00946824">
              <w:rPr>
                <w:rFonts w:ascii="Calibri" w:hAnsi="Calibri" w:cs="Calibri"/>
                <w:sz w:val="18"/>
              </w:rPr>
              <w:t>orporated</w:t>
            </w:r>
            <w:r w:rsidR="00215719">
              <w:rPr>
                <w:rFonts w:ascii="Calibri" w:hAnsi="Calibri" w:cs="Calibri"/>
                <w:sz w:val="18"/>
              </w:rPr>
              <w:t xml:space="preserve"> (VAEAI)</w:t>
            </w:r>
            <w:r w:rsidRPr="00946824">
              <w:rPr>
                <w:rFonts w:ascii="Calibri" w:hAnsi="Calibri" w:cs="Calibri"/>
                <w:sz w:val="18"/>
              </w:rPr>
              <w:t xml:space="preserve">. </w:t>
            </w:r>
            <w:r w:rsidR="00BE7F51">
              <w:rPr>
                <w:rFonts w:ascii="Calibri" w:hAnsi="Calibri" w:cs="Calibri"/>
                <w:sz w:val="18"/>
              </w:rPr>
              <w:t xml:space="preserve">It </w:t>
            </w:r>
            <w:r w:rsidRPr="00946824">
              <w:rPr>
                <w:rFonts w:ascii="Calibri" w:hAnsi="Calibri" w:cs="Calibri"/>
                <w:sz w:val="18"/>
              </w:rPr>
              <w:t xml:space="preserve">monitors and advises on the implementation of the </w:t>
            </w:r>
            <w:proofErr w:type="spellStart"/>
            <w:r w:rsidRPr="00946824">
              <w:rPr>
                <w:rFonts w:ascii="Calibri" w:hAnsi="Calibri" w:cs="Calibri"/>
                <w:sz w:val="18"/>
              </w:rPr>
              <w:t>Marrung</w:t>
            </w:r>
            <w:proofErr w:type="spellEnd"/>
            <w:r w:rsidRPr="00946824">
              <w:rPr>
                <w:rFonts w:ascii="Calibri" w:hAnsi="Calibri" w:cs="Calibri"/>
                <w:sz w:val="18"/>
              </w:rPr>
              <w:t xml:space="preserve"> action to implement the recommendations from the consultation report into promoting successful participation and engagement for </w:t>
            </w:r>
            <w:proofErr w:type="spellStart"/>
            <w:r w:rsidRPr="00946824">
              <w:rPr>
                <w:rFonts w:ascii="Calibri" w:hAnsi="Calibri" w:cs="Calibri"/>
                <w:sz w:val="18"/>
              </w:rPr>
              <w:t>Koorie</w:t>
            </w:r>
            <w:proofErr w:type="spellEnd"/>
            <w:r w:rsidRPr="00946824">
              <w:rPr>
                <w:rFonts w:ascii="Calibri" w:hAnsi="Calibri" w:cs="Calibri"/>
                <w:sz w:val="18"/>
              </w:rPr>
              <w:t xml:space="preserve"> learners in VET.</w:t>
            </w:r>
          </w:p>
        </w:tc>
        <w:tc>
          <w:tcPr>
            <w:tcW w:w="3268" w:type="dxa"/>
            <w:tcBorders>
              <w:top w:val="single" w:sz="4" w:space="0" w:color="auto"/>
              <w:bottom w:val="single" w:sz="4" w:space="0" w:color="auto"/>
            </w:tcBorders>
          </w:tcPr>
          <w:p w14:paraId="6D9380CD" w14:textId="02F6930E" w:rsidR="006407EF" w:rsidRPr="00946824" w:rsidRDefault="006407EF" w:rsidP="00CB69AB">
            <w:pPr>
              <w:rPr>
                <w:rFonts w:ascii="Calibri" w:eastAsiaTheme="minorEastAsia" w:hAnsi="Calibri" w:cs="Calibri"/>
                <w:sz w:val="18"/>
                <w:szCs w:val="18"/>
                <w:lang w:val="en-US"/>
              </w:rPr>
            </w:pPr>
            <w:r w:rsidRPr="00946824">
              <w:rPr>
                <w:rFonts w:ascii="Calibri" w:eastAsiaTheme="minorEastAsia" w:hAnsi="Calibri" w:cs="Calibri"/>
                <w:sz w:val="18"/>
                <w:szCs w:val="18"/>
                <w:lang w:val="en-US"/>
              </w:rPr>
              <w:t xml:space="preserve">The advisory group met once in 2020–21. The advisory group’s stakeholder list has grown to include other Victorian government departments, CEOs of TAFEs, the Victorian TAFE </w:t>
            </w:r>
            <w:proofErr w:type="gramStart"/>
            <w:r w:rsidRPr="00946824">
              <w:rPr>
                <w:rFonts w:ascii="Calibri" w:eastAsiaTheme="minorEastAsia" w:hAnsi="Calibri" w:cs="Calibri"/>
                <w:sz w:val="18"/>
                <w:szCs w:val="18"/>
                <w:lang w:val="en-US"/>
              </w:rPr>
              <w:t>Association</w:t>
            </w:r>
            <w:proofErr w:type="gramEnd"/>
            <w:r w:rsidRPr="00946824">
              <w:rPr>
                <w:rFonts w:ascii="Calibri" w:eastAsiaTheme="minorEastAsia" w:hAnsi="Calibri" w:cs="Calibri"/>
                <w:sz w:val="18"/>
                <w:szCs w:val="18"/>
                <w:lang w:val="en-US"/>
              </w:rPr>
              <w:t xml:space="preserve"> and managers of </w:t>
            </w:r>
            <w:proofErr w:type="spellStart"/>
            <w:r w:rsidRPr="00946824">
              <w:rPr>
                <w:rFonts w:ascii="Calibri" w:eastAsiaTheme="minorEastAsia" w:hAnsi="Calibri" w:cs="Calibri"/>
                <w:sz w:val="18"/>
                <w:szCs w:val="18"/>
                <w:lang w:val="en-US"/>
              </w:rPr>
              <w:t>Koorie</w:t>
            </w:r>
            <w:proofErr w:type="spellEnd"/>
            <w:r w:rsidRPr="00946824">
              <w:rPr>
                <w:rFonts w:ascii="Calibri" w:eastAsiaTheme="minorEastAsia" w:hAnsi="Calibri" w:cs="Calibri"/>
                <w:sz w:val="18"/>
                <w:szCs w:val="18"/>
                <w:lang w:val="en-US"/>
              </w:rPr>
              <w:t xml:space="preserve"> units in TAFEs and dual sector institutes. </w:t>
            </w:r>
          </w:p>
          <w:p w14:paraId="4EC1286A" w14:textId="3F266A5D"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group oversaw the implementation of the </w:t>
            </w:r>
            <w:proofErr w:type="spellStart"/>
            <w:r w:rsidRPr="00946824">
              <w:rPr>
                <w:rFonts w:ascii="Calibri" w:hAnsi="Calibri" w:cs="Calibri"/>
                <w:sz w:val="18"/>
              </w:rPr>
              <w:t>Marrung</w:t>
            </w:r>
            <w:proofErr w:type="spellEnd"/>
            <w:r w:rsidRPr="00946824">
              <w:rPr>
                <w:rFonts w:ascii="Calibri" w:hAnsi="Calibri" w:cs="Calibri"/>
                <w:sz w:val="18"/>
              </w:rPr>
              <w:t xml:space="preserve"> action to implement the recommendations from the consultation report and identified new and emerging issues and actions, drawing on advice from TAFE</w:t>
            </w:r>
            <w:r w:rsidR="005A20D1">
              <w:rPr>
                <w:rFonts w:ascii="Calibri" w:hAnsi="Calibri" w:cs="Calibri"/>
                <w:sz w:val="18"/>
              </w:rPr>
              <w:t xml:space="preserve"> and </w:t>
            </w:r>
            <w:r w:rsidRPr="00946824">
              <w:rPr>
                <w:rFonts w:ascii="Calibri" w:hAnsi="Calibri" w:cs="Calibri"/>
                <w:sz w:val="18"/>
              </w:rPr>
              <w:t xml:space="preserve">dual sector </w:t>
            </w:r>
            <w:proofErr w:type="spellStart"/>
            <w:r w:rsidRPr="00946824">
              <w:rPr>
                <w:rFonts w:ascii="Calibri" w:hAnsi="Calibri" w:cs="Calibri"/>
                <w:sz w:val="18"/>
              </w:rPr>
              <w:t>Koorie</w:t>
            </w:r>
            <w:proofErr w:type="spellEnd"/>
            <w:r w:rsidRPr="00946824">
              <w:rPr>
                <w:rFonts w:ascii="Calibri" w:hAnsi="Calibri" w:cs="Calibri"/>
                <w:sz w:val="18"/>
              </w:rPr>
              <w:t xml:space="preserve"> </w:t>
            </w:r>
            <w:r w:rsidR="00DE6357">
              <w:rPr>
                <w:rFonts w:ascii="Calibri" w:hAnsi="Calibri" w:cs="Calibri"/>
                <w:sz w:val="18"/>
              </w:rPr>
              <w:t>u</w:t>
            </w:r>
            <w:r w:rsidRPr="00946824">
              <w:rPr>
                <w:rFonts w:ascii="Calibri" w:hAnsi="Calibri" w:cs="Calibri"/>
                <w:sz w:val="18"/>
              </w:rPr>
              <w:t xml:space="preserve">nit staff, VAEAI’s </w:t>
            </w:r>
            <w:proofErr w:type="spellStart"/>
            <w:r w:rsidRPr="00946824">
              <w:rPr>
                <w:rFonts w:ascii="Calibri" w:hAnsi="Calibri" w:cs="Calibri"/>
                <w:sz w:val="18"/>
              </w:rPr>
              <w:t>Wurreker</w:t>
            </w:r>
            <w:proofErr w:type="spellEnd"/>
            <w:r w:rsidRPr="00946824">
              <w:rPr>
                <w:rFonts w:ascii="Calibri" w:hAnsi="Calibri" w:cs="Calibri"/>
                <w:sz w:val="18"/>
              </w:rPr>
              <w:t xml:space="preserve"> Brokers and local Aboriginal education consultative groups.</w:t>
            </w:r>
          </w:p>
        </w:tc>
      </w:tr>
      <w:tr w:rsidR="006407EF" w:rsidRPr="00925213" w14:paraId="10181F08" w14:textId="77777777" w:rsidTr="00CB69AB">
        <w:trPr>
          <w:cantSplit/>
          <w:trHeight w:val="225"/>
        </w:trPr>
        <w:tc>
          <w:tcPr>
            <w:tcW w:w="2250" w:type="dxa"/>
            <w:tcBorders>
              <w:top w:val="single" w:sz="4" w:space="0" w:color="auto"/>
              <w:bottom w:val="single" w:sz="4" w:space="0" w:color="auto"/>
            </w:tcBorders>
            <w:shd w:val="clear" w:color="auto" w:fill="auto"/>
          </w:tcPr>
          <w:p w14:paraId="02CAC32D" w14:textId="77777777" w:rsidR="006407EF" w:rsidRPr="00946824" w:rsidRDefault="006407EF" w:rsidP="00CB69AB">
            <w:pPr>
              <w:pStyle w:val="ESTablebody"/>
              <w:rPr>
                <w:rFonts w:ascii="Calibri" w:hAnsi="Calibri" w:cs="Calibri"/>
                <w:color w:val="000000" w:themeColor="text2"/>
                <w:sz w:val="18"/>
              </w:rPr>
            </w:pPr>
            <w:proofErr w:type="spellStart"/>
            <w:r w:rsidRPr="00946824">
              <w:rPr>
                <w:rFonts w:ascii="Calibri" w:hAnsi="Calibri" w:cs="Calibri"/>
                <w:iCs/>
                <w:color w:val="000000" w:themeColor="text2"/>
                <w:sz w:val="18"/>
              </w:rPr>
              <w:t>Marrung</w:t>
            </w:r>
            <w:proofErr w:type="spellEnd"/>
            <w:r w:rsidRPr="00946824">
              <w:rPr>
                <w:rFonts w:ascii="Calibri" w:hAnsi="Calibri" w:cs="Calibri"/>
                <w:iCs/>
                <w:color w:val="000000" w:themeColor="text2"/>
                <w:sz w:val="18"/>
              </w:rPr>
              <w:t xml:space="preserve"> central governance</w:t>
            </w:r>
            <w:r w:rsidRPr="00946824">
              <w:rPr>
                <w:rFonts w:ascii="Calibri" w:hAnsi="Calibri" w:cs="Calibri"/>
                <w:color w:val="000000" w:themeColor="text2"/>
                <w:sz w:val="18"/>
              </w:rPr>
              <w:t xml:space="preserve"> committee</w:t>
            </w:r>
          </w:p>
          <w:p w14:paraId="37AE56C3" w14:textId="77777777" w:rsidR="006407EF" w:rsidRPr="00946824" w:rsidRDefault="006407EF" w:rsidP="00CB69AB">
            <w:pPr>
              <w:pStyle w:val="ESTablebody"/>
              <w:rPr>
                <w:rFonts w:ascii="Calibri" w:hAnsi="Calibri" w:cs="Calibri"/>
                <w:sz w:val="18"/>
              </w:rPr>
            </w:pPr>
          </w:p>
        </w:tc>
        <w:tc>
          <w:tcPr>
            <w:tcW w:w="3321" w:type="dxa"/>
            <w:tcBorders>
              <w:top w:val="single" w:sz="4" w:space="0" w:color="auto"/>
              <w:bottom w:val="single" w:sz="4" w:space="0" w:color="auto"/>
            </w:tcBorders>
          </w:tcPr>
          <w:p w14:paraId="36434046" w14:textId="5DBAE99D" w:rsidR="006407EF" w:rsidRPr="00946824" w:rsidRDefault="006407EF" w:rsidP="00CB69AB">
            <w:pPr>
              <w:pStyle w:val="ESTablebody"/>
              <w:rPr>
                <w:rFonts w:ascii="Calibri" w:hAnsi="Calibri" w:cs="Calibri"/>
                <w:sz w:val="18"/>
              </w:rPr>
            </w:pPr>
            <w:r w:rsidRPr="00946824">
              <w:rPr>
                <w:rFonts w:ascii="Calibri" w:hAnsi="Calibri" w:cs="Calibri"/>
                <w:color w:val="000000" w:themeColor="text2"/>
                <w:sz w:val="18"/>
              </w:rPr>
              <w:t xml:space="preserve">The committee is co-chaired by the Department and </w:t>
            </w:r>
            <w:r w:rsidR="00F14D22">
              <w:rPr>
                <w:rFonts w:ascii="Calibri" w:hAnsi="Calibri" w:cs="Calibri"/>
                <w:color w:val="000000" w:themeColor="text2"/>
                <w:sz w:val="18"/>
              </w:rPr>
              <w:t xml:space="preserve">the </w:t>
            </w:r>
            <w:r w:rsidRPr="00946824">
              <w:rPr>
                <w:rFonts w:ascii="Calibri" w:hAnsi="Calibri" w:cs="Calibri"/>
                <w:color w:val="000000" w:themeColor="text2"/>
                <w:sz w:val="18"/>
              </w:rPr>
              <w:t xml:space="preserve">President of the </w:t>
            </w:r>
            <w:r w:rsidRPr="00946824">
              <w:rPr>
                <w:rFonts w:ascii="Calibri" w:hAnsi="Calibri" w:cs="Calibri"/>
                <w:iCs/>
                <w:color w:val="000000" w:themeColor="text2"/>
                <w:sz w:val="18"/>
              </w:rPr>
              <w:t>Victorian Aboriginal Education Association Inc</w:t>
            </w:r>
            <w:r w:rsidRPr="00946824">
              <w:rPr>
                <w:rFonts w:ascii="Calibri" w:hAnsi="Calibri" w:cs="Calibri"/>
                <w:color w:val="000000" w:themeColor="text2"/>
                <w:sz w:val="18"/>
              </w:rPr>
              <w:t>orporated (VAEAI). The Committee</w:t>
            </w:r>
            <w:r w:rsidRPr="00946824">
              <w:rPr>
                <w:rFonts w:ascii="Calibri" w:hAnsi="Calibri" w:cs="Calibri"/>
                <w:i/>
                <w:iCs/>
                <w:color w:val="000000" w:themeColor="text2"/>
                <w:sz w:val="18"/>
              </w:rPr>
              <w:t xml:space="preserve"> </w:t>
            </w:r>
            <w:r w:rsidRPr="00946824">
              <w:rPr>
                <w:rFonts w:ascii="Calibri" w:hAnsi="Calibri" w:cs="Calibri"/>
                <w:color w:val="000000" w:themeColor="text2"/>
                <w:sz w:val="18"/>
              </w:rPr>
              <w:t xml:space="preserve">monitors and advises on the implementation of </w:t>
            </w:r>
            <w:proofErr w:type="spellStart"/>
            <w:r w:rsidRPr="00946824">
              <w:rPr>
                <w:rFonts w:ascii="Calibri" w:hAnsi="Calibri" w:cs="Calibri"/>
                <w:color w:val="000000" w:themeColor="text2"/>
                <w:sz w:val="18"/>
              </w:rPr>
              <w:t>Marrung</w:t>
            </w:r>
            <w:proofErr w:type="spellEnd"/>
            <w:r w:rsidRPr="00946824">
              <w:rPr>
                <w:rFonts w:ascii="Calibri" w:hAnsi="Calibri" w:cs="Calibri"/>
                <w:color w:val="000000" w:themeColor="text2"/>
                <w:sz w:val="18"/>
              </w:rPr>
              <w:t>: Aboriginal Education Plan 2016–</w:t>
            </w:r>
            <w:proofErr w:type="gramStart"/>
            <w:r w:rsidRPr="00946824">
              <w:rPr>
                <w:rFonts w:ascii="Calibri" w:hAnsi="Calibri" w:cs="Calibri"/>
                <w:color w:val="000000" w:themeColor="text2"/>
                <w:sz w:val="18"/>
              </w:rPr>
              <w:t>2026</w:t>
            </w:r>
            <w:r w:rsidR="00225206">
              <w:rPr>
                <w:rFonts w:ascii="Calibri" w:hAnsi="Calibri" w:cs="Calibri"/>
                <w:color w:val="000000" w:themeColor="text2"/>
                <w:sz w:val="18"/>
              </w:rPr>
              <w:t>, and</w:t>
            </w:r>
            <w:proofErr w:type="gramEnd"/>
            <w:r w:rsidR="00225206">
              <w:rPr>
                <w:rFonts w:ascii="Calibri" w:hAnsi="Calibri" w:cs="Calibri"/>
                <w:color w:val="000000" w:themeColor="text2"/>
                <w:sz w:val="18"/>
              </w:rPr>
              <w:t xml:space="preserve"> </w:t>
            </w:r>
            <w:r w:rsidRPr="00946824">
              <w:rPr>
                <w:rFonts w:ascii="Calibri" w:hAnsi="Calibri" w:cs="Calibri"/>
                <w:color w:val="000000" w:themeColor="text2"/>
                <w:sz w:val="18"/>
              </w:rPr>
              <w:t xml:space="preserve">is part of a broader governance mechanism that ensures accountability for </w:t>
            </w:r>
            <w:proofErr w:type="spellStart"/>
            <w:r w:rsidRPr="00946824">
              <w:rPr>
                <w:rFonts w:ascii="Calibri" w:hAnsi="Calibri" w:cs="Calibri"/>
                <w:color w:val="000000" w:themeColor="text2"/>
                <w:sz w:val="18"/>
              </w:rPr>
              <w:t>Marrung</w:t>
            </w:r>
            <w:proofErr w:type="spellEnd"/>
            <w:r w:rsidRPr="00946824">
              <w:rPr>
                <w:rFonts w:ascii="Calibri" w:hAnsi="Calibri" w:cs="Calibri"/>
                <w:color w:val="000000" w:themeColor="text2"/>
                <w:sz w:val="18"/>
              </w:rPr>
              <w:t xml:space="preserve">, including at regional partnership forums and VAEAI’s </w:t>
            </w:r>
            <w:proofErr w:type="spellStart"/>
            <w:r w:rsidRPr="00946824">
              <w:rPr>
                <w:rFonts w:ascii="Calibri" w:hAnsi="Calibri" w:cs="Calibri"/>
                <w:color w:val="000000" w:themeColor="text2"/>
                <w:sz w:val="18"/>
              </w:rPr>
              <w:t>Koorie</w:t>
            </w:r>
            <w:proofErr w:type="spellEnd"/>
            <w:r w:rsidRPr="00946824">
              <w:rPr>
                <w:rFonts w:ascii="Calibri" w:hAnsi="Calibri" w:cs="Calibri"/>
                <w:color w:val="000000" w:themeColor="text2"/>
                <w:sz w:val="18"/>
              </w:rPr>
              <w:t xml:space="preserve"> education roundtables.</w:t>
            </w:r>
          </w:p>
        </w:tc>
        <w:tc>
          <w:tcPr>
            <w:tcW w:w="3268" w:type="dxa"/>
            <w:tcBorders>
              <w:top w:val="single" w:sz="4" w:space="0" w:color="auto"/>
              <w:bottom w:val="single" w:sz="4" w:space="0" w:color="auto"/>
            </w:tcBorders>
          </w:tcPr>
          <w:p w14:paraId="4D058835" w14:textId="2FC02EB7" w:rsidR="006407EF" w:rsidRPr="00946824" w:rsidRDefault="006407EF" w:rsidP="00CB69AB">
            <w:pPr>
              <w:rPr>
                <w:rFonts w:ascii="Calibri" w:eastAsiaTheme="minorEastAsia" w:hAnsi="Calibri" w:cs="Calibri"/>
                <w:color w:val="000000" w:themeColor="text2"/>
                <w:sz w:val="18"/>
                <w:szCs w:val="18"/>
                <w:lang w:val="en-US"/>
              </w:rPr>
            </w:pPr>
            <w:r w:rsidRPr="00946824">
              <w:rPr>
                <w:rFonts w:ascii="Calibri" w:eastAsiaTheme="minorEastAsia" w:hAnsi="Calibri" w:cs="Calibri"/>
                <w:color w:val="000000" w:themeColor="text2"/>
                <w:sz w:val="18"/>
                <w:szCs w:val="18"/>
                <w:lang w:val="en-US"/>
              </w:rPr>
              <w:t xml:space="preserve">The committee met four times and brought together </w:t>
            </w:r>
            <w:r w:rsidR="000732CE">
              <w:rPr>
                <w:rFonts w:ascii="Calibri" w:eastAsiaTheme="minorEastAsia" w:hAnsi="Calibri" w:cs="Calibri"/>
                <w:color w:val="000000" w:themeColor="text2"/>
                <w:sz w:val="18"/>
                <w:szCs w:val="18"/>
                <w:lang w:val="en-US"/>
              </w:rPr>
              <w:t>more than</w:t>
            </w:r>
            <w:r w:rsidRPr="00946824">
              <w:rPr>
                <w:rFonts w:ascii="Calibri" w:eastAsiaTheme="minorEastAsia" w:hAnsi="Calibri" w:cs="Calibri"/>
                <w:color w:val="000000" w:themeColor="text2"/>
                <w:sz w:val="18"/>
                <w:szCs w:val="18"/>
                <w:lang w:val="en-US"/>
              </w:rPr>
              <w:t xml:space="preserve"> 45 key stakeholders including Aboriginal </w:t>
            </w:r>
            <w:proofErr w:type="gramStart"/>
            <w:r w:rsidRPr="00946824">
              <w:rPr>
                <w:rFonts w:ascii="Calibri" w:eastAsiaTheme="minorEastAsia" w:hAnsi="Calibri" w:cs="Calibri"/>
                <w:color w:val="000000" w:themeColor="text2"/>
                <w:sz w:val="18"/>
                <w:szCs w:val="18"/>
                <w:lang w:val="en-US"/>
              </w:rPr>
              <w:t>community controlled</w:t>
            </w:r>
            <w:proofErr w:type="gramEnd"/>
            <w:r w:rsidRPr="00946824">
              <w:rPr>
                <w:rFonts w:ascii="Calibri" w:eastAsiaTheme="minorEastAsia" w:hAnsi="Calibri" w:cs="Calibri"/>
                <w:color w:val="000000" w:themeColor="text2"/>
                <w:sz w:val="18"/>
                <w:szCs w:val="18"/>
                <w:lang w:val="en-US"/>
              </w:rPr>
              <w:t xml:space="preserve"> </w:t>
            </w:r>
            <w:proofErr w:type="spellStart"/>
            <w:r w:rsidRPr="00946824">
              <w:rPr>
                <w:rFonts w:ascii="Calibri" w:eastAsiaTheme="minorEastAsia" w:hAnsi="Calibri" w:cs="Calibri"/>
                <w:color w:val="000000" w:themeColor="text2"/>
                <w:sz w:val="18"/>
                <w:szCs w:val="18"/>
                <w:lang w:val="en-US"/>
              </w:rPr>
              <w:t>organisations</w:t>
            </w:r>
            <w:proofErr w:type="spellEnd"/>
            <w:r w:rsidRPr="00946824">
              <w:rPr>
                <w:rFonts w:ascii="Calibri" w:eastAsiaTheme="minorEastAsia" w:hAnsi="Calibri" w:cs="Calibri"/>
                <w:color w:val="000000" w:themeColor="text2"/>
                <w:sz w:val="18"/>
                <w:szCs w:val="18"/>
                <w:lang w:val="en-US"/>
              </w:rPr>
              <w:t>, education sector representatives and associations, departments and central agencies, the Victorian Skills Commissioner</w:t>
            </w:r>
            <w:r w:rsidR="002C4E31">
              <w:rPr>
                <w:rFonts w:ascii="Calibri" w:eastAsiaTheme="minorEastAsia" w:hAnsi="Calibri" w:cs="Calibri"/>
                <w:color w:val="000000" w:themeColor="text2"/>
                <w:sz w:val="18"/>
                <w:szCs w:val="18"/>
                <w:lang w:val="en-US"/>
              </w:rPr>
              <w:t>,</w:t>
            </w:r>
            <w:r w:rsidRPr="00946824">
              <w:rPr>
                <w:rFonts w:ascii="Calibri" w:eastAsiaTheme="minorEastAsia" w:hAnsi="Calibri" w:cs="Calibri"/>
                <w:color w:val="000000" w:themeColor="text2"/>
                <w:sz w:val="18"/>
                <w:szCs w:val="18"/>
                <w:lang w:val="en-US"/>
              </w:rPr>
              <w:t xml:space="preserve"> and </w:t>
            </w:r>
            <w:r w:rsidR="002C4E31">
              <w:rPr>
                <w:rFonts w:ascii="Calibri" w:eastAsiaTheme="minorEastAsia" w:hAnsi="Calibri" w:cs="Calibri"/>
                <w:color w:val="000000" w:themeColor="text2"/>
                <w:sz w:val="18"/>
                <w:szCs w:val="18"/>
                <w:lang w:val="en-US"/>
              </w:rPr>
              <w:t xml:space="preserve">the </w:t>
            </w:r>
            <w:r w:rsidRPr="00946824">
              <w:rPr>
                <w:rFonts w:ascii="Calibri" w:eastAsiaTheme="minorEastAsia" w:hAnsi="Calibri" w:cs="Calibri"/>
                <w:color w:val="000000" w:themeColor="text2"/>
                <w:sz w:val="18"/>
                <w:szCs w:val="18"/>
                <w:lang w:val="en-US"/>
              </w:rPr>
              <w:t xml:space="preserve">Commissioner for Aboriginal Children and Young People. </w:t>
            </w:r>
          </w:p>
          <w:p w14:paraId="68473DBB" w14:textId="77777777" w:rsidR="006407EF" w:rsidRPr="00946824" w:rsidRDefault="006407EF" w:rsidP="00CB69AB">
            <w:pPr>
              <w:pStyle w:val="ESTablebody"/>
              <w:rPr>
                <w:rFonts w:ascii="Calibri" w:hAnsi="Calibri" w:cs="Calibri"/>
                <w:sz w:val="18"/>
              </w:rPr>
            </w:pPr>
            <w:r w:rsidRPr="00946824">
              <w:rPr>
                <w:rFonts w:ascii="Calibri" w:hAnsi="Calibri" w:cs="Calibri"/>
                <w:color w:val="000000" w:themeColor="text2"/>
                <w:sz w:val="18"/>
              </w:rPr>
              <w:t xml:space="preserve">The committee oversaw the implementation of </w:t>
            </w:r>
            <w:proofErr w:type="spellStart"/>
            <w:r w:rsidRPr="00946824">
              <w:rPr>
                <w:rFonts w:ascii="Calibri" w:hAnsi="Calibri" w:cs="Calibri"/>
                <w:color w:val="000000" w:themeColor="text2"/>
                <w:sz w:val="18"/>
              </w:rPr>
              <w:t>Marrung</w:t>
            </w:r>
            <w:proofErr w:type="spellEnd"/>
            <w:r w:rsidRPr="00946824">
              <w:rPr>
                <w:rFonts w:ascii="Calibri" w:hAnsi="Calibri" w:cs="Calibri"/>
                <w:color w:val="000000" w:themeColor="text2"/>
                <w:sz w:val="18"/>
              </w:rPr>
              <w:t xml:space="preserve"> and identified new and emerging issues and actions, drawing on advice from the regional partnership forums and </w:t>
            </w:r>
            <w:proofErr w:type="spellStart"/>
            <w:r w:rsidRPr="00946824">
              <w:rPr>
                <w:rFonts w:ascii="Calibri" w:hAnsi="Calibri" w:cs="Calibri"/>
                <w:color w:val="000000" w:themeColor="text2"/>
                <w:sz w:val="18"/>
              </w:rPr>
              <w:t>Koorie</w:t>
            </w:r>
            <w:proofErr w:type="spellEnd"/>
            <w:r w:rsidRPr="00946824">
              <w:rPr>
                <w:rFonts w:ascii="Calibri" w:hAnsi="Calibri" w:cs="Calibri"/>
                <w:color w:val="000000" w:themeColor="text2"/>
                <w:sz w:val="18"/>
              </w:rPr>
              <w:t xml:space="preserve"> education roundtables. </w:t>
            </w:r>
          </w:p>
        </w:tc>
      </w:tr>
      <w:tr w:rsidR="006407EF" w:rsidRPr="00925213" w14:paraId="2BD4FEF1" w14:textId="77777777" w:rsidTr="00CB69AB">
        <w:trPr>
          <w:cantSplit/>
          <w:trHeight w:val="1257"/>
        </w:trPr>
        <w:tc>
          <w:tcPr>
            <w:tcW w:w="2250" w:type="dxa"/>
            <w:tcBorders>
              <w:top w:val="single" w:sz="4" w:space="0" w:color="auto"/>
              <w:bottom w:val="single" w:sz="4" w:space="0" w:color="auto"/>
            </w:tcBorders>
            <w:shd w:val="clear" w:color="auto" w:fill="auto"/>
          </w:tcPr>
          <w:p w14:paraId="086B1F32" w14:textId="77777777" w:rsidR="006407EF" w:rsidRPr="00946824" w:rsidRDefault="006407EF" w:rsidP="00A7613C">
            <w:pPr>
              <w:pStyle w:val="ESTablebody"/>
              <w:rPr>
                <w:rFonts w:ascii="Calibri" w:hAnsi="Calibri" w:cs="Calibri"/>
                <w:sz w:val="18"/>
              </w:rPr>
            </w:pPr>
            <w:bookmarkStart w:id="14" w:name="_Hlk77172298"/>
            <w:r w:rsidRPr="00946824">
              <w:rPr>
                <w:rFonts w:ascii="Calibri" w:hAnsi="Calibri" w:cs="Calibri"/>
                <w:sz w:val="18"/>
              </w:rPr>
              <w:t>Minister–DET-Victorian vice-chancellors forum</w:t>
            </w:r>
            <w:bookmarkEnd w:id="14"/>
          </w:p>
        </w:tc>
        <w:tc>
          <w:tcPr>
            <w:tcW w:w="3321" w:type="dxa"/>
            <w:tcBorders>
              <w:top w:val="single" w:sz="4" w:space="0" w:color="auto"/>
              <w:bottom w:val="single" w:sz="4" w:space="0" w:color="auto"/>
            </w:tcBorders>
          </w:tcPr>
          <w:p w14:paraId="109877DD"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The Minister for Higher Education meets with the vice chancellors of Victoria’s universities to discuss issues of mutual concern, advance shared priorities, and develop and enhance Victoria’s reputation as a global leader in higher education.</w:t>
            </w:r>
          </w:p>
        </w:tc>
        <w:tc>
          <w:tcPr>
            <w:tcW w:w="3268" w:type="dxa"/>
            <w:tcBorders>
              <w:top w:val="single" w:sz="4" w:space="0" w:color="auto"/>
              <w:bottom w:val="single" w:sz="4" w:space="0" w:color="auto"/>
            </w:tcBorders>
          </w:tcPr>
          <w:p w14:paraId="443B23B0" w14:textId="32CA1BDA"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forum met in July 2020 and March 2021 to discuss issues of importance for the Victorian higher education sector. Understanding and responding to the impacts of the COVID-19 pandemic on Victorian universities was a focus, particularly international education and the mental health and wellbeing of university staff and students. </w:t>
            </w:r>
          </w:p>
        </w:tc>
      </w:tr>
      <w:tr w:rsidR="006407EF" w:rsidRPr="00925213" w14:paraId="1F2BF2E8" w14:textId="77777777" w:rsidTr="00CB69AB">
        <w:trPr>
          <w:cantSplit/>
          <w:trHeight w:val="1001"/>
        </w:trPr>
        <w:tc>
          <w:tcPr>
            <w:tcW w:w="2250" w:type="dxa"/>
            <w:tcBorders>
              <w:top w:val="single" w:sz="4" w:space="0" w:color="53565A" w:themeColor="accent5"/>
              <w:bottom w:val="single" w:sz="4" w:space="0" w:color="53565A" w:themeColor="accent5"/>
            </w:tcBorders>
            <w:shd w:val="clear" w:color="auto" w:fill="auto"/>
          </w:tcPr>
          <w:p w14:paraId="25451B86" w14:textId="77777777" w:rsidR="006407EF" w:rsidRPr="00946824" w:rsidRDefault="006407EF" w:rsidP="00CB69AB">
            <w:pPr>
              <w:pStyle w:val="ESTablebody"/>
              <w:rPr>
                <w:rFonts w:ascii="Calibri" w:hAnsi="Calibri" w:cs="Calibri"/>
                <w:sz w:val="18"/>
              </w:rPr>
            </w:pPr>
            <w:r w:rsidRPr="00946824">
              <w:rPr>
                <w:rFonts w:ascii="Calibri" w:hAnsi="Calibri" w:cs="Calibri"/>
                <w:sz w:val="18"/>
                <w:lang w:val="en-AU"/>
              </w:rPr>
              <w:t xml:space="preserve">Quarterly peak principal body meetings </w:t>
            </w:r>
          </w:p>
        </w:tc>
        <w:tc>
          <w:tcPr>
            <w:tcW w:w="3321" w:type="dxa"/>
            <w:tcBorders>
              <w:top w:val="single" w:sz="4" w:space="0" w:color="53565A" w:themeColor="accent5"/>
              <w:bottom w:val="single" w:sz="4" w:space="0" w:color="53565A" w:themeColor="accent5"/>
            </w:tcBorders>
          </w:tcPr>
          <w:p w14:paraId="673DB174" w14:textId="49382BFB" w:rsidR="006407EF" w:rsidRPr="00946824" w:rsidRDefault="006407EF" w:rsidP="00CB69AB">
            <w:pPr>
              <w:pStyle w:val="ESTablebody"/>
              <w:rPr>
                <w:rFonts w:ascii="Calibri" w:hAnsi="Calibri" w:cs="Calibri"/>
                <w:sz w:val="18"/>
              </w:rPr>
            </w:pPr>
            <w:r w:rsidRPr="00946824">
              <w:rPr>
                <w:rFonts w:ascii="Calibri" w:hAnsi="Calibri" w:cs="Calibri"/>
                <w:sz w:val="18"/>
                <w:lang w:val="en-AU"/>
              </w:rPr>
              <w:t xml:space="preserve">These quarterly meetings aim to consolidate departmental engagement with all peak bodies that </w:t>
            </w:r>
            <w:r w:rsidR="00922215" w:rsidRPr="00946824">
              <w:rPr>
                <w:rFonts w:ascii="Calibri" w:hAnsi="Calibri" w:cs="Calibri"/>
                <w:sz w:val="18"/>
                <w:lang w:val="en-AU"/>
              </w:rPr>
              <w:t>represent</w:t>
            </w:r>
            <w:r w:rsidRPr="00946824">
              <w:rPr>
                <w:rFonts w:ascii="Calibri" w:hAnsi="Calibri" w:cs="Calibri"/>
                <w:sz w:val="18"/>
                <w:lang w:val="en-AU"/>
              </w:rPr>
              <w:t xml:space="preserve"> the interests of principals, including the Victorian Association of State Secondary Principals, the Victorian Principals</w:t>
            </w:r>
            <w:r w:rsidR="000B23A8">
              <w:rPr>
                <w:rFonts w:ascii="Calibri" w:hAnsi="Calibri" w:cs="Calibri"/>
                <w:sz w:val="18"/>
                <w:lang w:val="en-AU"/>
              </w:rPr>
              <w:t xml:space="preserve">’ </w:t>
            </w:r>
            <w:proofErr w:type="gramStart"/>
            <w:r w:rsidRPr="00946824">
              <w:rPr>
                <w:rFonts w:ascii="Calibri" w:hAnsi="Calibri" w:cs="Calibri"/>
                <w:sz w:val="18"/>
                <w:lang w:val="en-AU"/>
              </w:rPr>
              <w:t>Association</w:t>
            </w:r>
            <w:proofErr w:type="gramEnd"/>
            <w:r w:rsidRPr="00946824">
              <w:rPr>
                <w:rFonts w:ascii="Calibri" w:hAnsi="Calibri" w:cs="Calibri"/>
                <w:sz w:val="18"/>
                <w:lang w:val="en-AU"/>
              </w:rPr>
              <w:t xml:space="preserve"> and the Principals' Association of Specialist Schools.</w:t>
            </w:r>
          </w:p>
        </w:tc>
        <w:tc>
          <w:tcPr>
            <w:tcW w:w="3268" w:type="dxa"/>
            <w:tcBorders>
              <w:top w:val="single" w:sz="4" w:space="0" w:color="53565A" w:themeColor="accent5"/>
              <w:bottom w:val="single" w:sz="4" w:space="0" w:color="53565A" w:themeColor="accent5"/>
            </w:tcBorders>
          </w:tcPr>
          <w:p w14:paraId="44CD9DCF" w14:textId="77777777" w:rsidR="006407EF" w:rsidRPr="00946824" w:rsidRDefault="006407EF" w:rsidP="00CB69AB">
            <w:pPr>
              <w:pStyle w:val="ESTablebody"/>
              <w:rPr>
                <w:rFonts w:ascii="Calibri" w:hAnsi="Calibri" w:cs="Calibri"/>
                <w:sz w:val="18"/>
              </w:rPr>
            </w:pPr>
            <w:r w:rsidRPr="00946824">
              <w:rPr>
                <w:rFonts w:ascii="Calibri" w:hAnsi="Calibri" w:cs="Calibri"/>
                <w:sz w:val="18"/>
                <w:lang w:val="en-AU"/>
              </w:rPr>
              <w:t>These meetings provided the opportunity for principal groups to discuss issues of significant importance to their members.</w:t>
            </w:r>
          </w:p>
        </w:tc>
      </w:tr>
      <w:tr w:rsidR="006407EF" w:rsidRPr="00925213" w14:paraId="74E8811B" w14:textId="77777777" w:rsidTr="00CB69AB">
        <w:trPr>
          <w:cantSplit/>
          <w:trHeight w:val="1001"/>
        </w:trPr>
        <w:tc>
          <w:tcPr>
            <w:tcW w:w="2250" w:type="dxa"/>
            <w:tcBorders>
              <w:top w:val="single" w:sz="4" w:space="0" w:color="53565A" w:themeColor="accent5"/>
              <w:bottom w:val="single" w:sz="4" w:space="0" w:color="53565A" w:themeColor="accent5"/>
            </w:tcBorders>
            <w:shd w:val="clear" w:color="auto" w:fill="auto"/>
          </w:tcPr>
          <w:p w14:paraId="7412668D"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Rural and regional consultative groups</w:t>
            </w:r>
          </w:p>
        </w:tc>
        <w:tc>
          <w:tcPr>
            <w:tcW w:w="3321" w:type="dxa"/>
            <w:tcBorders>
              <w:top w:val="single" w:sz="4" w:space="0" w:color="53565A" w:themeColor="accent5"/>
              <w:bottom w:val="single" w:sz="4" w:space="0" w:color="53565A" w:themeColor="accent5"/>
            </w:tcBorders>
          </w:tcPr>
          <w:p w14:paraId="00F518E0"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The consultative groups provide advice and guidance on the development and implementation of a five</w:t>
            </w:r>
            <w:r w:rsidRPr="00946824">
              <w:rPr>
                <w:rFonts w:ascii="Calibri" w:hAnsi="Calibri" w:cs="Calibri"/>
                <w:sz w:val="18"/>
              </w:rPr>
              <w:noBreakHyphen/>
              <w:t>year strategic plan for rural and regional education.</w:t>
            </w:r>
          </w:p>
        </w:tc>
        <w:tc>
          <w:tcPr>
            <w:tcW w:w="3268" w:type="dxa"/>
            <w:tcBorders>
              <w:top w:val="single" w:sz="4" w:space="0" w:color="53565A" w:themeColor="accent5"/>
              <w:bottom w:val="single" w:sz="4" w:space="0" w:color="53565A" w:themeColor="accent5"/>
            </w:tcBorders>
          </w:tcPr>
          <w:p w14:paraId="55C80158" w14:textId="4283B917" w:rsidR="006407EF" w:rsidRPr="00946824" w:rsidRDefault="006407EF" w:rsidP="00CB69AB">
            <w:pPr>
              <w:pStyle w:val="ESTablebody"/>
              <w:rPr>
                <w:rFonts w:ascii="Calibri" w:hAnsi="Calibri" w:cs="Calibri"/>
                <w:sz w:val="18"/>
              </w:rPr>
            </w:pPr>
            <w:r w:rsidRPr="00946824">
              <w:rPr>
                <w:rFonts w:ascii="Calibri" w:hAnsi="Calibri" w:cs="Calibri"/>
                <w:sz w:val="18"/>
                <w:lang w:val="en-AU"/>
              </w:rPr>
              <w:t xml:space="preserve">The consultative groups considered and provided advice and views on local perspectives from rural and regional Victoria regarding the development of the strategic </w:t>
            </w:r>
            <w:proofErr w:type="gramStart"/>
            <w:r w:rsidRPr="00946824">
              <w:rPr>
                <w:rFonts w:ascii="Calibri" w:hAnsi="Calibri" w:cs="Calibri"/>
                <w:sz w:val="18"/>
                <w:lang w:val="en-AU"/>
              </w:rPr>
              <w:t>plan</w:t>
            </w:r>
            <w:r w:rsidR="00DC5C18">
              <w:rPr>
                <w:rFonts w:ascii="Calibri" w:hAnsi="Calibri" w:cs="Calibri"/>
                <w:sz w:val="18"/>
                <w:lang w:val="en-AU"/>
              </w:rPr>
              <w:t>,</w:t>
            </w:r>
            <w:r w:rsidRPr="00946824">
              <w:rPr>
                <w:rFonts w:ascii="Calibri" w:hAnsi="Calibri" w:cs="Calibri"/>
                <w:sz w:val="18"/>
                <w:lang w:val="en-AU"/>
              </w:rPr>
              <w:t xml:space="preserve"> and</w:t>
            </w:r>
            <w:proofErr w:type="gramEnd"/>
            <w:r w:rsidRPr="00946824">
              <w:rPr>
                <w:rFonts w:ascii="Calibri" w:hAnsi="Calibri" w:cs="Calibri"/>
                <w:sz w:val="18"/>
                <w:lang w:val="en-AU"/>
              </w:rPr>
              <w:t xml:space="preserve"> advised on specific issues relating to the challenges of rural and regional education.</w:t>
            </w:r>
          </w:p>
        </w:tc>
      </w:tr>
      <w:tr w:rsidR="006407EF" w:rsidRPr="00925213" w14:paraId="287D9405" w14:textId="77777777" w:rsidTr="00CB69AB">
        <w:trPr>
          <w:cantSplit/>
          <w:trHeight w:val="225"/>
        </w:trPr>
        <w:tc>
          <w:tcPr>
            <w:tcW w:w="2250" w:type="dxa"/>
            <w:tcBorders>
              <w:top w:val="single" w:sz="4" w:space="0" w:color="auto"/>
              <w:bottom w:val="single" w:sz="4" w:space="0" w:color="auto"/>
            </w:tcBorders>
            <w:shd w:val="clear" w:color="auto" w:fill="auto"/>
          </w:tcPr>
          <w:p w14:paraId="16ADE2F2" w14:textId="77777777" w:rsidR="006407EF" w:rsidRPr="00946824" w:rsidRDefault="006407EF" w:rsidP="00CB69AB">
            <w:pPr>
              <w:pStyle w:val="ESTablebody"/>
              <w:rPr>
                <w:rFonts w:ascii="Calibri" w:hAnsi="Calibri" w:cs="Calibri"/>
                <w:sz w:val="18"/>
              </w:rPr>
            </w:pPr>
            <w:r w:rsidRPr="00946824">
              <w:rPr>
                <w:rFonts w:ascii="Calibri" w:hAnsi="Calibri" w:cs="Calibri"/>
                <w:sz w:val="18"/>
              </w:rPr>
              <w:lastRenderedPageBreak/>
              <w:t>School policy and funding advisory council</w:t>
            </w:r>
          </w:p>
        </w:tc>
        <w:tc>
          <w:tcPr>
            <w:tcW w:w="3321" w:type="dxa"/>
            <w:tcBorders>
              <w:top w:val="single" w:sz="4" w:space="0" w:color="auto"/>
              <w:bottom w:val="single" w:sz="4" w:space="0" w:color="auto"/>
            </w:tcBorders>
          </w:tcPr>
          <w:p w14:paraId="27E81464" w14:textId="15FBC369" w:rsidR="006407EF" w:rsidRPr="00946824" w:rsidRDefault="006407EF" w:rsidP="00CB69AB">
            <w:pPr>
              <w:pStyle w:val="ESTablebody"/>
              <w:rPr>
                <w:rFonts w:ascii="Calibri" w:hAnsi="Calibri" w:cs="Calibri"/>
                <w:sz w:val="18"/>
              </w:rPr>
            </w:pPr>
            <w:r w:rsidRPr="00946824">
              <w:rPr>
                <w:rFonts w:ascii="Calibri" w:hAnsi="Calibri" w:cs="Calibri"/>
                <w:sz w:val="18"/>
              </w:rPr>
              <w:t>The council provides advice to the Minister for Education on regulatory, policy and funding issues that affect government and non-government schools.</w:t>
            </w:r>
            <w:r w:rsidR="00443FC0">
              <w:rPr>
                <w:rFonts w:ascii="Calibri" w:hAnsi="Calibri" w:cs="Calibri"/>
                <w:sz w:val="18"/>
              </w:rPr>
              <w:t xml:space="preserve"> </w:t>
            </w:r>
          </w:p>
        </w:tc>
        <w:tc>
          <w:tcPr>
            <w:tcW w:w="3268" w:type="dxa"/>
            <w:tcBorders>
              <w:top w:val="single" w:sz="4" w:space="0" w:color="auto"/>
              <w:bottom w:val="single" w:sz="4" w:space="0" w:color="auto"/>
            </w:tcBorders>
          </w:tcPr>
          <w:p w14:paraId="0D62F5D5" w14:textId="22F7A404"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council met three times in 2020–21. An important focus of discussion was the impact of COVID-19 on schools, including on the health and wellbeing of staff and students. The council investigated options for addressing issues relating to students moving between schools and school sectors and oversaw the </w:t>
            </w:r>
            <w:proofErr w:type="spellStart"/>
            <w:r w:rsidRPr="00946824">
              <w:rPr>
                <w:rFonts w:ascii="Calibri" w:hAnsi="Calibri" w:cs="Calibri"/>
                <w:sz w:val="18"/>
              </w:rPr>
              <w:t>finalisation</w:t>
            </w:r>
            <w:proofErr w:type="spellEnd"/>
            <w:r w:rsidRPr="00946824">
              <w:rPr>
                <w:rFonts w:ascii="Calibri" w:hAnsi="Calibri" w:cs="Calibri"/>
                <w:sz w:val="18"/>
              </w:rPr>
              <w:t xml:space="preserve"> of student leaders for </w:t>
            </w:r>
            <w:r w:rsidR="00541723">
              <w:rPr>
                <w:rFonts w:ascii="Calibri" w:hAnsi="Calibri" w:cs="Calibri"/>
                <w:sz w:val="18"/>
              </w:rPr>
              <w:t xml:space="preserve">the </w:t>
            </w:r>
            <w:r w:rsidRPr="00946824">
              <w:rPr>
                <w:rFonts w:ascii="Calibri" w:hAnsi="Calibri" w:cs="Calibri"/>
                <w:sz w:val="18"/>
              </w:rPr>
              <w:t xml:space="preserve">multicultural inclusion initiative. </w:t>
            </w:r>
          </w:p>
        </w:tc>
      </w:tr>
      <w:tr w:rsidR="006407EF" w:rsidRPr="00925213" w14:paraId="13D2E110" w14:textId="77777777" w:rsidTr="00CB69AB">
        <w:trPr>
          <w:cantSplit/>
          <w:trHeight w:val="1001"/>
        </w:trPr>
        <w:tc>
          <w:tcPr>
            <w:tcW w:w="2250" w:type="dxa"/>
            <w:tcBorders>
              <w:top w:val="single" w:sz="4" w:space="0" w:color="53565A" w:themeColor="accent5"/>
              <w:bottom w:val="single" w:sz="4" w:space="0" w:color="53565A" w:themeColor="accent5"/>
            </w:tcBorders>
            <w:shd w:val="clear" w:color="auto" w:fill="auto"/>
          </w:tcPr>
          <w:p w14:paraId="74A43AA9"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Senior secondary pathways reform project control board</w:t>
            </w:r>
          </w:p>
        </w:tc>
        <w:tc>
          <w:tcPr>
            <w:tcW w:w="3321" w:type="dxa"/>
            <w:tcBorders>
              <w:top w:val="single" w:sz="4" w:space="0" w:color="53565A" w:themeColor="accent5"/>
              <w:bottom w:val="single" w:sz="4" w:space="0" w:color="53565A" w:themeColor="accent5"/>
            </w:tcBorders>
          </w:tcPr>
          <w:p w14:paraId="5B6B6419" w14:textId="6AAD76CE" w:rsidR="006407EF" w:rsidRPr="00946824" w:rsidRDefault="006407EF" w:rsidP="00CB69AB">
            <w:pPr>
              <w:pStyle w:val="ESTablebody"/>
              <w:rPr>
                <w:rFonts w:ascii="Calibri" w:hAnsi="Calibri" w:cs="Calibri"/>
                <w:sz w:val="18"/>
              </w:rPr>
            </w:pPr>
            <w:r w:rsidRPr="00946824">
              <w:rPr>
                <w:rFonts w:ascii="Calibri" w:hAnsi="Calibri" w:cs="Calibri"/>
                <w:sz w:val="18"/>
              </w:rPr>
              <w:t>The board provides strategic oversight over implementation of the recommendations arising from the Review into vocational and applied learning pathways in senior secondary schooling and manages links with other related reforms including jobs and skills initiatives in the Training and Skills and Higher Education portfolios.</w:t>
            </w:r>
          </w:p>
        </w:tc>
        <w:tc>
          <w:tcPr>
            <w:tcW w:w="3268" w:type="dxa"/>
            <w:tcBorders>
              <w:top w:val="single" w:sz="4" w:space="0" w:color="53565A" w:themeColor="accent5"/>
              <w:bottom w:val="single" w:sz="4" w:space="0" w:color="53565A" w:themeColor="accent5"/>
            </w:tcBorders>
          </w:tcPr>
          <w:p w14:paraId="41EBF2EA" w14:textId="7E04C301" w:rsidR="006407EF" w:rsidRPr="00946824" w:rsidRDefault="006407EF" w:rsidP="00CB69AB">
            <w:pPr>
              <w:pStyle w:val="ESTablebody"/>
              <w:rPr>
                <w:rFonts w:ascii="Calibri" w:hAnsi="Calibri" w:cs="Calibri"/>
                <w:sz w:val="18"/>
              </w:rPr>
            </w:pPr>
            <w:r w:rsidRPr="00946824">
              <w:rPr>
                <w:rFonts w:ascii="Calibri" w:hAnsi="Calibri" w:cs="Calibri"/>
                <w:sz w:val="18"/>
              </w:rPr>
              <w:t>Since its establishment in January 2021, the board met monthly to provide strategic policy direction on major reforms. The board also</w:t>
            </w:r>
            <w:r w:rsidR="00443FC0">
              <w:rPr>
                <w:rFonts w:ascii="Calibri" w:hAnsi="Calibri" w:cs="Calibri"/>
                <w:sz w:val="18"/>
              </w:rPr>
              <w:t xml:space="preserve"> </w:t>
            </w:r>
            <w:r w:rsidRPr="00946824">
              <w:rPr>
                <w:rFonts w:ascii="Calibri" w:hAnsi="Calibri" w:cs="Calibri"/>
                <w:sz w:val="18"/>
              </w:rPr>
              <w:t>provides project governance, manage</w:t>
            </w:r>
            <w:r w:rsidR="00AC64B0">
              <w:rPr>
                <w:rFonts w:ascii="Calibri" w:hAnsi="Calibri" w:cs="Calibri"/>
                <w:sz w:val="18"/>
              </w:rPr>
              <w:t>s</w:t>
            </w:r>
            <w:r w:rsidRPr="00946824">
              <w:rPr>
                <w:rFonts w:ascii="Calibri" w:hAnsi="Calibri" w:cs="Calibri"/>
                <w:sz w:val="18"/>
              </w:rPr>
              <w:t xml:space="preserve"> risk, </w:t>
            </w:r>
            <w:r w:rsidR="00D27F38">
              <w:rPr>
                <w:rFonts w:ascii="Calibri" w:hAnsi="Calibri" w:cs="Calibri"/>
                <w:sz w:val="18"/>
              </w:rPr>
              <w:t>and</w:t>
            </w:r>
            <w:r w:rsidRPr="00946824">
              <w:rPr>
                <w:rFonts w:ascii="Calibri" w:hAnsi="Calibri" w:cs="Calibri"/>
                <w:sz w:val="18"/>
              </w:rPr>
              <w:t xml:space="preserve"> monitor</w:t>
            </w:r>
            <w:r w:rsidR="00D27F38">
              <w:rPr>
                <w:rFonts w:ascii="Calibri" w:hAnsi="Calibri" w:cs="Calibri"/>
                <w:sz w:val="18"/>
              </w:rPr>
              <w:t>s</w:t>
            </w:r>
            <w:r w:rsidRPr="00946824">
              <w:rPr>
                <w:rFonts w:ascii="Calibri" w:hAnsi="Calibri" w:cs="Calibri"/>
                <w:sz w:val="18"/>
              </w:rPr>
              <w:t xml:space="preserve"> performance and delivery against timelines and objectives. </w:t>
            </w:r>
          </w:p>
        </w:tc>
      </w:tr>
      <w:tr w:rsidR="006407EF" w:rsidRPr="00925213" w14:paraId="6974F7A6" w14:textId="77777777" w:rsidTr="00CB69AB">
        <w:trPr>
          <w:cantSplit/>
          <w:trHeight w:val="1257"/>
        </w:trPr>
        <w:tc>
          <w:tcPr>
            <w:tcW w:w="2250" w:type="dxa"/>
            <w:tcBorders>
              <w:top w:val="single" w:sz="4" w:space="0" w:color="auto"/>
              <w:bottom w:val="single" w:sz="4" w:space="0" w:color="auto"/>
            </w:tcBorders>
            <w:shd w:val="clear" w:color="auto" w:fill="auto"/>
          </w:tcPr>
          <w:p w14:paraId="1C10E56D"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Skills for major project interdepartmental committee</w:t>
            </w:r>
          </w:p>
        </w:tc>
        <w:tc>
          <w:tcPr>
            <w:tcW w:w="3321" w:type="dxa"/>
            <w:tcBorders>
              <w:top w:val="single" w:sz="4" w:space="0" w:color="auto"/>
              <w:bottom w:val="single" w:sz="4" w:space="0" w:color="auto"/>
            </w:tcBorders>
          </w:tcPr>
          <w:p w14:paraId="4F3E4C6E"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The committee examined current and future supply and demand for skills, and issues that prevent an adequate supply of skilled people for major infrastructure projects.</w:t>
            </w:r>
          </w:p>
          <w:p w14:paraId="2406FCE4"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committee was co-chaired by the Department and the Department of Treasury and Finance. </w:t>
            </w:r>
          </w:p>
        </w:tc>
        <w:tc>
          <w:tcPr>
            <w:tcW w:w="3268" w:type="dxa"/>
            <w:tcBorders>
              <w:top w:val="single" w:sz="4" w:space="0" w:color="auto"/>
              <w:bottom w:val="single" w:sz="4" w:space="0" w:color="auto"/>
            </w:tcBorders>
          </w:tcPr>
          <w:p w14:paraId="3B208401" w14:textId="5648C932" w:rsidR="006407EF" w:rsidRPr="00946824" w:rsidRDefault="006407EF" w:rsidP="00A7613C">
            <w:pPr>
              <w:pStyle w:val="ESTablebody"/>
              <w:keepLines/>
              <w:spacing w:before="0" w:after="0"/>
              <w:contextualSpacing/>
              <w:rPr>
                <w:rFonts w:ascii="Calibri" w:hAnsi="Calibri" w:cs="Calibri"/>
                <w:sz w:val="18"/>
                <w:lang w:val="en-AU"/>
              </w:rPr>
            </w:pPr>
            <w:r w:rsidRPr="00946824">
              <w:rPr>
                <w:rFonts w:ascii="Calibri" w:hAnsi="Calibri" w:cs="Calibri"/>
                <w:sz w:val="18"/>
              </w:rPr>
              <w:t xml:space="preserve">Four meetings were held, with fortnightly meetings held by six working groups to identify and recommend policy interventions, for consideration in the 2021–22 State Budget. </w:t>
            </w:r>
          </w:p>
        </w:tc>
      </w:tr>
      <w:tr w:rsidR="006407EF" w:rsidRPr="00925213" w14:paraId="78774C20" w14:textId="77777777" w:rsidTr="00CB69AB">
        <w:trPr>
          <w:cantSplit/>
          <w:trHeight w:val="1257"/>
        </w:trPr>
        <w:tc>
          <w:tcPr>
            <w:tcW w:w="2250" w:type="dxa"/>
            <w:tcBorders>
              <w:top w:val="single" w:sz="4" w:space="0" w:color="auto"/>
              <w:bottom w:val="single" w:sz="4" w:space="0" w:color="auto"/>
            </w:tcBorders>
            <w:shd w:val="clear" w:color="auto" w:fill="auto"/>
          </w:tcPr>
          <w:p w14:paraId="474D7A9D" w14:textId="77777777" w:rsidR="006407EF" w:rsidRPr="00946824" w:rsidRDefault="006407EF" w:rsidP="00292E72">
            <w:pPr>
              <w:pStyle w:val="ESTablebody"/>
              <w:rPr>
                <w:rFonts w:ascii="Calibri" w:hAnsi="Calibri" w:cs="Calibri"/>
                <w:sz w:val="18"/>
              </w:rPr>
            </w:pPr>
            <w:r w:rsidRPr="00946824">
              <w:rPr>
                <w:rFonts w:ascii="Calibri" w:hAnsi="Calibri" w:cs="Calibri"/>
                <w:sz w:val="18"/>
              </w:rPr>
              <w:t>Student Resource Package Consultative Committee</w:t>
            </w:r>
          </w:p>
        </w:tc>
        <w:tc>
          <w:tcPr>
            <w:tcW w:w="3321" w:type="dxa"/>
            <w:tcBorders>
              <w:top w:val="single" w:sz="4" w:space="0" w:color="auto"/>
              <w:bottom w:val="single" w:sz="4" w:space="0" w:color="auto"/>
            </w:tcBorders>
          </w:tcPr>
          <w:p w14:paraId="0265B4AD" w14:textId="00DC5094" w:rsidR="006407EF" w:rsidRPr="00946824" w:rsidRDefault="006407EF" w:rsidP="00292E72">
            <w:pPr>
              <w:pStyle w:val="ESTablebody"/>
              <w:rPr>
                <w:rFonts w:ascii="Calibri" w:hAnsi="Calibri" w:cs="Calibri"/>
                <w:sz w:val="18"/>
              </w:rPr>
            </w:pPr>
            <w:r w:rsidRPr="00946824">
              <w:rPr>
                <w:rFonts w:ascii="Calibri" w:hAnsi="Calibri" w:cs="Calibri"/>
                <w:sz w:val="18"/>
              </w:rPr>
              <w:t xml:space="preserve">The Committee consists of stakeholder </w:t>
            </w:r>
            <w:proofErr w:type="spellStart"/>
            <w:r w:rsidRPr="00946824">
              <w:rPr>
                <w:rFonts w:ascii="Calibri" w:hAnsi="Calibri" w:cs="Calibri"/>
                <w:sz w:val="18"/>
              </w:rPr>
              <w:t>organisations</w:t>
            </w:r>
            <w:proofErr w:type="spellEnd"/>
            <w:r w:rsidRPr="00946824">
              <w:rPr>
                <w:rFonts w:ascii="Calibri" w:hAnsi="Calibri" w:cs="Calibri"/>
                <w:sz w:val="18"/>
              </w:rPr>
              <w:t xml:space="preserve"> and provides a framework for consultations when considering policy and operational impacts of changes in school resourcing. The Committee ensures policy congruence with the research, </w:t>
            </w:r>
            <w:proofErr w:type="gramStart"/>
            <w:r w:rsidRPr="00946824">
              <w:rPr>
                <w:rFonts w:ascii="Calibri" w:hAnsi="Calibri" w:cs="Calibri"/>
                <w:sz w:val="18"/>
              </w:rPr>
              <w:t>development</w:t>
            </w:r>
            <w:proofErr w:type="gramEnd"/>
            <w:r w:rsidRPr="00946824">
              <w:rPr>
                <w:rFonts w:ascii="Calibri" w:hAnsi="Calibri" w:cs="Calibri"/>
                <w:sz w:val="18"/>
              </w:rPr>
              <w:t xml:space="preserve"> and maintenance of the current school funding model.</w:t>
            </w:r>
          </w:p>
        </w:tc>
        <w:tc>
          <w:tcPr>
            <w:tcW w:w="3268" w:type="dxa"/>
            <w:tcBorders>
              <w:top w:val="single" w:sz="4" w:space="0" w:color="auto"/>
              <w:bottom w:val="single" w:sz="4" w:space="0" w:color="auto"/>
            </w:tcBorders>
          </w:tcPr>
          <w:p w14:paraId="12D109F2" w14:textId="0030F6CF" w:rsidR="006407EF" w:rsidRPr="00946824" w:rsidRDefault="006407EF" w:rsidP="002016AB">
            <w:pPr>
              <w:pStyle w:val="ESTablebody"/>
              <w:rPr>
                <w:rFonts w:ascii="Calibri" w:hAnsi="Calibri" w:cs="Calibri"/>
                <w:sz w:val="18"/>
                <w:lang w:val="en-AU"/>
              </w:rPr>
            </w:pPr>
            <w:r w:rsidRPr="00946824">
              <w:rPr>
                <w:rFonts w:ascii="Calibri" w:hAnsi="Calibri" w:cs="Calibri"/>
                <w:sz w:val="18"/>
              </w:rPr>
              <w:t xml:space="preserve">The Committee met four times </w:t>
            </w:r>
            <w:r w:rsidR="00AD78F4">
              <w:rPr>
                <w:rFonts w:ascii="Calibri" w:hAnsi="Calibri" w:cs="Calibri"/>
                <w:sz w:val="18"/>
              </w:rPr>
              <w:t>in</w:t>
            </w:r>
            <w:r w:rsidRPr="00946824">
              <w:rPr>
                <w:rFonts w:ascii="Calibri" w:hAnsi="Calibri" w:cs="Calibri"/>
                <w:sz w:val="18"/>
              </w:rPr>
              <w:t xml:space="preserve"> 2020–21. It discussed and advised on the operational aspects of funding initiatives announced in the State Budget such as the Tutor Learning Initiative, Mental Health in Primary Schools Pilot, Disability Inclusion Reform, and the Innovative Initial Teacher Education Program</w:t>
            </w:r>
          </w:p>
        </w:tc>
      </w:tr>
      <w:tr w:rsidR="006407EF" w:rsidRPr="00925213" w14:paraId="64341C1E" w14:textId="77777777" w:rsidTr="00CB69AB">
        <w:trPr>
          <w:cantSplit/>
          <w:trHeight w:val="814"/>
        </w:trPr>
        <w:tc>
          <w:tcPr>
            <w:tcW w:w="2250" w:type="dxa"/>
            <w:tcBorders>
              <w:top w:val="single" w:sz="4" w:space="0" w:color="auto"/>
              <w:bottom w:val="single" w:sz="4" w:space="0" w:color="auto"/>
            </w:tcBorders>
            <w:shd w:val="clear" w:color="auto" w:fill="auto"/>
          </w:tcPr>
          <w:p w14:paraId="13B055D9"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TAFE CEO offshore working group</w:t>
            </w:r>
          </w:p>
        </w:tc>
        <w:tc>
          <w:tcPr>
            <w:tcW w:w="3321" w:type="dxa"/>
            <w:tcBorders>
              <w:top w:val="single" w:sz="4" w:space="0" w:color="auto"/>
              <w:bottom w:val="single" w:sz="4" w:space="0" w:color="auto"/>
            </w:tcBorders>
          </w:tcPr>
          <w:p w14:paraId="6EDA20CC" w14:textId="74A6AC52"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working group is co-chaired by the Department and Global Victoria. It </w:t>
            </w:r>
            <w:r w:rsidR="00565DAC">
              <w:rPr>
                <w:rFonts w:ascii="Calibri" w:hAnsi="Calibri" w:cs="Calibri"/>
                <w:sz w:val="18"/>
              </w:rPr>
              <w:t xml:space="preserve">oversees </w:t>
            </w:r>
            <w:r w:rsidRPr="00946824">
              <w:rPr>
                <w:rFonts w:ascii="Calibri" w:hAnsi="Calibri" w:cs="Calibri"/>
                <w:sz w:val="18"/>
              </w:rPr>
              <w:t>the implementation of the TAFE Offshore Pilot.</w:t>
            </w:r>
          </w:p>
        </w:tc>
        <w:tc>
          <w:tcPr>
            <w:tcW w:w="3268" w:type="dxa"/>
            <w:tcBorders>
              <w:top w:val="single" w:sz="4" w:space="0" w:color="auto"/>
              <w:bottom w:val="single" w:sz="4" w:space="0" w:color="auto"/>
            </w:tcBorders>
          </w:tcPr>
          <w:p w14:paraId="41293070" w14:textId="2C376E5D" w:rsidR="006407EF" w:rsidRPr="00946824" w:rsidRDefault="006407EF" w:rsidP="00A7613C">
            <w:pPr>
              <w:pStyle w:val="ESTablebody"/>
              <w:keepLines/>
              <w:spacing w:before="0" w:after="0"/>
              <w:contextualSpacing/>
              <w:rPr>
                <w:rFonts w:ascii="Calibri" w:hAnsi="Calibri" w:cs="Calibri"/>
                <w:sz w:val="18"/>
              </w:rPr>
            </w:pPr>
            <w:r w:rsidRPr="00946824">
              <w:rPr>
                <w:rFonts w:ascii="Calibri" w:hAnsi="Calibri" w:cs="Calibri"/>
                <w:sz w:val="18"/>
              </w:rPr>
              <w:t>The working group met once in 2020–21 and supported the development of TAFE capability and international education opportunities for the Victorian TAFE sector.</w:t>
            </w:r>
          </w:p>
        </w:tc>
      </w:tr>
      <w:tr w:rsidR="006407EF" w:rsidRPr="00925213" w14:paraId="6F176F24" w14:textId="77777777" w:rsidTr="00CB69AB">
        <w:trPr>
          <w:cantSplit/>
          <w:trHeight w:val="734"/>
        </w:trPr>
        <w:tc>
          <w:tcPr>
            <w:tcW w:w="2250" w:type="dxa"/>
            <w:tcBorders>
              <w:top w:val="single" w:sz="4" w:space="0" w:color="auto"/>
              <w:bottom w:val="single" w:sz="4" w:space="0" w:color="auto"/>
            </w:tcBorders>
            <w:shd w:val="clear" w:color="auto" w:fill="auto"/>
          </w:tcPr>
          <w:p w14:paraId="3E278629"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TAFE network </w:t>
            </w:r>
            <w:proofErr w:type="gramStart"/>
            <w:r w:rsidRPr="00946824">
              <w:rPr>
                <w:rFonts w:ascii="Calibri" w:hAnsi="Calibri" w:cs="Calibri"/>
                <w:sz w:val="18"/>
              </w:rPr>
              <w:t>leaders</w:t>
            </w:r>
            <w:proofErr w:type="gramEnd"/>
            <w:r w:rsidRPr="00946824">
              <w:rPr>
                <w:rFonts w:ascii="Calibri" w:hAnsi="Calibri" w:cs="Calibri"/>
                <w:sz w:val="18"/>
              </w:rPr>
              <w:t xml:space="preserve"> forum</w:t>
            </w:r>
          </w:p>
        </w:tc>
        <w:tc>
          <w:tcPr>
            <w:tcW w:w="3321" w:type="dxa"/>
            <w:tcBorders>
              <w:top w:val="single" w:sz="4" w:space="0" w:color="auto"/>
              <w:bottom w:val="single" w:sz="4" w:space="0" w:color="auto"/>
            </w:tcBorders>
          </w:tcPr>
          <w:p w14:paraId="0D52B5E1" w14:textId="34A9513A" w:rsidR="006407EF" w:rsidRPr="00946824" w:rsidRDefault="006407EF" w:rsidP="00A7613C">
            <w:pPr>
              <w:pStyle w:val="ESTablebody"/>
              <w:rPr>
                <w:rFonts w:ascii="Calibri" w:hAnsi="Calibri" w:cs="Calibri"/>
                <w:sz w:val="18"/>
              </w:rPr>
            </w:pPr>
            <w:r w:rsidRPr="00946824">
              <w:rPr>
                <w:rFonts w:ascii="Calibri" w:hAnsi="Calibri" w:cs="Calibri"/>
                <w:sz w:val="18"/>
              </w:rPr>
              <w:t>The forum is a monthly meeting of TAFE CEOs and VET leaders of dual</w:t>
            </w:r>
            <w:r w:rsidR="006F75F0">
              <w:rPr>
                <w:rFonts w:ascii="Calibri" w:hAnsi="Calibri" w:cs="Calibri"/>
                <w:sz w:val="18"/>
              </w:rPr>
              <w:t>-</w:t>
            </w:r>
            <w:r w:rsidRPr="00946824">
              <w:rPr>
                <w:rFonts w:ascii="Calibri" w:hAnsi="Calibri" w:cs="Calibri"/>
                <w:sz w:val="18"/>
              </w:rPr>
              <w:t>sector universities. It explores both strategic and operational issues facing the TAFE network.</w:t>
            </w:r>
          </w:p>
        </w:tc>
        <w:tc>
          <w:tcPr>
            <w:tcW w:w="3268" w:type="dxa"/>
            <w:tcBorders>
              <w:top w:val="single" w:sz="4" w:space="0" w:color="auto"/>
              <w:bottom w:val="single" w:sz="4" w:space="0" w:color="auto"/>
            </w:tcBorders>
          </w:tcPr>
          <w:p w14:paraId="39182A31" w14:textId="69DB3E3E" w:rsidR="006407EF" w:rsidRPr="00946824" w:rsidRDefault="006407EF" w:rsidP="00A7613C">
            <w:pPr>
              <w:pStyle w:val="ESTablebody"/>
              <w:keepLines/>
              <w:spacing w:before="0" w:after="0"/>
              <w:contextualSpacing/>
              <w:rPr>
                <w:rFonts w:ascii="Calibri" w:hAnsi="Calibri" w:cs="Calibri"/>
                <w:sz w:val="18"/>
              </w:rPr>
            </w:pPr>
            <w:r w:rsidRPr="00946824">
              <w:rPr>
                <w:rFonts w:ascii="Calibri" w:hAnsi="Calibri" w:cs="Calibri"/>
                <w:sz w:val="18"/>
                <w:lang w:val="en-AU"/>
              </w:rPr>
              <w:t>The forum met nine times during 2020–21. TAFE CEOs and the VET leaders at dual</w:t>
            </w:r>
            <w:r w:rsidR="006F75F0">
              <w:rPr>
                <w:rFonts w:ascii="Calibri" w:hAnsi="Calibri" w:cs="Calibri"/>
                <w:sz w:val="18"/>
                <w:lang w:val="en-AU"/>
              </w:rPr>
              <w:t>-</w:t>
            </w:r>
            <w:r w:rsidRPr="00946824">
              <w:rPr>
                <w:rFonts w:ascii="Calibri" w:hAnsi="Calibri" w:cs="Calibri"/>
                <w:sz w:val="18"/>
                <w:lang w:val="en-AU"/>
              </w:rPr>
              <w:t>sector universities helped the network to provide greater opportunities to Victorian VET learners.</w:t>
            </w:r>
          </w:p>
        </w:tc>
      </w:tr>
      <w:tr w:rsidR="006407EF" w:rsidRPr="00925213" w14:paraId="375DED1B" w14:textId="77777777" w:rsidTr="00CB69AB">
        <w:trPr>
          <w:cantSplit/>
          <w:trHeight w:val="1257"/>
        </w:trPr>
        <w:tc>
          <w:tcPr>
            <w:tcW w:w="2250" w:type="dxa"/>
            <w:tcBorders>
              <w:top w:val="single" w:sz="4" w:space="0" w:color="auto"/>
              <w:bottom w:val="single" w:sz="4" w:space="0" w:color="auto"/>
            </w:tcBorders>
            <w:shd w:val="clear" w:color="auto" w:fill="auto"/>
          </w:tcPr>
          <w:p w14:paraId="710FB402" w14:textId="77777777" w:rsidR="006407EF" w:rsidRPr="00946824" w:rsidRDefault="006407EF" w:rsidP="00A7613C">
            <w:pPr>
              <w:pStyle w:val="ESTablebody"/>
              <w:rPr>
                <w:rFonts w:ascii="Calibri" w:hAnsi="Calibri" w:cs="Calibri"/>
                <w:sz w:val="18"/>
              </w:rPr>
            </w:pPr>
            <w:r w:rsidRPr="00946824">
              <w:rPr>
                <w:rFonts w:ascii="Calibri" w:hAnsi="Calibri" w:cs="Calibri"/>
                <w:sz w:val="18"/>
              </w:rPr>
              <w:lastRenderedPageBreak/>
              <w:t xml:space="preserve">Victorian Early Years Learning and Development Framework (VEYLDF) Project Board </w:t>
            </w:r>
          </w:p>
        </w:tc>
        <w:tc>
          <w:tcPr>
            <w:tcW w:w="3321" w:type="dxa"/>
            <w:tcBorders>
              <w:top w:val="single" w:sz="4" w:space="0" w:color="auto"/>
              <w:bottom w:val="single" w:sz="4" w:space="0" w:color="auto"/>
            </w:tcBorders>
          </w:tcPr>
          <w:p w14:paraId="02799B5B" w14:textId="39D1D8F9" w:rsidR="006407EF" w:rsidRPr="00946824" w:rsidRDefault="006407EF" w:rsidP="00A7613C">
            <w:pPr>
              <w:pStyle w:val="ESTablebody"/>
              <w:rPr>
                <w:rFonts w:ascii="Calibri" w:hAnsi="Calibri" w:cs="Calibri"/>
                <w:sz w:val="18"/>
              </w:rPr>
            </w:pPr>
            <w:r w:rsidRPr="00946824">
              <w:rPr>
                <w:rFonts w:ascii="Calibri" w:hAnsi="Calibri" w:cs="Calibri"/>
                <w:sz w:val="18"/>
              </w:rPr>
              <w:t>The Project Board is co-sponsored by senior executives of DET and VCAA. It comprises representation from across DET, VCAA, DFF, and the VCC. The Board was established to support the implementation of the VEYLDF and Transition to School initiative. Since its establishment, the remit has been expanded to include governance of the School Readiness Funding (SRF) menu of evidence</w:t>
            </w:r>
            <w:r w:rsidR="00162D4C">
              <w:rPr>
                <w:rFonts w:ascii="Calibri" w:hAnsi="Calibri" w:cs="Calibri"/>
                <w:sz w:val="18"/>
              </w:rPr>
              <w:t>-</w:t>
            </w:r>
            <w:r w:rsidRPr="00946824">
              <w:rPr>
                <w:rFonts w:ascii="Calibri" w:hAnsi="Calibri" w:cs="Calibri"/>
                <w:sz w:val="18"/>
              </w:rPr>
              <w:t>informed programs and supports, and Early Learning Leadership Forums and Early Years Learning Networks.</w:t>
            </w:r>
          </w:p>
        </w:tc>
        <w:tc>
          <w:tcPr>
            <w:tcW w:w="3268" w:type="dxa"/>
            <w:tcBorders>
              <w:top w:val="single" w:sz="4" w:space="0" w:color="auto"/>
              <w:bottom w:val="single" w:sz="4" w:space="0" w:color="auto"/>
            </w:tcBorders>
          </w:tcPr>
          <w:p w14:paraId="0E499175" w14:textId="48D6BCB8" w:rsidR="006407EF" w:rsidRPr="00946824" w:rsidRDefault="006407EF" w:rsidP="00A7613C">
            <w:pPr>
              <w:pStyle w:val="ESTablebody"/>
              <w:rPr>
                <w:rFonts w:ascii="Calibri" w:hAnsi="Calibri" w:cs="Calibri"/>
                <w:sz w:val="18"/>
              </w:rPr>
            </w:pPr>
            <w:r w:rsidRPr="00946824">
              <w:rPr>
                <w:rFonts w:ascii="Calibri" w:hAnsi="Calibri" w:cs="Calibri"/>
                <w:sz w:val="18"/>
              </w:rPr>
              <w:t>The Project Board met four times either in person or out-of-session in 2020</w:t>
            </w:r>
            <w:r w:rsidR="00162D4C">
              <w:rPr>
                <w:rFonts w:ascii="Calibri" w:hAnsi="Calibri" w:cs="Calibri"/>
                <w:sz w:val="18"/>
              </w:rPr>
              <w:t>–</w:t>
            </w:r>
            <w:r w:rsidRPr="00946824">
              <w:rPr>
                <w:rFonts w:ascii="Calibri" w:hAnsi="Calibri" w:cs="Calibri"/>
                <w:sz w:val="18"/>
              </w:rPr>
              <w:t>21, and in this time provided oversight of: Learning from Home and Three-Year-Old Kindergarten Teaching Toolkit professional learning; the addition of new items to the 2021 SRF menu; continued implementation of the</w:t>
            </w:r>
            <w:r w:rsidR="00443FC0">
              <w:rPr>
                <w:rFonts w:ascii="Calibri" w:hAnsi="Calibri" w:cs="Calibri"/>
                <w:sz w:val="18"/>
              </w:rPr>
              <w:t xml:space="preserve"> </w:t>
            </w:r>
            <w:r w:rsidRPr="00946824">
              <w:rPr>
                <w:rFonts w:ascii="Calibri" w:hAnsi="Calibri" w:cs="Calibri"/>
                <w:sz w:val="18"/>
              </w:rPr>
              <w:t xml:space="preserve">Early Learning Leadership Forums and Early Years Learning Networks; and the evaluation of 2016 VEYLDF Implementation. </w:t>
            </w:r>
          </w:p>
        </w:tc>
      </w:tr>
      <w:tr w:rsidR="006407EF" w:rsidRPr="00925213" w14:paraId="22AEF429" w14:textId="77777777" w:rsidTr="00CB69AB">
        <w:trPr>
          <w:cantSplit/>
          <w:trHeight w:val="225"/>
        </w:trPr>
        <w:tc>
          <w:tcPr>
            <w:tcW w:w="2250" w:type="dxa"/>
            <w:tcBorders>
              <w:top w:val="single" w:sz="4" w:space="0" w:color="auto"/>
              <w:bottom w:val="single" w:sz="4" w:space="0" w:color="auto"/>
            </w:tcBorders>
            <w:shd w:val="clear" w:color="auto" w:fill="auto"/>
          </w:tcPr>
          <w:p w14:paraId="295DE6BF"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Victorian home education advisory committee</w:t>
            </w:r>
          </w:p>
        </w:tc>
        <w:tc>
          <w:tcPr>
            <w:tcW w:w="3321" w:type="dxa"/>
            <w:tcBorders>
              <w:top w:val="single" w:sz="4" w:space="0" w:color="auto"/>
              <w:bottom w:val="single" w:sz="4" w:space="0" w:color="auto"/>
            </w:tcBorders>
          </w:tcPr>
          <w:p w14:paraId="126A013C"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 xml:space="preserve">The Committee provides guidance, information and feedback to the Department and the Victorian Registration and Qualifications Authority on the operation of the new </w:t>
            </w:r>
            <w:proofErr w:type="gramStart"/>
            <w:r w:rsidRPr="00946824">
              <w:rPr>
                <w:rFonts w:ascii="Calibri" w:hAnsi="Calibri" w:cs="Calibri"/>
                <w:sz w:val="18"/>
              </w:rPr>
              <w:t>home schooling</w:t>
            </w:r>
            <w:proofErr w:type="gramEnd"/>
            <w:r w:rsidRPr="00946824">
              <w:rPr>
                <w:rFonts w:ascii="Calibri" w:hAnsi="Calibri" w:cs="Calibri"/>
                <w:sz w:val="18"/>
              </w:rPr>
              <w:t xml:space="preserve"> regulations and other home schooling matters.</w:t>
            </w:r>
          </w:p>
        </w:tc>
        <w:tc>
          <w:tcPr>
            <w:tcW w:w="3268" w:type="dxa"/>
            <w:tcBorders>
              <w:top w:val="single" w:sz="4" w:space="0" w:color="auto"/>
              <w:bottom w:val="single" w:sz="4" w:space="0" w:color="auto"/>
            </w:tcBorders>
          </w:tcPr>
          <w:p w14:paraId="07BE1818" w14:textId="77777777" w:rsidR="006407EF" w:rsidRPr="00946824" w:rsidRDefault="006407EF" w:rsidP="00CB69AB">
            <w:pPr>
              <w:pStyle w:val="ESTablebody"/>
              <w:rPr>
                <w:rFonts w:ascii="Calibri" w:hAnsi="Calibri" w:cs="Calibri"/>
                <w:sz w:val="18"/>
              </w:rPr>
            </w:pPr>
            <w:r w:rsidRPr="00946824">
              <w:rPr>
                <w:rFonts w:ascii="Calibri" w:hAnsi="Calibri" w:cs="Calibri"/>
                <w:sz w:val="18"/>
                <w:lang w:val="en-AU"/>
              </w:rPr>
              <w:t>The committee met quarterly and discussed issues relating to the implementation and operation of the 2017 home education regulatory changes. The committee oversaw the completion of a two-year review of the 2017 regulatory changes to home education.</w:t>
            </w:r>
          </w:p>
        </w:tc>
      </w:tr>
      <w:tr w:rsidR="006407EF" w:rsidRPr="00925213" w14:paraId="20B2D08E" w14:textId="77777777" w:rsidTr="00CB69AB">
        <w:trPr>
          <w:cantSplit/>
          <w:trHeight w:val="225"/>
        </w:trPr>
        <w:tc>
          <w:tcPr>
            <w:tcW w:w="2250" w:type="dxa"/>
            <w:tcBorders>
              <w:top w:val="single" w:sz="4" w:space="0" w:color="auto"/>
              <w:bottom w:val="single" w:sz="4" w:space="0" w:color="auto"/>
            </w:tcBorders>
            <w:shd w:val="clear" w:color="auto" w:fill="auto"/>
          </w:tcPr>
          <w:p w14:paraId="2CD99F83" w14:textId="77777777" w:rsidR="006407EF" w:rsidRPr="00946824" w:rsidRDefault="006407EF" w:rsidP="00CB69AB">
            <w:pPr>
              <w:pStyle w:val="ESTablebody"/>
              <w:rPr>
                <w:rFonts w:ascii="Calibri" w:hAnsi="Calibri" w:cs="Calibri"/>
                <w:sz w:val="18"/>
              </w:rPr>
            </w:pPr>
            <w:r w:rsidRPr="00946824">
              <w:rPr>
                <w:rFonts w:ascii="Calibri" w:hAnsi="Calibri" w:cs="Calibri"/>
                <w:sz w:val="18"/>
              </w:rPr>
              <w:t xml:space="preserve">Victorian </w:t>
            </w:r>
            <w:proofErr w:type="gramStart"/>
            <w:r w:rsidRPr="00946824">
              <w:rPr>
                <w:rFonts w:ascii="Calibri" w:hAnsi="Calibri" w:cs="Calibri"/>
                <w:sz w:val="18"/>
              </w:rPr>
              <w:t>schools</w:t>
            </w:r>
            <w:proofErr w:type="gramEnd"/>
            <w:r w:rsidRPr="00946824">
              <w:rPr>
                <w:rFonts w:ascii="Calibri" w:hAnsi="Calibri" w:cs="Calibri"/>
                <w:sz w:val="18"/>
              </w:rPr>
              <w:t xml:space="preserve"> animal ethics committee</w:t>
            </w:r>
          </w:p>
        </w:tc>
        <w:tc>
          <w:tcPr>
            <w:tcW w:w="3321" w:type="dxa"/>
            <w:tcBorders>
              <w:top w:val="single" w:sz="4" w:space="0" w:color="auto"/>
              <w:bottom w:val="single" w:sz="4" w:space="0" w:color="auto"/>
            </w:tcBorders>
          </w:tcPr>
          <w:p w14:paraId="33C93D88" w14:textId="77777777" w:rsidR="006407EF" w:rsidRPr="00946824" w:rsidRDefault="006407EF" w:rsidP="00CB69AB">
            <w:pPr>
              <w:pStyle w:val="ESTablebody"/>
              <w:rPr>
                <w:rFonts w:ascii="Calibri" w:hAnsi="Calibri" w:cs="Calibri"/>
                <w:sz w:val="18"/>
              </w:rPr>
            </w:pPr>
            <w:r w:rsidRPr="00946824">
              <w:rPr>
                <w:rFonts w:ascii="Calibri" w:hAnsi="Calibri" w:cs="Calibri"/>
                <w:sz w:val="18"/>
                <w:lang w:val="en-GB"/>
              </w:rPr>
              <w:t>The committee reviews and approves applications from schools to use animals for teaching purposes. It also provides advice to the Department and Victorian schools on school-based animal welfare issues.</w:t>
            </w:r>
          </w:p>
        </w:tc>
        <w:tc>
          <w:tcPr>
            <w:tcW w:w="3268" w:type="dxa"/>
            <w:tcBorders>
              <w:top w:val="single" w:sz="4" w:space="0" w:color="auto"/>
              <w:bottom w:val="single" w:sz="4" w:space="0" w:color="auto"/>
            </w:tcBorders>
          </w:tcPr>
          <w:p w14:paraId="4A4A552F" w14:textId="233CC5F0" w:rsidR="006407EF" w:rsidRPr="00946824" w:rsidRDefault="00BA0262" w:rsidP="00CB69AB">
            <w:pPr>
              <w:pStyle w:val="ESTablebody"/>
              <w:rPr>
                <w:rFonts w:ascii="Calibri" w:hAnsi="Calibri" w:cs="Calibri"/>
                <w:sz w:val="18"/>
              </w:rPr>
            </w:pPr>
            <w:r>
              <w:rPr>
                <w:rFonts w:ascii="Calibri" w:hAnsi="Calibri" w:cs="Calibri"/>
                <w:sz w:val="18"/>
                <w:lang w:val="en-GB"/>
              </w:rPr>
              <w:t>In</w:t>
            </w:r>
            <w:r w:rsidR="006407EF" w:rsidRPr="00946824">
              <w:rPr>
                <w:rFonts w:ascii="Calibri" w:hAnsi="Calibri" w:cs="Calibri"/>
                <w:sz w:val="18"/>
                <w:lang w:val="en-GB"/>
              </w:rPr>
              <w:t xml:space="preserve"> 2020–21 the committee met four times and discussed and approved applications for the use of school animals. It worked on updating the forms and templates </w:t>
            </w:r>
            <w:r w:rsidR="000B3CAD">
              <w:rPr>
                <w:rFonts w:ascii="Calibri" w:hAnsi="Calibri" w:cs="Calibri"/>
                <w:sz w:val="18"/>
                <w:lang w:val="en-GB"/>
              </w:rPr>
              <w:t xml:space="preserve">that </w:t>
            </w:r>
            <w:r w:rsidR="006407EF" w:rsidRPr="00946824">
              <w:rPr>
                <w:rFonts w:ascii="Calibri" w:hAnsi="Calibri" w:cs="Calibri"/>
                <w:sz w:val="18"/>
                <w:lang w:val="en-GB"/>
              </w:rPr>
              <w:t>schools use to make animal ethics applications, including the guidance to schools on the policy and advisory library.</w:t>
            </w:r>
          </w:p>
        </w:tc>
      </w:tr>
      <w:tr w:rsidR="006407EF" w:rsidRPr="00925213" w14:paraId="03FA235B" w14:textId="77777777" w:rsidTr="00CB69AB">
        <w:trPr>
          <w:cantSplit/>
          <w:trHeight w:val="1257"/>
        </w:trPr>
        <w:tc>
          <w:tcPr>
            <w:tcW w:w="2250" w:type="dxa"/>
            <w:tcBorders>
              <w:top w:val="single" w:sz="4" w:space="0" w:color="auto"/>
              <w:bottom w:val="single" w:sz="4" w:space="0" w:color="auto"/>
            </w:tcBorders>
            <w:shd w:val="clear" w:color="auto" w:fill="auto"/>
          </w:tcPr>
          <w:p w14:paraId="06F7A152"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Victorian universities support package - project control group</w:t>
            </w:r>
          </w:p>
        </w:tc>
        <w:tc>
          <w:tcPr>
            <w:tcW w:w="3321" w:type="dxa"/>
            <w:tcBorders>
              <w:top w:val="single" w:sz="4" w:space="0" w:color="auto"/>
              <w:bottom w:val="single" w:sz="4" w:space="0" w:color="auto"/>
            </w:tcBorders>
          </w:tcPr>
          <w:p w14:paraId="64F47013" w14:textId="77777777" w:rsidR="006407EF" w:rsidRPr="00946824" w:rsidRDefault="006407EF" w:rsidP="00A7613C">
            <w:pPr>
              <w:pStyle w:val="ESTablebody"/>
              <w:rPr>
                <w:rFonts w:ascii="Calibri" w:hAnsi="Calibri" w:cs="Calibri"/>
                <w:sz w:val="18"/>
              </w:rPr>
            </w:pPr>
            <w:r w:rsidRPr="00946824">
              <w:rPr>
                <w:rFonts w:ascii="Calibri" w:hAnsi="Calibri" w:cs="Calibri"/>
                <w:sz w:val="18"/>
              </w:rPr>
              <w:t xml:space="preserve">The control group, comprises representatives of relevant Victorian government departments and provides oversight and guidance on the design, </w:t>
            </w:r>
            <w:proofErr w:type="gramStart"/>
            <w:r w:rsidRPr="00946824">
              <w:rPr>
                <w:rFonts w:ascii="Calibri" w:hAnsi="Calibri" w:cs="Calibri"/>
                <w:sz w:val="18"/>
              </w:rPr>
              <w:t>development</w:t>
            </w:r>
            <w:proofErr w:type="gramEnd"/>
            <w:r w:rsidRPr="00946824">
              <w:rPr>
                <w:rFonts w:ascii="Calibri" w:hAnsi="Calibri" w:cs="Calibri"/>
                <w:sz w:val="18"/>
              </w:rPr>
              <w:t xml:space="preserve"> and implementation of the Victorian government support package for universities, announced on 19 May 2020. </w:t>
            </w:r>
          </w:p>
          <w:p w14:paraId="107C65F7" w14:textId="77777777" w:rsidR="006407EF" w:rsidRPr="00946824" w:rsidRDefault="006407EF" w:rsidP="00A7613C">
            <w:pPr>
              <w:pStyle w:val="ESTablebody"/>
              <w:rPr>
                <w:rFonts w:ascii="Calibri" w:hAnsi="Calibri" w:cs="Calibri"/>
                <w:sz w:val="18"/>
              </w:rPr>
            </w:pPr>
          </w:p>
        </w:tc>
        <w:tc>
          <w:tcPr>
            <w:tcW w:w="3268" w:type="dxa"/>
            <w:tcBorders>
              <w:top w:val="single" w:sz="4" w:space="0" w:color="auto"/>
              <w:bottom w:val="single" w:sz="4" w:space="0" w:color="auto"/>
            </w:tcBorders>
          </w:tcPr>
          <w:p w14:paraId="0F607F23" w14:textId="014CA81E" w:rsidR="006407EF" w:rsidRPr="00946824" w:rsidRDefault="006407EF" w:rsidP="00A7613C">
            <w:pPr>
              <w:pStyle w:val="ESTablebody"/>
              <w:keepLines/>
              <w:spacing w:before="0" w:after="0"/>
              <w:contextualSpacing/>
              <w:rPr>
                <w:rFonts w:ascii="Calibri" w:hAnsi="Calibri" w:cs="Calibri"/>
                <w:sz w:val="18"/>
                <w:lang w:val="en-AU"/>
              </w:rPr>
            </w:pPr>
            <w:r w:rsidRPr="00946824">
              <w:rPr>
                <w:rFonts w:ascii="Calibri" w:hAnsi="Calibri" w:cs="Calibri"/>
                <w:sz w:val="18"/>
              </w:rPr>
              <w:t>The control group met weekly following the announcement of the university support package to develop and monitor the implementation of the Victorian Higher Education State Investment Fund and payroll tax deferrals. It also advised on advocacy to the Commonwealth Government, and</w:t>
            </w:r>
            <w:r w:rsidR="009028B3">
              <w:rPr>
                <w:rFonts w:ascii="Calibri" w:hAnsi="Calibri" w:cs="Calibri"/>
                <w:sz w:val="18"/>
              </w:rPr>
              <w:t xml:space="preserve"> on</w:t>
            </w:r>
            <w:r w:rsidRPr="00946824">
              <w:rPr>
                <w:rFonts w:ascii="Calibri" w:hAnsi="Calibri" w:cs="Calibri"/>
                <w:sz w:val="18"/>
              </w:rPr>
              <w:t xml:space="preserve"> development of partnership agreements between the Victorian Government and Victorian universities.</w:t>
            </w:r>
          </w:p>
        </w:tc>
      </w:tr>
      <w:tr w:rsidR="006407EF" w:rsidRPr="00925213" w14:paraId="39655371" w14:textId="77777777" w:rsidTr="00CB69AB">
        <w:trPr>
          <w:cantSplit/>
          <w:trHeight w:val="1001"/>
        </w:trPr>
        <w:tc>
          <w:tcPr>
            <w:tcW w:w="2250" w:type="dxa"/>
            <w:tcBorders>
              <w:top w:val="single" w:sz="4" w:space="0" w:color="53565A" w:themeColor="accent5"/>
              <w:bottom w:val="single" w:sz="4" w:space="0" w:color="53565A" w:themeColor="accent5"/>
            </w:tcBorders>
            <w:shd w:val="clear" w:color="auto" w:fill="auto"/>
          </w:tcPr>
          <w:p w14:paraId="2E2B1208" w14:textId="77777777" w:rsidR="006407EF" w:rsidRPr="00946824" w:rsidRDefault="006407EF" w:rsidP="00CB69AB">
            <w:pPr>
              <w:pStyle w:val="ESTablebody"/>
              <w:rPr>
                <w:rFonts w:ascii="Calibri" w:hAnsi="Calibri" w:cs="Calibri"/>
                <w:sz w:val="18"/>
              </w:rPr>
            </w:pPr>
            <w:bookmarkStart w:id="15" w:name="_Hlk75791171"/>
            <w:r w:rsidRPr="00946824">
              <w:rPr>
                <w:rFonts w:ascii="Calibri" w:hAnsi="Calibri" w:cs="Calibri"/>
                <w:sz w:val="18"/>
              </w:rPr>
              <w:t xml:space="preserve">Workforce, recruitment, </w:t>
            </w:r>
            <w:proofErr w:type="gramStart"/>
            <w:r w:rsidRPr="00946824">
              <w:rPr>
                <w:rFonts w:ascii="Calibri" w:hAnsi="Calibri" w:cs="Calibri"/>
                <w:sz w:val="18"/>
              </w:rPr>
              <w:t>retention</w:t>
            </w:r>
            <w:proofErr w:type="gramEnd"/>
            <w:r w:rsidRPr="00946824">
              <w:rPr>
                <w:rFonts w:ascii="Calibri" w:hAnsi="Calibri" w:cs="Calibri"/>
                <w:sz w:val="18"/>
              </w:rPr>
              <w:t xml:space="preserve"> and support working group</w:t>
            </w:r>
            <w:bookmarkEnd w:id="15"/>
          </w:p>
        </w:tc>
        <w:tc>
          <w:tcPr>
            <w:tcW w:w="3321" w:type="dxa"/>
            <w:tcBorders>
              <w:top w:val="single" w:sz="4" w:space="0" w:color="53565A" w:themeColor="accent5"/>
              <w:bottom w:val="single" w:sz="4" w:space="0" w:color="53565A" w:themeColor="accent5"/>
            </w:tcBorders>
          </w:tcPr>
          <w:p w14:paraId="455F8AAF" w14:textId="78CD4E5E" w:rsidR="006407EF" w:rsidRPr="00946824" w:rsidRDefault="006407EF" w:rsidP="00CB69AB">
            <w:pPr>
              <w:pStyle w:val="ESTablebody"/>
              <w:rPr>
                <w:rFonts w:ascii="Calibri" w:hAnsi="Calibri" w:cs="Calibri"/>
                <w:sz w:val="18"/>
              </w:rPr>
            </w:pPr>
            <w:r w:rsidRPr="00946824">
              <w:rPr>
                <w:rFonts w:ascii="Calibri" w:hAnsi="Calibri" w:cs="Calibri"/>
                <w:sz w:val="18"/>
              </w:rPr>
              <w:t>A subgroup of the Guiding Coalition</w:t>
            </w:r>
            <w:r w:rsidR="005217E1">
              <w:rPr>
                <w:rFonts w:ascii="Calibri" w:hAnsi="Calibri" w:cs="Calibri"/>
                <w:sz w:val="18"/>
              </w:rPr>
              <w:t xml:space="preserve"> (see above)</w:t>
            </w:r>
            <w:r w:rsidRPr="00946824">
              <w:rPr>
                <w:rFonts w:ascii="Calibri" w:hAnsi="Calibri" w:cs="Calibri"/>
                <w:sz w:val="18"/>
              </w:rPr>
              <w:t>, the working group focuses on priority issues that</w:t>
            </w:r>
            <w:r w:rsidRPr="00946824">
              <w:rPr>
                <w:rFonts w:ascii="Calibri" w:hAnsi="Calibri" w:cs="Calibri"/>
              </w:rPr>
              <w:t xml:space="preserve"> </w:t>
            </w:r>
            <w:r w:rsidRPr="00946824">
              <w:rPr>
                <w:rFonts w:ascii="Calibri" w:hAnsi="Calibri" w:cs="Calibri"/>
                <w:sz w:val="18"/>
              </w:rPr>
              <w:t>seek to improve the experiences and educational outcomes of students across Victoria.</w:t>
            </w:r>
          </w:p>
        </w:tc>
        <w:tc>
          <w:tcPr>
            <w:tcW w:w="3268" w:type="dxa"/>
            <w:tcBorders>
              <w:top w:val="single" w:sz="4" w:space="0" w:color="53565A" w:themeColor="accent5"/>
              <w:bottom w:val="single" w:sz="4" w:space="0" w:color="53565A" w:themeColor="accent5"/>
            </w:tcBorders>
          </w:tcPr>
          <w:p w14:paraId="7D5823E0" w14:textId="77777777" w:rsidR="006407EF" w:rsidRPr="00946824" w:rsidRDefault="006407EF" w:rsidP="00CB69AB">
            <w:pPr>
              <w:pStyle w:val="ESTablebody"/>
              <w:rPr>
                <w:rFonts w:ascii="Calibri" w:hAnsi="Calibri" w:cs="Calibri"/>
                <w:sz w:val="18"/>
              </w:rPr>
            </w:pPr>
            <w:r w:rsidRPr="00946824">
              <w:rPr>
                <w:rFonts w:ascii="Calibri" w:hAnsi="Calibri" w:cs="Calibri"/>
                <w:sz w:val="18"/>
                <w:lang w:val="en-AU"/>
              </w:rPr>
              <w:t>The working group discussed issues affecting the education workforce. This included attraction and recruitment, preparation and induction, and retention and development, with a particular focus on rural and regional areas.</w:t>
            </w:r>
          </w:p>
        </w:tc>
      </w:tr>
    </w:tbl>
    <w:p w14:paraId="492ED52E" w14:textId="71127284" w:rsidR="0028532D" w:rsidRPr="00B85B32" w:rsidRDefault="0028532D" w:rsidP="0028532D">
      <w:pPr>
        <w:rPr>
          <w:rFonts w:ascii="Calibri" w:hAnsi="Calibri" w:cs="Calibri"/>
          <w:lang w:val="en-US"/>
        </w:rPr>
      </w:pPr>
    </w:p>
    <w:p w14:paraId="2084F74A" w14:textId="0265F4AE" w:rsidR="0028532D" w:rsidRPr="00B85B32" w:rsidRDefault="0028532D" w:rsidP="0028532D">
      <w:pPr>
        <w:rPr>
          <w:rFonts w:ascii="Calibri" w:hAnsi="Calibri" w:cs="Calibri"/>
          <w:lang w:val="en-US"/>
        </w:rPr>
      </w:pPr>
    </w:p>
    <w:p w14:paraId="20008BCA" w14:textId="71287375" w:rsidR="0028532D" w:rsidRPr="00B85B32" w:rsidRDefault="0028532D" w:rsidP="0028532D">
      <w:pPr>
        <w:rPr>
          <w:rFonts w:ascii="Calibri" w:hAnsi="Calibri" w:cs="Calibri"/>
          <w:lang w:val="en-US"/>
        </w:rPr>
        <w:sectPr w:rsidR="0028532D" w:rsidRPr="00B85B32" w:rsidSect="000A737C">
          <w:pgSz w:w="11900" w:h="16840"/>
          <w:pgMar w:top="1440" w:right="1440" w:bottom="1440" w:left="1440" w:header="708" w:footer="708" w:gutter="0"/>
          <w:cols w:space="708"/>
          <w:docGrid w:linePitch="360"/>
        </w:sectPr>
      </w:pPr>
    </w:p>
    <w:p w14:paraId="6EA10FA8" w14:textId="5479DBAC" w:rsidR="0028532D" w:rsidRPr="00B85B32" w:rsidRDefault="0028532D" w:rsidP="0048665E">
      <w:pPr>
        <w:pStyle w:val="ESHeading1"/>
        <w:rPr>
          <w:rFonts w:ascii="Calibri" w:hAnsi="Calibri" w:cs="Calibri"/>
        </w:rPr>
      </w:pPr>
      <w:bookmarkStart w:id="16" w:name="_Toc8899538"/>
      <w:bookmarkStart w:id="17" w:name="_Toc78458390"/>
      <w:r w:rsidRPr="00B85B32">
        <w:rPr>
          <w:rFonts w:ascii="Calibri" w:hAnsi="Calibri" w:cs="Calibri"/>
        </w:rPr>
        <w:lastRenderedPageBreak/>
        <w:t>Consultan</w:t>
      </w:r>
      <w:r w:rsidR="007120FD">
        <w:rPr>
          <w:rFonts w:ascii="Calibri" w:hAnsi="Calibri" w:cs="Calibri"/>
        </w:rPr>
        <w:t>t</w:t>
      </w:r>
      <w:r w:rsidRPr="00B85B32">
        <w:rPr>
          <w:rFonts w:ascii="Calibri" w:hAnsi="Calibri" w:cs="Calibri"/>
        </w:rPr>
        <w:t>s and contractors</w:t>
      </w:r>
      <w:bookmarkEnd w:id="16"/>
      <w:bookmarkEnd w:id="17"/>
    </w:p>
    <w:p w14:paraId="4F485F7D" w14:textId="31CA37B4" w:rsidR="00D34D92" w:rsidRPr="00925213" w:rsidRDefault="00D34D92" w:rsidP="00D34D92">
      <w:pPr>
        <w:rPr>
          <w:rFonts w:ascii="Calibri" w:hAnsi="Calibri" w:cs="Calibri"/>
        </w:rPr>
      </w:pPr>
      <w:r w:rsidRPr="00925213">
        <w:rPr>
          <w:rFonts w:ascii="Calibri" w:hAnsi="Calibri" w:cs="Calibri"/>
        </w:rPr>
        <w:t>The tables below detail the consultan</w:t>
      </w:r>
      <w:r w:rsidR="00F94684">
        <w:rPr>
          <w:rFonts w:ascii="Calibri" w:hAnsi="Calibri" w:cs="Calibri"/>
        </w:rPr>
        <w:t>t</w:t>
      </w:r>
      <w:r w:rsidRPr="00925213">
        <w:rPr>
          <w:rFonts w:ascii="Calibri" w:hAnsi="Calibri" w:cs="Calibri"/>
        </w:rPr>
        <w:t>s and contractors engaged by the Department in 2020</w:t>
      </w:r>
      <w:r w:rsidR="000A737C" w:rsidRPr="00925213">
        <w:rPr>
          <w:rFonts w:ascii="Calibri" w:hAnsi="Calibri" w:cs="Calibri"/>
        </w:rPr>
        <w:t>–</w:t>
      </w:r>
      <w:r w:rsidRPr="00925213">
        <w:rPr>
          <w:rFonts w:ascii="Calibri" w:hAnsi="Calibri" w:cs="Calibri"/>
        </w:rPr>
        <w:t xml:space="preserve">21. </w:t>
      </w:r>
    </w:p>
    <w:p w14:paraId="26841F98" w14:textId="77777777" w:rsidR="00D34D92" w:rsidRPr="00925213" w:rsidRDefault="00D34D92" w:rsidP="00D34D92">
      <w:pPr>
        <w:rPr>
          <w:rFonts w:ascii="Calibri" w:hAnsi="Calibri" w:cs="Calibri"/>
        </w:rPr>
      </w:pPr>
    </w:p>
    <w:p w14:paraId="35BCD440" w14:textId="521A8AAE" w:rsidR="00D34D92" w:rsidRPr="00925213" w:rsidRDefault="00D34D92" w:rsidP="00D34D92">
      <w:pPr>
        <w:rPr>
          <w:rFonts w:ascii="Calibri" w:hAnsi="Calibri" w:cs="Calibri"/>
        </w:rPr>
      </w:pPr>
      <w:r w:rsidRPr="00925213">
        <w:rPr>
          <w:rFonts w:ascii="Calibri" w:hAnsi="Calibri" w:cs="Calibri"/>
        </w:rPr>
        <w:t>This information may exclude payments to contractors made by government schools and payments for capital works in progress.</w:t>
      </w:r>
      <w:r w:rsidR="00C3010C">
        <w:rPr>
          <w:rStyle w:val="FootnoteReference"/>
          <w:rFonts w:ascii="Calibri" w:hAnsi="Calibri" w:cs="Calibri"/>
        </w:rPr>
        <w:footnoteReference w:id="2"/>
      </w:r>
    </w:p>
    <w:p w14:paraId="28276069" w14:textId="77777777" w:rsidR="00D34D92" w:rsidRPr="00925213" w:rsidRDefault="00D34D92" w:rsidP="00D34D92">
      <w:pPr>
        <w:pStyle w:val="ESHeading3"/>
        <w:rPr>
          <w:rFonts w:ascii="Calibri" w:hAnsi="Calibri" w:cs="Calibri"/>
          <w:lang w:val="en-AU"/>
        </w:rPr>
      </w:pPr>
      <w:bookmarkStart w:id="18" w:name="_Toc78458391"/>
      <w:r w:rsidRPr="00925213">
        <w:rPr>
          <w:rFonts w:ascii="Calibri" w:hAnsi="Calibri" w:cs="Calibri"/>
          <w:lang w:val="en-AU"/>
        </w:rPr>
        <w:t>Details of consultancies valued at $10,000 or more</w:t>
      </w:r>
      <w:bookmarkEnd w:id="18"/>
    </w:p>
    <w:p w14:paraId="09AA68BA" w14:textId="377B14D5" w:rsidR="00D34D92" w:rsidRPr="00925213" w:rsidRDefault="00D34D92" w:rsidP="00D34D92">
      <w:pPr>
        <w:rPr>
          <w:rFonts w:ascii="Calibri" w:hAnsi="Calibri" w:cs="Calibri"/>
        </w:rPr>
      </w:pPr>
      <w:r w:rsidRPr="00925213">
        <w:rPr>
          <w:rFonts w:ascii="Calibri" w:hAnsi="Calibri" w:cs="Calibri"/>
        </w:rPr>
        <w:t>In 2020</w:t>
      </w:r>
      <w:r w:rsidR="000A737C" w:rsidRPr="00925213">
        <w:rPr>
          <w:rFonts w:ascii="Calibri" w:hAnsi="Calibri" w:cs="Calibri"/>
        </w:rPr>
        <w:t>–</w:t>
      </w:r>
      <w:r w:rsidRPr="00925213">
        <w:rPr>
          <w:rFonts w:ascii="Calibri" w:hAnsi="Calibri" w:cs="Calibri"/>
        </w:rPr>
        <w:t xml:space="preserve">21, there were 39 consultancies </w:t>
      </w:r>
      <w:r w:rsidR="00C3010C">
        <w:rPr>
          <w:rFonts w:ascii="Calibri" w:hAnsi="Calibri" w:cs="Calibri"/>
        </w:rPr>
        <w:t>that incurred</w:t>
      </w:r>
      <w:r w:rsidRPr="00925213">
        <w:rPr>
          <w:rFonts w:ascii="Calibri" w:hAnsi="Calibri" w:cs="Calibri"/>
        </w:rPr>
        <w:t xml:space="preserve"> total fees of $10,000 or more. These consultancies incurred a total expenditure of $4.43 million (excluding GST) and are detailed in the table below.</w:t>
      </w:r>
    </w:p>
    <w:p w14:paraId="2CB19E05" w14:textId="77777777" w:rsidR="00D34D92" w:rsidRPr="00925213" w:rsidRDefault="00D34D92" w:rsidP="00D34D92">
      <w:pPr>
        <w:pStyle w:val="ESTableintroheading"/>
        <w:rPr>
          <w:rFonts w:ascii="Calibri" w:hAnsi="Calibri" w:cs="Calibri"/>
        </w:rPr>
      </w:pPr>
      <w:r w:rsidRPr="00925213">
        <w:rPr>
          <w:rFonts w:ascii="Calibri" w:hAnsi="Calibri" w:cs="Calibri"/>
        </w:rPr>
        <w:t xml:space="preserve">Consultancy expenditure </w:t>
      </w:r>
    </w:p>
    <w:tbl>
      <w:tblPr>
        <w:tblStyle w:val="TableGrid"/>
        <w:tblW w:w="5096"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57"/>
        <w:gridCol w:w="3613"/>
        <w:gridCol w:w="1217"/>
        <w:gridCol w:w="1316"/>
        <w:gridCol w:w="2057"/>
        <w:gridCol w:w="1490"/>
        <w:gridCol w:w="49"/>
        <w:gridCol w:w="1519"/>
      </w:tblGrid>
      <w:tr w:rsidR="005F54A8" w:rsidRPr="009423C3" w14:paraId="52972E20" w14:textId="77777777" w:rsidTr="00D34D92">
        <w:trPr>
          <w:cantSplit/>
          <w:trHeight w:val="246"/>
          <w:tblHeader/>
        </w:trPr>
        <w:tc>
          <w:tcPr>
            <w:tcW w:w="2957" w:type="dxa"/>
            <w:tcBorders>
              <w:bottom w:val="single" w:sz="4" w:space="0" w:color="FFFFFF" w:themeColor="background1"/>
            </w:tcBorders>
            <w:shd w:val="clear" w:color="auto" w:fill="AF272F"/>
          </w:tcPr>
          <w:p w14:paraId="3507EBF3"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Consultant</w:t>
            </w:r>
          </w:p>
        </w:tc>
        <w:tc>
          <w:tcPr>
            <w:tcW w:w="3613" w:type="dxa"/>
            <w:tcBorders>
              <w:bottom w:val="single" w:sz="4" w:space="0" w:color="FFFFFF" w:themeColor="background1"/>
            </w:tcBorders>
            <w:shd w:val="clear" w:color="auto" w:fill="AF272F" w:themeFill="accent4"/>
          </w:tcPr>
          <w:p w14:paraId="0BF3A3B8"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Purpose of consultancy</w:t>
            </w:r>
          </w:p>
        </w:tc>
        <w:tc>
          <w:tcPr>
            <w:tcW w:w="1217" w:type="dxa"/>
            <w:tcBorders>
              <w:bottom w:val="single" w:sz="4" w:space="0" w:color="FFFFFF" w:themeColor="background1"/>
            </w:tcBorders>
            <w:shd w:val="clear" w:color="auto" w:fill="AF272F" w:themeFill="accent4"/>
          </w:tcPr>
          <w:p w14:paraId="1CDC868A" w14:textId="7C7C9AE5"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Sta</w:t>
            </w:r>
            <w:r w:rsidR="0048231C">
              <w:rPr>
                <w:rFonts w:ascii="Calibri" w:hAnsi="Calibri" w:cs="Calibri"/>
                <w:sz w:val="20"/>
                <w:szCs w:val="20"/>
              </w:rPr>
              <w:t>r</w:t>
            </w:r>
            <w:r w:rsidRPr="00925213">
              <w:rPr>
                <w:rFonts w:ascii="Calibri" w:hAnsi="Calibri" w:cs="Calibri"/>
                <w:sz w:val="20"/>
                <w:szCs w:val="20"/>
              </w:rPr>
              <w:t>t date</w:t>
            </w:r>
          </w:p>
        </w:tc>
        <w:tc>
          <w:tcPr>
            <w:tcW w:w="1316" w:type="dxa"/>
            <w:tcBorders>
              <w:bottom w:val="single" w:sz="4" w:space="0" w:color="FFFFFF" w:themeColor="background1"/>
            </w:tcBorders>
            <w:shd w:val="clear" w:color="auto" w:fill="AF272F" w:themeFill="accent4"/>
          </w:tcPr>
          <w:p w14:paraId="5322148E" w14:textId="77777777" w:rsidR="005F54A8" w:rsidRPr="00925213" w:rsidRDefault="005F54A8" w:rsidP="005F54A8">
            <w:pPr>
              <w:pStyle w:val="ESTableheadingwhite"/>
              <w:rPr>
                <w:rFonts w:ascii="Calibri" w:hAnsi="Calibri" w:cs="Calibri"/>
                <w:sz w:val="20"/>
                <w:szCs w:val="20"/>
              </w:rPr>
            </w:pPr>
            <w:r w:rsidRPr="00925213">
              <w:rPr>
                <w:rFonts w:ascii="Calibri" w:hAnsi="Calibri" w:cs="Calibri"/>
                <w:sz w:val="20"/>
                <w:szCs w:val="20"/>
              </w:rPr>
              <w:t>End date</w:t>
            </w:r>
          </w:p>
        </w:tc>
        <w:tc>
          <w:tcPr>
            <w:tcW w:w="2057" w:type="dxa"/>
            <w:tcBorders>
              <w:bottom w:val="single" w:sz="4" w:space="0" w:color="FFFFFF" w:themeColor="background1"/>
            </w:tcBorders>
            <w:shd w:val="clear" w:color="auto" w:fill="AF272F" w:themeFill="accent4"/>
          </w:tcPr>
          <w:p w14:paraId="5D7B5CCF" w14:textId="77777777"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xml:space="preserve">Total approved project fee </w:t>
            </w:r>
          </w:p>
          <w:p w14:paraId="60A44724" w14:textId="77777777"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excl. GST)</w:t>
            </w:r>
          </w:p>
        </w:tc>
        <w:tc>
          <w:tcPr>
            <w:tcW w:w="1539" w:type="dxa"/>
            <w:gridSpan w:val="2"/>
            <w:tcBorders>
              <w:bottom w:val="single" w:sz="4" w:space="0" w:color="FFFFFF" w:themeColor="background1"/>
            </w:tcBorders>
            <w:shd w:val="clear" w:color="auto" w:fill="AF272F" w:themeFill="accent4"/>
          </w:tcPr>
          <w:p w14:paraId="194A1708" w14:textId="5648A239"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xml:space="preserve">Expenditure 2020–21 </w:t>
            </w:r>
          </w:p>
          <w:p w14:paraId="4A625769" w14:textId="77777777"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excl. GST)</w:t>
            </w:r>
          </w:p>
        </w:tc>
        <w:tc>
          <w:tcPr>
            <w:tcW w:w="1519" w:type="dxa"/>
            <w:tcBorders>
              <w:bottom w:val="single" w:sz="4" w:space="0" w:color="FFFFFF" w:themeColor="background1"/>
            </w:tcBorders>
            <w:shd w:val="clear" w:color="auto" w:fill="AF272F" w:themeFill="accent4"/>
          </w:tcPr>
          <w:p w14:paraId="39C03841" w14:textId="77777777"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xml:space="preserve">Future expenditure </w:t>
            </w:r>
          </w:p>
          <w:p w14:paraId="1E3AD8AD" w14:textId="77777777" w:rsidR="005F54A8" w:rsidRPr="00925213" w:rsidRDefault="005F54A8" w:rsidP="005F54A8">
            <w:pPr>
              <w:pStyle w:val="ESTableheadingwhite"/>
              <w:jc w:val="center"/>
              <w:rPr>
                <w:rFonts w:ascii="Calibri" w:hAnsi="Calibri" w:cs="Calibri"/>
                <w:sz w:val="20"/>
                <w:szCs w:val="20"/>
              </w:rPr>
            </w:pPr>
            <w:r w:rsidRPr="00925213">
              <w:rPr>
                <w:rFonts w:ascii="Calibri" w:hAnsi="Calibri" w:cs="Calibri"/>
                <w:sz w:val="20"/>
                <w:szCs w:val="20"/>
              </w:rPr>
              <w:t>($ excl. GST)</w:t>
            </w:r>
          </w:p>
        </w:tc>
      </w:tr>
      <w:tr w:rsidR="005F54A8" w:rsidRPr="009423C3" w14:paraId="0F0B4FCC"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0CD17432" w14:textId="77777777" w:rsidR="005F54A8" w:rsidRPr="00925213" w:rsidRDefault="005F54A8" w:rsidP="005F54A8">
            <w:pPr>
              <w:pStyle w:val="ESTablebody"/>
              <w:rPr>
                <w:rFonts w:ascii="Calibri" w:hAnsi="Calibri" w:cs="Calibri"/>
                <w:sz w:val="18"/>
              </w:rPr>
            </w:pPr>
            <w:r w:rsidRPr="00036F5E">
              <w:rPr>
                <w:rFonts w:ascii="Calibri" w:hAnsi="Calibri" w:cs="Calibri"/>
                <w:color w:val="000000"/>
                <w:szCs w:val="20"/>
              </w:rPr>
              <w:t>ACIL ALLEN CONSULTING PTY LTD</w:t>
            </w:r>
          </w:p>
        </w:tc>
        <w:tc>
          <w:tcPr>
            <w:tcW w:w="3613" w:type="dxa"/>
            <w:tcBorders>
              <w:top w:val="single" w:sz="4" w:space="0" w:color="53565A" w:themeColor="accent5"/>
              <w:bottom w:val="single" w:sz="4" w:space="0" w:color="53565A" w:themeColor="accent5"/>
            </w:tcBorders>
            <w:vAlign w:val="bottom"/>
          </w:tcPr>
          <w:p w14:paraId="5A634B39" w14:textId="77777777" w:rsidR="005F54A8" w:rsidRPr="00925213" w:rsidRDefault="005F54A8" w:rsidP="005F54A8">
            <w:pPr>
              <w:pStyle w:val="ESTablebody"/>
              <w:rPr>
                <w:rFonts w:ascii="Calibri" w:hAnsi="Calibri" w:cs="Calibri"/>
                <w:sz w:val="18"/>
              </w:rPr>
            </w:pPr>
            <w:r w:rsidRPr="00036F5E">
              <w:rPr>
                <w:rFonts w:ascii="Calibri" w:hAnsi="Calibri" w:cs="Calibri"/>
                <w:color w:val="000000"/>
                <w:szCs w:val="20"/>
              </w:rPr>
              <w:t xml:space="preserve">Child Information Sharing Scheme </w:t>
            </w:r>
            <w:proofErr w:type="gramStart"/>
            <w:r w:rsidRPr="00036F5E">
              <w:rPr>
                <w:rFonts w:ascii="Calibri" w:hAnsi="Calibri" w:cs="Calibri"/>
                <w:color w:val="000000"/>
                <w:szCs w:val="20"/>
              </w:rPr>
              <w:t>two</w:t>
            </w:r>
            <w:r>
              <w:rPr>
                <w:rFonts w:ascii="Calibri" w:hAnsi="Calibri" w:cs="Calibri"/>
                <w:color w:val="000000"/>
                <w:szCs w:val="20"/>
              </w:rPr>
              <w:t xml:space="preserve"> </w:t>
            </w:r>
            <w:r w:rsidRPr="00036F5E">
              <w:rPr>
                <w:rFonts w:ascii="Calibri" w:hAnsi="Calibri" w:cs="Calibri"/>
                <w:color w:val="000000"/>
                <w:szCs w:val="20"/>
              </w:rPr>
              <w:t>year</w:t>
            </w:r>
            <w:proofErr w:type="gramEnd"/>
            <w:r w:rsidRPr="00036F5E">
              <w:rPr>
                <w:rFonts w:ascii="Calibri" w:hAnsi="Calibri" w:cs="Calibri"/>
                <w:color w:val="000000"/>
                <w:szCs w:val="20"/>
              </w:rPr>
              <w:t xml:space="preserve"> review</w:t>
            </w:r>
          </w:p>
        </w:tc>
        <w:tc>
          <w:tcPr>
            <w:tcW w:w="1217" w:type="dxa"/>
            <w:tcBorders>
              <w:top w:val="single" w:sz="4" w:space="0" w:color="53565A" w:themeColor="accent5"/>
              <w:bottom w:val="single" w:sz="4" w:space="0" w:color="53565A" w:themeColor="accent5"/>
            </w:tcBorders>
            <w:vAlign w:val="bottom"/>
          </w:tcPr>
          <w:p w14:paraId="2E49B83A" w14:textId="77777777" w:rsidR="005F54A8" w:rsidRPr="00925213" w:rsidRDefault="005F54A8" w:rsidP="005F54A8">
            <w:pPr>
              <w:pStyle w:val="ESTablebody"/>
              <w:rPr>
                <w:rFonts w:ascii="Calibri" w:hAnsi="Calibri" w:cs="Calibri"/>
                <w:sz w:val="18"/>
              </w:rPr>
            </w:pPr>
            <w:r w:rsidRPr="00036F5E">
              <w:rPr>
                <w:rFonts w:ascii="Calibri" w:hAnsi="Calibri" w:cs="Calibri"/>
                <w:color w:val="000000"/>
                <w:szCs w:val="20"/>
              </w:rPr>
              <w:t>3/09/2018</w:t>
            </w:r>
          </w:p>
        </w:tc>
        <w:tc>
          <w:tcPr>
            <w:tcW w:w="1316" w:type="dxa"/>
            <w:tcBorders>
              <w:top w:val="single" w:sz="4" w:space="0" w:color="53565A" w:themeColor="accent5"/>
              <w:bottom w:val="single" w:sz="4" w:space="0" w:color="53565A" w:themeColor="accent5"/>
            </w:tcBorders>
            <w:vAlign w:val="bottom"/>
          </w:tcPr>
          <w:p w14:paraId="5D2D5FD6" w14:textId="77777777" w:rsidR="005F54A8" w:rsidRPr="00925213" w:rsidRDefault="005F54A8" w:rsidP="005F54A8">
            <w:pPr>
              <w:pStyle w:val="ESTablebody"/>
              <w:rPr>
                <w:rFonts w:ascii="Calibri" w:hAnsi="Calibri" w:cs="Calibri"/>
                <w:sz w:val="18"/>
              </w:rPr>
            </w:pPr>
            <w:r w:rsidRPr="00036F5E">
              <w:rPr>
                <w:rFonts w:ascii="Calibri" w:hAnsi="Calibri" w:cs="Calibri"/>
                <w:color w:val="000000"/>
                <w:szCs w:val="20"/>
              </w:rPr>
              <w:t>31/07/2021</w:t>
            </w:r>
          </w:p>
        </w:tc>
        <w:tc>
          <w:tcPr>
            <w:tcW w:w="2057" w:type="dxa"/>
            <w:tcBorders>
              <w:top w:val="single" w:sz="4" w:space="0" w:color="53565A" w:themeColor="accent5"/>
              <w:bottom w:val="single" w:sz="4" w:space="0" w:color="53565A" w:themeColor="accent5"/>
            </w:tcBorders>
            <w:vAlign w:val="bottom"/>
          </w:tcPr>
          <w:p w14:paraId="30C27B9F" w14:textId="77777777" w:rsidR="005F54A8" w:rsidRPr="00925213" w:rsidRDefault="005F54A8" w:rsidP="005F54A8">
            <w:pPr>
              <w:pStyle w:val="ESTablebody"/>
              <w:jc w:val="right"/>
              <w:rPr>
                <w:rFonts w:ascii="Calibri" w:hAnsi="Calibri" w:cs="Calibri"/>
                <w:sz w:val="18"/>
              </w:rPr>
            </w:pPr>
            <w:r w:rsidRPr="00036F5E">
              <w:rPr>
                <w:rFonts w:ascii="Calibri" w:hAnsi="Calibri" w:cs="Calibri"/>
                <w:color w:val="000000"/>
                <w:szCs w:val="20"/>
              </w:rPr>
              <w:t>561,081</w:t>
            </w:r>
          </w:p>
        </w:tc>
        <w:tc>
          <w:tcPr>
            <w:tcW w:w="1490" w:type="dxa"/>
            <w:tcBorders>
              <w:top w:val="single" w:sz="4" w:space="0" w:color="53565A" w:themeColor="accent5"/>
              <w:bottom w:val="single" w:sz="4" w:space="0" w:color="53565A" w:themeColor="accent5"/>
            </w:tcBorders>
            <w:vAlign w:val="bottom"/>
          </w:tcPr>
          <w:p w14:paraId="300D454D" w14:textId="77777777" w:rsidR="005F54A8" w:rsidRPr="00925213" w:rsidRDefault="005F54A8" w:rsidP="005F54A8">
            <w:pPr>
              <w:pStyle w:val="ESTablebody"/>
              <w:jc w:val="right"/>
              <w:rPr>
                <w:rFonts w:ascii="Calibri" w:hAnsi="Calibri" w:cs="Calibri"/>
                <w:sz w:val="18"/>
              </w:rPr>
            </w:pPr>
            <w:r w:rsidRPr="00036F5E">
              <w:rPr>
                <w:rFonts w:ascii="Calibri" w:hAnsi="Calibri" w:cs="Calibri"/>
                <w:color w:val="000000"/>
                <w:szCs w:val="20"/>
              </w:rPr>
              <w:t>168,324</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082859D7" w14:textId="77777777" w:rsidR="005F54A8" w:rsidRPr="00925213" w:rsidRDefault="005F54A8" w:rsidP="005F54A8">
            <w:pPr>
              <w:pStyle w:val="ESTablebody"/>
              <w:jc w:val="right"/>
              <w:rPr>
                <w:rFonts w:ascii="Calibri" w:hAnsi="Calibri" w:cs="Calibri"/>
                <w:sz w:val="18"/>
              </w:rPr>
            </w:pPr>
            <w:r w:rsidRPr="00036F5E">
              <w:rPr>
                <w:rFonts w:ascii="Calibri" w:hAnsi="Calibri" w:cs="Calibri"/>
                <w:color w:val="000000"/>
                <w:szCs w:val="20"/>
              </w:rPr>
              <w:t>140,865</w:t>
            </w:r>
          </w:p>
        </w:tc>
      </w:tr>
      <w:tr w:rsidR="005F54A8" w:rsidRPr="009423C3" w14:paraId="39B42A76"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4000EB8C" w14:textId="77777777" w:rsidR="005F54A8" w:rsidRPr="00925213" w:rsidRDefault="005F54A8" w:rsidP="005F54A8">
            <w:pPr>
              <w:pStyle w:val="ESTablebody"/>
              <w:rPr>
                <w:rFonts w:ascii="Calibri" w:hAnsi="Calibri" w:cs="Calibri"/>
                <w:sz w:val="18"/>
              </w:rPr>
            </w:pPr>
            <w:r w:rsidRPr="008442BC">
              <w:rPr>
                <w:rFonts w:ascii="Calibri" w:eastAsia="Times New Roman" w:hAnsi="Calibri" w:cs="Calibri"/>
                <w:color w:val="000000"/>
                <w:szCs w:val="20"/>
                <w:lang w:val="en-AU" w:eastAsia="en-AU"/>
              </w:rPr>
              <w:t>ACIL ALLEN CONSULTING PTY LTD</w:t>
            </w:r>
          </w:p>
        </w:tc>
        <w:tc>
          <w:tcPr>
            <w:tcW w:w="3613" w:type="dxa"/>
            <w:tcBorders>
              <w:top w:val="single" w:sz="4" w:space="0" w:color="53565A" w:themeColor="accent5"/>
              <w:bottom w:val="single" w:sz="4" w:space="0" w:color="53565A" w:themeColor="accent5"/>
            </w:tcBorders>
          </w:tcPr>
          <w:p w14:paraId="7E593AAA" w14:textId="7EBCEAB0" w:rsidR="005F54A8" w:rsidRPr="00925213" w:rsidRDefault="005F54A8" w:rsidP="005F54A8">
            <w:pPr>
              <w:pStyle w:val="ESTablebody"/>
              <w:rPr>
                <w:rFonts w:ascii="Calibri" w:hAnsi="Calibri" w:cs="Calibri"/>
                <w:sz w:val="18"/>
              </w:rPr>
            </w:pPr>
            <w:r w:rsidRPr="008442BC">
              <w:rPr>
                <w:rFonts w:ascii="Calibri" w:eastAsia="Times New Roman" w:hAnsi="Calibri" w:cs="Calibri"/>
                <w:color w:val="000000"/>
                <w:szCs w:val="20"/>
                <w:lang w:val="en-AU" w:eastAsia="en-AU"/>
              </w:rPr>
              <w:t xml:space="preserve">Early </w:t>
            </w:r>
            <w:r w:rsidRPr="001F73D1">
              <w:rPr>
                <w:rFonts w:ascii="Calibri" w:eastAsia="Times New Roman" w:hAnsi="Calibri" w:cs="Calibri"/>
                <w:color w:val="000000"/>
                <w:szCs w:val="20"/>
                <w:lang w:val="en-AU" w:eastAsia="en-AU"/>
              </w:rPr>
              <w:t>c</w:t>
            </w:r>
            <w:r w:rsidRPr="008442BC">
              <w:rPr>
                <w:rFonts w:ascii="Calibri" w:eastAsia="Times New Roman" w:hAnsi="Calibri" w:cs="Calibri"/>
                <w:color w:val="000000"/>
                <w:szCs w:val="20"/>
                <w:lang w:val="en-AU" w:eastAsia="en-AU"/>
              </w:rPr>
              <w:t xml:space="preserve">hildhood </w:t>
            </w:r>
            <w:r w:rsidR="00C3010C">
              <w:rPr>
                <w:rFonts w:ascii="Calibri" w:eastAsia="Times New Roman" w:hAnsi="Calibri" w:cs="Calibri"/>
                <w:color w:val="000000"/>
                <w:szCs w:val="20"/>
                <w:lang w:val="en-AU" w:eastAsia="en-AU"/>
              </w:rPr>
              <w:t>s</w:t>
            </w:r>
            <w:r w:rsidRPr="008442BC">
              <w:rPr>
                <w:rFonts w:ascii="Calibri" w:eastAsia="Times New Roman" w:hAnsi="Calibri" w:cs="Calibri"/>
                <w:color w:val="000000"/>
                <w:szCs w:val="20"/>
                <w:lang w:val="en-AU" w:eastAsia="en-AU"/>
              </w:rPr>
              <w:t xml:space="preserve">trategic </w:t>
            </w:r>
            <w:r w:rsidR="00C3010C">
              <w:rPr>
                <w:rFonts w:ascii="Calibri" w:eastAsia="Times New Roman" w:hAnsi="Calibri" w:cs="Calibri"/>
                <w:color w:val="000000"/>
                <w:szCs w:val="20"/>
                <w:lang w:val="en-AU" w:eastAsia="en-AU"/>
              </w:rPr>
              <w:t>e</w:t>
            </w:r>
            <w:r w:rsidRPr="008442BC">
              <w:rPr>
                <w:rFonts w:ascii="Calibri" w:eastAsia="Times New Roman" w:hAnsi="Calibri" w:cs="Calibri"/>
                <w:color w:val="000000"/>
                <w:szCs w:val="20"/>
                <w:lang w:val="en-AU" w:eastAsia="en-AU"/>
              </w:rPr>
              <w:t>valuation</w:t>
            </w:r>
          </w:p>
        </w:tc>
        <w:tc>
          <w:tcPr>
            <w:tcW w:w="1217" w:type="dxa"/>
            <w:tcBorders>
              <w:top w:val="single" w:sz="4" w:space="0" w:color="53565A" w:themeColor="accent5"/>
              <w:bottom w:val="single" w:sz="4" w:space="0" w:color="53565A" w:themeColor="accent5"/>
            </w:tcBorders>
          </w:tcPr>
          <w:p w14:paraId="402C7FAC" w14:textId="77777777" w:rsidR="005F54A8" w:rsidRPr="00925213" w:rsidRDefault="005F54A8" w:rsidP="005F54A8">
            <w:pPr>
              <w:pStyle w:val="ESTablebody"/>
              <w:rPr>
                <w:rFonts w:ascii="Calibri" w:hAnsi="Calibri" w:cs="Calibri"/>
                <w:sz w:val="18"/>
              </w:rPr>
            </w:pPr>
            <w:r w:rsidRPr="008442BC">
              <w:rPr>
                <w:rFonts w:ascii="Calibri" w:eastAsia="Times New Roman" w:hAnsi="Calibri" w:cs="Calibri"/>
                <w:color w:val="000000"/>
                <w:szCs w:val="20"/>
                <w:lang w:val="en-AU" w:eastAsia="en-AU"/>
              </w:rPr>
              <w:t>30/10/2018</w:t>
            </w:r>
          </w:p>
        </w:tc>
        <w:tc>
          <w:tcPr>
            <w:tcW w:w="1316" w:type="dxa"/>
            <w:tcBorders>
              <w:top w:val="single" w:sz="4" w:space="0" w:color="53565A" w:themeColor="accent5"/>
              <w:bottom w:val="single" w:sz="4" w:space="0" w:color="53565A" w:themeColor="accent5"/>
            </w:tcBorders>
          </w:tcPr>
          <w:p w14:paraId="062AC354" w14:textId="77777777" w:rsidR="005F54A8" w:rsidRPr="00925213" w:rsidRDefault="005F54A8" w:rsidP="005F54A8">
            <w:pPr>
              <w:pStyle w:val="ESTablebody"/>
              <w:rPr>
                <w:rFonts w:ascii="Calibri" w:hAnsi="Calibri" w:cs="Calibri"/>
                <w:sz w:val="18"/>
              </w:rPr>
            </w:pPr>
            <w:r w:rsidRPr="008442BC">
              <w:rPr>
                <w:rFonts w:ascii="Calibri" w:eastAsia="Times New Roman" w:hAnsi="Calibri" w:cs="Calibri"/>
                <w:color w:val="000000"/>
                <w:szCs w:val="20"/>
                <w:lang w:val="en-AU" w:eastAsia="en-AU"/>
              </w:rPr>
              <w:t>30/09/2022</w:t>
            </w:r>
          </w:p>
        </w:tc>
        <w:tc>
          <w:tcPr>
            <w:tcW w:w="2057" w:type="dxa"/>
            <w:tcBorders>
              <w:top w:val="single" w:sz="4" w:space="0" w:color="53565A" w:themeColor="accent5"/>
              <w:bottom w:val="single" w:sz="4" w:space="0" w:color="53565A" w:themeColor="accent5"/>
            </w:tcBorders>
          </w:tcPr>
          <w:p w14:paraId="319418D3" w14:textId="77777777" w:rsidR="005F54A8" w:rsidRPr="00925213" w:rsidRDefault="005F54A8" w:rsidP="005F54A8">
            <w:pPr>
              <w:pStyle w:val="ESTablebody"/>
              <w:jc w:val="right"/>
              <w:rPr>
                <w:rFonts w:ascii="Calibri" w:hAnsi="Calibri" w:cs="Calibri"/>
                <w:sz w:val="18"/>
              </w:rPr>
            </w:pPr>
            <w:r w:rsidRPr="008442BC">
              <w:rPr>
                <w:rFonts w:ascii="Calibri" w:eastAsia="Times New Roman" w:hAnsi="Calibri" w:cs="Calibri"/>
                <w:color w:val="000000"/>
                <w:szCs w:val="20"/>
                <w:lang w:val="en-AU" w:eastAsia="en-AU"/>
              </w:rPr>
              <w:t>1,335,280</w:t>
            </w:r>
          </w:p>
        </w:tc>
        <w:tc>
          <w:tcPr>
            <w:tcW w:w="1490" w:type="dxa"/>
            <w:tcBorders>
              <w:top w:val="single" w:sz="4" w:space="0" w:color="53565A" w:themeColor="accent5"/>
              <w:bottom w:val="single" w:sz="4" w:space="0" w:color="53565A" w:themeColor="accent5"/>
            </w:tcBorders>
          </w:tcPr>
          <w:p w14:paraId="1989300B" w14:textId="77777777" w:rsidR="005F54A8" w:rsidRPr="00925213" w:rsidRDefault="005F54A8" w:rsidP="005F54A8">
            <w:pPr>
              <w:pStyle w:val="ESTablebody"/>
              <w:jc w:val="right"/>
              <w:rPr>
                <w:rFonts w:ascii="Calibri" w:hAnsi="Calibri" w:cs="Calibri"/>
                <w:sz w:val="18"/>
              </w:rPr>
            </w:pPr>
            <w:r w:rsidRPr="008442BC">
              <w:rPr>
                <w:rFonts w:ascii="Calibri" w:eastAsia="Times New Roman" w:hAnsi="Calibri" w:cs="Calibri"/>
                <w:color w:val="000000"/>
                <w:szCs w:val="20"/>
                <w:lang w:val="en-AU" w:eastAsia="en-AU"/>
              </w:rPr>
              <w:t>430,968</w:t>
            </w:r>
          </w:p>
        </w:tc>
        <w:tc>
          <w:tcPr>
            <w:tcW w:w="1568" w:type="dxa"/>
            <w:gridSpan w:val="2"/>
            <w:tcBorders>
              <w:top w:val="single" w:sz="4" w:space="0" w:color="53565A" w:themeColor="accent5"/>
              <w:bottom w:val="single" w:sz="4" w:space="0" w:color="53565A" w:themeColor="accent5"/>
            </w:tcBorders>
            <w:shd w:val="clear" w:color="auto" w:fill="auto"/>
          </w:tcPr>
          <w:p w14:paraId="3F04E439" w14:textId="77777777" w:rsidR="005F54A8" w:rsidRPr="00925213" w:rsidRDefault="005F54A8" w:rsidP="005F54A8">
            <w:pPr>
              <w:pStyle w:val="ESTablebody"/>
              <w:jc w:val="right"/>
              <w:rPr>
                <w:rFonts w:ascii="Calibri" w:hAnsi="Calibri" w:cs="Calibri"/>
                <w:sz w:val="18"/>
              </w:rPr>
            </w:pPr>
            <w:r w:rsidRPr="008442BC">
              <w:rPr>
                <w:rFonts w:ascii="Calibri" w:eastAsia="Times New Roman" w:hAnsi="Calibri" w:cs="Calibri"/>
                <w:color w:val="000000"/>
                <w:szCs w:val="20"/>
                <w:lang w:val="en-AU" w:eastAsia="en-AU"/>
              </w:rPr>
              <w:t>117,541</w:t>
            </w:r>
          </w:p>
        </w:tc>
      </w:tr>
      <w:tr w:rsidR="005F54A8" w:rsidRPr="009423C3" w14:paraId="3EFCAEEA"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4FCDBCD8"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ACIL ALLEN CONSULTING PTY LTD</w:t>
            </w:r>
          </w:p>
        </w:tc>
        <w:tc>
          <w:tcPr>
            <w:tcW w:w="3613" w:type="dxa"/>
            <w:tcBorders>
              <w:top w:val="single" w:sz="4" w:space="0" w:color="53565A" w:themeColor="accent5"/>
              <w:bottom w:val="single" w:sz="4" w:space="0" w:color="53565A" w:themeColor="accent5"/>
            </w:tcBorders>
          </w:tcPr>
          <w:p w14:paraId="22D28B5A" w14:textId="20590062"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 xml:space="preserve">Evaluation of the School Breakfast Clubs </w:t>
            </w:r>
            <w:r>
              <w:rPr>
                <w:rFonts w:ascii="Calibri" w:eastAsia="Times New Roman" w:hAnsi="Calibri" w:cs="Calibri"/>
                <w:color w:val="000000"/>
                <w:szCs w:val="20"/>
                <w:lang w:val="en-AU" w:eastAsia="en-AU"/>
              </w:rPr>
              <w:t>program expansion</w:t>
            </w:r>
          </w:p>
        </w:tc>
        <w:tc>
          <w:tcPr>
            <w:tcW w:w="1217" w:type="dxa"/>
            <w:tcBorders>
              <w:top w:val="single" w:sz="4" w:space="0" w:color="53565A" w:themeColor="accent5"/>
              <w:bottom w:val="single" w:sz="4" w:space="0" w:color="53565A" w:themeColor="accent5"/>
            </w:tcBorders>
          </w:tcPr>
          <w:p w14:paraId="0238D038"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13/11/2020</w:t>
            </w:r>
          </w:p>
        </w:tc>
        <w:tc>
          <w:tcPr>
            <w:tcW w:w="1316" w:type="dxa"/>
            <w:tcBorders>
              <w:top w:val="single" w:sz="4" w:space="0" w:color="53565A" w:themeColor="accent5"/>
              <w:bottom w:val="single" w:sz="4" w:space="0" w:color="53565A" w:themeColor="accent5"/>
            </w:tcBorders>
          </w:tcPr>
          <w:p w14:paraId="5898A39F"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30/09/2022</w:t>
            </w:r>
          </w:p>
        </w:tc>
        <w:tc>
          <w:tcPr>
            <w:tcW w:w="2057" w:type="dxa"/>
            <w:tcBorders>
              <w:top w:val="single" w:sz="4" w:space="0" w:color="53565A" w:themeColor="accent5"/>
              <w:bottom w:val="single" w:sz="4" w:space="0" w:color="53565A" w:themeColor="accent5"/>
            </w:tcBorders>
          </w:tcPr>
          <w:p w14:paraId="72C9FC34" w14:textId="77777777" w:rsidR="005F54A8" w:rsidRPr="00925213" w:rsidRDefault="005F54A8" w:rsidP="005F54A8">
            <w:pPr>
              <w:pStyle w:val="ESTablebody"/>
              <w:jc w:val="right"/>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362,676</w:t>
            </w:r>
          </w:p>
        </w:tc>
        <w:tc>
          <w:tcPr>
            <w:tcW w:w="1490" w:type="dxa"/>
            <w:tcBorders>
              <w:top w:val="single" w:sz="4" w:space="0" w:color="53565A" w:themeColor="accent5"/>
              <w:bottom w:val="single" w:sz="4" w:space="0" w:color="53565A" w:themeColor="accent5"/>
            </w:tcBorders>
          </w:tcPr>
          <w:p w14:paraId="49DD47E2" w14:textId="77777777" w:rsidR="005F54A8" w:rsidRPr="00925213" w:rsidRDefault="005F54A8" w:rsidP="005F54A8">
            <w:pPr>
              <w:pStyle w:val="ESTablebody"/>
              <w:jc w:val="right"/>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28,364</w:t>
            </w:r>
          </w:p>
        </w:tc>
        <w:tc>
          <w:tcPr>
            <w:tcW w:w="1568" w:type="dxa"/>
            <w:gridSpan w:val="2"/>
            <w:tcBorders>
              <w:top w:val="single" w:sz="4" w:space="0" w:color="53565A" w:themeColor="accent5"/>
              <w:bottom w:val="single" w:sz="4" w:space="0" w:color="53565A" w:themeColor="accent5"/>
            </w:tcBorders>
            <w:shd w:val="clear" w:color="auto" w:fill="auto"/>
          </w:tcPr>
          <w:p w14:paraId="491B7FA5" w14:textId="77777777" w:rsidR="005F54A8" w:rsidRPr="00925213" w:rsidRDefault="005F54A8" w:rsidP="005F54A8">
            <w:pPr>
              <w:pStyle w:val="ESTablebody"/>
              <w:jc w:val="right"/>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334,313</w:t>
            </w:r>
          </w:p>
        </w:tc>
      </w:tr>
      <w:tr w:rsidR="005F54A8" w:rsidRPr="009423C3" w14:paraId="78E6A152"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7ECF15E7"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ACIL ALLEN CONSULTING PTY LTD</w:t>
            </w:r>
          </w:p>
        </w:tc>
        <w:tc>
          <w:tcPr>
            <w:tcW w:w="3613" w:type="dxa"/>
            <w:tcBorders>
              <w:top w:val="single" w:sz="4" w:space="0" w:color="53565A" w:themeColor="accent5"/>
              <w:bottom w:val="single" w:sz="4" w:space="0" w:color="53565A" w:themeColor="accent5"/>
            </w:tcBorders>
          </w:tcPr>
          <w:p w14:paraId="69884962" w14:textId="5EECFFF5"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Review of School</w:t>
            </w:r>
            <w:r>
              <w:rPr>
                <w:rFonts w:ascii="Calibri" w:eastAsia="Times New Roman" w:hAnsi="Calibri" w:cs="Calibri"/>
                <w:color w:val="000000"/>
                <w:szCs w:val="20"/>
                <w:lang w:val="en-AU" w:eastAsia="en-AU"/>
              </w:rPr>
              <w:t xml:space="preserve"> </w:t>
            </w:r>
            <w:r w:rsidRPr="008442BC">
              <w:rPr>
                <w:rFonts w:ascii="Calibri" w:eastAsia="Times New Roman" w:hAnsi="Calibri" w:cs="Calibri"/>
                <w:color w:val="000000"/>
                <w:szCs w:val="20"/>
                <w:lang w:val="en-AU" w:eastAsia="en-AU"/>
              </w:rPr>
              <w:t>Focused Youth Service</w:t>
            </w:r>
          </w:p>
        </w:tc>
        <w:tc>
          <w:tcPr>
            <w:tcW w:w="1217" w:type="dxa"/>
            <w:tcBorders>
              <w:top w:val="single" w:sz="4" w:space="0" w:color="53565A" w:themeColor="accent5"/>
              <w:bottom w:val="single" w:sz="4" w:space="0" w:color="53565A" w:themeColor="accent5"/>
            </w:tcBorders>
          </w:tcPr>
          <w:p w14:paraId="2C742838"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15/02/2021</w:t>
            </w:r>
          </w:p>
        </w:tc>
        <w:tc>
          <w:tcPr>
            <w:tcW w:w="1316" w:type="dxa"/>
            <w:tcBorders>
              <w:top w:val="single" w:sz="4" w:space="0" w:color="53565A" w:themeColor="accent5"/>
              <w:bottom w:val="single" w:sz="4" w:space="0" w:color="53565A" w:themeColor="accent5"/>
            </w:tcBorders>
          </w:tcPr>
          <w:p w14:paraId="7F37AA3B" w14:textId="77777777" w:rsidR="005F54A8" w:rsidRPr="00925213" w:rsidRDefault="005F54A8" w:rsidP="005F54A8">
            <w:pPr>
              <w:pStyle w:val="ESTablebody"/>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9/06/2021</w:t>
            </w:r>
          </w:p>
        </w:tc>
        <w:tc>
          <w:tcPr>
            <w:tcW w:w="2057" w:type="dxa"/>
            <w:tcBorders>
              <w:top w:val="single" w:sz="4" w:space="0" w:color="53565A" w:themeColor="accent5"/>
              <w:bottom w:val="single" w:sz="4" w:space="0" w:color="53565A" w:themeColor="accent5"/>
            </w:tcBorders>
          </w:tcPr>
          <w:p w14:paraId="158A9AFD" w14:textId="77777777" w:rsidR="005F54A8" w:rsidRPr="00925213" w:rsidRDefault="005F54A8" w:rsidP="005F54A8">
            <w:pPr>
              <w:pStyle w:val="ESTablebody"/>
              <w:jc w:val="right"/>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88,458</w:t>
            </w:r>
          </w:p>
        </w:tc>
        <w:tc>
          <w:tcPr>
            <w:tcW w:w="1490" w:type="dxa"/>
            <w:tcBorders>
              <w:top w:val="single" w:sz="4" w:space="0" w:color="53565A" w:themeColor="accent5"/>
              <w:bottom w:val="single" w:sz="4" w:space="0" w:color="53565A" w:themeColor="accent5"/>
            </w:tcBorders>
          </w:tcPr>
          <w:p w14:paraId="016891A3" w14:textId="77777777" w:rsidR="005F54A8" w:rsidRPr="00925213" w:rsidRDefault="005F54A8" w:rsidP="005F54A8">
            <w:pPr>
              <w:pStyle w:val="ESTablebody"/>
              <w:jc w:val="right"/>
              <w:rPr>
                <w:rFonts w:ascii="Calibri" w:eastAsia="Times New Roman" w:hAnsi="Calibri" w:cs="Calibri"/>
                <w:color w:val="000000"/>
                <w:sz w:val="18"/>
                <w:lang w:eastAsia="en-AU"/>
              </w:rPr>
            </w:pPr>
            <w:r w:rsidRPr="008442BC">
              <w:rPr>
                <w:rFonts w:ascii="Calibri" w:eastAsia="Times New Roman" w:hAnsi="Calibri" w:cs="Calibri"/>
                <w:color w:val="000000"/>
                <w:szCs w:val="20"/>
                <w:lang w:val="en-AU" w:eastAsia="en-AU"/>
              </w:rPr>
              <w:t>88,458</w:t>
            </w:r>
          </w:p>
        </w:tc>
        <w:tc>
          <w:tcPr>
            <w:tcW w:w="1568" w:type="dxa"/>
            <w:gridSpan w:val="2"/>
            <w:tcBorders>
              <w:top w:val="single" w:sz="4" w:space="0" w:color="53565A" w:themeColor="accent5"/>
              <w:bottom w:val="single" w:sz="4" w:space="0" w:color="53565A" w:themeColor="accent5"/>
            </w:tcBorders>
            <w:shd w:val="clear" w:color="auto" w:fill="auto"/>
          </w:tcPr>
          <w:p w14:paraId="23A7D6C2" w14:textId="021BCF0C" w:rsidR="005F54A8" w:rsidRPr="00925213" w:rsidRDefault="002149EE" w:rsidP="005F54A8">
            <w:pPr>
              <w:pStyle w:val="ESTablebody"/>
              <w:jc w:val="right"/>
              <w:rPr>
                <w:rFonts w:ascii="Calibri" w:eastAsia="Times New Roman" w:hAnsi="Calibri" w:cs="Calibri"/>
                <w:color w:val="000000"/>
                <w:sz w:val="18"/>
                <w:lang w:eastAsia="en-AU"/>
              </w:rPr>
            </w:pPr>
            <w:r>
              <w:rPr>
                <w:rFonts w:ascii="Calibri" w:eastAsia="Times New Roman" w:hAnsi="Calibri" w:cs="Calibri"/>
                <w:color w:val="000000"/>
                <w:szCs w:val="20"/>
                <w:lang w:val="en-AU" w:eastAsia="en-AU"/>
              </w:rPr>
              <w:t>–</w:t>
            </w:r>
          </w:p>
        </w:tc>
      </w:tr>
      <w:tr w:rsidR="005F54A8" w:rsidRPr="009423C3" w14:paraId="2FDE1167" w14:textId="77777777" w:rsidTr="005F54A8">
        <w:trPr>
          <w:cantSplit/>
          <w:trHeight w:val="473"/>
        </w:trPr>
        <w:tc>
          <w:tcPr>
            <w:tcW w:w="2957" w:type="dxa"/>
            <w:tcBorders>
              <w:top w:val="single" w:sz="4" w:space="0" w:color="53565A" w:themeColor="accent5"/>
              <w:bottom w:val="single" w:sz="4" w:space="0" w:color="53565A" w:themeColor="accent5"/>
            </w:tcBorders>
            <w:shd w:val="clear" w:color="auto" w:fill="auto"/>
          </w:tcPr>
          <w:p w14:paraId="42C7D21E" w14:textId="0EA5DE02" w:rsidR="005F54A8" w:rsidRPr="008442BC" w:rsidRDefault="005F54A8" w:rsidP="005F54A8">
            <w:pPr>
              <w:pStyle w:val="ESTablebody"/>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ARTD PTY LTD</w:t>
            </w:r>
          </w:p>
        </w:tc>
        <w:tc>
          <w:tcPr>
            <w:tcW w:w="3613" w:type="dxa"/>
            <w:tcBorders>
              <w:top w:val="single" w:sz="4" w:space="0" w:color="53565A" w:themeColor="accent5"/>
              <w:bottom w:val="single" w:sz="4" w:space="0" w:color="53565A" w:themeColor="accent5"/>
            </w:tcBorders>
          </w:tcPr>
          <w:p w14:paraId="06D4ACC8" w14:textId="729BB9D2" w:rsidR="005F54A8" w:rsidRPr="008442BC" w:rsidRDefault="005F54A8" w:rsidP="005F54A8">
            <w:pPr>
              <w:pStyle w:val="ESTablebody"/>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Evaluation of the Strategic Planning Online Tool</w:t>
            </w:r>
          </w:p>
        </w:tc>
        <w:tc>
          <w:tcPr>
            <w:tcW w:w="1217" w:type="dxa"/>
            <w:tcBorders>
              <w:top w:val="single" w:sz="4" w:space="0" w:color="53565A" w:themeColor="accent5"/>
              <w:bottom w:val="single" w:sz="4" w:space="0" w:color="53565A" w:themeColor="accent5"/>
            </w:tcBorders>
          </w:tcPr>
          <w:p w14:paraId="27F52D01" w14:textId="0D0222C5" w:rsidR="005F54A8" w:rsidRPr="008442BC" w:rsidRDefault="005F54A8" w:rsidP="005F54A8">
            <w:pPr>
              <w:pStyle w:val="ESTablebody"/>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16/04/2021</w:t>
            </w:r>
          </w:p>
        </w:tc>
        <w:tc>
          <w:tcPr>
            <w:tcW w:w="1316" w:type="dxa"/>
            <w:tcBorders>
              <w:top w:val="single" w:sz="4" w:space="0" w:color="53565A" w:themeColor="accent5"/>
              <w:bottom w:val="single" w:sz="4" w:space="0" w:color="53565A" w:themeColor="accent5"/>
            </w:tcBorders>
          </w:tcPr>
          <w:p w14:paraId="03CC499F" w14:textId="63999613" w:rsidR="005F54A8" w:rsidRPr="008442BC" w:rsidRDefault="005F54A8" w:rsidP="005F54A8">
            <w:pPr>
              <w:pStyle w:val="ESTablebody"/>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30/06/2021</w:t>
            </w:r>
          </w:p>
        </w:tc>
        <w:tc>
          <w:tcPr>
            <w:tcW w:w="2057" w:type="dxa"/>
            <w:tcBorders>
              <w:top w:val="single" w:sz="4" w:space="0" w:color="53565A" w:themeColor="accent5"/>
              <w:bottom w:val="single" w:sz="4" w:space="0" w:color="53565A" w:themeColor="accent5"/>
            </w:tcBorders>
          </w:tcPr>
          <w:p w14:paraId="4F310C76" w14:textId="4818FE1D" w:rsidR="005F54A8" w:rsidRPr="008442BC" w:rsidRDefault="005F54A8" w:rsidP="005F54A8">
            <w:pPr>
              <w:pStyle w:val="ESTablebody"/>
              <w:jc w:val="right"/>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98,884</w:t>
            </w:r>
          </w:p>
        </w:tc>
        <w:tc>
          <w:tcPr>
            <w:tcW w:w="1490" w:type="dxa"/>
            <w:tcBorders>
              <w:top w:val="single" w:sz="4" w:space="0" w:color="53565A" w:themeColor="accent5"/>
              <w:bottom w:val="single" w:sz="4" w:space="0" w:color="53565A" w:themeColor="accent5"/>
            </w:tcBorders>
          </w:tcPr>
          <w:p w14:paraId="27B7F172" w14:textId="1058DC20" w:rsidR="005F54A8" w:rsidRPr="008442BC" w:rsidRDefault="005F54A8" w:rsidP="005F54A8">
            <w:pPr>
              <w:pStyle w:val="ESTablebody"/>
              <w:jc w:val="right"/>
              <w:rPr>
                <w:rFonts w:ascii="Calibri" w:eastAsia="Times New Roman" w:hAnsi="Calibri" w:cs="Calibri"/>
                <w:color w:val="000000"/>
                <w:szCs w:val="20"/>
                <w:lang w:val="en-AU" w:eastAsia="en-AU"/>
              </w:rPr>
            </w:pPr>
            <w:r w:rsidRPr="00E21272">
              <w:rPr>
                <w:rFonts w:ascii="Calibri" w:eastAsia="Times New Roman" w:hAnsi="Calibri" w:cs="Calibri"/>
                <w:color w:val="000000"/>
                <w:szCs w:val="20"/>
                <w:lang w:val="en-AU" w:eastAsia="en-AU"/>
              </w:rPr>
              <w:t>98,884</w:t>
            </w:r>
          </w:p>
        </w:tc>
        <w:tc>
          <w:tcPr>
            <w:tcW w:w="1568" w:type="dxa"/>
            <w:gridSpan w:val="2"/>
            <w:tcBorders>
              <w:top w:val="single" w:sz="4" w:space="0" w:color="53565A" w:themeColor="accent5"/>
              <w:bottom w:val="single" w:sz="4" w:space="0" w:color="53565A" w:themeColor="accent5"/>
            </w:tcBorders>
            <w:shd w:val="clear" w:color="auto" w:fill="auto"/>
          </w:tcPr>
          <w:p w14:paraId="56B66F70" w14:textId="34EB44D3" w:rsidR="005F54A8" w:rsidRPr="008442BC" w:rsidRDefault="002149EE"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342505C5"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754E5D9A" w14:textId="77777777"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AUSTRALIAN COUNCIL FOR EDUCATIONAL RESEARCH (ACER)</w:t>
            </w:r>
          </w:p>
        </w:tc>
        <w:tc>
          <w:tcPr>
            <w:tcW w:w="3613" w:type="dxa"/>
            <w:tcBorders>
              <w:top w:val="single" w:sz="4" w:space="0" w:color="53565A" w:themeColor="accent5"/>
              <w:bottom w:val="single" w:sz="4" w:space="0" w:color="53565A" w:themeColor="accent5"/>
            </w:tcBorders>
            <w:vAlign w:val="bottom"/>
          </w:tcPr>
          <w:p w14:paraId="5A69DE32" w14:textId="5C95BCCC"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Middle Years Literacy and Numeracy Support initiative evaluation</w:t>
            </w:r>
          </w:p>
        </w:tc>
        <w:tc>
          <w:tcPr>
            <w:tcW w:w="1217" w:type="dxa"/>
            <w:tcBorders>
              <w:top w:val="single" w:sz="4" w:space="0" w:color="53565A" w:themeColor="accent5"/>
              <w:bottom w:val="single" w:sz="4" w:space="0" w:color="53565A" w:themeColor="accent5"/>
            </w:tcBorders>
            <w:vAlign w:val="bottom"/>
          </w:tcPr>
          <w:p w14:paraId="2A7E0ABE" w14:textId="6CD3FB58"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1/10/2019</w:t>
            </w:r>
          </w:p>
        </w:tc>
        <w:tc>
          <w:tcPr>
            <w:tcW w:w="1316" w:type="dxa"/>
            <w:tcBorders>
              <w:top w:val="single" w:sz="4" w:space="0" w:color="53565A" w:themeColor="accent5"/>
              <w:bottom w:val="single" w:sz="4" w:space="0" w:color="53565A" w:themeColor="accent5"/>
            </w:tcBorders>
            <w:vAlign w:val="bottom"/>
          </w:tcPr>
          <w:p w14:paraId="406EE80D" w14:textId="0C650488"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31/12/2022</w:t>
            </w:r>
          </w:p>
        </w:tc>
        <w:tc>
          <w:tcPr>
            <w:tcW w:w="2057" w:type="dxa"/>
            <w:tcBorders>
              <w:top w:val="single" w:sz="4" w:space="0" w:color="53565A" w:themeColor="accent5"/>
              <w:bottom w:val="single" w:sz="4" w:space="0" w:color="53565A" w:themeColor="accent5"/>
            </w:tcBorders>
            <w:vAlign w:val="bottom"/>
          </w:tcPr>
          <w:p w14:paraId="79C90A12" w14:textId="2A103C0B"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1,053,594</w:t>
            </w:r>
          </w:p>
        </w:tc>
        <w:tc>
          <w:tcPr>
            <w:tcW w:w="1490" w:type="dxa"/>
            <w:tcBorders>
              <w:top w:val="single" w:sz="4" w:space="0" w:color="53565A" w:themeColor="accent5"/>
              <w:bottom w:val="single" w:sz="4" w:space="0" w:color="53565A" w:themeColor="accent5"/>
            </w:tcBorders>
            <w:vAlign w:val="bottom"/>
          </w:tcPr>
          <w:p w14:paraId="30943C17" w14:textId="5AA72152"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360,539</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41D21965" w14:textId="61DD0651"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390,996</w:t>
            </w:r>
          </w:p>
        </w:tc>
      </w:tr>
      <w:tr w:rsidR="005F54A8" w:rsidRPr="009423C3" w14:paraId="1F749CB3"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0B5B1463" w14:textId="29FADB7C"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AUSTRALIAN COUNCIL FOR EDUCATIONAL RESEARCH (ACER)</w:t>
            </w:r>
          </w:p>
        </w:tc>
        <w:tc>
          <w:tcPr>
            <w:tcW w:w="3613" w:type="dxa"/>
            <w:tcBorders>
              <w:top w:val="single" w:sz="4" w:space="0" w:color="53565A" w:themeColor="accent5"/>
              <w:bottom w:val="single" w:sz="4" w:space="0" w:color="53565A" w:themeColor="accent5"/>
            </w:tcBorders>
            <w:vAlign w:val="bottom"/>
          </w:tcPr>
          <w:p w14:paraId="4029C7D2" w14:textId="5ED8A694"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 xml:space="preserve">Evaluation of the </w:t>
            </w:r>
            <w:r>
              <w:rPr>
                <w:rFonts w:ascii="Calibri" w:hAnsi="Calibri" w:cs="Calibri"/>
                <w:color w:val="000000"/>
                <w:szCs w:val="20"/>
              </w:rPr>
              <w:t>s</w:t>
            </w:r>
            <w:r w:rsidRPr="004A0B61">
              <w:rPr>
                <w:rFonts w:ascii="Calibri" w:hAnsi="Calibri" w:cs="Calibri"/>
                <w:color w:val="000000"/>
                <w:szCs w:val="20"/>
              </w:rPr>
              <w:t>chool-</w:t>
            </w:r>
            <w:r w:rsidR="00455A71">
              <w:rPr>
                <w:rFonts w:ascii="Calibri" w:hAnsi="Calibri" w:cs="Calibri"/>
                <w:color w:val="000000"/>
                <w:szCs w:val="20"/>
              </w:rPr>
              <w:t>b</w:t>
            </w:r>
            <w:r w:rsidRPr="004A0B61">
              <w:rPr>
                <w:rFonts w:ascii="Calibri" w:hAnsi="Calibri" w:cs="Calibri"/>
                <w:color w:val="000000"/>
                <w:szCs w:val="20"/>
              </w:rPr>
              <w:t>ased Executive Class Principals initiative</w:t>
            </w:r>
          </w:p>
        </w:tc>
        <w:tc>
          <w:tcPr>
            <w:tcW w:w="1217" w:type="dxa"/>
            <w:tcBorders>
              <w:top w:val="single" w:sz="4" w:space="0" w:color="53565A" w:themeColor="accent5"/>
              <w:bottom w:val="single" w:sz="4" w:space="0" w:color="53565A" w:themeColor="accent5"/>
            </w:tcBorders>
            <w:vAlign w:val="bottom"/>
          </w:tcPr>
          <w:p w14:paraId="1DE3A36D" w14:textId="5780D6BF"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23/07/2020</w:t>
            </w:r>
          </w:p>
        </w:tc>
        <w:tc>
          <w:tcPr>
            <w:tcW w:w="1316" w:type="dxa"/>
            <w:tcBorders>
              <w:top w:val="single" w:sz="4" w:space="0" w:color="53565A" w:themeColor="accent5"/>
              <w:bottom w:val="single" w:sz="4" w:space="0" w:color="53565A" w:themeColor="accent5"/>
            </w:tcBorders>
            <w:vAlign w:val="bottom"/>
          </w:tcPr>
          <w:p w14:paraId="410141CC" w14:textId="1F8CE35D"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30/06/2024</w:t>
            </w:r>
          </w:p>
        </w:tc>
        <w:tc>
          <w:tcPr>
            <w:tcW w:w="2057" w:type="dxa"/>
            <w:tcBorders>
              <w:top w:val="single" w:sz="4" w:space="0" w:color="53565A" w:themeColor="accent5"/>
              <w:bottom w:val="single" w:sz="4" w:space="0" w:color="53565A" w:themeColor="accent5"/>
            </w:tcBorders>
            <w:vAlign w:val="bottom"/>
          </w:tcPr>
          <w:p w14:paraId="68460799" w14:textId="0E98891A"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699,982</w:t>
            </w:r>
          </w:p>
        </w:tc>
        <w:tc>
          <w:tcPr>
            <w:tcW w:w="1490" w:type="dxa"/>
            <w:tcBorders>
              <w:top w:val="single" w:sz="4" w:space="0" w:color="53565A" w:themeColor="accent5"/>
              <w:bottom w:val="single" w:sz="4" w:space="0" w:color="53565A" w:themeColor="accent5"/>
            </w:tcBorders>
            <w:vAlign w:val="bottom"/>
          </w:tcPr>
          <w:p w14:paraId="619E6646" w14:textId="3025FE9D"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149,158</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14C688A3" w14:textId="3AD4677A"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550,824</w:t>
            </w:r>
          </w:p>
        </w:tc>
      </w:tr>
      <w:tr w:rsidR="005F54A8" w:rsidRPr="009423C3" w14:paraId="6716BFC2" w14:textId="77777777" w:rsidTr="005F54A8">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57AC3D71" w14:textId="6E77ACFA"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lastRenderedPageBreak/>
              <w:t>BRAND ARCHITECTS</w:t>
            </w:r>
          </w:p>
        </w:tc>
        <w:tc>
          <w:tcPr>
            <w:tcW w:w="3613" w:type="dxa"/>
            <w:tcBorders>
              <w:top w:val="single" w:sz="4" w:space="0" w:color="53565A" w:themeColor="accent5"/>
              <w:bottom w:val="single" w:sz="4" w:space="0" w:color="53565A" w:themeColor="accent5"/>
            </w:tcBorders>
            <w:vAlign w:val="bottom"/>
          </w:tcPr>
          <w:p w14:paraId="05BDFDA8" w14:textId="358B9398"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 xml:space="preserve">A review of the design principles for Tech </w:t>
            </w:r>
            <w:r w:rsidR="00A766E2">
              <w:rPr>
                <w:rFonts w:ascii="Calibri" w:hAnsi="Calibri" w:cs="Calibri"/>
                <w:color w:val="000000"/>
                <w:szCs w:val="20"/>
              </w:rPr>
              <w:t>S</w:t>
            </w:r>
            <w:r w:rsidRPr="004A0B61">
              <w:rPr>
                <w:rFonts w:ascii="Calibri" w:hAnsi="Calibri" w:cs="Calibri"/>
                <w:color w:val="000000"/>
                <w:szCs w:val="20"/>
              </w:rPr>
              <w:t>chools</w:t>
            </w:r>
          </w:p>
        </w:tc>
        <w:tc>
          <w:tcPr>
            <w:tcW w:w="1217" w:type="dxa"/>
            <w:tcBorders>
              <w:top w:val="single" w:sz="4" w:space="0" w:color="53565A" w:themeColor="accent5"/>
              <w:bottom w:val="single" w:sz="4" w:space="0" w:color="53565A" w:themeColor="accent5"/>
            </w:tcBorders>
            <w:vAlign w:val="bottom"/>
          </w:tcPr>
          <w:p w14:paraId="64B8D532" w14:textId="39302588"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6/12/2019</w:t>
            </w:r>
          </w:p>
        </w:tc>
        <w:tc>
          <w:tcPr>
            <w:tcW w:w="1316" w:type="dxa"/>
            <w:tcBorders>
              <w:top w:val="single" w:sz="4" w:space="0" w:color="53565A" w:themeColor="accent5"/>
              <w:bottom w:val="single" w:sz="4" w:space="0" w:color="53565A" w:themeColor="accent5"/>
            </w:tcBorders>
            <w:vAlign w:val="bottom"/>
          </w:tcPr>
          <w:p w14:paraId="21D7BDBA" w14:textId="6F739C4D" w:rsidR="005F54A8" w:rsidRPr="008442BC" w:rsidRDefault="005F54A8" w:rsidP="005F54A8">
            <w:pPr>
              <w:pStyle w:val="ESTablebody"/>
              <w:rPr>
                <w:rFonts w:ascii="Calibri" w:eastAsia="Times New Roman" w:hAnsi="Calibri" w:cs="Calibri"/>
                <w:color w:val="000000"/>
                <w:szCs w:val="20"/>
                <w:lang w:val="en-AU" w:eastAsia="en-AU"/>
              </w:rPr>
            </w:pPr>
            <w:r w:rsidRPr="004A0B61">
              <w:rPr>
                <w:rFonts w:ascii="Calibri" w:hAnsi="Calibri" w:cs="Calibri"/>
                <w:color w:val="000000"/>
                <w:szCs w:val="20"/>
              </w:rPr>
              <w:t>12/07/2020</w:t>
            </w:r>
          </w:p>
        </w:tc>
        <w:tc>
          <w:tcPr>
            <w:tcW w:w="2057" w:type="dxa"/>
            <w:tcBorders>
              <w:top w:val="single" w:sz="4" w:space="0" w:color="53565A" w:themeColor="accent5"/>
              <w:bottom w:val="single" w:sz="4" w:space="0" w:color="53565A" w:themeColor="accent5"/>
            </w:tcBorders>
            <w:vAlign w:val="bottom"/>
          </w:tcPr>
          <w:p w14:paraId="6C9644E3" w14:textId="55AAC245"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24,750</w:t>
            </w:r>
          </w:p>
        </w:tc>
        <w:tc>
          <w:tcPr>
            <w:tcW w:w="1490" w:type="dxa"/>
            <w:tcBorders>
              <w:top w:val="single" w:sz="4" w:space="0" w:color="53565A" w:themeColor="accent5"/>
              <w:bottom w:val="single" w:sz="4" w:space="0" w:color="53565A" w:themeColor="accent5"/>
            </w:tcBorders>
            <w:vAlign w:val="bottom"/>
          </w:tcPr>
          <w:p w14:paraId="5BDD9AC5" w14:textId="759DFCBC" w:rsidR="005F54A8" w:rsidRPr="008442BC" w:rsidRDefault="005F54A8" w:rsidP="005F54A8">
            <w:pPr>
              <w:pStyle w:val="ESTablebody"/>
              <w:jc w:val="right"/>
              <w:rPr>
                <w:rFonts w:ascii="Calibri" w:eastAsia="Times New Roman" w:hAnsi="Calibri" w:cs="Calibri"/>
                <w:color w:val="000000"/>
                <w:szCs w:val="20"/>
                <w:lang w:val="en-AU" w:eastAsia="en-AU"/>
              </w:rPr>
            </w:pPr>
            <w:r w:rsidRPr="004A0B61">
              <w:rPr>
                <w:rFonts w:ascii="Calibri" w:hAnsi="Calibri" w:cs="Calibri"/>
                <w:color w:val="000000"/>
                <w:szCs w:val="20"/>
              </w:rPr>
              <w:t>1,500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5F875D64" w14:textId="3E45DC28" w:rsidR="005F54A8" w:rsidRPr="008442BC" w:rsidRDefault="00D4653A"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50FF77E4"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6EC76E09" w14:textId="0DF3E240"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CONVERGE INTERNATIONAL INCORPORATING RESOLUTIONS</w:t>
            </w:r>
            <w:r w:rsidRPr="004A0B61">
              <w:rPr>
                <w:rFonts w:ascii="Calibri" w:eastAsia="Times New Roman" w:hAnsi="Calibri" w:cs="Calibri"/>
                <w:color w:val="000000"/>
                <w:szCs w:val="20"/>
                <w:lang w:val="en-AU" w:eastAsia="en-AU"/>
              </w:rPr>
              <w:t xml:space="preserve"> </w:t>
            </w:r>
            <w:r w:rsidRPr="00B13298">
              <w:rPr>
                <w:rFonts w:ascii="Calibri" w:eastAsia="Times New Roman" w:hAnsi="Calibri" w:cs="Calibri"/>
                <w:color w:val="000000"/>
                <w:szCs w:val="20"/>
                <w:lang w:val="en-AU" w:eastAsia="en-AU"/>
              </w:rPr>
              <w:t>RTK PTY LTD</w:t>
            </w:r>
          </w:p>
        </w:tc>
        <w:tc>
          <w:tcPr>
            <w:tcW w:w="3613" w:type="dxa"/>
            <w:tcBorders>
              <w:top w:val="single" w:sz="4" w:space="0" w:color="53565A" w:themeColor="accent5"/>
              <w:bottom w:val="single" w:sz="4" w:space="0" w:color="53565A" w:themeColor="accent5"/>
            </w:tcBorders>
          </w:tcPr>
          <w:p w14:paraId="73D53312" w14:textId="1D3BFFEF"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Workplace wellbeing assessment and recommendations</w:t>
            </w:r>
            <w:r>
              <w:t xml:space="preserve"> </w:t>
            </w:r>
            <w:r w:rsidRPr="00722E36">
              <w:rPr>
                <w:rFonts w:ascii="Calibri" w:eastAsia="Times New Roman" w:hAnsi="Calibri" w:cs="Calibri"/>
                <w:color w:val="000000"/>
                <w:szCs w:val="20"/>
                <w:lang w:val="en-AU" w:eastAsia="en-AU"/>
              </w:rPr>
              <w:t>at a school post 2019</w:t>
            </w:r>
            <w:r w:rsidR="00F71828">
              <w:rPr>
                <w:rFonts w:ascii="Calibri" w:eastAsia="Times New Roman" w:hAnsi="Calibri" w:cs="Calibri"/>
                <w:color w:val="000000"/>
                <w:szCs w:val="20"/>
                <w:lang w:val="en-AU" w:eastAsia="en-AU"/>
              </w:rPr>
              <w:t>–</w:t>
            </w:r>
            <w:r w:rsidRPr="00722E36">
              <w:rPr>
                <w:rFonts w:ascii="Calibri" w:eastAsia="Times New Roman" w:hAnsi="Calibri" w:cs="Calibri"/>
                <w:color w:val="000000"/>
                <w:szCs w:val="20"/>
                <w:lang w:val="en-AU" w:eastAsia="en-AU"/>
              </w:rPr>
              <w:t>20 bushfires</w:t>
            </w:r>
          </w:p>
        </w:tc>
        <w:tc>
          <w:tcPr>
            <w:tcW w:w="1217" w:type="dxa"/>
            <w:tcBorders>
              <w:top w:val="single" w:sz="4" w:space="0" w:color="53565A" w:themeColor="accent5"/>
              <w:bottom w:val="single" w:sz="4" w:space="0" w:color="53565A" w:themeColor="accent5"/>
            </w:tcBorders>
          </w:tcPr>
          <w:p w14:paraId="551537A4" w14:textId="711C82DE"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10/03/2021</w:t>
            </w:r>
          </w:p>
        </w:tc>
        <w:tc>
          <w:tcPr>
            <w:tcW w:w="1316" w:type="dxa"/>
            <w:tcBorders>
              <w:top w:val="single" w:sz="4" w:space="0" w:color="53565A" w:themeColor="accent5"/>
              <w:bottom w:val="single" w:sz="4" w:space="0" w:color="53565A" w:themeColor="accent5"/>
            </w:tcBorders>
          </w:tcPr>
          <w:p w14:paraId="2A048365" w14:textId="2FA1A346"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30/06/2021</w:t>
            </w:r>
          </w:p>
        </w:tc>
        <w:tc>
          <w:tcPr>
            <w:tcW w:w="2057" w:type="dxa"/>
            <w:tcBorders>
              <w:top w:val="single" w:sz="4" w:space="0" w:color="53565A" w:themeColor="accent5"/>
              <w:bottom w:val="single" w:sz="4" w:space="0" w:color="53565A" w:themeColor="accent5"/>
            </w:tcBorders>
          </w:tcPr>
          <w:p w14:paraId="0A3173FD" w14:textId="41E3FCEE"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18,365</w:t>
            </w:r>
          </w:p>
        </w:tc>
        <w:tc>
          <w:tcPr>
            <w:tcW w:w="1490" w:type="dxa"/>
            <w:tcBorders>
              <w:top w:val="single" w:sz="4" w:space="0" w:color="53565A" w:themeColor="accent5"/>
              <w:bottom w:val="single" w:sz="4" w:space="0" w:color="53565A" w:themeColor="accent5"/>
            </w:tcBorders>
          </w:tcPr>
          <w:p w14:paraId="263B7087" w14:textId="3D664DC9"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18,365</w:t>
            </w:r>
          </w:p>
        </w:tc>
        <w:tc>
          <w:tcPr>
            <w:tcW w:w="1568" w:type="dxa"/>
            <w:gridSpan w:val="2"/>
            <w:tcBorders>
              <w:top w:val="single" w:sz="4" w:space="0" w:color="53565A" w:themeColor="accent5"/>
              <w:bottom w:val="single" w:sz="4" w:space="0" w:color="53565A" w:themeColor="accent5"/>
            </w:tcBorders>
            <w:shd w:val="clear" w:color="auto" w:fill="auto"/>
          </w:tcPr>
          <w:p w14:paraId="5158A6AF" w14:textId="59158483" w:rsidR="005F54A8" w:rsidRPr="008442BC" w:rsidRDefault="00D4653A"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6896DDB6"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73A74A61" w14:textId="77777777"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DANDOLO INTERNATIONAL PTY LTD</w:t>
            </w:r>
          </w:p>
        </w:tc>
        <w:tc>
          <w:tcPr>
            <w:tcW w:w="3613" w:type="dxa"/>
            <w:tcBorders>
              <w:top w:val="single" w:sz="4" w:space="0" w:color="53565A" w:themeColor="accent5"/>
              <w:bottom w:val="single" w:sz="4" w:space="0" w:color="53565A" w:themeColor="accent5"/>
            </w:tcBorders>
          </w:tcPr>
          <w:p w14:paraId="73DD624C" w14:textId="0A15F307"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 xml:space="preserve">Design of </w:t>
            </w:r>
            <w:proofErr w:type="spellStart"/>
            <w:r w:rsidRPr="00B13298">
              <w:rPr>
                <w:rFonts w:ascii="Calibri" w:eastAsia="Times New Roman" w:hAnsi="Calibri" w:cs="Calibri"/>
                <w:color w:val="000000"/>
                <w:szCs w:val="20"/>
                <w:lang w:val="en-AU" w:eastAsia="en-AU"/>
              </w:rPr>
              <w:t>Bastow</w:t>
            </w:r>
            <w:proofErr w:type="spellEnd"/>
            <w:r w:rsidRPr="00B13298">
              <w:rPr>
                <w:rFonts w:ascii="Calibri" w:eastAsia="Times New Roman" w:hAnsi="Calibri" w:cs="Calibri"/>
                <w:color w:val="000000"/>
                <w:szCs w:val="20"/>
                <w:lang w:val="en-AU" w:eastAsia="en-AU"/>
              </w:rPr>
              <w:t xml:space="preserve"> operating model.</w:t>
            </w:r>
          </w:p>
        </w:tc>
        <w:tc>
          <w:tcPr>
            <w:tcW w:w="1217" w:type="dxa"/>
            <w:tcBorders>
              <w:top w:val="single" w:sz="4" w:space="0" w:color="53565A" w:themeColor="accent5"/>
              <w:bottom w:val="single" w:sz="4" w:space="0" w:color="53565A" w:themeColor="accent5"/>
            </w:tcBorders>
          </w:tcPr>
          <w:p w14:paraId="0F10EF94" w14:textId="657724C3"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14/12/2020</w:t>
            </w:r>
          </w:p>
        </w:tc>
        <w:tc>
          <w:tcPr>
            <w:tcW w:w="1316" w:type="dxa"/>
            <w:tcBorders>
              <w:top w:val="single" w:sz="4" w:space="0" w:color="53565A" w:themeColor="accent5"/>
              <w:bottom w:val="single" w:sz="4" w:space="0" w:color="53565A" w:themeColor="accent5"/>
            </w:tcBorders>
          </w:tcPr>
          <w:p w14:paraId="17C3BEE2" w14:textId="393139B9"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31/08/2021</w:t>
            </w:r>
          </w:p>
        </w:tc>
        <w:tc>
          <w:tcPr>
            <w:tcW w:w="2057" w:type="dxa"/>
            <w:tcBorders>
              <w:top w:val="single" w:sz="4" w:space="0" w:color="53565A" w:themeColor="accent5"/>
              <w:bottom w:val="single" w:sz="4" w:space="0" w:color="53565A" w:themeColor="accent5"/>
            </w:tcBorders>
          </w:tcPr>
          <w:p w14:paraId="4B7EADD5" w14:textId="4184669F"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300,841</w:t>
            </w:r>
          </w:p>
        </w:tc>
        <w:tc>
          <w:tcPr>
            <w:tcW w:w="1490" w:type="dxa"/>
            <w:tcBorders>
              <w:top w:val="single" w:sz="4" w:space="0" w:color="53565A" w:themeColor="accent5"/>
              <w:bottom w:val="single" w:sz="4" w:space="0" w:color="53565A" w:themeColor="accent5"/>
            </w:tcBorders>
          </w:tcPr>
          <w:p w14:paraId="55DF9407" w14:textId="33BD10BD"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150,422</w:t>
            </w:r>
          </w:p>
        </w:tc>
        <w:tc>
          <w:tcPr>
            <w:tcW w:w="1568" w:type="dxa"/>
            <w:gridSpan w:val="2"/>
            <w:tcBorders>
              <w:top w:val="single" w:sz="4" w:space="0" w:color="53565A" w:themeColor="accent5"/>
              <w:bottom w:val="single" w:sz="4" w:space="0" w:color="53565A" w:themeColor="accent5"/>
            </w:tcBorders>
            <w:shd w:val="clear" w:color="auto" w:fill="auto"/>
          </w:tcPr>
          <w:p w14:paraId="7D3EAD9A" w14:textId="38859BB1"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150,419</w:t>
            </w:r>
          </w:p>
        </w:tc>
      </w:tr>
      <w:tr w:rsidR="005F54A8" w:rsidRPr="009423C3" w14:paraId="4992BBE5"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7EC47730" w14:textId="79495182"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DANDOLO INTERNATIONAL PTY LTD</w:t>
            </w:r>
          </w:p>
        </w:tc>
        <w:tc>
          <w:tcPr>
            <w:tcW w:w="3613" w:type="dxa"/>
            <w:tcBorders>
              <w:top w:val="single" w:sz="4" w:space="0" w:color="53565A" w:themeColor="accent5"/>
              <w:bottom w:val="single" w:sz="4" w:space="0" w:color="53565A" w:themeColor="accent5"/>
            </w:tcBorders>
          </w:tcPr>
          <w:p w14:paraId="521D781A" w14:textId="0F4DBAF5" w:rsidR="005F54A8" w:rsidRPr="008442BC" w:rsidRDefault="005F54A8" w:rsidP="005F54A8">
            <w:pPr>
              <w:pStyle w:val="ESTablebody"/>
              <w:rPr>
                <w:rFonts w:ascii="Calibri" w:eastAsia="Times New Roman" w:hAnsi="Calibri" w:cs="Calibri"/>
                <w:color w:val="000000"/>
                <w:szCs w:val="20"/>
                <w:lang w:val="en-AU" w:eastAsia="en-AU"/>
              </w:rPr>
            </w:pPr>
            <w:r w:rsidRPr="006F64C4">
              <w:rPr>
                <w:rFonts w:ascii="Calibri" w:eastAsia="Times New Roman" w:hAnsi="Calibri" w:cs="Calibri"/>
                <w:color w:val="000000"/>
                <w:szCs w:val="20"/>
                <w:lang w:val="en-AU" w:eastAsia="en-AU"/>
              </w:rPr>
              <w:t xml:space="preserve">Professional Learning Communities in </w:t>
            </w:r>
            <w:r>
              <w:rPr>
                <w:rFonts w:ascii="Calibri" w:eastAsia="Times New Roman" w:hAnsi="Calibri" w:cs="Calibri"/>
                <w:color w:val="000000"/>
                <w:szCs w:val="20"/>
                <w:lang w:val="en-AU" w:eastAsia="en-AU"/>
              </w:rPr>
              <w:t>s</w:t>
            </w:r>
            <w:r w:rsidRPr="006F64C4">
              <w:rPr>
                <w:rFonts w:ascii="Calibri" w:eastAsia="Times New Roman" w:hAnsi="Calibri" w:cs="Calibri"/>
                <w:color w:val="000000"/>
                <w:szCs w:val="20"/>
                <w:lang w:val="en-AU" w:eastAsia="en-AU"/>
              </w:rPr>
              <w:t>chool</w:t>
            </w:r>
            <w:r>
              <w:rPr>
                <w:rFonts w:ascii="Calibri" w:eastAsia="Times New Roman" w:hAnsi="Calibri" w:cs="Calibri"/>
                <w:color w:val="000000"/>
                <w:szCs w:val="20"/>
                <w:lang w:val="en-AU" w:eastAsia="en-AU"/>
              </w:rPr>
              <w:t>s</w:t>
            </w:r>
            <w:r w:rsidRPr="006F64C4">
              <w:rPr>
                <w:rFonts w:ascii="Calibri" w:eastAsia="Times New Roman" w:hAnsi="Calibri" w:cs="Calibri"/>
                <w:color w:val="000000"/>
                <w:szCs w:val="20"/>
                <w:lang w:val="en-AU" w:eastAsia="en-AU"/>
              </w:rPr>
              <w:t xml:space="preserve"> </w:t>
            </w:r>
            <w:r>
              <w:rPr>
                <w:rFonts w:ascii="Calibri" w:eastAsia="Times New Roman" w:hAnsi="Calibri" w:cs="Calibri"/>
                <w:color w:val="000000"/>
                <w:szCs w:val="20"/>
                <w:lang w:val="en-AU" w:eastAsia="en-AU"/>
              </w:rPr>
              <w:t>r</w:t>
            </w:r>
            <w:r w:rsidRPr="006F64C4">
              <w:rPr>
                <w:rFonts w:ascii="Calibri" w:eastAsia="Times New Roman" w:hAnsi="Calibri" w:cs="Calibri"/>
                <w:color w:val="000000"/>
                <w:szCs w:val="20"/>
                <w:lang w:val="en-AU" w:eastAsia="en-AU"/>
              </w:rPr>
              <w:t>eview</w:t>
            </w:r>
          </w:p>
        </w:tc>
        <w:tc>
          <w:tcPr>
            <w:tcW w:w="1217" w:type="dxa"/>
            <w:tcBorders>
              <w:top w:val="single" w:sz="4" w:space="0" w:color="53565A" w:themeColor="accent5"/>
              <w:bottom w:val="single" w:sz="4" w:space="0" w:color="53565A" w:themeColor="accent5"/>
            </w:tcBorders>
          </w:tcPr>
          <w:p w14:paraId="4F956D76" w14:textId="7EC5E53D"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26/05/2021</w:t>
            </w:r>
          </w:p>
        </w:tc>
        <w:tc>
          <w:tcPr>
            <w:tcW w:w="1316" w:type="dxa"/>
            <w:tcBorders>
              <w:top w:val="single" w:sz="4" w:space="0" w:color="53565A" w:themeColor="accent5"/>
              <w:bottom w:val="single" w:sz="4" w:space="0" w:color="53565A" w:themeColor="accent5"/>
            </w:tcBorders>
          </w:tcPr>
          <w:p w14:paraId="329536E9" w14:textId="3A657D28"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16/08/2021</w:t>
            </w:r>
          </w:p>
        </w:tc>
        <w:tc>
          <w:tcPr>
            <w:tcW w:w="2057" w:type="dxa"/>
            <w:tcBorders>
              <w:top w:val="single" w:sz="4" w:space="0" w:color="53565A" w:themeColor="accent5"/>
              <w:bottom w:val="single" w:sz="4" w:space="0" w:color="53565A" w:themeColor="accent5"/>
            </w:tcBorders>
          </w:tcPr>
          <w:p w14:paraId="216869D4" w14:textId="449766BB"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188,967</w:t>
            </w:r>
          </w:p>
        </w:tc>
        <w:tc>
          <w:tcPr>
            <w:tcW w:w="1490" w:type="dxa"/>
            <w:tcBorders>
              <w:top w:val="single" w:sz="4" w:space="0" w:color="53565A" w:themeColor="accent5"/>
              <w:bottom w:val="single" w:sz="4" w:space="0" w:color="53565A" w:themeColor="accent5"/>
            </w:tcBorders>
          </w:tcPr>
          <w:p w14:paraId="3DB0B40C" w14:textId="4489FF44"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158,967</w:t>
            </w:r>
          </w:p>
        </w:tc>
        <w:tc>
          <w:tcPr>
            <w:tcW w:w="1568" w:type="dxa"/>
            <w:gridSpan w:val="2"/>
            <w:tcBorders>
              <w:top w:val="single" w:sz="4" w:space="0" w:color="53565A" w:themeColor="accent5"/>
              <w:bottom w:val="single" w:sz="4" w:space="0" w:color="53565A" w:themeColor="accent5"/>
            </w:tcBorders>
            <w:shd w:val="clear" w:color="auto" w:fill="auto"/>
          </w:tcPr>
          <w:p w14:paraId="3EF7F585" w14:textId="51AC72C0"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30,000</w:t>
            </w:r>
          </w:p>
        </w:tc>
      </w:tr>
      <w:tr w:rsidR="005F54A8" w:rsidRPr="009423C3" w14:paraId="7BC2245D"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1D3F0C19" w14:textId="29540A86"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DELOITTE ACCESS ECONOMICS</w:t>
            </w:r>
          </w:p>
        </w:tc>
        <w:tc>
          <w:tcPr>
            <w:tcW w:w="3613" w:type="dxa"/>
            <w:tcBorders>
              <w:top w:val="single" w:sz="4" w:space="0" w:color="53565A" w:themeColor="accent5"/>
              <w:bottom w:val="single" w:sz="4" w:space="0" w:color="53565A" w:themeColor="accent5"/>
            </w:tcBorders>
          </w:tcPr>
          <w:p w14:paraId="16BFCEA3" w14:textId="4B846A1D"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Review of the Doctors in Secondary Schools financial model</w:t>
            </w:r>
          </w:p>
        </w:tc>
        <w:tc>
          <w:tcPr>
            <w:tcW w:w="1217" w:type="dxa"/>
            <w:tcBorders>
              <w:top w:val="single" w:sz="4" w:space="0" w:color="53565A" w:themeColor="accent5"/>
              <w:bottom w:val="single" w:sz="4" w:space="0" w:color="53565A" w:themeColor="accent5"/>
            </w:tcBorders>
          </w:tcPr>
          <w:p w14:paraId="5766F57E" w14:textId="1F33AD3E"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19/10/2020</w:t>
            </w:r>
          </w:p>
        </w:tc>
        <w:tc>
          <w:tcPr>
            <w:tcW w:w="1316" w:type="dxa"/>
            <w:tcBorders>
              <w:top w:val="single" w:sz="4" w:space="0" w:color="53565A" w:themeColor="accent5"/>
              <w:bottom w:val="single" w:sz="4" w:space="0" w:color="53565A" w:themeColor="accent5"/>
            </w:tcBorders>
          </w:tcPr>
          <w:p w14:paraId="23E4B80B" w14:textId="700CA108"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3/05/2021</w:t>
            </w:r>
          </w:p>
        </w:tc>
        <w:tc>
          <w:tcPr>
            <w:tcW w:w="2057" w:type="dxa"/>
            <w:tcBorders>
              <w:top w:val="single" w:sz="4" w:space="0" w:color="53565A" w:themeColor="accent5"/>
              <w:bottom w:val="single" w:sz="4" w:space="0" w:color="53565A" w:themeColor="accent5"/>
            </w:tcBorders>
          </w:tcPr>
          <w:p w14:paraId="18754C99" w14:textId="72AAA0EC"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84,660</w:t>
            </w:r>
          </w:p>
        </w:tc>
        <w:tc>
          <w:tcPr>
            <w:tcW w:w="1490" w:type="dxa"/>
            <w:tcBorders>
              <w:top w:val="single" w:sz="4" w:space="0" w:color="53565A" w:themeColor="accent5"/>
              <w:bottom w:val="single" w:sz="4" w:space="0" w:color="53565A" w:themeColor="accent5"/>
            </w:tcBorders>
          </w:tcPr>
          <w:p w14:paraId="670851D0" w14:textId="0715EFA1"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16,932</w:t>
            </w:r>
          </w:p>
        </w:tc>
        <w:tc>
          <w:tcPr>
            <w:tcW w:w="1568" w:type="dxa"/>
            <w:gridSpan w:val="2"/>
            <w:tcBorders>
              <w:top w:val="single" w:sz="4" w:space="0" w:color="53565A" w:themeColor="accent5"/>
              <w:bottom w:val="single" w:sz="4" w:space="0" w:color="53565A" w:themeColor="accent5"/>
            </w:tcBorders>
            <w:shd w:val="clear" w:color="auto" w:fill="auto"/>
          </w:tcPr>
          <w:p w14:paraId="4537764C" w14:textId="1A367196" w:rsidR="005F54A8" w:rsidRPr="008442BC" w:rsidRDefault="001100A7"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53D2090D"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61F9ED0F" w14:textId="77777777"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DELOITTE TOUCHE TOHMATSU</w:t>
            </w:r>
          </w:p>
        </w:tc>
        <w:tc>
          <w:tcPr>
            <w:tcW w:w="3613" w:type="dxa"/>
            <w:tcBorders>
              <w:top w:val="single" w:sz="4" w:space="0" w:color="53565A" w:themeColor="accent5"/>
              <w:bottom w:val="single" w:sz="4" w:space="0" w:color="53565A" w:themeColor="accent5"/>
            </w:tcBorders>
          </w:tcPr>
          <w:p w14:paraId="4C083A3B" w14:textId="745B7F6D"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TAFE operating model reform</w:t>
            </w:r>
          </w:p>
        </w:tc>
        <w:tc>
          <w:tcPr>
            <w:tcW w:w="1217" w:type="dxa"/>
            <w:tcBorders>
              <w:top w:val="single" w:sz="4" w:space="0" w:color="53565A" w:themeColor="accent5"/>
              <w:bottom w:val="single" w:sz="4" w:space="0" w:color="53565A" w:themeColor="accent5"/>
            </w:tcBorders>
          </w:tcPr>
          <w:p w14:paraId="72AEC4D8" w14:textId="75CC67AB"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24/08/2020</w:t>
            </w:r>
          </w:p>
        </w:tc>
        <w:tc>
          <w:tcPr>
            <w:tcW w:w="1316" w:type="dxa"/>
            <w:tcBorders>
              <w:top w:val="single" w:sz="4" w:space="0" w:color="53565A" w:themeColor="accent5"/>
              <w:bottom w:val="single" w:sz="4" w:space="0" w:color="53565A" w:themeColor="accent5"/>
            </w:tcBorders>
          </w:tcPr>
          <w:p w14:paraId="35C28363" w14:textId="6EF3E8BB"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27/11/2020</w:t>
            </w:r>
          </w:p>
        </w:tc>
        <w:tc>
          <w:tcPr>
            <w:tcW w:w="2057" w:type="dxa"/>
            <w:tcBorders>
              <w:top w:val="single" w:sz="4" w:space="0" w:color="53565A" w:themeColor="accent5"/>
              <w:bottom w:val="single" w:sz="4" w:space="0" w:color="53565A" w:themeColor="accent5"/>
            </w:tcBorders>
          </w:tcPr>
          <w:p w14:paraId="02373C9E" w14:textId="535F37CF"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331,909</w:t>
            </w:r>
          </w:p>
        </w:tc>
        <w:tc>
          <w:tcPr>
            <w:tcW w:w="1490" w:type="dxa"/>
            <w:tcBorders>
              <w:top w:val="single" w:sz="4" w:space="0" w:color="53565A" w:themeColor="accent5"/>
              <w:bottom w:val="single" w:sz="4" w:space="0" w:color="53565A" w:themeColor="accent5"/>
            </w:tcBorders>
          </w:tcPr>
          <w:p w14:paraId="1C1D3019" w14:textId="491090D0"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331,884</w:t>
            </w:r>
          </w:p>
        </w:tc>
        <w:tc>
          <w:tcPr>
            <w:tcW w:w="1568" w:type="dxa"/>
            <w:gridSpan w:val="2"/>
            <w:tcBorders>
              <w:top w:val="single" w:sz="4" w:space="0" w:color="53565A" w:themeColor="accent5"/>
              <w:bottom w:val="single" w:sz="4" w:space="0" w:color="53565A" w:themeColor="accent5"/>
            </w:tcBorders>
            <w:shd w:val="clear" w:color="auto" w:fill="auto"/>
          </w:tcPr>
          <w:p w14:paraId="26CAF97D" w14:textId="47DE0AB8" w:rsidR="005F54A8" w:rsidRPr="008442BC" w:rsidRDefault="001100A7"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283AD9E9"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3BB20CFE" w14:textId="64AC87E2"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DELOITTE TOUCHE TOHMATSU</w:t>
            </w:r>
          </w:p>
        </w:tc>
        <w:tc>
          <w:tcPr>
            <w:tcW w:w="3613" w:type="dxa"/>
            <w:tcBorders>
              <w:top w:val="single" w:sz="4" w:space="0" w:color="53565A" w:themeColor="accent5"/>
              <w:bottom w:val="single" w:sz="4" w:space="0" w:color="53565A" w:themeColor="accent5"/>
            </w:tcBorders>
          </w:tcPr>
          <w:p w14:paraId="38A93AE0" w14:textId="07DAFD88" w:rsidR="005F54A8" w:rsidRPr="008442BC" w:rsidRDefault="005F54A8" w:rsidP="005F54A8">
            <w:pPr>
              <w:pStyle w:val="ESTablebody"/>
              <w:rPr>
                <w:rFonts w:ascii="Calibri" w:eastAsia="Times New Roman" w:hAnsi="Calibri" w:cs="Calibri"/>
                <w:color w:val="000000"/>
                <w:szCs w:val="20"/>
                <w:lang w:val="en-AU" w:eastAsia="en-AU"/>
              </w:rPr>
            </w:pPr>
            <w:r w:rsidRPr="00907C88">
              <w:rPr>
                <w:rFonts w:ascii="Calibri" w:eastAsia="Times New Roman" w:hAnsi="Calibri" w:cs="Calibri"/>
                <w:color w:val="000000"/>
                <w:szCs w:val="20"/>
                <w:lang w:val="en-AU" w:eastAsia="en-AU"/>
              </w:rPr>
              <w:t>Enhancing operational levers to strengthen the impact of supports provided through regions to school</w:t>
            </w:r>
            <w:r w:rsidR="0048231C">
              <w:rPr>
                <w:rFonts w:ascii="Calibri" w:eastAsia="Times New Roman" w:hAnsi="Calibri" w:cs="Calibri"/>
                <w:color w:val="000000"/>
                <w:szCs w:val="20"/>
                <w:lang w:val="en-AU" w:eastAsia="en-AU"/>
              </w:rPr>
              <w:t>s</w:t>
            </w:r>
          </w:p>
        </w:tc>
        <w:tc>
          <w:tcPr>
            <w:tcW w:w="1217" w:type="dxa"/>
            <w:tcBorders>
              <w:top w:val="single" w:sz="4" w:space="0" w:color="53565A" w:themeColor="accent5"/>
              <w:bottom w:val="single" w:sz="4" w:space="0" w:color="53565A" w:themeColor="accent5"/>
            </w:tcBorders>
          </w:tcPr>
          <w:p w14:paraId="4F446B9B" w14:textId="5C3C43BE"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26/04/2021</w:t>
            </w:r>
          </w:p>
        </w:tc>
        <w:tc>
          <w:tcPr>
            <w:tcW w:w="1316" w:type="dxa"/>
            <w:tcBorders>
              <w:top w:val="single" w:sz="4" w:space="0" w:color="53565A" w:themeColor="accent5"/>
              <w:bottom w:val="single" w:sz="4" w:space="0" w:color="53565A" w:themeColor="accent5"/>
            </w:tcBorders>
          </w:tcPr>
          <w:p w14:paraId="0EE0F70C" w14:textId="0562E413"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30/09/2021</w:t>
            </w:r>
          </w:p>
        </w:tc>
        <w:tc>
          <w:tcPr>
            <w:tcW w:w="2057" w:type="dxa"/>
            <w:tcBorders>
              <w:top w:val="single" w:sz="4" w:space="0" w:color="53565A" w:themeColor="accent5"/>
              <w:bottom w:val="single" w:sz="4" w:space="0" w:color="53565A" w:themeColor="accent5"/>
            </w:tcBorders>
          </w:tcPr>
          <w:p w14:paraId="677243C0" w14:textId="19B5A191"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382,900</w:t>
            </w:r>
          </w:p>
        </w:tc>
        <w:tc>
          <w:tcPr>
            <w:tcW w:w="1490" w:type="dxa"/>
            <w:tcBorders>
              <w:top w:val="single" w:sz="4" w:space="0" w:color="53565A" w:themeColor="accent5"/>
              <w:bottom w:val="single" w:sz="4" w:space="0" w:color="53565A" w:themeColor="accent5"/>
            </w:tcBorders>
          </w:tcPr>
          <w:p w14:paraId="259E0607" w14:textId="78FF4D3C"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76,580</w:t>
            </w:r>
          </w:p>
        </w:tc>
        <w:tc>
          <w:tcPr>
            <w:tcW w:w="1568" w:type="dxa"/>
            <w:gridSpan w:val="2"/>
            <w:tcBorders>
              <w:top w:val="single" w:sz="4" w:space="0" w:color="53565A" w:themeColor="accent5"/>
              <w:bottom w:val="single" w:sz="4" w:space="0" w:color="53565A" w:themeColor="accent5"/>
            </w:tcBorders>
            <w:shd w:val="clear" w:color="auto" w:fill="auto"/>
          </w:tcPr>
          <w:p w14:paraId="3A59F5E3" w14:textId="22F9A48B"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153,160</w:t>
            </w:r>
          </w:p>
        </w:tc>
      </w:tr>
      <w:tr w:rsidR="005F54A8" w:rsidRPr="009423C3" w14:paraId="63208C9D" w14:textId="77777777" w:rsidTr="005F54A8">
        <w:trPr>
          <w:cantSplit/>
          <w:trHeight w:val="473"/>
        </w:trPr>
        <w:tc>
          <w:tcPr>
            <w:tcW w:w="2957" w:type="dxa"/>
            <w:tcBorders>
              <w:top w:val="single" w:sz="4" w:space="0" w:color="53565A" w:themeColor="accent5"/>
              <w:bottom w:val="single" w:sz="4" w:space="0" w:color="53565A" w:themeColor="accent5"/>
            </w:tcBorders>
            <w:shd w:val="clear" w:color="auto" w:fill="auto"/>
          </w:tcPr>
          <w:p w14:paraId="74C68E51" w14:textId="15E3B30E"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EDIFIED PTY LTD</w:t>
            </w:r>
          </w:p>
        </w:tc>
        <w:tc>
          <w:tcPr>
            <w:tcW w:w="3613" w:type="dxa"/>
            <w:tcBorders>
              <w:top w:val="single" w:sz="4" w:space="0" w:color="53565A" w:themeColor="accent5"/>
              <w:bottom w:val="single" w:sz="4" w:space="0" w:color="53565A" w:themeColor="accent5"/>
            </w:tcBorders>
          </w:tcPr>
          <w:p w14:paraId="004EAEFE" w14:textId="7C2BB0CA"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Review of marketing and communications of the International Student Program</w:t>
            </w:r>
          </w:p>
        </w:tc>
        <w:tc>
          <w:tcPr>
            <w:tcW w:w="1217" w:type="dxa"/>
            <w:tcBorders>
              <w:top w:val="single" w:sz="4" w:space="0" w:color="53565A" w:themeColor="accent5"/>
              <w:bottom w:val="single" w:sz="4" w:space="0" w:color="53565A" w:themeColor="accent5"/>
            </w:tcBorders>
          </w:tcPr>
          <w:p w14:paraId="659BF999" w14:textId="72DE29B0"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12/10/2020</w:t>
            </w:r>
          </w:p>
        </w:tc>
        <w:tc>
          <w:tcPr>
            <w:tcW w:w="1316" w:type="dxa"/>
            <w:tcBorders>
              <w:top w:val="single" w:sz="4" w:space="0" w:color="53565A" w:themeColor="accent5"/>
              <w:bottom w:val="single" w:sz="4" w:space="0" w:color="53565A" w:themeColor="accent5"/>
            </w:tcBorders>
          </w:tcPr>
          <w:p w14:paraId="2BC34CAF" w14:textId="1B30F4F7" w:rsidR="005F54A8" w:rsidRPr="008442BC" w:rsidRDefault="005F54A8" w:rsidP="005F54A8">
            <w:pPr>
              <w:pStyle w:val="ESTablebody"/>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31/03/2021</w:t>
            </w:r>
          </w:p>
        </w:tc>
        <w:tc>
          <w:tcPr>
            <w:tcW w:w="2057" w:type="dxa"/>
            <w:tcBorders>
              <w:top w:val="single" w:sz="4" w:space="0" w:color="53565A" w:themeColor="accent5"/>
              <w:bottom w:val="single" w:sz="4" w:space="0" w:color="53565A" w:themeColor="accent5"/>
            </w:tcBorders>
          </w:tcPr>
          <w:p w14:paraId="7E619F3A" w14:textId="6809E49A"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99,159</w:t>
            </w:r>
          </w:p>
        </w:tc>
        <w:tc>
          <w:tcPr>
            <w:tcW w:w="1490" w:type="dxa"/>
            <w:tcBorders>
              <w:top w:val="single" w:sz="4" w:space="0" w:color="53565A" w:themeColor="accent5"/>
              <w:bottom w:val="single" w:sz="4" w:space="0" w:color="53565A" w:themeColor="accent5"/>
            </w:tcBorders>
          </w:tcPr>
          <w:p w14:paraId="0226631E" w14:textId="6ACDB085" w:rsidR="005F54A8" w:rsidRPr="008442BC" w:rsidRDefault="005F54A8" w:rsidP="005F54A8">
            <w:pPr>
              <w:pStyle w:val="ESTablebody"/>
              <w:jc w:val="right"/>
              <w:rPr>
                <w:rFonts w:ascii="Calibri" w:eastAsia="Times New Roman" w:hAnsi="Calibri" w:cs="Calibri"/>
                <w:color w:val="000000"/>
                <w:szCs w:val="20"/>
                <w:lang w:val="en-AU" w:eastAsia="en-AU"/>
              </w:rPr>
            </w:pPr>
            <w:r w:rsidRPr="00B13298">
              <w:rPr>
                <w:rFonts w:ascii="Calibri" w:eastAsia="Times New Roman" w:hAnsi="Calibri" w:cs="Calibri"/>
                <w:color w:val="000000"/>
                <w:szCs w:val="20"/>
                <w:lang w:val="en-AU" w:eastAsia="en-AU"/>
              </w:rPr>
              <w:t>99,159</w:t>
            </w:r>
          </w:p>
        </w:tc>
        <w:tc>
          <w:tcPr>
            <w:tcW w:w="1568" w:type="dxa"/>
            <w:gridSpan w:val="2"/>
            <w:tcBorders>
              <w:top w:val="single" w:sz="4" w:space="0" w:color="53565A" w:themeColor="accent5"/>
              <w:bottom w:val="single" w:sz="4" w:space="0" w:color="53565A" w:themeColor="accent5"/>
            </w:tcBorders>
            <w:shd w:val="clear" w:color="auto" w:fill="auto"/>
          </w:tcPr>
          <w:p w14:paraId="15B530DF" w14:textId="48E10965" w:rsidR="005F54A8" w:rsidRPr="008442BC" w:rsidRDefault="001100A7"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5BF16A89"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72BF5D51" w14:textId="4F954A7C"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ERNST AND YOUNG</w:t>
            </w:r>
          </w:p>
        </w:tc>
        <w:tc>
          <w:tcPr>
            <w:tcW w:w="3613" w:type="dxa"/>
            <w:tcBorders>
              <w:top w:val="single" w:sz="4" w:space="0" w:color="53565A" w:themeColor="accent5"/>
              <w:bottom w:val="single" w:sz="4" w:space="0" w:color="53565A" w:themeColor="accent5"/>
            </w:tcBorders>
            <w:vAlign w:val="bottom"/>
          </w:tcPr>
          <w:p w14:paraId="326BD70D" w14:textId="0AE65935"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Planning to improve TAFE financial performance</w:t>
            </w:r>
          </w:p>
        </w:tc>
        <w:tc>
          <w:tcPr>
            <w:tcW w:w="1217" w:type="dxa"/>
            <w:tcBorders>
              <w:top w:val="single" w:sz="4" w:space="0" w:color="53565A" w:themeColor="accent5"/>
              <w:bottom w:val="single" w:sz="4" w:space="0" w:color="53565A" w:themeColor="accent5"/>
            </w:tcBorders>
            <w:vAlign w:val="bottom"/>
          </w:tcPr>
          <w:p w14:paraId="6E25D37A" w14:textId="08FB7C50"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4/08/2020</w:t>
            </w:r>
          </w:p>
        </w:tc>
        <w:tc>
          <w:tcPr>
            <w:tcW w:w="1316" w:type="dxa"/>
            <w:tcBorders>
              <w:top w:val="single" w:sz="4" w:space="0" w:color="53565A" w:themeColor="accent5"/>
              <w:bottom w:val="single" w:sz="4" w:space="0" w:color="53565A" w:themeColor="accent5"/>
            </w:tcBorders>
            <w:vAlign w:val="bottom"/>
          </w:tcPr>
          <w:p w14:paraId="3C2EF3A5" w14:textId="5BD4ADCD"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6/04/2021</w:t>
            </w:r>
          </w:p>
        </w:tc>
        <w:tc>
          <w:tcPr>
            <w:tcW w:w="2057" w:type="dxa"/>
            <w:tcBorders>
              <w:top w:val="single" w:sz="4" w:space="0" w:color="53565A" w:themeColor="accent5"/>
              <w:bottom w:val="single" w:sz="4" w:space="0" w:color="53565A" w:themeColor="accent5"/>
            </w:tcBorders>
            <w:vAlign w:val="bottom"/>
          </w:tcPr>
          <w:p w14:paraId="7045D263" w14:textId="22AF6957"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373,580</w:t>
            </w:r>
          </w:p>
        </w:tc>
        <w:tc>
          <w:tcPr>
            <w:tcW w:w="1490" w:type="dxa"/>
            <w:tcBorders>
              <w:top w:val="single" w:sz="4" w:space="0" w:color="53565A" w:themeColor="accent5"/>
              <w:bottom w:val="single" w:sz="4" w:space="0" w:color="53565A" w:themeColor="accent5"/>
            </w:tcBorders>
            <w:vAlign w:val="bottom"/>
          </w:tcPr>
          <w:p w14:paraId="41A50AD0" w14:textId="5AA47B0E"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373,581</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739CA84C" w14:textId="2DA1803F" w:rsidR="005F54A8" w:rsidRPr="008442BC" w:rsidRDefault="001100A7" w:rsidP="005F54A8">
            <w:pPr>
              <w:pStyle w:val="ESTablebody"/>
              <w:jc w:val="right"/>
              <w:rPr>
                <w:rFonts w:ascii="Calibri" w:eastAsia="Times New Roman" w:hAnsi="Calibri" w:cs="Calibri"/>
                <w:color w:val="000000"/>
                <w:szCs w:val="20"/>
                <w:lang w:val="en-AU" w:eastAsia="en-AU"/>
              </w:rPr>
            </w:pPr>
            <w:r>
              <w:rPr>
                <w:rFonts w:ascii="Calibri" w:hAnsi="Calibri" w:cs="Calibri"/>
                <w:color w:val="000000"/>
                <w:szCs w:val="20"/>
                <w:lang w:eastAsia="en-AU"/>
              </w:rPr>
              <w:t>–</w:t>
            </w:r>
          </w:p>
        </w:tc>
      </w:tr>
      <w:tr w:rsidR="005F54A8" w:rsidRPr="009423C3" w14:paraId="21085118"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5790FE95" w14:textId="4E77A25A"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GROSVENOR PERFORMANCE GROUP PTY LTD</w:t>
            </w:r>
          </w:p>
        </w:tc>
        <w:tc>
          <w:tcPr>
            <w:tcW w:w="3613" w:type="dxa"/>
            <w:tcBorders>
              <w:top w:val="single" w:sz="4" w:space="0" w:color="53565A" w:themeColor="accent5"/>
              <w:bottom w:val="single" w:sz="4" w:space="0" w:color="53565A" w:themeColor="accent5"/>
            </w:tcBorders>
            <w:vAlign w:val="bottom"/>
          </w:tcPr>
          <w:p w14:paraId="70837AC9" w14:textId="2C57714A"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 xml:space="preserve">Evaluation of </w:t>
            </w:r>
            <w:proofErr w:type="gramStart"/>
            <w:r w:rsidRPr="005A7EB8">
              <w:rPr>
                <w:rFonts w:ascii="Calibri" w:hAnsi="Calibri" w:cs="Calibri"/>
                <w:color w:val="000000"/>
                <w:szCs w:val="20"/>
              </w:rPr>
              <w:t>Conflict of Interest</w:t>
            </w:r>
            <w:proofErr w:type="gramEnd"/>
            <w:r w:rsidRPr="005A7EB8">
              <w:rPr>
                <w:rFonts w:ascii="Calibri" w:hAnsi="Calibri" w:cs="Calibri"/>
                <w:color w:val="000000"/>
                <w:szCs w:val="20"/>
              </w:rPr>
              <w:t xml:space="preserve"> reforms</w:t>
            </w:r>
          </w:p>
        </w:tc>
        <w:tc>
          <w:tcPr>
            <w:tcW w:w="1217" w:type="dxa"/>
            <w:tcBorders>
              <w:top w:val="single" w:sz="4" w:space="0" w:color="53565A" w:themeColor="accent5"/>
              <w:bottom w:val="single" w:sz="4" w:space="0" w:color="53565A" w:themeColor="accent5"/>
            </w:tcBorders>
            <w:vAlign w:val="bottom"/>
          </w:tcPr>
          <w:p w14:paraId="7F0A56FE" w14:textId="2DB4FDB6"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16/06/2020</w:t>
            </w:r>
          </w:p>
        </w:tc>
        <w:tc>
          <w:tcPr>
            <w:tcW w:w="1316" w:type="dxa"/>
            <w:tcBorders>
              <w:top w:val="single" w:sz="4" w:space="0" w:color="53565A" w:themeColor="accent5"/>
              <w:bottom w:val="single" w:sz="4" w:space="0" w:color="53565A" w:themeColor="accent5"/>
            </w:tcBorders>
            <w:vAlign w:val="bottom"/>
          </w:tcPr>
          <w:p w14:paraId="4AB856B8" w14:textId="2D62E8CE"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2/12/2020</w:t>
            </w:r>
          </w:p>
        </w:tc>
        <w:tc>
          <w:tcPr>
            <w:tcW w:w="2057" w:type="dxa"/>
            <w:tcBorders>
              <w:top w:val="single" w:sz="4" w:space="0" w:color="53565A" w:themeColor="accent5"/>
              <w:bottom w:val="single" w:sz="4" w:space="0" w:color="53565A" w:themeColor="accent5"/>
            </w:tcBorders>
            <w:vAlign w:val="bottom"/>
          </w:tcPr>
          <w:p w14:paraId="1CE3A1D8" w14:textId="3509D863"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67,420</w:t>
            </w:r>
          </w:p>
        </w:tc>
        <w:tc>
          <w:tcPr>
            <w:tcW w:w="1490" w:type="dxa"/>
            <w:tcBorders>
              <w:top w:val="single" w:sz="4" w:space="0" w:color="53565A" w:themeColor="accent5"/>
              <w:bottom w:val="single" w:sz="4" w:space="0" w:color="53565A" w:themeColor="accent5"/>
            </w:tcBorders>
            <w:vAlign w:val="bottom"/>
          </w:tcPr>
          <w:p w14:paraId="63C49C81" w14:textId="1E5EBE6E"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56,633</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08B4F42E" w14:textId="4D3279C8" w:rsidR="005F54A8" w:rsidRPr="008442BC" w:rsidRDefault="001100A7" w:rsidP="005F54A8">
            <w:pPr>
              <w:pStyle w:val="ESTablebody"/>
              <w:jc w:val="right"/>
              <w:rPr>
                <w:rFonts w:ascii="Calibri" w:eastAsia="Times New Roman" w:hAnsi="Calibri" w:cs="Calibri"/>
                <w:color w:val="000000"/>
                <w:szCs w:val="20"/>
                <w:lang w:val="en-AU" w:eastAsia="en-AU"/>
              </w:rPr>
            </w:pPr>
            <w:r>
              <w:rPr>
                <w:rFonts w:ascii="Calibri" w:hAnsi="Calibri" w:cs="Calibri"/>
                <w:color w:val="000000"/>
                <w:szCs w:val="20"/>
                <w:lang w:eastAsia="en-AU"/>
              </w:rPr>
              <w:t>–</w:t>
            </w:r>
          </w:p>
        </w:tc>
      </w:tr>
      <w:tr w:rsidR="005F54A8" w:rsidRPr="009423C3" w14:paraId="70EF9034"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571BCB07" w14:textId="20B885FB"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lastRenderedPageBreak/>
              <w:t>JOHN EDWIN FIRTH</w:t>
            </w:r>
          </w:p>
        </w:tc>
        <w:tc>
          <w:tcPr>
            <w:tcW w:w="3613" w:type="dxa"/>
            <w:tcBorders>
              <w:top w:val="single" w:sz="4" w:space="0" w:color="53565A" w:themeColor="accent5"/>
              <w:bottom w:val="single" w:sz="4" w:space="0" w:color="53565A" w:themeColor="accent5"/>
            </w:tcBorders>
            <w:vAlign w:val="bottom"/>
          </w:tcPr>
          <w:p w14:paraId="6048A60E" w14:textId="1A5EA212"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Review of vocational and applied learning pathways in senior secondary school</w:t>
            </w:r>
          </w:p>
        </w:tc>
        <w:tc>
          <w:tcPr>
            <w:tcW w:w="1217" w:type="dxa"/>
            <w:tcBorders>
              <w:top w:val="single" w:sz="4" w:space="0" w:color="53565A" w:themeColor="accent5"/>
              <w:bottom w:val="single" w:sz="4" w:space="0" w:color="53565A" w:themeColor="accent5"/>
            </w:tcBorders>
            <w:vAlign w:val="bottom"/>
          </w:tcPr>
          <w:p w14:paraId="5E17511C" w14:textId="289F6BE7"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15/11/2019</w:t>
            </w:r>
          </w:p>
        </w:tc>
        <w:tc>
          <w:tcPr>
            <w:tcW w:w="1316" w:type="dxa"/>
            <w:tcBorders>
              <w:top w:val="single" w:sz="4" w:space="0" w:color="53565A" w:themeColor="accent5"/>
              <w:bottom w:val="single" w:sz="4" w:space="0" w:color="53565A" w:themeColor="accent5"/>
            </w:tcBorders>
            <w:vAlign w:val="bottom"/>
          </w:tcPr>
          <w:p w14:paraId="3F8F79D6" w14:textId="711FBA76"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31/10/2020</w:t>
            </w:r>
          </w:p>
        </w:tc>
        <w:tc>
          <w:tcPr>
            <w:tcW w:w="2057" w:type="dxa"/>
            <w:tcBorders>
              <w:top w:val="single" w:sz="4" w:space="0" w:color="53565A" w:themeColor="accent5"/>
              <w:bottom w:val="single" w:sz="4" w:space="0" w:color="53565A" w:themeColor="accent5"/>
            </w:tcBorders>
            <w:vAlign w:val="bottom"/>
          </w:tcPr>
          <w:p w14:paraId="7E41D856" w14:textId="02B89759"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186,750</w:t>
            </w:r>
          </w:p>
        </w:tc>
        <w:tc>
          <w:tcPr>
            <w:tcW w:w="1490" w:type="dxa"/>
            <w:tcBorders>
              <w:top w:val="single" w:sz="4" w:space="0" w:color="53565A" w:themeColor="accent5"/>
              <w:bottom w:val="single" w:sz="4" w:space="0" w:color="53565A" w:themeColor="accent5"/>
            </w:tcBorders>
            <w:vAlign w:val="bottom"/>
          </w:tcPr>
          <w:p w14:paraId="3F155407" w14:textId="64CB0616"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105,000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304562E4" w14:textId="1FABE366" w:rsidR="005F54A8" w:rsidRPr="008442BC" w:rsidRDefault="00F31F6E"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1E1C5725"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317C10C1" w14:textId="6A5FA66D"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KANTAR PUBLIC AUSTRALIA PTY LTD</w:t>
            </w:r>
          </w:p>
        </w:tc>
        <w:tc>
          <w:tcPr>
            <w:tcW w:w="3613" w:type="dxa"/>
            <w:tcBorders>
              <w:top w:val="single" w:sz="4" w:space="0" w:color="53565A" w:themeColor="accent5"/>
              <w:bottom w:val="single" w:sz="4" w:space="0" w:color="53565A" w:themeColor="accent5"/>
            </w:tcBorders>
            <w:vAlign w:val="bottom"/>
          </w:tcPr>
          <w:p w14:paraId="7F9B8B4F" w14:textId="4AFF0DD1"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 xml:space="preserve">Concept testing for the Active Schools </w:t>
            </w:r>
            <w:proofErr w:type="spellStart"/>
            <w:r w:rsidRPr="005A7EB8">
              <w:rPr>
                <w:rFonts w:ascii="Calibri" w:hAnsi="Calibri" w:cs="Calibri"/>
                <w:color w:val="000000"/>
                <w:szCs w:val="20"/>
              </w:rPr>
              <w:t>Behaviour</w:t>
            </w:r>
            <w:proofErr w:type="spellEnd"/>
            <w:r w:rsidRPr="005A7EB8">
              <w:rPr>
                <w:rFonts w:ascii="Calibri" w:hAnsi="Calibri" w:cs="Calibri"/>
                <w:color w:val="000000"/>
                <w:szCs w:val="20"/>
              </w:rPr>
              <w:t xml:space="preserve"> Change </w:t>
            </w:r>
            <w:r>
              <w:rPr>
                <w:rFonts w:ascii="Calibri" w:hAnsi="Calibri" w:cs="Calibri"/>
                <w:color w:val="000000"/>
                <w:szCs w:val="20"/>
              </w:rPr>
              <w:t>C</w:t>
            </w:r>
            <w:r w:rsidRPr="005A7EB8">
              <w:rPr>
                <w:rFonts w:ascii="Calibri" w:hAnsi="Calibri" w:cs="Calibri"/>
                <w:color w:val="000000"/>
                <w:szCs w:val="20"/>
              </w:rPr>
              <w:t>ampaign</w:t>
            </w:r>
          </w:p>
        </w:tc>
        <w:tc>
          <w:tcPr>
            <w:tcW w:w="1217" w:type="dxa"/>
            <w:tcBorders>
              <w:top w:val="single" w:sz="4" w:space="0" w:color="53565A" w:themeColor="accent5"/>
              <w:bottom w:val="single" w:sz="4" w:space="0" w:color="53565A" w:themeColor="accent5"/>
            </w:tcBorders>
            <w:vAlign w:val="bottom"/>
          </w:tcPr>
          <w:p w14:paraId="0D3C55AE" w14:textId="6D68E2BB"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18/01/2021</w:t>
            </w:r>
          </w:p>
        </w:tc>
        <w:tc>
          <w:tcPr>
            <w:tcW w:w="1316" w:type="dxa"/>
            <w:tcBorders>
              <w:top w:val="single" w:sz="4" w:space="0" w:color="53565A" w:themeColor="accent5"/>
              <w:bottom w:val="single" w:sz="4" w:space="0" w:color="53565A" w:themeColor="accent5"/>
            </w:tcBorders>
            <w:vAlign w:val="bottom"/>
          </w:tcPr>
          <w:p w14:paraId="5EAFB0FA" w14:textId="01EE890A"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30/06/2021</w:t>
            </w:r>
          </w:p>
        </w:tc>
        <w:tc>
          <w:tcPr>
            <w:tcW w:w="2057" w:type="dxa"/>
            <w:tcBorders>
              <w:top w:val="single" w:sz="4" w:space="0" w:color="53565A" w:themeColor="accent5"/>
              <w:bottom w:val="single" w:sz="4" w:space="0" w:color="53565A" w:themeColor="accent5"/>
            </w:tcBorders>
            <w:vAlign w:val="bottom"/>
          </w:tcPr>
          <w:p w14:paraId="15254C93" w14:textId="5ED2F785"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38,800</w:t>
            </w:r>
          </w:p>
        </w:tc>
        <w:tc>
          <w:tcPr>
            <w:tcW w:w="1490" w:type="dxa"/>
            <w:tcBorders>
              <w:top w:val="single" w:sz="4" w:space="0" w:color="53565A" w:themeColor="accent5"/>
              <w:bottom w:val="single" w:sz="4" w:space="0" w:color="53565A" w:themeColor="accent5"/>
            </w:tcBorders>
            <w:vAlign w:val="bottom"/>
          </w:tcPr>
          <w:p w14:paraId="52F77081" w14:textId="53FA610D"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38,800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79A3DB2D" w14:textId="3EC128C0" w:rsidR="005F54A8" w:rsidRPr="008442BC" w:rsidRDefault="00F31F6E" w:rsidP="005F54A8">
            <w:pPr>
              <w:pStyle w:val="ESTablebody"/>
              <w:jc w:val="right"/>
              <w:rPr>
                <w:rFonts w:ascii="Calibri" w:eastAsia="Times New Roman" w:hAnsi="Calibri" w:cs="Calibri"/>
                <w:color w:val="000000"/>
                <w:szCs w:val="20"/>
                <w:lang w:val="en-AU" w:eastAsia="en-AU"/>
              </w:rPr>
            </w:pPr>
            <w:r>
              <w:rPr>
                <w:rFonts w:ascii="Calibri" w:hAnsi="Calibri" w:cs="Calibri"/>
                <w:color w:val="000000"/>
                <w:szCs w:val="20"/>
                <w:lang w:eastAsia="en-AU"/>
              </w:rPr>
              <w:t>–</w:t>
            </w:r>
          </w:p>
        </w:tc>
      </w:tr>
      <w:tr w:rsidR="005F54A8" w:rsidRPr="009423C3" w14:paraId="41CE1525"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4047DB6B" w14:textId="77777777"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KPMG AUSTRALIA</w:t>
            </w:r>
          </w:p>
        </w:tc>
        <w:tc>
          <w:tcPr>
            <w:tcW w:w="3613" w:type="dxa"/>
            <w:tcBorders>
              <w:top w:val="single" w:sz="4" w:space="0" w:color="53565A" w:themeColor="accent5"/>
              <w:bottom w:val="single" w:sz="4" w:space="0" w:color="53565A" w:themeColor="accent5"/>
            </w:tcBorders>
            <w:vAlign w:val="bottom"/>
          </w:tcPr>
          <w:p w14:paraId="1FB95B75" w14:textId="2E8A8C01"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Corporate services initiatives</w:t>
            </w:r>
          </w:p>
        </w:tc>
        <w:tc>
          <w:tcPr>
            <w:tcW w:w="1217" w:type="dxa"/>
            <w:tcBorders>
              <w:top w:val="single" w:sz="4" w:space="0" w:color="53565A" w:themeColor="accent5"/>
              <w:bottom w:val="single" w:sz="4" w:space="0" w:color="53565A" w:themeColor="accent5"/>
            </w:tcBorders>
            <w:vAlign w:val="bottom"/>
          </w:tcPr>
          <w:p w14:paraId="24F66B33" w14:textId="22F4BF75"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10/02/2020</w:t>
            </w:r>
          </w:p>
        </w:tc>
        <w:tc>
          <w:tcPr>
            <w:tcW w:w="1316" w:type="dxa"/>
            <w:tcBorders>
              <w:top w:val="single" w:sz="4" w:space="0" w:color="53565A" w:themeColor="accent5"/>
              <w:bottom w:val="single" w:sz="4" w:space="0" w:color="53565A" w:themeColor="accent5"/>
            </w:tcBorders>
            <w:vAlign w:val="bottom"/>
          </w:tcPr>
          <w:p w14:paraId="1C7B593F" w14:textId="161FB4BB" w:rsidR="005F54A8" w:rsidRPr="008442BC" w:rsidRDefault="005F54A8" w:rsidP="005F54A8">
            <w:pPr>
              <w:pStyle w:val="ESTablebody"/>
              <w:rPr>
                <w:rFonts w:ascii="Calibri" w:eastAsia="Times New Roman" w:hAnsi="Calibri" w:cs="Calibri"/>
                <w:color w:val="000000"/>
                <w:szCs w:val="20"/>
                <w:lang w:val="en-AU" w:eastAsia="en-AU"/>
              </w:rPr>
            </w:pPr>
            <w:r w:rsidRPr="005A7EB8">
              <w:rPr>
                <w:rFonts w:ascii="Calibri" w:hAnsi="Calibri" w:cs="Calibri"/>
                <w:color w:val="000000"/>
                <w:szCs w:val="20"/>
              </w:rPr>
              <w:t>28/02/2022</w:t>
            </w:r>
          </w:p>
        </w:tc>
        <w:tc>
          <w:tcPr>
            <w:tcW w:w="2057" w:type="dxa"/>
            <w:tcBorders>
              <w:top w:val="single" w:sz="4" w:space="0" w:color="53565A" w:themeColor="accent5"/>
              <w:bottom w:val="single" w:sz="4" w:space="0" w:color="53565A" w:themeColor="accent5"/>
            </w:tcBorders>
            <w:vAlign w:val="bottom"/>
          </w:tcPr>
          <w:p w14:paraId="431B97EF" w14:textId="1676BEB5"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2,517,744</w:t>
            </w:r>
          </w:p>
        </w:tc>
        <w:tc>
          <w:tcPr>
            <w:tcW w:w="1490" w:type="dxa"/>
            <w:tcBorders>
              <w:top w:val="single" w:sz="4" w:space="0" w:color="53565A" w:themeColor="accent5"/>
              <w:bottom w:val="single" w:sz="4" w:space="0" w:color="53565A" w:themeColor="accent5"/>
            </w:tcBorders>
            <w:vAlign w:val="bottom"/>
          </w:tcPr>
          <w:p w14:paraId="14A081B2" w14:textId="747CBA47"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288,732</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6C9C4348" w14:textId="47915A12" w:rsidR="005F54A8" w:rsidRPr="008442BC" w:rsidRDefault="005F54A8" w:rsidP="005F54A8">
            <w:pPr>
              <w:pStyle w:val="ESTablebody"/>
              <w:jc w:val="right"/>
              <w:rPr>
                <w:rFonts w:ascii="Calibri" w:eastAsia="Times New Roman" w:hAnsi="Calibri" w:cs="Calibri"/>
                <w:color w:val="000000"/>
                <w:szCs w:val="20"/>
                <w:lang w:val="en-AU" w:eastAsia="en-AU"/>
              </w:rPr>
            </w:pPr>
            <w:r w:rsidRPr="005A7EB8">
              <w:rPr>
                <w:rFonts w:ascii="Calibri" w:hAnsi="Calibri" w:cs="Calibri"/>
                <w:color w:val="000000"/>
                <w:szCs w:val="20"/>
              </w:rPr>
              <w:t>1,928,495</w:t>
            </w:r>
          </w:p>
        </w:tc>
      </w:tr>
      <w:tr w:rsidR="005F54A8" w:rsidRPr="009423C3" w14:paraId="76A90E3C"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1A0E0D2D" w14:textId="62A27D5C"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KPMG AUSTRALIA</w:t>
            </w:r>
          </w:p>
        </w:tc>
        <w:tc>
          <w:tcPr>
            <w:tcW w:w="3613" w:type="dxa"/>
            <w:tcBorders>
              <w:top w:val="single" w:sz="4" w:space="0" w:color="53565A" w:themeColor="accent5"/>
              <w:bottom w:val="single" w:sz="4" w:space="0" w:color="53565A" w:themeColor="accent5"/>
            </w:tcBorders>
            <w:vAlign w:val="bottom"/>
          </w:tcPr>
          <w:p w14:paraId="281C3DEF" w14:textId="6F918AE1"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 xml:space="preserve">Review of the operating funding model of Tech </w:t>
            </w:r>
            <w:r w:rsidR="00B32CFB">
              <w:rPr>
                <w:rFonts w:ascii="Calibri" w:hAnsi="Calibri" w:cs="Calibri"/>
                <w:color w:val="000000"/>
                <w:szCs w:val="20"/>
              </w:rPr>
              <w:t>S</w:t>
            </w:r>
            <w:r w:rsidRPr="006A50BE">
              <w:rPr>
                <w:rFonts w:ascii="Calibri" w:hAnsi="Calibri" w:cs="Calibri"/>
                <w:color w:val="000000"/>
                <w:szCs w:val="20"/>
              </w:rPr>
              <w:t>chools</w:t>
            </w:r>
          </w:p>
        </w:tc>
        <w:tc>
          <w:tcPr>
            <w:tcW w:w="1217" w:type="dxa"/>
            <w:tcBorders>
              <w:top w:val="single" w:sz="4" w:space="0" w:color="53565A" w:themeColor="accent5"/>
              <w:bottom w:val="single" w:sz="4" w:space="0" w:color="53565A" w:themeColor="accent5"/>
            </w:tcBorders>
            <w:vAlign w:val="bottom"/>
          </w:tcPr>
          <w:p w14:paraId="5E80B158" w14:textId="01367165"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11/01/2021</w:t>
            </w:r>
          </w:p>
        </w:tc>
        <w:tc>
          <w:tcPr>
            <w:tcW w:w="1316" w:type="dxa"/>
            <w:tcBorders>
              <w:top w:val="single" w:sz="4" w:space="0" w:color="53565A" w:themeColor="accent5"/>
              <w:bottom w:val="single" w:sz="4" w:space="0" w:color="53565A" w:themeColor="accent5"/>
            </w:tcBorders>
            <w:vAlign w:val="bottom"/>
          </w:tcPr>
          <w:p w14:paraId="0A206DAA" w14:textId="06E99F49"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20/07/2021</w:t>
            </w:r>
          </w:p>
        </w:tc>
        <w:tc>
          <w:tcPr>
            <w:tcW w:w="2057" w:type="dxa"/>
            <w:tcBorders>
              <w:top w:val="single" w:sz="4" w:space="0" w:color="53565A" w:themeColor="accent5"/>
              <w:bottom w:val="single" w:sz="4" w:space="0" w:color="53565A" w:themeColor="accent5"/>
            </w:tcBorders>
            <w:vAlign w:val="bottom"/>
          </w:tcPr>
          <w:p w14:paraId="191BCD6E" w14:textId="7DDBE598"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122,455</w:t>
            </w:r>
          </w:p>
        </w:tc>
        <w:tc>
          <w:tcPr>
            <w:tcW w:w="1490" w:type="dxa"/>
            <w:tcBorders>
              <w:top w:val="single" w:sz="4" w:space="0" w:color="53565A" w:themeColor="accent5"/>
              <w:bottom w:val="single" w:sz="4" w:space="0" w:color="53565A" w:themeColor="accent5"/>
            </w:tcBorders>
            <w:vAlign w:val="bottom"/>
          </w:tcPr>
          <w:p w14:paraId="5AA4B10D" w14:textId="4AC5BFE9"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113,455</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7B29337C" w14:textId="471C8E9D"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9,000</w:t>
            </w:r>
          </w:p>
        </w:tc>
      </w:tr>
      <w:tr w:rsidR="005F54A8" w:rsidRPr="009423C3" w14:paraId="7FB74C94"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4E940D1B" w14:textId="3C4265E4"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LANDELL CORPORATION PTY LTD</w:t>
            </w:r>
          </w:p>
        </w:tc>
        <w:tc>
          <w:tcPr>
            <w:tcW w:w="3613" w:type="dxa"/>
            <w:tcBorders>
              <w:top w:val="single" w:sz="4" w:space="0" w:color="53565A" w:themeColor="accent5"/>
              <w:bottom w:val="single" w:sz="4" w:space="0" w:color="53565A" w:themeColor="accent5"/>
            </w:tcBorders>
            <w:vAlign w:val="bottom"/>
          </w:tcPr>
          <w:p w14:paraId="20C7A1A6" w14:textId="223DD88F"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Probity advice – procurement</w:t>
            </w:r>
          </w:p>
        </w:tc>
        <w:tc>
          <w:tcPr>
            <w:tcW w:w="1217" w:type="dxa"/>
            <w:tcBorders>
              <w:top w:val="single" w:sz="4" w:space="0" w:color="53565A" w:themeColor="accent5"/>
              <w:bottom w:val="single" w:sz="4" w:space="0" w:color="53565A" w:themeColor="accent5"/>
            </w:tcBorders>
            <w:vAlign w:val="bottom"/>
          </w:tcPr>
          <w:p w14:paraId="259112CE" w14:textId="3C7AE4BC"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13/01/2020</w:t>
            </w:r>
          </w:p>
        </w:tc>
        <w:tc>
          <w:tcPr>
            <w:tcW w:w="1316" w:type="dxa"/>
            <w:tcBorders>
              <w:top w:val="single" w:sz="4" w:space="0" w:color="53565A" w:themeColor="accent5"/>
              <w:bottom w:val="single" w:sz="4" w:space="0" w:color="53565A" w:themeColor="accent5"/>
            </w:tcBorders>
            <w:vAlign w:val="bottom"/>
          </w:tcPr>
          <w:p w14:paraId="498B36D6" w14:textId="5F7267A2"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18/01/2021</w:t>
            </w:r>
          </w:p>
        </w:tc>
        <w:tc>
          <w:tcPr>
            <w:tcW w:w="2057" w:type="dxa"/>
            <w:tcBorders>
              <w:top w:val="single" w:sz="4" w:space="0" w:color="53565A" w:themeColor="accent5"/>
              <w:bottom w:val="single" w:sz="4" w:space="0" w:color="53565A" w:themeColor="accent5"/>
            </w:tcBorders>
            <w:vAlign w:val="bottom"/>
          </w:tcPr>
          <w:p w14:paraId="7CC38CF3" w14:textId="39D49BE3"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20,000</w:t>
            </w:r>
          </w:p>
        </w:tc>
        <w:tc>
          <w:tcPr>
            <w:tcW w:w="1490" w:type="dxa"/>
            <w:tcBorders>
              <w:top w:val="single" w:sz="4" w:space="0" w:color="53565A" w:themeColor="accent5"/>
              <w:bottom w:val="single" w:sz="4" w:space="0" w:color="53565A" w:themeColor="accent5"/>
            </w:tcBorders>
            <w:vAlign w:val="bottom"/>
          </w:tcPr>
          <w:p w14:paraId="750344FA" w14:textId="73D75659"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20,000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197A3105" w14:textId="6A002341" w:rsidR="005F54A8" w:rsidRPr="008442BC" w:rsidRDefault="00CD44E8" w:rsidP="005F54A8">
            <w:pPr>
              <w:pStyle w:val="ESTablebody"/>
              <w:jc w:val="right"/>
              <w:rPr>
                <w:rFonts w:ascii="Calibri" w:eastAsia="Times New Roman" w:hAnsi="Calibri" w:cs="Calibri"/>
                <w:color w:val="000000"/>
                <w:szCs w:val="20"/>
                <w:lang w:val="en-AU" w:eastAsia="en-AU"/>
              </w:rPr>
            </w:pPr>
            <w:r>
              <w:rPr>
                <w:rFonts w:ascii="Calibri" w:hAnsi="Calibri" w:cs="Calibri"/>
                <w:color w:val="000000"/>
                <w:szCs w:val="20"/>
                <w:lang w:eastAsia="en-AU"/>
              </w:rPr>
              <w:t>–</w:t>
            </w:r>
          </w:p>
        </w:tc>
      </w:tr>
      <w:tr w:rsidR="005F54A8" w:rsidRPr="009423C3" w14:paraId="4917B56A"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3601B9B6" w14:textId="616000BD"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LEARNING FIRST GROUP PTY LTD</w:t>
            </w:r>
          </w:p>
        </w:tc>
        <w:tc>
          <w:tcPr>
            <w:tcW w:w="3613" w:type="dxa"/>
            <w:tcBorders>
              <w:top w:val="single" w:sz="4" w:space="0" w:color="53565A" w:themeColor="accent5"/>
              <w:bottom w:val="single" w:sz="4" w:space="0" w:color="53565A" w:themeColor="accent5"/>
            </w:tcBorders>
            <w:vAlign w:val="bottom"/>
          </w:tcPr>
          <w:p w14:paraId="7B3E3CFA" w14:textId="6EA0BCA8"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Re-</w:t>
            </w:r>
            <w:proofErr w:type="spellStart"/>
            <w:r w:rsidRPr="006A50BE">
              <w:rPr>
                <w:rFonts w:ascii="Calibri" w:hAnsi="Calibri" w:cs="Calibri"/>
                <w:color w:val="000000"/>
                <w:szCs w:val="20"/>
              </w:rPr>
              <w:t>conceptualis</w:t>
            </w:r>
            <w:r w:rsidR="0048231C">
              <w:rPr>
                <w:rFonts w:ascii="Calibri" w:hAnsi="Calibri" w:cs="Calibri"/>
                <w:color w:val="000000"/>
                <w:szCs w:val="20"/>
              </w:rPr>
              <w:t>e</w:t>
            </w:r>
            <w:proofErr w:type="spellEnd"/>
            <w:r w:rsidRPr="006A50BE">
              <w:rPr>
                <w:rFonts w:ascii="Calibri" w:hAnsi="Calibri" w:cs="Calibri"/>
                <w:color w:val="000000"/>
                <w:szCs w:val="20"/>
              </w:rPr>
              <w:t xml:space="preserve"> the Framework for Improving Student Outcomes.</w:t>
            </w:r>
          </w:p>
        </w:tc>
        <w:tc>
          <w:tcPr>
            <w:tcW w:w="1217" w:type="dxa"/>
            <w:tcBorders>
              <w:top w:val="single" w:sz="4" w:space="0" w:color="53565A" w:themeColor="accent5"/>
              <w:bottom w:val="single" w:sz="4" w:space="0" w:color="53565A" w:themeColor="accent5"/>
            </w:tcBorders>
            <w:vAlign w:val="bottom"/>
          </w:tcPr>
          <w:p w14:paraId="1DB63610" w14:textId="032B4509"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24/05/2021</w:t>
            </w:r>
          </w:p>
        </w:tc>
        <w:tc>
          <w:tcPr>
            <w:tcW w:w="1316" w:type="dxa"/>
            <w:tcBorders>
              <w:top w:val="single" w:sz="4" w:space="0" w:color="53565A" w:themeColor="accent5"/>
              <w:bottom w:val="single" w:sz="4" w:space="0" w:color="53565A" w:themeColor="accent5"/>
            </w:tcBorders>
            <w:vAlign w:val="bottom"/>
          </w:tcPr>
          <w:p w14:paraId="7244C55F" w14:textId="6E8B9ED8"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30/09/2021</w:t>
            </w:r>
          </w:p>
        </w:tc>
        <w:tc>
          <w:tcPr>
            <w:tcW w:w="2057" w:type="dxa"/>
            <w:tcBorders>
              <w:top w:val="single" w:sz="4" w:space="0" w:color="53565A" w:themeColor="accent5"/>
              <w:bottom w:val="single" w:sz="4" w:space="0" w:color="53565A" w:themeColor="accent5"/>
            </w:tcBorders>
            <w:vAlign w:val="bottom"/>
          </w:tcPr>
          <w:p w14:paraId="5354CB3E" w14:textId="7556E932"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40,000</w:t>
            </w:r>
          </w:p>
        </w:tc>
        <w:tc>
          <w:tcPr>
            <w:tcW w:w="1490" w:type="dxa"/>
            <w:tcBorders>
              <w:top w:val="single" w:sz="4" w:space="0" w:color="53565A" w:themeColor="accent5"/>
              <w:bottom w:val="single" w:sz="4" w:space="0" w:color="53565A" w:themeColor="accent5"/>
            </w:tcBorders>
            <w:vAlign w:val="bottom"/>
          </w:tcPr>
          <w:p w14:paraId="7705DB91" w14:textId="1FDB8F61"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40,000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36C545E8" w14:textId="439785CA" w:rsidR="005F54A8" w:rsidRPr="008442BC" w:rsidRDefault="00CD44E8" w:rsidP="005F54A8">
            <w:pPr>
              <w:pStyle w:val="ESTablebody"/>
              <w:jc w:val="right"/>
              <w:rPr>
                <w:rFonts w:ascii="Calibri" w:eastAsia="Times New Roman" w:hAnsi="Calibri" w:cs="Calibri"/>
                <w:color w:val="000000"/>
                <w:szCs w:val="20"/>
                <w:lang w:val="en-AU" w:eastAsia="en-AU"/>
              </w:rPr>
            </w:pPr>
            <w:r>
              <w:rPr>
                <w:rFonts w:ascii="Calibri" w:hAnsi="Calibri" w:cs="Calibri"/>
                <w:color w:val="000000"/>
                <w:szCs w:val="20"/>
                <w:lang w:eastAsia="en-AU"/>
              </w:rPr>
              <w:t>–</w:t>
            </w:r>
          </w:p>
        </w:tc>
      </w:tr>
      <w:tr w:rsidR="005F54A8" w:rsidRPr="009423C3" w14:paraId="02F475F1"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2D977F12" w14:textId="5462EF2B"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MARY JEAN GALLAGHER</w:t>
            </w:r>
          </w:p>
        </w:tc>
        <w:tc>
          <w:tcPr>
            <w:tcW w:w="3613" w:type="dxa"/>
            <w:tcBorders>
              <w:top w:val="single" w:sz="4" w:space="0" w:color="53565A" w:themeColor="accent5"/>
              <w:bottom w:val="single" w:sz="4" w:space="0" w:color="53565A" w:themeColor="accent5"/>
            </w:tcBorders>
            <w:vAlign w:val="bottom"/>
          </w:tcPr>
          <w:p w14:paraId="27F2AE08" w14:textId="6E4BE50B"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Expert review of the ongoing implementation of the Education State reforms</w:t>
            </w:r>
          </w:p>
        </w:tc>
        <w:tc>
          <w:tcPr>
            <w:tcW w:w="1217" w:type="dxa"/>
            <w:tcBorders>
              <w:top w:val="single" w:sz="4" w:space="0" w:color="53565A" w:themeColor="accent5"/>
              <w:bottom w:val="single" w:sz="4" w:space="0" w:color="53565A" w:themeColor="accent5"/>
            </w:tcBorders>
            <w:vAlign w:val="bottom"/>
          </w:tcPr>
          <w:p w14:paraId="240B303D" w14:textId="13EA085F"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2/03/2020</w:t>
            </w:r>
          </w:p>
        </w:tc>
        <w:tc>
          <w:tcPr>
            <w:tcW w:w="1316" w:type="dxa"/>
            <w:tcBorders>
              <w:top w:val="single" w:sz="4" w:space="0" w:color="53565A" w:themeColor="accent5"/>
              <w:bottom w:val="single" w:sz="4" w:space="0" w:color="53565A" w:themeColor="accent5"/>
            </w:tcBorders>
            <w:vAlign w:val="bottom"/>
          </w:tcPr>
          <w:p w14:paraId="5C466B00" w14:textId="55BC1AFA" w:rsidR="005F54A8" w:rsidRPr="008442BC" w:rsidRDefault="005F54A8" w:rsidP="005F54A8">
            <w:pPr>
              <w:pStyle w:val="ESTablebody"/>
              <w:rPr>
                <w:rFonts w:ascii="Calibri" w:eastAsia="Times New Roman" w:hAnsi="Calibri" w:cs="Calibri"/>
                <w:color w:val="000000"/>
                <w:szCs w:val="20"/>
                <w:lang w:val="en-AU" w:eastAsia="en-AU"/>
              </w:rPr>
            </w:pPr>
            <w:r w:rsidRPr="006A50BE">
              <w:rPr>
                <w:rFonts w:ascii="Calibri" w:hAnsi="Calibri" w:cs="Calibri"/>
                <w:color w:val="000000"/>
                <w:szCs w:val="20"/>
              </w:rPr>
              <w:t>31/01/2021</w:t>
            </w:r>
          </w:p>
        </w:tc>
        <w:tc>
          <w:tcPr>
            <w:tcW w:w="2057" w:type="dxa"/>
            <w:tcBorders>
              <w:top w:val="single" w:sz="4" w:space="0" w:color="53565A" w:themeColor="accent5"/>
              <w:bottom w:val="single" w:sz="4" w:space="0" w:color="53565A" w:themeColor="accent5"/>
            </w:tcBorders>
            <w:vAlign w:val="bottom"/>
          </w:tcPr>
          <w:p w14:paraId="1483CCD9" w14:textId="0DDE74A7"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158,895</w:t>
            </w:r>
          </w:p>
        </w:tc>
        <w:tc>
          <w:tcPr>
            <w:tcW w:w="1490" w:type="dxa"/>
            <w:tcBorders>
              <w:top w:val="single" w:sz="4" w:space="0" w:color="53565A" w:themeColor="accent5"/>
              <w:bottom w:val="single" w:sz="4" w:space="0" w:color="53565A" w:themeColor="accent5"/>
            </w:tcBorders>
            <w:vAlign w:val="bottom"/>
          </w:tcPr>
          <w:p w14:paraId="1F565F40" w14:textId="3B45D369" w:rsidR="005F54A8" w:rsidRPr="008442BC" w:rsidRDefault="005F54A8" w:rsidP="005F54A8">
            <w:pPr>
              <w:pStyle w:val="ESTablebody"/>
              <w:jc w:val="right"/>
              <w:rPr>
                <w:rFonts w:ascii="Calibri" w:eastAsia="Times New Roman" w:hAnsi="Calibri" w:cs="Calibri"/>
                <w:color w:val="000000"/>
                <w:szCs w:val="20"/>
                <w:lang w:val="en-AU" w:eastAsia="en-AU"/>
              </w:rPr>
            </w:pPr>
            <w:r w:rsidRPr="006A50BE">
              <w:rPr>
                <w:rFonts w:ascii="Calibri" w:hAnsi="Calibri" w:cs="Calibri"/>
                <w:color w:val="000000"/>
                <w:szCs w:val="20"/>
              </w:rPr>
              <w:t>50,247</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4F90D97D" w14:textId="380CCE86" w:rsidR="005F54A8" w:rsidRPr="008442BC" w:rsidRDefault="008454E7"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65843B8F"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775D56BE" w14:textId="58C6E68C"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NOUS GROUP PTY LTD</w:t>
            </w:r>
          </w:p>
        </w:tc>
        <w:tc>
          <w:tcPr>
            <w:tcW w:w="3613" w:type="dxa"/>
            <w:tcBorders>
              <w:top w:val="single" w:sz="4" w:space="0" w:color="53565A" w:themeColor="accent5"/>
              <w:bottom w:val="single" w:sz="4" w:space="0" w:color="53565A" w:themeColor="accent5"/>
            </w:tcBorders>
            <w:vAlign w:val="bottom"/>
          </w:tcPr>
          <w:p w14:paraId="52D5C012" w14:textId="480A4456"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Evaluation of the Place</w:t>
            </w:r>
            <w:r w:rsidR="0048231C">
              <w:rPr>
                <w:rFonts w:ascii="Calibri" w:hAnsi="Calibri" w:cs="Calibri"/>
                <w:color w:val="000000"/>
                <w:szCs w:val="20"/>
              </w:rPr>
              <w:noBreakHyphen/>
            </w:r>
            <w:r w:rsidR="003363B8">
              <w:rPr>
                <w:rFonts w:ascii="Calibri" w:hAnsi="Calibri" w:cs="Calibri"/>
                <w:color w:val="000000"/>
                <w:szCs w:val="20"/>
              </w:rPr>
              <w:t>B</w:t>
            </w:r>
            <w:r w:rsidRPr="000477B7">
              <w:rPr>
                <w:rFonts w:ascii="Calibri" w:hAnsi="Calibri" w:cs="Calibri"/>
                <w:color w:val="000000"/>
                <w:szCs w:val="20"/>
              </w:rPr>
              <w:t xml:space="preserve">ased </w:t>
            </w:r>
            <w:r w:rsidR="0048231C">
              <w:rPr>
                <w:rFonts w:ascii="Calibri" w:hAnsi="Calibri" w:cs="Calibri"/>
                <w:color w:val="000000"/>
                <w:szCs w:val="20"/>
              </w:rPr>
              <w:t>P</w:t>
            </w:r>
            <w:r w:rsidRPr="000477B7">
              <w:rPr>
                <w:rFonts w:ascii="Calibri" w:hAnsi="Calibri" w:cs="Calibri"/>
                <w:color w:val="000000"/>
                <w:szCs w:val="20"/>
              </w:rPr>
              <w:t xml:space="preserve">artnerships </w:t>
            </w:r>
            <w:r>
              <w:rPr>
                <w:rFonts w:ascii="Calibri" w:hAnsi="Calibri" w:cs="Calibri"/>
                <w:color w:val="000000"/>
                <w:szCs w:val="20"/>
              </w:rPr>
              <w:t>i</w:t>
            </w:r>
            <w:r w:rsidRPr="000477B7">
              <w:rPr>
                <w:rFonts w:ascii="Calibri" w:hAnsi="Calibri" w:cs="Calibri"/>
                <w:color w:val="000000"/>
                <w:szCs w:val="20"/>
              </w:rPr>
              <w:t>nitiative</w:t>
            </w:r>
          </w:p>
        </w:tc>
        <w:tc>
          <w:tcPr>
            <w:tcW w:w="1217" w:type="dxa"/>
            <w:tcBorders>
              <w:top w:val="single" w:sz="4" w:space="0" w:color="53565A" w:themeColor="accent5"/>
              <w:bottom w:val="single" w:sz="4" w:space="0" w:color="53565A" w:themeColor="accent5"/>
            </w:tcBorders>
            <w:vAlign w:val="bottom"/>
          </w:tcPr>
          <w:p w14:paraId="6D36457B" w14:textId="712678ED"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16/10/2020</w:t>
            </w:r>
          </w:p>
        </w:tc>
        <w:tc>
          <w:tcPr>
            <w:tcW w:w="1316" w:type="dxa"/>
            <w:tcBorders>
              <w:top w:val="single" w:sz="4" w:space="0" w:color="53565A" w:themeColor="accent5"/>
              <w:bottom w:val="single" w:sz="4" w:space="0" w:color="53565A" w:themeColor="accent5"/>
            </w:tcBorders>
            <w:vAlign w:val="bottom"/>
          </w:tcPr>
          <w:p w14:paraId="561482CF" w14:textId="70A47B30"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30/12/2023</w:t>
            </w:r>
          </w:p>
        </w:tc>
        <w:tc>
          <w:tcPr>
            <w:tcW w:w="2057" w:type="dxa"/>
            <w:tcBorders>
              <w:top w:val="single" w:sz="4" w:space="0" w:color="53565A" w:themeColor="accent5"/>
              <w:bottom w:val="single" w:sz="4" w:space="0" w:color="53565A" w:themeColor="accent5"/>
            </w:tcBorders>
            <w:vAlign w:val="bottom"/>
          </w:tcPr>
          <w:p w14:paraId="6BEB143E" w14:textId="15478A3E" w:rsidR="005F54A8" w:rsidRPr="008442BC" w:rsidRDefault="005F54A8" w:rsidP="005F54A8">
            <w:pPr>
              <w:pStyle w:val="ESTablebody"/>
              <w:jc w:val="right"/>
              <w:rPr>
                <w:rFonts w:ascii="Calibri" w:eastAsia="Times New Roman" w:hAnsi="Calibri" w:cs="Calibri"/>
                <w:color w:val="000000"/>
                <w:szCs w:val="20"/>
                <w:lang w:val="en-AU" w:eastAsia="en-AU"/>
              </w:rPr>
            </w:pPr>
            <w:r w:rsidRPr="000477B7">
              <w:rPr>
                <w:rFonts w:ascii="Calibri" w:hAnsi="Calibri" w:cs="Calibri"/>
                <w:color w:val="000000"/>
                <w:szCs w:val="20"/>
              </w:rPr>
              <w:t>327,273</w:t>
            </w:r>
          </w:p>
        </w:tc>
        <w:tc>
          <w:tcPr>
            <w:tcW w:w="1490" w:type="dxa"/>
            <w:tcBorders>
              <w:top w:val="single" w:sz="4" w:space="0" w:color="53565A" w:themeColor="accent5"/>
              <w:bottom w:val="single" w:sz="4" w:space="0" w:color="53565A" w:themeColor="accent5"/>
            </w:tcBorders>
            <w:vAlign w:val="bottom"/>
          </w:tcPr>
          <w:p w14:paraId="34746E95" w14:textId="334120DC" w:rsidR="005F54A8" w:rsidRPr="008442BC" w:rsidRDefault="005F54A8" w:rsidP="005F54A8">
            <w:pPr>
              <w:pStyle w:val="ESTablebody"/>
              <w:jc w:val="right"/>
              <w:rPr>
                <w:rFonts w:ascii="Calibri" w:eastAsia="Times New Roman" w:hAnsi="Calibri" w:cs="Calibri"/>
                <w:color w:val="000000"/>
                <w:szCs w:val="20"/>
                <w:lang w:val="en-AU" w:eastAsia="en-AU"/>
              </w:rPr>
            </w:pPr>
            <w:r w:rsidRPr="000477B7">
              <w:rPr>
                <w:rFonts w:ascii="Calibri" w:hAnsi="Calibri" w:cs="Calibri"/>
                <w:color w:val="000000"/>
                <w:szCs w:val="20"/>
              </w:rPr>
              <w:t>35,350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71C31EDF" w14:textId="7AB995F5" w:rsidR="005F54A8" w:rsidRPr="008442BC" w:rsidRDefault="005F54A8" w:rsidP="005F54A8">
            <w:pPr>
              <w:pStyle w:val="ESTablebody"/>
              <w:jc w:val="right"/>
              <w:rPr>
                <w:rFonts w:ascii="Calibri" w:eastAsia="Times New Roman" w:hAnsi="Calibri" w:cs="Calibri"/>
                <w:color w:val="000000"/>
                <w:szCs w:val="20"/>
                <w:lang w:val="en-AU" w:eastAsia="en-AU"/>
              </w:rPr>
            </w:pPr>
            <w:r w:rsidRPr="000477B7">
              <w:rPr>
                <w:rFonts w:ascii="Calibri" w:hAnsi="Calibri" w:cs="Calibri"/>
                <w:color w:val="000000"/>
                <w:szCs w:val="20"/>
              </w:rPr>
              <w:t>283,084</w:t>
            </w:r>
          </w:p>
        </w:tc>
      </w:tr>
      <w:tr w:rsidR="005F54A8" w:rsidRPr="009423C3" w14:paraId="652739C0" w14:textId="77777777" w:rsidTr="005F54A8">
        <w:trPr>
          <w:cantSplit/>
          <w:trHeight w:val="473"/>
        </w:trPr>
        <w:tc>
          <w:tcPr>
            <w:tcW w:w="2957" w:type="dxa"/>
            <w:tcBorders>
              <w:top w:val="single" w:sz="4" w:space="0" w:color="53565A" w:themeColor="accent5"/>
              <w:bottom w:val="single" w:sz="4" w:space="0" w:color="53565A" w:themeColor="accent5"/>
            </w:tcBorders>
            <w:shd w:val="clear" w:color="auto" w:fill="auto"/>
            <w:vAlign w:val="bottom"/>
          </w:tcPr>
          <w:p w14:paraId="1CEDC22E" w14:textId="654A8EEA"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NTT AUSTRALIA DIGITAL PTY LTD</w:t>
            </w:r>
          </w:p>
        </w:tc>
        <w:tc>
          <w:tcPr>
            <w:tcW w:w="3613" w:type="dxa"/>
            <w:tcBorders>
              <w:top w:val="single" w:sz="4" w:space="0" w:color="53565A" w:themeColor="accent5"/>
              <w:bottom w:val="single" w:sz="4" w:space="0" w:color="53565A" w:themeColor="accent5"/>
            </w:tcBorders>
            <w:vAlign w:val="bottom"/>
          </w:tcPr>
          <w:p w14:paraId="683F2165" w14:textId="20CA074D"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Assessment of lessons learned from ICT projects in 2020</w:t>
            </w:r>
          </w:p>
        </w:tc>
        <w:tc>
          <w:tcPr>
            <w:tcW w:w="1217" w:type="dxa"/>
            <w:tcBorders>
              <w:top w:val="single" w:sz="4" w:space="0" w:color="53565A" w:themeColor="accent5"/>
              <w:bottom w:val="single" w:sz="4" w:space="0" w:color="53565A" w:themeColor="accent5"/>
            </w:tcBorders>
            <w:vAlign w:val="bottom"/>
          </w:tcPr>
          <w:p w14:paraId="58F112DB" w14:textId="2F4281B8"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16/02/2021</w:t>
            </w:r>
          </w:p>
        </w:tc>
        <w:tc>
          <w:tcPr>
            <w:tcW w:w="1316" w:type="dxa"/>
            <w:tcBorders>
              <w:top w:val="single" w:sz="4" w:space="0" w:color="53565A" w:themeColor="accent5"/>
              <w:bottom w:val="single" w:sz="4" w:space="0" w:color="53565A" w:themeColor="accent5"/>
            </w:tcBorders>
            <w:vAlign w:val="bottom"/>
          </w:tcPr>
          <w:p w14:paraId="336D3C5E" w14:textId="6C6F5A74" w:rsidR="005F54A8" w:rsidRPr="008442BC" w:rsidRDefault="005F54A8" w:rsidP="005F54A8">
            <w:pPr>
              <w:pStyle w:val="ESTablebody"/>
              <w:rPr>
                <w:rFonts w:ascii="Calibri" w:eastAsia="Times New Roman" w:hAnsi="Calibri" w:cs="Calibri"/>
                <w:color w:val="000000"/>
                <w:szCs w:val="20"/>
                <w:lang w:val="en-AU" w:eastAsia="en-AU"/>
              </w:rPr>
            </w:pPr>
            <w:r w:rsidRPr="000477B7">
              <w:rPr>
                <w:rFonts w:ascii="Calibri" w:hAnsi="Calibri" w:cs="Calibri"/>
                <w:color w:val="000000"/>
                <w:szCs w:val="20"/>
              </w:rPr>
              <w:t>30/06/2021</w:t>
            </w:r>
          </w:p>
        </w:tc>
        <w:tc>
          <w:tcPr>
            <w:tcW w:w="2057" w:type="dxa"/>
            <w:tcBorders>
              <w:top w:val="single" w:sz="4" w:space="0" w:color="53565A" w:themeColor="accent5"/>
              <w:bottom w:val="single" w:sz="4" w:space="0" w:color="53565A" w:themeColor="accent5"/>
            </w:tcBorders>
            <w:vAlign w:val="bottom"/>
          </w:tcPr>
          <w:p w14:paraId="00B1AFB4" w14:textId="7283045F" w:rsidR="005F54A8" w:rsidRPr="008442BC" w:rsidRDefault="005F54A8" w:rsidP="005F54A8">
            <w:pPr>
              <w:pStyle w:val="ESTablebody"/>
              <w:jc w:val="right"/>
              <w:rPr>
                <w:rFonts w:ascii="Calibri" w:eastAsia="Times New Roman" w:hAnsi="Calibri" w:cs="Calibri"/>
                <w:color w:val="000000"/>
                <w:szCs w:val="20"/>
                <w:lang w:val="en-AU" w:eastAsia="en-AU"/>
              </w:rPr>
            </w:pPr>
            <w:r w:rsidRPr="000477B7">
              <w:rPr>
                <w:rFonts w:ascii="Calibri" w:hAnsi="Calibri" w:cs="Calibri"/>
                <w:color w:val="000000"/>
                <w:szCs w:val="20"/>
              </w:rPr>
              <w:t>26,240</w:t>
            </w:r>
          </w:p>
        </w:tc>
        <w:tc>
          <w:tcPr>
            <w:tcW w:w="1490" w:type="dxa"/>
            <w:tcBorders>
              <w:top w:val="single" w:sz="4" w:space="0" w:color="53565A" w:themeColor="accent5"/>
              <w:bottom w:val="single" w:sz="4" w:space="0" w:color="53565A" w:themeColor="accent5"/>
            </w:tcBorders>
            <w:vAlign w:val="bottom"/>
          </w:tcPr>
          <w:p w14:paraId="3BAE3FCB" w14:textId="1DB30F0F" w:rsidR="005F54A8" w:rsidRPr="008442BC" w:rsidRDefault="005F54A8" w:rsidP="005F54A8">
            <w:pPr>
              <w:pStyle w:val="ESTablebody"/>
              <w:jc w:val="right"/>
              <w:rPr>
                <w:rFonts w:ascii="Calibri" w:eastAsia="Times New Roman" w:hAnsi="Calibri" w:cs="Calibri"/>
                <w:color w:val="000000"/>
                <w:szCs w:val="20"/>
                <w:lang w:val="en-AU" w:eastAsia="en-AU"/>
              </w:rPr>
            </w:pPr>
            <w:r w:rsidRPr="000477B7">
              <w:rPr>
                <w:rFonts w:ascii="Calibri" w:hAnsi="Calibri" w:cs="Calibri"/>
                <w:color w:val="000000"/>
                <w:szCs w:val="20"/>
              </w:rPr>
              <w:t>26,240</w:t>
            </w:r>
          </w:p>
        </w:tc>
        <w:tc>
          <w:tcPr>
            <w:tcW w:w="1568" w:type="dxa"/>
            <w:gridSpan w:val="2"/>
            <w:tcBorders>
              <w:top w:val="single" w:sz="4" w:space="0" w:color="53565A" w:themeColor="accent5"/>
              <w:bottom w:val="single" w:sz="4" w:space="0" w:color="53565A" w:themeColor="accent5"/>
            </w:tcBorders>
            <w:shd w:val="clear" w:color="auto" w:fill="auto"/>
            <w:vAlign w:val="bottom"/>
          </w:tcPr>
          <w:p w14:paraId="26D21974" w14:textId="5D020DE4" w:rsidR="005F54A8" w:rsidRPr="008442BC" w:rsidRDefault="000E4F10"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43E014D3"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2CDF66F3" w14:textId="6CCDFDF2"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PRICEWATERHOUSECOOPERS CONSULTING AUSTRALIA PTY LIMITED</w:t>
            </w:r>
          </w:p>
        </w:tc>
        <w:tc>
          <w:tcPr>
            <w:tcW w:w="3613" w:type="dxa"/>
            <w:tcBorders>
              <w:top w:val="single" w:sz="4" w:space="0" w:color="53565A" w:themeColor="accent5"/>
              <w:bottom w:val="single" w:sz="4" w:space="0" w:color="53565A" w:themeColor="accent5"/>
            </w:tcBorders>
          </w:tcPr>
          <w:p w14:paraId="117D36D8" w14:textId="0F0CBB3D"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DET family violence workforce and course mapping project</w:t>
            </w:r>
          </w:p>
        </w:tc>
        <w:tc>
          <w:tcPr>
            <w:tcW w:w="1217" w:type="dxa"/>
            <w:tcBorders>
              <w:top w:val="single" w:sz="4" w:space="0" w:color="53565A" w:themeColor="accent5"/>
              <w:bottom w:val="single" w:sz="4" w:space="0" w:color="53565A" w:themeColor="accent5"/>
            </w:tcBorders>
          </w:tcPr>
          <w:p w14:paraId="0BADC9A6" w14:textId="6AC75B80"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22/06/2020</w:t>
            </w:r>
          </w:p>
        </w:tc>
        <w:tc>
          <w:tcPr>
            <w:tcW w:w="1316" w:type="dxa"/>
            <w:tcBorders>
              <w:top w:val="single" w:sz="4" w:space="0" w:color="53565A" w:themeColor="accent5"/>
              <w:bottom w:val="single" w:sz="4" w:space="0" w:color="53565A" w:themeColor="accent5"/>
            </w:tcBorders>
          </w:tcPr>
          <w:p w14:paraId="251D9C3B" w14:textId="215FEDD2"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27/07/2020</w:t>
            </w:r>
          </w:p>
        </w:tc>
        <w:tc>
          <w:tcPr>
            <w:tcW w:w="2057" w:type="dxa"/>
            <w:tcBorders>
              <w:top w:val="single" w:sz="4" w:space="0" w:color="53565A" w:themeColor="accent5"/>
              <w:bottom w:val="single" w:sz="4" w:space="0" w:color="53565A" w:themeColor="accent5"/>
            </w:tcBorders>
          </w:tcPr>
          <w:p w14:paraId="7BFF3C60" w14:textId="625A9F71" w:rsidR="005F54A8" w:rsidRPr="008442BC" w:rsidRDefault="005F54A8" w:rsidP="005F54A8">
            <w:pPr>
              <w:pStyle w:val="ESTablebody"/>
              <w:jc w:val="right"/>
              <w:rPr>
                <w:rFonts w:ascii="Calibri" w:eastAsia="Times New Roman" w:hAnsi="Calibri" w:cs="Calibri"/>
                <w:color w:val="000000"/>
                <w:szCs w:val="20"/>
                <w:lang w:val="en-AU" w:eastAsia="en-AU"/>
              </w:rPr>
            </w:pPr>
            <w:r w:rsidRPr="00722E36">
              <w:rPr>
                <w:rFonts w:ascii="Calibri" w:eastAsia="Times New Roman" w:hAnsi="Calibri" w:cs="Calibri"/>
                <w:color w:val="000000"/>
                <w:szCs w:val="20"/>
                <w:lang w:val="en-AU" w:eastAsia="en-AU"/>
              </w:rPr>
              <w:t>103,635</w:t>
            </w:r>
          </w:p>
        </w:tc>
        <w:tc>
          <w:tcPr>
            <w:tcW w:w="1490" w:type="dxa"/>
            <w:tcBorders>
              <w:top w:val="single" w:sz="4" w:space="0" w:color="53565A" w:themeColor="accent5"/>
              <w:bottom w:val="single" w:sz="4" w:space="0" w:color="53565A" w:themeColor="accent5"/>
            </w:tcBorders>
          </w:tcPr>
          <w:p w14:paraId="09BC30E1" w14:textId="24F7DBF2"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58,635</w:t>
            </w:r>
          </w:p>
        </w:tc>
        <w:tc>
          <w:tcPr>
            <w:tcW w:w="1568" w:type="dxa"/>
            <w:gridSpan w:val="2"/>
            <w:tcBorders>
              <w:top w:val="single" w:sz="4" w:space="0" w:color="53565A" w:themeColor="accent5"/>
              <w:bottom w:val="single" w:sz="4" w:space="0" w:color="53565A" w:themeColor="accent5"/>
            </w:tcBorders>
            <w:shd w:val="clear" w:color="auto" w:fill="auto"/>
          </w:tcPr>
          <w:p w14:paraId="13ABE0E9" w14:textId="37550943" w:rsidR="005F54A8" w:rsidRPr="008442BC" w:rsidRDefault="000E4F10"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12AD1AD0"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068BB5C0" w14:textId="1EEFAC42"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PTR CONSULTING</w:t>
            </w:r>
          </w:p>
        </w:tc>
        <w:tc>
          <w:tcPr>
            <w:tcW w:w="3613" w:type="dxa"/>
            <w:tcBorders>
              <w:top w:val="single" w:sz="4" w:space="0" w:color="53565A" w:themeColor="accent5"/>
              <w:bottom w:val="single" w:sz="4" w:space="0" w:color="53565A" w:themeColor="accent5"/>
            </w:tcBorders>
          </w:tcPr>
          <w:p w14:paraId="38C84B16" w14:textId="5D76D458"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Service and organisational review of Parkville College</w:t>
            </w:r>
          </w:p>
        </w:tc>
        <w:tc>
          <w:tcPr>
            <w:tcW w:w="1217" w:type="dxa"/>
            <w:tcBorders>
              <w:top w:val="single" w:sz="4" w:space="0" w:color="53565A" w:themeColor="accent5"/>
              <w:bottom w:val="single" w:sz="4" w:space="0" w:color="53565A" w:themeColor="accent5"/>
            </w:tcBorders>
          </w:tcPr>
          <w:p w14:paraId="76F557A4" w14:textId="1D53E702"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10/01/2021</w:t>
            </w:r>
          </w:p>
        </w:tc>
        <w:tc>
          <w:tcPr>
            <w:tcW w:w="1316" w:type="dxa"/>
            <w:tcBorders>
              <w:top w:val="single" w:sz="4" w:space="0" w:color="53565A" w:themeColor="accent5"/>
              <w:bottom w:val="single" w:sz="4" w:space="0" w:color="53565A" w:themeColor="accent5"/>
            </w:tcBorders>
          </w:tcPr>
          <w:p w14:paraId="3D3027D0" w14:textId="2E7838B8"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30/04/2021</w:t>
            </w:r>
          </w:p>
        </w:tc>
        <w:tc>
          <w:tcPr>
            <w:tcW w:w="2057" w:type="dxa"/>
            <w:tcBorders>
              <w:top w:val="single" w:sz="4" w:space="0" w:color="53565A" w:themeColor="accent5"/>
              <w:bottom w:val="single" w:sz="4" w:space="0" w:color="53565A" w:themeColor="accent5"/>
            </w:tcBorders>
          </w:tcPr>
          <w:p w14:paraId="7B742C80" w14:textId="7C725813"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62,500</w:t>
            </w:r>
          </w:p>
        </w:tc>
        <w:tc>
          <w:tcPr>
            <w:tcW w:w="1490" w:type="dxa"/>
            <w:tcBorders>
              <w:top w:val="single" w:sz="4" w:space="0" w:color="53565A" w:themeColor="accent5"/>
              <w:bottom w:val="single" w:sz="4" w:space="0" w:color="53565A" w:themeColor="accent5"/>
            </w:tcBorders>
          </w:tcPr>
          <w:p w14:paraId="32DC37D1" w14:textId="108EA42A"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62,500</w:t>
            </w:r>
          </w:p>
        </w:tc>
        <w:tc>
          <w:tcPr>
            <w:tcW w:w="1568" w:type="dxa"/>
            <w:gridSpan w:val="2"/>
            <w:tcBorders>
              <w:top w:val="single" w:sz="4" w:space="0" w:color="53565A" w:themeColor="accent5"/>
              <w:bottom w:val="single" w:sz="4" w:space="0" w:color="53565A" w:themeColor="accent5"/>
            </w:tcBorders>
            <w:shd w:val="clear" w:color="auto" w:fill="auto"/>
          </w:tcPr>
          <w:p w14:paraId="45561695" w14:textId="47C28599" w:rsidR="005F54A8" w:rsidRPr="008442BC" w:rsidRDefault="000E4F10"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502B1BB1"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15EA5862" w14:textId="4805770B"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lastRenderedPageBreak/>
              <w:t>SYNERGISTIQ PTY LTD</w:t>
            </w:r>
          </w:p>
        </w:tc>
        <w:tc>
          <w:tcPr>
            <w:tcW w:w="3613" w:type="dxa"/>
            <w:tcBorders>
              <w:top w:val="single" w:sz="4" w:space="0" w:color="53565A" w:themeColor="accent5"/>
              <w:bottom w:val="single" w:sz="4" w:space="0" w:color="53565A" w:themeColor="accent5"/>
            </w:tcBorders>
          </w:tcPr>
          <w:p w14:paraId="5A4D71A1" w14:textId="76677EC7"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 xml:space="preserve">Development of </w:t>
            </w:r>
            <w:r>
              <w:rPr>
                <w:rFonts w:ascii="Calibri" w:eastAsia="Times New Roman" w:hAnsi="Calibri" w:cs="Calibri"/>
                <w:color w:val="000000"/>
                <w:szCs w:val="20"/>
                <w:lang w:val="en-AU" w:eastAsia="en-AU"/>
              </w:rPr>
              <w:t>p</w:t>
            </w:r>
            <w:r w:rsidRPr="00EC253D">
              <w:rPr>
                <w:rFonts w:ascii="Calibri" w:eastAsia="Times New Roman" w:hAnsi="Calibri" w:cs="Calibri"/>
                <w:color w:val="000000"/>
                <w:szCs w:val="20"/>
                <w:lang w:val="en-AU" w:eastAsia="en-AU"/>
              </w:rPr>
              <w:t xml:space="preserve">rofessional </w:t>
            </w:r>
            <w:r>
              <w:rPr>
                <w:rFonts w:ascii="Calibri" w:eastAsia="Times New Roman" w:hAnsi="Calibri" w:cs="Calibri"/>
                <w:color w:val="000000"/>
                <w:szCs w:val="20"/>
                <w:lang w:val="en-AU" w:eastAsia="en-AU"/>
              </w:rPr>
              <w:t>l</w:t>
            </w:r>
            <w:r w:rsidRPr="00EC253D">
              <w:rPr>
                <w:rFonts w:ascii="Calibri" w:eastAsia="Times New Roman" w:hAnsi="Calibri" w:cs="Calibri"/>
                <w:color w:val="000000"/>
                <w:szCs w:val="20"/>
                <w:lang w:val="en-AU" w:eastAsia="en-AU"/>
              </w:rPr>
              <w:t xml:space="preserve">earning </w:t>
            </w:r>
            <w:r>
              <w:rPr>
                <w:rFonts w:ascii="Calibri" w:eastAsia="Times New Roman" w:hAnsi="Calibri" w:cs="Calibri"/>
                <w:color w:val="000000"/>
                <w:szCs w:val="20"/>
                <w:lang w:val="en-AU" w:eastAsia="en-AU"/>
              </w:rPr>
              <w:t>f</w:t>
            </w:r>
            <w:r w:rsidRPr="00EC253D">
              <w:rPr>
                <w:rFonts w:ascii="Calibri" w:eastAsia="Times New Roman" w:hAnsi="Calibri" w:cs="Calibri"/>
                <w:color w:val="000000"/>
                <w:szCs w:val="20"/>
                <w:lang w:val="en-AU" w:eastAsia="en-AU"/>
              </w:rPr>
              <w:t xml:space="preserve">ramework </w:t>
            </w:r>
          </w:p>
        </w:tc>
        <w:tc>
          <w:tcPr>
            <w:tcW w:w="1217" w:type="dxa"/>
            <w:tcBorders>
              <w:top w:val="single" w:sz="4" w:space="0" w:color="53565A" w:themeColor="accent5"/>
              <w:bottom w:val="single" w:sz="4" w:space="0" w:color="53565A" w:themeColor="accent5"/>
            </w:tcBorders>
          </w:tcPr>
          <w:p w14:paraId="680D1902" w14:textId="3738E544"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18/05/2021</w:t>
            </w:r>
          </w:p>
        </w:tc>
        <w:tc>
          <w:tcPr>
            <w:tcW w:w="1316" w:type="dxa"/>
            <w:tcBorders>
              <w:top w:val="single" w:sz="4" w:space="0" w:color="53565A" w:themeColor="accent5"/>
              <w:bottom w:val="single" w:sz="4" w:space="0" w:color="53565A" w:themeColor="accent5"/>
            </w:tcBorders>
          </w:tcPr>
          <w:p w14:paraId="598554AA" w14:textId="1340B19F"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30/06/2021</w:t>
            </w:r>
          </w:p>
        </w:tc>
        <w:tc>
          <w:tcPr>
            <w:tcW w:w="2057" w:type="dxa"/>
            <w:tcBorders>
              <w:top w:val="single" w:sz="4" w:space="0" w:color="53565A" w:themeColor="accent5"/>
              <w:bottom w:val="single" w:sz="4" w:space="0" w:color="53565A" w:themeColor="accent5"/>
            </w:tcBorders>
          </w:tcPr>
          <w:p w14:paraId="6B0DF005" w14:textId="566F10B5"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136,504</w:t>
            </w:r>
          </w:p>
        </w:tc>
        <w:tc>
          <w:tcPr>
            <w:tcW w:w="1490" w:type="dxa"/>
            <w:tcBorders>
              <w:top w:val="single" w:sz="4" w:space="0" w:color="53565A" w:themeColor="accent5"/>
              <w:bottom w:val="single" w:sz="4" w:space="0" w:color="53565A" w:themeColor="accent5"/>
            </w:tcBorders>
          </w:tcPr>
          <w:p w14:paraId="10BDF019" w14:textId="32A5A946"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68,252</w:t>
            </w:r>
          </w:p>
        </w:tc>
        <w:tc>
          <w:tcPr>
            <w:tcW w:w="1568" w:type="dxa"/>
            <w:gridSpan w:val="2"/>
            <w:tcBorders>
              <w:top w:val="single" w:sz="4" w:space="0" w:color="53565A" w:themeColor="accent5"/>
              <w:bottom w:val="single" w:sz="4" w:space="0" w:color="53565A" w:themeColor="accent5"/>
            </w:tcBorders>
            <w:shd w:val="clear" w:color="auto" w:fill="auto"/>
          </w:tcPr>
          <w:p w14:paraId="61B0A15B" w14:textId="0F221978"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68,252</w:t>
            </w:r>
          </w:p>
        </w:tc>
      </w:tr>
      <w:tr w:rsidR="005F54A8" w:rsidRPr="009423C3" w14:paraId="428AD4E5"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20D223E7" w14:textId="77777777"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UNIVERSITY OF MELBOURNE</w:t>
            </w:r>
          </w:p>
        </w:tc>
        <w:tc>
          <w:tcPr>
            <w:tcW w:w="3613" w:type="dxa"/>
            <w:tcBorders>
              <w:top w:val="single" w:sz="4" w:space="0" w:color="53565A" w:themeColor="accent5"/>
              <w:bottom w:val="single" w:sz="4" w:space="0" w:color="53565A" w:themeColor="accent5"/>
            </w:tcBorders>
          </w:tcPr>
          <w:p w14:paraId="38B81D26" w14:textId="72FFB374"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 xml:space="preserve">Monitoring and evaluation of the </w:t>
            </w:r>
            <w:r>
              <w:rPr>
                <w:rFonts w:ascii="Calibri" w:eastAsia="Times New Roman" w:hAnsi="Calibri" w:cs="Calibri"/>
                <w:color w:val="000000"/>
                <w:szCs w:val="20"/>
                <w:lang w:val="en-AU" w:eastAsia="en-AU"/>
              </w:rPr>
              <w:t>d</w:t>
            </w:r>
            <w:r w:rsidRPr="00EC253D">
              <w:rPr>
                <w:rFonts w:ascii="Calibri" w:eastAsia="Times New Roman" w:hAnsi="Calibri" w:cs="Calibri"/>
                <w:color w:val="000000"/>
                <w:szCs w:val="20"/>
                <w:lang w:val="en-AU" w:eastAsia="en-AU"/>
              </w:rPr>
              <w:t xml:space="preserve">ifferentiated </w:t>
            </w:r>
            <w:r>
              <w:rPr>
                <w:rFonts w:ascii="Calibri" w:eastAsia="Times New Roman" w:hAnsi="Calibri" w:cs="Calibri"/>
                <w:color w:val="000000"/>
                <w:szCs w:val="20"/>
                <w:lang w:val="en-AU" w:eastAsia="en-AU"/>
              </w:rPr>
              <w:t>s</w:t>
            </w:r>
            <w:r w:rsidRPr="00EC253D">
              <w:rPr>
                <w:rFonts w:ascii="Calibri" w:eastAsia="Times New Roman" w:hAnsi="Calibri" w:cs="Calibri"/>
                <w:color w:val="000000"/>
                <w:szCs w:val="20"/>
                <w:lang w:val="en-AU" w:eastAsia="en-AU"/>
              </w:rPr>
              <w:t xml:space="preserve">upport for </w:t>
            </w:r>
            <w:r>
              <w:rPr>
                <w:rFonts w:ascii="Calibri" w:eastAsia="Times New Roman" w:hAnsi="Calibri" w:cs="Calibri"/>
                <w:color w:val="000000"/>
                <w:szCs w:val="20"/>
                <w:lang w:val="en-AU" w:eastAsia="en-AU"/>
              </w:rPr>
              <w:t>s</w:t>
            </w:r>
            <w:r w:rsidRPr="00EC253D">
              <w:rPr>
                <w:rFonts w:ascii="Calibri" w:eastAsia="Times New Roman" w:hAnsi="Calibri" w:cs="Calibri"/>
                <w:color w:val="000000"/>
                <w:szCs w:val="20"/>
                <w:lang w:val="en-AU" w:eastAsia="en-AU"/>
              </w:rPr>
              <w:t xml:space="preserve">chool </w:t>
            </w:r>
            <w:r>
              <w:rPr>
                <w:rFonts w:ascii="Calibri" w:eastAsia="Times New Roman" w:hAnsi="Calibri" w:cs="Calibri"/>
                <w:color w:val="000000"/>
                <w:szCs w:val="20"/>
                <w:lang w:val="en-AU" w:eastAsia="en-AU"/>
              </w:rPr>
              <w:t>i</w:t>
            </w:r>
            <w:r w:rsidRPr="00EC253D">
              <w:rPr>
                <w:rFonts w:ascii="Calibri" w:eastAsia="Times New Roman" w:hAnsi="Calibri" w:cs="Calibri"/>
                <w:color w:val="000000"/>
                <w:szCs w:val="20"/>
                <w:lang w:val="en-AU" w:eastAsia="en-AU"/>
              </w:rPr>
              <w:t>mprovement initiatives</w:t>
            </w:r>
          </w:p>
        </w:tc>
        <w:tc>
          <w:tcPr>
            <w:tcW w:w="1217" w:type="dxa"/>
            <w:tcBorders>
              <w:top w:val="single" w:sz="4" w:space="0" w:color="53565A" w:themeColor="accent5"/>
              <w:bottom w:val="single" w:sz="4" w:space="0" w:color="53565A" w:themeColor="accent5"/>
            </w:tcBorders>
          </w:tcPr>
          <w:p w14:paraId="0A43188B" w14:textId="12AC13FC"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3/01/2018</w:t>
            </w:r>
          </w:p>
        </w:tc>
        <w:tc>
          <w:tcPr>
            <w:tcW w:w="1316" w:type="dxa"/>
            <w:tcBorders>
              <w:top w:val="single" w:sz="4" w:space="0" w:color="53565A" w:themeColor="accent5"/>
              <w:bottom w:val="single" w:sz="4" w:space="0" w:color="53565A" w:themeColor="accent5"/>
            </w:tcBorders>
          </w:tcPr>
          <w:p w14:paraId="4B1148E3" w14:textId="58D8CD3D"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31/12/2021</w:t>
            </w:r>
          </w:p>
        </w:tc>
        <w:tc>
          <w:tcPr>
            <w:tcW w:w="2057" w:type="dxa"/>
            <w:tcBorders>
              <w:top w:val="single" w:sz="4" w:space="0" w:color="53565A" w:themeColor="accent5"/>
              <w:bottom w:val="single" w:sz="4" w:space="0" w:color="53565A" w:themeColor="accent5"/>
            </w:tcBorders>
          </w:tcPr>
          <w:p w14:paraId="712615BD" w14:textId="7EC25975"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1,484,436</w:t>
            </w:r>
          </w:p>
        </w:tc>
        <w:tc>
          <w:tcPr>
            <w:tcW w:w="1490" w:type="dxa"/>
            <w:tcBorders>
              <w:top w:val="single" w:sz="4" w:space="0" w:color="53565A" w:themeColor="accent5"/>
              <w:bottom w:val="single" w:sz="4" w:space="0" w:color="53565A" w:themeColor="accent5"/>
            </w:tcBorders>
          </w:tcPr>
          <w:p w14:paraId="5D1CD55D" w14:textId="63919EF8"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255,215</w:t>
            </w:r>
          </w:p>
        </w:tc>
        <w:tc>
          <w:tcPr>
            <w:tcW w:w="1568" w:type="dxa"/>
            <w:gridSpan w:val="2"/>
            <w:tcBorders>
              <w:top w:val="single" w:sz="4" w:space="0" w:color="53565A" w:themeColor="accent5"/>
              <w:bottom w:val="single" w:sz="4" w:space="0" w:color="53565A" w:themeColor="accent5"/>
            </w:tcBorders>
            <w:shd w:val="clear" w:color="auto" w:fill="auto"/>
          </w:tcPr>
          <w:p w14:paraId="36324B98" w14:textId="7C72144E"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162,456</w:t>
            </w:r>
          </w:p>
        </w:tc>
      </w:tr>
      <w:tr w:rsidR="005F54A8" w:rsidRPr="009423C3" w14:paraId="7C9395FA"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63162464" w14:textId="79668EAB"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UNIVERSITY OF MELBOURNE</w:t>
            </w:r>
          </w:p>
        </w:tc>
        <w:tc>
          <w:tcPr>
            <w:tcW w:w="3613" w:type="dxa"/>
            <w:tcBorders>
              <w:top w:val="single" w:sz="4" w:space="0" w:color="53565A" w:themeColor="accent5"/>
              <w:bottom w:val="single" w:sz="4" w:space="0" w:color="53565A" w:themeColor="accent5"/>
            </w:tcBorders>
          </w:tcPr>
          <w:p w14:paraId="637EE9F1" w14:textId="2BAA9D97"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 xml:space="preserve">Evaluation of the </w:t>
            </w:r>
            <w:r>
              <w:rPr>
                <w:rFonts w:ascii="Calibri" w:eastAsia="Times New Roman" w:hAnsi="Calibri" w:cs="Calibri"/>
                <w:color w:val="000000"/>
                <w:szCs w:val="20"/>
                <w:lang w:val="en-AU" w:eastAsia="en-AU"/>
              </w:rPr>
              <w:t>l</w:t>
            </w:r>
            <w:r w:rsidRPr="00EC253D">
              <w:rPr>
                <w:rFonts w:ascii="Calibri" w:eastAsia="Times New Roman" w:hAnsi="Calibri" w:cs="Calibri"/>
                <w:color w:val="000000"/>
                <w:szCs w:val="20"/>
                <w:lang w:val="en-AU" w:eastAsia="en-AU"/>
              </w:rPr>
              <w:t xml:space="preserve">iteracy and </w:t>
            </w:r>
            <w:r>
              <w:rPr>
                <w:rFonts w:ascii="Calibri" w:eastAsia="Times New Roman" w:hAnsi="Calibri" w:cs="Calibri"/>
                <w:color w:val="000000"/>
                <w:szCs w:val="20"/>
                <w:lang w:val="en-AU" w:eastAsia="en-AU"/>
              </w:rPr>
              <w:t>n</w:t>
            </w:r>
            <w:r w:rsidRPr="00EC253D">
              <w:rPr>
                <w:rFonts w:ascii="Calibri" w:eastAsia="Times New Roman" w:hAnsi="Calibri" w:cs="Calibri"/>
                <w:color w:val="000000"/>
                <w:szCs w:val="20"/>
                <w:lang w:val="en-AU" w:eastAsia="en-AU"/>
              </w:rPr>
              <w:t xml:space="preserve">umeracy </w:t>
            </w:r>
            <w:r>
              <w:rPr>
                <w:rFonts w:ascii="Calibri" w:eastAsia="Times New Roman" w:hAnsi="Calibri" w:cs="Calibri"/>
                <w:color w:val="000000"/>
                <w:szCs w:val="20"/>
                <w:lang w:val="en-AU" w:eastAsia="en-AU"/>
              </w:rPr>
              <w:t>s</w:t>
            </w:r>
            <w:r w:rsidRPr="00EC253D">
              <w:rPr>
                <w:rFonts w:ascii="Calibri" w:eastAsia="Times New Roman" w:hAnsi="Calibri" w:cs="Calibri"/>
                <w:color w:val="000000"/>
                <w:szCs w:val="20"/>
                <w:lang w:val="en-AU" w:eastAsia="en-AU"/>
              </w:rPr>
              <w:t>trategy</w:t>
            </w:r>
          </w:p>
        </w:tc>
        <w:tc>
          <w:tcPr>
            <w:tcW w:w="1217" w:type="dxa"/>
            <w:tcBorders>
              <w:top w:val="single" w:sz="4" w:space="0" w:color="53565A" w:themeColor="accent5"/>
              <w:bottom w:val="single" w:sz="4" w:space="0" w:color="53565A" w:themeColor="accent5"/>
            </w:tcBorders>
          </w:tcPr>
          <w:p w14:paraId="16E1A5AF" w14:textId="1CC01871"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29/01/2019</w:t>
            </w:r>
          </w:p>
        </w:tc>
        <w:tc>
          <w:tcPr>
            <w:tcW w:w="1316" w:type="dxa"/>
            <w:tcBorders>
              <w:top w:val="single" w:sz="4" w:space="0" w:color="53565A" w:themeColor="accent5"/>
              <w:bottom w:val="single" w:sz="4" w:space="0" w:color="53565A" w:themeColor="accent5"/>
            </w:tcBorders>
          </w:tcPr>
          <w:p w14:paraId="699DE9F6" w14:textId="2ABD5936"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30/06/2022</w:t>
            </w:r>
          </w:p>
        </w:tc>
        <w:tc>
          <w:tcPr>
            <w:tcW w:w="2057" w:type="dxa"/>
            <w:tcBorders>
              <w:top w:val="single" w:sz="4" w:space="0" w:color="53565A" w:themeColor="accent5"/>
              <w:bottom w:val="single" w:sz="4" w:space="0" w:color="53565A" w:themeColor="accent5"/>
            </w:tcBorders>
          </w:tcPr>
          <w:p w14:paraId="6A2575D4" w14:textId="4CEE530A"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805,402</w:t>
            </w:r>
          </w:p>
        </w:tc>
        <w:tc>
          <w:tcPr>
            <w:tcW w:w="1490" w:type="dxa"/>
            <w:tcBorders>
              <w:top w:val="single" w:sz="4" w:space="0" w:color="53565A" w:themeColor="accent5"/>
              <w:bottom w:val="single" w:sz="4" w:space="0" w:color="53565A" w:themeColor="accent5"/>
            </w:tcBorders>
          </w:tcPr>
          <w:p w14:paraId="3A2642B2" w14:textId="5802B2DA"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159,175</w:t>
            </w:r>
          </w:p>
        </w:tc>
        <w:tc>
          <w:tcPr>
            <w:tcW w:w="1568" w:type="dxa"/>
            <w:gridSpan w:val="2"/>
            <w:tcBorders>
              <w:top w:val="single" w:sz="4" w:space="0" w:color="53565A" w:themeColor="accent5"/>
              <w:bottom w:val="single" w:sz="4" w:space="0" w:color="53565A" w:themeColor="accent5"/>
            </w:tcBorders>
            <w:shd w:val="clear" w:color="auto" w:fill="auto"/>
          </w:tcPr>
          <w:p w14:paraId="68D98A17" w14:textId="23D7272F" w:rsidR="005F54A8" w:rsidRPr="008442BC" w:rsidRDefault="005F54A8"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239,885</w:t>
            </w:r>
          </w:p>
        </w:tc>
      </w:tr>
      <w:tr w:rsidR="005F54A8" w:rsidRPr="009423C3" w14:paraId="1030F8E1"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44EDA12A" w14:textId="74B91234"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VICTORIA UNIVERSITY</w:t>
            </w:r>
          </w:p>
        </w:tc>
        <w:tc>
          <w:tcPr>
            <w:tcW w:w="3613" w:type="dxa"/>
            <w:tcBorders>
              <w:top w:val="single" w:sz="4" w:space="0" w:color="53565A" w:themeColor="accent5"/>
              <w:bottom w:val="single" w:sz="4" w:space="0" w:color="53565A" w:themeColor="accent5"/>
            </w:tcBorders>
          </w:tcPr>
          <w:p w14:paraId="6B4CA025" w14:textId="1D7A27FB"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Review of the</w:t>
            </w:r>
            <w:r w:rsidR="00C611A8">
              <w:rPr>
                <w:rFonts w:ascii="Calibri" w:eastAsia="Times New Roman" w:hAnsi="Calibri" w:cs="Calibri"/>
                <w:color w:val="000000"/>
                <w:szCs w:val="20"/>
                <w:lang w:val="en-AU" w:eastAsia="en-AU"/>
              </w:rPr>
              <w:t xml:space="preserve"> registered training organisations</w:t>
            </w:r>
            <w:r w:rsidRPr="00EC253D">
              <w:rPr>
                <w:rFonts w:ascii="Calibri" w:eastAsia="Times New Roman" w:hAnsi="Calibri" w:cs="Calibri"/>
                <w:color w:val="000000"/>
                <w:szCs w:val="20"/>
                <w:lang w:val="en-AU" w:eastAsia="en-AU"/>
              </w:rPr>
              <w:t xml:space="preserve"> </w:t>
            </w:r>
            <w:r>
              <w:rPr>
                <w:rFonts w:ascii="Calibri" w:eastAsia="Times New Roman" w:hAnsi="Calibri" w:cs="Calibri"/>
                <w:color w:val="000000"/>
                <w:szCs w:val="20"/>
                <w:lang w:val="en-AU" w:eastAsia="en-AU"/>
              </w:rPr>
              <w:t>p</w:t>
            </w:r>
            <w:r w:rsidRPr="00EC253D">
              <w:rPr>
                <w:rFonts w:ascii="Calibri" w:eastAsia="Times New Roman" w:hAnsi="Calibri" w:cs="Calibri"/>
                <w:color w:val="000000"/>
                <w:szCs w:val="20"/>
                <w:lang w:val="en-AU" w:eastAsia="en-AU"/>
              </w:rPr>
              <w:t xml:space="preserve">erformance </w:t>
            </w:r>
            <w:r>
              <w:rPr>
                <w:rFonts w:ascii="Calibri" w:eastAsia="Times New Roman" w:hAnsi="Calibri" w:cs="Calibri"/>
                <w:color w:val="000000"/>
                <w:szCs w:val="20"/>
                <w:lang w:val="en-AU" w:eastAsia="en-AU"/>
              </w:rPr>
              <w:t>i</w:t>
            </w:r>
            <w:r w:rsidRPr="00EC253D">
              <w:rPr>
                <w:rFonts w:ascii="Calibri" w:eastAsia="Times New Roman" w:hAnsi="Calibri" w:cs="Calibri"/>
                <w:color w:val="000000"/>
                <w:szCs w:val="20"/>
                <w:lang w:val="en-AU" w:eastAsia="en-AU"/>
              </w:rPr>
              <w:t xml:space="preserve">ndicators </w:t>
            </w:r>
            <w:r>
              <w:rPr>
                <w:rFonts w:ascii="Calibri" w:eastAsia="Times New Roman" w:hAnsi="Calibri" w:cs="Calibri"/>
                <w:color w:val="000000"/>
                <w:szCs w:val="20"/>
                <w:lang w:val="en-AU" w:eastAsia="en-AU"/>
              </w:rPr>
              <w:t>f</w:t>
            </w:r>
            <w:r w:rsidRPr="00EC253D">
              <w:rPr>
                <w:rFonts w:ascii="Calibri" w:eastAsia="Times New Roman" w:hAnsi="Calibri" w:cs="Calibri"/>
                <w:color w:val="000000"/>
                <w:szCs w:val="20"/>
                <w:lang w:val="en-AU" w:eastAsia="en-AU"/>
              </w:rPr>
              <w:t>ramework</w:t>
            </w:r>
          </w:p>
        </w:tc>
        <w:tc>
          <w:tcPr>
            <w:tcW w:w="1217" w:type="dxa"/>
            <w:tcBorders>
              <w:top w:val="single" w:sz="4" w:space="0" w:color="53565A" w:themeColor="accent5"/>
              <w:bottom w:val="single" w:sz="4" w:space="0" w:color="53565A" w:themeColor="accent5"/>
            </w:tcBorders>
          </w:tcPr>
          <w:p w14:paraId="75A8AE1D" w14:textId="31F88230"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22/06/2021</w:t>
            </w:r>
          </w:p>
        </w:tc>
        <w:tc>
          <w:tcPr>
            <w:tcW w:w="1316" w:type="dxa"/>
            <w:tcBorders>
              <w:top w:val="single" w:sz="4" w:space="0" w:color="53565A" w:themeColor="accent5"/>
              <w:bottom w:val="single" w:sz="4" w:space="0" w:color="53565A" w:themeColor="accent5"/>
            </w:tcBorders>
          </w:tcPr>
          <w:p w14:paraId="632C8658" w14:textId="18B2B92A" w:rsidR="005F54A8" w:rsidRPr="008442BC" w:rsidRDefault="005F54A8" w:rsidP="005F54A8">
            <w:pPr>
              <w:pStyle w:val="ESTablebody"/>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30/09/2021</w:t>
            </w:r>
          </w:p>
        </w:tc>
        <w:tc>
          <w:tcPr>
            <w:tcW w:w="2057" w:type="dxa"/>
            <w:tcBorders>
              <w:top w:val="single" w:sz="4" w:space="0" w:color="53565A" w:themeColor="accent5"/>
              <w:bottom w:val="single" w:sz="4" w:space="0" w:color="53565A" w:themeColor="accent5"/>
            </w:tcBorders>
          </w:tcPr>
          <w:p w14:paraId="3E2AC8E4" w14:textId="213B3E81"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49,350</w:t>
            </w:r>
          </w:p>
        </w:tc>
        <w:tc>
          <w:tcPr>
            <w:tcW w:w="1490" w:type="dxa"/>
            <w:tcBorders>
              <w:top w:val="single" w:sz="4" w:space="0" w:color="53565A" w:themeColor="accent5"/>
              <w:bottom w:val="single" w:sz="4" w:space="0" w:color="53565A" w:themeColor="accent5"/>
            </w:tcBorders>
          </w:tcPr>
          <w:p w14:paraId="0A69B463" w14:textId="50C2C869" w:rsidR="005F54A8" w:rsidRPr="008442BC" w:rsidRDefault="005F54A8" w:rsidP="005F54A8">
            <w:pPr>
              <w:pStyle w:val="ESTablebody"/>
              <w:jc w:val="right"/>
              <w:rPr>
                <w:rFonts w:ascii="Calibri" w:eastAsia="Times New Roman" w:hAnsi="Calibri" w:cs="Calibri"/>
                <w:color w:val="000000"/>
                <w:szCs w:val="20"/>
                <w:lang w:val="en-AU" w:eastAsia="en-AU"/>
              </w:rPr>
            </w:pPr>
            <w:r w:rsidRPr="00EC253D">
              <w:rPr>
                <w:rFonts w:ascii="Calibri" w:eastAsia="Times New Roman" w:hAnsi="Calibri" w:cs="Calibri"/>
                <w:color w:val="000000"/>
                <w:szCs w:val="20"/>
                <w:lang w:val="en-AU" w:eastAsia="en-AU"/>
              </w:rPr>
              <w:t>11,400</w:t>
            </w:r>
          </w:p>
        </w:tc>
        <w:tc>
          <w:tcPr>
            <w:tcW w:w="1568" w:type="dxa"/>
            <w:gridSpan w:val="2"/>
            <w:tcBorders>
              <w:top w:val="single" w:sz="4" w:space="0" w:color="53565A" w:themeColor="accent5"/>
              <w:bottom w:val="single" w:sz="4" w:space="0" w:color="53565A" w:themeColor="accent5"/>
            </w:tcBorders>
            <w:shd w:val="clear" w:color="auto" w:fill="auto"/>
          </w:tcPr>
          <w:p w14:paraId="143A007A" w14:textId="1345F4E5" w:rsidR="005F54A8" w:rsidRPr="008442BC" w:rsidRDefault="00AD590E"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79123D9A"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41C877D3" w14:textId="3E41D664"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URBIS PTY LTD</w:t>
            </w:r>
          </w:p>
        </w:tc>
        <w:tc>
          <w:tcPr>
            <w:tcW w:w="3613" w:type="dxa"/>
            <w:tcBorders>
              <w:top w:val="single" w:sz="4" w:space="0" w:color="53565A" w:themeColor="accent5"/>
              <w:bottom w:val="single" w:sz="4" w:space="0" w:color="53565A" w:themeColor="accent5"/>
            </w:tcBorders>
          </w:tcPr>
          <w:p w14:paraId="42A9BA4F" w14:textId="395BAD0F"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Education Justice Initiative evaluation</w:t>
            </w:r>
          </w:p>
        </w:tc>
        <w:tc>
          <w:tcPr>
            <w:tcW w:w="1217" w:type="dxa"/>
            <w:tcBorders>
              <w:top w:val="single" w:sz="4" w:space="0" w:color="53565A" w:themeColor="accent5"/>
              <w:bottom w:val="single" w:sz="4" w:space="0" w:color="53565A" w:themeColor="accent5"/>
            </w:tcBorders>
          </w:tcPr>
          <w:p w14:paraId="045D4EAE" w14:textId="744EFCF8"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17/06/2019</w:t>
            </w:r>
          </w:p>
        </w:tc>
        <w:tc>
          <w:tcPr>
            <w:tcW w:w="1316" w:type="dxa"/>
            <w:tcBorders>
              <w:top w:val="single" w:sz="4" w:space="0" w:color="53565A" w:themeColor="accent5"/>
              <w:bottom w:val="single" w:sz="4" w:space="0" w:color="53565A" w:themeColor="accent5"/>
            </w:tcBorders>
          </w:tcPr>
          <w:p w14:paraId="0AA024DC" w14:textId="15E5049E"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31/12/2020</w:t>
            </w:r>
          </w:p>
        </w:tc>
        <w:tc>
          <w:tcPr>
            <w:tcW w:w="2057" w:type="dxa"/>
            <w:tcBorders>
              <w:top w:val="single" w:sz="4" w:space="0" w:color="53565A" w:themeColor="accent5"/>
              <w:bottom w:val="single" w:sz="4" w:space="0" w:color="53565A" w:themeColor="accent5"/>
            </w:tcBorders>
          </w:tcPr>
          <w:p w14:paraId="3CB2AF83" w14:textId="1DF94C18"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223,625</w:t>
            </w:r>
          </w:p>
        </w:tc>
        <w:tc>
          <w:tcPr>
            <w:tcW w:w="1490" w:type="dxa"/>
            <w:tcBorders>
              <w:top w:val="single" w:sz="4" w:space="0" w:color="53565A" w:themeColor="accent5"/>
              <w:bottom w:val="single" w:sz="4" w:space="0" w:color="53565A" w:themeColor="accent5"/>
            </w:tcBorders>
          </w:tcPr>
          <w:p w14:paraId="2E041925" w14:textId="26262C12"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92,469</w:t>
            </w:r>
          </w:p>
        </w:tc>
        <w:tc>
          <w:tcPr>
            <w:tcW w:w="1568" w:type="dxa"/>
            <w:gridSpan w:val="2"/>
            <w:tcBorders>
              <w:top w:val="single" w:sz="4" w:space="0" w:color="53565A" w:themeColor="accent5"/>
              <w:bottom w:val="single" w:sz="4" w:space="0" w:color="53565A" w:themeColor="accent5"/>
            </w:tcBorders>
            <w:shd w:val="clear" w:color="auto" w:fill="auto"/>
          </w:tcPr>
          <w:p w14:paraId="6E457123" w14:textId="4CA38E99" w:rsidR="005F54A8" w:rsidRPr="008442BC" w:rsidRDefault="00AD590E"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r>
      <w:tr w:rsidR="005F54A8" w:rsidRPr="009423C3" w14:paraId="2A1317FD"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4BD240BE" w14:textId="1621BBFC"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PAXTON PARTNERS</w:t>
            </w:r>
          </w:p>
        </w:tc>
        <w:tc>
          <w:tcPr>
            <w:tcW w:w="3613" w:type="dxa"/>
            <w:tcBorders>
              <w:top w:val="single" w:sz="4" w:space="0" w:color="53565A" w:themeColor="accent5"/>
              <w:bottom w:val="single" w:sz="4" w:space="0" w:color="53565A" w:themeColor="accent5"/>
            </w:tcBorders>
          </w:tcPr>
          <w:p w14:paraId="5C0AA658" w14:textId="49AB626A"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 xml:space="preserve">Impact evaluation to improve health, </w:t>
            </w:r>
            <w:proofErr w:type="gramStart"/>
            <w:r w:rsidRPr="00EC1DC4">
              <w:rPr>
                <w:rFonts w:ascii="Calibri" w:eastAsia="Times New Roman" w:hAnsi="Calibri" w:cs="Calibri"/>
                <w:color w:val="000000"/>
                <w:szCs w:val="20"/>
                <w:lang w:val="en-AU" w:eastAsia="en-AU"/>
              </w:rPr>
              <w:t>safety</w:t>
            </w:r>
            <w:proofErr w:type="gramEnd"/>
            <w:r w:rsidRPr="00EC1DC4">
              <w:rPr>
                <w:rFonts w:ascii="Calibri" w:eastAsia="Times New Roman" w:hAnsi="Calibri" w:cs="Calibri"/>
                <w:color w:val="000000"/>
                <w:szCs w:val="20"/>
                <w:lang w:val="en-AU" w:eastAsia="en-AU"/>
              </w:rPr>
              <w:t xml:space="preserve"> and wellbeing and to reduce administrative burden for schools</w:t>
            </w:r>
          </w:p>
        </w:tc>
        <w:tc>
          <w:tcPr>
            <w:tcW w:w="1217" w:type="dxa"/>
            <w:tcBorders>
              <w:top w:val="single" w:sz="4" w:space="0" w:color="53565A" w:themeColor="accent5"/>
              <w:bottom w:val="single" w:sz="4" w:space="0" w:color="53565A" w:themeColor="accent5"/>
            </w:tcBorders>
          </w:tcPr>
          <w:p w14:paraId="1F9C5856" w14:textId="388CC147"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5/08/2019</w:t>
            </w:r>
          </w:p>
        </w:tc>
        <w:tc>
          <w:tcPr>
            <w:tcW w:w="1316" w:type="dxa"/>
            <w:tcBorders>
              <w:top w:val="single" w:sz="4" w:space="0" w:color="53565A" w:themeColor="accent5"/>
              <w:bottom w:val="single" w:sz="4" w:space="0" w:color="53565A" w:themeColor="accent5"/>
            </w:tcBorders>
          </w:tcPr>
          <w:p w14:paraId="4BF590F7" w14:textId="3C3F6CED"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4/08/2021</w:t>
            </w:r>
          </w:p>
        </w:tc>
        <w:tc>
          <w:tcPr>
            <w:tcW w:w="2057" w:type="dxa"/>
            <w:tcBorders>
              <w:top w:val="single" w:sz="4" w:space="0" w:color="53565A" w:themeColor="accent5"/>
              <w:bottom w:val="single" w:sz="4" w:space="0" w:color="53565A" w:themeColor="accent5"/>
            </w:tcBorders>
          </w:tcPr>
          <w:p w14:paraId="26C736A3" w14:textId="5B947AD4"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455,515</w:t>
            </w:r>
          </w:p>
        </w:tc>
        <w:tc>
          <w:tcPr>
            <w:tcW w:w="1490" w:type="dxa"/>
            <w:tcBorders>
              <w:top w:val="single" w:sz="4" w:space="0" w:color="53565A" w:themeColor="accent5"/>
              <w:bottom w:val="single" w:sz="4" w:space="0" w:color="53565A" w:themeColor="accent5"/>
            </w:tcBorders>
          </w:tcPr>
          <w:p w14:paraId="4387DC10" w14:textId="25C78FDF"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147,995</w:t>
            </w:r>
          </w:p>
        </w:tc>
        <w:tc>
          <w:tcPr>
            <w:tcW w:w="1568" w:type="dxa"/>
            <w:gridSpan w:val="2"/>
            <w:tcBorders>
              <w:top w:val="single" w:sz="4" w:space="0" w:color="53565A" w:themeColor="accent5"/>
              <w:bottom w:val="single" w:sz="4" w:space="0" w:color="53565A" w:themeColor="accent5"/>
            </w:tcBorders>
            <w:shd w:val="clear" w:color="auto" w:fill="auto"/>
          </w:tcPr>
          <w:p w14:paraId="4E122B47" w14:textId="78282488"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92</w:t>
            </w:r>
            <w:r w:rsidR="0043180A">
              <w:rPr>
                <w:rFonts w:ascii="Calibri" w:eastAsia="Times New Roman" w:hAnsi="Calibri" w:cs="Calibri"/>
                <w:color w:val="000000"/>
                <w:szCs w:val="20"/>
                <w:lang w:val="en-AU" w:eastAsia="en-AU"/>
              </w:rPr>
              <w:t>,</w:t>
            </w:r>
            <w:r w:rsidRPr="00EC1DC4">
              <w:rPr>
                <w:rFonts w:ascii="Calibri" w:eastAsia="Times New Roman" w:hAnsi="Calibri" w:cs="Calibri"/>
                <w:color w:val="000000"/>
                <w:szCs w:val="20"/>
                <w:lang w:val="en-AU" w:eastAsia="en-AU"/>
              </w:rPr>
              <w:t>335</w:t>
            </w:r>
          </w:p>
        </w:tc>
      </w:tr>
      <w:tr w:rsidR="005F54A8" w:rsidRPr="009423C3" w14:paraId="33571F1F"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398C0C8B" w14:textId="77777777"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DELOITTE ACCESS ECONOMICS</w:t>
            </w:r>
          </w:p>
        </w:tc>
        <w:tc>
          <w:tcPr>
            <w:tcW w:w="3613" w:type="dxa"/>
            <w:tcBorders>
              <w:top w:val="single" w:sz="4" w:space="0" w:color="53565A" w:themeColor="accent5"/>
              <w:bottom w:val="single" w:sz="4" w:space="0" w:color="53565A" w:themeColor="accent5"/>
            </w:tcBorders>
          </w:tcPr>
          <w:p w14:paraId="4CC9FCD9" w14:textId="49A57485"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Evaluation of the Early Childhood Language Program</w:t>
            </w:r>
          </w:p>
        </w:tc>
        <w:tc>
          <w:tcPr>
            <w:tcW w:w="1217" w:type="dxa"/>
            <w:tcBorders>
              <w:top w:val="single" w:sz="4" w:space="0" w:color="53565A" w:themeColor="accent5"/>
              <w:bottom w:val="single" w:sz="4" w:space="0" w:color="53565A" w:themeColor="accent5"/>
            </w:tcBorders>
          </w:tcPr>
          <w:p w14:paraId="7BF5EE30" w14:textId="574EE230"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24/08/2020</w:t>
            </w:r>
          </w:p>
        </w:tc>
        <w:tc>
          <w:tcPr>
            <w:tcW w:w="1316" w:type="dxa"/>
            <w:tcBorders>
              <w:top w:val="single" w:sz="4" w:space="0" w:color="53565A" w:themeColor="accent5"/>
              <w:bottom w:val="single" w:sz="4" w:space="0" w:color="53565A" w:themeColor="accent5"/>
            </w:tcBorders>
          </w:tcPr>
          <w:p w14:paraId="24BFB414" w14:textId="543AD5E9"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30/06/2022</w:t>
            </w:r>
          </w:p>
        </w:tc>
        <w:tc>
          <w:tcPr>
            <w:tcW w:w="2057" w:type="dxa"/>
            <w:tcBorders>
              <w:top w:val="single" w:sz="4" w:space="0" w:color="53565A" w:themeColor="accent5"/>
              <w:bottom w:val="single" w:sz="4" w:space="0" w:color="53565A" w:themeColor="accent5"/>
            </w:tcBorders>
          </w:tcPr>
          <w:p w14:paraId="696C3ADB" w14:textId="106287F2"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458,984</w:t>
            </w:r>
          </w:p>
        </w:tc>
        <w:tc>
          <w:tcPr>
            <w:tcW w:w="1490" w:type="dxa"/>
            <w:tcBorders>
              <w:top w:val="single" w:sz="4" w:space="0" w:color="53565A" w:themeColor="accent5"/>
              <w:bottom w:val="single" w:sz="4" w:space="0" w:color="53565A" w:themeColor="accent5"/>
            </w:tcBorders>
          </w:tcPr>
          <w:p w14:paraId="781ACA5B" w14:textId="13EA0FC3"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251,326</w:t>
            </w:r>
          </w:p>
        </w:tc>
        <w:tc>
          <w:tcPr>
            <w:tcW w:w="1568" w:type="dxa"/>
            <w:gridSpan w:val="2"/>
            <w:tcBorders>
              <w:top w:val="single" w:sz="4" w:space="0" w:color="53565A" w:themeColor="accent5"/>
              <w:bottom w:val="single" w:sz="4" w:space="0" w:color="53565A" w:themeColor="accent5"/>
            </w:tcBorders>
            <w:shd w:val="clear" w:color="auto" w:fill="auto"/>
          </w:tcPr>
          <w:p w14:paraId="36D20D5B" w14:textId="55B29B63"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207,658</w:t>
            </w:r>
          </w:p>
        </w:tc>
      </w:tr>
      <w:tr w:rsidR="005F54A8" w:rsidRPr="009423C3" w14:paraId="79754FD4"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3051B18B" w14:textId="5BADED32"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DELOITTE ACCESS ECONOMICS</w:t>
            </w:r>
          </w:p>
        </w:tc>
        <w:tc>
          <w:tcPr>
            <w:tcW w:w="3613" w:type="dxa"/>
            <w:tcBorders>
              <w:top w:val="single" w:sz="4" w:space="0" w:color="53565A" w:themeColor="accent5"/>
              <w:bottom w:val="single" w:sz="4" w:space="0" w:color="53565A" w:themeColor="accent5"/>
            </w:tcBorders>
          </w:tcPr>
          <w:p w14:paraId="4914EDB3" w14:textId="2E7EB439"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Evaluation of the funding and support model for students with disability</w:t>
            </w:r>
          </w:p>
        </w:tc>
        <w:tc>
          <w:tcPr>
            <w:tcW w:w="1217" w:type="dxa"/>
            <w:tcBorders>
              <w:top w:val="single" w:sz="4" w:space="0" w:color="53565A" w:themeColor="accent5"/>
              <w:bottom w:val="single" w:sz="4" w:space="0" w:color="53565A" w:themeColor="accent5"/>
            </w:tcBorders>
          </w:tcPr>
          <w:p w14:paraId="42EFBB74" w14:textId="7740F2FA"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25/06/2021</w:t>
            </w:r>
          </w:p>
        </w:tc>
        <w:tc>
          <w:tcPr>
            <w:tcW w:w="1316" w:type="dxa"/>
            <w:tcBorders>
              <w:top w:val="single" w:sz="4" w:space="0" w:color="53565A" w:themeColor="accent5"/>
              <w:bottom w:val="single" w:sz="4" w:space="0" w:color="53565A" w:themeColor="accent5"/>
            </w:tcBorders>
          </w:tcPr>
          <w:p w14:paraId="01F7194D" w14:textId="1AFA48D8" w:rsidR="005F54A8" w:rsidRPr="008442BC"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31/12/2024</w:t>
            </w:r>
          </w:p>
        </w:tc>
        <w:tc>
          <w:tcPr>
            <w:tcW w:w="2057" w:type="dxa"/>
            <w:tcBorders>
              <w:top w:val="single" w:sz="4" w:space="0" w:color="53565A" w:themeColor="accent5"/>
              <w:bottom w:val="single" w:sz="4" w:space="0" w:color="53565A" w:themeColor="accent5"/>
            </w:tcBorders>
          </w:tcPr>
          <w:p w14:paraId="7F924F5F" w14:textId="5CD9FB61"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1,147,765</w:t>
            </w:r>
          </w:p>
        </w:tc>
        <w:tc>
          <w:tcPr>
            <w:tcW w:w="1490" w:type="dxa"/>
            <w:tcBorders>
              <w:top w:val="single" w:sz="4" w:space="0" w:color="53565A" w:themeColor="accent5"/>
              <w:bottom w:val="single" w:sz="4" w:space="0" w:color="53565A" w:themeColor="accent5"/>
            </w:tcBorders>
          </w:tcPr>
          <w:p w14:paraId="2AFBFCC1" w14:textId="1BCD7BF7" w:rsidR="005F54A8" w:rsidRPr="008442BC" w:rsidRDefault="00896B64"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c>
          <w:tcPr>
            <w:tcW w:w="1568" w:type="dxa"/>
            <w:gridSpan w:val="2"/>
            <w:tcBorders>
              <w:top w:val="single" w:sz="4" w:space="0" w:color="53565A" w:themeColor="accent5"/>
              <w:bottom w:val="single" w:sz="4" w:space="0" w:color="53565A" w:themeColor="accent5"/>
            </w:tcBorders>
            <w:shd w:val="clear" w:color="auto" w:fill="auto"/>
          </w:tcPr>
          <w:p w14:paraId="201C51A8" w14:textId="627DB6E5" w:rsidR="005F54A8" w:rsidRPr="008442BC"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1,147,765</w:t>
            </w:r>
          </w:p>
        </w:tc>
      </w:tr>
      <w:tr w:rsidR="005F54A8" w:rsidRPr="009423C3" w14:paraId="68BFA6F0"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248461E4" w14:textId="69AD2930"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KPMG AUSTRALIA</w:t>
            </w:r>
          </w:p>
        </w:tc>
        <w:tc>
          <w:tcPr>
            <w:tcW w:w="3613" w:type="dxa"/>
            <w:tcBorders>
              <w:top w:val="single" w:sz="4" w:space="0" w:color="53565A" w:themeColor="accent5"/>
              <w:bottom w:val="single" w:sz="4" w:space="0" w:color="53565A" w:themeColor="accent5"/>
            </w:tcBorders>
          </w:tcPr>
          <w:p w14:paraId="05AC34A2" w14:textId="6B864737"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 xml:space="preserve">Development of a strategic </w:t>
            </w:r>
            <w:r>
              <w:rPr>
                <w:rFonts w:ascii="Calibri" w:eastAsia="Times New Roman" w:hAnsi="Calibri" w:cs="Calibri"/>
                <w:color w:val="000000"/>
                <w:szCs w:val="20"/>
                <w:lang w:val="en-AU" w:eastAsia="en-AU"/>
              </w:rPr>
              <w:t>d</w:t>
            </w:r>
            <w:r w:rsidRPr="00EC1DC4">
              <w:rPr>
                <w:rFonts w:ascii="Calibri" w:eastAsia="Times New Roman" w:hAnsi="Calibri" w:cs="Calibri"/>
                <w:color w:val="000000"/>
                <w:szCs w:val="20"/>
                <w:lang w:val="en-AU" w:eastAsia="en-AU"/>
              </w:rPr>
              <w:t xml:space="preserve">igital </w:t>
            </w:r>
            <w:r>
              <w:rPr>
                <w:rFonts w:ascii="Calibri" w:eastAsia="Times New Roman" w:hAnsi="Calibri" w:cs="Calibri"/>
                <w:color w:val="000000"/>
                <w:szCs w:val="20"/>
                <w:lang w:val="en-AU" w:eastAsia="en-AU"/>
              </w:rPr>
              <w:t>r</w:t>
            </w:r>
            <w:r w:rsidRPr="00EC1DC4">
              <w:rPr>
                <w:rFonts w:ascii="Calibri" w:eastAsia="Times New Roman" w:hAnsi="Calibri" w:cs="Calibri"/>
                <w:color w:val="000000"/>
                <w:szCs w:val="20"/>
                <w:lang w:val="en-AU" w:eastAsia="en-AU"/>
              </w:rPr>
              <w:t xml:space="preserve">oadmap for </w:t>
            </w:r>
            <w:r>
              <w:rPr>
                <w:rFonts w:ascii="Calibri" w:eastAsia="Times New Roman" w:hAnsi="Calibri" w:cs="Calibri"/>
                <w:color w:val="000000"/>
                <w:szCs w:val="20"/>
                <w:lang w:val="en-AU" w:eastAsia="en-AU"/>
              </w:rPr>
              <w:t>s</w:t>
            </w:r>
            <w:r w:rsidRPr="00EC1DC4">
              <w:rPr>
                <w:rFonts w:ascii="Calibri" w:eastAsia="Times New Roman" w:hAnsi="Calibri" w:cs="Calibri"/>
                <w:color w:val="000000"/>
                <w:szCs w:val="20"/>
                <w:lang w:val="en-AU" w:eastAsia="en-AU"/>
              </w:rPr>
              <w:t>chools–</w:t>
            </w:r>
            <w:proofErr w:type="gramStart"/>
            <w:r w:rsidRPr="00EC1DC4">
              <w:rPr>
                <w:rFonts w:ascii="Calibri" w:eastAsia="Times New Roman" w:hAnsi="Calibri" w:cs="Calibri"/>
                <w:color w:val="000000"/>
                <w:szCs w:val="20"/>
                <w:lang w:val="en-AU" w:eastAsia="en-AU"/>
              </w:rPr>
              <w:t xml:space="preserve">10 </w:t>
            </w:r>
            <w:r>
              <w:rPr>
                <w:rFonts w:ascii="Calibri" w:eastAsia="Times New Roman" w:hAnsi="Calibri" w:cs="Calibri"/>
                <w:color w:val="000000"/>
                <w:szCs w:val="20"/>
                <w:lang w:val="en-AU" w:eastAsia="en-AU"/>
              </w:rPr>
              <w:t>y</w:t>
            </w:r>
            <w:r w:rsidRPr="00EC1DC4">
              <w:rPr>
                <w:rFonts w:ascii="Calibri" w:eastAsia="Times New Roman" w:hAnsi="Calibri" w:cs="Calibri"/>
                <w:color w:val="000000"/>
                <w:szCs w:val="20"/>
                <w:lang w:val="en-AU" w:eastAsia="en-AU"/>
              </w:rPr>
              <w:t>ear</w:t>
            </w:r>
            <w:proofErr w:type="gramEnd"/>
            <w:r w:rsidRPr="00EC1DC4">
              <w:rPr>
                <w:rFonts w:ascii="Calibri" w:eastAsia="Times New Roman" w:hAnsi="Calibri" w:cs="Calibri"/>
                <w:color w:val="000000"/>
                <w:szCs w:val="20"/>
                <w:lang w:val="en-AU" w:eastAsia="en-AU"/>
              </w:rPr>
              <w:t xml:space="preserve"> </w:t>
            </w:r>
            <w:r>
              <w:rPr>
                <w:rFonts w:ascii="Calibri" w:eastAsia="Times New Roman" w:hAnsi="Calibri" w:cs="Calibri"/>
                <w:color w:val="000000"/>
                <w:szCs w:val="20"/>
                <w:lang w:val="en-AU" w:eastAsia="en-AU"/>
              </w:rPr>
              <w:t>h</w:t>
            </w:r>
            <w:r w:rsidRPr="00EC1DC4">
              <w:rPr>
                <w:rFonts w:ascii="Calibri" w:eastAsia="Times New Roman" w:hAnsi="Calibri" w:cs="Calibri"/>
                <w:color w:val="000000"/>
                <w:szCs w:val="20"/>
                <w:lang w:val="en-AU" w:eastAsia="en-AU"/>
              </w:rPr>
              <w:t>orizon</w:t>
            </w:r>
          </w:p>
        </w:tc>
        <w:tc>
          <w:tcPr>
            <w:tcW w:w="1217" w:type="dxa"/>
            <w:tcBorders>
              <w:top w:val="single" w:sz="4" w:space="0" w:color="53565A" w:themeColor="accent5"/>
              <w:bottom w:val="single" w:sz="4" w:space="0" w:color="53565A" w:themeColor="accent5"/>
            </w:tcBorders>
          </w:tcPr>
          <w:p w14:paraId="3A6BE54C" w14:textId="1C6A3A22"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20/05/2021</w:t>
            </w:r>
          </w:p>
        </w:tc>
        <w:tc>
          <w:tcPr>
            <w:tcW w:w="1316" w:type="dxa"/>
            <w:tcBorders>
              <w:top w:val="single" w:sz="4" w:space="0" w:color="53565A" w:themeColor="accent5"/>
              <w:bottom w:val="single" w:sz="4" w:space="0" w:color="53565A" w:themeColor="accent5"/>
            </w:tcBorders>
          </w:tcPr>
          <w:p w14:paraId="58486229" w14:textId="18E4A9D6"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20/08/2021</w:t>
            </w:r>
          </w:p>
        </w:tc>
        <w:tc>
          <w:tcPr>
            <w:tcW w:w="2057" w:type="dxa"/>
            <w:tcBorders>
              <w:top w:val="single" w:sz="4" w:space="0" w:color="53565A" w:themeColor="accent5"/>
              <w:bottom w:val="single" w:sz="4" w:space="0" w:color="53565A" w:themeColor="accent5"/>
            </w:tcBorders>
          </w:tcPr>
          <w:p w14:paraId="6BEA98A8" w14:textId="11F02303" w:rsidR="005F54A8" w:rsidRPr="00EC1DC4"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393,616</w:t>
            </w:r>
          </w:p>
        </w:tc>
        <w:tc>
          <w:tcPr>
            <w:tcW w:w="1490" w:type="dxa"/>
            <w:tcBorders>
              <w:top w:val="single" w:sz="4" w:space="0" w:color="53565A" w:themeColor="accent5"/>
              <w:bottom w:val="single" w:sz="4" w:space="0" w:color="53565A" w:themeColor="accent5"/>
            </w:tcBorders>
          </w:tcPr>
          <w:p w14:paraId="21EF561A" w14:textId="2DCE4A42" w:rsidR="005F54A8" w:rsidRPr="00EC1DC4" w:rsidRDefault="00896B64"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c>
          <w:tcPr>
            <w:tcW w:w="1568" w:type="dxa"/>
            <w:gridSpan w:val="2"/>
            <w:tcBorders>
              <w:top w:val="single" w:sz="4" w:space="0" w:color="53565A" w:themeColor="accent5"/>
              <w:bottom w:val="single" w:sz="4" w:space="0" w:color="53565A" w:themeColor="accent5"/>
            </w:tcBorders>
            <w:shd w:val="clear" w:color="auto" w:fill="auto"/>
          </w:tcPr>
          <w:p w14:paraId="75C6DAAA" w14:textId="2563F3CE" w:rsidR="005F54A8" w:rsidRPr="00EC1DC4"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393,616</w:t>
            </w:r>
          </w:p>
        </w:tc>
      </w:tr>
      <w:tr w:rsidR="005F54A8" w:rsidRPr="009423C3" w14:paraId="39E9156C" w14:textId="77777777" w:rsidTr="00D34D92">
        <w:trPr>
          <w:cantSplit/>
          <w:trHeight w:val="473"/>
        </w:trPr>
        <w:tc>
          <w:tcPr>
            <w:tcW w:w="2957" w:type="dxa"/>
            <w:tcBorders>
              <w:top w:val="single" w:sz="4" w:space="0" w:color="53565A" w:themeColor="accent5"/>
              <w:bottom w:val="single" w:sz="4" w:space="0" w:color="53565A" w:themeColor="accent5"/>
            </w:tcBorders>
            <w:shd w:val="clear" w:color="auto" w:fill="auto"/>
          </w:tcPr>
          <w:p w14:paraId="1B7436B5" w14:textId="64AD6168"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DELOITTE ACCESS ECONOMICS</w:t>
            </w:r>
          </w:p>
        </w:tc>
        <w:tc>
          <w:tcPr>
            <w:tcW w:w="3613" w:type="dxa"/>
            <w:tcBorders>
              <w:top w:val="single" w:sz="4" w:space="0" w:color="53565A" w:themeColor="accent5"/>
              <w:bottom w:val="single" w:sz="4" w:space="0" w:color="53565A" w:themeColor="accent5"/>
            </w:tcBorders>
          </w:tcPr>
          <w:p w14:paraId="54637859" w14:textId="09DDACA3"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Re</w:t>
            </w:r>
            <w:r>
              <w:rPr>
                <w:rFonts w:ascii="Calibri" w:eastAsia="Times New Roman" w:hAnsi="Calibri" w:cs="Calibri"/>
                <w:color w:val="000000"/>
                <w:szCs w:val="20"/>
                <w:lang w:val="en-AU" w:eastAsia="en-AU"/>
              </w:rPr>
              <w:t>-</w:t>
            </w:r>
            <w:r w:rsidRPr="00EC1DC4">
              <w:rPr>
                <w:rFonts w:ascii="Calibri" w:eastAsia="Times New Roman" w:hAnsi="Calibri" w:cs="Calibri"/>
                <w:color w:val="000000"/>
                <w:szCs w:val="20"/>
                <w:lang w:val="en-AU" w:eastAsia="en-AU"/>
              </w:rPr>
              <w:t>conceptualis</w:t>
            </w:r>
            <w:r w:rsidR="001E4E5E">
              <w:rPr>
                <w:rFonts w:ascii="Calibri" w:eastAsia="Times New Roman" w:hAnsi="Calibri" w:cs="Calibri"/>
                <w:color w:val="000000"/>
                <w:szCs w:val="20"/>
                <w:lang w:val="en-AU" w:eastAsia="en-AU"/>
              </w:rPr>
              <w:t>e</w:t>
            </w:r>
            <w:r w:rsidR="0048231C">
              <w:rPr>
                <w:rFonts w:ascii="Calibri" w:eastAsia="Times New Roman" w:hAnsi="Calibri" w:cs="Calibri"/>
                <w:color w:val="000000"/>
                <w:szCs w:val="20"/>
                <w:lang w:val="en-AU" w:eastAsia="en-AU"/>
              </w:rPr>
              <w:t xml:space="preserve"> </w:t>
            </w:r>
            <w:r w:rsidRPr="00EC1DC4">
              <w:rPr>
                <w:rFonts w:ascii="Calibri" w:eastAsia="Times New Roman" w:hAnsi="Calibri" w:cs="Calibri"/>
                <w:color w:val="000000"/>
                <w:szCs w:val="20"/>
                <w:lang w:val="en-AU" w:eastAsia="en-AU"/>
              </w:rPr>
              <w:t xml:space="preserve">capacity support for the Framework for Improving Student Outcomes </w:t>
            </w:r>
          </w:p>
        </w:tc>
        <w:tc>
          <w:tcPr>
            <w:tcW w:w="1217" w:type="dxa"/>
            <w:tcBorders>
              <w:top w:val="single" w:sz="4" w:space="0" w:color="53565A" w:themeColor="accent5"/>
              <w:bottom w:val="single" w:sz="4" w:space="0" w:color="53565A" w:themeColor="accent5"/>
            </w:tcBorders>
          </w:tcPr>
          <w:p w14:paraId="070CC9D3" w14:textId="78E89861"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7/06/2021</w:t>
            </w:r>
          </w:p>
        </w:tc>
        <w:tc>
          <w:tcPr>
            <w:tcW w:w="1316" w:type="dxa"/>
            <w:tcBorders>
              <w:top w:val="single" w:sz="4" w:space="0" w:color="53565A" w:themeColor="accent5"/>
              <w:bottom w:val="single" w:sz="4" w:space="0" w:color="53565A" w:themeColor="accent5"/>
            </w:tcBorders>
          </w:tcPr>
          <w:p w14:paraId="10A74ED0" w14:textId="19A7D9A9" w:rsidR="005F54A8" w:rsidRPr="00EC1DC4" w:rsidRDefault="005F54A8" w:rsidP="005F54A8">
            <w:pPr>
              <w:pStyle w:val="ESTablebody"/>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30/09/2021</w:t>
            </w:r>
          </w:p>
        </w:tc>
        <w:tc>
          <w:tcPr>
            <w:tcW w:w="2057" w:type="dxa"/>
            <w:tcBorders>
              <w:top w:val="single" w:sz="4" w:space="0" w:color="53565A" w:themeColor="accent5"/>
              <w:bottom w:val="single" w:sz="4" w:space="0" w:color="53565A" w:themeColor="accent5"/>
            </w:tcBorders>
          </w:tcPr>
          <w:p w14:paraId="7D874D03" w14:textId="1816BB30" w:rsidR="005F54A8" w:rsidRPr="00EC1DC4"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151,875</w:t>
            </w:r>
          </w:p>
        </w:tc>
        <w:tc>
          <w:tcPr>
            <w:tcW w:w="1490" w:type="dxa"/>
            <w:tcBorders>
              <w:top w:val="single" w:sz="4" w:space="0" w:color="53565A" w:themeColor="accent5"/>
              <w:bottom w:val="single" w:sz="4" w:space="0" w:color="53565A" w:themeColor="accent5"/>
            </w:tcBorders>
          </w:tcPr>
          <w:p w14:paraId="4AA268EC" w14:textId="4B564F43" w:rsidR="005F54A8" w:rsidRPr="00EC1DC4" w:rsidRDefault="00896B64" w:rsidP="005F54A8">
            <w:pPr>
              <w:pStyle w:val="ESTablebody"/>
              <w:jc w:val="right"/>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w:t>
            </w:r>
          </w:p>
        </w:tc>
        <w:tc>
          <w:tcPr>
            <w:tcW w:w="1568" w:type="dxa"/>
            <w:gridSpan w:val="2"/>
            <w:tcBorders>
              <w:top w:val="single" w:sz="4" w:space="0" w:color="53565A" w:themeColor="accent5"/>
              <w:bottom w:val="single" w:sz="4" w:space="0" w:color="53565A" w:themeColor="accent5"/>
            </w:tcBorders>
            <w:shd w:val="clear" w:color="auto" w:fill="auto"/>
          </w:tcPr>
          <w:p w14:paraId="539FF0E3" w14:textId="63AE485E" w:rsidR="005F54A8" w:rsidRPr="00EC1DC4" w:rsidRDefault="005F54A8" w:rsidP="005F54A8">
            <w:pPr>
              <w:pStyle w:val="ESTablebody"/>
              <w:jc w:val="right"/>
              <w:rPr>
                <w:rFonts w:ascii="Calibri" w:eastAsia="Times New Roman" w:hAnsi="Calibri" w:cs="Calibri"/>
                <w:color w:val="000000"/>
                <w:szCs w:val="20"/>
                <w:lang w:val="en-AU" w:eastAsia="en-AU"/>
              </w:rPr>
            </w:pPr>
            <w:r w:rsidRPr="00EC1DC4">
              <w:rPr>
                <w:rFonts w:ascii="Calibri" w:eastAsia="Times New Roman" w:hAnsi="Calibri" w:cs="Calibri"/>
                <w:color w:val="000000"/>
                <w:szCs w:val="20"/>
                <w:lang w:val="en-AU" w:eastAsia="en-AU"/>
              </w:rPr>
              <w:t>151,875</w:t>
            </w:r>
          </w:p>
        </w:tc>
      </w:tr>
    </w:tbl>
    <w:p w14:paraId="3DE7ABB9" w14:textId="77777777" w:rsidR="00D34D92" w:rsidRPr="00925213" w:rsidRDefault="00D34D92" w:rsidP="00D34D92">
      <w:pPr>
        <w:pStyle w:val="ESTableintroheading"/>
        <w:rPr>
          <w:rFonts w:ascii="Calibri" w:hAnsi="Calibri" w:cs="Calibri"/>
        </w:rPr>
      </w:pPr>
    </w:p>
    <w:p w14:paraId="4F18DE5B" w14:textId="77777777" w:rsidR="000A737C" w:rsidRPr="00925213" w:rsidRDefault="000A737C" w:rsidP="000A737C">
      <w:pPr>
        <w:pStyle w:val="ESTableintroheading"/>
        <w:rPr>
          <w:rFonts w:ascii="Calibri" w:hAnsi="Calibri" w:cs="Calibri"/>
        </w:rPr>
        <w:sectPr w:rsidR="000A737C" w:rsidRPr="00925213" w:rsidSect="00F02ECF">
          <w:pgSz w:w="16840" w:h="11900" w:orient="landscape"/>
          <w:pgMar w:top="1418" w:right="1440" w:bottom="1134" w:left="1440" w:header="708" w:footer="708" w:gutter="0"/>
          <w:cols w:space="708"/>
          <w:docGrid w:linePitch="360"/>
        </w:sectPr>
      </w:pPr>
    </w:p>
    <w:p w14:paraId="62CA4A81" w14:textId="0281F822" w:rsidR="00D34D92" w:rsidRPr="00925213" w:rsidRDefault="00D34D92" w:rsidP="000A737C">
      <w:pPr>
        <w:pStyle w:val="ESTableintroheading"/>
        <w:rPr>
          <w:rFonts w:ascii="Calibri" w:hAnsi="Calibri" w:cs="Calibri"/>
        </w:rPr>
      </w:pPr>
      <w:r w:rsidRPr="00925213">
        <w:rPr>
          <w:rFonts w:ascii="Calibri" w:hAnsi="Calibri" w:cs="Calibri"/>
        </w:rPr>
        <w:lastRenderedPageBreak/>
        <w:t>Contractor expenditure</w:t>
      </w:r>
    </w:p>
    <w:tbl>
      <w:tblPr>
        <w:tblStyle w:val="TableGrid"/>
        <w:tblW w:w="4999"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Description w:val="Columns: Contractors engaged , Services provided, Expenditure ($ excluding GST)"/>
      </w:tblPr>
      <w:tblGrid>
        <w:gridCol w:w="3023"/>
        <w:gridCol w:w="4896"/>
        <w:gridCol w:w="1417"/>
      </w:tblGrid>
      <w:tr w:rsidR="00D34D92" w:rsidRPr="009423C3" w14:paraId="79E6B1A3" w14:textId="77777777" w:rsidTr="005976C1">
        <w:trPr>
          <w:cantSplit/>
          <w:trHeight w:val="183"/>
          <w:tblHeader/>
        </w:trPr>
        <w:tc>
          <w:tcPr>
            <w:tcW w:w="3023" w:type="dxa"/>
            <w:tcBorders>
              <w:bottom w:val="single" w:sz="4" w:space="0" w:color="FFFFFF" w:themeColor="background1"/>
            </w:tcBorders>
            <w:shd w:val="clear" w:color="auto" w:fill="AF272F"/>
          </w:tcPr>
          <w:p w14:paraId="05992F34" w14:textId="02BBB938"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Contractor</w:t>
            </w:r>
            <w:r w:rsidRPr="00925213">
              <w:rPr>
                <w:rStyle w:val="FootnoteReference"/>
                <w:rFonts w:ascii="Calibri" w:hAnsi="Calibri" w:cs="Calibri"/>
                <w:sz w:val="20"/>
                <w:szCs w:val="20"/>
              </w:rPr>
              <w:footnoteReference w:id="3"/>
            </w:r>
          </w:p>
        </w:tc>
        <w:tc>
          <w:tcPr>
            <w:tcW w:w="4896" w:type="dxa"/>
            <w:tcBorders>
              <w:bottom w:val="single" w:sz="4" w:space="0" w:color="FFFFFF" w:themeColor="background1"/>
            </w:tcBorders>
            <w:shd w:val="clear" w:color="auto" w:fill="AF272F" w:themeFill="accent4"/>
          </w:tcPr>
          <w:p w14:paraId="60B4866D" w14:textId="77777777"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Category of services provided</w:t>
            </w:r>
          </w:p>
        </w:tc>
        <w:tc>
          <w:tcPr>
            <w:tcW w:w="1417" w:type="dxa"/>
            <w:tcBorders>
              <w:bottom w:val="single" w:sz="4" w:space="0" w:color="FFFFFF" w:themeColor="background1"/>
            </w:tcBorders>
            <w:shd w:val="clear" w:color="auto" w:fill="AF272F" w:themeFill="accent4"/>
          </w:tcPr>
          <w:p w14:paraId="0895E7B5" w14:textId="77777777" w:rsidR="00D34D92" w:rsidRPr="00925213" w:rsidRDefault="00D34D92" w:rsidP="00D34D92">
            <w:pPr>
              <w:pStyle w:val="ESTableheadingwhite"/>
              <w:rPr>
                <w:rFonts w:ascii="Calibri" w:hAnsi="Calibri" w:cs="Calibri"/>
                <w:sz w:val="20"/>
                <w:szCs w:val="20"/>
              </w:rPr>
            </w:pPr>
            <w:r w:rsidRPr="00925213">
              <w:rPr>
                <w:rFonts w:ascii="Calibri" w:hAnsi="Calibri" w:cs="Calibri"/>
                <w:sz w:val="20"/>
                <w:szCs w:val="20"/>
              </w:rPr>
              <w:t>Expenditure ($ excluding GST)</w:t>
            </w:r>
          </w:p>
        </w:tc>
      </w:tr>
      <w:tr w:rsidR="00D34D92" w:rsidRPr="009423C3" w14:paraId="6C1ED7A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39C4D6" w14:textId="77777777" w:rsidR="00D34D92" w:rsidRPr="00925213" w:rsidRDefault="00D34D92" w:rsidP="00D34D92">
            <w:pPr>
              <w:pStyle w:val="ESTablebody"/>
              <w:rPr>
                <w:rFonts w:ascii="Calibri" w:hAnsi="Calibri" w:cs="Calibri"/>
                <w:szCs w:val="20"/>
              </w:rPr>
            </w:pPr>
            <w:r w:rsidRPr="008457E1">
              <w:rPr>
                <w:rFonts w:ascii="Calibri" w:eastAsia="Times New Roman" w:hAnsi="Calibri" w:cs="Calibri"/>
                <w:color w:val="000000"/>
                <w:szCs w:val="20"/>
                <w:lang w:val="en-AU" w:eastAsia="en-AU"/>
              </w:rPr>
              <w:t>139PRIME PTY LTD</w:t>
            </w:r>
          </w:p>
        </w:tc>
        <w:tc>
          <w:tcPr>
            <w:tcW w:w="4896" w:type="dxa"/>
            <w:tcBorders>
              <w:top w:val="single" w:sz="4" w:space="0" w:color="FFFFFF" w:themeColor="background1"/>
              <w:bottom w:val="single" w:sz="4" w:space="0" w:color="53565A" w:themeColor="accent5"/>
            </w:tcBorders>
          </w:tcPr>
          <w:p w14:paraId="1D40FAB8" w14:textId="419100E6" w:rsidR="00D34D92" w:rsidRPr="00925213" w:rsidRDefault="008D03EA" w:rsidP="00D34D92">
            <w:pPr>
              <w:pStyle w:val="ESTablebody"/>
              <w:rPr>
                <w:rFonts w:ascii="Calibri" w:hAnsi="Calibri" w:cs="Calibri"/>
                <w:szCs w:val="20"/>
                <w:lang w:val="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DF286D" w14:textId="458C9398" w:rsidR="00D34D92" w:rsidRPr="00925213" w:rsidRDefault="00D34D92" w:rsidP="00D34D92">
            <w:pPr>
              <w:pStyle w:val="ESTablebody"/>
              <w:jc w:val="right"/>
              <w:rPr>
                <w:rFonts w:ascii="Calibri" w:hAnsi="Calibri" w:cs="Calibri"/>
                <w:szCs w:val="20"/>
              </w:rPr>
            </w:pPr>
            <w:r w:rsidRPr="00925213">
              <w:rPr>
                <w:rFonts w:ascii="Calibri" w:hAnsi="Calibri" w:cs="Calibri"/>
                <w:color w:val="000000"/>
                <w:szCs w:val="20"/>
              </w:rPr>
              <w:t>5,460</w:t>
            </w:r>
          </w:p>
        </w:tc>
      </w:tr>
      <w:tr w:rsidR="00D34D92" w:rsidRPr="009423C3" w14:paraId="0962C1A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441DBF" w14:textId="77777777" w:rsidR="00D34D92" w:rsidRPr="00925213" w:rsidRDefault="00D34D92" w:rsidP="00D34D92">
            <w:pPr>
              <w:pStyle w:val="ESTablebody"/>
              <w:rPr>
                <w:rFonts w:ascii="Calibri" w:hAnsi="Calibri" w:cs="Calibri"/>
                <w:szCs w:val="20"/>
              </w:rPr>
            </w:pPr>
            <w:r w:rsidRPr="008457E1">
              <w:rPr>
                <w:rFonts w:ascii="Calibri" w:eastAsia="Times New Roman" w:hAnsi="Calibri" w:cs="Calibri"/>
                <w:color w:val="000000"/>
                <w:szCs w:val="20"/>
                <w:lang w:val="en-AU" w:eastAsia="en-AU"/>
              </w:rPr>
              <w:t>89 DEGREES EAST PTY LTD</w:t>
            </w:r>
          </w:p>
        </w:tc>
        <w:tc>
          <w:tcPr>
            <w:tcW w:w="4896" w:type="dxa"/>
            <w:tcBorders>
              <w:top w:val="single" w:sz="4" w:space="0" w:color="FFFFFF" w:themeColor="background1"/>
              <w:bottom w:val="single" w:sz="4" w:space="0" w:color="53565A" w:themeColor="accent5"/>
            </w:tcBorders>
          </w:tcPr>
          <w:p w14:paraId="2E3620CC" w14:textId="0B30CA17" w:rsidR="00D34D92" w:rsidRPr="00925213" w:rsidRDefault="008D03EA" w:rsidP="00D34D92">
            <w:pPr>
              <w:pStyle w:val="ESTablebody"/>
              <w:rPr>
                <w:rFonts w:ascii="Calibri" w:hAnsi="Calibri" w:cs="Calibri"/>
                <w:szCs w:val="20"/>
                <w:lang w:val="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D95080D" w14:textId="546ABAFD" w:rsidR="00D34D92" w:rsidRPr="00925213" w:rsidRDefault="00D34D92" w:rsidP="00D34D92">
            <w:pPr>
              <w:pStyle w:val="ESTablebody"/>
              <w:jc w:val="right"/>
              <w:rPr>
                <w:rFonts w:ascii="Calibri" w:hAnsi="Calibri" w:cs="Calibri"/>
                <w:szCs w:val="20"/>
              </w:rPr>
            </w:pPr>
            <w:r w:rsidRPr="00925213">
              <w:rPr>
                <w:rFonts w:ascii="Calibri" w:hAnsi="Calibri" w:cs="Calibri"/>
                <w:color w:val="000000"/>
                <w:szCs w:val="20"/>
              </w:rPr>
              <w:t>5,820</w:t>
            </w:r>
          </w:p>
        </w:tc>
      </w:tr>
      <w:tr w:rsidR="00D34D92" w:rsidRPr="009423C3" w14:paraId="691B825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ACD381" w14:textId="77777777" w:rsidR="00D34D92" w:rsidRPr="00925213" w:rsidRDefault="00D34D92" w:rsidP="00D34D92">
            <w:pPr>
              <w:pStyle w:val="ESTablebody"/>
              <w:rPr>
                <w:rFonts w:ascii="Calibri" w:hAnsi="Calibri" w:cs="Calibri"/>
                <w:szCs w:val="20"/>
              </w:rPr>
            </w:pPr>
            <w:r w:rsidRPr="008457E1">
              <w:rPr>
                <w:rFonts w:ascii="Calibri" w:eastAsia="Times New Roman" w:hAnsi="Calibri" w:cs="Calibri"/>
                <w:color w:val="000000"/>
                <w:szCs w:val="20"/>
                <w:lang w:val="en-AU" w:eastAsia="en-AU"/>
              </w:rPr>
              <w:t>ABLESIDE PTY LTD</w:t>
            </w:r>
          </w:p>
        </w:tc>
        <w:tc>
          <w:tcPr>
            <w:tcW w:w="4896" w:type="dxa"/>
            <w:tcBorders>
              <w:top w:val="single" w:sz="4" w:space="0" w:color="FFFFFF" w:themeColor="background1"/>
              <w:bottom w:val="single" w:sz="4" w:space="0" w:color="53565A" w:themeColor="accent5"/>
            </w:tcBorders>
          </w:tcPr>
          <w:p w14:paraId="7D3AC48A" w14:textId="79D5C9AA" w:rsidR="00D34D92" w:rsidRPr="00925213" w:rsidRDefault="00E642CB" w:rsidP="00D34D92">
            <w:pPr>
              <w:pStyle w:val="ESTablebody"/>
              <w:rPr>
                <w:rFonts w:ascii="Calibri" w:hAnsi="Calibri" w:cs="Calibri"/>
                <w:szCs w:val="20"/>
                <w:lang w:val="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292E9AD" w14:textId="5E6E1B23" w:rsidR="00D34D92" w:rsidRPr="00925213" w:rsidRDefault="00D34D92" w:rsidP="00D34D92">
            <w:pPr>
              <w:pStyle w:val="ESTablebody"/>
              <w:jc w:val="right"/>
              <w:rPr>
                <w:rFonts w:ascii="Calibri" w:hAnsi="Calibri" w:cs="Calibri"/>
                <w:szCs w:val="20"/>
              </w:rPr>
            </w:pPr>
            <w:r w:rsidRPr="00925213">
              <w:rPr>
                <w:rFonts w:ascii="Calibri" w:hAnsi="Calibri" w:cs="Calibri"/>
                <w:color w:val="000000"/>
                <w:szCs w:val="20"/>
              </w:rPr>
              <w:t>15,</w:t>
            </w:r>
            <w:r w:rsidR="005976C1" w:rsidRPr="00925213">
              <w:rPr>
                <w:rFonts w:ascii="Calibri" w:hAnsi="Calibri" w:cs="Calibri"/>
                <w:color w:val="000000"/>
                <w:szCs w:val="20"/>
              </w:rPr>
              <w:t>432</w:t>
            </w:r>
          </w:p>
        </w:tc>
      </w:tr>
      <w:tr w:rsidR="00D34D92" w:rsidRPr="009423C3" w14:paraId="17C91AF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63298D" w14:textId="77777777" w:rsidR="00D34D92" w:rsidRPr="00925213" w:rsidRDefault="00D34D92" w:rsidP="00D34D92">
            <w:pPr>
              <w:pStyle w:val="ESTablebody"/>
              <w:rPr>
                <w:rFonts w:ascii="Calibri" w:eastAsia="Times New Roman" w:hAnsi="Calibri" w:cs="Calibri"/>
                <w:szCs w:val="20"/>
                <w:lang w:eastAsia="en-AU"/>
              </w:rPr>
            </w:pPr>
            <w:r w:rsidRPr="008457E1">
              <w:rPr>
                <w:rFonts w:ascii="Calibri" w:eastAsia="Times New Roman" w:hAnsi="Calibri" w:cs="Calibri"/>
                <w:color w:val="000000"/>
                <w:szCs w:val="20"/>
                <w:lang w:val="en-AU" w:eastAsia="en-AU"/>
              </w:rPr>
              <w:t>ABORIGINAL AND TORRES STRAIT ISLANDER MATHEMATICS ALLIANCE LIMITED</w:t>
            </w:r>
          </w:p>
        </w:tc>
        <w:tc>
          <w:tcPr>
            <w:tcW w:w="4896" w:type="dxa"/>
            <w:tcBorders>
              <w:top w:val="single" w:sz="4" w:space="0" w:color="FFFFFF" w:themeColor="background1"/>
              <w:bottom w:val="single" w:sz="4" w:space="0" w:color="53565A" w:themeColor="accent5"/>
            </w:tcBorders>
          </w:tcPr>
          <w:p w14:paraId="7A3DF50A" w14:textId="5D8FB9BC" w:rsidR="00D34D92" w:rsidRPr="00925213" w:rsidRDefault="00E642CB" w:rsidP="00D34D92">
            <w:pPr>
              <w:pStyle w:val="ESTablebody"/>
              <w:rPr>
                <w:rFonts w:ascii="Calibri" w:eastAsia="Times New Roman" w:hAnsi="Calibri" w:cs="Calibri"/>
                <w:szCs w:val="20"/>
                <w:lang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35EE7346" w14:textId="350E5418" w:rsidR="00D34D92" w:rsidRPr="00925213" w:rsidRDefault="00D34D92" w:rsidP="00D34D92">
            <w:pPr>
              <w:pStyle w:val="ESTablebody"/>
              <w:jc w:val="right"/>
              <w:rPr>
                <w:rFonts w:ascii="Calibri" w:eastAsia="Times New Roman" w:hAnsi="Calibri" w:cs="Calibri"/>
                <w:szCs w:val="20"/>
                <w:lang w:eastAsia="en-AU"/>
              </w:rPr>
            </w:pPr>
            <w:r w:rsidRPr="00925213">
              <w:rPr>
                <w:rFonts w:ascii="Calibri" w:hAnsi="Calibri" w:cs="Calibri"/>
                <w:color w:val="000000"/>
                <w:szCs w:val="20"/>
              </w:rPr>
              <w:t>2,102</w:t>
            </w:r>
          </w:p>
        </w:tc>
      </w:tr>
      <w:tr w:rsidR="00D34D92" w:rsidRPr="009423C3" w14:paraId="362EC3CC" w14:textId="77777777" w:rsidTr="005976C1">
        <w:trPr>
          <w:cantSplit/>
          <w:trHeight w:val="353"/>
        </w:trPr>
        <w:tc>
          <w:tcPr>
            <w:tcW w:w="3023" w:type="dxa"/>
            <w:tcBorders>
              <w:top w:val="single" w:sz="4" w:space="0" w:color="53565A" w:themeColor="accent5"/>
              <w:bottom w:val="single" w:sz="4" w:space="0" w:color="auto"/>
            </w:tcBorders>
            <w:shd w:val="clear" w:color="auto" w:fill="auto"/>
          </w:tcPr>
          <w:p w14:paraId="191C946E" w14:textId="77777777" w:rsidR="00D34D92" w:rsidRPr="00925213" w:rsidRDefault="00D34D92" w:rsidP="00D34D92">
            <w:pPr>
              <w:pStyle w:val="ESTablebody"/>
              <w:rPr>
                <w:rFonts w:ascii="Calibri" w:eastAsia="Times New Roman" w:hAnsi="Calibri" w:cs="Calibri"/>
                <w:szCs w:val="20"/>
                <w:lang w:eastAsia="en-AU"/>
              </w:rPr>
            </w:pPr>
            <w:r w:rsidRPr="008457E1">
              <w:rPr>
                <w:rFonts w:ascii="Calibri" w:eastAsia="Times New Roman" w:hAnsi="Calibri" w:cs="Calibri"/>
                <w:color w:val="000000"/>
                <w:szCs w:val="20"/>
                <w:lang w:val="en-AU" w:eastAsia="en-AU"/>
              </w:rPr>
              <w:t>ABOVE THE BARRE TUTUS</w:t>
            </w:r>
          </w:p>
        </w:tc>
        <w:tc>
          <w:tcPr>
            <w:tcW w:w="4896" w:type="dxa"/>
            <w:tcBorders>
              <w:top w:val="single" w:sz="4" w:space="0" w:color="53565A" w:themeColor="accent5"/>
              <w:bottom w:val="single" w:sz="4" w:space="0" w:color="auto"/>
            </w:tcBorders>
          </w:tcPr>
          <w:p w14:paraId="78770EDB" w14:textId="57FEDED0" w:rsidR="00D34D92" w:rsidRPr="00925213" w:rsidRDefault="008D03EA" w:rsidP="00D34D92">
            <w:pPr>
              <w:pStyle w:val="ESTablebody"/>
              <w:rPr>
                <w:rFonts w:ascii="Calibri" w:eastAsia="Times New Roman" w:hAnsi="Calibri" w:cs="Calibri"/>
                <w:szCs w:val="20"/>
                <w:lang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53565A" w:themeColor="accent5"/>
              <w:bottom w:val="single" w:sz="4" w:space="0" w:color="auto"/>
            </w:tcBorders>
            <w:shd w:val="clear" w:color="auto" w:fill="auto"/>
            <w:vAlign w:val="center"/>
          </w:tcPr>
          <w:p w14:paraId="0A81F208" w14:textId="46C4DAB8" w:rsidR="00D34D92" w:rsidRPr="00925213" w:rsidRDefault="00D34D92" w:rsidP="00D34D92">
            <w:pPr>
              <w:pStyle w:val="ESTablebody"/>
              <w:jc w:val="right"/>
              <w:rPr>
                <w:rFonts w:ascii="Calibri" w:eastAsia="Times New Roman" w:hAnsi="Calibri" w:cs="Calibri"/>
                <w:szCs w:val="20"/>
                <w:lang w:eastAsia="en-AU"/>
              </w:rPr>
            </w:pPr>
            <w:r w:rsidRPr="00925213">
              <w:rPr>
                <w:rFonts w:ascii="Calibri" w:hAnsi="Calibri" w:cs="Calibri"/>
                <w:color w:val="000000"/>
                <w:szCs w:val="20"/>
              </w:rPr>
              <w:t>16,</w:t>
            </w:r>
            <w:r w:rsidR="005976C1" w:rsidRPr="00925213">
              <w:rPr>
                <w:rFonts w:ascii="Calibri" w:hAnsi="Calibri" w:cs="Calibri"/>
                <w:color w:val="000000"/>
                <w:szCs w:val="20"/>
              </w:rPr>
              <w:t>847</w:t>
            </w:r>
          </w:p>
        </w:tc>
      </w:tr>
      <w:tr w:rsidR="00D34D92" w:rsidRPr="009423C3" w14:paraId="461686B7" w14:textId="77777777" w:rsidTr="005976C1">
        <w:trPr>
          <w:cantSplit/>
          <w:trHeight w:val="353"/>
        </w:trPr>
        <w:tc>
          <w:tcPr>
            <w:tcW w:w="3023" w:type="dxa"/>
            <w:tcBorders>
              <w:top w:val="single" w:sz="4" w:space="0" w:color="auto"/>
              <w:bottom w:val="single" w:sz="4" w:space="0" w:color="auto"/>
            </w:tcBorders>
            <w:shd w:val="clear" w:color="auto" w:fill="auto"/>
          </w:tcPr>
          <w:p w14:paraId="3B1A270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ACCENTURE AUSTRALIA LTD</w:t>
            </w:r>
          </w:p>
        </w:tc>
        <w:tc>
          <w:tcPr>
            <w:tcW w:w="4896" w:type="dxa"/>
            <w:tcBorders>
              <w:top w:val="single" w:sz="4" w:space="0" w:color="auto"/>
              <w:bottom w:val="single" w:sz="4" w:space="0" w:color="auto"/>
            </w:tcBorders>
          </w:tcPr>
          <w:p w14:paraId="7557062F" w14:textId="2973FD6B" w:rsidR="00D34D92" w:rsidRPr="00DA70B7"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auto"/>
              <w:bottom w:val="single" w:sz="4" w:space="0" w:color="auto"/>
            </w:tcBorders>
            <w:shd w:val="clear" w:color="auto" w:fill="auto"/>
            <w:vAlign w:val="center"/>
          </w:tcPr>
          <w:p w14:paraId="26953B74" w14:textId="05485DC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3,170,654</w:t>
            </w:r>
          </w:p>
        </w:tc>
      </w:tr>
      <w:tr w:rsidR="00D34D92" w:rsidRPr="009423C3" w14:paraId="5469B405" w14:textId="77777777" w:rsidTr="005976C1">
        <w:trPr>
          <w:cantSplit/>
          <w:trHeight w:val="353"/>
        </w:trPr>
        <w:tc>
          <w:tcPr>
            <w:tcW w:w="3023" w:type="dxa"/>
            <w:tcBorders>
              <w:top w:val="single" w:sz="4" w:space="0" w:color="auto"/>
              <w:bottom w:val="single" w:sz="4" w:space="0" w:color="53565A" w:themeColor="accent5"/>
            </w:tcBorders>
            <w:shd w:val="clear" w:color="auto" w:fill="auto"/>
          </w:tcPr>
          <w:p w14:paraId="693AEF7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ACCESS INNOVATION MEDIA PTY LIMITED</w:t>
            </w:r>
          </w:p>
        </w:tc>
        <w:tc>
          <w:tcPr>
            <w:tcW w:w="4896" w:type="dxa"/>
            <w:tcBorders>
              <w:top w:val="single" w:sz="4" w:space="0" w:color="auto"/>
              <w:bottom w:val="single" w:sz="4" w:space="0" w:color="53565A" w:themeColor="accent5"/>
            </w:tcBorders>
          </w:tcPr>
          <w:p w14:paraId="1500E7DF" w14:textId="4CB632B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auto"/>
              <w:bottom w:val="single" w:sz="4" w:space="0" w:color="53565A" w:themeColor="accent5"/>
            </w:tcBorders>
            <w:shd w:val="clear" w:color="auto" w:fill="auto"/>
            <w:vAlign w:val="center"/>
          </w:tcPr>
          <w:p w14:paraId="5ECC085D" w14:textId="3F1F69E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9,802</w:t>
            </w:r>
          </w:p>
        </w:tc>
      </w:tr>
      <w:tr w:rsidR="00D34D92" w:rsidRPr="009423C3" w14:paraId="69337E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2C14A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ACCESS TESTING PTY LTD</w:t>
            </w:r>
          </w:p>
        </w:tc>
        <w:tc>
          <w:tcPr>
            <w:tcW w:w="4896" w:type="dxa"/>
            <w:tcBorders>
              <w:top w:val="single" w:sz="4" w:space="0" w:color="FFFFFF" w:themeColor="background1"/>
              <w:bottom w:val="single" w:sz="4" w:space="0" w:color="53565A" w:themeColor="accent5"/>
            </w:tcBorders>
          </w:tcPr>
          <w:p w14:paraId="14216001" w14:textId="7A7321A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F6CBA49" w14:textId="7721D2B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420,</w:t>
            </w:r>
            <w:r w:rsidR="005976C1" w:rsidRPr="00925213">
              <w:rPr>
                <w:rFonts w:ascii="Calibri" w:hAnsi="Calibri" w:cs="Calibri"/>
                <w:color w:val="000000"/>
                <w:szCs w:val="20"/>
              </w:rPr>
              <w:t>577</w:t>
            </w:r>
          </w:p>
        </w:tc>
      </w:tr>
      <w:tr w:rsidR="00D34D92" w:rsidRPr="009423C3" w14:paraId="270B364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75AD0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ACCESSIBLE ACTION</w:t>
            </w:r>
          </w:p>
        </w:tc>
        <w:tc>
          <w:tcPr>
            <w:tcW w:w="4896" w:type="dxa"/>
            <w:tcBorders>
              <w:top w:val="single" w:sz="4" w:space="0" w:color="FFFFFF" w:themeColor="background1"/>
              <w:bottom w:val="single" w:sz="4" w:space="0" w:color="53565A" w:themeColor="accent5"/>
            </w:tcBorders>
          </w:tcPr>
          <w:p w14:paraId="787BB603" w14:textId="68C82A7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D029497" w14:textId="29E05907"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4,091</w:t>
            </w:r>
          </w:p>
        </w:tc>
      </w:tr>
      <w:tr w:rsidR="00D34D92" w:rsidRPr="009423C3" w14:paraId="7FA0C28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2F12D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ACIL ALLEN CONSULTING PTY LTD</w:t>
            </w:r>
          </w:p>
        </w:tc>
        <w:tc>
          <w:tcPr>
            <w:tcW w:w="4896" w:type="dxa"/>
            <w:tcBorders>
              <w:top w:val="single" w:sz="4" w:space="0" w:color="FFFFFF" w:themeColor="background1"/>
              <w:bottom w:val="single" w:sz="4" w:space="0" w:color="53565A" w:themeColor="accent5"/>
            </w:tcBorders>
          </w:tcPr>
          <w:p w14:paraId="4CF1DCE0" w14:textId="0648F5E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5B36E70" w14:textId="670D687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1,521,</w:t>
            </w:r>
            <w:r w:rsidR="005976C1" w:rsidRPr="00925213">
              <w:rPr>
                <w:rFonts w:ascii="Calibri" w:hAnsi="Calibri" w:cs="Calibri"/>
                <w:color w:val="000000"/>
                <w:szCs w:val="20"/>
              </w:rPr>
              <w:t>693</w:t>
            </w:r>
          </w:p>
        </w:tc>
      </w:tr>
      <w:tr w:rsidR="00D34D92" w:rsidRPr="009423C3" w14:paraId="60ED85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54DC2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ACTIV8 TECHNOLOGIES PTY LTD</w:t>
            </w:r>
          </w:p>
        </w:tc>
        <w:tc>
          <w:tcPr>
            <w:tcW w:w="4896" w:type="dxa"/>
            <w:tcBorders>
              <w:top w:val="single" w:sz="4" w:space="0" w:color="FFFFFF" w:themeColor="background1"/>
              <w:bottom w:val="single" w:sz="4" w:space="0" w:color="53565A" w:themeColor="accent5"/>
            </w:tcBorders>
          </w:tcPr>
          <w:p w14:paraId="338F069C" w14:textId="2A21CF6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0FD4FDD" w14:textId="5F6E5E9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178,</w:t>
            </w:r>
            <w:r w:rsidR="005976C1" w:rsidRPr="00925213">
              <w:rPr>
                <w:rFonts w:ascii="Calibri" w:hAnsi="Calibri" w:cs="Calibri"/>
                <w:color w:val="000000"/>
                <w:szCs w:val="20"/>
              </w:rPr>
              <w:t>252</w:t>
            </w:r>
          </w:p>
        </w:tc>
      </w:tr>
      <w:tr w:rsidR="00D34D92" w:rsidRPr="009423C3" w14:paraId="7153EE0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333CB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ADECCO AUSTRALIA PTY LTD</w:t>
            </w:r>
          </w:p>
        </w:tc>
        <w:tc>
          <w:tcPr>
            <w:tcW w:w="4896" w:type="dxa"/>
            <w:tcBorders>
              <w:top w:val="single" w:sz="4" w:space="0" w:color="FFFFFF" w:themeColor="background1"/>
              <w:bottom w:val="single" w:sz="4" w:space="0" w:color="53565A" w:themeColor="accent5"/>
            </w:tcBorders>
          </w:tcPr>
          <w:p w14:paraId="2FAC8B73" w14:textId="42376017"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096E8E40" w14:textId="508C073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1,948,</w:t>
            </w:r>
            <w:r w:rsidR="005976C1" w:rsidRPr="00925213">
              <w:rPr>
                <w:rFonts w:ascii="Calibri" w:hAnsi="Calibri" w:cs="Calibri"/>
                <w:color w:val="000000"/>
                <w:szCs w:val="20"/>
              </w:rPr>
              <w:t>395</w:t>
            </w:r>
          </w:p>
        </w:tc>
      </w:tr>
      <w:tr w:rsidR="00D34D92" w:rsidRPr="009423C3" w14:paraId="654F5C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E0BA3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ADULT LEARNING AUSTRALIA INCORPORATED</w:t>
            </w:r>
          </w:p>
        </w:tc>
        <w:tc>
          <w:tcPr>
            <w:tcW w:w="4896" w:type="dxa"/>
            <w:tcBorders>
              <w:top w:val="single" w:sz="4" w:space="0" w:color="FFFFFF" w:themeColor="background1"/>
              <w:bottom w:val="single" w:sz="4" w:space="0" w:color="53565A" w:themeColor="accent5"/>
            </w:tcBorders>
          </w:tcPr>
          <w:p w14:paraId="3754F174" w14:textId="1805E3A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0BFB353" w14:textId="7CE8F9D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2,800</w:t>
            </w:r>
          </w:p>
        </w:tc>
      </w:tr>
      <w:tr w:rsidR="00D34D92" w:rsidRPr="009423C3" w14:paraId="10A9D19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921E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AERIAL CONSULTANCY PTY LTD</w:t>
            </w:r>
          </w:p>
        </w:tc>
        <w:tc>
          <w:tcPr>
            <w:tcW w:w="4896" w:type="dxa"/>
            <w:tcBorders>
              <w:top w:val="single" w:sz="4" w:space="0" w:color="FFFFFF" w:themeColor="background1"/>
              <w:bottom w:val="single" w:sz="4" w:space="0" w:color="53565A" w:themeColor="accent5"/>
            </w:tcBorders>
          </w:tcPr>
          <w:p w14:paraId="70AAB5E6" w14:textId="3CD9E74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113EF9" w14:textId="6E5926A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141,500</w:t>
            </w:r>
          </w:p>
        </w:tc>
      </w:tr>
      <w:tr w:rsidR="00D34D92" w:rsidRPr="009423C3" w14:paraId="4F41589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D96B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AFFINITEXT INC</w:t>
            </w:r>
          </w:p>
        </w:tc>
        <w:tc>
          <w:tcPr>
            <w:tcW w:w="4896" w:type="dxa"/>
            <w:tcBorders>
              <w:top w:val="single" w:sz="4" w:space="0" w:color="FFFFFF" w:themeColor="background1"/>
              <w:bottom w:val="single" w:sz="4" w:space="0" w:color="53565A" w:themeColor="accent5"/>
            </w:tcBorders>
          </w:tcPr>
          <w:p w14:paraId="790BBBFF" w14:textId="5465B15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238271D" w14:textId="3ED46856"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9,528</w:t>
            </w:r>
          </w:p>
        </w:tc>
      </w:tr>
      <w:tr w:rsidR="00D34D92" w:rsidRPr="009423C3" w14:paraId="550D527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8F005D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AGILE ANALYTICS</w:t>
            </w:r>
          </w:p>
        </w:tc>
        <w:tc>
          <w:tcPr>
            <w:tcW w:w="4896" w:type="dxa"/>
            <w:tcBorders>
              <w:top w:val="single" w:sz="4" w:space="0" w:color="FFFFFF" w:themeColor="background1"/>
              <w:bottom w:val="single" w:sz="4" w:space="0" w:color="53565A" w:themeColor="accent5"/>
            </w:tcBorders>
          </w:tcPr>
          <w:p w14:paraId="4B1C443F" w14:textId="24E583B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16730180" w14:textId="0241D11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14,000</w:t>
            </w:r>
          </w:p>
        </w:tc>
      </w:tr>
      <w:tr w:rsidR="00D34D92" w:rsidRPr="009423C3" w14:paraId="6C18EA9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B212CD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ALC EDUCATION AND CONSULTING PTY LTD</w:t>
            </w:r>
          </w:p>
        </w:tc>
        <w:tc>
          <w:tcPr>
            <w:tcW w:w="4896" w:type="dxa"/>
            <w:tcBorders>
              <w:top w:val="single" w:sz="4" w:space="0" w:color="FFFFFF" w:themeColor="background1"/>
              <w:bottom w:val="single" w:sz="4" w:space="0" w:color="53565A" w:themeColor="accent5"/>
            </w:tcBorders>
          </w:tcPr>
          <w:p w14:paraId="42C31CBC" w14:textId="388768D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2323B47" w14:textId="2EB6AEF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4,025</w:t>
            </w:r>
          </w:p>
        </w:tc>
      </w:tr>
      <w:tr w:rsidR="00D34D92" w:rsidRPr="009423C3" w14:paraId="38725FE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2ED38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ALEXANDER KATHERINE</w:t>
            </w:r>
          </w:p>
        </w:tc>
        <w:tc>
          <w:tcPr>
            <w:tcW w:w="4896" w:type="dxa"/>
            <w:tcBorders>
              <w:top w:val="single" w:sz="4" w:space="0" w:color="FFFFFF" w:themeColor="background1"/>
              <w:bottom w:val="single" w:sz="4" w:space="0" w:color="53565A" w:themeColor="accent5"/>
            </w:tcBorders>
          </w:tcPr>
          <w:p w14:paraId="318AC719" w14:textId="22EBC88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404D529" w14:textId="4270E88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6,540</w:t>
            </w:r>
          </w:p>
        </w:tc>
      </w:tr>
      <w:tr w:rsidR="00D34D92" w:rsidRPr="009423C3" w14:paraId="3CFAC9E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D540B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ALKIMIA GROUP PTY LTD</w:t>
            </w:r>
          </w:p>
        </w:tc>
        <w:tc>
          <w:tcPr>
            <w:tcW w:w="4896" w:type="dxa"/>
            <w:tcBorders>
              <w:top w:val="single" w:sz="4" w:space="0" w:color="FFFFFF" w:themeColor="background1"/>
              <w:bottom w:val="single" w:sz="4" w:space="0" w:color="53565A" w:themeColor="accent5"/>
            </w:tcBorders>
          </w:tcPr>
          <w:p w14:paraId="0E205745" w14:textId="6D41A4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9C09AAE" w14:textId="6462586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14,500</w:t>
            </w:r>
          </w:p>
        </w:tc>
      </w:tr>
      <w:tr w:rsidR="00D34D92" w:rsidRPr="009423C3" w14:paraId="2BD8452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212B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ALLEGRO BLACK PTY. LTD.</w:t>
            </w:r>
          </w:p>
        </w:tc>
        <w:tc>
          <w:tcPr>
            <w:tcW w:w="4896" w:type="dxa"/>
            <w:tcBorders>
              <w:top w:val="single" w:sz="4" w:space="0" w:color="FFFFFF" w:themeColor="background1"/>
              <w:bottom w:val="single" w:sz="4" w:space="0" w:color="53565A" w:themeColor="accent5"/>
            </w:tcBorders>
          </w:tcPr>
          <w:p w14:paraId="1F9CA1EB" w14:textId="108302C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6FC65BF" w14:textId="54D1193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3,350</w:t>
            </w:r>
          </w:p>
        </w:tc>
      </w:tr>
      <w:tr w:rsidR="00D34D92" w:rsidRPr="009423C3" w14:paraId="049A238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E0B65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AMANDA </w:t>
            </w:r>
            <w:proofErr w:type="spellStart"/>
            <w:r w:rsidRPr="008457E1">
              <w:rPr>
                <w:rFonts w:ascii="Calibri" w:eastAsia="Times New Roman" w:hAnsi="Calibri" w:cs="Calibri"/>
                <w:color w:val="000000"/>
                <w:szCs w:val="20"/>
                <w:lang w:val="en-AU" w:eastAsia="en-AU"/>
              </w:rPr>
              <w:t>McGRAW</w:t>
            </w:r>
            <w:proofErr w:type="spellEnd"/>
          </w:p>
        </w:tc>
        <w:tc>
          <w:tcPr>
            <w:tcW w:w="4896" w:type="dxa"/>
            <w:tcBorders>
              <w:top w:val="single" w:sz="4" w:space="0" w:color="FFFFFF" w:themeColor="background1"/>
              <w:bottom w:val="single" w:sz="4" w:space="0" w:color="53565A" w:themeColor="accent5"/>
            </w:tcBorders>
          </w:tcPr>
          <w:p w14:paraId="21BF052A" w14:textId="5997FF6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835D787" w14:textId="0C54F66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48,000</w:t>
            </w:r>
          </w:p>
        </w:tc>
      </w:tr>
      <w:tr w:rsidR="00D34D92" w:rsidRPr="009423C3" w14:paraId="430E845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51781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AMAZE INCORPORATED</w:t>
            </w:r>
          </w:p>
        </w:tc>
        <w:tc>
          <w:tcPr>
            <w:tcW w:w="4896" w:type="dxa"/>
            <w:tcBorders>
              <w:top w:val="single" w:sz="4" w:space="0" w:color="FFFFFF" w:themeColor="background1"/>
              <w:bottom w:val="single" w:sz="4" w:space="0" w:color="53565A" w:themeColor="accent5"/>
            </w:tcBorders>
          </w:tcPr>
          <w:p w14:paraId="5879BF5C" w14:textId="5DEBBBB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1AF098F" w14:textId="3D3B456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7,287</w:t>
            </w:r>
          </w:p>
        </w:tc>
      </w:tr>
      <w:tr w:rsidR="00D34D92" w:rsidRPr="009423C3" w14:paraId="3B1B74E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F721A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AMAZON WEB SERVICES</w:t>
            </w:r>
          </w:p>
        </w:tc>
        <w:tc>
          <w:tcPr>
            <w:tcW w:w="4896" w:type="dxa"/>
            <w:tcBorders>
              <w:top w:val="single" w:sz="4" w:space="0" w:color="FFFFFF" w:themeColor="background1"/>
              <w:bottom w:val="single" w:sz="4" w:space="0" w:color="53565A" w:themeColor="accent5"/>
            </w:tcBorders>
          </w:tcPr>
          <w:p w14:paraId="09D37BD6" w14:textId="50C92D5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14264A3" w14:textId="68A754A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w:t>
            </w:r>
            <w:r w:rsidR="005976C1" w:rsidRPr="00925213">
              <w:rPr>
                <w:rFonts w:ascii="Calibri" w:hAnsi="Calibri" w:cs="Calibri"/>
                <w:color w:val="000000"/>
                <w:szCs w:val="20"/>
              </w:rPr>
              <w:t>240</w:t>
            </w:r>
          </w:p>
        </w:tc>
      </w:tr>
      <w:tr w:rsidR="00D34D92" w:rsidRPr="009423C3" w14:paraId="0834505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611B9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AMES AUSTRALIA</w:t>
            </w:r>
          </w:p>
        </w:tc>
        <w:tc>
          <w:tcPr>
            <w:tcW w:w="4896" w:type="dxa"/>
            <w:tcBorders>
              <w:top w:val="single" w:sz="4" w:space="0" w:color="FFFFFF" w:themeColor="background1"/>
              <w:bottom w:val="single" w:sz="4" w:space="0" w:color="53565A" w:themeColor="accent5"/>
            </w:tcBorders>
          </w:tcPr>
          <w:p w14:paraId="536C1685" w14:textId="2CB9EC4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74A8BBAA" w14:textId="29A75F9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w:t>
            </w:r>
            <w:r w:rsidR="005976C1" w:rsidRPr="00925213">
              <w:rPr>
                <w:rFonts w:ascii="Calibri" w:hAnsi="Calibri" w:cs="Calibri"/>
                <w:color w:val="000000"/>
                <w:szCs w:val="20"/>
              </w:rPr>
              <w:t>413</w:t>
            </w:r>
          </w:p>
        </w:tc>
      </w:tr>
      <w:tr w:rsidR="00D34D92" w:rsidRPr="009423C3" w14:paraId="14FCD18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F9C1BC" w14:textId="77777777" w:rsidR="00D34D92" w:rsidRPr="008457E1" w:rsidRDefault="00D34D92" w:rsidP="00D34D92">
            <w:pPr>
              <w:pStyle w:val="ESTablebody"/>
              <w:rPr>
                <w:rFonts w:ascii="Calibri" w:eastAsia="Times New Roman" w:hAnsi="Calibri" w:cs="Calibri"/>
                <w:color w:val="000000"/>
                <w:szCs w:val="20"/>
                <w:lang w:val="en-AU" w:eastAsia="en-AU"/>
              </w:rPr>
            </w:pPr>
            <w:bookmarkStart w:id="19" w:name="RANGE!A26"/>
            <w:r w:rsidRPr="008457E1">
              <w:rPr>
                <w:rFonts w:ascii="Calibri" w:eastAsia="Times New Roman" w:hAnsi="Calibri" w:cs="Calibri"/>
                <w:color w:val="000000"/>
                <w:szCs w:val="20"/>
                <w:lang w:val="en-AU" w:eastAsia="en-AU"/>
              </w:rPr>
              <w:t>ANDREW FULLER &amp; ASSOCIATES PTY LTD</w:t>
            </w:r>
            <w:bookmarkEnd w:id="19"/>
          </w:p>
        </w:tc>
        <w:tc>
          <w:tcPr>
            <w:tcW w:w="4896" w:type="dxa"/>
            <w:tcBorders>
              <w:top w:val="single" w:sz="4" w:space="0" w:color="FFFFFF" w:themeColor="background1"/>
              <w:bottom w:val="single" w:sz="4" w:space="0" w:color="53565A" w:themeColor="accent5"/>
            </w:tcBorders>
          </w:tcPr>
          <w:p w14:paraId="5D8A3DBC" w14:textId="6AEE458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B6F397B" w14:textId="5E9A0B0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w:t>
            </w:r>
            <w:r w:rsidR="005976C1" w:rsidRPr="00925213">
              <w:rPr>
                <w:rFonts w:ascii="Calibri" w:hAnsi="Calibri" w:cs="Calibri"/>
                <w:color w:val="000000"/>
                <w:szCs w:val="20"/>
              </w:rPr>
              <w:t>273</w:t>
            </w:r>
          </w:p>
        </w:tc>
      </w:tr>
      <w:tr w:rsidR="00D34D92" w:rsidRPr="009423C3" w14:paraId="5DD25D7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1FF7B4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ANDREW JOSEPH FERO-KOVASSY</w:t>
            </w:r>
          </w:p>
        </w:tc>
        <w:tc>
          <w:tcPr>
            <w:tcW w:w="4896" w:type="dxa"/>
            <w:tcBorders>
              <w:top w:val="single" w:sz="4" w:space="0" w:color="FFFFFF" w:themeColor="background1"/>
              <w:bottom w:val="single" w:sz="4" w:space="0" w:color="53565A" w:themeColor="accent5"/>
            </w:tcBorders>
          </w:tcPr>
          <w:p w14:paraId="0128BB45" w14:textId="227BBAE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2A4F832" w14:textId="3906C81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7,500</w:t>
            </w:r>
          </w:p>
        </w:tc>
      </w:tr>
      <w:tr w:rsidR="00D34D92" w:rsidRPr="009423C3" w14:paraId="0907A67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A59B37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ANGLICARE VICTORIA</w:t>
            </w:r>
          </w:p>
        </w:tc>
        <w:tc>
          <w:tcPr>
            <w:tcW w:w="4896" w:type="dxa"/>
            <w:tcBorders>
              <w:top w:val="single" w:sz="4" w:space="0" w:color="FFFFFF" w:themeColor="background1"/>
              <w:bottom w:val="single" w:sz="4" w:space="0" w:color="53565A" w:themeColor="accent5"/>
            </w:tcBorders>
          </w:tcPr>
          <w:p w14:paraId="0E474BDB" w14:textId="4405C4D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35BFB0" w14:textId="7D93689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63,825</w:t>
            </w:r>
          </w:p>
        </w:tc>
      </w:tr>
      <w:tr w:rsidR="00D34D92" w:rsidRPr="009423C3" w14:paraId="0B0BE4D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5891F4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ANNE DALTON + ASSOCIATES</w:t>
            </w:r>
          </w:p>
        </w:tc>
        <w:tc>
          <w:tcPr>
            <w:tcW w:w="4896" w:type="dxa"/>
            <w:tcBorders>
              <w:top w:val="single" w:sz="4" w:space="0" w:color="FFFFFF" w:themeColor="background1"/>
              <w:bottom w:val="single" w:sz="4" w:space="0" w:color="53565A" w:themeColor="accent5"/>
            </w:tcBorders>
          </w:tcPr>
          <w:p w14:paraId="7881EC03" w14:textId="35A0EAC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vAlign w:val="center"/>
          </w:tcPr>
          <w:p w14:paraId="2B482DA5" w14:textId="663A7C4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w:t>
            </w:r>
            <w:r w:rsidR="005976C1" w:rsidRPr="00925213">
              <w:rPr>
                <w:rFonts w:ascii="Calibri" w:hAnsi="Calibri" w:cs="Calibri"/>
                <w:color w:val="000000"/>
                <w:szCs w:val="20"/>
              </w:rPr>
              <w:t>098</w:t>
            </w:r>
          </w:p>
        </w:tc>
      </w:tr>
      <w:tr w:rsidR="00D34D92" w:rsidRPr="009423C3" w14:paraId="6FBBE8D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256D40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ANNETTE MUTIMER</w:t>
            </w:r>
          </w:p>
        </w:tc>
        <w:tc>
          <w:tcPr>
            <w:tcW w:w="4896" w:type="dxa"/>
            <w:tcBorders>
              <w:top w:val="single" w:sz="4" w:space="0" w:color="FFFFFF" w:themeColor="background1"/>
              <w:bottom w:val="single" w:sz="4" w:space="0" w:color="53565A" w:themeColor="accent5"/>
            </w:tcBorders>
          </w:tcPr>
          <w:p w14:paraId="3811457F" w14:textId="1D605BB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9A3E604" w14:textId="0E91DB4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1,300</w:t>
            </w:r>
          </w:p>
        </w:tc>
      </w:tr>
      <w:tr w:rsidR="00D34D92" w:rsidRPr="009423C3" w14:paraId="636447A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E1561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ANT HOUSE PTY LTD</w:t>
            </w:r>
          </w:p>
        </w:tc>
        <w:tc>
          <w:tcPr>
            <w:tcW w:w="4896" w:type="dxa"/>
            <w:tcBorders>
              <w:top w:val="single" w:sz="4" w:space="0" w:color="FFFFFF" w:themeColor="background1"/>
              <w:bottom w:val="single" w:sz="4" w:space="0" w:color="53565A" w:themeColor="accent5"/>
            </w:tcBorders>
          </w:tcPr>
          <w:p w14:paraId="5DB01767" w14:textId="6743231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77EB7F7" w14:textId="64919FC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5,000</w:t>
            </w:r>
          </w:p>
        </w:tc>
      </w:tr>
      <w:tr w:rsidR="00D34D92" w:rsidRPr="009423C3" w14:paraId="56253A8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1D07F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ANZUK EDUCATION SERVICES PTY LTD</w:t>
            </w:r>
          </w:p>
        </w:tc>
        <w:tc>
          <w:tcPr>
            <w:tcW w:w="4896" w:type="dxa"/>
            <w:tcBorders>
              <w:top w:val="single" w:sz="4" w:space="0" w:color="FFFFFF" w:themeColor="background1"/>
              <w:bottom w:val="single" w:sz="4" w:space="0" w:color="53565A" w:themeColor="accent5"/>
            </w:tcBorders>
          </w:tcPr>
          <w:p w14:paraId="09C66638" w14:textId="52EDAFEF"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B91FC6">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1B4C38A1" w14:textId="41D13E4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12,000</w:t>
            </w:r>
          </w:p>
        </w:tc>
      </w:tr>
      <w:tr w:rsidR="00D34D92" w:rsidRPr="009423C3" w14:paraId="11A3A9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D421B5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ARCBLUE</w:t>
            </w:r>
          </w:p>
        </w:tc>
        <w:tc>
          <w:tcPr>
            <w:tcW w:w="4896" w:type="dxa"/>
            <w:tcBorders>
              <w:top w:val="single" w:sz="4" w:space="0" w:color="FFFFFF" w:themeColor="background1"/>
              <w:bottom w:val="single" w:sz="4" w:space="0" w:color="53565A" w:themeColor="accent5"/>
            </w:tcBorders>
          </w:tcPr>
          <w:p w14:paraId="1C1EAB99" w14:textId="28941F9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FA9D6D6" w14:textId="7CC696D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111,731</w:t>
            </w:r>
          </w:p>
        </w:tc>
      </w:tr>
      <w:tr w:rsidR="00D34D92" w:rsidRPr="009423C3" w14:paraId="692F3A7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B62A6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ARCH CREATIVE</w:t>
            </w:r>
          </w:p>
        </w:tc>
        <w:tc>
          <w:tcPr>
            <w:tcW w:w="4896" w:type="dxa"/>
            <w:tcBorders>
              <w:top w:val="single" w:sz="4" w:space="0" w:color="FFFFFF" w:themeColor="background1"/>
              <w:bottom w:val="single" w:sz="4" w:space="0" w:color="53565A" w:themeColor="accent5"/>
            </w:tcBorders>
          </w:tcPr>
          <w:p w14:paraId="3D85F189" w14:textId="4FFFB7E5"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68FE41E" w14:textId="3E12DE9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82,131</w:t>
            </w:r>
          </w:p>
        </w:tc>
      </w:tr>
      <w:tr w:rsidR="00D34D92" w:rsidRPr="009423C3" w14:paraId="65F1D48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3E228A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ARINCO (VIC) PTY LTD</w:t>
            </w:r>
          </w:p>
        </w:tc>
        <w:tc>
          <w:tcPr>
            <w:tcW w:w="4896" w:type="dxa"/>
            <w:tcBorders>
              <w:top w:val="single" w:sz="4" w:space="0" w:color="FFFFFF" w:themeColor="background1"/>
              <w:bottom w:val="single" w:sz="4" w:space="0" w:color="53565A" w:themeColor="accent5"/>
            </w:tcBorders>
          </w:tcPr>
          <w:p w14:paraId="263EE843" w14:textId="573E7B3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56611866" w14:textId="7AD9943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12,800</w:t>
            </w:r>
          </w:p>
        </w:tc>
      </w:tr>
      <w:tr w:rsidR="00D34D92" w:rsidRPr="009423C3" w14:paraId="3D92A44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972FF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ARKINSTALL MARK EDWARD</w:t>
            </w:r>
          </w:p>
        </w:tc>
        <w:tc>
          <w:tcPr>
            <w:tcW w:w="4896" w:type="dxa"/>
            <w:tcBorders>
              <w:top w:val="single" w:sz="4" w:space="0" w:color="FFFFFF" w:themeColor="background1"/>
              <w:bottom w:val="single" w:sz="4" w:space="0" w:color="53565A" w:themeColor="accent5"/>
            </w:tcBorders>
          </w:tcPr>
          <w:p w14:paraId="1BCE52F9" w14:textId="302B059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551C8D6" w14:textId="24ACB40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3,918</w:t>
            </w:r>
          </w:p>
        </w:tc>
      </w:tr>
      <w:tr w:rsidR="00D34D92" w:rsidRPr="009423C3" w14:paraId="599B59B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B58FF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ARTD PTY LTD</w:t>
            </w:r>
          </w:p>
        </w:tc>
        <w:tc>
          <w:tcPr>
            <w:tcW w:w="4896" w:type="dxa"/>
            <w:tcBorders>
              <w:top w:val="single" w:sz="4" w:space="0" w:color="FFFFFF" w:themeColor="background1"/>
              <w:bottom w:val="single" w:sz="4" w:space="0" w:color="53565A" w:themeColor="accent5"/>
            </w:tcBorders>
          </w:tcPr>
          <w:p w14:paraId="7960AB7A" w14:textId="68F00FA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C9F62BB" w14:textId="071CC35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106,219</w:t>
            </w:r>
          </w:p>
        </w:tc>
      </w:tr>
      <w:tr w:rsidR="00D34D92" w:rsidRPr="009423C3" w14:paraId="6D19516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CD29F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ARTHUR H ROGERS</w:t>
            </w:r>
          </w:p>
        </w:tc>
        <w:tc>
          <w:tcPr>
            <w:tcW w:w="4896" w:type="dxa"/>
            <w:tcBorders>
              <w:top w:val="single" w:sz="4" w:space="0" w:color="FFFFFF" w:themeColor="background1"/>
              <w:bottom w:val="single" w:sz="4" w:space="0" w:color="53565A" w:themeColor="accent5"/>
            </w:tcBorders>
          </w:tcPr>
          <w:p w14:paraId="54CF4E21" w14:textId="0237026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FF535AF" w14:textId="7FF3026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4,509</w:t>
            </w:r>
          </w:p>
        </w:tc>
      </w:tr>
      <w:tr w:rsidR="00D34D92" w:rsidRPr="009423C3" w14:paraId="68A6EC2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553D5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ARUP AUSTRALIA PTY LTD</w:t>
            </w:r>
          </w:p>
        </w:tc>
        <w:tc>
          <w:tcPr>
            <w:tcW w:w="4896" w:type="dxa"/>
            <w:tcBorders>
              <w:top w:val="single" w:sz="4" w:space="0" w:color="FFFFFF" w:themeColor="background1"/>
              <w:bottom w:val="single" w:sz="4" w:space="0" w:color="53565A" w:themeColor="accent5"/>
            </w:tcBorders>
          </w:tcPr>
          <w:p w14:paraId="041F8AA1" w14:textId="28976C1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915E960" w14:textId="08F48D9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5,940</w:t>
            </w:r>
          </w:p>
        </w:tc>
      </w:tr>
      <w:tr w:rsidR="00D34D92" w:rsidRPr="009423C3" w14:paraId="0918266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6BD892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ASANA SOFTWARE AUSTRALIA PTY LTD</w:t>
            </w:r>
          </w:p>
        </w:tc>
        <w:tc>
          <w:tcPr>
            <w:tcW w:w="4896" w:type="dxa"/>
            <w:tcBorders>
              <w:top w:val="single" w:sz="4" w:space="0" w:color="FFFFFF" w:themeColor="background1"/>
              <w:bottom w:val="single" w:sz="4" w:space="0" w:color="53565A" w:themeColor="accent5"/>
            </w:tcBorders>
          </w:tcPr>
          <w:p w14:paraId="10445F5D" w14:textId="044185A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A0B285C" w14:textId="234E28BB"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8,158</w:t>
            </w:r>
          </w:p>
        </w:tc>
      </w:tr>
      <w:tr w:rsidR="00D34D92" w:rsidRPr="009423C3" w14:paraId="6980E66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85A36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ASG GROUP LIMITED</w:t>
            </w:r>
          </w:p>
        </w:tc>
        <w:tc>
          <w:tcPr>
            <w:tcW w:w="4896" w:type="dxa"/>
            <w:tcBorders>
              <w:top w:val="single" w:sz="4" w:space="0" w:color="FFFFFF" w:themeColor="background1"/>
              <w:bottom w:val="single" w:sz="4" w:space="0" w:color="53565A" w:themeColor="accent5"/>
            </w:tcBorders>
          </w:tcPr>
          <w:p w14:paraId="67DB1896" w14:textId="7C75D16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5B4B0EBA" w14:textId="4D1FD2D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238,603</w:t>
            </w:r>
          </w:p>
        </w:tc>
      </w:tr>
      <w:tr w:rsidR="00D34D92" w:rsidRPr="009423C3" w14:paraId="027328B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14391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ASSESSLYTICS</w:t>
            </w:r>
          </w:p>
        </w:tc>
        <w:tc>
          <w:tcPr>
            <w:tcW w:w="4896" w:type="dxa"/>
            <w:tcBorders>
              <w:top w:val="single" w:sz="4" w:space="0" w:color="FFFFFF" w:themeColor="background1"/>
              <w:bottom w:val="single" w:sz="4" w:space="0" w:color="53565A" w:themeColor="accent5"/>
            </w:tcBorders>
          </w:tcPr>
          <w:p w14:paraId="4FDFE7C0" w14:textId="1D1ACFB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CA7EE6" w14:textId="4558327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10,000</w:t>
            </w:r>
          </w:p>
        </w:tc>
      </w:tr>
      <w:tr w:rsidR="00D34D92" w:rsidRPr="009423C3" w14:paraId="0468D9B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ED517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ASTHMA AUSTRALIA LTD</w:t>
            </w:r>
          </w:p>
        </w:tc>
        <w:tc>
          <w:tcPr>
            <w:tcW w:w="4896" w:type="dxa"/>
            <w:tcBorders>
              <w:top w:val="single" w:sz="4" w:space="0" w:color="FFFFFF" w:themeColor="background1"/>
              <w:bottom w:val="single" w:sz="4" w:space="0" w:color="53565A" w:themeColor="accent5"/>
            </w:tcBorders>
          </w:tcPr>
          <w:p w14:paraId="295C08EC" w14:textId="5E1F1DD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ACF0E6A" w14:textId="48AFC9B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44,</w:t>
            </w:r>
            <w:r w:rsidR="005976C1" w:rsidRPr="00925213">
              <w:rPr>
                <w:rFonts w:ascii="Calibri" w:hAnsi="Calibri" w:cs="Calibri"/>
                <w:color w:val="000000"/>
                <w:szCs w:val="20"/>
              </w:rPr>
              <w:t>968</w:t>
            </w:r>
          </w:p>
        </w:tc>
      </w:tr>
      <w:tr w:rsidR="00D34D92" w:rsidRPr="009423C3" w14:paraId="3FBC4A8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74255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ASTON CAROLYN MARY</w:t>
            </w:r>
          </w:p>
        </w:tc>
        <w:tc>
          <w:tcPr>
            <w:tcW w:w="4896" w:type="dxa"/>
            <w:tcBorders>
              <w:top w:val="single" w:sz="4" w:space="0" w:color="FFFFFF" w:themeColor="background1"/>
              <w:bottom w:val="single" w:sz="4" w:space="0" w:color="53565A" w:themeColor="accent5"/>
            </w:tcBorders>
          </w:tcPr>
          <w:p w14:paraId="13C8F30A" w14:textId="6352225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F209336" w14:textId="2E696DB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w:t>
            </w:r>
          </w:p>
        </w:tc>
      </w:tr>
      <w:tr w:rsidR="00D34D92" w:rsidRPr="009423C3" w14:paraId="60F31E9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83AA3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ASTON CONSULTING (VIC) PTY LTD</w:t>
            </w:r>
          </w:p>
        </w:tc>
        <w:tc>
          <w:tcPr>
            <w:tcW w:w="4896" w:type="dxa"/>
            <w:tcBorders>
              <w:top w:val="single" w:sz="4" w:space="0" w:color="FFFFFF" w:themeColor="background1"/>
              <w:bottom w:val="single" w:sz="4" w:space="0" w:color="53565A" w:themeColor="accent5"/>
            </w:tcBorders>
          </w:tcPr>
          <w:p w14:paraId="17267214" w14:textId="558991E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8F3182C" w14:textId="182576C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33,900</w:t>
            </w:r>
          </w:p>
        </w:tc>
      </w:tr>
      <w:tr w:rsidR="00D34D92" w:rsidRPr="009423C3" w14:paraId="264F279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E928B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AUCKLAND UNISERVICES LIMITED</w:t>
            </w:r>
          </w:p>
        </w:tc>
        <w:tc>
          <w:tcPr>
            <w:tcW w:w="4896" w:type="dxa"/>
            <w:tcBorders>
              <w:top w:val="single" w:sz="4" w:space="0" w:color="FFFFFF" w:themeColor="background1"/>
              <w:bottom w:val="single" w:sz="4" w:space="0" w:color="53565A" w:themeColor="accent5"/>
            </w:tcBorders>
          </w:tcPr>
          <w:p w14:paraId="30CC1EF2" w14:textId="4237126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21CBE64F" w14:textId="151E4CE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166,786</w:t>
            </w:r>
          </w:p>
        </w:tc>
      </w:tr>
      <w:tr w:rsidR="00D34D92" w:rsidRPr="009423C3" w14:paraId="632E749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AF6D6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AUSPICIOUS ARTS PROJECTS INC</w:t>
            </w:r>
          </w:p>
        </w:tc>
        <w:tc>
          <w:tcPr>
            <w:tcW w:w="4896" w:type="dxa"/>
            <w:tcBorders>
              <w:top w:val="single" w:sz="4" w:space="0" w:color="FFFFFF" w:themeColor="background1"/>
              <w:bottom w:val="single" w:sz="4" w:space="0" w:color="53565A" w:themeColor="accent5"/>
            </w:tcBorders>
          </w:tcPr>
          <w:p w14:paraId="7603F6AE" w14:textId="09A4A6D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11B6641" w14:textId="2FEBF4A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485,</w:t>
            </w:r>
            <w:r w:rsidR="005976C1" w:rsidRPr="00925213">
              <w:rPr>
                <w:rFonts w:ascii="Calibri" w:hAnsi="Calibri" w:cs="Calibri"/>
                <w:color w:val="000000"/>
                <w:szCs w:val="20"/>
              </w:rPr>
              <w:t>052</w:t>
            </w:r>
          </w:p>
        </w:tc>
      </w:tr>
      <w:tr w:rsidR="00D34D92" w:rsidRPr="009423C3" w14:paraId="44D689D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83BF92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 AND NEW ZEALAND SCHOOL OF GOVERNMENT LIMITED</w:t>
            </w:r>
          </w:p>
        </w:tc>
        <w:tc>
          <w:tcPr>
            <w:tcW w:w="4896" w:type="dxa"/>
            <w:tcBorders>
              <w:top w:val="single" w:sz="4" w:space="0" w:color="FFFFFF" w:themeColor="background1"/>
              <w:bottom w:val="single" w:sz="4" w:space="0" w:color="53565A" w:themeColor="accent5"/>
            </w:tcBorders>
          </w:tcPr>
          <w:p w14:paraId="7FD1683C" w14:textId="16C36E7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1F98D2AA" w14:textId="6CBEB1AB"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1,455</w:t>
            </w:r>
          </w:p>
        </w:tc>
      </w:tr>
      <w:tr w:rsidR="00D34D92" w:rsidRPr="009423C3" w14:paraId="2EB84E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71EA6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BROADCASTING CORPORATION</w:t>
            </w:r>
          </w:p>
        </w:tc>
        <w:tc>
          <w:tcPr>
            <w:tcW w:w="4896" w:type="dxa"/>
            <w:tcBorders>
              <w:top w:val="single" w:sz="4" w:space="0" w:color="FFFFFF" w:themeColor="background1"/>
              <w:bottom w:val="single" w:sz="4" w:space="0" w:color="53565A" w:themeColor="accent5"/>
            </w:tcBorders>
          </w:tcPr>
          <w:p w14:paraId="2E3A0BDE" w14:textId="1F65C7B8"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3E62223" w14:textId="6B53316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w:t>
            </w:r>
            <w:r w:rsidR="005976C1" w:rsidRPr="00925213">
              <w:rPr>
                <w:rFonts w:ascii="Calibri" w:hAnsi="Calibri" w:cs="Calibri"/>
                <w:color w:val="000000"/>
                <w:szCs w:val="20"/>
              </w:rPr>
              <w:t>623</w:t>
            </w:r>
          </w:p>
        </w:tc>
      </w:tr>
      <w:tr w:rsidR="00D34D92" w:rsidRPr="009423C3" w14:paraId="47CD01A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97A23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BUREAU OF STATISTICS (MELB)</w:t>
            </w:r>
          </w:p>
        </w:tc>
        <w:tc>
          <w:tcPr>
            <w:tcW w:w="4896" w:type="dxa"/>
            <w:tcBorders>
              <w:top w:val="single" w:sz="4" w:space="0" w:color="FFFFFF" w:themeColor="background1"/>
              <w:bottom w:val="single" w:sz="4" w:space="0" w:color="53565A" w:themeColor="accent5"/>
            </w:tcBorders>
          </w:tcPr>
          <w:p w14:paraId="2737E39D" w14:textId="387A82B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623D5C7" w14:textId="64E59CD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11,364</w:t>
            </w:r>
          </w:p>
        </w:tc>
      </w:tr>
      <w:tr w:rsidR="00D34D92" w:rsidRPr="009423C3" w14:paraId="2E23FE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C5D6D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CATHOLIC UNIVERSITY LIMITED</w:t>
            </w:r>
          </w:p>
        </w:tc>
        <w:tc>
          <w:tcPr>
            <w:tcW w:w="4896" w:type="dxa"/>
            <w:tcBorders>
              <w:top w:val="single" w:sz="4" w:space="0" w:color="FFFFFF" w:themeColor="background1"/>
              <w:bottom w:val="single" w:sz="4" w:space="0" w:color="53565A" w:themeColor="accent5"/>
            </w:tcBorders>
          </w:tcPr>
          <w:p w14:paraId="26CEAD4D" w14:textId="1FD31284"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1DB1E3D" w14:textId="3DD6DC5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90,244</w:t>
            </w:r>
          </w:p>
        </w:tc>
      </w:tr>
      <w:tr w:rsidR="00D34D92" w:rsidRPr="009423C3" w14:paraId="38615FB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D418C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CENTRE FOR SOCIAL INNOVATION INC</w:t>
            </w:r>
          </w:p>
        </w:tc>
        <w:tc>
          <w:tcPr>
            <w:tcW w:w="4896" w:type="dxa"/>
            <w:tcBorders>
              <w:top w:val="single" w:sz="4" w:space="0" w:color="FFFFFF" w:themeColor="background1"/>
              <w:bottom w:val="single" w:sz="4" w:space="0" w:color="53565A" w:themeColor="accent5"/>
            </w:tcBorders>
          </w:tcPr>
          <w:p w14:paraId="24C818F0" w14:textId="0A265B4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2B7165F6" w14:textId="4013C9F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86,560</w:t>
            </w:r>
          </w:p>
        </w:tc>
      </w:tr>
      <w:tr w:rsidR="00D34D92" w:rsidRPr="009423C3" w14:paraId="04E8A44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A2B98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CHILDHOOD FOUNDATION</w:t>
            </w:r>
          </w:p>
        </w:tc>
        <w:tc>
          <w:tcPr>
            <w:tcW w:w="4896" w:type="dxa"/>
            <w:tcBorders>
              <w:top w:val="single" w:sz="4" w:space="0" w:color="FFFFFF" w:themeColor="background1"/>
              <w:bottom w:val="single" w:sz="4" w:space="0" w:color="53565A" w:themeColor="accent5"/>
            </w:tcBorders>
          </w:tcPr>
          <w:p w14:paraId="1FB4C1D8" w14:textId="3837DE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47D45B8" w14:textId="3194AC3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23,050</w:t>
            </w:r>
          </w:p>
        </w:tc>
      </w:tr>
      <w:tr w:rsidR="00D34D92" w:rsidRPr="009423C3" w14:paraId="7E43F6B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F2D1C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CHILDHOOD TRAUMA GROUP PTY LTD</w:t>
            </w:r>
          </w:p>
        </w:tc>
        <w:tc>
          <w:tcPr>
            <w:tcW w:w="4896" w:type="dxa"/>
            <w:tcBorders>
              <w:top w:val="single" w:sz="4" w:space="0" w:color="FFFFFF" w:themeColor="background1"/>
              <w:bottom w:val="single" w:sz="4" w:space="0" w:color="53565A" w:themeColor="accent5"/>
            </w:tcBorders>
          </w:tcPr>
          <w:p w14:paraId="5D6733B5" w14:textId="446D45D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37945F" w14:textId="6D7F5A1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w:t>
            </w:r>
            <w:r w:rsidR="005976C1" w:rsidRPr="00925213">
              <w:rPr>
                <w:rFonts w:ascii="Calibri" w:hAnsi="Calibri" w:cs="Calibri"/>
                <w:color w:val="000000"/>
                <w:szCs w:val="20"/>
              </w:rPr>
              <w:t>247</w:t>
            </w:r>
          </w:p>
        </w:tc>
      </w:tr>
      <w:tr w:rsidR="00D34D92" w:rsidRPr="009423C3" w14:paraId="29390AE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05DEF5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COLLEGE OF RURAL AND REMOTE MEDICINE</w:t>
            </w:r>
          </w:p>
        </w:tc>
        <w:tc>
          <w:tcPr>
            <w:tcW w:w="4896" w:type="dxa"/>
            <w:tcBorders>
              <w:top w:val="single" w:sz="4" w:space="0" w:color="FFFFFF" w:themeColor="background1"/>
              <w:bottom w:val="single" w:sz="4" w:space="0" w:color="53565A" w:themeColor="accent5"/>
            </w:tcBorders>
          </w:tcPr>
          <w:p w14:paraId="7EB4342C" w14:textId="0951461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2426C13" w14:textId="64744FE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12,750</w:t>
            </w:r>
          </w:p>
        </w:tc>
      </w:tr>
      <w:tr w:rsidR="00D34D92" w:rsidRPr="009423C3" w14:paraId="72D9FC8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C64901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COUNCIL FOR EDUCATIONAL RESEARCH (ACER)</w:t>
            </w:r>
          </w:p>
        </w:tc>
        <w:tc>
          <w:tcPr>
            <w:tcW w:w="4896" w:type="dxa"/>
            <w:tcBorders>
              <w:top w:val="single" w:sz="4" w:space="0" w:color="FFFFFF" w:themeColor="background1"/>
              <w:bottom w:val="single" w:sz="4" w:space="0" w:color="53565A" w:themeColor="accent5"/>
            </w:tcBorders>
          </w:tcPr>
          <w:p w14:paraId="08F7CCF2" w14:textId="158E9F7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57E218E" w14:textId="46E8002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400,</w:t>
            </w:r>
            <w:r w:rsidR="005976C1" w:rsidRPr="00925213">
              <w:rPr>
                <w:rFonts w:ascii="Calibri" w:hAnsi="Calibri" w:cs="Calibri"/>
                <w:color w:val="000000"/>
                <w:szCs w:val="20"/>
              </w:rPr>
              <w:t>924</w:t>
            </w:r>
          </w:p>
        </w:tc>
      </w:tr>
      <w:tr w:rsidR="00D34D92" w:rsidRPr="009423C3" w14:paraId="0B5591A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BAC7B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HEALTHCARE ASSOCIATES PTY LTD</w:t>
            </w:r>
          </w:p>
        </w:tc>
        <w:tc>
          <w:tcPr>
            <w:tcW w:w="4896" w:type="dxa"/>
            <w:tcBorders>
              <w:top w:val="single" w:sz="4" w:space="0" w:color="FFFFFF" w:themeColor="background1"/>
              <w:bottom w:val="single" w:sz="4" w:space="0" w:color="53565A" w:themeColor="accent5"/>
            </w:tcBorders>
          </w:tcPr>
          <w:p w14:paraId="2B8CF307" w14:textId="55F59A2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9541FD2" w14:textId="28B147D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1,817,</w:t>
            </w:r>
            <w:r w:rsidR="005976C1" w:rsidRPr="00925213">
              <w:rPr>
                <w:rFonts w:ascii="Calibri" w:hAnsi="Calibri" w:cs="Calibri"/>
                <w:color w:val="000000"/>
                <w:szCs w:val="20"/>
              </w:rPr>
              <w:t>462</w:t>
            </w:r>
          </w:p>
        </w:tc>
      </w:tr>
      <w:tr w:rsidR="00D34D92" w:rsidRPr="009423C3" w14:paraId="6BEF828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C2AA9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HORSE INDUSTRY COUNCIL</w:t>
            </w:r>
          </w:p>
        </w:tc>
        <w:tc>
          <w:tcPr>
            <w:tcW w:w="4896" w:type="dxa"/>
            <w:tcBorders>
              <w:top w:val="single" w:sz="4" w:space="0" w:color="FFFFFF" w:themeColor="background1"/>
              <w:bottom w:val="single" w:sz="4" w:space="0" w:color="53565A" w:themeColor="accent5"/>
            </w:tcBorders>
          </w:tcPr>
          <w:p w14:paraId="0317F9D1" w14:textId="45CF9EE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9D783FE" w14:textId="623A245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8,000</w:t>
            </w:r>
          </w:p>
        </w:tc>
      </w:tr>
      <w:tr w:rsidR="00D34D92" w:rsidRPr="009423C3" w14:paraId="78638CC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6FBBC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INSTITUTE OF MANAGEMENT EDUCATION AND TRAINING</w:t>
            </w:r>
          </w:p>
        </w:tc>
        <w:tc>
          <w:tcPr>
            <w:tcW w:w="4896" w:type="dxa"/>
            <w:tcBorders>
              <w:top w:val="single" w:sz="4" w:space="0" w:color="FFFFFF" w:themeColor="background1"/>
              <w:bottom w:val="single" w:sz="4" w:space="0" w:color="53565A" w:themeColor="accent5"/>
            </w:tcBorders>
          </w:tcPr>
          <w:p w14:paraId="7F82A9DC" w14:textId="3C1ACD46"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2BB5974" w14:textId="5B56B69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3,850</w:t>
            </w:r>
          </w:p>
        </w:tc>
      </w:tr>
      <w:tr w:rsidR="00D34D92" w:rsidRPr="009423C3" w14:paraId="07305FB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1CC6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SKILLS QUALITY AUTHORITY</w:t>
            </w:r>
          </w:p>
        </w:tc>
        <w:tc>
          <w:tcPr>
            <w:tcW w:w="4896" w:type="dxa"/>
            <w:tcBorders>
              <w:top w:val="single" w:sz="4" w:space="0" w:color="FFFFFF" w:themeColor="background1"/>
              <w:bottom w:val="single" w:sz="4" w:space="0" w:color="53565A" w:themeColor="accent5"/>
            </w:tcBorders>
          </w:tcPr>
          <w:p w14:paraId="50E88738" w14:textId="04D7B37F"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2A6CBB">
              <w:rPr>
                <w:rFonts w:ascii="Calibri" w:eastAsia="Times New Roman" w:hAnsi="Calibri" w:cs="Calibri"/>
                <w:color w:val="000000"/>
                <w:szCs w:val="20"/>
                <w:lang w:val="en-AU" w:eastAsia="en-AU"/>
              </w:rPr>
              <w:t>assessment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03985CE5" w14:textId="4271212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7,570</w:t>
            </w:r>
          </w:p>
        </w:tc>
      </w:tr>
      <w:tr w:rsidR="00D34D92" w:rsidRPr="009423C3" w14:paraId="1516F5E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5D57F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SURVEY RESEARCH GROUP PTY LTD</w:t>
            </w:r>
          </w:p>
        </w:tc>
        <w:tc>
          <w:tcPr>
            <w:tcW w:w="4896" w:type="dxa"/>
            <w:tcBorders>
              <w:top w:val="single" w:sz="4" w:space="0" w:color="FFFFFF" w:themeColor="background1"/>
              <w:bottom w:val="single" w:sz="4" w:space="0" w:color="53565A" w:themeColor="accent5"/>
            </w:tcBorders>
          </w:tcPr>
          <w:p w14:paraId="4A76C6D8" w14:textId="26335D9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9B7391D" w14:textId="6057A85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110,495</w:t>
            </w:r>
          </w:p>
        </w:tc>
      </w:tr>
      <w:tr w:rsidR="00D34D92" w:rsidRPr="009423C3" w14:paraId="310209A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E4C67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AUSTRALIAN TRAINING PRODUCTS PTY LTD</w:t>
            </w:r>
          </w:p>
        </w:tc>
        <w:tc>
          <w:tcPr>
            <w:tcW w:w="4896" w:type="dxa"/>
            <w:tcBorders>
              <w:top w:val="single" w:sz="4" w:space="0" w:color="FFFFFF" w:themeColor="background1"/>
              <w:bottom w:val="single" w:sz="4" w:space="0" w:color="53565A" w:themeColor="accent5"/>
            </w:tcBorders>
          </w:tcPr>
          <w:p w14:paraId="5F9E5609" w14:textId="0563950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5787D0" w14:textId="7125E67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20,906</w:t>
            </w:r>
          </w:p>
        </w:tc>
      </w:tr>
      <w:tr w:rsidR="00D34D92" w:rsidRPr="009423C3" w14:paraId="0B716C9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395CB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AUTISM BEHAVIOURAL INTERVENTION ASSOCIATION INC</w:t>
            </w:r>
          </w:p>
        </w:tc>
        <w:tc>
          <w:tcPr>
            <w:tcW w:w="4896" w:type="dxa"/>
            <w:tcBorders>
              <w:top w:val="single" w:sz="4" w:space="0" w:color="FFFFFF" w:themeColor="background1"/>
              <w:bottom w:val="single" w:sz="4" w:space="0" w:color="53565A" w:themeColor="accent5"/>
            </w:tcBorders>
          </w:tcPr>
          <w:p w14:paraId="51A73E96" w14:textId="60C0DC6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818D35E" w14:textId="58D9697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w:t>
            </w:r>
            <w:r w:rsidR="005976C1" w:rsidRPr="00925213">
              <w:rPr>
                <w:rFonts w:ascii="Calibri" w:hAnsi="Calibri" w:cs="Calibri"/>
                <w:color w:val="000000"/>
                <w:szCs w:val="20"/>
              </w:rPr>
              <w:t>823</w:t>
            </w:r>
          </w:p>
        </w:tc>
      </w:tr>
      <w:tr w:rsidR="00D34D92" w:rsidRPr="009423C3" w14:paraId="1A54338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5F42C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AUTISM PARTNERSHIP PTY LTD</w:t>
            </w:r>
          </w:p>
        </w:tc>
        <w:tc>
          <w:tcPr>
            <w:tcW w:w="4896" w:type="dxa"/>
            <w:tcBorders>
              <w:top w:val="single" w:sz="4" w:space="0" w:color="FFFFFF" w:themeColor="background1"/>
              <w:bottom w:val="single" w:sz="4" w:space="0" w:color="53565A" w:themeColor="accent5"/>
            </w:tcBorders>
          </w:tcPr>
          <w:p w14:paraId="7691C466" w14:textId="200150B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12883C6" w14:textId="28D8FB7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44,</w:t>
            </w:r>
            <w:r w:rsidR="005976C1" w:rsidRPr="00925213">
              <w:rPr>
                <w:rFonts w:ascii="Calibri" w:hAnsi="Calibri" w:cs="Calibri"/>
                <w:color w:val="000000"/>
                <w:szCs w:val="20"/>
              </w:rPr>
              <w:t>543</w:t>
            </w:r>
          </w:p>
        </w:tc>
      </w:tr>
      <w:tr w:rsidR="00D34D92" w:rsidRPr="009423C3" w14:paraId="48B2CEB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B4A5BE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AUTOMATIC DATA PROCESSING LIMITED</w:t>
            </w:r>
          </w:p>
        </w:tc>
        <w:tc>
          <w:tcPr>
            <w:tcW w:w="4896" w:type="dxa"/>
            <w:tcBorders>
              <w:top w:val="single" w:sz="4" w:space="0" w:color="FFFFFF" w:themeColor="background1"/>
              <w:bottom w:val="single" w:sz="4" w:space="0" w:color="53565A" w:themeColor="accent5"/>
            </w:tcBorders>
          </w:tcPr>
          <w:p w14:paraId="5EB5534F" w14:textId="3D7B2AD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D49F116" w14:textId="72D3EA7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848,146</w:t>
            </w:r>
          </w:p>
        </w:tc>
      </w:tr>
      <w:tr w:rsidR="00D34D92" w:rsidRPr="009423C3" w14:paraId="4251471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B0B7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AVOCADO PTY LTD</w:t>
            </w:r>
          </w:p>
        </w:tc>
        <w:tc>
          <w:tcPr>
            <w:tcW w:w="4896" w:type="dxa"/>
            <w:tcBorders>
              <w:top w:val="single" w:sz="4" w:space="0" w:color="FFFFFF" w:themeColor="background1"/>
              <w:bottom w:val="single" w:sz="4" w:space="0" w:color="53565A" w:themeColor="accent5"/>
            </w:tcBorders>
          </w:tcPr>
          <w:p w14:paraId="2C69F650" w14:textId="3F7141F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81B1714" w14:textId="490E4DF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45,000</w:t>
            </w:r>
          </w:p>
        </w:tc>
      </w:tr>
      <w:tr w:rsidR="00D34D92" w:rsidRPr="009423C3" w14:paraId="166B8E1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2000C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BAE SYSTEMS APPLIED INTELLIGENCE PTY LTD</w:t>
            </w:r>
          </w:p>
        </w:tc>
        <w:tc>
          <w:tcPr>
            <w:tcW w:w="4896" w:type="dxa"/>
            <w:tcBorders>
              <w:top w:val="single" w:sz="4" w:space="0" w:color="FFFFFF" w:themeColor="background1"/>
              <w:bottom w:val="single" w:sz="4" w:space="0" w:color="53565A" w:themeColor="accent5"/>
            </w:tcBorders>
          </w:tcPr>
          <w:p w14:paraId="3DCA0B69" w14:textId="669D8A3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B249B6E" w14:textId="5F4D353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28,728</w:t>
            </w:r>
          </w:p>
        </w:tc>
      </w:tr>
      <w:tr w:rsidR="00D34D92" w:rsidRPr="009423C3" w14:paraId="1D456C4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37255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BAINBRIDGE ASSOCIATES PTY LTD</w:t>
            </w:r>
          </w:p>
        </w:tc>
        <w:tc>
          <w:tcPr>
            <w:tcW w:w="4896" w:type="dxa"/>
            <w:tcBorders>
              <w:top w:val="single" w:sz="4" w:space="0" w:color="FFFFFF" w:themeColor="background1"/>
              <w:bottom w:val="single" w:sz="4" w:space="0" w:color="53565A" w:themeColor="accent5"/>
            </w:tcBorders>
          </w:tcPr>
          <w:p w14:paraId="599FF5F5" w14:textId="6C95EF8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8ABAE2A" w14:textId="6E3C4D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4,500</w:t>
            </w:r>
          </w:p>
        </w:tc>
      </w:tr>
      <w:tr w:rsidR="00D34D92" w:rsidRPr="009423C3" w14:paraId="231B649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B56E22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BAKER WENDY</w:t>
            </w:r>
          </w:p>
        </w:tc>
        <w:tc>
          <w:tcPr>
            <w:tcW w:w="4896" w:type="dxa"/>
            <w:tcBorders>
              <w:top w:val="single" w:sz="4" w:space="0" w:color="FFFFFF" w:themeColor="background1"/>
              <w:bottom w:val="single" w:sz="4" w:space="0" w:color="53565A" w:themeColor="accent5"/>
            </w:tcBorders>
          </w:tcPr>
          <w:p w14:paraId="1F2E4178" w14:textId="4396276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C924986" w14:textId="7FC713E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12,580</w:t>
            </w:r>
          </w:p>
        </w:tc>
      </w:tr>
      <w:tr w:rsidR="00D34D92" w:rsidRPr="009423C3" w14:paraId="5956769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EF80B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BAMBLETT EMMA</w:t>
            </w:r>
          </w:p>
        </w:tc>
        <w:tc>
          <w:tcPr>
            <w:tcW w:w="4896" w:type="dxa"/>
            <w:tcBorders>
              <w:top w:val="single" w:sz="4" w:space="0" w:color="FFFFFF" w:themeColor="background1"/>
              <w:bottom w:val="single" w:sz="4" w:space="0" w:color="53565A" w:themeColor="accent5"/>
            </w:tcBorders>
          </w:tcPr>
          <w:p w14:paraId="3B2A210F" w14:textId="36BF0AC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A430CFF" w14:textId="2172ADB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1,700</w:t>
            </w:r>
          </w:p>
        </w:tc>
      </w:tr>
      <w:tr w:rsidR="00D34D92" w:rsidRPr="009423C3" w14:paraId="1099871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510648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BARKER WARREN DAVID</w:t>
            </w:r>
          </w:p>
        </w:tc>
        <w:tc>
          <w:tcPr>
            <w:tcW w:w="4896" w:type="dxa"/>
            <w:tcBorders>
              <w:top w:val="single" w:sz="4" w:space="0" w:color="FFFFFF" w:themeColor="background1"/>
              <w:bottom w:val="single" w:sz="4" w:space="0" w:color="53565A" w:themeColor="accent5"/>
            </w:tcBorders>
          </w:tcPr>
          <w:p w14:paraId="40EDA1E7" w14:textId="5C477E8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768F55A" w14:textId="51967DE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1,430</w:t>
            </w:r>
          </w:p>
        </w:tc>
      </w:tr>
      <w:tr w:rsidR="00D34D92" w:rsidRPr="009423C3" w14:paraId="64F17C0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E142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BARRINGTON CENTRE PTY LTD</w:t>
            </w:r>
          </w:p>
        </w:tc>
        <w:tc>
          <w:tcPr>
            <w:tcW w:w="4896" w:type="dxa"/>
            <w:tcBorders>
              <w:top w:val="single" w:sz="4" w:space="0" w:color="FFFFFF" w:themeColor="background1"/>
              <w:bottom w:val="single" w:sz="4" w:space="0" w:color="53565A" w:themeColor="accent5"/>
            </w:tcBorders>
          </w:tcPr>
          <w:p w14:paraId="18BFD4C1" w14:textId="4C64834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251BDF8" w14:textId="01D9FF0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1,100</w:t>
            </w:r>
          </w:p>
        </w:tc>
      </w:tr>
      <w:tr w:rsidR="00D34D92" w:rsidRPr="009423C3" w14:paraId="5B514AF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2F12F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BARRY DERRICK</w:t>
            </w:r>
          </w:p>
        </w:tc>
        <w:tc>
          <w:tcPr>
            <w:tcW w:w="4896" w:type="dxa"/>
            <w:tcBorders>
              <w:top w:val="single" w:sz="4" w:space="0" w:color="FFFFFF" w:themeColor="background1"/>
              <w:bottom w:val="single" w:sz="4" w:space="0" w:color="53565A" w:themeColor="accent5"/>
            </w:tcBorders>
          </w:tcPr>
          <w:p w14:paraId="6BF6ACEC" w14:textId="33A4EB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154BFDC" w14:textId="7C63425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2,880</w:t>
            </w:r>
          </w:p>
        </w:tc>
      </w:tr>
      <w:tr w:rsidR="00D34D92" w:rsidRPr="009423C3" w14:paraId="49002C5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8B4C84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BEAKER AND FLINT</w:t>
            </w:r>
          </w:p>
        </w:tc>
        <w:tc>
          <w:tcPr>
            <w:tcW w:w="4896" w:type="dxa"/>
            <w:tcBorders>
              <w:top w:val="single" w:sz="4" w:space="0" w:color="FFFFFF" w:themeColor="background1"/>
              <w:bottom w:val="single" w:sz="4" w:space="0" w:color="53565A" w:themeColor="accent5"/>
            </w:tcBorders>
          </w:tcPr>
          <w:p w14:paraId="2A75407D" w14:textId="7FDB2EE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087A88">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F37C151" w14:textId="63ECB88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419,900</w:t>
            </w:r>
          </w:p>
        </w:tc>
      </w:tr>
      <w:tr w:rsidR="00D34D92" w:rsidRPr="009423C3" w14:paraId="4BE5DC3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B1353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BECAUSE BRAND EXPERIENCE PTY LTD</w:t>
            </w:r>
          </w:p>
        </w:tc>
        <w:tc>
          <w:tcPr>
            <w:tcW w:w="4896" w:type="dxa"/>
            <w:tcBorders>
              <w:top w:val="single" w:sz="4" w:space="0" w:color="FFFFFF" w:themeColor="background1"/>
              <w:bottom w:val="single" w:sz="4" w:space="0" w:color="53565A" w:themeColor="accent5"/>
            </w:tcBorders>
          </w:tcPr>
          <w:p w14:paraId="77530FE9" w14:textId="4175019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8965FCB" w14:textId="3BE2AA4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154,</w:t>
            </w:r>
            <w:r w:rsidR="005976C1" w:rsidRPr="00925213">
              <w:rPr>
                <w:rFonts w:ascii="Calibri" w:hAnsi="Calibri" w:cs="Calibri"/>
                <w:color w:val="000000"/>
                <w:szCs w:val="20"/>
              </w:rPr>
              <w:t>992</w:t>
            </w:r>
          </w:p>
        </w:tc>
      </w:tr>
      <w:tr w:rsidR="00D34D92" w:rsidRPr="009423C3" w14:paraId="40FDD5D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3E124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BEHAVIOURAL ARCHITECTS AUSTRALIA PTY LTD</w:t>
            </w:r>
          </w:p>
        </w:tc>
        <w:tc>
          <w:tcPr>
            <w:tcW w:w="4896" w:type="dxa"/>
            <w:tcBorders>
              <w:top w:val="single" w:sz="4" w:space="0" w:color="FFFFFF" w:themeColor="background1"/>
              <w:bottom w:val="single" w:sz="4" w:space="0" w:color="53565A" w:themeColor="accent5"/>
            </w:tcBorders>
          </w:tcPr>
          <w:p w14:paraId="04502801" w14:textId="60DEDC1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21B6BA8" w14:textId="0C4B522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213,400</w:t>
            </w:r>
          </w:p>
        </w:tc>
      </w:tr>
      <w:tr w:rsidR="00D34D92" w:rsidRPr="009423C3" w14:paraId="6005A9F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501495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BENDIGO KANGAN INSTITUTE</w:t>
            </w:r>
          </w:p>
        </w:tc>
        <w:tc>
          <w:tcPr>
            <w:tcW w:w="4896" w:type="dxa"/>
            <w:tcBorders>
              <w:top w:val="single" w:sz="4" w:space="0" w:color="FFFFFF" w:themeColor="background1"/>
              <w:bottom w:val="single" w:sz="4" w:space="0" w:color="53565A" w:themeColor="accent5"/>
            </w:tcBorders>
          </w:tcPr>
          <w:p w14:paraId="7D68275C" w14:textId="350B4A2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FBAE591" w14:textId="2148AE1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28,200</w:t>
            </w:r>
          </w:p>
        </w:tc>
      </w:tr>
      <w:tr w:rsidR="00D34D92" w:rsidRPr="009423C3" w14:paraId="22CD13A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555A3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BENDIGO SCIENCE AND TECHNOLOGY MUSEUM INC</w:t>
            </w:r>
          </w:p>
        </w:tc>
        <w:tc>
          <w:tcPr>
            <w:tcW w:w="4896" w:type="dxa"/>
            <w:tcBorders>
              <w:top w:val="single" w:sz="4" w:space="0" w:color="FFFFFF" w:themeColor="background1"/>
              <w:bottom w:val="single" w:sz="4" w:space="0" w:color="53565A" w:themeColor="accent5"/>
            </w:tcBorders>
          </w:tcPr>
          <w:p w14:paraId="6972DDC0" w14:textId="54C088D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6B1EC8F" w14:textId="6C9F8AA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195,416</w:t>
            </w:r>
          </w:p>
        </w:tc>
      </w:tr>
      <w:tr w:rsidR="00D34D92" w:rsidRPr="009423C3" w14:paraId="54F9570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7892B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BERRY STREET VICTORIA INC</w:t>
            </w:r>
          </w:p>
        </w:tc>
        <w:tc>
          <w:tcPr>
            <w:tcW w:w="4896" w:type="dxa"/>
            <w:tcBorders>
              <w:top w:val="single" w:sz="4" w:space="0" w:color="FFFFFF" w:themeColor="background1"/>
              <w:bottom w:val="single" w:sz="4" w:space="0" w:color="53565A" w:themeColor="accent5"/>
            </w:tcBorders>
          </w:tcPr>
          <w:p w14:paraId="1CA1392B" w14:textId="6C09664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01AF36C" w14:textId="13B18C7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45,000</w:t>
            </w:r>
          </w:p>
        </w:tc>
      </w:tr>
      <w:tr w:rsidR="00D34D92" w:rsidRPr="009423C3" w14:paraId="0B6A504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8D0E8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BETTERIDGE LEGAL CONSULTING</w:t>
            </w:r>
          </w:p>
        </w:tc>
        <w:tc>
          <w:tcPr>
            <w:tcW w:w="4896" w:type="dxa"/>
            <w:tcBorders>
              <w:top w:val="single" w:sz="4" w:space="0" w:color="FFFFFF" w:themeColor="background1"/>
              <w:bottom w:val="single" w:sz="4" w:space="0" w:color="53565A" w:themeColor="accent5"/>
            </w:tcBorders>
          </w:tcPr>
          <w:p w14:paraId="4A73EAA0" w14:textId="7C2A776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FCC6FA" w14:textId="59DEF0C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8,320</w:t>
            </w:r>
          </w:p>
        </w:tc>
      </w:tr>
      <w:tr w:rsidR="00D34D92" w:rsidRPr="009423C3" w14:paraId="488D296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8962CA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BEVINGTON CONSULTING PTY LTD</w:t>
            </w:r>
          </w:p>
        </w:tc>
        <w:tc>
          <w:tcPr>
            <w:tcW w:w="4896" w:type="dxa"/>
            <w:tcBorders>
              <w:top w:val="single" w:sz="4" w:space="0" w:color="FFFFFF" w:themeColor="background1"/>
              <w:bottom w:val="single" w:sz="4" w:space="0" w:color="53565A" w:themeColor="accent5"/>
            </w:tcBorders>
          </w:tcPr>
          <w:p w14:paraId="043CB8E0" w14:textId="3CB2450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88D1C8E" w14:textId="02BFDF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119,287</w:t>
            </w:r>
          </w:p>
        </w:tc>
      </w:tr>
      <w:tr w:rsidR="00D34D92" w:rsidRPr="009423C3" w14:paraId="5DC2B73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A797E7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BEYOND WEB SOLUTIONS</w:t>
            </w:r>
          </w:p>
        </w:tc>
        <w:tc>
          <w:tcPr>
            <w:tcW w:w="4896" w:type="dxa"/>
            <w:tcBorders>
              <w:top w:val="single" w:sz="4" w:space="0" w:color="FFFFFF" w:themeColor="background1"/>
              <w:bottom w:val="single" w:sz="4" w:space="0" w:color="53565A" w:themeColor="accent5"/>
            </w:tcBorders>
          </w:tcPr>
          <w:p w14:paraId="51F5DB0C" w14:textId="5577896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5FE13532" w14:textId="21FD279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3,675</w:t>
            </w:r>
          </w:p>
        </w:tc>
      </w:tr>
      <w:tr w:rsidR="00D34D92" w:rsidRPr="009423C3" w14:paraId="1F95A93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FAF8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BIG CANVAS PTY LTD</w:t>
            </w:r>
          </w:p>
        </w:tc>
        <w:tc>
          <w:tcPr>
            <w:tcW w:w="4896" w:type="dxa"/>
            <w:tcBorders>
              <w:top w:val="single" w:sz="4" w:space="0" w:color="FFFFFF" w:themeColor="background1"/>
              <w:bottom w:val="single" w:sz="4" w:space="0" w:color="53565A" w:themeColor="accent5"/>
            </w:tcBorders>
          </w:tcPr>
          <w:p w14:paraId="642C1D98" w14:textId="7110F4A7"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0B784257" w14:textId="612CD19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143,710</w:t>
            </w:r>
          </w:p>
        </w:tc>
      </w:tr>
      <w:tr w:rsidR="00D34D92" w:rsidRPr="009423C3" w14:paraId="411C96A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89AA3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BIG SKY CORPORATE PTY LTD</w:t>
            </w:r>
          </w:p>
        </w:tc>
        <w:tc>
          <w:tcPr>
            <w:tcW w:w="4896" w:type="dxa"/>
            <w:tcBorders>
              <w:top w:val="single" w:sz="4" w:space="0" w:color="FFFFFF" w:themeColor="background1"/>
              <w:bottom w:val="single" w:sz="4" w:space="0" w:color="53565A" w:themeColor="accent5"/>
            </w:tcBorders>
          </w:tcPr>
          <w:p w14:paraId="7B544796" w14:textId="6C8967E3"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344FCA">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6B4B417F" w14:textId="3E3F6DF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13,250</w:t>
            </w:r>
          </w:p>
        </w:tc>
      </w:tr>
      <w:tr w:rsidR="00D34D92" w:rsidRPr="009423C3" w14:paraId="3DC4C31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0CC65B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BILL HUNT CONSULTANCY SERVICES</w:t>
            </w:r>
          </w:p>
        </w:tc>
        <w:tc>
          <w:tcPr>
            <w:tcW w:w="4896" w:type="dxa"/>
            <w:tcBorders>
              <w:top w:val="single" w:sz="4" w:space="0" w:color="FFFFFF" w:themeColor="background1"/>
              <w:bottom w:val="single" w:sz="4" w:space="0" w:color="53565A" w:themeColor="accent5"/>
            </w:tcBorders>
          </w:tcPr>
          <w:p w14:paraId="3C66667C" w14:textId="5A5EA36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F767073" w14:textId="771D71E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20,124</w:t>
            </w:r>
          </w:p>
        </w:tc>
      </w:tr>
      <w:tr w:rsidR="00D34D92" w:rsidRPr="009423C3" w14:paraId="2ADF9C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07C54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BIRCH GEORGIA GAYE</w:t>
            </w:r>
          </w:p>
        </w:tc>
        <w:tc>
          <w:tcPr>
            <w:tcW w:w="4896" w:type="dxa"/>
            <w:tcBorders>
              <w:top w:val="single" w:sz="4" w:space="0" w:color="FFFFFF" w:themeColor="background1"/>
              <w:bottom w:val="single" w:sz="4" w:space="0" w:color="53565A" w:themeColor="accent5"/>
            </w:tcBorders>
          </w:tcPr>
          <w:p w14:paraId="7CC14BA5" w14:textId="459C7B0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E7FE0CB" w14:textId="134A558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27,630</w:t>
            </w:r>
          </w:p>
        </w:tc>
      </w:tr>
      <w:tr w:rsidR="00D34D92" w:rsidRPr="009423C3" w14:paraId="7461866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7BCD3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BLACHFORD JANINE CAROL</w:t>
            </w:r>
          </w:p>
        </w:tc>
        <w:tc>
          <w:tcPr>
            <w:tcW w:w="4896" w:type="dxa"/>
            <w:tcBorders>
              <w:top w:val="single" w:sz="4" w:space="0" w:color="FFFFFF" w:themeColor="background1"/>
              <w:bottom w:val="single" w:sz="4" w:space="0" w:color="53565A" w:themeColor="accent5"/>
            </w:tcBorders>
          </w:tcPr>
          <w:p w14:paraId="2B7C0335" w14:textId="57F96C1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F93CE63" w14:textId="4B0A4D2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w:t>
            </w:r>
            <w:r w:rsidR="005976C1" w:rsidRPr="00925213">
              <w:rPr>
                <w:rFonts w:ascii="Calibri" w:hAnsi="Calibri" w:cs="Calibri"/>
                <w:color w:val="000000"/>
                <w:szCs w:val="20"/>
              </w:rPr>
              <w:t>350</w:t>
            </w:r>
          </w:p>
        </w:tc>
      </w:tr>
      <w:tr w:rsidR="00D34D92" w:rsidRPr="009423C3" w14:paraId="631BFC9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6E007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BLICK CREATIVE INDUSTRIES PTY LTD</w:t>
            </w:r>
          </w:p>
        </w:tc>
        <w:tc>
          <w:tcPr>
            <w:tcW w:w="4896" w:type="dxa"/>
            <w:tcBorders>
              <w:top w:val="single" w:sz="4" w:space="0" w:color="FFFFFF" w:themeColor="background1"/>
              <w:bottom w:val="single" w:sz="4" w:space="0" w:color="53565A" w:themeColor="accent5"/>
            </w:tcBorders>
          </w:tcPr>
          <w:p w14:paraId="031500E5" w14:textId="53C13E84"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7D009FC" w14:textId="48154A5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4,032</w:t>
            </w:r>
          </w:p>
        </w:tc>
      </w:tr>
      <w:tr w:rsidR="00D34D92" w:rsidRPr="009423C3" w14:paraId="0C7897E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B6EB6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BLUEBOAT PTY LTD</w:t>
            </w:r>
          </w:p>
        </w:tc>
        <w:tc>
          <w:tcPr>
            <w:tcW w:w="4896" w:type="dxa"/>
            <w:tcBorders>
              <w:top w:val="single" w:sz="4" w:space="0" w:color="FFFFFF" w:themeColor="background1"/>
              <w:bottom w:val="single" w:sz="4" w:space="0" w:color="53565A" w:themeColor="accent5"/>
            </w:tcBorders>
          </w:tcPr>
          <w:p w14:paraId="5B70A1A2" w14:textId="53CC094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AF5A2F0" w14:textId="37B481E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3,593</w:t>
            </w:r>
          </w:p>
        </w:tc>
      </w:tr>
      <w:tr w:rsidR="00D34D92" w:rsidRPr="009423C3" w14:paraId="4DD139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968FE3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BONNICE JOHN</w:t>
            </w:r>
          </w:p>
        </w:tc>
        <w:tc>
          <w:tcPr>
            <w:tcW w:w="4896" w:type="dxa"/>
            <w:tcBorders>
              <w:top w:val="single" w:sz="4" w:space="0" w:color="FFFFFF" w:themeColor="background1"/>
              <w:bottom w:val="single" w:sz="4" w:space="0" w:color="53565A" w:themeColor="accent5"/>
            </w:tcBorders>
          </w:tcPr>
          <w:p w14:paraId="1BEC8641" w14:textId="1AED03A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E72708" w14:textId="64FA83B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1,120</w:t>
            </w:r>
          </w:p>
        </w:tc>
      </w:tr>
      <w:tr w:rsidR="00D34D92" w:rsidRPr="009423C3" w14:paraId="2028152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E90C95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BOX HILL INSTITUTE</w:t>
            </w:r>
          </w:p>
        </w:tc>
        <w:tc>
          <w:tcPr>
            <w:tcW w:w="4896" w:type="dxa"/>
            <w:tcBorders>
              <w:top w:val="single" w:sz="4" w:space="0" w:color="FFFFFF" w:themeColor="background1"/>
              <w:bottom w:val="single" w:sz="4" w:space="0" w:color="53565A" w:themeColor="accent5"/>
            </w:tcBorders>
          </w:tcPr>
          <w:p w14:paraId="4389048B" w14:textId="0141E8D3"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A801EBC" w14:textId="7C63E23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10,400</w:t>
            </w:r>
          </w:p>
        </w:tc>
      </w:tr>
      <w:tr w:rsidR="00D34D92" w:rsidRPr="009423C3" w14:paraId="7F12FB8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CBF25C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BPM PUBLICITY</w:t>
            </w:r>
          </w:p>
        </w:tc>
        <w:tc>
          <w:tcPr>
            <w:tcW w:w="4896" w:type="dxa"/>
            <w:tcBorders>
              <w:top w:val="single" w:sz="4" w:space="0" w:color="FFFFFF" w:themeColor="background1"/>
              <w:bottom w:val="single" w:sz="4" w:space="0" w:color="53565A" w:themeColor="accent5"/>
            </w:tcBorders>
          </w:tcPr>
          <w:p w14:paraId="0C19CD4B" w14:textId="5958B47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4E562FA" w14:textId="17752ED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w:t>
            </w:r>
          </w:p>
        </w:tc>
      </w:tr>
      <w:tr w:rsidR="00D34D92" w:rsidRPr="009423C3" w14:paraId="3E73959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47E9F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BRAND BEAGLE PTY LTD</w:t>
            </w:r>
          </w:p>
        </w:tc>
        <w:tc>
          <w:tcPr>
            <w:tcW w:w="4896" w:type="dxa"/>
            <w:tcBorders>
              <w:top w:val="single" w:sz="4" w:space="0" w:color="FFFFFF" w:themeColor="background1"/>
              <w:bottom w:val="single" w:sz="4" w:space="0" w:color="53565A" w:themeColor="accent5"/>
            </w:tcBorders>
          </w:tcPr>
          <w:p w14:paraId="5FE7A20A" w14:textId="7EBE9927"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4403665" w14:textId="5F2F09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24,000</w:t>
            </w:r>
          </w:p>
        </w:tc>
      </w:tr>
      <w:tr w:rsidR="00D34D92" w:rsidRPr="009423C3" w14:paraId="3F6D893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33E6D9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BRASH CONSULTING</w:t>
            </w:r>
          </w:p>
        </w:tc>
        <w:tc>
          <w:tcPr>
            <w:tcW w:w="4896" w:type="dxa"/>
            <w:tcBorders>
              <w:top w:val="single" w:sz="4" w:space="0" w:color="FFFFFF" w:themeColor="background1"/>
              <w:bottom w:val="single" w:sz="4" w:space="0" w:color="53565A" w:themeColor="accent5"/>
            </w:tcBorders>
          </w:tcPr>
          <w:p w14:paraId="3CFFFCDF" w14:textId="5F6289E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394D2F3" w14:textId="249F0D0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34,900</w:t>
            </w:r>
          </w:p>
        </w:tc>
      </w:tr>
      <w:tr w:rsidR="00D34D92" w:rsidRPr="009423C3" w14:paraId="70DCB834" w14:textId="77777777" w:rsidTr="005976C1">
        <w:trPr>
          <w:cantSplit/>
          <w:trHeight w:val="353"/>
        </w:trPr>
        <w:tc>
          <w:tcPr>
            <w:tcW w:w="3023" w:type="dxa"/>
            <w:tcBorders>
              <w:top w:val="single" w:sz="4" w:space="0" w:color="FFFFFF" w:themeColor="background1"/>
              <w:bottom w:val="single" w:sz="4" w:space="0" w:color="FFFFFF" w:themeColor="background1"/>
            </w:tcBorders>
            <w:shd w:val="clear" w:color="auto" w:fill="auto"/>
          </w:tcPr>
          <w:p w14:paraId="68370EF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BRIDGE RESOLUTIONS</w:t>
            </w:r>
          </w:p>
        </w:tc>
        <w:tc>
          <w:tcPr>
            <w:tcW w:w="4896" w:type="dxa"/>
            <w:tcBorders>
              <w:top w:val="single" w:sz="4" w:space="0" w:color="FFFFFF" w:themeColor="background1"/>
              <w:bottom w:val="single" w:sz="4" w:space="0" w:color="FFFFFF" w:themeColor="background1"/>
            </w:tcBorders>
          </w:tcPr>
          <w:p w14:paraId="2346658A" w14:textId="6CE62DC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FFFFFF" w:themeColor="background1"/>
            </w:tcBorders>
            <w:shd w:val="clear" w:color="auto" w:fill="auto"/>
            <w:vAlign w:val="center"/>
          </w:tcPr>
          <w:p w14:paraId="5EB21501" w14:textId="3B5687F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1,200</w:t>
            </w:r>
          </w:p>
        </w:tc>
      </w:tr>
      <w:tr w:rsidR="00D34D92" w:rsidRPr="009423C3" w14:paraId="0AF8865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9391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BROTHERHOOD OF ST LAURENCE</w:t>
            </w:r>
          </w:p>
        </w:tc>
        <w:tc>
          <w:tcPr>
            <w:tcW w:w="4896" w:type="dxa"/>
            <w:tcBorders>
              <w:top w:val="single" w:sz="4" w:space="0" w:color="FFFFFF" w:themeColor="background1"/>
              <w:bottom w:val="single" w:sz="4" w:space="0" w:color="53565A" w:themeColor="accent5"/>
            </w:tcBorders>
          </w:tcPr>
          <w:p w14:paraId="5E4F7F35" w14:textId="619CC7D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AD00FBD" w14:textId="69F5468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w:t>
            </w:r>
            <w:r w:rsidR="005976C1" w:rsidRPr="00925213">
              <w:rPr>
                <w:rFonts w:ascii="Calibri" w:hAnsi="Calibri" w:cs="Calibri"/>
                <w:color w:val="000000"/>
                <w:szCs w:val="20"/>
              </w:rPr>
              <w:t>515</w:t>
            </w:r>
          </w:p>
        </w:tc>
      </w:tr>
      <w:tr w:rsidR="00D34D92" w:rsidRPr="009423C3" w14:paraId="1A633A1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B45EE9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BTS AUSTRALASIA PTY LTD</w:t>
            </w:r>
          </w:p>
        </w:tc>
        <w:tc>
          <w:tcPr>
            <w:tcW w:w="4896" w:type="dxa"/>
            <w:tcBorders>
              <w:top w:val="single" w:sz="4" w:space="0" w:color="FFFFFF" w:themeColor="background1"/>
              <w:bottom w:val="single" w:sz="4" w:space="0" w:color="53565A" w:themeColor="accent5"/>
            </w:tcBorders>
          </w:tcPr>
          <w:p w14:paraId="44E04D1C" w14:textId="024E21E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4A3C1A">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BFB150B" w14:textId="6DE06EC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289,100</w:t>
            </w:r>
          </w:p>
        </w:tc>
      </w:tr>
      <w:tr w:rsidR="00D34D92" w:rsidRPr="009423C3" w14:paraId="5CF97A8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B837D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BURNINGHOUSE</w:t>
            </w:r>
          </w:p>
        </w:tc>
        <w:tc>
          <w:tcPr>
            <w:tcW w:w="4896" w:type="dxa"/>
            <w:tcBorders>
              <w:top w:val="single" w:sz="4" w:space="0" w:color="FFFFFF" w:themeColor="background1"/>
              <w:bottom w:val="single" w:sz="4" w:space="0" w:color="53565A" w:themeColor="accent5"/>
            </w:tcBorders>
          </w:tcPr>
          <w:p w14:paraId="1542B80E" w14:textId="03B3C12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B9BA443" w14:textId="718DE3D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20,856</w:t>
            </w:r>
          </w:p>
        </w:tc>
      </w:tr>
      <w:tr w:rsidR="00D34D92" w:rsidRPr="009423C3" w14:paraId="219402C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DD6A5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BUSINESS MANAGERS VICTORIA INC</w:t>
            </w:r>
          </w:p>
        </w:tc>
        <w:tc>
          <w:tcPr>
            <w:tcW w:w="4896" w:type="dxa"/>
            <w:tcBorders>
              <w:top w:val="single" w:sz="4" w:space="0" w:color="FFFFFF" w:themeColor="background1"/>
              <w:bottom w:val="single" w:sz="4" w:space="0" w:color="53565A" w:themeColor="accent5"/>
            </w:tcBorders>
          </w:tcPr>
          <w:p w14:paraId="6E46B199" w14:textId="783C0EC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9183AC9" w14:textId="0E9F497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25,000</w:t>
            </w:r>
          </w:p>
        </w:tc>
      </w:tr>
      <w:tr w:rsidR="00D34D92" w:rsidRPr="009423C3" w14:paraId="3834D47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63AF9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 A TECHNOLOGY PTY LTD</w:t>
            </w:r>
          </w:p>
        </w:tc>
        <w:tc>
          <w:tcPr>
            <w:tcW w:w="4896" w:type="dxa"/>
            <w:tcBorders>
              <w:top w:val="single" w:sz="4" w:space="0" w:color="FFFFFF" w:themeColor="background1"/>
              <w:bottom w:val="single" w:sz="4" w:space="0" w:color="53565A" w:themeColor="accent5"/>
            </w:tcBorders>
          </w:tcPr>
          <w:p w14:paraId="5F84D36A" w14:textId="5FF86D1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5AF7C01" w14:textId="2390F17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31,920</w:t>
            </w:r>
          </w:p>
        </w:tc>
      </w:tr>
      <w:tr w:rsidR="00D34D92" w:rsidRPr="009423C3" w14:paraId="189A469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C758C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 TODD AND J A TODD</w:t>
            </w:r>
          </w:p>
        </w:tc>
        <w:tc>
          <w:tcPr>
            <w:tcW w:w="4896" w:type="dxa"/>
            <w:tcBorders>
              <w:top w:val="single" w:sz="4" w:space="0" w:color="FFFFFF" w:themeColor="background1"/>
              <w:bottom w:val="single" w:sz="4" w:space="0" w:color="53565A" w:themeColor="accent5"/>
            </w:tcBorders>
          </w:tcPr>
          <w:p w14:paraId="43A5C70C" w14:textId="49480DB7"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9D201C2" w14:textId="359212D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48,000</w:t>
            </w:r>
          </w:p>
        </w:tc>
      </w:tr>
      <w:tr w:rsidR="00D34D92" w:rsidRPr="009423C3" w14:paraId="45CE576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193FEC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C4 BUSINESS SOLUTIONS</w:t>
            </w:r>
          </w:p>
        </w:tc>
        <w:tc>
          <w:tcPr>
            <w:tcW w:w="4896" w:type="dxa"/>
            <w:tcBorders>
              <w:top w:val="single" w:sz="4" w:space="0" w:color="FFFFFF" w:themeColor="background1"/>
              <w:bottom w:val="single" w:sz="4" w:space="0" w:color="53565A" w:themeColor="accent5"/>
            </w:tcBorders>
          </w:tcPr>
          <w:p w14:paraId="55A10668" w14:textId="6B67DF0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D7FAAF6" w14:textId="719A0B2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91,731</w:t>
            </w:r>
          </w:p>
        </w:tc>
      </w:tr>
      <w:tr w:rsidR="00D34D92" w:rsidRPr="009423C3" w14:paraId="3C6E2A8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FC524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CAIRNMILLAR INSTITUTE</w:t>
            </w:r>
          </w:p>
        </w:tc>
        <w:tc>
          <w:tcPr>
            <w:tcW w:w="4896" w:type="dxa"/>
            <w:tcBorders>
              <w:top w:val="single" w:sz="4" w:space="0" w:color="FFFFFF" w:themeColor="background1"/>
              <w:bottom w:val="single" w:sz="4" w:space="0" w:color="53565A" w:themeColor="accent5"/>
            </w:tcBorders>
          </w:tcPr>
          <w:p w14:paraId="45EC4BCC" w14:textId="62D38CB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1524B631" w14:textId="6014D23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21,818</w:t>
            </w:r>
          </w:p>
        </w:tc>
      </w:tr>
      <w:tr w:rsidR="00D34D92" w:rsidRPr="009423C3" w14:paraId="2DEDDFF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63384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CALLANDER ADELE</w:t>
            </w:r>
          </w:p>
        </w:tc>
        <w:tc>
          <w:tcPr>
            <w:tcW w:w="4896" w:type="dxa"/>
            <w:tcBorders>
              <w:top w:val="single" w:sz="4" w:space="0" w:color="FFFFFF" w:themeColor="background1"/>
              <w:bottom w:val="single" w:sz="4" w:space="0" w:color="53565A" w:themeColor="accent5"/>
            </w:tcBorders>
          </w:tcPr>
          <w:p w14:paraId="1E7268C3" w14:textId="749BF72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629D570" w14:textId="3368D67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1,800</w:t>
            </w:r>
          </w:p>
        </w:tc>
      </w:tr>
      <w:tr w:rsidR="00D34D92" w:rsidRPr="009423C3" w14:paraId="7300E4A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B4C12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CAMP KIAH PTY LIMITED</w:t>
            </w:r>
          </w:p>
        </w:tc>
        <w:tc>
          <w:tcPr>
            <w:tcW w:w="4896" w:type="dxa"/>
            <w:tcBorders>
              <w:top w:val="single" w:sz="4" w:space="0" w:color="FFFFFF" w:themeColor="background1"/>
              <w:bottom w:val="single" w:sz="4" w:space="0" w:color="53565A" w:themeColor="accent5"/>
            </w:tcBorders>
          </w:tcPr>
          <w:p w14:paraId="466282CE" w14:textId="27B6E5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C40F4EC" w14:textId="49FC78A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2,180</w:t>
            </w:r>
          </w:p>
        </w:tc>
      </w:tr>
      <w:tr w:rsidR="00D34D92" w:rsidRPr="009423C3" w14:paraId="708BEC3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450386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CAPGEMINI AUSTRALIA PTY LIMITED</w:t>
            </w:r>
          </w:p>
        </w:tc>
        <w:tc>
          <w:tcPr>
            <w:tcW w:w="4896" w:type="dxa"/>
            <w:tcBorders>
              <w:top w:val="single" w:sz="4" w:space="0" w:color="FFFFFF" w:themeColor="background1"/>
              <w:bottom w:val="single" w:sz="4" w:space="0" w:color="53565A" w:themeColor="accent5"/>
            </w:tcBorders>
          </w:tcPr>
          <w:p w14:paraId="14918724" w14:textId="7985140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DFA25E1" w14:textId="33E525A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1,806,</w:t>
            </w:r>
            <w:r w:rsidR="005976C1" w:rsidRPr="00925213">
              <w:rPr>
                <w:rFonts w:ascii="Calibri" w:hAnsi="Calibri" w:cs="Calibri"/>
                <w:color w:val="000000"/>
                <w:szCs w:val="20"/>
              </w:rPr>
              <w:t>860</w:t>
            </w:r>
          </w:p>
        </w:tc>
      </w:tr>
      <w:tr w:rsidR="00D34D92" w:rsidRPr="009423C3" w14:paraId="1CF1419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2F31FF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CAPTIONING STUDIO PTY LTD</w:t>
            </w:r>
          </w:p>
        </w:tc>
        <w:tc>
          <w:tcPr>
            <w:tcW w:w="4896" w:type="dxa"/>
            <w:tcBorders>
              <w:top w:val="single" w:sz="4" w:space="0" w:color="FFFFFF" w:themeColor="background1"/>
              <w:bottom w:val="single" w:sz="4" w:space="0" w:color="53565A" w:themeColor="accent5"/>
            </w:tcBorders>
          </w:tcPr>
          <w:p w14:paraId="041E93AA" w14:textId="494FD12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4138C12" w14:textId="30F2D85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25,250</w:t>
            </w:r>
          </w:p>
        </w:tc>
      </w:tr>
      <w:tr w:rsidR="00D34D92" w:rsidRPr="009423C3" w14:paraId="4D98A3B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E6D25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CARA MAREE FRANKISH</w:t>
            </w:r>
          </w:p>
        </w:tc>
        <w:tc>
          <w:tcPr>
            <w:tcW w:w="4896" w:type="dxa"/>
            <w:tcBorders>
              <w:top w:val="single" w:sz="4" w:space="0" w:color="FFFFFF" w:themeColor="background1"/>
              <w:bottom w:val="single" w:sz="4" w:space="0" w:color="53565A" w:themeColor="accent5"/>
            </w:tcBorders>
          </w:tcPr>
          <w:p w14:paraId="6C53DAAB" w14:textId="206A929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7F8C489" w14:textId="4054848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1,675</w:t>
            </w:r>
          </w:p>
        </w:tc>
      </w:tr>
      <w:tr w:rsidR="00D34D92" w:rsidRPr="009423C3" w14:paraId="5DB940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3CCBB0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CARAMARCO WENDY</w:t>
            </w:r>
          </w:p>
        </w:tc>
        <w:tc>
          <w:tcPr>
            <w:tcW w:w="4896" w:type="dxa"/>
            <w:tcBorders>
              <w:top w:val="single" w:sz="4" w:space="0" w:color="FFFFFF" w:themeColor="background1"/>
              <w:bottom w:val="single" w:sz="4" w:space="0" w:color="53565A" w:themeColor="accent5"/>
            </w:tcBorders>
          </w:tcPr>
          <w:p w14:paraId="102FF3CE" w14:textId="441F46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AA8EDD8" w14:textId="225F0F5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5,799</w:t>
            </w:r>
          </w:p>
        </w:tc>
      </w:tr>
      <w:tr w:rsidR="00D34D92" w:rsidRPr="009423C3" w14:paraId="0D17806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E492B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CAREER EDUCATION ASSOCIATION OF VICTORIA INC</w:t>
            </w:r>
          </w:p>
        </w:tc>
        <w:tc>
          <w:tcPr>
            <w:tcW w:w="4896" w:type="dxa"/>
            <w:tcBorders>
              <w:top w:val="single" w:sz="4" w:space="0" w:color="FFFFFF" w:themeColor="background1"/>
              <w:bottom w:val="single" w:sz="4" w:space="0" w:color="53565A" w:themeColor="accent5"/>
            </w:tcBorders>
          </w:tcPr>
          <w:p w14:paraId="29DDD1B9" w14:textId="1BA4888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DC36C1E" w14:textId="20D72B2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4,667,</w:t>
            </w:r>
            <w:r w:rsidR="005976C1" w:rsidRPr="00925213">
              <w:rPr>
                <w:rFonts w:ascii="Calibri" w:hAnsi="Calibri" w:cs="Calibri"/>
                <w:color w:val="000000"/>
                <w:szCs w:val="20"/>
              </w:rPr>
              <w:t>713</w:t>
            </w:r>
          </w:p>
        </w:tc>
      </w:tr>
      <w:tr w:rsidR="00D34D92" w:rsidRPr="009423C3" w14:paraId="7748CB1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A6EB6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CARR STEVEN</w:t>
            </w:r>
          </w:p>
        </w:tc>
        <w:tc>
          <w:tcPr>
            <w:tcW w:w="4896" w:type="dxa"/>
            <w:tcBorders>
              <w:top w:val="single" w:sz="4" w:space="0" w:color="FFFFFF" w:themeColor="background1"/>
              <w:bottom w:val="single" w:sz="4" w:space="0" w:color="53565A" w:themeColor="accent5"/>
            </w:tcBorders>
          </w:tcPr>
          <w:p w14:paraId="73A0C5E5" w14:textId="196202B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9D4E457" w14:textId="19682DE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20,820</w:t>
            </w:r>
          </w:p>
        </w:tc>
      </w:tr>
      <w:tr w:rsidR="00D34D92" w:rsidRPr="009423C3" w14:paraId="55F0158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A380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CARRE MEREDITH JOY</w:t>
            </w:r>
          </w:p>
        </w:tc>
        <w:tc>
          <w:tcPr>
            <w:tcW w:w="4896" w:type="dxa"/>
            <w:tcBorders>
              <w:top w:val="single" w:sz="4" w:space="0" w:color="FFFFFF" w:themeColor="background1"/>
              <w:bottom w:val="single" w:sz="4" w:space="0" w:color="53565A" w:themeColor="accent5"/>
            </w:tcBorders>
          </w:tcPr>
          <w:p w14:paraId="217CFEAF" w14:textId="1897A28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3433FB6" w14:textId="1AD3CCF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7,500</w:t>
            </w:r>
          </w:p>
        </w:tc>
      </w:tr>
      <w:tr w:rsidR="00D34D92" w:rsidRPr="009423C3" w14:paraId="176ACF1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77229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CASE MEALLIN (VIC) PTY LTD</w:t>
            </w:r>
          </w:p>
        </w:tc>
        <w:tc>
          <w:tcPr>
            <w:tcW w:w="4896" w:type="dxa"/>
            <w:tcBorders>
              <w:top w:val="single" w:sz="4" w:space="0" w:color="FFFFFF" w:themeColor="background1"/>
              <w:bottom w:val="single" w:sz="4" w:space="0" w:color="53565A" w:themeColor="accent5"/>
            </w:tcBorders>
          </w:tcPr>
          <w:p w14:paraId="5377551F" w14:textId="7D74CADA"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Utilities, </w:t>
            </w:r>
            <w:r w:rsidR="00C1555F">
              <w:rPr>
                <w:rFonts w:ascii="Calibri" w:eastAsia="Times New Roman" w:hAnsi="Calibri" w:cs="Calibri"/>
                <w:color w:val="000000"/>
                <w:szCs w:val="20"/>
                <w:lang w:val="en-AU" w:eastAsia="en-AU"/>
              </w:rPr>
              <w:t>i</w:t>
            </w:r>
            <w:r w:rsidRPr="008457E1">
              <w:rPr>
                <w:rFonts w:ascii="Calibri" w:eastAsia="Times New Roman" w:hAnsi="Calibri" w:cs="Calibri"/>
                <w:color w:val="000000"/>
                <w:szCs w:val="20"/>
                <w:lang w:val="en-AU" w:eastAsia="en-AU"/>
              </w:rPr>
              <w:t>nfrastructure/</w:t>
            </w:r>
            <w:r w:rsidR="00C1555F">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 xml:space="preserve">ustainability, </w:t>
            </w:r>
            <w:proofErr w:type="gramStart"/>
            <w:r w:rsidR="00C1555F">
              <w:rPr>
                <w:rFonts w:ascii="Calibri" w:eastAsia="Times New Roman" w:hAnsi="Calibri" w:cs="Calibri"/>
                <w:color w:val="000000"/>
                <w:szCs w:val="20"/>
                <w:lang w:val="en-AU" w:eastAsia="en-AU"/>
              </w:rPr>
              <w:t>t</w:t>
            </w:r>
            <w:r w:rsidRPr="008457E1">
              <w:rPr>
                <w:rFonts w:ascii="Calibri" w:eastAsia="Times New Roman" w:hAnsi="Calibri" w:cs="Calibri"/>
                <w:color w:val="000000"/>
                <w:szCs w:val="20"/>
                <w:lang w:val="en-AU" w:eastAsia="en-AU"/>
              </w:rPr>
              <w:t>ransport</w:t>
            </w:r>
            <w:proofErr w:type="gramEnd"/>
            <w:r w:rsidRPr="008457E1">
              <w:rPr>
                <w:rFonts w:ascii="Calibri" w:eastAsia="Times New Roman" w:hAnsi="Calibri" w:cs="Calibri"/>
                <w:color w:val="000000"/>
                <w:szCs w:val="20"/>
                <w:lang w:val="en-AU" w:eastAsia="en-AU"/>
              </w:rPr>
              <w:t xml:space="preserve"> and </w:t>
            </w:r>
            <w:r w:rsidR="00C1555F">
              <w:rPr>
                <w:rFonts w:ascii="Calibri" w:eastAsia="Times New Roman" w:hAnsi="Calibri" w:cs="Calibri"/>
                <w:color w:val="000000"/>
                <w:szCs w:val="20"/>
                <w:lang w:val="en-AU" w:eastAsia="en-AU"/>
              </w:rPr>
              <w:t>p</w:t>
            </w:r>
            <w:r w:rsidRPr="008457E1">
              <w:rPr>
                <w:rFonts w:ascii="Calibri" w:eastAsia="Times New Roman" w:hAnsi="Calibri" w:cs="Calibri"/>
                <w:color w:val="000000"/>
                <w:szCs w:val="20"/>
                <w:lang w:val="en-AU" w:eastAsia="en-AU"/>
              </w:rPr>
              <w:t xml:space="preserve">roject </w:t>
            </w:r>
            <w:r w:rsidR="00C1555F">
              <w:rPr>
                <w:rFonts w:ascii="Calibri" w:eastAsia="Times New Roman" w:hAnsi="Calibri" w:cs="Calibri"/>
                <w:color w:val="000000"/>
                <w:szCs w:val="20"/>
                <w:lang w:val="en-AU" w:eastAsia="en-AU"/>
              </w:rPr>
              <w:t>m</w:t>
            </w:r>
            <w:r w:rsidRPr="008457E1">
              <w:rPr>
                <w:rFonts w:ascii="Calibri" w:eastAsia="Times New Roman" w:hAnsi="Calibri" w:cs="Calibri"/>
                <w:color w:val="000000"/>
                <w:szCs w:val="20"/>
                <w:lang w:val="en-AU" w:eastAsia="en-AU"/>
              </w:rPr>
              <w:t xml:space="preserve">anagement </w:t>
            </w:r>
            <w:r w:rsidR="00C1555F">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240964C0" w14:textId="3018F6D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6,300</w:t>
            </w:r>
          </w:p>
        </w:tc>
      </w:tr>
      <w:tr w:rsidR="00D34D92" w:rsidRPr="009423C3" w14:paraId="1112F90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97D88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CASSANDRA JANE DI CENSO</w:t>
            </w:r>
          </w:p>
        </w:tc>
        <w:tc>
          <w:tcPr>
            <w:tcW w:w="4896" w:type="dxa"/>
            <w:tcBorders>
              <w:top w:val="single" w:sz="4" w:space="0" w:color="FFFFFF" w:themeColor="background1"/>
              <w:bottom w:val="single" w:sz="4" w:space="0" w:color="53565A" w:themeColor="accent5"/>
            </w:tcBorders>
          </w:tcPr>
          <w:p w14:paraId="1759D8AF" w14:textId="14DAE80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CDA62F3" w14:textId="67DFD67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1,350</w:t>
            </w:r>
          </w:p>
        </w:tc>
      </w:tr>
      <w:tr w:rsidR="00D34D92" w:rsidRPr="009423C3" w14:paraId="1D005D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E7E84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CATHARINA ALLARD</w:t>
            </w:r>
          </w:p>
        </w:tc>
        <w:tc>
          <w:tcPr>
            <w:tcW w:w="4896" w:type="dxa"/>
            <w:tcBorders>
              <w:top w:val="single" w:sz="4" w:space="0" w:color="FFFFFF" w:themeColor="background1"/>
              <w:bottom w:val="single" w:sz="4" w:space="0" w:color="53565A" w:themeColor="accent5"/>
            </w:tcBorders>
          </w:tcPr>
          <w:p w14:paraId="1EC756EC" w14:textId="576413D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05E4EC2" w14:textId="13A057B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4,025</w:t>
            </w:r>
          </w:p>
        </w:tc>
      </w:tr>
      <w:tr w:rsidR="00D34D92" w:rsidRPr="009423C3" w14:paraId="3125608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FF20E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CATO CLAIRE L</w:t>
            </w:r>
          </w:p>
        </w:tc>
        <w:tc>
          <w:tcPr>
            <w:tcW w:w="4896" w:type="dxa"/>
            <w:tcBorders>
              <w:top w:val="single" w:sz="4" w:space="0" w:color="FFFFFF" w:themeColor="background1"/>
              <w:bottom w:val="single" w:sz="4" w:space="0" w:color="53565A" w:themeColor="accent5"/>
            </w:tcBorders>
          </w:tcPr>
          <w:p w14:paraId="239F1671" w14:textId="214123D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92CA792" w14:textId="23FBE6F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2,500</w:t>
            </w:r>
          </w:p>
        </w:tc>
      </w:tr>
      <w:tr w:rsidR="00D34D92" w:rsidRPr="009423C3" w14:paraId="39DE5E3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F6239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CELEBRITY SPEAKERS</w:t>
            </w:r>
          </w:p>
        </w:tc>
        <w:tc>
          <w:tcPr>
            <w:tcW w:w="4896" w:type="dxa"/>
            <w:tcBorders>
              <w:top w:val="single" w:sz="4" w:space="0" w:color="FFFFFF" w:themeColor="background1"/>
              <w:bottom w:val="single" w:sz="4" w:space="0" w:color="53565A" w:themeColor="accent5"/>
            </w:tcBorders>
          </w:tcPr>
          <w:p w14:paraId="5AC0494C" w14:textId="7E19DAA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DC8C29A" w14:textId="1A019B7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4,000</w:t>
            </w:r>
          </w:p>
        </w:tc>
      </w:tr>
      <w:tr w:rsidR="00D34D92" w:rsidRPr="009423C3" w14:paraId="3FDD399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D06C3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CENITEX</w:t>
            </w:r>
          </w:p>
        </w:tc>
        <w:tc>
          <w:tcPr>
            <w:tcW w:w="4896" w:type="dxa"/>
            <w:tcBorders>
              <w:top w:val="single" w:sz="4" w:space="0" w:color="FFFFFF" w:themeColor="background1"/>
              <w:bottom w:val="single" w:sz="4" w:space="0" w:color="53565A" w:themeColor="accent5"/>
            </w:tcBorders>
          </w:tcPr>
          <w:p w14:paraId="30D57CB0" w14:textId="3012267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91D3093" w14:textId="6AA0806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43,038</w:t>
            </w:r>
          </w:p>
        </w:tc>
      </w:tr>
      <w:tr w:rsidR="00D34D92" w:rsidRPr="009423C3" w14:paraId="37E9BBB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F6321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CENTRE FOR EVIDENCE AND IMPLEMENTATION</w:t>
            </w:r>
          </w:p>
        </w:tc>
        <w:tc>
          <w:tcPr>
            <w:tcW w:w="4896" w:type="dxa"/>
            <w:tcBorders>
              <w:top w:val="single" w:sz="4" w:space="0" w:color="FFFFFF" w:themeColor="background1"/>
              <w:bottom w:val="single" w:sz="4" w:space="0" w:color="53565A" w:themeColor="accent5"/>
            </w:tcBorders>
          </w:tcPr>
          <w:p w14:paraId="13EB671B" w14:textId="6C48CF2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8DF41BD" w14:textId="56544FB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w:t>
            </w:r>
            <w:r w:rsidR="005976C1" w:rsidRPr="00925213">
              <w:rPr>
                <w:rFonts w:ascii="Calibri" w:hAnsi="Calibri" w:cs="Calibri"/>
                <w:color w:val="000000"/>
                <w:szCs w:val="20"/>
              </w:rPr>
              <w:t>784</w:t>
            </w:r>
          </w:p>
        </w:tc>
      </w:tr>
      <w:tr w:rsidR="00D34D92" w:rsidRPr="009423C3" w14:paraId="02A984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CD31CF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CENTRE FOR MULTICULTURAL YOUTH ISSUES</w:t>
            </w:r>
          </w:p>
        </w:tc>
        <w:tc>
          <w:tcPr>
            <w:tcW w:w="4896" w:type="dxa"/>
            <w:tcBorders>
              <w:top w:val="single" w:sz="4" w:space="0" w:color="FFFFFF" w:themeColor="background1"/>
              <w:bottom w:val="single" w:sz="4" w:space="0" w:color="53565A" w:themeColor="accent5"/>
            </w:tcBorders>
          </w:tcPr>
          <w:p w14:paraId="6A0B267D" w14:textId="68A4AA4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8D085CA" w14:textId="16BE947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w:t>
            </w:r>
            <w:r w:rsidR="005976C1" w:rsidRPr="00925213">
              <w:rPr>
                <w:rFonts w:ascii="Calibri" w:hAnsi="Calibri" w:cs="Calibri"/>
                <w:color w:val="000000"/>
                <w:szCs w:val="20"/>
              </w:rPr>
              <w:t>273</w:t>
            </w:r>
          </w:p>
        </w:tc>
      </w:tr>
      <w:tr w:rsidR="00D34D92" w:rsidRPr="009423C3" w14:paraId="6843CB6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C4569B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CENTRIC IT PTY LTD</w:t>
            </w:r>
          </w:p>
        </w:tc>
        <w:tc>
          <w:tcPr>
            <w:tcW w:w="4896" w:type="dxa"/>
            <w:tcBorders>
              <w:top w:val="single" w:sz="4" w:space="0" w:color="FFFFFF" w:themeColor="background1"/>
              <w:bottom w:val="single" w:sz="4" w:space="0" w:color="53565A" w:themeColor="accent5"/>
            </w:tcBorders>
          </w:tcPr>
          <w:p w14:paraId="4DF59954" w14:textId="65175FC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208020E" w14:textId="040E866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3,600</w:t>
            </w:r>
          </w:p>
        </w:tc>
      </w:tr>
      <w:tr w:rsidR="00D34D92" w:rsidRPr="009423C3" w14:paraId="4FFE3E5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BDFBD2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CEVO VIC PTY LTD</w:t>
            </w:r>
          </w:p>
        </w:tc>
        <w:tc>
          <w:tcPr>
            <w:tcW w:w="4896" w:type="dxa"/>
            <w:tcBorders>
              <w:top w:val="single" w:sz="4" w:space="0" w:color="FFFFFF" w:themeColor="background1"/>
              <w:bottom w:val="single" w:sz="4" w:space="0" w:color="53565A" w:themeColor="accent5"/>
            </w:tcBorders>
          </w:tcPr>
          <w:p w14:paraId="2167A575" w14:textId="50D35A4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04346C2" w14:textId="141C36D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11,326</w:t>
            </w:r>
          </w:p>
        </w:tc>
      </w:tr>
      <w:tr w:rsidR="00D34D92" w:rsidRPr="009423C3" w14:paraId="2798D53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7AB775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CHADWICK KATHERINE ANNETTE</w:t>
            </w:r>
          </w:p>
        </w:tc>
        <w:tc>
          <w:tcPr>
            <w:tcW w:w="4896" w:type="dxa"/>
            <w:tcBorders>
              <w:top w:val="single" w:sz="4" w:space="0" w:color="FFFFFF" w:themeColor="background1"/>
              <w:bottom w:val="single" w:sz="4" w:space="0" w:color="53565A" w:themeColor="accent5"/>
            </w:tcBorders>
          </w:tcPr>
          <w:p w14:paraId="380DFA41" w14:textId="280800A9"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B466B8E" w14:textId="7AF0BEE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6,408</w:t>
            </w:r>
          </w:p>
        </w:tc>
      </w:tr>
      <w:tr w:rsidR="00D34D92" w:rsidRPr="009423C3" w14:paraId="0F0416C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3791E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CHAPTER THREE INTERNATIONAL PTY LTD</w:t>
            </w:r>
          </w:p>
        </w:tc>
        <w:tc>
          <w:tcPr>
            <w:tcW w:w="4896" w:type="dxa"/>
            <w:tcBorders>
              <w:top w:val="single" w:sz="4" w:space="0" w:color="FFFFFF" w:themeColor="background1"/>
              <w:bottom w:val="single" w:sz="4" w:space="0" w:color="53565A" w:themeColor="accent5"/>
            </w:tcBorders>
          </w:tcPr>
          <w:p w14:paraId="47E4B08B" w14:textId="68ACAFD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B55A0BC" w14:textId="01C9870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250,122</w:t>
            </w:r>
          </w:p>
        </w:tc>
      </w:tr>
      <w:tr w:rsidR="00D34D92" w:rsidRPr="009423C3" w14:paraId="5D230FA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EA98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CHARLES SHANE</w:t>
            </w:r>
          </w:p>
        </w:tc>
        <w:tc>
          <w:tcPr>
            <w:tcW w:w="4896" w:type="dxa"/>
            <w:tcBorders>
              <w:top w:val="single" w:sz="4" w:space="0" w:color="FFFFFF" w:themeColor="background1"/>
              <w:bottom w:val="single" w:sz="4" w:space="0" w:color="53565A" w:themeColor="accent5"/>
            </w:tcBorders>
          </w:tcPr>
          <w:p w14:paraId="04F889C6" w14:textId="506163A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DCA18B7" w14:textId="070496C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3,200</w:t>
            </w:r>
          </w:p>
        </w:tc>
      </w:tr>
      <w:tr w:rsidR="00D34D92" w:rsidRPr="009423C3" w14:paraId="5C9B43E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1B639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CHISHOLM INSTITUTE</w:t>
            </w:r>
          </w:p>
        </w:tc>
        <w:tc>
          <w:tcPr>
            <w:tcW w:w="4896" w:type="dxa"/>
            <w:tcBorders>
              <w:top w:val="single" w:sz="4" w:space="0" w:color="FFFFFF" w:themeColor="background1"/>
              <w:bottom w:val="single" w:sz="4" w:space="0" w:color="53565A" w:themeColor="accent5"/>
            </w:tcBorders>
          </w:tcPr>
          <w:p w14:paraId="26C85200" w14:textId="6FC9A79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6DFEA20A" w14:textId="181B850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463,</w:t>
            </w:r>
            <w:r w:rsidR="005976C1" w:rsidRPr="00925213">
              <w:rPr>
                <w:rFonts w:ascii="Calibri" w:hAnsi="Calibri" w:cs="Calibri"/>
                <w:color w:val="000000"/>
                <w:szCs w:val="20"/>
              </w:rPr>
              <w:t>873</w:t>
            </w:r>
          </w:p>
        </w:tc>
      </w:tr>
      <w:tr w:rsidR="00D34D92" w:rsidRPr="009423C3" w14:paraId="628FE1B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87FE7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CHRISTOPHER ANTONIUS THEUNISSEN</w:t>
            </w:r>
          </w:p>
        </w:tc>
        <w:tc>
          <w:tcPr>
            <w:tcW w:w="4896" w:type="dxa"/>
            <w:tcBorders>
              <w:top w:val="single" w:sz="4" w:space="0" w:color="FFFFFF" w:themeColor="background1"/>
              <w:bottom w:val="single" w:sz="4" w:space="0" w:color="53565A" w:themeColor="accent5"/>
            </w:tcBorders>
          </w:tcPr>
          <w:p w14:paraId="3B39A1AD" w14:textId="6CC63A1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CFC3527" w14:textId="79D353D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2,500</w:t>
            </w:r>
          </w:p>
        </w:tc>
      </w:tr>
      <w:tr w:rsidR="00D34D92" w:rsidRPr="009423C3" w14:paraId="18BD2B1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4D2634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CHRISTOPHER JOHN NOONAN</w:t>
            </w:r>
          </w:p>
        </w:tc>
        <w:tc>
          <w:tcPr>
            <w:tcW w:w="4896" w:type="dxa"/>
            <w:tcBorders>
              <w:top w:val="single" w:sz="4" w:space="0" w:color="FFFFFF" w:themeColor="background1"/>
              <w:bottom w:val="single" w:sz="4" w:space="0" w:color="53565A" w:themeColor="accent5"/>
            </w:tcBorders>
          </w:tcPr>
          <w:p w14:paraId="563746B3" w14:textId="66945E3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1A02BCD" w14:textId="6B931DA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13,440</w:t>
            </w:r>
          </w:p>
        </w:tc>
      </w:tr>
      <w:tr w:rsidR="00D34D92" w:rsidRPr="009423C3" w14:paraId="1D7AED6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2B06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CHURCH NICHOLAS MICHAEL</w:t>
            </w:r>
          </w:p>
        </w:tc>
        <w:tc>
          <w:tcPr>
            <w:tcW w:w="4896" w:type="dxa"/>
            <w:tcBorders>
              <w:top w:val="single" w:sz="4" w:space="0" w:color="FFFFFF" w:themeColor="background1"/>
              <w:bottom w:val="single" w:sz="4" w:space="0" w:color="53565A" w:themeColor="accent5"/>
            </w:tcBorders>
          </w:tcPr>
          <w:p w14:paraId="09A3FFC4" w14:textId="776EFDB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397B155" w14:textId="3A4FE9E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18,360</w:t>
            </w:r>
          </w:p>
        </w:tc>
      </w:tr>
      <w:tr w:rsidR="00D34D92" w:rsidRPr="009423C3" w14:paraId="0D53C68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F1AAD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CIRCLE T INDUSTRIES PTY LTD</w:t>
            </w:r>
          </w:p>
        </w:tc>
        <w:tc>
          <w:tcPr>
            <w:tcW w:w="4896" w:type="dxa"/>
            <w:tcBorders>
              <w:top w:val="single" w:sz="4" w:space="0" w:color="FFFFFF" w:themeColor="background1"/>
              <w:bottom w:val="single" w:sz="4" w:space="0" w:color="53565A" w:themeColor="accent5"/>
            </w:tcBorders>
          </w:tcPr>
          <w:p w14:paraId="45338C3D" w14:textId="41134B8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597D859" w14:textId="1841CC8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7,625</w:t>
            </w:r>
          </w:p>
        </w:tc>
      </w:tr>
      <w:tr w:rsidR="00D34D92" w:rsidRPr="009423C3" w14:paraId="623F071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F39D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CITADEL TECHNOLOGY SOLUTIONS PTY LTD</w:t>
            </w:r>
          </w:p>
        </w:tc>
        <w:tc>
          <w:tcPr>
            <w:tcW w:w="4896" w:type="dxa"/>
            <w:tcBorders>
              <w:top w:val="single" w:sz="4" w:space="0" w:color="FFFFFF" w:themeColor="background1"/>
              <w:bottom w:val="single" w:sz="4" w:space="0" w:color="53565A" w:themeColor="accent5"/>
            </w:tcBorders>
          </w:tcPr>
          <w:p w14:paraId="59E59923" w14:textId="214B34B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30C694" w14:textId="0F25963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w:t>
            </w:r>
            <w:r w:rsidR="005976C1" w:rsidRPr="00925213">
              <w:rPr>
                <w:rFonts w:ascii="Calibri" w:hAnsi="Calibri" w:cs="Calibri"/>
                <w:color w:val="000000"/>
                <w:szCs w:val="20"/>
              </w:rPr>
              <w:t>718</w:t>
            </w:r>
          </w:p>
        </w:tc>
      </w:tr>
      <w:tr w:rsidR="00D34D92" w:rsidRPr="009423C3" w14:paraId="3BD0343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FECED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CITT</w:t>
            </w:r>
          </w:p>
        </w:tc>
        <w:tc>
          <w:tcPr>
            <w:tcW w:w="4896" w:type="dxa"/>
            <w:tcBorders>
              <w:top w:val="single" w:sz="4" w:space="0" w:color="FFFFFF" w:themeColor="background1"/>
              <w:bottom w:val="single" w:sz="4" w:space="0" w:color="53565A" w:themeColor="accent5"/>
            </w:tcBorders>
          </w:tcPr>
          <w:p w14:paraId="1852331A" w14:textId="233E0C8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47F1EE0" w14:textId="4D4812B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35,200</w:t>
            </w:r>
          </w:p>
        </w:tc>
      </w:tr>
      <w:tr w:rsidR="00D34D92" w:rsidRPr="009423C3" w14:paraId="2B4E29C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700EB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CIVICA EDUCATION PTY LIMITED</w:t>
            </w:r>
          </w:p>
        </w:tc>
        <w:tc>
          <w:tcPr>
            <w:tcW w:w="4896" w:type="dxa"/>
            <w:tcBorders>
              <w:top w:val="single" w:sz="4" w:space="0" w:color="FFFFFF" w:themeColor="background1"/>
              <w:bottom w:val="single" w:sz="4" w:space="0" w:color="53565A" w:themeColor="accent5"/>
            </w:tcBorders>
          </w:tcPr>
          <w:p w14:paraId="0EF0D860" w14:textId="5DF4D78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8A98B34" w14:textId="4A9BBF4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59,461</w:t>
            </w:r>
          </w:p>
        </w:tc>
      </w:tr>
      <w:tr w:rsidR="00D34D92" w:rsidRPr="009423C3" w14:paraId="61499BF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A6642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CLARIDGE NOEL LEONARD</w:t>
            </w:r>
          </w:p>
        </w:tc>
        <w:tc>
          <w:tcPr>
            <w:tcW w:w="4896" w:type="dxa"/>
            <w:tcBorders>
              <w:top w:val="single" w:sz="4" w:space="0" w:color="FFFFFF" w:themeColor="background1"/>
              <w:bottom w:val="single" w:sz="4" w:space="0" w:color="53565A" w:themeColor="accent5"/>
            </w:tcBorders>
          </w:tcPr>
          <w:p w14:paraId="3A5C2AD8" w14:textId="69665FC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CE466D3" w14:textId="1025E4A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30,235</w:t>
            </w:r>
          </w:p>
        </w:tc>
      </w:tr>
      <w:tr w:rsidR="00D34D92" w:rsidRPr="009423C3" w14:paraId="7621E0F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F25C7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CLARKE CURRICULUM SERVICES</w:t>
            </w:r>
          </w:p>
        </w:tc>
        <w:tc>
          <w:tcPr>
            <w:tcW w:w="4896" w:type="dxa"/>
            <w:tcBorders>
              <w:top w:val="single" w:sz="4" w:space="0" w:color="FFFFFF" w:themeColor="background1"/>
              <w:bottom w:val="single" w:sz="4" w:space="0" w:color="53565A" w:themeColor="accent5"/>
            </w:tcBorders>
          </w:tcPr>
          <w:p w14:paraId="6FD2A22A" w14:textId="1886A33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EA40A08" w14:textId="3AF6F8D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7,500</w:t>
            </w:r>
          </w:p>
        </w:tc>
      </w:tr>
      <w:tr w:rsidR="00D34D92" w:rsidRPr="009423C3" w14:paraId="090934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CBF907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CLARKE FREDERICK JAMES</w:t>
            </w:r>
          </w:p>
        </w:tc>
        <w:tc>
          <w:tcPr>
            <w:tcW w:w="4896" w:type="dxa"/>
            <w:tcBorders>
              <w:top w:val="single" w:sz="4" w:space="0" w:color="FFFFFF" w:themeColor="background1"/>
              <w:bottom w:val="single" w:sz="4" w:space="0" w:color="53565A" w:themeColor="accent5"/>
            </w:tcBorders>
          </w:tcPr>
          <w:p w14:paraId="2C16C688" w14:textId="7B4F4CB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0CB0EF3" w14:textId="2B856DD8"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7,711</w:t>
            </w:r>
          </w:p>
        </w:tc>
      </w:tr>
      <w:tr w:rsidR="00D34D92" w:rsidRPr="009423C3" w14:paraId="2E919A5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14142B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CLAYTON UTZ</w:t>
            </w:r>
          </w:p>
        </w:tc>
        <w:tc>
          <w:tcPr>
            <w:tcW w:w="4896" w:type="dxa"/>
            <w:tcBorders>
              <w:top w:val="single" w:sz="4" w:space="0" w:color="FFFFFF" w:themeColor="background1"/>
              <w:bottom w:val="single" w:sz="4" w:space="0" w:color="53565A" w:themeColor="accent5"/>
            </w:tcBorders>
          </w:tcPr>
          <w:p w14:paraId="7FA95628" w14:textId="0F41BC6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E5B45CD" w14:textId="2BEA30B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268,</w:t>
            </w:r>
            <w:r w:rsidR="005976C1" w:rsidRPr="00925213">
              <w:rPr>
                <w:rFonts w:ascii="Calibri" w:hAnsi="Calibri" w:cs="Calibri"/>
                <w:color w:val="000000"/>
                <w:szCs w:val="20"/>
              </w:rPr>
              <w:t>365</w:t>
            </w:r>
          </w:p>
        </w:tc>
      </w:tr>
      <w:tr w:rsidR="00D34D92" w:rsidRPr="009423C3" w14:paraId="348ADEB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DA154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CLICKS RECRUIT AUSTRALIA</w:t>
            </w:r>
          </w:p>
        </w:tc>
        <w:tc>
          <w:tcPr>
            <w:tcW w:w="4896" w:type="dxa"/>
            <w:tcBorders>
              <w:top w:val="single" w:sz="4" w:space="0" w:color="FFFFFF" w:themeColor="background1"/>
              <w:bottom w:val="single" w:sz="4" w:space="0" w:color="53565A" w:themeColor="accent5"/>
            </w:tcBorders>
          </w:tcPr>
          <w:p w14:paraId="236E33CF" w14:textId="57A2CE5D"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55C653D4" w14:textId="3C1F3D1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2,206,809</w:t>
            </w:r>
          </w:p>
        </w:tc>
      </w:tr>
      <w:tr w:rsidR="00D34D92" w:rsidRPr="009423C3" w14:paraId="24B242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8F894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CLICKVIEW AUSTRALIA PTY LIMITED</w:t>
            </w:r>
          </w:p>
        </w:tc>
        <w:tc>
          <w:tcPr>
            <w:tcW w:w="4896" w:type="dxa"/>
            <w:tcBorders>
              <w:top w:val="single" w:sz="4" w:space="0" w:color="FFFFFF" w:themeColor="background1"/>
              <w:bottom w:val="single" w:sz="4" w:space="0" w:color="53565A" w:themeColor="accent5"/>
            </w:tcBorders>
          </w:tcPr>
          <w:p w14:paraId="7392E885" w14:textId="7809F28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5EF3432" w14:textId="0A82C91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518,</w:t>
            </w:r>
            <w:r w:rsidR="005976C1" w:rsidRPr="00925213">
              <w:rPr>
                <w:rFonts w:ascii="Calibri" w:hAnsi="Calibri" w:cs="Calibri"/>
                <w:color w:val="000000"/>
                <w:szCs w:val="20"/>
              </w:rPr>
              <w:t>182</w:t>
            </w:r>
          </w:p>
        </w:tc>
      </w:tr>
      <w:tr w:rsidR="00D34D92" w:rsidRPr="009423C3" w14:paraId="76DF000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59AB9B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COACHABLE LIFE</w:t>
            </w:r>
          </w:p>
        </w:tc>
        <w:tc>
          <w:tcPr>
            <w:tcW w:w="4896" w:type="dxa"/>
            <w:tcBorders>
              <w:top w:val="single" w:sz="4" w:space="0" w:color="FFFFFF" w:themeColor="background1"/>
              <w:bottom w:val="single" w:sz="4" w:space="0" w:color="53565A" w:themeColor="accent5"/>
            </w:tcBorders>
          </w:tcPr>
          <w:p w14:paraId="7BD27DE9" w14:textId="594BE09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5353FD7" w14:textId="1A4CAE2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43,636</w:t>
            </w:r>
          </w:p>
        </w:tc>
      </w:tr>
      <w:tr w:rsidR="00D34D92" w:rsidRPr="009423C3" w14:paraId="59B0FCA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11267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COGENT ADVISORY PTY LTD</w:t>
            </w:r>
          </w:p>
        </w:tc>
        <w:tc>
          <w:tcPr>
            <w:tcW w:w="4896" w:type="dxa"/>
            <w:tcBorders>
              <w:top w:val="single" w:sz="4" w:space="0" w:color="FFFFFF" w:themeColor="background1"/>
              <w:bottom w:val="single" w:sz="4" w:space="0" w:color="53565A" w:themeColor="accent5"/>
            </w:tcBorders>
          </w:tcPr>
          <w:p w14:paraId="00FCC0DB" w14:textId="0967F71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B7F3213" w14:textId="775FD20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365,</w:t>
            </w:r>
            <w:r w:rsidR="005976C1" w:rsidRPr="00925213">
              <w:rPr>
                <w:rFonts w:ascii="Calibri" w:hAnsi="Calibri" w:cs="Calibri"/>
                <w:color w:val="000000"/>
                <w:szCs w:val="20"/>
              </w:rPr>
              <w:t>708</w:t>
            </w:r>
          </w:p>
        </w:tc>
      </w:tr>
      <w:tr w:rsidR="00D34D92" w:rsidRPr="009423C3" w14:paraId="5029AA2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D9CB3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COGNITION EDUCATION AUSTRALIA PTY LTD</w:t>
            </w:r>
          </w:p>
        </w:tc>
        <w:tc>
          <w:tcPr>
            <w:tcW w:w="4896" w:type="dxa"/>
            <w:tcBorders>
              <w:top w:val="single" w:sz="4" w:space="0" w:color="FFFFFF" w:themeColor="background1"/>
              <w:bottom w:val="single" w:sz="4" w:space="0" w:color="53565A" w:themeColor="accent5"/>
            </w:tcBorders>
          </w:tcPr>
          <w:p w14:paraId="3F55E56E" w14:textId="2E2D33E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5D4F8EE4" w14:textId="3336744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992,744</w:t>
            </w:r>
          </w:p>
        </w:tc>
      </w:tr>
      <w:tr w:rsidR="00D34D92" w:rsidRPr="009423C3" w14:paraId="5E7486A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7269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COLE DEBBIE</w:t>
            </w:r>
          </w:p>
        </w:tc>
        <w:tc>
          <w:tcPr>
            <w:tcW w:w="4896" w:type="dxa"/>
            <w:tcBorders>
              <w:top w:val="single" w:sz="4" w:space="0" w:color="FFFFFF" w:themeColor="background1"/>
              <w:bottom w:val="single" w:sz="4" w:space="0" w:color="53565A" w:themeColor="accent5"/>
            </w:tcBorders>
          </w:tcPr>
          <w:p w14:paraId="6533DB80" w14:textId="40C0D15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178B2EA" w14:textId="7AAB37A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26,000</w:t>
            </w:r>
          </w:p>
        </w:tc>
      </w:tr>
      <w:tr w:rsidR="00D34D92" w:rsidRPr="009423C3" w14:paraId="2046223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5FD2F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COLIN TWISSE</w:t>
            </w:r>
          </w:p>
        </w:tc>
        <w:tc>
          <w:tcPr>
            <w:tcW w:w="4896" w:type="dxa"/>
            <w:tcBorders>
              <w:top w:val="single" w:sz="4" w:space="0" w:color="FFFFFF" w:themeColor="background1"/>
              <w:bottom w:val="single" w:sz="4" w:space="0" w:color="53565A" w:themeColor="accent5"/>
            </w:tcBorders>
          </w:tcPr>
          <w:p w14:paraId="722C72EA" w14:textId="0212B7C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E417584" w14:textId="5E9AF1C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2,480</w:t>
            </w:r>
          </w:p>
        </w:tc>
      </w:tr>
      <w:tr w:rsidR="00D34D92" w:rsidRPr="009423C3" w14:paraId="436FA87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9A987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COLLECTIVE WISDOM CONSULTING</w:t>
            </w:r>
          </w:p>
        </w:tc>
        <w:tc>
          <w:tcPr>
            <w:tcW w:w="4896" w:type="dxa"/>
            <w:tcBorders>
              <w:top w:val="single" w:sz="4" w:space="0" w:color="FFFFFF" w:themeColor="background1"/>
              <w:bottom w:val="single" w:sz="4" w:space="0" w:color="53565A" w:themeColor="accent5"/>
            </w:tcBorders>
          </w:tcPr>
          <w:p w14:paraId="6ED76E22" w14:textId="6649CE1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9A8FFF1" w14:textId="632E995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w:t>
            </w:r>
          </w:p>
        </w:tc>
      </w:tr>
      <w:tr w:rsidR="00D34D92" w:rsidRPr="009423C3" w14:paraId="522DBFB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9F27B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COLMAR BRUNTON PTY LIMITED</w:t>
            </w:r>
          </w:p>
        </w:tc>
        <w:tc>
          <w:tcPr>
            <w:tcW w:w="4896" w:type="dxa"/>
            <w:tcBorders>
              <w:top w:val="single" w:sz="4" w:space="0" w:color="FFFFFF" w:themeColor="background1"/>
              <w:bottom w:val="single" w:sz="4" w:space="0" w:color="53565A" w:themeColor="accent5"/>
            </w:tcBorders>
          </w:tcPr>
          <w:p w14:paraId="4DC25CD5" w14:textId="5A76082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47045AD" w14:textId="21F7459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55,</w:t>
            </w:r>
            <w:r w:rsidR="005976C1" w:rsidRPr="00925213">
              <w:rPr>
                <w:rFonts w:ascii="Calibri" w:hAnsi="Calibri" w:cs="Calibri"/>
                <w:color w:val="000000"/>
                <w:szCs w:val="20"/>
              </w:rPr>
              <w:t>925</w:t>
            </w:r>
          </w:p>
        </w:tc>
      </w:tr>
      <w:tr w:rsidR="00D34D92" w:rsidRPr="009423C3" w14:paraId="2E7BFF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02075F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COMPASS GROUP B&amp;I HOSPITALITY SERVICES PTY LTD</w:t>
            </w:r>
          </w:p>
        </w:tc>
        <w:tc>
          <w:tcPr>
            <w:tcW w:w="4896" w:type="dxa"/>
            <w:tcBorders>
              <w:top w:val="single" w:sz="4" w:space="0" w:color="FFFFFF" w:themeColor="background1"/>
              <w:bottom w:val="single" w:sz="4" w:space="0" w:color="53565A" w:themeColor="accent5"/>
            </w:tcBorders>
          </w:tcPr>
          <w:p w14:paraId="385B790D" w14:textId="5D3F093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83FB127" w14:textId="17CBAA3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1,818</w:t>
            </w:r>
          </w:p>
        </w:tc>
      </w:tr>
      <w:tr w:rsidR="00D34D92" w:rsidRPr="009423C3" w14:paraId="22ECAA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5FE40E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COMPRARA GROUP PTY LTD</w:t>
            </w:r>
          </w:p>
        </w:tc>
        <w:tc>
          <w:tcPr>
            <w:tcW w:w="4896" w:type="dxa"/>
            <w:tcBorders>
              <w:top w:val="single" w:sz="4" w:space="0" w:color="FFFFFF" w:themeColor="background1"/>
              <w:bottom w:val="single" w:sz="4" w:space="0" w:color="53565A" w:themeColor="accent5"/>
            </w:tcBorders>
          </w:tcPr>
          <w:p w14:paraId="660BE70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Strategic Services and Advice for Audit, Fraud and Procurement</w:t>
            </w:r>
          </w:p>
        </w:tc>
        <w:tc>
          <w:tcPr>
            <w:tcW w:w="1417" w:type="dxa"/>
            <w:tcBorders>
              <w:top w:val="single" w:sz="4" w:space="0" w:color="FFFFFF" w:themeColor="background1"/>
              <w:bottom w:val="single" w:sz="4" w:space="0" w:color="53565A" w:themeColor="accent5"/>
            </w:tcBorders>
            <w:shd w:val="clear" w:color="auto" w:fill="auto"/>
            <w:vAlign w:val="center"/>
          </w:tcPr>
          <w:p w14:paraId="71AA0773" w14:textId="6ECDA27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w:t>
            </w:r>
            <w:r w:rsidR="005976C1" w:rsidRPr="00925213">
              <w:rPr>
                <w:rFonts w:ascii="Calibri" w:hAnsi="Calibri" w:cs="Calibri"/>
                <w:color w:val="000000"/>
                <w:szCs w:val="20"/>
              </w:rPr>
              <w:t>780</w:t>
            </w:r>
          </w:p>
        </w:tc>
      </w:tr>
      <w:tr w:rsidR="00D34D92" w:rsidRPr="009423C3" w14:paraId="13A77BE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618D8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COMPRARA PTY LTD</w:t>
            </w:r>
          </w:p>
        </w:tc>
        <w:tc>
          <w:tcPr>
            <w:tcW w:w="4896" w:type="dxa"/>
            <w:tcBorders>
              <w:top w:val="single" w:sz="4" w:space="0" w:color="FFFFFF" w:themeColor="background1"/>
              <w:bottom w:val="single" w:sz="4" w:space="0" w:color="53565A" w:themeColor="accent5"/>
            </w:tcBorders>
          </w:tcPr>
          <w:p w14:paraId="75806FED" w14:textId="072C9AF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52D44D" w14:textId="375902E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10,800</w:t>
            </w:r>
          </w:p>
        </w:tc>
      </w:tr>
      <w:tr w:rsidR="00D34D92" w:rsidRPr="009423C3" w14:paraId="5926366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B48C59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CONSULTING BY DESIGN</w:t>
            </w:r>
          </w:p>
        </w:tc>
        <w:tc>
          <w:tcPr>
            <w:tcW w:w="4896" w:type="dxa"/>
            <w:tcBorders>
              <w:top w:val="single" w:sz="4" w:space="0" w:color="FFFFFF" w:themeColor="background1"/>
              <w:bottom w:val="single" w:sz="4" w:space="0" w:color="53565A" w:themeColor="accent5"/>
            </w:tcBorders>
          </w:tcPr>
          <w:p w14:paraId="51D079E2" w14:textId="401C81B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5E0B901" w14:textId="5CE2D12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3,750</w:t>
            </w:r>
          </w:p>
        </w:tc>
      </w:tr>
      <w:tr w:rsidR="00D34D92" w:rsidRPr="009423C3" w14:paraId="527B200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01DB7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CONVERGE INTERNATIONAL INCORPORATING RESOLUTIONSRTK PTY LTD</w:t>
            </w:r>
          </w:p>
        </w:tc>
        <w:tc>
          <w:tcPr>
            <w:tcW w:w="4896" w:type="dxa"/>
            <w:tcBorders>
              <w:top w:val="single" w:sz="4" w:space="0" w:color="FFFFFF" w:themeColor="background1"/>
              <w:bottom w:val="single" w:sz="4" w:space="0" w:color="53565A" w:themeColor="accent5"/>
            </w:tcBorders>
          </w:tcPr>
          <w:p w14:paraId="244E54F4" w14:textId="65C52269"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w:t>
            </w:r>
            <w:r w:rsidR="00674596">
              <w:rPr>
                <w:rFonts w:ascii="Calibri" w:eastAsia="Times New Roman" w:hAnsi="Calibri" w:cs="Calibri"/>
                <w:color w:val="000000"/>
                <w:szCs w:val="20"/>
                <w:lang w:val="en-AU" w:eastAsia="en-AU"/>
              </w:rPr>
              <w:t xml:space="preserve">uman </w:t>
            </w:r>
            <w:r w:rsidR="004E51C7">
              <w:rPr>
                <w:rFonts w:ascii="Calibri" w:eastAsia="Times New Roman" w:hAnsi="Calibri" w:cs="Calibri"/>
                <w:color w:val="000000"/>
                <w:szCs w:val="20"/>
                <w:lang w:val="en-AU" w:eastAsia="en-AU"/>
              </w:rPr>
              <w:t>r</w:t>
            </w:r>
            <w:r w:rsidR="00674596">
              <w:rPr>
                <w:rFonts w:ascii="Calibri" w:eastAsia="Times New Roman" w:hAnsi="Calibri" w:cs="Calibri"/>
                <w:color w:val="000000"/>
                <w:szCs w:val="20"/>
                <w:lang w:val="en-AU" w:eastAsia="en-AU"/>
              </w:rPr>
              <w:t>esources</w:t>
            </w:r>
            <w:r w:rsidRPr="008457E1">
              <w:rPr>
                <w:rFonts w:ascii="Calibri" w:eastAsia="Times New Roman" w:hAnsi="Calibri" w:cs="Calibri"/>
                <w:color w:val="000000"/>
                <w:szCs w:val="20"/>
                <w:lang w:val="en-AU" w:eastAsia="en-AU"/>
              </w:rPr>
              <w:t xml:space="preserve"> </w:t>
            </w:r>
            <w:r w:rsidR="004E51C7">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6C1DE8DC" w14:textId="0137F70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309,</w:t>
            </w:r>
            <w:r w:rsidR="005976C1" w:rsidRPr="00925213">
              <w:rPr>
                <w:rFonts w:ascii="Calibri" w:hAnsi="Calibri" w:cs="Calibri"/>
                <w:color w:val="000000"/>
                <w:szCs w:val="20"/>
              </w:rPr>
              <w:t>228</w:t>
            </w:r>
          </w:p>
        </w:tc>
      </w:tr>
      <w:tr w:rsidR="00D34D92" w:rsidRPr="009423C3" w14:paraId="1024C71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88994B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COOL BANANAS SERVICES PTY LTD</w:t>
            </w:r>
          </w:p>
        </w:tc>
        <w:tc>
          <w:tcPr>
            <w:tcW w:w="4896" w:type="dxa"/>
            <w:tcBorders>
              <w:top w:val="single" w:sz="4" w:space="0" w:color="FFFFFF" w:themeColor="background1"/>
              <w:bottom w:val="single" w:sz="4" w:space="0" w:color="53565A" w:themeColor="accent5"/>
            </w:tcBorders>
          </w:tcPr>
          <w:p w14:paraId="311B5CAB" w14:textId="0D565C2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1BECF56" w14:textId="782E806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13,715</w:t>
            </w:r>
          </w:p>
        </w:tc>
      </w:tr>
      <w:tr w:rsidR="00D34D92" w:rsidRPr="009423C3" w14:paraId="44FC704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DF6CE0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CORPORATE TRAVEL MANAGEMENT GROUP PTY LTD</w:t>
            </w:r>
          </w:p>
        </w:tc>
        <w:tc>
          <w:tcPr>
            <w:tcW w:w="4896" w:type="dxa"/>
            <w:tcBorders>
              <w:top w:val="single" w:sz="4" w:space="0" w:color="FFFFFF" w:themeColor="background1"/>
              <w:bottom w:val="single" w:sz="4" w:space="0" w:color="53565A" w:themeColor="accent5"/>
            </w:tcBorders>
          </w:tcPr>
          <w:p w14:paraId="304B632C" w14:textId="39BE68A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7286D78" w14:textId="61FD6A27"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1,426</w:t>
            </w:r>
          </w:p>
        </w:tc>
      </w:tr>
      <w:tr w:rsidR="00D34D92" w:rsidRPr="009423C3" w14:paraId="15EE288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36D46C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CORRS CHAMBERS WESTGARTH SOLICITORS</w:t>
            </w:r>
          </w:p>
        </w:tc>
        <w:tc>
          <w:tcPr>
            <w:tcW w:w="4896" w:type="dxa"/>
            <w:tcBorders>
              <w:top w:val="single" w:sz="4" w:space="0" w:color="FFFFFF" w:themeColor="background1"/>
              <w:bottom w:val="single" w:sz="4" w:space="0" w:color="53565A" w:themeColor="accent5"/>
            </w:tcBorders>
          </w:tcPr>
          <w:p w14:paraId="32408C4B" w14:textId="6FECE73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152F0D6" w14:textId="59046E4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18,946</w:t>
            </w:r>
          </w:p>
        </w:tc>
      </w:tr>
      <w:tr w:rsidR="00D34D92" w:rsidRPr="009423C3" w14:paraId="04A910E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963E6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CRAIG NATALIE</w:t>
            </w:r>
          </w:p>
        </w:tc>
        <w:tc>
          <w:tcPr>
            <w:tcW w:w="4896" w:type="dxa"/>
            <w:tcBorders>
              <w:top w:val="single" w:sz="4" w:space="0" w:color="FFFFFF" w:themeColor="background1"/>
              <w:bottom w:val="single" w:sz="4" w:space="0" w:color="53565A" w:themeColor="accent5"/>
            </w:tcBorders>
          </w:tcPr>
          <w:p w14:paraId="5AE5C4F2" w14:textId="63CF5B0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BC160BD" w14:textId="2EEE115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w:t>
            </w:r>
            <w:r w:rsidR="005976C1" w:rsidRPr="00925213">
              <w:rPr>
                <w:rFonts w:ascii="Calibri" w:hAnsi="Calibri" w:cs="Calibri"/>
                <w:color w:val="000000"/>
                <w:szCs w:val="20"/>
              </w:rPr>
              <w:t>781</w:t>
            </w:r>
          </w:p>
        </w:tc>
      </w:tr>
      <w:tr w:rsidR="00D34D92" w:rsidRPr="009423C3" w14:paraId="4970A5F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FAF48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CROCK VERMONT FAMILY TRUST</w:t>
            </w:r>
          </w:p>
        </w:tc>
        <w:tc>
          <w:tcPr>
            <w:tcW w:w="4896" w:type="dxa"/>
            <w:tcBorders>
              <w:top w:val="single" w:sz="4" w:space="0" w:color="FFFFFF" w:themeColor="background1"/>
              <w:bottom w:val="single" w:sz="4" w:space="0" w:color="53565A" w:themeColor="accent5"/>
            </w:tcBorders>
          </w:tcPr>
          <w:p w14:paraId="0A8444ED" w14:textId="6897467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F54F611" w14:textId="2A9AE62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w:t>
            </w:r>
            <w:r w:rsidR="005976C1" w:rsidRPr="00925213">
              <w:rPr>
                <w:rFonts w:ascii="Calibri" w:hAnsi="Calibri" w:cs="Calibri"/>
                <w:color w:val="000000"/>
                <w:szCs w:val="20"/>
              </w:rPr>
              <w:t>363</w:t>
            </w:r>
          </w:p>
        </w:tc>
      </w:tr>
      <w:tr w:rsidR="00D34D92" w:rsidRPr="009423C3" w14:paraId="74D0A27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9BF2F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CROSSETT CONSULTING SERVICES</w:t>
            </w:r>
          </w:p>
        </w:tc>
        <w:tc>
          <w:tcPr>
            <w:tcW w:w="4896" w:type="dxa"/>
            <w:tcBorders>
              <w:top w:val="single" w:sz="4" w:space="0" w:color="FFFFFF" w:themeColor="background1"/>
              <w:bottom w:val="single" w:sz="4" w:space="0" w:color="53565A" w:themeColor="accent5"/>
            </w:tcBorders>
          </w:tcPr>
          <w:p w14:paraId="56C589DC" w14:textId="32F27CE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3468E5E" w14:textId="1FE7277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2,656</w:t>
            </w:r>
          </w:p>
        </w:tc>
      </w:tr>
      <w:tr w:rsidR="00D34D92" w:rsidRPr="009423C3" w14:paraId="22ECFE9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F55B8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CROWE JUDITH</w:t>
            </w:r>
          </w:p>
        </w:tc>
        <w:tc>
          <w:tcPr>
            <w:tcW w:w="4896" w:type="dxa"/>
            <w:tcBorders>
              <w:top w:val="single" w:sz="4" w:space="0" w:color="FFFFFF" w:themeColor="background1"/>
              <w:bottom w:val="single" w:sz="4" w:space="0" w:color="53565A" w:themeColor="accent5"/>
            </w:tcBorders>
          </w:tcPr>
          <w:p w14:paraId="19C497EB" w14:textId="3B3994E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604D85C" w14:textId="3C641D7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11,757</w:t>
            </w:r>
          </w:p>
        </w:tc>
      </w:tr>
      <w:tr w:rsidR="00D34D92" w:rsidRPr="009423C3" w14:paraId="71230EE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8EEBC8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CTA PARTNERS</w:t>
            </w:r>
          </w:p>
        </w:tc>
        <w:tc>
          <w:tcPr>
            <w:tcW w:w="4896" w:type="dxa"/>
            <w:tcBorders>
              <w:top w:val="single" w:sz="4" w:space="0" w:color="FFFFFF" w:themeColor="background1"/>
              <w:bottom w:val="single" w:sz="4" w:space="0" w:color="53565A" w:themeColor="accent5"/>
            </w:tcBorders>
          </w:tcPr>
          <w:p w14:paraId="79C3FF5A" w14:textId="594558C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F281E66" w14:textId="5DCA7A68"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7,088</w:t>
            </w:r>
          </w:p>
        </w:tc>
      </w:tr>
      <w:tr w:rsidR="00D34D92" w:rsidRPr="009423C3" w14:paraId="2178BC4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FF009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CTS ELECTRICAL AND AUTOMATION SERVICES</w:t>
            </w:r>
          </w:p>
        </w:tc>
        <w:tc>
          <w:tcPr>
            <w:tcW w:w="4896" w:type="dxa"/>
            <w:tcBorders>
              <w:top w:val="single" w:sz="4" w:space="0" w:color="FFFFFF" w:themeColor="background1"/>
              <w:bottom w:val="single" w:sz="4" w:space="0" w:color="53565A" w:themeColor="accent5"/>
            </w:tcBorders>
          </w:tcPr>
          <w:p w14:paraId="19C690E0" w14:textId="3DB2B89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71B0AA0E" w14:textId="5609BF63"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2,669</w:t>
            </w:r>
          </w:p>
        </w:tc>
      </w:tr>
      <w:tr w:rsidR="00D34D92" w:rsidRPr="009423C3" w14:paraId="5DAA218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DB6D2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CUA MADDISON</w:t>
            </w:r>
          </w:p>
        </w:tc>
        <w:tc>
          <w:tcPr>
            <w:tcW w:w="4896" w:type="dxa"/>
            <w:tcBorders>
              <w:top w:val="single" w:sz="4" w:space="0" w:color="FFFFFF" w:themeColor="background1"/>
              <w:bottom w:val="single" w:sz="4" w:space="0" w:color="53565A" w:themeColor="accent5"/>
            </w:tcBorders>
          </w:tcPr>
          <w:p w14:paraId="0FF7FD1D" w14:textId="548117D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7B609FE" w14:textId="502922A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15,098</w:t>
            </w:r>
          </w:p>
        </w:tc>
      </w:tr>
      <w:tr w:rsidR="00D34D92" w:rsidRPr="009423C3" w14:paraId="0BA12A9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2D5F49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CUBE GROUP MANAGEMENT CONSULTING (AUSTRALIA) PTY LTD</w:t>
            </w:r>
          </w:p>
        </w:tc>
        <w:tc>
          <w:tcPr>
            <w:tcW w:w="4896" w:type="dxa"/>
            <w:tcBorders>
              <w:top w:val="single" w:sz="4" w:space="0" w:color="FFFFFF" w:themeColor="background1"/>
              <w:bottom w:val="single" w:sz="4" w:space="0" w:color="53565A" w:themeColor="accent5"/>
            </w:tcBorders>
          </w:tcPr>
          <w:p w14:paraId="4516156F" w14:textId="6325A93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B411A76" w14:textId="47E0CCD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56,719</w:t>
            </w:r>
          </w:p>
        </w:tc>
      </w:tr>
      <w:tr w:rsidR="00D34D92" w:rsidRPr="009423C3" w14:paraId="1ED204A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0EB90F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CUFFE JESSICA TERESA</w:t>
            </w:r>
          </w:p>
        </w:tc>
        <w:tc>
          <w:tcPr>
            <w:tcW w:w="4896" w:type="dxa"/>
            <w:tcBorders>
              <w:top w:val="single" w:sz="4" w:space="0" w:color="FFFFFF" w:themeColor="background1"/>
              <w:bottom w:val="single" w:sz="4" w:space="0" w:color="53565A" w:themeColor="accent5"/>
            </w:tcBorders>
          </w:tcPr>
          <w:p w14:paraId="282415DD" w14:textId="29B115F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B678E7D" w14:textId="53162E9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21,818</w:t>
            </w:r>
          </w:p>
        </w:tc>
      </w:tr>
      <w:tr w:rsidR="00D34D92" w:rsidRPr="009423C3" w14:paraId="0BC4DAA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A09AA8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 AND D TAXATION CONSULTING PTY LTD</w:t>
            </w:r>
          </w:p>
        </w:tc>
        <w:tc>
          <w:tcPr>
            <w:tcW w:w="4896" w:type="dxa"/>
            <w:tcBorders>
              <w:top w:val="single" w:sz="4" w:space="0" w:color="FFFFFF" w:themeColor="background1"/>
              <w:bottom w:val="single" w:sz="4" w:space="0" w:color="53565A" w:themeColor="accent5"/>
            </w:tcBorders>
          </w:tcPr>
          <w:p w14:paraId="5FDFBC6E" w14:textId="68AB23B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vAlign w:val="center"/>
          </w:tcPr>
          <w:p w14:paraId="254CBB94" w14:textId="46E3BC2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45,863</w:t>
            </w:r>
          </w:p>
        </w:tc>
      </w:tr>
      <w:tr w:rsidR="00D34D92" w:rsidRPr="009423C3" w14:paraId="7BE0339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A053A3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D.K GILLETT &amp; G.C GILLIES</w:t>
            </w:r>
          </w:p>
        </w:tc>
        <w:tc>
          <w:tcPr>
            <w:tcW w:w="4896" w:type="dxa"/>
            <w:tcBorders>
              <w:top w:val="single" w:sz="4" w:space="0" w:color="FFFFFF" w:themeColor="background1"/>
              <w:bottom w:val="single" w:sz="4" w:space="0" w:color="53565A" w:themeColor="accent5"/>
            </w:tcBorders>
          </w:tcPr>
          <w:p w14:paraId="5597525B" w14:textId="6A697D5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93F48FF" w14:textId="4094815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4,000</w:t>
            </w:r>
          </w:p>
        </w:tc>
      </w:tr>
      <w:tr w:rsidR="00D34D92" w:rsidRPr="009423C3" w14:paraId="74CB3B3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3289A6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DANDOLO INTERNATIONAL PTY LTD</w:t>
            </w:r>
          </w:p>
        </w:tc>
        <w:tc>
          <w:tcPr>
            <w:tcW w:w="4896" w:type="dxa"/>
            <w:tcBorders>
              <w:top w:val="single" w:sz="4" w:space="0" w:color="FFFFFF" w:themeColor="background1"/>
              <w:bottom w:val="single" w:sz="4" w:space="0" w:color="53565A" w:themeColor="accent5"/>
            </w:tcBorders>
          </w:tcPr>
          <w:p w14:paraId="27B813D9" w14:textId="5D61678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DE28AC" w14:textId="376B322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1,130,</w:t>
            </w:r>
            <w:r w:rsidR="005976C1" w:rsidRPr="00925213">
              <w:rPr>
                <w:rFonts w:ascii="Calibri" w:hAnsi="Calibri" w:cs="Calibri"/>
                <w:color w:val="000000"/>
                <w:szCs w:val="20"/>
              </w:rPr>
              <w:t>173</w:t>
            </w:r>
          </w:p>
        </w:tc>
      </w:tr>
      <w:tr w:rsidR="00D34D92" w:rsidRPr="009423C3" w14:paraId="162A74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AB293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DATATIME SERVICES PTY LTD</w:t>
            </w:r>
          </w:p>
        </w:tc>
        <w:tc>
          <w:tcPr>
            <w:tcW w:w="4896" w:type="dxa"/>
            <w:tcBorders>
              <w:top w:val="single" w:sz="4" w:space="0" w:color="FFFFFF" w:themeColor="background1"/>
              <w:bottom w:val="single" w:sz="4" w:space="0" w:color="53565A" w:themeColor="accent5"/>
            </w:tcBorders>
          </w:tcPr>
          <w:p w14:paraId="4859B9A3" w14:textId="56361AB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5339010" w14:textId="14987BE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w:t>
            </w:r>
            <w:r w:rsidR="005976C1" w:rsidRPr="00925213">
              <w:rPr>
                <w:rFonts w:ascii="Calibri" w:hAnsi="Calibri" w:cs="Calibri"/>
                <w:color w:val="000000"/>
                <w:szCs w:val="20"/>
              </w:rPr>
              <w:t>494</w:t>
            </w:r>
          </w:p>
        </w:tc>
      </w:tr>
      <w:tr w:rsidR="00D34D92" w:rsidRPr="009423C3" w14:paraId="4F4EBDE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B9BAA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DAVID MOORE</w:t>
            </w:r>
          </w:p>
        </w:tc>
        <w:tc>
          <w:tcPr>
            <w:tcW w:w="4896" w:type="dxa"/>
            <w:tcBorders>
              <w:top w:val="single" w:sz="4" w:space="0" w:color="FFFFFF" w:themeColor="background1"/>
              <w:bottom w:val="single" w:sz="4" w:space="0" w:color="53565A" w:themeColor="accent5"/>
            </w:tcBorders>
          </w:tcPr>
          <w:p w14:paraId="713B3E02" w14:textId="256A888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8C6D7BA" w14:textId="28697AC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14,000</w:t>
            </w:r>
          </w:p>
        </w:tc>
      </w:tr>
      <w:tr w:rsidR="00D34D92" w:rsidRPr="009423C3" w14:paraId="6C4994B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AD9389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DAVID TYSON</w:t>
            </w:r>
          </w:p>
        </w:tc>
        <w:tc>
          <w:tcPr>
            <w:tcW w:w="4896" w:type="dxa"/>
            <w:tcBorders>
              <w:top w:val="single" w:sz="4" w:space="0" w:color="FFFFFF" w:themeColor="background1"/>
              <w:bottom w:val="single" w:sz="4" w:space="0" w:color="53565A" w:themeColor="accent5"/>
            </w:tcBorders>
          </w:tcPr>
          <w:p w14:paraId="1A5DC11E" w14:textId="70B8E6A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9C66CD3" w14:textId="7EFD57B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2,855</w:t>
            </w:r>
          </w:p>
        </w:tc>
      </w:tr>
      <w:tr w:rsidR="00D34D92" w:rsidRPr="009423C3" w14:paraId="31077AE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DB4E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DAVID YOUNGER PSYCHOLOGY</w:t>
            </w:r>
          </w:p>
        </w:tc>
        <w:tc>
          <w:tcPr>
            <w:tcW w:w="4896" w:type="dxa"/>
            <w:tcBorders>
              <w:top w:val="single" w:sz="4" w:space="0" w:color="FFFFFF" w:themeColor="background1"/>
              <w:bottom w:val="single" w:sz="4" w:space="0" w:color="53565A" w:themeColor="accent5"/>
            </w:tcBorders>
          </w:tcPr>
          <w:p w14:paraId="4156E850" w14:textId="285EA12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E1B1BD4" w14:textId="3683132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34,</w:t>
            </w:r>
            <w:r w:rsidR="005976C1" w:rsidRPr="00925213">
              <w:rPr>
                <w:rFonts w:ascii="Calibri" w:hAnsi="Calibri" w:cs="Calibri"/>
                <w:color w:val="000000"/>
                <w:szCs w:val="20"/>
              </w:rPr>
              <w:t>830</w:t>
            </w:r>
          </w:p>
        </w:tc>
      </w:tr>
      <w:tr w:rsidR="00D34D92" w:rsidRPr="009423C3" w14:paraId="56CA7DB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0265B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DAVIDSON EXECUTIVE AND BOARDS PTY LTD</w:t>
            </w:r>
          </w:p>
        </w:tc>
        <w:tc>
          <w:tcPr>
            <w:tcW w:w="4896" w:type="dxa"/>
            <w:tcBorders>
              <w:top w:val="single" w:sz="4" w:space="0" w:color="FFFFFF" w:themeColor="background1"/>
              <w:bottom w:val="single" w:sz="4" w:space="0" w:color="53565A" w:themeColor="accent5"/>
            </w:tcBorders>
          </w:tcPr>
          <w:p w14:paraId="020575CD" w14:textId="7F9146A9"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2E6936">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2684FC29" w14:textId="759C5A4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91,</w:t>
            </w:r>
            <w:r w:rsidR="005976C1" w:rsidRPr="00925213">
              <w:rPr>
                <w:rFonts w:ascii="Calibri" w:hAnsi="Calibri" w:cs="Calibri"/>
                <w:color w:val="000000"/>
                <w:szCs w:val="20"/>
              </w:rPr>
              <w:t>667</w:t>
            </w:r>
          </w:p>
        </w:tc>
      </w:tr>
      <w:tr w:rsidR="00D34D92" w:rsidRPr="009423C3" w14:paraId="4233023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450D7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DAVISON CHRISTINE MARY</w:t>
            </w:r>
          </w:p>
        </w:tc>
        <w:tc>
          <w:tcPr>
            <w:tcW w:w="4896" w:type="dxa"/>
            <w:tcBorders>
              <w:top w:val="single" w:sz="4" w:space="0" w:color="FFFFFF" w:themeColor="background1"/>
              <w:bottom w:val="single" w:sz="4" w:space="0" w:color="53565A" w:themeColor="accent5"/>
            </w:tcBorders>
          </w:tcPr>
          <w:p w14:paraId="4122C5CE" w14:textId="089547F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E0B4A6C" w14:textId="371D2DE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4,800</w:t>
            </w:r>
          </w:p>
        </w:tc>
      </w:tr>
      <w:tr w:rsidR="00D34D92" w:rsidRPr="009423C3" w14:paraId="5C7ED33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9E9419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DDLS AUSTRALIA PTY LIMITED</w:t>
            </w:r>
          </w:p>
        </w:tc>
        <w:tc>
          <w:tcPr>
            <w:tcW w:w="4896" w:type="dxa"/>
            <w:tcBorders>
              <w:top w:val="single" w:sz="4" w:space="0" w:color="FFFFFF" w:themeColor="background1"/>
              <w:bottom w:val="single" w:sz="4" w:space="0" w:color="53565A" w:themeColor="accent5"/>
            </w:tcBorders>
          </w:tcPr>
          <w:p w14:paraId="4486F602" w14:textId="65DD8FA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89879A1" w14:textId="5BD139D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5,100</w:t>
            </w:r>
          </w:p>
        </w:tc>
      </w:tr>
      <w:tr w:rsidR="00D34D92" w:rsidRPr="009423C3" w14:paraId="752502E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87A4BB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DEAKIN UNIVERSITY</w:t>
            </w:r>
          </w:p>
        </w:tc>
        <w:tc>
          <w:tcPr>
            <w:tcW w:w="4896" w:type="dxa"/>
            <w:tcBorders>
              <w:top w:val="single" w:sz="4" w:space="0" w:color="FFFFFF" w:themeColor="background1"/>
              <w:bottom w:val="single" w:sz="4" w:space="0" w:color="53565A" w:themeColor="accent5"/>
            </w:tcBorders>
          </w:tcPr>
          <w:p w14:paraId="56B65CD4" w14:textId="5699892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D140C34" w14:textId="1BA26B8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3,037,005</w:t>
            </w:r>
          </w:p>
        </w:tc>
      </w:tr>
      <w:tr w:rsidR="00D34D92" w:rsidRPr="009423C3" w14:paraId="5233F3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ED33D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DELOITTE ACCESS ECONOMICS</w:t>
            </w:r>
          </w:p>
        </w:tc>
        <w:tc>
          <w:tcPr>
            <w:tcW w:w="4896" w:type="dxa"/>
            <w:tcBorders>
              <w:top w:val="single" w:sz="4" w:space="0" w:color="FFFFFF" w:themeColor="background1"/>
              <w:bottom w:val="single" w:sz="4" w:space="0" w:color="53565A" w:themeColor="accent5"/>
            </w:tcBorders>
          </w:tcPr>
          <w:p w14:paraId="51EB2D9A" w14:textId="58A1CDD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6414D01" w14:textId="3F1D35A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1,210,</w:t>
            </w:r>
            <w:r w:rsidR="005976C1" w:rsidRPr="00925213">
              <w:rPr>
                <w:rFonts w:ascii="Calibri" w:hAnsi="Calibri" w:cs="Calibri"/>
                <w:color w:val="000000"/>
                <w:szCs w:val="20"/>
              </w:rPr>
              <w:t>335</w:t>
            </w:r>
          </w:p>
        </w:tc>
      </w:tr>
      <w:tr w:rsidR="00D34D92" w:rsidRPr="009423C3" w14:paraId="768BCA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E22DA9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DELOITTE TOUCHE TOHMATSU</w:t>
            </w:r>
          </w:p>
        </w:tc>
        <w:tc>
          <w:tcPr>
            <w:tcW w:w="4896" w:type="dxa"/>
            <w:tcBorders>
              <w:top w:val="single" w:sz="4" w:space="0" w:color="FFFFFF" w:themeColor="background1"/>
              <w:bottom w:val="single" w:sz="4" w:space="0" w:color="53565A" w:themeColor="accent5"/>
            </w:tcBorders>
          </w:tcPr>
          <w:p w14:paraId="0A29A65C" w14:textId="28EF3DC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ADFCB6B" w14:textId="491123B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1,670,508</w:t>
            </w:r>
          </w:p>
        </w:tc>
      </w:tr>
      <w:tr w:rsidR="00D34D92" w:rsidRPr="009423C3" w14:paraId="3241223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DD8EC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DENCH MCCLEAN CARLSON PTY LTD</w:t>
            </w:r>
          </w:p>
        </w:tc>
        <w:tc>
          <w:tcPr>
            <w:tcW w:w="4896" w:type="dxa"/>
            <w:tcBorders>
              <w:top w:val="single" w:sz="4" w:space="0" w:color="FFFFFF" w:themeColor="background1"/>
              <w:bottom w:val="single" w:sz="4" w:space="0" w:color="53565A" w:themeColor="accent5"/>
            </w:tcBorders>
          </w:tcPr>
          <w:p w14:paraId="2DBAF375" w14:textId="2DCDF89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81AABE3" w14:textId="2D20F35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33,735</w:t>
            </w:r>
          </w:p>
        </w:tc>
      </w:tr>
      <w:tr w:rsidR="00D34D92" w:rsidRPr="009423C3" w14:paraId="31CC3E4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CB8B4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DESIGN STATE</w:t>
            </w:r>
          </w:p>
        </w:tc>
        <w:tc>
          <w:tcPr>
            <w:tcW w:w="4896" w:type="dxa"/>
            <w:tcBorders>
              <w:top w:val="single" w:sz="4" w:space="0" w:color="FFFFFF" w:themeColor="background1"/>
              <w:bottom w:val="single" w:sz="4" w:space="0" w:color="53565A" w:themeColor="accent5"/>
            </w:tcBorders>
          </w:tcPr>
          <w:p w14:paraId="26A9F137" w14:textId="2EFE8E08"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0979216" w14:textId="4424EA7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7,080</w:t>
            </w:r>
          </w:p>
        </w:tc>
      </w:tr>
      <w:tr w:rsidR="00D34D92" w:rsidRPr="009423C3" w14:paraId="4BA86C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7E971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DESTE CONSULTING SERVICES</w:t>
            </w:r>
          </w:p>
        </w:tc>
        <w:tc>
          <w:tcPr>
            <w:tcW w:w="4896" w:type="dxa"/>
            <w:tcBorders>
              <w:top w:val="single" w:sz="4" w:space="0" w:color="FFFFFF" w:themeColor="background1"/>
              <w:bottom w:val="single" w:sz="4" w:space="0" w:color="53565A" w:themeColor="accent5"/>
            </w:tcBorders>
          </w:tcPr>
          <w:p w14:paraId="2A773103" w14:textId="4FEFC38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9A009E5" w14:textId="3CC9AC5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14,000</w:t>
            </w:r>
          </w:p>
        </w:tc>
      </w:tr>
      <w:tr w:rsidR="00D34D92" w:rsidRPr="009423C3" w14:paraId="51E6D05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631A2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DEVEREUX PETER M</w:t>
            </w:r>
          </w:p>
        </w:tc>
        <w:tc>
          <w:tcPr>
            <w:tcW w:w="4896" w:type="dxa"/>
            <w:tcBorders>
              <w:top w:val="single" w:sz="4" w:space="0" w:color="FFFFFF" w:themeColor="background1"/>
              <w:bottom w:val="single" w:sz="4" w:space="0" w:color="53565A" w:themeColor="accent5"/>
            </w:tcBorders>
          </w:tcPr>
          <w:p w14:paraId="4FEEA1DB" w14:textId="2CF5D4F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0C4330A" w14:textId="2292E0B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11,200</w:t>
            </w:r>
          </w:p>
        </w:tc>
      </w:tr>
      <w:tr w:rsidR="00D34D92" w:rsidRPr="009423C3" w14:paraId="74AD602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D44F7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DIALOG INFORMATION TECHNOLOGY</w:t>
            </w:r>
          </w:p>
        </w:tc>
        <w:tc>
          <w:tcPr>
            <w:tcW w:w="4896" w:type="dxa"/>
            <w:tcBorders>
              <w:top w:val="single" w:sz="4" w:space="0" w:color="FFFFFF" w:themeColor="background1"/>
              <w:bottom w:val="single" w:sz="4" w:space="0" w:color="53565A" w:themeColor="accent5"/>
            </w:tcBorders>
          </w:tcPr>
          <w:p w14:paraId="51F83262" w14:textId="416B860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9B1CA5F" w14:textId="3926A1C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551,</w:t>
            </w:r>
            <w:r w:rsidR="005976C1" w:rsidRPr="00925213">
              <w:rPr>
                <w:rFonts w:ascii="Calibri" w:hAnsi="Calibri" w:cs="Calibri"/>
                <w:color w:val="000000"/>
                <w:szCs w:val="20"/>
              </w:rPr>
              <w:t>413</w:t>
            </w:r>
          </w:p>
        </w:tc>
      </w:tr>
      <w:tr w:rsidR="00D34D92" w:rsidRPr="009423C3" w14:paraId="66F6740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A4E702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DIXON APPOINTMENTS PTY LTD</w:t>
            </w:r>
          </w:p>
        </w:tc>
        <w:tc>
          <w:tcPr>
            <w:tcW w:w="4896" w:type="dxa"/>
            <w:tcBorders>
              <w:top w:val="single" w:sz="4" w:space="0" w:color="FFFFFF" w:themeColor="background1"/>
              <w:bottom w:val="single" w:sz="4" w:space="0" w:color="53565A" w:themeColor="accent5"/>
            </w:tcBorders>
          </w:tcPr>
          <w:p w14:paraId="6E30E2ED" w14:textId="24798271"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647E93BC" w14:textId="58CF040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121,</w:t>
            </w:r>
            <w:r w:rsidR="005976C1" w:rsidRPr="00925213">
              <w:rPr>
                <w:rFonts w:ascii="Calibri" w:hAnsi="Calibri" w:cs="Calibri"/>
                <w:color w:val="000000"/>
                <w:szCs w:val="20"/>
              </w:rPr>
              <w:t>353</w:t>
            </w:r>
          </w:p>
        </w:tc>
      </w:tr>
      <w:tr w:rsidR="00D34D92" w:rsidRPr="009423C3" w14:paraId="3519E33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CE1D7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DLR Consulting - Debra Russell</w:t>
            </w:r>
          </w:p>
        </w:tc>
        <w:tc>
          <w:tcPr>
            <w:tcW w:w="4896" w:type="dxa"/>
            <w:tcBorders>
              <w:top w:val="single" w:sz="4" w:space="0" w:color="FFFFFF" w:themeColor="background1"/>
              <w:bottom w:val="single" w:sz="4" w:space="0" w:color="53565A" w:themeColor="accent5"/>
            </w:tcBorders>
          </w:tcPr>
          <w:p w14:paraId="594E224B" w14:textId="2E183ED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58687F1" w14:textId="78B94ED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6,151</w:t>
            </w:r>
          </w:p>
        </w:tc>
      </w:tr>
      <w:tr w:rsidR="00D34D92" w:rsidRPr="009423C3" w14:paraId="0AA884D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2EBDC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DORRAT LOUISE MAREE</w:t>
            </w:r>
          </w:p>
        </w:tc>
        <w:tc>
          <w:tcPr>
            <w:tcW w:w="4896" w:type="dxa"/>
            <w:tcBorders>
              <w:top w:val="single" w:sz="4" w:space="0" w:color="FFFFFF" w:themeColor="background1"/>
              <w:bottom w:val="single" w:sz="4" w:space="0" w:color="53565A" w:themeColor="accent5"/>
            </w:tcBorders>
          </w:tcPr>
          <w:p w14:paraId="45342EE0" w14:textId="03B132E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DF71333" w14:textId="1FA7974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22,200</w:t>
            </w:r>
          </w:p>
        </w:tc>
      </w:tr>
      <w:tr w:rsidR="00D34D92" w:rsidRPr="009423C3" w14:paraId="228B495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DFCE29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DP COACHING SOLUTIONS</w:t>
            </w:r>
          </w:p>
        </w:tc>
        <w:tc>
          <w:tcPr>
            <w:tcW w:w="4896" w:type="dxa"/>
            <w:tcBorders>
              <w:top w:val="single" w:sz="4" w:space="0" w:color="FFFFFF" w:themeColor="background1"/>
              <w:bottom w:val="single" w:sz="4" w:space="0" w:color="53565A" w:themeColor="accent5"/>
            </w:tcBorders>
          </w:tcPr>
          <w:p w14:paraId="698D23A0" w14:textId="27033A8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69CA5A3" w14:textId="427F1C5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15,000</w:t>
            </w:r>
          </w:p>
        </w:tc>
      </w:tr>
      <w:tr w:rsidR="00D34D92" w:rsidRPr="009423C3" w14:paraId="2B6D0A5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8A44E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DPR AND CO PTY LTD</w:t>
            </w:r>
          </w:p>
        </w:tc>
        <w:tc>
          <w:tcPr>
            <w:tcW w:w="4896" w:type="dxa"/>
            <w:tcBorders>
              <w:top w:val="single" w:sz="4" w:space="0" w:color="FFFFFF" w:themeColor="background1"/>
              <w:bottom w:val="single" w:sz="4" w:space="0" w:color="53565A" w:themeColor="accent5"/>
            </w:tcBorders>
          </w:tcPr>
          <w:p w14:paraId="5781729C" w14:textId="530A9A0C"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6B26E0">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1C16A2B7" w14:textId="54B7C55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43,596</w:t>
            </w:r>
          </w:p>
        </w:tc>
      </w:tr>
      <w:tr w:rsidR="00D34D92" w:rsidRPr="009423C3" w14:paraId="4996309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33815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DR TERRANCE SCOTT</w:t>
            </w:r>
          </w:p>
        </w:tc>
        <w:tc>
          <w:tcPr>
            <w:tcW w:w="4896" w:type="dxa"/>
            <w:tcBorders>
              <w:top w:val="single" w:sz="4" w:space="0" w:color="FFFFFF" w:themeColor="background1"/>
              <w:bottom w:val="single" w:sz="4" w:space="0" w:color="53565A" w:themeColor="accent5"/>
            </w:tcBorders>
          </w:tcPr>
          <w:p w14:paraId="7FF6454A" w14:textId="1DE89FA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5CD21CB" w14:textId="664E0ABF"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3,957</w:t>
            </w:r>
          </w:p>
        </w:tc>
      </w:tr>
      <w:tr w:rsidR="00D34D92" w:rsidRPr="009423C3" w14:paraId="1FC11C9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1D3653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DRA COMPUTING PTY LTD</w:t>
            </w:r>
          </w:p>
        </w:tc>
        <w:tc>
          <w:tcPr>
            <w:tcW w:w="4896" w:type="dxa"/>
            <w:tcBorders>
              <w:top w:val="single" w:sz="4" w:space="0" w:color="FFFFFF" w:themeColor="background1"/>
              <w:bottom w:val="single" w:sz="4" w:space="0" w:color="53565A" w:themeColor="accent5"/>
            </w:tcBorders>
          </w:tcPr>
          <w:p w14:paraId="45DE4CE3" w14:textId="154CA3B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C3887DD" w14:textId="08D8455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2,143</w:t>
            </w:r>
          </w:p>
        </w:tc>
      </w:tr>
      <w:tr w:rsidR="00D34D92" w:rsidRPr="009423C3" w14:paraId="7A14157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73086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DUNN RYAN ANTHONY</w:t>
            </w:r>
          </w:p>
        </w:tc>
        <w:tc>
          <w:tcPr>
            <w:tcW w:w="4896" w:type="dxa"/>
            <w:tcBorders>
              <w:top w:val="single" w:sz="4" w:space="0" w:color="FFFFFF" w:themeColor="background1"/>
              <w:bottom w:val="single" w:sz="4" w:space="0" w:color="53565A" w:themeColor="accent5"/>
            </w:tcBorders>
          </w:tcPr>
          <w:p w14:paraId="2E1623B2" w14:textId="3FFD18F7"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22643A0F" w14:textId="4FDA273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3,250</w:t>
            </w:r>
          </w:p>
        </w:tc>
      </w:tr>
      <w:tr w:rsidR="00D34D92" w:rsidRPr="009423C3" w14:paraId="4BEAE5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890D3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DXC PROFESSIONAL SOLUTIONS PTY LIMITED</w:t>
            </w:r>
          </w:p>
        </w:tc>
        <w:tc>
          <w:tcPr>
            <w:tcW w:w="4896" w:type="dxa"/>
            <w:tcBorders>
              <w:top w:val="single" w:sz="4" w:space="0" w:color="FFFFFF" w:themeColor="background1"/>
              <w:bottom w:val="single" w:sz="4" w:space="0" w:color="53565A" w:themeColor="accent5"/>
            </w:tcBorders>
          </w:tcPr>
          <w:p w14:paraId="77CBCDDD" w14:textId="503BB8E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A598FC" w14:textId="554BD8B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1,512,388</w:t>
            </w:r>
          </w:p>
        </w:tc>
      </w:tr>
      <w:tr w:rsidR="00D34D92" w:rsidRPr="009423C3" w14:paraId="547D113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D75ECB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DYNAMIC EQUILIBRIUM PTY LTD</w:t>
            </w:r>
          </w:p>
        </w:tc>
        <w:tc>
          <w:tcPr>
            <w:tcW w:w="4896" w:type="dxa"/>
            <w:tcBorders>
              <w:top w:val="single" w:sz="4" w:space="0" w:color="FFFFFF" w:themeColor="background1"/>
              <w:bottom w:val="single" w:sz="4" w:space="0" w:color="53565A" w:themeColor="accent5"/>
            </w:tcBorders>
          </w:tcPr>
          <w:p w14:paraId="000686FE" w14:textId="21435D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5756A56" w14:textId="172AE78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283,656</w:t>
            </w:r>
          </w:p>
        </w:tc>
      </w:tr>
      <w:tr w:rsidR="00D34D92" w:rsidRPr="009423C3" w14:paraId="6915E2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0AB7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 CENTRICINNOVATIONS PTY LTD</w:t>
            </w:r>
          </w:p>
        </w:tc>
        <w:tc>
          <w:tcPr>
            <w:tcW w:w="4896" w:type="dxa"/>
            <w:tcBorders>
              <w:top w:val="single" w:sz="4" w:space="0" w:color="FFFFFF" w:themeColor="background1"/>
              <w:bottom w:val="single" w:sz="4" w:space="0" w:color="53565A" w:themeColor="accent5"/>
            </w:tcBorders>
          </w:tcPr>
          <w:p w14:paraId="7F1F50AF" w14:textId="57E94E4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F674D85" w14:textId="0EDC5E0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384,</w:t>
            </w:r>
            <w:r w:rsidR="005976C1" w:rsidRPr="00925213">
              <w:rPr>
                <w:rFonts w:ascii="Calibri" w:hAnsi="Calibri" w:cs="Calibri"/>
                <w:color w:val="000000"/>
                <w:szCs w:val="20"/>
              </w:rPr>
              <w:t>038</w:t>
            </w:r>
          </w:p>
        </w:tc>
      </w:tr>
      <w:tr w:rsidR="00D34D92" w:rsidRPr="009423C3" w14:paraId="34519F3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A1F39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 CREATORS PTY LIMITED</w:t>
            </w:r>
          </w:p>
        </w:tc>
        <w:tc>
          <w:tcPr>
            <w:tcW w:w="4896" w:type="dxa"/>
            <w:tcBorders>
              <w:top w:val="single" w:sz="4" w:space="0" w:color="FFFFFF" w:themeColor="background1"/>
              <w:bottom w:val="single" w:sz="4" w:space="0" w:color="53565A" w:themeColor="accent5"/>
            </w:tcBorders>
          </w:tcPr>
          <w:p w14:paraId="6B0B1862" w14:textId="33192A4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3B365B5" w14:textId="11E2750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95,</w:t>
            </w:r>
            <w:r w:rsidR="005976C1" w:rsidRPr="00925213">
              <w:rPr>
                <w:rFonts w:ascii="Calibri" w:hAnsi="Calibri" w:cs="Calibri"/>
                <w:color w:val="000000"/>
                <w:szCs w:val="20"/>
              </w:rPr>
              <w:t>887</w:t>
            </w:r>
          </w:p>
        </w:tc>
      </w:tr>
      <w:tr w:rsidR="00D34D92" w:rsidRPr="009423C3" w14:paraId="2223DCB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A556E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EARLY CHILDHOOD AUSTRALIA</w:t>
            </w:r>
          </w:p>
        </w:tc>
        <w:tc>
          <w:tcPr>
            <w:tcW w:w="4896" w:type="dxa"/>
            <w:tcBorders>
              <w:top w:val="single" w:sz="4" w:space="0" w:color="FFFFFF" w:themeColor="background1"/>
              <w:bottom w:val="single" w:sz="4" w:space="0" w:color="53565A" w:themeColor="accent5"/>
            </w:tcBorders>
          </w:tcPr>
          <w:p w14:paraId="7A7ED6D5" w14:textId="4663F8E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732D21">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F04B1BF" w14:textId="6352B5A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50,200</w:t>
            </w:r>
          </w:p>
        </w:tc>
      </w:tr>
      <w:tr w:rsidR="00D34D92" w:rsidRPr="009423C3" w14:paraId="00532CF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D6CA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EASTERN VOLUNTEER RESOURCE CENTRE INC</w:t>
            </w:r>
          </w:p>
        </w:tc>
        <w:tc>
          <w:tcPr>
            <w:tcW w:w="4896" w:type="dxa"/>
            <w:tcBorders>
              <w:top w:val="single" w:sz="4" w:space="0" w:color="FFFFFF" w:themeColor="background1"/>
              <w:bottom w:val="single" w:sz="4" w:space="0" w:color="53565A" w:themeColor="accent5"/>
            </w:tcBorders>
          </w:tcPr>
          <w:p w14:paraId="4F10F97B" w14:textId="35B92A6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93FD174" w14:textId="5A58C7B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106,750</w:t>
            </w:r>
          </w:p>
        </w:tc>
      </w:tr>
      <w:tr w:rsidR="00D34D92" w:rsidRPr="009423C3" w14:paraId="6009866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F0500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EAWARDS</w:t>
            </w:r>
          </w:p>
        </w:tc>
        <w:tc>
          <w:tcPr>
            <w:tcW w:w="4896" w:type="dxa"/>
            <w:tcBorders>
              <w:top w:val="single" w:sz="4" w:space="0" w:color="FFFFFF" w:themeColor="background1"/>
              <w:bottom w:val="single" w:sz="4" w:space="0" w:color="53565A" w:themeColor="accent5"/>
            </w:tcBorders>
          </w:tcPr>
          <w:p w14:paraId="4B39F527" w14:textId="0B9D399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97EC99F" w14:textId="4F12591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2,177</w:t>
            </w:r>
          </w:p>
        </w:tc>
      </w:tr>
      <w:tr w:rsidR="00D34D92" w:rsidRPr="009423C3" w14:paraId="38AAB8B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759BE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EB2B.COM PTY. LTD.</w:t>
            </w:r>
          </w:p>
        </w:tc>
        <w:tc>
          <w:tcPr>
            <w:tcW w:w="4896" w:type="dxa"/>
            <w:tcBorders>
              <w:top w:val="single" w:sz="4" w:space="0" w:color="FFFFFF" w:themeColor="background1"/>
              <w:bottom w:val="single" w:sz="4" w:space="0" w:color="53565A" w:themeColor="accent5"/>
            </w:tcBorders>
          </w:tcPr>
          <w:p w14:paraId="02EB6E4D" w14:textId="7587DBF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CF330FA" w14:textId="54A3B6C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5,400</w:t>
            </w:r>
          </w:p>
        </w:tc>
      </w:tr>
      <w:tr w:rsidR="00D34D92" w:rsidRPr="009423C3" w14:paraId="0ECA98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87D49C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 SUPPORT COACHING AND MENTORING</w:t>
            </w:r>
          </w:p>
        </w:tc>
        <w:tc>
          <w:tcPr>
            <w:tcW w:w="4896" w:type="dxa"/>
            <w:tcBorders>
              <w:top w:val="single" w:sz="4" w:space="0" w:color="FFFFFF" w:themeColor="background1"/>
              <w:bottom w:val="single" w:sz="4" w:space="0" w:color="53565A" w:themeColor="accent5"/>
            </w:tcBorders>
          </w:tcPr>
          <w:p w14:paraId="49843674" w14:textId="5B415E2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E841F0">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7029CDD7" w14:textId="6051C72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36,541</w:t>
            </w:r>
          </w:p>
        </w:tc>
      </w:tr>
      <w:tr w:rsidR="00D34D92" w:rsidRPr="009423C3" w14:paraId="0312BF8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D54FFA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EDIFIED PTY LTD</w:t>
            </w:r>
          </w:p>
        </w:tc>
        <w:tc>
          <w:tcPr>
            <w:tcW w:w="4896" w:type="dxa"/>
            <w:tcBorders>
              <w:top w:val="single" w:sz="4" w:space="0" w:color="FFFFFF" w:themeColor="background1"/>
              <w:bottom w:val="single" w:sz="4" w:space="0" w:color="53565A" w:themeColor="accent5"/>
            </w:tcBorders>
          </w:tcPr>
          <w:p w14:paraId="10E0D4A8" w14:textId="3B97C4D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5C3874">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ssessment </w:t>
            </w:r>
            <w:r w:rsidR="005C3874">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1C4AF7D7" w14:textId="209A7D3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17,500</w:t>
            </w:r>
          </w:p>
        </w:tc>
      </w:tr>
      <w:tr w:rsidR="00D34D92" w:rsidRPr="009423C3" w14:paraId="5B5EA60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4AA8B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EDPARTNERSHIPS INTERNATIONAL PTY LTD</w:t>
            </w:r>
          </w:p>
        </w:tc>
        <w:tc>
          <w:tcPr>
            <w:tcW w:w="4896" w:type="dxa"/>
            <w:tcBorders>
              <w:top w:val="single" w:sz="4" w:space="0" w:color="FFFFFF" w:themeColor="background1"/>
              <w:bottom w:val="single" w:sz="4" w:space="0" w:color="53565A" w:themeColor="accent5"/>
            </w:tcBorders>
          </w:tcPr>
          <w:p w14:paraId="28381675" w14:textId="0770F3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AC24F08" w14:textId="14F63F8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1,288,946</w:t>
            </w:r>
          </w:p>
        </w:tc>
      </w:tr>
      <w:tr w:rsidR="00D34D92" w:rsidRPr="009423C3" w14:paraId="6986EC5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13707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EDUCATION EVERYWHERE PTY LTD</w:t>
            </w:r>
          </w:p>
        </w:tc>
        <w:tc>
          <w:tcPr>
            <w:tcW w:w="4896" w:type="dxa"/>
            <w:tcBorders>
              <w:top w:val="single" w:sz="4" w:space="0" w:color="FFFFFF" w:themeColor="background1"/>
              <w:bottom w:val="single" w:sz="4" w:space="0" w:color="53565A" w:themeColor="accent5"/>
            </w:tcBorders>
          </w:tcPr>
          <w:p w14:paraId="59CF076F" w14:textId="48928B2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765D049D" w14:textId="42C9316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36,575</w:t>
            </w:r>
          </w:p>
        </w:tc>
      </w:tr>
      <w:tr w:rsidR="00D34D92" w:rsidRPr="009423C3" w14:paraId="2DBB4BD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8251E9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EDUCATION SERVICES AUSTRALIA LIMITED (EDUCATION COUNCIL)</w:t>
            </w:r>
          </w:p>
        </w:tc>
        <w:tc>
          <w:tcPr>
            <w:tcW w:w="4896" w:type="dxa"/>
            <w:tcBorders>
              <w:top w:val="single" w:sz="4" w:space="0" w:color="FFFFFF" w:themeColor="background1"/>
              <w:bottom w:val="single" w:sz="4" w:space="0" w:color="53565A" w:themeColor="accent5"/>
            </w:tcBorders>
          </w:tcPr>
          <w:p w14:paraId="43128887" w14:textId="66D6D83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90C7397" w14:textId="2CA5D2B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55,717</w:t>
            </w:r>
          </w:p>
        </w:tc>
      </w:tr>
      <w:tr w:rsidR="00D34D92" w:rsidRPr="009423C3" w14:paraId="0BB521D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55829E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EDVALUATE PTY LTD</w:t>
            </w:r>
          </w:p>
        </w:tc>
        <w:tc>
          <w:tcPr>
            <w:tcW w:w="4896" w:type="dxa"/>
            <w:tcBorders>
              <w:top w:val="single" w:sz="4" w:space="0" w:color="FFFFFF" w:themeColor="background1"/>
              <w:bottom w:val="single" w:sz="4" w:space="0" w:color="53565A" w:themeColor="accent5"/>
            </w:tcBorders>
          </w:tcPr>
          <w:p w14:paraId="224B62E0" w14:textId="406604C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11CDF73" w14:textId="71C90A3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6,750</w:t>
            </w:r>
          </w:p>
        </w:tc>
      </w:tr>
      <w:tr w:rsidR="00D34D92" w:rsidRPr="009423C3" w14:paraId="6E1C741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DFC72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EDVIEWS</w:t>
            </w:r>
          </w:p>
        </w:tc>
        <w:tc>
          <w:tcPr>
            <w:tcW w:w="4896" w:type="dxa"/>
            <w:tcBorders>
              <w:top w:val="single" w:sz="4" w:space="0" w:color="FFFFFF" w:themeColor="background1"/>
              <w:bottom w:val="single" w:sz="4" w:space="0" w:color="53565A" w:themeColor="accent5"/>
            </w:tcBorders>
          </w:tcPr>
          <w:p w14:paraId="29E8677B" w14:textId="41F2EF0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3D6AFA0" w14:textId="5BCB4EA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38,</w:t>
            </w:r>
            <w:r w:rsidR="005976C1" w:rsidRPr="00925213">
              <w:rPr>
                <w:rFonts w:ascii="Calibri" w:hAnsi="Calibri" w:cs="Calibri"/>
                <w:color w:val="000000"/>
                <w:szCs w:val="20"/>
              </w:rPr>
              <w:t>661</w:t>
            </w:r>
          </w:p>
        </w:tc>
      </w:tr>
      <w:tr w:rsidR="00D34D92" w:rsidRPr="009423C3" w14:paraId="6B8B62D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9DECC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ELITE PERFORMANCE PTY LTD</w:t>
            </w:r>
          </w:p>
        </w:tc>
        <w:tc>
          <w:tcPr>
            <w:tcW w:w="4896" w:type="dxa"/>
            <w:tcBorders>
              <w:top w:val="single" w:sz="4" w:space="0" w:color="FFFFFF" w:themeColor="background1"/>
              <w:bottom w:val="single" w:sz="4" w:space="0" w:color="53565A" w:themeColor="accent5"/>
            </w:tcBorders>
          </w:tcPr>
          <w:p w14:paraId="499122C0" w14:textId="4D0485D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FEEE9C7" w14:textId="5B51AB2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7,500</w:t>
            </w:r>
          </w:p>
        </w:tc>
      </w:tr>
      <w:tr w:rsidR="00D34D92" w:rsidRPr="009423C3" w14:paraId="58C9987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5AB88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ELM TEC PTY LTD</w:t>
            </w:r>
          </w:p>
        </w:tc>
        <w:tc>
          <w:tcPr>
            <w:tcW w:w="4896" w:type="dxa"/>
            <w:tcBorders>
              <w:top w:val="single" w:sz="4" w:space="0" w:color="FFFFFF" w:themeColor="background1"/>
              <w:bottom w:val="single" w:sz="4" w:space="0" w:color="53565A" w:themeColor="accent5"/>
            </w:tcBorders>
          </w:tcPr>
          <w:p w14:paraId="7C64F8EA" w14:textId="2BF1F5E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8AE10DC" w14:textId="5E5C882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6,600</w:t>
            </w:r>
          </w:p>
        </w:tc>
      </w:tr>
      <w:tr w:rsidR="00D34D92" w:rsidRPr="009423C3" w14:paraId="68FE822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8EB17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ELMO SOFTWARE LIMITED</w:t>
            </w:r>
          </w:p>
        </w:tc>
        <w:tc>
          <w:tcPr>
            <w:tcW w:w="4896" w:type="dxa"/>
            <w:tcBorders>
              <w:top w:val="single" w:sz="4" w:space="0" w:color="FFFFFF" w:themeColor="background1"/>
              <w:bottom w:val="single" w:sz="4" w:space="0" w:color="53565A" w:themeColor="accent5"/>
            </w:tcBorders>
          </w:tcPr>
          <w:p w14:paraId="7DF33B89" w14:textId="0BE9EBB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773FE343" w14:textId="347E54E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56,905</w:t>
            </w:r>
          </w:p>
        </w:tc>
      </w:tr>
      <w:tr w:rsidR="00D34D92" w:rsidRPr="009423C3" w14:paraId="756E096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6D3823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ELR SOFTWARE PTY LTD</w:t>
            </w:r>
          </w:p>
        </w:tc>
        <w:tc>
          <w:tcPr>
            <w:tcW w:w="4896" w:type="dxa"/>
            <w:tcBorders>
              <w:top w:val="single" w:sz="4" w:space="0" w:color="FFFFFF" w:themeColor="background1"/>
              <w:bottom w:val="single" w:sz="4" w:space="0" w:color="53565A" w:themeColor="accent5"/>
            </w:tcBorders>
          </w:tcPr>
          <w:p w14:paraId="7B371101" w14:textId="57F169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A9446D5" w14:textId="2A831E79"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2,633</w:t>
            </w:r>
          </w:p>
        </w:tc>
      </w:tr>
      <w:tr w:rsidR="00D34D92" w:rsidRPr="009423C3" w14:paraId="2652378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6BC52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EMPIRED LTD</w:t>
            </w:r>
          </w:p>
        </w:tc>
        <w:tc>
          <w:tcPr>
            <w:tcW w:w="4896" w:type="dxa"/>
            <w:tcBorders>
              <w:top w:val="single" w:sz="4" w:space="0" w:color="FFFFFF" w:themeColor="background1"/>
              <w:bottom w:val="single" w:sz="4" w:space="0" w:color="53565A" w:themeColor="accent5"/>
            </w:tcBorders>
          </w:tcPr>
          <w:p w14:paraId="56784CDA" w14:textId="266EA80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0292A8C" w14:textId="1EA4A25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184,</w:t>
            </w:r>
            <w:r w:rsidR="005976C1" w:rsidRPr="00925213">
              <w:rPr>
                <w:rFonts w:ascii="Calibri" w:hAnsi="Calibri" w:cs="Calibri"/>
                <w:color w:val="000000"/>
                <w:szCs w:val="20"/>
              </w:rPr>
              <w:t>539</w:t>
            </w:r>
          </w:p>
        </w:tc>
      </w:tr>
      <w:tr w:rsidR="00D34D92" w:rsidRPr="009423C3" w14:paraId="3F8B57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28AA0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ENABLE WORKPLACE CONSULTING PTY LTD</w:t>
            </w:r>
          </w:p>
        </w:tc>
        <w:tc>
          <w:tcPr>
            <w:tcW w:w="4896" w:type="dxa"/>
            <w:tcBorders>
              <w:top w:val="single" w:sz="4" w:space="0" w:color="FFFFFF" w:themeColor="background1"/>
              <w:bottom w:val="single" w:sz="4" w:space="0" w:color="53565A" w:themeColor="accent5"/>
            </w:tcBorders>
          </w:tcPr>
          <w:p w14:paraId="2210B288" w14:textId="5A4A6BE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59DBDE8" w14:textId="3A2D592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18,635</w:t>
            </w:r>
          </w:p>
        </w:tc>
      </w:tr>
      <w:tr w:rsidR="00D34D92" w:rsidRPr="009423C3" w14:paraId="0E4A8EA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A6E5D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ENCOMPASSING EDUCATION</w:t>
            </w:r>
          </w:p>
        </w:tc>
        <w:tc>
          <w:tcPr>
            <w:tcW w:w="4896" w:type="dxa"/>
            <w:tcBorders>
              <w:top w:val="single" w:sz="4" w:space="0" w:color="FFFFFF" w:themeColor="background1"/>
              <w:bottom w:val="single" w:sz="4" w:space="0" w:color="53565A" w:themeColor="accent5"/>
            </w:tcBorders>
          </w:tcPr>
          <w:p w14:paraId="20CB5340" w14:textId="300D39D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0E20D0">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33458D4D" w14:textId="4970A86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w:t>
            </w:r>
            <w:r w:rsidR="005976C1" w:rsidRPr="00925213">
              <w:rPr>
                <w:rFonts w:ascii="Calibri" w:hAnsi="Calibri" w:cs="Calibri"/>
                <w:color w:val="000000"/>
                <w:szCs w:val="20"/>
              </w:rPr>
              <w:t>199</w:t>
            </w:r>
          </w:p>
        </w:tc>
      </w:tr>
      <w:tr w:rsidR="00D34D92" w:rsidRPr="009423C3" w14:paraId="6D9703C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4F61A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END TO END CONSULTANCY SERVICES PTY LTD</w:t>
            </w:r>
          </w:p>
        </w:tc>
        <w:tc>
          <w:tcPr>
            <w:tcW w:w="4896" w:type="dxa"/>
            <w:tcBorders>
              <w:top w:val="single" w:sz="4" w:space="0" w:color="FFFFFF" w:themeColor="background1"/>
              <w:bottom w:val="single" w:sz="4" w:space="0" w:color="53565A" w:themeColor="accent5"/>
            </w:tcBorders>
          </w:tcPr>
          <w:p w14:paraId="49630EDA" w14:textId="280E8B7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83D9556" w14:textId="6F1DB23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20,000</w:t>
            </w:r>
          </w:p>
        </w:tc>
      </w:tr>
      <w:tr w:rsidR="00D34D92" w:rsidRPr="009423C3" w14:paraId="0BE045B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787C6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ENERGY FACTORY</w:t>
            </w:r>
          </w:p>
        </w:tc>
        <w:tc>
          <w:tcPr>
            <w:tcW w:w="4896" w:type="dxa"/>
            <w:tcBorders>
              <w:top w:val="single" w:sz="4" w:space="0" w:color="FFFFFF" w:themeColor="background1"/>
              <w:bottom w:val="single" w:sz="4" w:space="0" w:color="53565A" w:themeColor="accent5"/>
            </w:tcBorders>
          </w:tcPr>
          <w:p w14:paraId="0A493B30" w14:textId="40AD41B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67043A8" w14:textId="0CA6F63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1,297</w:t>
            </w:r>
          </w:p>
        </w:tc>
      </w:tr>
      <w:tr w:rsidR="00D34D92" w:rsidRPr="009423C3" w14:paraId="5556C61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E06F5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ENOSYS SOLUTIONS PTY LTD</w:t>
            </w:r>
          </w:p>
        </w:tc>
        <w:tc>
          <w:tcPr>
            <w:tcW w:w="4896" w:type="dxa"/>
            <w:tcBorders>
              <w:top w:val="single" w:sz="4" w:space="0" w:color="FFFFFF" w:themeColor="background1"/>
              <w:bottom w:val="single" w:sz="4" w:space="0" w:color="53565A" w:themeColor="accent5"/>
            </w:tcBorders>
          </w:tcPr>
          <w:p w14:paraId="7E1BB32B" w14:textId="1A57784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7B567AB" w14:textId="4078DD4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9,191</w:t>
            </w:r>
          </w:p>
        </w:tc>
      </w:tr>
      <w:tr w:rsidR="00D34D92" w:rsidRPr="009423C3" w14:paraId="414C796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FA385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ENRIGHT KEVIN</w:t>
            </w:r>
          </w:p>
        </w:tc>
        <w:tc>
          <w:tcPr>
            <w:tcW w:w="4896" w:type="dxa"/>
            <w:tcBorders>
              <w:top w:val="single" w:sz="4" w:space="0" w:color="FFFFFF" w:themeColor="background1"/>
              <w:bottom w:val="single" w:sz="4" w:space="0" w:color="53565A" w:themeColor="accent5"/>
            </w:tcBorders>
          </w:tcPr>
          <w:p w14:paraId="264F8512" w14:textId="0847C7D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3B0D0F0" w14:textId="4F8070F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15,952</w:t>
            </w:r>
          </w:p>
        </w:tc>
      </w:tr>
      <w:tr w:rsidR="00D34D92" w:rsidRPr="009423C3" w14:paraId="614AC15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D9512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ENRUSK LLC</w:t>
            </w:r>
          </w:p>
        </w:tc>
        <w:tc>
          <w:tcPr>
            <w:tcW w:w="4896" w:type="dxa"/>
            <w:tcBorders>
              <w:top w:val="single" w:sz="4" w:space="0" w:color="FFFFFF" w:themeColor="background1"/>
              <w:bottom w:val="single" w:sz="4" w:space="0" w:color="53565A" w:themeColor="accent5"/>
            </w:tcBorders>
          </w:tcPr>
          <w:p w14:paraId="050C54D7" w14:textId="7408572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51F6AA3" w14:textId="26C2E86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146,996</w:t>
            </w:r>
          </w:p>
        </w:tc>
      </w:tr>
      <w:tr w:rsidR="00D34D92" w:rsidRPr="009423C3" w14:paraId="73506E1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BE7DD1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EPIQ AUSTRALIA PTY LTD</w:t>
            </w:r>
          </w:p>
        </w:tc>
        <w:tc>
          <w:tcPr>
            <w:tcW w:w="4896" w:type="dxa"/>
            <w:tcBorders>
              <w:top w:val="single" w:sz="4" w:space="0" w:color="FFFFFF" w:themeColor="background1"/>
              <w:bottom w:val="single" w:sz="4" w:space="0" w:color="53565A" w:themeColor="accent5"/>
            </w:tcBorders>
          </w:tcPr>
          <w:p w14:paraId="59192420" w14:textId="123F77C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48BD3FD" w14:textId="74240BFB"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1,470</w:t>
            </w:r>
          </w:p>
        </w:tc>
      </w:tr>
      <w:tr w:rsidR="00D34D92" w:rsidRPr="009423C3" w14:paraId="707DDAD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9D739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EQUIFAX AUSTRALASIA CREDIT RATINGS PTY LTD</w:t>
            </w:r>
          </w:p>
        </w:tc>
        <w:tc>
          <w:tcPr>
            <w:tcW w:w="4896" w:type="dxa"/>
            <w:tcBorders>
              <w:top w:val="single" w:sz="4" w:space="0" w:color="FFFFFF" w:themeColor="background1"/>
              <w:bottom w:val="single" w:sz="4" w:space="0" w:color="53565A" w:themeColor="accent5"/>
            </w:tcBorders>
          </w:tcPr>
          <w:p w14:paraId="0668BAC8" w14:textId="762E823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vAlign w:val="center"/>
          </w:tcPr>
          <w:p w14:paraId="7AD24A6B" w14:textId="01F04B7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143,418</w:t>
            </w:r>
          </w:p>
        </w:tc>
      </w:tr>
      <w:tr w:rsidR="00D34D92" w:rsidRPr="009423C3" w14:paraId="2B1E596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4045C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ERGON COMMUNICATIONS</w:t>
            </w:r>
          </w:p>
        </w:tc>
        <w:tc>
          <w:tcPr>
            <w:tcW w:w="4896" w:type="dxa"/>
            <w:tcBorders>
              <w:top w:val="single" w:sz="4" w:space="0" w:color="FFFFFF" w:themeColor="background1"/>
              <w:bottom w:val="single" w:sz="4" w:space="0" w:color="53565A" w:themeColor="accent5"/>
            </w:tcBorders>
          </w:tcPr>
          <w:p w14:paraId="67C22355" w14:textId="2042DC4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DD262A0" w14:textId="38ED186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5CA3F36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659D1D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ERNST AND YOUNG</w:t>
            </w:r>
          </w:p>
        </w:tc>
        <w:tc>
          <w:tcPr>
            <w:tcW w:w="4896" w:type="dxa"/>
            <w:tcBorders>
              <w:top w:val="single" w:sz="4" w:space="0" w:color="FFFFFF" w:themeColor="background1"/>
              <w:bottom w:val="single" w:sz="4" w:space="0" w:color="53565A" w:themeColor="accent5"/>
            </w:tcBorders>
          </w:tcPr>
          <w:p w14:paraId="7ED3E8C3" w14:textId="5590AAD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29581DE" w14:textId="4E2F7A5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1,397,731</w:t>
            </w:r>
          </w:p>
        </w:tc>
      </w:tr>
      <w:tr w:rsidR="00D34D92" w:rsidRPr="009423C3" w14:paraId="56A90EE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8BD4A0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ETHAN GROUP PTY LTD</w:t>
            </w:r>
          </w:p>
        </w:tc>
        <w:tc>
          <w:tcPr>
            <w:tcW w:w="4896" w:type="dxa"/>
            <w:tcBorders>
              <w:top w:val="single" w:sz="4" w:space="0" w:color="FFFFFF" w:themeColor="background1"/>
              <w:bottom w:val="single" w:sz="4" w:space="0" w:color="53565A" w:themeColor="accent5"/>
            </w:tcBorders>
          </w:tcPr>
          <w:p w14:paraId="30CE9ED4" w14:textId="6F809A1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1AFF726" w14:textId="3AA577C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57,</w:t>
            </w:r>
            <w:r w:rsidR="005976C1" w:rsidRPr="00925213">
              <w:rPr>
                <w:rFonts w:ascii="Calibri" w:hAnsi="Calibri" w:cs="Calibri"/>
                <w:color w:val="000000"/>
                <w:szCs w:val="20"/>
              </w:rPr>
              <w:t>100</w:t>
            </w:r>
          </w:p>
        </w:tc>
      </w:tr>
      <w:tr w:rsidR="00D34D92" w:rsidRPr="009423C3" w14:paraId="161270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EAD59D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EVALUATION ASSOCIATES</w:t>
            </w:r>
          </w:p>
        </w:tc>
        <w:tc>
          <w:tcPr>
            <w:tcW w:w="4896" w:type="dxa"/>
            <w:tcBorders>
              <w:top w:val="single" w:sz="4" w:space="0" w:color="FFFFFF" w:themeColor="background1"/>
              <w:bottom w:val="single" w:sz="4" w:space="0" w:color="53565A" w:themeColor="accent5"/>
            </w:tcBorders>
          </w:tcPr>
          <w:p w14:paraId="4B5C2DC6" w14:textId="54F4D86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A54E643" w14:textId="258D59E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104,350</w:t>
            </w:r>
          </w:p>
        </w:tc>
      </w:tr>
      <w:tr w:rsidR="00D34D92" w:rsidRPr="009423C3" w14:paraId="185F000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6B439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EVENTFUL LEARNING CO PTY LTD</w:t>
            </w:r>
          </w:p>
        </w:tc>
        <w:tc>
          <w:tcPr>
            <w:tcW w:w="4896" w:type="dxa"/>
            <w:tcBorders>
              <w:top w:val="single" w:sz="4" w:space="0" w:color="FFFFFF" w:themeColor="background1"/>
              <w:bottom w:val="single" w:sz="4" w:space="0" w:color="53565A" w:themeColor="accent5"/>
            </w:tcBorders>
          </w:tcPr>
          <w:p w14:paraId="1A0DD1BA" w14:textId="72BBF9E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F33916F" w14:textId="6289292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44,900</w:t>
            </w:r>
          </w:p>
        </w:tc>
      </w:tr>
      <w:tr w:rsidR="00D34D92" w:rsidRPr="009423C3" w14:paraId="42E6F26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90E8E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EVIE BRADLEY PSYCHOLOGY SERVICES</w:t>
            </w:r>
          </w:p>
        </w:tc>
        <w:tc>
          <w:tcPr>
            <w:tcW w:w="4896" w:type="dxa"/>
            <w:tcBorders>
              <w:top w:val="single" w:sz="4" w:space="0" w:color="FFFFFF" w:themeColor="background1"/>
              <w:bottom w:val="single" w:sz="4" w:space="0" w:color="53565A" w:themeColor="accent5"/>
            </w:tcBorders>
          </w:tcPr>
          <w:p w14:paraId="4544CAE0" w14:textId="17A3594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B27DA19" w14:textId="1253A52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10,625</w:t>
            </w:r>
          </w:p>
        </w:tc>
      </w:tr>
      <w:tr w:rsidR="00D34D92" w:rsidRPr="009423C3" w14:paraId="3998E93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EE6D6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EXCEL4APPS PTY LTD</w:t>
            </w:r>
          </w:p>
        </w:tc>
        <w:tc>
          <w:tcPr>
            <w:tcW w:w="4896" w:type="dxa"/>
            <w:tcBorders>
              <w:top w:val="single" w:sz="4" w:space="0" w:color="FFFFFF" w:themeColor="background1"/>
              <w:bottom w:val="single" w:sz="4" w:space="0" w:color="53565A" w:themeColor="accent5"/>
            </w:tcBorders>
          </w:tcPr>
          <w:p w14:paraId="45E7D84B" w14:textId="1533FDE5"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vAlign w:val="center"/>
          </w:tcPr>
          <w:p w14:paraId="6A6180D9" w14:textId="4F97187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2,400</w:t>
            </w:r>
          </w:p>
        </w:tc>
      </w:tr>
      <w:tr w:rsidR="00D34D92" w:rsidRPr="009423C3" w14:paraId="19CFEC2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A388B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EXPERIAN AUSTRALIA PTY LTD</w:t>
            </w:r>
          </w:p>
        </w:tc>
        <w:tc>
          <w:tcPr>
            <w:tcW w:w="4896" w:type="dxa"/>
            <w:tcBorders>
              <w:top w:val="single" w:sz="4" w:space="0" w:color="FFFFFF" w:themeColor="background1"/>
              <w:bottom w:val="single" w:sz="4" w:space="0" w:color="53565A" w:themeColor="accent5"/>
            </w:tcBorders>
          </w:tcPr>
          <w:p w14:paraId="265CB082" w14:textId="0BB366F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CEC218D" w14:textId="162A376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w:t>
            </w:r>
            <w:r w:rsidR="005976C1" w:rsidRPr="00925213">
              <w:rPr>
                <w:rFonts w:ascii="Calibri" w:hAnsi="Calibri" w:cs="Calibri"/>
                <w:color w:val="000000"/>
                <w:szCs w:val="20"/>
              </w:rPr>
              <w:t>113</w:t>
            </w:r>
          </w:p>
        </w:tc>
      </w:tr>
      <w:tr w:rsidR="00D34D92" w:rsidRPr="009423C3" w14:paraId="4C06801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8A3440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EY IDENTITY PTY LTD</w:t>
            </w:r>
          </w:p>
        </w:tc>
        <w:tc>
          <w:tcPr>
            <w:tcW w:w="4896" w:type="dxa"/>
            <w:tcBorders>
              <w:top w:val="single" w:sz="4" w:space="0" w:color="FFFFFF" w:themeColor="background1"/>
              <w:bottom w:val="single" w:sz="4" w:space="0" w:color="53565A" w:themeColor="accent5"/>
            </w:tcBorders>
          </w:tcPr>
          <w:p w14:paraId="0A765CD3" w14:textId="0119AC9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9D3C3AB" w14:textId="2FABBC3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239,</w:t>
            </w:r>
            <w:r w:rsidR="005976C1" w:rsidRPr="00925213">
              <w:rPr>
                <w:rFonts w:ascii="Calibri" w:hAnsi="Calibri" w:cs="Calibri"/>
                <w:color w:val="000000"/>
                <w:szCs w:val="20"/>
              </w:rPr>
              <w:t>483</w:t>
            </w:r>
          </w:p>
        </w:tc>
      </w:tr>
      <w:tr w:rsidR="00D34D92" w:rsidRPr="009423C3" w14:paraId="2F008CA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6CCDB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EYRES AND ASSOCIATES</w:t>
            </w:r>
          </w:p>
        </w:tc>
        <w:tc>
          <w:tcPr>
            <w:tcW w:w="4896" w:type="dxa"/>
            <w:tcBorders>
              <w:top w:val="single" w:sz="4" w:space="0" w:color="FFFFFF" w:themeColor="background1"/>
              <w:bottom w:val="single" w:sz="4" w:space="0" w:color="53565A" w:themeColor="accent5"/>
            </w:tcBorders>
          </w:tcPr>
          <w:p w14:paraId="591BE940" w14:textId="1758850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1ED00FF2" w14:textId="6BABD68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21,650</w:t>
            </w:r>
          </w:p>
        </w:tc>
      </w:tr>
      <w:tr w:rsidR="00D34D92" w:rsidRPr="009423C3" w14:paraId="5E19DDF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1FF4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FBG GROUP</w:t>
            </w:r>
          </w:p>
        </w:tc>
        <w:tc>
          <w:tcPr>
            <w:tcW w:w="4896" w:type="dxa"/>
            <w:tcBorders>
              <w:top w:val="single" w:sz="4" w:space="0" w:color="FFFFFF" w:themeColor="background1"/>
              <w:bottom w:val="single" w:sz="4" w:space="0" w:color="53565A" w:themeColor="accent5"/>
            </w:tcBorders>
          </w:tcPr>
          <w:p w14:paraId="3C02F16C" w14:textId="3C3D1C4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7F49C37" w14:textId="6F4AC2E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304,493</w:t>
            </w:r>
          </w:p>
        </w:tc>
      </w:tr>
      <w:tr w:rsidR="00D34D92" w:rsidRPr="009423C3" w14:paraId="6DAC46E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16553D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FENTON STEPHENS PTY LTD</w:t>
            </w:r>
          </w:p>
        </w:tc>
        <w:tc>
          <w:tcPr>
            <w:tcW w:w="4896" w:type="dxa"/>
            <w:tcBorders>
              <w:top w:val="single" w:sz="4" w:space="0" w:color="FFFFFF" w:themeColor="background1"/>
              <w:bottom w:val="single" w:sz="4" w:space="0" w:color="53565A" w:themeColor="accent5"/>
            </w:tcBorders>
          </w:tcPr>
          <w:p w14:paraId="474DB299" w14:textId="631C181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AC97579" w14:textId="563565B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52,</w:t>
            </w:r>
            <w:r w:rsidR="005976C1" w:rsidRPr="00925213">
              <w:rPr>
                <w:rFonts w:ascii="Calibri" w:hAnsi="Calibri" w:cs="Calibri"/>
                <w:color w:val="000000"/>
                <w:szCs w:val="20"/>
              </w:rPr>
              <w:t>668</w:t>
            </w:r>
          </w:p>
        </w:tc>
      </w:tr>
      <w:tr w:rsidR="00D34D92" w:rsidRPr="009423C3" w14:paraId="0065CCD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529ACC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FENTON STRATEGIC COMMUNICATIONS PTY LTD</w:t>
            </w:r>
          </w:p>
        </w:tc>
        <w:tc>
          <w:tcPr>
            <w:tcW w:w="4896" w:type="dxa"/>
            <w:tcBorders>
              <w:top w:val="single" w:sz="4" w:space="0" w:color="FFFFFF" w:themeColor="background1"/>
              <w:bottom w:val="single" w:sz="4" w:space="0" w:color="53565A" w:themeColor="accent5"/>
            </w:tcBorders>
          </w:tcPr>
          <w:p w14:paraId="2AD5BDBC" w14:textId="6CBC908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4DCA9AA" w14:textId="6440B42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36,185</w:t>
            </w:r>
          </w:p>
        </w:tc>
      </w:tr>
      <w:tr w:rsidR="00D34D92" w:rsidRPr="009423C3" w14:paraId="18109F6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6FB45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FINSBURY GREEN PTY LTD</w:t>
            </w:r>
          </w:p>
        </w:tc>
        <w:tc>
          <w:tcPr>
            <w:tcW w:w="4896" w:type="dxa"/>
            <w:tcBorders>
              <w:top w:val="single" w:sz="4" w:space="0" w:color="FFFFFF" w:themeColor="background1"/>
              <w:bottom w:val="single" w:sz="4" w:space="0" w:color="53565A" w:themeColor="accent5"/>
            </w:tcBorders>
          </w:tcPr>
          <w:p w14:paraId="4466207C" w14:textId="121BC26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1CF903B9" w14:textId="7A85AF7B"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4,025</w:t>
            </w:r>
          </w:p>
        </w:tc>
      </w:tr>
      <w:tr w:rsidR="00D34D92" w:rsidRPr="009423C3" w14:paraId="34A2804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0C0326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FIONA GRAY CREATIVE</w:t>
            </w:r>
          </w:p>
        </w:tc>
        <w:tc>
          <w:tcPr>
            <w:tcW w:w="4896" w:type="dxa"/>
            <w:tcBorders>
              <w:top w:val="single" w:sz="4" w:space="0" w:color="FFFFFF" w:themeColor="background1"/>
              <w:bottom w:val="single" w:sz="4" w:space="0" w:color="53565A" w:themeColor="accent5"/>
            </w:tcBorders>
          </w:tcPr>
          <w:p w14:paraId="785A2FD2" w14:textId="69ACD9A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6E9710B" w14:textId="12C179B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34,950</w:t>
            </w:r>
          </w:p>
        </w:tc>
      </w:tr>
      <w:tr w:rsidR="00D34D92" w:rsidRPr="009423C3" w14:paraId="3BE60D6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1ED52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FISCHER'S CLEANING PTY. LTD.</w:t>
            </w:r>
          </w:p>
        </w:tc>
        <w:tc>
          <w:tcPr>
            <w:tcW w:w="4896" w:type="dxa"/>
            <w:tcBorders>
              <w:top w:val="single" w:sz="4" w:space="0" w:color="FFFFFF" w:themeColor="background1"/>
              <w:bottom w:val="single" w:sz="4" w:space="0" w:color="53565A" w:themeColor="accent5"/>
            </w:tcBorders>
          </w:tcPr>
          <w:p w14:paraId="0EE3A145" w14:textId="18DFEFF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4DAE89B7" w14:textId="2F18447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w:t>
            </w:r>
            <w:r w:rsidR="005976C1" w:rsidRPr="00925213">
              <w:rPr>
                <w:rFonts w:ascii="Calibri" w:hAnsi="Calibri" w:cs="Calibri"/>
                <w:color w:val="000000"/>
                <w:szCs w:val="20"/>
              </w:rPr>
              <w:t>168</w:t>
            </w:r>
          </w:p>
        </w:tc>
      </w:tr>
      <w:tr w:rsidR="00D34D92" w:rsidRPr="009423C3" w14:paraId="128918F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9D96D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FITZGERALD TIMOTHY JOSEPH</w:t>
            </w:r>
          </w:p>
        </w:tc>
        <w:tc>
          <w:tcPr>
            <w:tcW w:w="4896" w:type="dxa"/>
            <w:tcBorders>
              <w:top w:val="single" w:sz="4" w:space="0" w:color="FFFFFF" w:themeColor="background1"/>
              <w:bottom w:val="single" w:sz="4" w:space="0" w:color="53565A" w:themeColor="accent5"/>
            </w:tcBorders>
          </w:tcPr>
          <w:p w14:paraId="4FB08F32" w14:textId="0494D4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37249E1" w14:textId="2256C7E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10,162</w:t>
            </w:r>
          </w:p>
        </w:tc>
      </w:tr>
      <w:tr w:rsidR="00D34D92" w:rsidRPr="009423C3" w14:paraId="3AF0355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8FF94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FKA CHILDRENS SERVICES INC</w:t>
            </w:r>
          </w:p>
        </w:tc>
        <w:tc>
          <w:tcPr>
            <w:tcW w:w="4896" w:type="dxa"/>
            <w:tcBorders>
              <w:top w:val="single" w:sz="4" w:space="0" w:color="FFFFFF" w:themeColor="background1"/>
              <w:bottom w:val="single" w:sz="4" w:space="0" w:color="53565A" w:themeColor="accent5"/>
            </w:tcBorders>
          </w:tcPr>
          <w:p w14:paraId="1E5BC795" w14:textId="6EA281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20452FB" w14:textId="6D57871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149,</w:t>
            </w:r>
            <w:r w:rsidR="005976C1" w:rsidRPr="00925213">
              <w:rPr>
                <w:rFonts w:ascii="Calibri" w:hAnsi="Calibri" w:cs="Calibri"/>
                <w:color w:val="000000"/>
                <w:szCs w:val="20"/>
              </w:rPr>
              <w:t>479</w:t>
            </w:r>
          </w:p>
        </w:tc>
      </w:tr>
      <w:tr w:rsidR="00D34D92" w:rsidRPr="009423C3" w14:paraId="125F910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3AE90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FLINDERS UNIVERSITY OF SOUTH AUSTRALIA</w:t>
            </w:r>
          </w:p>
        </w:tc>
        <w:tc>
          <w:tcPr>
            <w:tcW w:w="4896" w:type="dxa"/>
            <w:tcBorders>
              <w:top w:val="single" w:sz="4" w:space="0" w:color="FFFFFF" w:themeColor="background1"/>
              <w:bottom w:val="single" w:sz="4" w:space="0" w:color="53565A" w:themeColor="accent5"/>
            </w:tcBorders>
          </w:tcPr>
          <w:p w14:paraId="6B0A81A4" w14:textId="5EF2941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D1C5117" w14:textId="7F1007A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w:t>
            </w:r>
            <w:r w:rsidR="005976C1" w:rsidRPr="00925213">
              <w:rPr>
                <w:rFonts w:ascii="Calibri" w:hAnsi="Calibri" w:cs="Calibri"/>
                <w:color w:val="000000"/>
                <w:szCs w:val="20"/>
              </w:rPr>
              <w:t>286</w:t>
            </w:r>
          </w:p>
        </w:tc>
      </w:tr>
      <w:tr w:rsidR="00D34D92" w:rsidRPr="009423C3" w14:paraId="327D909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4BCA2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FLOURISHING MINDS CONSULTING</w:t>
            </w:r>
          </w:p>
        </w:tc>
        <w:tc>
          <w:tcPr>
            <w:tcW w:w="4896" w:type="dxa"/>
            <w:tcBorders>
              <w:top w:val="single" w:sz="4" w:space="0" w:color="FFFFFF" w:themeColor="background1"/>
              <w:bottom w:val="single" w:sz="4" w:space="0" w:color="53565A" w:themeColor="accent5"/>
            </w:tcBorders>
          </w:tcPr>
          <w:p w14:paraId="319729BD" w14:textId="7FC230D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F28FCF9" w14:textId="6AFCB3D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4,300</w:t>
            </w:r>
          </w:p>
        </w:tc>
      </w:tr>
      <w:tr w:rsidR="00D34D92" w:rsidRPr="009423C3" w14:paraId="76C78C2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21745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FRAM MARIE</w:t>
            </w:r>
          </w:p>
        </w:tc>
        <w:tc>
          <w:tcPr>
            <w:tcW w:w="4896" w:type="dxa"/>
            <w:tcBorders>
              <w:top w:val="single" w:sz="4" w:space="0" w:color="FFFFFF" w:themeColor="background1"/>
              <w:bottom w:val="single" w:sz="4" w:space="0" w:color="53565A" w:themeColor="accent5"/>
            </w:tcBorders>
          </w:tcPr>
          <w:p w14:paraId="1C78BB8B" w14:textId="2AB5935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EBF9517" w14:textId="6CA84EF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37,</w:t>
            </w:r>
            <w:r w:rsidR="005976C1" w:rsidRPr="00925213">
              <w:rPr>
                <w:rFonts w:ascii="Calibri" w:hAnsi="Calibri" w:cs="Calibri"/>
                <w:color w:val="000000"/>
                <w:szCs w:val="20"/>
              </w:rPr>
              <w:t>828</w:t>
            </w:r>
          </w:p>
        </w:tc>
      </w:tr>
      <w:tr w:rsidR="00D34D92" w:rsidRPr="009423C3" w14:paraId="65156FC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58136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FREEDOM CHOICE TRADING PTY LTD</w:t>
            </w:r>
          </w:p>
        </w:tc>
        <w:tc>
          <w:tcPr>
            <w:tcW w:w="4896" w:type="dxa"/>
            <w:tcBorders>
              <w:top w:val="single" w:sz="4" w:space="0" w:color="FFFFFF" w:themeColor="background1"/>
              <w:bottom w:val="single" w:sz="4" w:space="0" w:color="53565A" w:themeColor="accent5"/>
            </w:tcBorders>
          </w:tcPr>
          <w:p w14:paraId="2DEE080D" w14:textId="31CD104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FB7B131" w14:textId="486D365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1,750</w:t>
            </w:r>
          </w:p>
        </w:tc>
      </w:tr>
      <w:tr w:rsidR="00D34D92" w:rsidRPr="009423C3" w14:paraId="32EE329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6F04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FRENCHAMS GROUP</w:t>
            </w:r>
          </w:p>
        </w:tc>
        <w:tc>
          <w:tcPr>
            <w:tcW w:w="4896" w:type="dxa"/>
            <w:tcBorders>
              <w:top w:val="single" w:sz="4" w:space="0" w:color="FFFFFF" w:themeColor="background1"/>
              <w:bottom w:val="single" w:sz="4" w:space="0" w:color="53565A" w:themeColor="accent5"/>
            </w:tcBorders>
          </w:tcPr>
          <w:p w14:paraId="781A2949" w14:textId="2E941A4A" w:rsidR="00D34D92" w:rsidRPr="008457E1" w:rsidRDefault="0048231C"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Utilities, infrastructure/sustainability, </w:t>
            </w:r>
            <w:proofErr w:type="gramStart"/>
            <w:r>
              <w:rPr>
                <w:rFonts w:ascii="Calibri" w:eastAsia="Times New Roman" w:hAnsi="Calibri" w:cs="Calibri"/>
                <w:color w:val="000000"/>
                <w:szCs w:val="20"/>
                <w:lang w:val="en-AU" w:eastAsia="en-AU"/>
              </w:rPr>
              <w:t>transport</w:t>
            </w:r>
            <w:proofErr w:type="gramEnd"/>
            <w:r>
              <w:rPr>
                <w:rFonts w:ascii="Calibri" w:eastAsia="Times New Roman" w:hAnsi="Calibri" w:cs="Calibri"/>
                <w:color w:val="000000"/>
                <w:szCs w:val="20"/>
                <w:lang w:val="en-AU" w:eastAsia="en-AU"/>
              </w:rPr>
              <w:t xml:space="preserve"> and project management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1EAECCA9" w14:textId="7EC156D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18,522</w:t>
            </w:r>
          </w:p>
        </w:tc>
      </w:tr>
      <w:tr w:rsidR="00D34D92" w:rsidRPr="009423C3" w14:paraId="281A0B3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183B8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FROMHEREON PTY LTD</w:t>
            </w:r>
          </w:p>
        </w:tc>
        <w:tc>
          <w:tcPr>
            <w:tcW w:w="4896" w:type="dxa"/>
            <w:tcBorders>
              <w:top w:val="single" w:sz="4" w:space="0" w:color="FFFFFF" w:themeColor="background1"/>
              <w:bottom w:val="single" w:sz="4" w:space="0" w:color="53565A" w:themeColor="accent5"/>
            </w:tcBorders>
          </w:tcPr>
          <w:p w14:paraId="77B06E00" w14:textId="6C0210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678EC9D" w14:textId="09B0C63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76,921</w:t>
            </w:r>
          </w:p>
        </w:tc>
      </w:tr>
      <w:tr w:rsidR="00D34D92" w:rsidRPr="009423C3" w14:paraId="4EFD767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2C2D9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FUJITSU AUSTRALIA LTD</w:t>
            </w:r>
          </w:p>
        </w:tc>
        <w:tc>
          <w:tcPr>
            <w:tcW w:w="4896" w:type="dxa"/>
            <w:tcBorders>
              <w:top w:val="single" w:sz="4" w:space="0" w:color="FFFFFF" w:themeColor="background1"/>
              <w:bottom w:val="single" w:sz="4" w:space="0" w:color="53565A" w:themeColor="accent5"/>
            </w:tcBorders>
          </w:tcPr>
          <w:p w14:paraId="5BDCFA8D" w14:textId="72896E4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4784DC1F" w14:textId="0798F42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845,143</w:t>
            </w:r>
          </w:p>
        </w:tc>
      </w:tr>
      <w:tr w:rsidR="00D34D92" w:rsidRPr="009423C3" w14:paraId="6312F4E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B7827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FUTURE ENERGY SKILLS LTD</w:t>
            </w:r>
          </w:p>
        </w:tc>
        <w:tc>
          <w:tcPr>
            <w:tcW w:w="4896" w:type="dxa"/>
            <w:tcBorders>
              <w:top w:val="single" w:sz="4" w:space="0" w:color="FFFFFF" w:themeColor="background1"/>
              <w:bottom w:val="single" w:sz="4" w:space="0" w:color="53565A" w:themeColor="accent5"/>
            </w:tcBorders>
          </w:tcPr>
          <w:p w14:paraId="5714B5AB" w14:textId="09B2BBC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08A4201" w14:textId="2990191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20,000</w:t>
            </w:r>
          </w:p>
        </w:tc>
      </w:tr>
      <w:tr w:rsidR="00D34D92" w:rsidRPr="009423C3" w14:paraId="0F61C3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4957B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 AND S EDUCATION PTY LTD</w:t>
            </w:r>
          </w:p>
        </w:tc>
        <w:tc>
          <w:tcPr>
            <w:tcW w:w="4896" w:type="dxa"/>
            <w:tcBorders>
              <w:top w:val="single" w:sz="4" w:space="0" w:color="FFFFFF" w:themeColor="background1"/>
              <w:bottom w:val="single" w:sz="4" w:space="0" w:color="53565A" w:themeColor="accent5"/>
            </w:tcBorders>
          </w:tcPr>
          <w:p w14:paraId="3DB80577" w14:textId="2D27D71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57B68038" w14:textId="0AAF00F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184,</w:t>
            </w:r>
            <w:r w:rsidR="005976C1" w:rsidRPr="00925213">
              <w:rPr>
                <w:rFonts w:ascii="Calibri" w:hAnsi="Calibri" w:cs="Calibri"/>
                <w:color w:val="000000"/>
                <w:szCs w:val="20"/>
              </w:rPr>
              <w:t>896</w:t>
            </w:r>
          </w:p>
        </w:tc>
      </w:tr>
      <w:tr w:rsidR="00D34D92" w:rsidRPr="009423C3" w14:paraId="4666437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A738C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GABRIELLE CATHERINE ELIZABETH HODGE</w:t>
            </w:r>
          </w:p>
        </w:tc>
        <w:tc>
          <w:tcPr>
            <w:tcW w:w="4896" w:type="dxa"/>
            <w:tcBorders>
              <w:top w:val="single" w:sz="4" w:space="0" w:color="FFFFFF" w:themeColor="background1"/>
              <w:bottom w:val="single" w:sz="4" w:space="0" w:color="53565A" w:themeColor="accent5"/>
            </w:tcBorders>
          </w:tcPr>
          <w:p w14:paraId="0E3A6C5C" w14:textId="0B07A8B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25BCA21" w14:textId="24FD665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3643266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37AA5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GARDNER JULIAN RALPH</w:t>
            </w:r>
          </w:p>
        </w:tc>
        <w:tc>
          <w:tcPr>
            <w:tcW w:w="4896" w:type="dxa"/>
            <w:tcBorders>
              <w:top w:val="single" w:sz="4" w:space="0" w:color="FFFFFF" w:themeColor="background1"/>
              <w:bottom w:val="single" w:sz="4" w:space="0" w:color="53565A" w:themeColor="accent5"/>
            </w:tcBorders>
          </w:tcPr>
          <w:p w14:paraId="5E8D96BA" w14:textId="7236291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8DC4B56" w14:textId="5F33217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5,250</w:t>
            </w:r>
          </w:p>
        </w:tc>
      </w:tr>
      <w:tr w:rsidR="00D34D92" w:rsidRPr="009423C3" w14:paraId="068BE25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259A3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GARREFFA STELLA</w:t>
            </w:r>
          </w:p>
        </w:tc>
        <w:tc>
          <w:tcPr>
            <w:tcW w:w="4896" w:type="dxa"/>
            <w:tcBorders>
              <w:top w:val="single" w:sz="4" w:space="0" w:color="FFFFFF" w:themeColor="background1"/>
              <w:bottom w:val="single" w:sz="4" w:space="0" w:color="53565A" w:themeColor="accent5"/>
            </w:tcBorders>
          </w:tcPr>
          <w:p w14:paraId="429AAE96" w14:textId="6CD76FE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43289293" w14:textId="078FE1A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0631316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F766A9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GARTNER AUSTRALASIA PTY LTD</w:t>
            </w:r>
          </w:p>
        </w:tc>
        <w:tc>
          <w:tcPr>
            <w:tcW w:w="4896" w:type="dxa"/>
            <w:tcBorders>
              <w:top w:val="single" w:sz="4" w:space="0" w:color="FFFFFF" w:themeColor="background1"/>
              <w:bottom w:val="single" w:sz="4" w:space="0" w:color="53565A" w:themeColor="accent5"/>
            </w:tcBorders>
          </w:tcPr>
          <w:p w14:paraId="3CE3CD91" w14:textId="3AFE5AE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A51FBAF" w14:textId="1042822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34,000</w:t>
            </w:r>
          </w:p>
        </w:tc>
      </w:tr>
      <w:tr w:rsidR="00D34D92" w:rsidRPr="009423C3" w14:paraId="11E5347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412B8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GENOS INTERNATIONAL PTY LTD</w:t>
            </w:r>
          </w:p>
        </w:tc>
        <w:tc>
          <w:tcPr>
            <w:tcW w:w="4896" w:type="dxa"/>
            <w:tcBorders>
              <w:top w:val="single" w:sz="4" w:space="0" w:color="FFFFFF" w:themeColor="background1"/>
              <w:bottom w:val="single" w:sz="4" w:space="0" w:color="53565A" w:themeColor="accent5"/>
            </w:tcBorders>
          </w:tcPr>
          <w:p w14:paraId="67300EEB" w14:textId="6C3C561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39B939A5" w14:textId="1F62910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259,</w:t>
            </w:r>
            <w:r w:rsidR="005976C1" w:rsidRPr="00925213">
              <w:rPr>
                <w:rFonts w:ascii="Calibri" w:hAnsi="Calibri" w:cs="Calibri"/>
                <w:color w:val="000000"/>
                <w:szCs w:val="20"/>
              </w:rPr>
              <w:t>165</w:t>
            </w:r>
          </w:p>
        </w:tc>
      </w:tr>
      <w:tr w:rsidR="00D34D92" w:rsidRPr="009423C3" w14:paraId="358934F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11AF56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GEOPLEX PTY LTD</w:t>
            </w:r>
          </w:p>
        </w:tc>
        <w:tc>
          <w:tcPr>
            <w:tcW w:w="4896" w:type="dxa"/>
            <w:tcBorders>
              <w:top w:val="single" w:sz="4" w:space="0" w:color="FFFFFF" w:themeColor="background1"/>
              <w:bottom w:val="single" w:sz="4" w:space="0" w:color="53565A" w:themeColor="accent5"/>
            </w:tcBorders>
          </w:tcPr>
          <w:p w14:paraId="2244418A" w14:textId="0A3E76A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F93008F" w14:textId="3F711EF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27,580</w:t>
            </w:r>
          </w:p>
        </w:tc>
      </w:tr>
      <w:tr w:rsidR="00D34D92" w:rsidRPr="009423C3" w14:paraId="5FDCC6B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C2628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G-FORCE RECRUITMENT LTD</w:t>
            </w:r>
          </w:p>
        </w:tc>
        <w:tc>
          <w:tcPr>
            <w:tcW w:w="4896" w:type="dxa"/>
            <w:tcBorders>
              <w:top w:val="single" w:sz="4" w:space="0" w:color="FFFFFF" w:themeColor="background1"/>
              <w:bottom w:val="single" w:sz="4" w:space="0" w:color="53565A" w:themeColor="accent5"/>
            </w:tcBorders>
          </w:tcPr>
          <w:p w14:paraId="1B4A39EC" w14:textId="080EC93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99CCFCE" w14:textId="2A18797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80,</w:t>
            </w:r>
            <w:r w:rsidR="005976C1" w:rsidRPr="00925213">
              <w:rPr>
                <w:rFonts w:ascii="Calibri" w:hAnsi="Calibri" w:cs="Calibri"/>
                <w:color w:val="000000"/>
                <w:szCs w:val="20"/>
              </w:rPr>
              <w:t>894</w:t>
            </w:r>
          </w:p>
        </w:tc>
      </w:tr>
      <w:tr w:rsidR="00D34D92" w:rsidRPr="009423C3" w14:paraId="06E4910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C0FD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GHIRARDELLO MARIE</w:t>
            </w:r>
          </w:p>
        </w:tc>
        <w:tc>
          <w:tcPr>
            <w:tcW w:w="4896" w:type="dxa"/>
            <w:tcBorders>
              <w:top w:val="single" w:sz="4" w:space="0" w:color="FFFFFF" w:themeColor="background1"/>
              <w:bottom w:val="single" w:sz="4" w:space="0" w:color="53565A" w:themeColor="accent5"/>
            </w:tcBorders>
          </w:tcPr>
          <w:p w14:paraId="0DC1649D" w14:textId="4B99ECB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F3D8A04" w14:textId="16F283E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23,042</w:t>
            </w:r>
          </w:p>
        </w:tc>
      </w:tr>
      <w:tr w:rsidR="00D34D92" w:rsidRPr="009423C3" w14:paraId="161369E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99C574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GIBBS CONSULTANCY</w:t>
            </w:r>
          </w:p>
        </w:tc>
        <w:tc>
          <w:tcPr>
            <w:tcW w:w="4896" w:type="dxa"/>
            <w:tcBorders>
              <w:top w:val="single" w:sz="4" w:space="0" w:color="FFFFFF" w:themeColor="background1"/>
              <w:bottom w:val="single" w:sz="4" w:space="0" w:color="53565A" w:themeColor="accent5"/>
            </w:tcBorders>
          </w:tcPr>
          <w:p w14:paraId="4DCD8FFE" w14:textId="3515C9B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219E281" w14:textId="5806028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65,</w:t>
            </w:r>
            <w:r w:rsidR="005976C1" w:rsidRPr="00925213">
              <w:rPr>
                <w:rFonts w:ascii="Calibri" w:hAnsi="Calibri" w:cs="Calibri"/>
                <w:color w:val="000000"/>
                <w:szCs w:val="20"/>
              </w:rPr>
              <w:t>861</w:t>
            </w:r>
          </w:p>
        </w:tc>
      </w:tr>
      <w:tr w:rsidR="00D34D92" w:rsidRPr="009423C3" w14:paraId="3127DD1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D259C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GILBY LISA MAREE</w:t>
            </w:r>
          </w:p>
        </w:tc>
        <w:tc>
          <w:tcPr>
            <w:tcW w:w="4896" w:type="dxa"/>
            <w:tcBorders>
              <w:top w:val="single" w:sz="4" w:space="0" w:color="FFFFFF" w:themeColor="background1"/>
              <w:bottom w:val="single" w:sz="4" w:space="0" w:color="53565A" w:themeColor="accent5"/>
            </w:tcBorders>
          </w:tcPr>
          <w:p w14:paraId="7DCAC3C3" w14:textId="2C062CD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6C510F1" w14:textId="7970CC9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w:t>
            </w:r>
            <w:r w:rsidR="005976C1" w:rsidRPr="00925213">
              <w:rPr>
                <w:rFonts w:ascii="Calibri" w:hAnsi="Calibri" w:cs="Calibri"/>
                <w:color w:val="000000"/>
                <w:szCs w:val="20"/>
              </w:rPr>
              <w:t>273</w:t>
            </w:r>
          </w:p>
        </w:tc>
      </w:tr>
      <w:tr w:rsidR="00D34D92" w:rsidRPr="009423C3" w14:paraId="43BB4C7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5AB37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GLENN PROCTOR CONSULTING</w:t>
            </w:r>
          </w:p>
        </w:tc>
        <w:tc>
          <w:tcPr>
            <w:tcW w:w="4896" w:type="dxa"/>
            <w:tcBorders>
              <w:top w:val="single" w:sz="4" w:space="0" w:color="FFFFFF" w:themeColor="background1"/>
              <w:bottom w:val="single" w:sz="4" w:space="0" w:color="53565A" w:themeColor="accent5"/>
            </w:tcBorders>
          </w:tcPr>
          <w:p w14:paraId="6FA4E2AE" w14:textId="64BED7C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23991B5C" w14:textId="7F05383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6,000</w:t>
            </w:r>
          </w:p>
        </w:tc>
      </w:tr>
      <w:tr w:rsidR="00D34D92" w:rsidRPr="009423C3" w14:paraId="7C8D8A6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72873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GLINTECH</w:t>
            </w:r>
          </w:p>
        </w:tc>
        <w:tc>
          <w:tcPr>
            <w:tcW w:w="4896" w:type="dxa"/>
            <w:tcBorders>
              <w:top w:val="single" w:sz="4" w:space="0" w:color="FFFFFF" w:themeColor="background1"/>
              <w:bottom w:val="single" w:sz="4" w:space="0" w:color="53565A" w:themeColor="accent5"/>
            </w:tcBorders>
          </w:tcPr>
          <w:p w14:paraId="5BB94195" w14:textId="59BCCB3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D15E8B6" w14:textId="4F0CA07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45,215</w:t>
            </w:r>
          </w:p>
        </w:tc>
      </w:tr>
      <w:tr w:rsidR="00D34D92" w:rsidRPr="009423C3" w14:paraId="004F788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04384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GLOBAL SPEECH NETWORKS PTY LTD</w:t>
            </w:r>
          </w:p>
        </w:tc>
        <w:tc>
          <w:tcPr>
            <w:tcW w:w="4896" w:type="dxa"/>
            <w:tcBorders>
              <w:top w:val="single" w:sz="4" w:space="0" w:color="FFFFFF" w:themeColor="background1"/>
              <w:bottom w:val="single" w:sz="4" w:space="0" w:color="53565A" w:themeColor="accent5"/>
            </w:tcBorders>
          </w:tcPr>
          <w:p w14:paraId="05EF32E4" w14:textId="4F8ABE0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480126B" w14:textId="743F451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41,800</w:t>
            </w:r>
          </w:p>
        </w:tc>
      </w:tr>
      <w:tr w:rsidR="00D34D92" w:rsidRPr="009423C3" w14:paraId="711592E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D07F5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GLOBAL VISION MEDIA</w:t>
            </w:r>
          </w:p>
        </w:tc>
        <w:tc>
          <w:tcPr>
            <w:tcW w:w="4896" w:type="dxa"/>
            <w:tcBorders>
              <w:top w:val="single" w:sz="4" w:space="0" w:color="FFFFFF" w:themeColor="background1"/>
              <w:bottom w:val="single" w:sz="4" w:space="0" w:color="53565A" w:themeColor="accent5"/>
            </w:tcBorders>
          </w:tcPr>
          <w:p w14:paraId="70B2A07F" w14:textId="475E603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FC41991" w14:textId="66F9861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10,160</w:t>
            </w:r>
          </w:p>
        </w:tc>
      </w:tr>
      <w:tr w:rsidR="00D34D92" w:rsidRPr="009423C3" w14:paraId="2AF9BE0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3B0E5A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GOOD EDUCATION GROUP PTY LTD</w:t>
            </w:r>
          </w:p>
        </w:tc>
        <w:tc>
          <w:tcPr>
            <w:tcW w:w="4896" w:type="dxa"/>
            <w:tcBorders>
              <w:top w:val="single" w:sz="4" w:space="0" w:color="FFFFFF" w:themeColor="background1"/>
              <w:bottom w:val="single" w:sz="4" w:space="0" w:color="53565A" w:themeColor="accent5"/>
            </w:tcBorders>
          </w:tcPr>
          <w:p w14:paraId="14682E8A" w14:textId="2AEC6E9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BCE0DF1" w14:textId="692E2A2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16,750</w:t>
            </w:r>
          </w:p>
        </w:tc>
      </w:tr>
      <w:tr w:rsidR="00D34D92" w:rsidRPr="009423C3" w14:paraId="044AF9B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FBE68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GOODRICK DELWYN ANN</w:t>
            </w:r>
          </w:p>
        </w:tc>
        <w:tc>
          <w:tcPr>
            <w:tcW w:w="4896" w:type="dxa"/>
            <w:tcBorders>
              <w:top w:val="single" w:sz="4" w:space="0" w:color="FFFFFF" w:themeColor="background1"/>
              <w:bottom w:val="single" w:sz="4" w:space="0" w:color="53565A" w:themeColor="accent5"/>
            </w:tcBorders>
          </w:tcPr>
          <w:p w14:paraId="5FC8075C" w14:textId="499D7AD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17CF3C5A" w14:textId="506983A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10,700</w:t>
            </w:r>
          </w:p>
        </w:tc>
      </w:tr>
      <w:tr w:rsidR="00D34D92" w:rsidRPr="009423C3" w14:paraId="2DC61F7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5A19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GORDON ROB</w:t>
            </w:r>
          </w:p>
        </w:tc>
        <w:tc>
          <w:tcPr>
            <w:tcW w:w="4896" w:type="dxa"/>
            <w:tcBorders>
              <w:top w:val="single" w:sz="4" w:space="0" w:color="FFFFFF" w:themeColor="background1"/>
              <w:bottom w:val="single" w:sz="4" w:space="0" w:color="53565A" w:themeColor="accent5"/>
            </w:tcBorders>
          </w:tcPr>
          <w:p w14:paraId="5AA16107" w14:textId="17D186E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C1431C4" w14:textId="09BB212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25,755</w:t>
            </w:r>
          </w:p>
        </w:tc>
      </w:tr>
      <w:tr w:rsidR="00D34D92" w:rsidRPr="009423C3" w14:paraId="47E37D2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B119F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GOULBURN OVENS INSTITUTE OF TAFE</w:t>
            </w:r>
          </w:p>
        </w:tc>
        <w:tc>
          <w:tcPr>
            <w:tcW w:w="4896" w:type="dxa"/>
            <w:tcBorders>
              <w:top w:val="single" w:sz="4" w:space="0" w:color="FFFFFF" w:themeColor="background1"/>
              <w:bottom w:val="single" w:sz="4" w:space="0" w:color="53565A" w:themeColor="accent5"/>
            </w:tcBorders>
          </w:tcPr>
          <w:p w14:paraId="393E6330" w14:textId="65514BD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96FFA56" w14:textId="3EFE9E4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28,800</w:t>
            </w:r>
          </w:p>
        </w:tc>
      </w:tr>
      <w:tr w:rsidR="00D34D92" w:rsidRPr="009423C3" w14:paraId="14AA407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D45E93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GOULD RICHARD ROBERT</w:t>
            </w:r>
          </w:p>
        </w:tc>
        <w:tc>
          <w:tcPr>
            <w:tcW w:w="4896" w:type="dxa"/>
            <w:tcBorders>
              <w:top w:val="single" w:sz="4" w:space="0" w:color="FFFFFF" w:themeColor="background1"/>
              <w:bottom w:val="single" w:sz="4" w:space="0" w:color="53565A" w:themeColor="accent5"/>
            </w:tcBorders>
          </w:tcPr>
          <w:p w14:paraId="7E10897D" w14:textId="2CFF16F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778EB3" w14:textId="6BECAA4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4,500</w:t>
            </w:r>
          </w:p>
        </w:tc>
      </w:tr>
      <w:tr w:rsidR="00D34D92" w:rsidRPr="009423C3" w14:paraId="46E14C2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278147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GRACE RECORDS MANAGEMENT AUSTRALIA PTY LTD</w:t>
            </w:r>
          </w:p>
        </w:tc>
        <w:tc>
          <w:tcPr>
            <w:tcW w:w="4896" w:type="dxa"/>
            <w:tcBorders>
              <w:top w:val="single" w:sz="4" w:space="0" w:color="FFFFFF" w:themeColor="background1"/>
              <w:bottom w:val="single" w:sz="4" w:space="0" w:color="53565A" w:themeColor="accent5"/>
            </w:tcBorders>
          </w:tcPr>
          <w:p w14:paraId="33B5B6AE" w14:textId="173532D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D2DF372" w14:textId="5237B69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6,180</w:t>
            </w:r>
          </w:p>
        </w:tc>
      </w:tr>
      <w:tr w:rsidR="00D34D92" w:rsidRPr="009423C3" w14:paraId="2B1B688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32878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GRAEME INNES</w:t>
            </w:r>
          </w:p>
        </w:tc>
        <w:tc>
          <w:tcPr>
            <w:tcW w:w="4896" w:type="dxa"/>
            <w:tcBorders>
              <w:top w:val="single" w:sz="4" w:space="0" w:color="FFFFFF" w:themeColor="background1"/>
              <w:bottom w:val="single" w:sz="4" w:space="0" w:color="53565A" w:themeColor="accent5"/>
            </w:tcBorders>
          </w:tcPr>
          <w:p w14:paraId="4985EAFB" w14:textId="2407C6C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1948E14" w14:textId="5EC58CB5"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6,764</w:t>
            </w:r>
          </w:p>
        </w:tc>
      </w:tr>
      <w:tr w:rsidR="00D34D92" w:rsidRPr="009423C3" w14:paraId="0D03D84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853B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GRANT THORNTON AUSTRALIA LTD</w:t>
            </w:r>
          </w:p>
        </w:tc>
        <w:tc>
          <w:tcPr>
            <w:tcW w:w="4896" w:type="dxa"/>
            <w:tcBorders>
              <w:top w:val="single" w:sz="4" w:space="0" w:color="FFFFFF" w:themeColor="background1"/>
              <w:bottom w:val="single" w:sz="4" w:space="0" w:color="53565A" w:themeColor="accent5"/>
            </w:tcBorders>
          </w:tcPr>
          <w:p w14:paraId="735651B1" w14:textId="405F2B7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vAlign w:val="center"/>
          </w:tcPr>
          <w:p w14:paraId="5188ED49" w14:textId="1EBF66C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67,390</w:t>
            </w:r>
          </w:p>
        </w:tc>
      </w:tr>
      <w:tr w:rsidR="00D34D92" w:rsidRPr="009423C3" w14:paraId="357E6E3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78CA53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GRAY CO PTY LTD</w:t>
            </w:r>
          </w:p>
        </w:tc>
        <w:tc>
          <w:tcPr>
            <w:tcW w:w="4896" w:type="dxa"/>
            <w:tcBorders>
              <w:top w:val="single" w:sz="4" w:space="0" w:color="FFFFFF" w:themeColor="background1"/>
              <w:bottom w:val="single" w:sz="4" w:space="0" w:color="53565A" w:themeColor="accent5"/>
            </w:tcBorders>
          </w:tcPr>
          <w:p w14:paraId="19ABC44B" w14:textId="3C04F2E3"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D962E63" w14:textId="33F5859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3,150</w:t>
            </w:r>
          </w:p>
        </w:tc>
      </w:tr>
      <w:tr w:rsidR="00D34D92" w:rsidRPr="009423C3" w14:paraId="01E5D76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56531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GREEN AND NEWALL EDUCATIONAL CONSULTANTS</w:t>
            </w:r>
          </w:p>
        </w:tc>
        <w:tc>
          <w:tcPr>
            <w:tcW w:w="4896" w:type="dxa"/>
            <w:tcBorders>
              <w:top w:val="single" w:sz="4" w:space="0" w:color="FFFFFF" w:themeColor="background1"/>
              <w:bottom w:val="single" w:sz="4" w:space="0" w:color="53565A" w:themeColor="accent5"/>
            </w:tcBorders>
          </w:tcPr>
          <w:p w14:paraId="60BEC53D" w14:textId="193076A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1A1A93A" w14:textId="742300E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28,800</w:t>
            </w:r>
          </w:p>
        </w:tc>
      </w:tr>
      <w:tr w:rsidR="00D34D92" w:rsidRPr="009423C3" w14:paraId="0633498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85999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GRIFFIN KERRY LEANNE</w:t>
            </w:r>
          </w:p>
        </w:tc>
        <w:tc>
          <w:tcPr>
            <w:tcW w:w="4896" w:type="dxa"/>
            <w:tcBorders>
              <w:top w:val="single" w:sz="4" w:space="0" w:color="FFFFFF" w:themeColor="background1"/>
              <w:bottom w:val="single" w:sz="4" w:space="0" w:color="53565A" w:themeColor="accent5"/>
            </w:tcBorders>
          </w:tcPr>
          <w:p w14:paraId="4562AD92" w14:textId="113B6D3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5A997D9" w14:textId="67B0534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20,554</w:t>
            </w:r>
          </w:p>
        </w:tc>
      </w:tr>
      <w:tr w:rsidR="00D34D92" w:rsidRPr="009423C3" w14:paraId="785F024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899B1D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GROSVENOR PERFORMANCE GROUP PTY LTD</w:t>
            </w:r>
          </w:p>
        </w:tc>
        <w:tc>
          <w:tcPr>
            <w:tcW w:w="4896" w:type="dxa"/>
            <w:tcBorders>
              <w:top w:val="single" w:sz="4" w:space="0" w:color="FFFFFF" w:themeColor="background1"/>
              <w:bottom w:val="single" w:sz="4" w:space="0" w:color="53565A" w:themeColor="accent5"/>
            </w:tcBorders>
          </w:tcPr>
          <w:p w14:paraId="3B47619D" w14:textId="6831852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C7890FD" w14:textId="233C006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w:t>
            </w:r>
            <w:r w:rsidR="005976C1" w:rsidRPr="00925213">
              <w:rPr>
                <w:rFonts w:ascii="Calibri" w:hAnsi="Calibri" w:cs="Calibri"/>
                <w:color w:val="000000"/>
                <w:szCs w:val="20"/>
              </w:rPr>
              <w:t>075</w:t>
            </w:r>
          </w:p>
        </w:tc>
      </w:tr>
      <w:tr w:rsidR="00D34D92" w:rsidRPr="009423C3" w14:paraId="64CAF3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E7BC8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GROWING MINDS AND CONNECTIONS</w:t>
            </w:r>
          </w:p>
        </w:tc>
        <w:tc>
          <w:tcPr>
            <w:tcW w:w="4896" w:type="dxa"/>
            <w:tcBorders>
              <w:top w:val="single" w:sz="4" w:space="0" w:color="FFFFFF" w:themeColor="background1"/>
              <w:bottom w:val="single" w:sz="4" w:space="0" w:color="53565A" w:themeColor="accent5"/>
            </w:tcBorders>
          </w:tcPr>
          <w:p w14:paraId="28396E2D" w14:textId="3083E3E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E447F0D" w14:textId="3A80EA6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1,350</w:t>
            </w:r>
          </w:p>
        </w:tc>
      </w:tr>
      <w:tr w:rsidR="00D34D92" w:rsidRPr="009423C3" w14:paraId="0F2E0C6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8E212A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GROWTH COACHING INTERNATIONAL</w:t>
            </w:r>
          </w:p>
        </w:tc>
        <w:tc>
          <w:tcPr>
            <w:tcW w:w="4896" w:type="dxa"/>
            <w:tcBorders>
              <w:top w:val="single" w:sz="4" w:space="0" w:color="FFFFFF" w:themeColor="background1"/>
              <w:bottom w:val="single" w:sz="4" w:space="0" w:color="53565A" w:themeColor="accent5"/>
            </w:tcBorders>
          </w:tcPr>
          <w:p w14:paraId="73F23993" w14:textId="50B6355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2E97C359" w14:textId="5766C91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399,050</w:t>
            </w:r>
          </w:p>
        </w:tc>
      </w:tr>
      <w:tr w:rsidR="00D34D92" w:rsidRPr="009423C3" w14:paraId="7548A1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9F2B9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GV DEVELOPMENTAL CLINIC PTY LTD</w:t>
            </w:r>
          </w:p>
        </w:tc>
        <w:tc>
          <w:tcPr>
            <w:tcW w:w="4896" w:type="dxa"/>
            <w:tcBorders>
              <w:top w:val="single" w:sz="4" w:space="0" w:color="FFFFFF" w:themeColor="background1"/>
              <w:bottom w:val="single" w:sz="4" w:space="0" w:color="53565A" w:themeColor="accent5"/>
            </w:tcBorders>
          </w:tcPr>
          <w:p w14:paraId="19589EC5" w14:textId="2D95890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7CFADBA" w14:textId="48A7C3D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17,151</w:t>
            </w:r>
          </w:p>
        </w:tc>
      </w:tr>
      <w:tr w:rsidR="00D34D92" w:rsidRPr="009423C3" w14:paraId="09056A0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619E3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 J &amp; DM LOONEY</w:t>
            </w:r>
          </w:p>
        </w:tc>
        <w:tc>
          <w:tcPr>
            <w:tcW w:w="4896" w:type="dxa"/>
            <w:tcBorders>
              <w:top w:val="single" w:sz="4" w:space="0" w:color="FFFFFF" w:themeColor="background1"/>
              <w:bottom w:val="single" w:sz="4" w:space="0" w:color="53565A" w:themeColor="accent5"/>
            </w:tcBorders>
          </w:tcPr>
          <w:p w14:paraId="02001661" w14:textId="433BBA7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672BBA" w14:textId="20CDCDE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6,298</w:t>
            </w:r>
          </w:p>
        </w:tc>
      </w:tr>
      <w:tr w:rsidR="00D34D92" w:rsidRPr="009423C3" w14:paraId="480D9D6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C11E6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HAMILTON LORETTA ANNE</w:t>
            </w:r>
          </w:p>
        </w:tc>
        <w:tc>
          <w:tcPr>
            <w:tcW w:w="4896" w:type="dxa"/>
            <w:tcBorders>
              <w:top w:val="single" w:sz="4" w:space="0" w:color="FFFFFF" w:themeColor="background1"/>
              <w:bottom w:val="single" w:sz="4" w:space="0" w:color="53565A" w:themeColor="accent5"/>
            </w:tcBorders>
          </w:tcPr>
          <w:p w14:paraId="1EB928EC" w14:textId="57D7615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06399BC" w14:textId="17B3FDF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11,957</w:t>
            </w:r>
          </w:p>
        </w:tc>
      </w:tr>
      <w:tr w:rsidR="00D34D92" w:rsidRPr="009423C3" w14:paraId="7194485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D5B9B8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HAMMOND STREET DEVELOPMENTS PTY LTD</w:t>
            </w:r>
          </w:p>
        </w:tc>
        <w:tc>
          <w:tcPr>
            <w:tcW w:w="4896" w:type="dxa"/>
            <w:tcBorders>
              <w:top w:val="single" w:sz="4" w:space="0" w:color="FFFFFF" w:themeColor="background1"/>
              <w:bottom w:val="single" w:sz="4" w:space="0" w:color="53565A" w:themeColor="accent5"/>
            </w:tcBorders>
          </w:tcPr>
          <w:p w14:paraId="4E699B13" w14:textId="23DB938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46F015E" w14:textId="2B1910C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445,428</w:t>
            </w:r>
          </w:p>
        </w:tc>
      </w:tr>
      <w:tr w:rsidR="00D34D92" w:rsidRPr="009423C3" w14:paraId="408CCB5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A81F9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HANDLEY JOHN</w:t>
            </w:r>
          </w:p>
        </w:tc>
        <w:tc>
          <w:tcPr>
            <w:tcW w:w="4896" w:type="dxa"/>
            <w:tcBorders>
              <w:top w:val="single" w:sz="4" w:space="0" w:color="FFFFFF" w:themeColor="background1"/>
              <w:bottom w:val="single" w:sz="4" w:space="0" w:color="53565A" w:themeColor="accent5"/>
            </w:tcBorders>
          </w:tcPr>
          <w:p w14:paraId="2CD1234C" w14:textId="2D982EA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E43F7F8" w14:textId="258CC9C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4,700</w:t>
            </w:r>
          </w:p>
        </w:tc>
      </w:tr>
      <w:tr w:rsidR="00D34D92" w:rsidRPr="009423C3" w14:paraId="0106504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62D3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HANDS ON EDUCATIONAL CONSULTANCY PTY LTD</w:t>
            </w:r>
          </w:p>
        </w:tc>
        <w:tc>
          <w:tcPr>
            <w:tcW w:w="4896" w:type="dxa"/>
            <w:tcBorders>
              <w:top w:val="single" w:sz="4" w:space="0" w:color="FFFFFF" w:themeColor="background1"/>
              <w:bottom w:val="single" w:sz="4" w:space="0" w:color="53565A" w:themeColor="accent5"/>
            </w:tcBorders>
          </w:tcPr>
          <w:p w14:paraId="0E497340" w14:textId="074B6A5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32D719D2" w14:textId="1A80461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62,800</w:t>
            </w:r>
          </w:p>
        </w:tc>
      </w:tr>
      <w:tr w:rsidR="00D34D92" w:rsidRPr="009423C3" w14:paraId="32C3FC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A4276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HARPER CRAIG</w:t>
            </w:r>
          </w:p>
        </w:tc>
        <w:tc>
          <w:tcPr>
            <w:tcW w:w="4896" w:type="dxa"/>
            <w:tcBorders>
              <w:top w:val="single" w:sz="4" w:space="0" w:color="FFFFFF" w:themeColor="background1"/>
              <w:bottom w:val="single" w:sz="4" w:space="0" w:color="53565A" w:themeColor="accent5"/>
            </w:tcBorders>
          </w:tcPr>
          <w:p w14:paraId="12B9BA23" w14:textId="2777B1F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A2684DD" w14:textId="1881984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5,000</w:t>
            </w:r>
          </w:p>
        </w:tc>
      </w:tr>
      <w:tr w:rsidR="00D34D92" w:rsidRPr="009423C3" w14:paraId="154AFCB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3B33D7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HARRIS ANN LYNNETT</w:t>
            </w:r>
          </w:p>
        </w:tc>
        <w:tc>
          <w:tcPr>
            <w:tcW w:w="4896" w:type="dxa"/>
            <w:tcBorders>
              <w:top w:val="single" w:sz="4" w:space="0" w:color="FFFFFF" w:themeColor="background1"/>
              <w:bottom w:val="single" w:sz="4" w:space="0" w:color="53565A" w:themeColor="accent5"/>
            </w:tcBorders>
          </w:tcPr>
          <w:p w14:paraId="2E48CA41" w14:textId="3A56484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983EDEA" w14:textId="312E1D9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27,</w:t>
            </w:r>
            <w:r w:rsidR="005976C1" w:rsidRPr="00925213">
              <w:rPr>
                <w:rFonts w:ascii="Calibri" w:hAnsi="Calibri" w:cs="Calibri"/>
                <w:color w:val="000000"/>
                <w:szCs w:val="20"/>
              </w:rPr>
              <w:t>931</w:t>
            </w:r>
          </w:p>
        </w:tc>
      </w:tr>
      <w:tr w:rsidR="00D34D92" w:rsidRPr="009423C3" w14:paraId="7B14958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8CE59C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HARRISON KATHRYN DIANNE</w:t>
            </w:r>
          </w:p>
        </w:tc>
        <w:tc>
          <w:tcPr>
            <w:tcW w:w="4896" w:type="dxa"/>
            <w:tcBorders>
              <w:top w:val="single" w:sz="4" w:space="0" w:color="FFFFFF" w:themeColor="background1"/>
              <w:bottom w:val="single" w:sz="4" w:space="0" w:color="53565A" w:themeColor="accent5"/>
            </w:tcBorders>
          </w:tcPr>
          <w:p w14:paraId="1F577BA4" w14:textId="33EE8FA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7A2F13B9" w14:textId="7A59645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7,661</w:t>
            </w:r>
          </w:p>
        </w:tc>
      </w:tr>
      <w:tr w:rsidR="00D34D92" w:rsidRPr="009423C3" w14:paraId="361A915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B9E0B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HATELY DANIEL</w:t>
            </w:r>
          </w:p>
        </w:tc>
        <w:tc>
          <w:tcPr>
            <w:tcW w:w="4896" w:type="dxa"/>
            <w:tcBorders>
              <w:top w:val="single" w:sz="4" w:space="0" w:color="FFFFFF" w:themeColor="background1"/>
              <w:bottom w:val="single" w:sz="4" w:space="0" w:color="53565A" w:themeColor="accent5"/>
            </w:tcBorders>
          </w:tcPr>
          <w:p w14:paraId="78EEC9FB" w14:textId="37D494B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BC7ABE6" w14:textId="230DDDE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w:t>
            </w:r>
            <w:r w:rsidR="005976C1" w:rsidRPr="00925213">
              <w:rPr>
                <w:rFonts w:ascii="Calibri" w:hAnsi="Calibri" w:cs="Calibri"/>
                <w:color w:val="000000"/>
                <w:szCs w:val="20"/>
              </w:rPr>
              <w:t>737</w:t>
            </w:r>
          </w:p>
        </w:tc>
      </w:tr>
      <w:tr w:rsidR="00D34D92" w:rsidRPr="009423C3" w14:paraId="0E012EB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476B8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HAYS SPECIALIST RECRUITMENT AUSTRALIA PTY LIMITED</w:t>
            </w:r>
          </w:p>
        </w:tc>
        <w:tc>
          <w:tcPr>
            <w:tcW w:w="4896" w:type="dxa"/>
            <w:tcBorders>
              <w:top w:val="single" w:sz="4" w:space="0" w:color="FFFFFF" w:themeColor="background1"/>
              <w:bottom w:val="single" w:sz="4" w:space="0" w:color="53565A" w:themeColor="accent5"/>
            </w:tcBorders>
          </w:tcPr>
          <w:p w14:paraId="32F53CF0" w14:textId="078D0D96"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052F98AF" w14:textId="1CD5742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17,940,247</w:t>
            </w:r>
          </w:p>
        </w:tc>
      </w:tr>
      <w:tr w:rsidR="00D34D92" w:rsidRPr="009423C3" w14:paraId="3C584FE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6A04B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HEATHER BARNES PTY LTD</w:t>
            </w:r>
          </w:p>
        </w:tc>
        <w:tc>
          <w:tcPr>
            <w:tcW w:w="4896" w:type="dxa"/>
            <w:tcBorders>
              <w:top w:val="single" w:sz="4" w:space="0" w:color="FFFFFF" w:themeColor="background1"/>
              <w:bottom w:val="single" w:sz="4" w:space="0" w:color="53565A" w:themeColor="accent5"/>
            </w:tcBorders>
          </w:tcPr>
          <w:p w14:paraId="244398FA" w14:textId="3676033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0508703" w14:textId="0A162B6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38,000</w:t>
            </w:r>
          </w:p>
        </w:tc>
      </w:tr>
      <w:tr w:rsidR="00D34D92" w:rsidRPr="009423C3" w14:paraId="6F5AD58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FE84F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HEATHER HILL CONSULTING</w:t>
            </w:r>
          </w:p>
        </w:tc>
        <w:tc>
          <w:tcPr>
            <w:tcW w:w="4896" w:type="dxa"/>
            <w:tcBorders>
              <w:top w:val="single" w:sz="4" w:space="0" w:color="FFFFFF" w:themeColor="background1"/>
              <w:bottom w:val="single" w:sz="4" w:space="0" w:color="53565A" w:themeColor="accent5"/>
            </w:tcBorders>
          </w:tcPr>
          <w:p w14:paraId="19400A71" w14:textId="4A36867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48DD5D8D" w14:textId="255D2CF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39,689</w:t>
            </w:r>
          </w:p>
        </w:tc>
      </w:tr>
      <w:tr w:rsidR="00D34D92" w:rsidRPr="009423C3" w14:paraId="0EFB3EA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BE2D5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HELIX HEALTH </w:t>
            </w:r>
            <w:proofErr w:type="gramStart"/>
            <w:r w:rsidRPr="008457E1">
              <w:rPr>
                <w:rFonts w:ascii="Calibri" w:eastAsia="Times New Roman" w:hAnsi="Calibri" w:cs="Calibri"/>
                <w:color w:val="000000"/>
                <w:szCs w:val="20"/>
                <w:lang w:val="en-AU" w:eastAsia="en-AU"/>
              </w:rPr>
              <w:t>SPECIALISTS</w:t>
            </w:r>
            <w:proofErr w:type="gramEnd"/>
            <w:r w:rsidRPr="008457E1">
              <w:rPr>
                <w:rFonts w:ascii="Calibri" w:eastAsia="Times New Roman" w:hAnsi="Calibri" w:cs="Calibri"/>
                <w:color w:val="000000"/>
                <w:szCs w:val="20"/>
                <w:lang w:val="en-AU" w:eastAsia="en-AU"/>
              </w:rPr>
              <w:t xml:space="preserve"> CLINIC</w:t>
            </w:r>
          </w:p>
        </w:tc>
        <w:tc>
          <w:tcPr>
            <w:tcW w:w="4896" w:type="dxa"/>
            <w:tcBorders>
              <w:top w:val="single" w:sz="4" w:space="0" w:color="FFFFFF" w:themeColor="background1"/>
              <w:bottom w:val="single" w:sz="4" w:space="0" w:color="53565A" w:themeColor="accent5"/>
            </w:tcBorders>
          </w:tcPr>
          <w:p w14:paraId="3CDEAE0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Recruitment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45C76F07" w14:textId="32A386F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1,600</w:t>
            </w:r>
          </w:p>
        </w:tc>
      </w:tr>
      <w:tr w:rsidR="00D34D92" w:rsidRPr="009423C3" w14:paraId="4CBF79A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79E6D3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HENDERSON BRIAN JOHN</w:t>
            </w:r>
          </w:p>
        </w:tc>
        <w:tc>
          <w:tcPr>
            <w:tcW w:w="4896" w:type="dxa"/>
            <w:tcBorders>
              <w:top w:val="single" w:sz="4" w:space="0" w:color="FFFFFF" w:themeColor="background1"/>
              <w:bottom w:val="single" w:sz="4" w:space="0" w:color="53565A" w:themeColor="accent5"/>
            </w:tcBorders>
          </w:tcPr>
          <w:p w14:paraId="73D0E92A" w14:textId="08D8B4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08DD8B6" w14:textId="6A29A75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4,500</w:t>
            </w:r>
          </w:p>
        </w:tc>
      </w:tr>
      <w:tr w:rsidR="00D34D92" w:rsidRPr="009423C3" w14:paraId="5A2F0FA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AC17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HERE EUROPE BV</w:t>
            </w:r>
          </w:p>
        </w:tc>
        <w:tc>
          <w:tcPr>
            <w:tcW w:w="4896" w:type="dxa"/>
            <w:tcBorders>
              <w:top w:val="single" w:sz="4" w:space="0" w:color="FFFFFF" w:themeColor="background1"/>
              <w:bottom w:val="single" w:sz="4" w:space="0" w:color="53565A" w:themeColor="accent5"/>
            </w:tcBorders>
          </w:tcPr>
          <w:p w14:paraId="2D1EA169" w14:textId="2D97F1F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B230979" w14:textId="2E1A610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10,091</w:t>
            </w:r>
          </w:p>
        </w:tc>
      </w:tr>
      <w:tr w:rsidR="00D34D92" w:rsidRPr="009423C3" w14:paraId="6752672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A77F89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HERITAGE INSIGHT PTY LTD</w:t>
            </w:r>
          </w:p>
        </w:tc>
        <w:tc>
          <w:tcPr>
            <w:tcW w:w="4896" w:type="dxa"/>
            <w:tcBorders>
              <w:top w:val="single" w:sz="4" w:space="0" w:color="FFFFFF" w:themeColor="background1"/>
              <w:bottom w:val="single" w:sz="4" w:space="0" w:color="53565A" w:themeColor="accent5"/>
            </w:tcBorders>
          </w:tcPr>
          <w:p w14:paraId="4789B0C5" w14:textId="037B8B3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84F5A93" w14:textId="0164629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16,771</w:t>
            </w:r>
          </w:p>
        </w:tc>
      </w:tr>
      <w:tr w:rsidR="00D34D92" w:rsidRPr="009423C3" w14:paraId="514DC95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4D4F3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HERMANN KAREN LESLEY</w:t>
            </w:r>
          </w:p>
        </w:tc>
        <w:tc>
          <w:tcPr>
            <w:tcW w:w="4896" w:type="dxa"/>
            <w:tcBorders>
              <w:top w:val="single" w:sz="4" w:space="0" w:color="FFFFFF" w:themeColor="background1"/>
              <w:bottom w:val="single" w:sz="4" w:space="0" w:color="53565A" w:themeColor="accent5"/>
            </w:tcBorders>
          </w:tcPr>
          <w:p w14:paraId="33E5B6D8" w14:textId="38BF54E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EA45496" w14:textId="7DBBF5D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112,680</w:t>
            </w:r>
          </w:p>
        </w:tc>
      </w:tr>
      <w:tr w:rsidR="00D34D92" w:rsidRPr="009423C3" w14:paraId="5263DD4B" w14:textId="77777777" w:rsidTr="005976C1">
        <w:trPr>
          <w:cantSplit/>
          <w:trHeight w:val="353"/>
        </w:trPr>
        <w:tc>
          <w:tcPr>
            <w:tcW w:w="3023" w:type="dxa"/>
            <w:tcBorders>
              <w:top w:val="single" w:sz="4" w:space="0" w:color="FFFFFF" w:themeColor="background1"/>
              <w:bottom w:val="single" w:sz="4" w:space="0" w:color="FFFFFF" w:themeColor="background1"/>
            </w:tcBorders>
            <w:shd w:val="clear" w:color="auto" w:fill="auto"/>
          </w:tcPr>
          <w:p w14:paraId="3032206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HIBBINS PETER L</w:t>
            </w:r>
          </w:p>
        </w:tc>
        <w:tc>
          <w:tcPr>
            <w:tcW w:w="4896" w:type="dxa"/>
            <w:tcBorders>
              <w:top w:val="single" w:sz="4" w:space="0" w:color="FFFFFF" w:themeColor="background1"/>
              <w:bottom w:val="single" w:sz="4" w:space="0" w:color="FFFFFF" w:themeColor="background1"/>
            </w:tcBorders>
          </w:tcPr>
          <w:p w14:paraId="0E126E7C" w14:textId="7542E96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FFFFFF" w:themeColor="background1"/>
            </w:tcBorders>
            <w:shd w:val="clear" w:color="auto" w:fill="auto"/>
            <w:vAlign w:val="center"/>
          </w:tcPr>
          <w:p w14:paraId="742534B4" w14:textId="74C7FED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5,037</w:t>
            </w:r>
          </w:p>
        </w:tc>
      </w:tr>
      <w:tr w:rsidR="00D34D92" w:rsidRPr="009423C3" w14:paraId="39CD528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2D627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HICKS-DAVIES CONSULTING PTY LTD</w:t>
            </w:r>
          </w:p>
        </w:tc>
        <w:tc>
          <w:tcPr>
            <w:tcW w:w="4896" w:type="dxa"/>
            <w:tcBorders>
              <w:top w:val="single" w:sz="4" w:space="0" w:color="FFFFFF" w:themeColor="background1"/>
              <w:bottom w:val="single" w:sz="4" w:space="0" w:color="53565A" w:themeColor="accent5"/>
            </w:tcBorders>
          </w:tcPr>
          <w:p w14:paraId="5427F986" w14:textId="0E859FE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C9C78A7" w14:textId="673A634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238,343</w:t>
            </w:r>
          </w:p>
        </w:tc>
      </w:tr>
      <w:tr w:rsidR="00D34D92" w:rsidRPr="009423C3" w14:paraId="5D4576D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4E386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HIRD MARGARET ANN</w:t>
            </w:r>
          </w:p>
        </w:tc>
        <w:tc>
          <w:tcPr>
            <w:tcW w:w="4896" w:type="dxa"/>
            <w:tcBorders>
              <w:top w:val="single" w:sz="4" w:space="0" w:color="FFFFFF" w:themeColor="background1"/>
              <w:bottom w:val="single" w:sz="4" w:space="0" w:color="53565A" w:themeColor="accent5"/>
            </w:tcBorders>
          </w:tcPr>
          <w:p w14:paraId="77AA6E60" w14:textId="172BAAD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594F56" w14:textId="0749804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33,746</w:t>
            </w:r>
          </w:p>
        </w:tc>
      </w:tr>
      <w:tr w:rsidR="00D34D92" w:rsidRPr="009423C3" w14:paraId="0FC8FA0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EC5BA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HOBAN RECRUITMENT</w:t>
            </w:r>
          </w:p>
        </w:tc>
        <w:tc>
          <w:tcPr>
            <w:tcW w:w="4896" w:type="dxa"/>
            <w:tcBorders>
              <w:top w:val="single" w:sz="4" w:space="0" w:color="FFFFFF" w:themeColor="background1"/>
              <w:bottom w:val="single" w:sz="4" w:space="0" w:color="53565A" w:themeColor="accent5"/>
            </w:tcBorders>
          </w:tcPr>
          <w:p w14:paraId="22854886" w14:textId="70A3E4EC"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6E3C0642" w14:textId="71789C1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337,170</w:t>
            </w:r>
          </w:p>
        </w:tc>
      </w:tr>
      <w:tr w:rsidR="00D34D92" w:rsidRPr="009423C3" w14:paraId="438A13B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2DAA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HOLDING REDLICH</w:t>
            </w:r>
          </w:p>
        </w:tc>
        <w:tc>
          <w:tcPr>
            <w:tcW w:w="4896" w:type="dxa"/>
            <w:tcBorders>
              <w:top w:val="single" w:sz="4" w:space="0" w:color="FFFFFF" w:themeColor="background1"/>
              <w:bottom w:val="single" w:sz="4" w:space="0" w:color="53565A" w:themeColor="accent5"/>
            </w:tcBorders>
          </w:tcPr>
          <w:p w14:paraId="6EE37811" w14:textId="7D26383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7820F1A" w14:textId="4CE4FCC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14,496</w:t>
            </w:r>
          </w:p>
        </w:tc>
      </w:tr>
      <w:tr w:rsidR="00D34D92" w:rsidRPr="009423C3" w14:paraId="13AB7C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32320F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HOLMESGLEN INSTITUTE OF TAFE (CHADSTONE)</w:t>
            </w:r>
          </w:p>
        </w:tc>
        <w:tc>
          <w:tcPr>
            <w:tcW w:w="4896" w:type="dxa"/>
            <w:tcBorders>
              <w:top w:val="single" w:sz="4" w:space="0" w:color="FFFFFF" w:themeColor="background1"/>
              <w:bottom w:val="single" w:sz="4" w:space="0" w:color="53565A" w:themeColor="accent5"/>
            </w:tcBorders>
          </w:tcPr>
          <w:p w14:paraId="15B429CD" w14:textId="5277AC9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BB46C4C" w14:textId="61B6E88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140,000</w:t>
            </w:r>
          </w:p>
        </w:tc>
      </w:tr>
      <w:tr w:rsidR="00D34D92" w:rsidRPr="009423C3" w14:paraId="00B4BED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DD7CC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HOMAX PTY LIMITED</w:t>
            </w:r>
          </w:p>
        </w:tc>
        <w:tc>
          <w:tcPr>
            <w:tcW w:w="4896" w:type="dxa"/>
            <w:tcBorders>
              <w:top w:val="single" w:sz="4" w:space="0" w:color="FFFFFF" w:themeColor="background1"/>
              <w:bottom w:val="single" w:sz="4" w:space="0" w:color="53565A" w:themeColor="accent5"/>
            </w:tcBorders>
          </w:tcPr>
          <w:p w14:paraId="3008025B" w14:textId="1D34C54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E4F3BC5" w14:textId="2FFF642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5306E8F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09585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HOOTVILLE COMMUNICATIONS</w:t>
            </w:r>
          </w:p>
        </w:tc>
        <w:tc>
          <w:tcPr>
            <w:tcW w:w="4896" w:type="dxa"/>
            <w:tcBorders>
              <w:top w:val="single" w:sz="4" w:space="0" w:color="FFFFFF" w:themeColor="background1"/>
              <w:bottom w:val="single" w:sz="4" w:space="0" w:color="53565A" w:themeColor="accent5"/>
            </w:tcBorders>
          </w:tcPr>
          <w:p w14:paraId="4E8F5B46" w14:textId="63A7565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CAD64F4" w14:textId="7C83C86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8,545</w:t>
            </w:r>
          </w:p>
        </w:tc>
      </w:tr>
      <w:tr w:rsidR="00D34D92" w:rsidRPr="009423C3" w14:paraId="692EF0B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241D2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HOPCROFT HEATHER</w:t>
            </w:r>
          </w:p>
        </w:tc>
        <w:tc>
          <w:tcPr>
            <w:tcW w:w="4896" w:type="dxa"/>
            <w:tcBorders>
              <w:top w:val="single" w:sz="4" w:space="0" w:color="FFFFFF" w:themeColor="background1"/>
              <w:bottom w:val="single" w:sz="4" w:space="0" w:color="53565A" w:themeColor="accent5"/>
            </w:tcBorders>
          </w:tcPr>
          <w:p w14:paraId="43803232" w14:textId="48B449D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81282C1" w14:textId="4EF0E0A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w:t>
            </w:r>
            <w:r w:rsidR="005976C1" w:rsidRPr="00925213">
              <w:rPr>
                <w:rFonts w:ascii="Calibri" w:hAnsi="Calibri" w:cs="Calibri"/>
                <w:color w:val="000000"/>
                <w:szCs w:val="20"/>
              </w:rPr>
              <w:t>751</w:t>
            </w:r>
          </w:p>
        </w:tc>
      </w:tr>
      <w:tr w:rsidR="00D34D92" w:rsidRPr="009423C3" w14:paraId="7FA3A8F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8D67F9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HUDSON GLOBAL RESOURCES (AUST) PTY LIMITED</w:t>
            </w:r>
          </w:p>
        </w:tc>
        <w:tc>
          <w:tcPr>
            <w:tcW w:w="4896" w:type="dxa"/>
            <w:tcBorders>
              <w:top w:val="single" w:sz="4" w:space="0" w:color="FFFFFF" w:themeColor="background1"/>
              <w:bottom w:val="single" w:sz="4" w:space="0" w:color="53565A" w:themeColor="accent5"/>
            </w:tcBorders>
          </w:tcPr>
          <w:p w14:paraId="67E8AFA5" w14:textId="32F7B3F0"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vAlign w:val="center"/>
          </w:tcPr>
          <w:p w14:paraId="64A74234" w14:textId="2F09271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6,091,</w:t>
            </w:r>
            <w:r w:rsidR="005976C1" w:rsidRPr="00925213">
              <w:rPr>
                <w:rFonts w:ascii="Calibri" w:hAnsi="Calibri" w:cs="Calibri"/>
                <w:color w:val="000000"/>
                <w:szCs w:val="20"/>
              </w:rPr>
              <w:t>156</w:t>
            </w:r>
          </w:p>
        </w:tc>
      </w:tr>
      <w:tr w:rsidR="00D34D92" w:rsidRPr="009423C3" w14:paraId="60FFCD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4970BE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HUMAN LINK CONSULTING PTY LTD</w:t>
            </w:r>
          </w:p>
        </w:tc>
        <w:tc>
          <w:tcPr>
            <w:tcW w:w="4896" w:type="dxa"/>
            <w:tcBorders>
              <w:top w:val="single" w:sz="4" w:space="0" w:color="FFFFFF" w:themeColor="background1"/>
              <w:bottom w:val="single" w:sz="4" w:space="0" w:color="53565A" w:themeColor="accent5"/>
            </w:tcBorders>
          </w:tcPr>
          <w:p w14:paraId="71AFE7CB" w14:textId="0241027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45C38E8" w14:textId="2A4465A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25,950</w:t>
            </w:r>
          </w:p>
        </w:tc>
      </w:tr>
      <w:tr w:rsidR="00D34D92" w:rsidRPr="009423C3" w14:paraId="27EFC93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08D1A4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HUNTER IAN</w:t>
            </w:r>
          </w:p>
        </w:tc>
        <w:tc>
          <w:tcPr>
            <w:tcW w:w="4896" w:type="dxa"/>
            <w:tcBorders>
              <w:top w:val="single" w:sz="4" w:space="0" w:color="FFFFFF" w:themeColor="background1"/>
              <w:bottom w:val="single" w:sz="4" w:space="0" w:color="53565A" w:themeColor="accent5"/>
            </w:tcBorders>
          </w:tcPr>
          <w:p w14:paraId="5034F8D1" w14:textId="40965DF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1B3A5586" w14:textId="17E13C0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3,600</w:t>
            </w:r>
          </w:p>
        </w:tc>
      </w:tr>
      <w:tr w:rsidR="00D34D92" w:rsidRPr="009423C3" w14:paraId="35F4924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077DD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HUNTER SUE ANNE</w:t>
            </w:r>
          </w:p>
        </w:tc>
        <w:tc>
          <w:tcPr>
            <w:tcW w:w="4896" w:type="dxa"/>
            <w:tcBorders>
              <w:top w:val="single" w:sz="4" w:space="0" w:color="FFFFFF" w:themeColor="background1"/>
              <w:bottom w:val="single" w:sz="4" w:space="0" w:color="53565A" w:themeColor="accent5"/>
            </w:tcBorders>
          </w:tcPr>
          <w:p w14:paraId="7B73EE7B" w14:textId="218B9E2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990E02B" w14:textId="77ADD93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1,200</w:t>
            </w:r>
          </w:p>
        </w:tc>
      </w:tr>
      <w:tr w:rsidR="00D34D92" w:rsidRPr="009423C3" w14:paraId="24B62F0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9CCAF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HYDON CONSULTING PTY LTD</w:t>
            </w:r>
          </w:p>
        </w:tc>
        <w:tc>
          <w:tcPr>
            <w:tcW w:w="4896" w:type="dxa"/>
            <w:tcBorders>
              <w:top w:val="single" w:sz="4" w:space="0" w:color="FFFFFF" w:themeColor="background1"/>
              <w:bottom w:val="single" w:sz="4" w:space="0" w:color="53565A" w:themeColor="accent5"/>
            </w:tcBorders>
          </w:tcPr>
          <w:p w14:paraId="54244F42" w14:textId="665CE6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00180C8" w14:textId="6F35C45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16,500</w:t>
            </w:r>
          </w:p>
        </w:tc>
      </w:tr>
      <w:tr w:rsidR="00D34D92" w:rsidRPr="009423C3" w14:paraId="2C90D3D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3800F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HYPHEN EDUCATION CONSULTING PTY LTD</w:t>
            </w:r>
          </w:p>
        </w:tc>
        <w:tc>
          <w:tcPr>
            <w:tcW w:w="4896" w:type="dxa"/>
            <w:tcBorders>
              <w:top w:val="single" w:sz="4" w:space="0" w:color="FFFFFF" w:themeColor="background1"/>
              <w:bottom w:val="single" w:sz="4" w:space="0" w:color="53565A" w:themeColor="accent5"/>
            </w:tcBorders>
          </w:tcPr>
          <w:p w14:paraId="0B8A6F4F" w14:textId="1F5A54D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DCE02C" w14:textId="33158A9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43,636</w:t>
            </w:r>
          </w:p>
        </w:tc>
      </w:tr>
      <w:tr w:rsidR="00D34D92" w:rsidRPr="009423C3" w14:paraId="65D237E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1BF9D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 AND J MANAGEMENT SERVICES</w:t>
            </w:r>
          </w:p>
        </w:tc>
        <w:tc>
          <w:tcPr>
            <w:tcW w:w="4896" w:type="dxa"/>
            <w:tcBorders>
              <w:top w:val="single" w:sz="4" w:space="0" w:color="FFFFFF" w:themeColor="background1"/>
              <w:bottom w:val="single" w:sz="4" w:space="0" w:color="53565A" w:themeColor="accent5"/>
            </w:tcBorders>
          </w:tcPr>
          <w:p w14:paraId="0B4C3D98" w14:textId="36F7A7E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6E3A233" w14:textId="2BD107F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85,300</w:t>
            </w:r>
          </w:p>
        </w:tc>
      </w:tr>
      <w:tr w:rsidR="00D34D92" w:rsidRPr="009423C3" w14:paraId="374FFEA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B837D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ILIADIS IRENE</w:t>
            </w:r>
          </w:p>
        </w:tc>
        <w:tc>
          <w:tcPr>
            <w:tcW w:w="4896" w:type="dxa"/>
            <w:tcBorders>
              <w:top w:val="single" w:sz="4" w:space="0" w:color="FFFFFF" w:themeColor="background1"/>
              <w:bottom w:val="single" w:sz="4" w:space="0" w:color="53565A" w:themeColor="accent5"/>
            </w:tcBorders>
          </w:tcPr>
          <w:p w14:paraId="52423A05" w14:textId="3D70DD5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1B8BDA3" w14:textId="59B8884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15,600</w:t>
            </w:r>
          </w:p>
        </w:tc>
      </w:tr>
      <w:tr w:rsidR="00D34D92" w:rsidRPr="009423C3" w14:paraId="5770F91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2E9A18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IMA MANAGEMENT AND TECHNOLOGY PTY LTD</w:t>
            </w:r>
          </w:p>
        </w:tc>
        <w:tc>
          <w:tcPr>
            <w:tcW w:w="4896" w:type="dxa"/>
            <w:tcBorders>
              <w:top w:val="single" w:sz="4" w:space="0" w:color="FFFFFF" w:themeColor="background1"/>
              <w:bottom w:val="single" w:sz="4" w:space="0" w:color="53565A" w:themeColor="accent5"/>
            </w:tcBorders>
          </w:tcPr>
          <w:p w14:paraId="27E7068C" w14:textId="4A27228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4F2F369" w14:textId="1050858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107,070</w:t>
            </w:r>
          </w:p>
        </w:tc>
      </w:tr>
      <w:tr w:rsidR="00D34D92" w:rsidRPr="009423C3" w14:paraId="5F7D97C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1070B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IMBER MADELAINE</w:t>
            </w:r>
          </w:p>
        </w:tc>
        <w:tc>
          <w:tcPr>
            <w:tcW w:w="4896" w:type="dxa"/>
            <w:tcBorders>
              <w:top w:val="single" w:sz="4" w:space="0" w:color="FFFFFF" w:themeColor="background1"/>
              <w:bottom w:val="single" w:sz="4" w:space="0" w:color="53565A" w:themeColor="accent5"/>
            </w:tcBorders>
          </w:tcPr>
          <w:p w14:paraId="25C137BC" w14:textId="66B4936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083E890" w14:textId="605CE9A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9,600</w:t>
            </w:r>
          </w:p>
        </w:tc>
      </w:tr>
      <w:tr w:rsidR="00D34D92" w:rsidRPr="009423C3" w14:paraId="1643263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359C3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IMC INFORMATION MULTIMEDIA COMMUNICATION PTY LTD</w:t>
            </w:r>
          </w:p>
        </w:tc>
        <w:tc>
          <w:tcPr>
            <w:tcW w:w="4896" w:type="dxa"/>
            <w:tcBorders>
              <w:top w:val="single" w:sz="4" w:space="0" w:color="FFFFFF" w:themeColor="background1"/>
              <w:bottom w:val="single" w:sz="4" w:space="0" w:color="53565A" w:themeColor="accent5"/>
            </w:tcBorders>
          </w:tcPr>
          <w:p w14:paraId="53B6E23D" w14:textId="227C9B8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A122C88" w14:textId="58A63F6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69,900</w:t>
            </w:r>
          </w:p>
        </w:tc>
      </w:tr>
      <w:tr w:rsidR="00D34D92" w:rsidRPr="009423C3" w14:paraId="672FC95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1EBAE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IMMEDIACY PTY LTD</w:t>
            </w:r>
          </w:p>
        </w:tc>
        <w:tc>
          <w:tcPr>
            <w:tcW w:w="4896" w:type="dxa"/>
            <w:tcBorders>
              <w:top w:val="single" w:sz="4" w:space="0" w:color="FFFFFF" w:themeColor="background1"/>
              <w:bottom w:val="single" w:sz="4" w:space="0" w:color="53565A" w:themeColor="accent5"/>
            </w:tcBorders>
          </w:tcPr>
          <w:p w14:paraId="1AF58B29" w14:textId="31906E5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E869CD" w14:textId="7106955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8,000</w:t>
            </w:r>
          </w:p>
        </w:tc>
      </w:tr>
      <w:tr w:rsidR="00D34D92" w:rsidRPr="009423C3" w14:paraId="6074E6F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4D0A9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IMPACT SPEECH PATHOLOGY PTY LTD</w:t>
            </w:r>
          </w:p>
        </w:tc>
        <w:tc>
          <w:tcPr>
            <w:tcW w:w="4896" w:type="dxa"/>
            <w:tcBorders>
              <w:top w:val="single" w:sz="4" w:space="0" w:color="FFFFFF" w:themeColor="background1"/>
              <w:bottom w:val="single" w:sz="4" w:space="0" w:color="53565A" w:themeColor="accent5"/>
            </w:tcBorders>
          </w:tcPr>
          <w:p w14:paraId="399B3A56" w14:textId="4EB5A8E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319D108" w14:textId="440A084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3,520</w:t>
            </w:r>
          </w:p>
        </w:tc>
      </w:tr>
      <w:tr w:rsidR="00D34D92" w:rsidRPr="009423C3" w14:paraId="7002A2C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CC668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IMPACTFUL WORK</w:t>
            </w:r>
          </w:p>
        </w:tc>
        <w:tc>
          <w:tcPr>
            <w:tcW w:w="4896" w:type="dxa"/>
            <w:tcBorders>
              <w:top w:val="single" w:sz="4" w:space="0" w:color="FFFFFF" w:themeColor="background1"/>
              <w:bottom w:val="single" w:sz="4" w:space="0" w:color="53565A" w:themeColor="accent5"/>
            </w:tcBorders>
          </w:tcPr>
          <w:p w14:paraId="5F85D448" w14:textId="4220D33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C2DB196" w14:textId="242FF07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41,600</w:t>
            </w:r>
          </w:p>
        </w:tc>
      </w:tr>
      <w:tr w:rsidR="00D34D92" w:rsidRPr="009423C3" w14:paraId="5AB99DF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2AA91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INCUBATE FOUNDATION</w:t>
            </w:r>
          </w:p>
        </w:tc>
        <w:tc>
          <w:tcPr>
            <w:tcW w:w="4896" w:type="dxa"/>
            <w:tcBorders>
              <w:top w:val="single" w:sz="4" w:space="0" w:color="FFFFFF" w:themeColor="background1"/>
              <w:bottom w:val="single" w:sz="4" w:space="0" w:color="53565A" w:themeColor="accent5"/>
            </w:tcBorders>
          </w:tcPr>
          <w:p w14:paraId="6FA5D59B" w14:textId="062E132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8009DFC" w14:textId="40AEDB8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w:t>
            </w:r>
            <w:r w:rsidR="005976C1" w:rsidRPr="00925213">
              <w:rPr>
                <w:rFonts w:ascii="Calibri" w:hAnsi="Calibri" w:cs="Calibri"/>
                <w:color w:val="000000"/>
                <w:szCs w:val="20"/>
              </w:rPr>
              <w:t>400</w:t>
            </w:r>
          </w:p>
        </w:tc>
      </w:tr>
      <w:tr w:rsidR="00D34D92" w:rsidRPr="009423C3" w14:paraId="4358C13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DEF042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INFECTION PREVENTION AUSTRALIA</w:t>
            </w:r>
          </w:p>
        </w:tc>
        <w:tc>
          <w:tcPr>
            <w:tcW w:w="4896" w:type="dxa"/>
            <w:tcBorders>
              <w:top w:val="single" w:sz="4" w:space="0" w:color="FFFFFF" w:themeColor="background1"/>
              <w:bottom w:val="single" w:sz="4" w:space="0" w:color="53565A" w:themeColor="accent5"/>
            </w:tcBorders>
          </w:tcPr>
          <w:p w14:paraId="757DF3D9" w14:textId="69E2CE3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C00BCD2" w14:textId="37DBAF3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14,000</w:t>
            </w:r>
          </w:p>
        </w:tc>
      </w:tr>
      <w:tr w:rsidR="00D34D92" w:rsidRPr="009423C3" w14:paraId="5142B78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F86D3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INFORMATION ACCESS GROUP</w:t>
            </w:r>
          </w:p>
        </w:tc>
        <w:tc>
          <w:tcPr>
            <w:tcW w:w="4896" w:type="dxa"/>
            <w:tcBorders>
              <w:top w:val="single" w:sz="4" w:space="0" w:color="FFFFFF" w:themeColor="background1"/>
              <w:bottom w:val="single" w:sz="4" w:space="0" w:color="53565A" w:themeColor="accent5"/>
            </w:tcBorders>
          </w:tcPr>
          <w:p w14:paraId="5B82867C" w14:textId="517814F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96E2308" w14:textId="07354108"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4,988</w:t>
            </w:r>
          </w:p>
        </w:tc>
      </w:tr>
      <w:tr w:rsidR="00D34D92" w:rsidRPr="009423C3" w14:paraId="5B8ED58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87BD2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INJURYNET AUSTRALIA PTY LTD</w:t>
            </w:r>
          </w:p>
        </w:tc>
        <w:tc>
          <w:tcPr>
            <w:tcW w:w="4896" w:type="dxa"/>
            <w:tcBorders>
              <w:top w:val="single" w:sz="4" w:space="0" w:color="FFFFFF" w:themeColor="background1"/>
              <w:bottom w:val="single" w:sz="4" w:space="0" w:color="53565A" w:themeColor="accent5"/>
            </w:tcBorders>
          </w:tcPr>
          <w:p w14:paraId="7D6FD4A8" w14:textId="13E960A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63E3548" w14:textId="75D7694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437,</w:t>
            </w:r>
            <w:r w:rsidR="005976C1" w:rsidRPr="00925213">
              <w:rPr>
                <w:rFonts w:ascii="Calibri" w:hAnsi="Calibri" w:cs="Calibri"/>
                <w:color w:val="000000"/>
                <w:szCs w:val="20"/>
              </w:rPr>
              <w:t>177</w:t>
            </w:r>
          </w:p>
        </w:tc>
      </w:tr>
      <w:tr w:rsidR="00D34D92" w:rsidRPr="009423C3" w14:paraId="10128DD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A3B6F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INNOVATION AND BUSINESS SKILLS AUSTRALIA</w:t>
            </w:r>
          </w:p>
        </w:tc>
        <w:tc>
          <w:tcPr>
            <w:tcW w:w="4896" w:type="dxa"/>
            <w:tcBorders>
              <w:top w:val="single" w:sz="4" w:space="0" w:color="FFFFFF" w:themeColor="background1"/>
              <w:bottom w:val="single" w:sz="4" w:space="0" w:color="53565A" w:themeColor="accent5"/>
            </w:tcBorders>
          </w:tcPr>
          <w:p w14:paraId="50AE669D" w14:textId="2E68A35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DA362CF" w14:textId="3D93EEF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64,788</w:t>
            </w:r>
          </w:p>
        </w:tc>
      </w:tr>
      <w:tr w:rsidR="00D34D92" w:rsidRPr="009423C3" w14:paraId="7706067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2D9625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INNOVATION UNIT AUSTRALIA NEW ZEALAND LIMITED</w:t>
            </w:r>
          </w:p>
        </w:tc>
        <w:tc>
          <w:tcPr>
            <w:tcW w:w="4896" w:type="dxa"/>
            <w:tcBorders>
              <w:top w:val="single" w:sz="4" w:space="0" w:color="FFFFFF" w:themeColor="background1"/>
              <w:bottom w:val="single" w:sz="4" w:space="0" w:color="53565A" w:themeColor="accent5"/>
            </w:tcBorders>
          </w:tcPr>
          <w:p w14:paraId="589EF554" w14:textId="42E2F35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536812A" w14:textId="1659F0D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15,148</w:t>
            </w:r>
          </w:p>
        </w:tc>
      </w:tr>
      <w:tr w:rsidR="00D34D92" w:rsidRPr="009423C3" w14:paraId="5F24DF8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32034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INNOVATIVE EDUCATIONAL IDEAS</w:t>
            </w:r>
          </w:p>
        </w:tc>
        <w:tc>
          <w:tcPr>
            <w:tcW w:w="4896" w:type="dxa"/>
            <w:tcBorders>
              <w:top w:val="single" w:sz="4" w:space="0" w:color="FFFFFF" w:themeColor="background1"/>
              <w:bottom w:val="single" w:sz="4" w:space="0" w:color="53565A" w:themeColor="accent5"/>
            </w:tcBorders>
          </w:tcPr>
          <w:p w14:paraId="42B3A529" w14:textId="2706492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0D3F9DA" w14:textId="5713583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52,740</w:t>
            </w:r>
          </w:p>
        </w:tc>
      </w:tr>
      <w:tr w:rsidR="00D34D92" w:rsidRPr="009423C3" w14:paraId="096987B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9F6AB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INSIGHT ENTERPRISES AUSTRALIA PTY LTD</w:t>
            </w:r>
          </w:p>
        </w:tc>
        <w:tc>
          <w:tcPr>
            <w:tcW w:w="4896" w:type="dxa"/>
            <w:tcBorders>
              <w:top w:val="single" w:sz="4" w:space="0" w:color="FFFFFF" w:themeColor="background1"/>
              <w:bottom w:val="single" w:sz="4" w:space="0" w:color="53565A" w:themeColor="accent5"/>
            </w:tcBorders>
          </w:tcPr>
          <w:p w14:paraId="12CE211D" w14:textId="472B092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08D90A37" w14:textId="66F3BD1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198,</w:t>
            </w:r>
            <w:r w:rsidR="005976C1" w:rsidRPr="00925213">
              <w:rPr>
                <w:rFonts w:ascii="Calibri" w:hAnsi="Calibri" w:cs="Calibri"/>
                <w:color w:val="000000"/>
                <w:szCs w:val="20"/>
              </w:rPr>
              <w:t>236</w:t>
            </w:r>
          </w:p>
        </w:tc>
      </w:tr>
      <w:tr w:rsidR="00D34D92" w:rsidRPr="009423C3" w14:paraId="5A55AF4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87757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INSIGHT LEADERSHIP COACHING</w:t>
            </w:r>
          </w:p>
        </w:tc>
        <w:tc>
          <w:tcPr>
            <w:tcW w:w="4896" w:type="dxa"/>
            <w:tcBorders>
              <w:top w:val="single" w:sz="4" w:space="0" w:color="FFFFFF" w:themeColor="background1"/>
              <w:bottom w:val="single" w:sz="4" w:space="0" w:color="53565A" w:themeColor="accent5"/>
            </w:tcBorders>
          </w:tcPr>
          <w:p w14:paraId="57B2C3E7" w14:textId="7F756D8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012550E" w14:textId="0EBE5ED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5,040</w:t>
            </w:r>
          </w:p>
        </w:tc>
      </w:tr>
      <w:tr w:rsidR="00D34D92" w:rsidRPr="009423C3" w14:paraId="519E92D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325C0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INSTITUTE OF PUBLIC ADMINISTRATION AUSTRALIA (VICTORIAN DIVISION) INC</w:t>
            </w:r>
          </w:p>
        </w:tc>
        <w:tc>
          <w:tcPr>
            <w:tcW w:w="4896" w:type="dxa"/>
            <w:tcBorders>
              <w:top w:val="single" w:sz="4" w:space="0" w:color="FFFFFF" w:themeColor="background1"/>
              <w:bottom w:val="single" w:sz="4" w:space="0" w:color="53565A" w:themeColor="accent5"/>
            </w:tcBorders>
          </w:tcPr>
          <w:p w14:paraId="3B00B40F" w14:textId="331DA22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25087C8A" w14:textId="15D5EE3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25,695</w:t>
            </w:r>
          </w:p>
        </w:tc>
      </w:tr>
      <w:tr w:rsidR="00D34D92" w:rsidRPr="009423C3" w14:paraId="0087AD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746B1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INSTRUCTURE AUSTRALIA PTY LTD</w:t>
            </w:r>
          </w:p>
        </w:tc>
        <w:tc>
          <w:tcPr>
            <w:tcW w:w="4896" w:type="dxa"/>
            <w:tcBorders>
              <w:top w:val="single" w:sz="4" w:space="0" w:color="FFFFFF" w:themeColor="background1"/>
              <w:bottom w:val="single" w:sz="4" w:space="0" w:color="53565A" w:themeColor="accent5"/>
            </w:tcBorders>
          </w:tcPr>
          <w:p w14:paraId="4C3C5C04" w14:textId="28D01C84"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42A2F46C" w14:textId="25AEF7A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113,121</w:t>
            </w:r>
          </w:p>
        </w:tc>
      </w:tr>
      <w:tr w:rsidR="00D34D92" w:rsidRPr="009423C3" w14:paraId="3C7A212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15E2E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INSTRUCTURE GLOBAL LTD</w:t>
            </w:r>
          </w:p>
        </w:tc>
        <w:tc>
          <w:tcPr>
            <w:tcW w:w="4896" w:type="dxa"/>
            <w:tcBorders>
              <w:top w:val="single" w:sz="4" w:space="0" w:color="FFFFFF" w:themeColor="background1"/>
              <w:bottom w:val="single" w:sz="4" w:space="0" w:color="53565A" w:themeColor="accent5"/>
            </w:tcBorders>
          </w:tcPr>
          <w:p w14:paraId="12AF8940" w14:textId="4B19BBB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3311185" w14:textId="18B1511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175,947</w:t>
            </w:r>
          </w:p>
        </w:tc>
      </w:tr>
      <w:tr w:rsidR="00D34D92" w:rsidRPr="009423C3" w14:paraId="43EF025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56257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INTEGRATE AV</w:t>
            </w:r>
          </w:p>
        </w:tc>
        <w:tc>
          <w:tcPr>
            <w:tcW w:w="4896" w:type="dxa"/>
            <w:tcBorders>
              <w:top w:val="single" w:sz="4" w:space="0" w:color="FFFFFF" w:themeColor="background1"/>
              <w:bottom w:val="single" w:sz="4" w:space="0" w:color="53565A" w:themeColor="accent5"/>
            </w:tcBorders>
          </w:tcPr>
          <w:p w14:paraId="67E71ED7" w14:textId="73A57FC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8970030" w14:textId="759AFD6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78,072</w:t>
            </w:r>
          </w:p>
        </w:tc>
      </w:tr>
      <w:tr w:rsidR="00D34D92" w:rsidRPr="009423C3" w14:paraId="63A1F7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3A63D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INTERCHANGE LODDON-MALLEE REGION INC</w:t>
            </w:r>
          </w:p>
        </w:tc>
        <w:tc>
          <w:tcPr>
            <w:tcW w:w="4896" w:type="dxa"/>
            <w:tcBorders>
              <w:top w:val="single" w:sz="4" w:space="0" w:color="FFFFFF" w:themeColor="background1"/>
              <w:bottom w:val="single" w:sz="4" w:space="0" w:color="53565A" w:themeColor="accent5"/>
            </w:tcBorders>
          </w:tcPr>
          <w:p w14:paraId="321599A2" w14:textId="378A457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1B3A3DD" w14:textId="5A859B3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2,558,</w:t>
            </w:r>
            <w:r w:rsidR="005976C1" w:rsidRPr="00925213">
              <w:rPr>
                <w:rFonts w:ascii="Calibri" w:hAnsi="Calibri" w:cs="Calibri"/>
                <w:color w:val="000000"/>
                <w:szCs w:val="20"/>
              </w:rPr>
              <w:t>954</w:t>
            </w:r>
          </w:p>
        </w:tc>
      </w:tr>
      <w:tr w:rsidR="00D34D92" w:rsidRPr="009423C3" w14:paraId="48D5EE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7AA6FD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INTERNATIONAL ASSOCIATION FOR PUBLIC PARTICIPATION AUSTRALASIA LIMITED</w:t>
            </w:r>
          </w:p>
        </w:tc>
        <w:tc>
          <w:tcPr>
            <w:tcW w:w="4896" w:type="dxa"/>
            <w:tcBorders>
              <w:top w:val="single" w:sz="4" w:space="0" w:color="FFFFFF" w:themeColor="background1"/>
              <w:bottom w:val="single" w:sz="4" w:space="0" w:color="53565A" w:themeColor="accent5"/>
            </w:tcBorders>
          </w:tcPr>
          <w:p w14:paraId="409296CD" w14:textId="175DF0D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2B019AD" w14:textId="52917AA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4,827</w:t>
            </w:r>
          </w:p>
        </w:tc>
      </w:tr>
      <w:tr w:rsidR="00D34D92" w:rsidRPr="009423C3" w14:paraId="76A47A5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22E200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INTESO PTY LTD</w:t>
            </w:r>
          </w:p>
        </w:tc>
        <w:tc>
          <w:tcPr>
            <w:tcW w:w="4896" w:type="dxa"/>
            <w:tcBorders>
              <w:top w:val="single" w:sz="4" w:space="0" w:color="FFFFFF" w:themeColor="background1"/>
              <w:bottom w:val="single" w:sz="4" w:space="0" w:color="53565A" w:themeColor="accent5"/>
            </w:tcBorders>
          </w:tcPr>
          <w:p w14:paraId="4E8F3682" w14:textId="2A1C82C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72AF922" w14:textId="35F7A3CD"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7,072</w:t>
            </w:r>
          </w:p>
        </w:tc>
      </w:tr>
      <w:tr w:rsidR="00D34D92" w:rsidRPr="009423C3" w14:paraId="361576F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F7735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INVENTIUM PTY LTD</w:t>
            </w:r>
          </w:p>
        </w:tc>
        <w:tc>
          <w:tcPr>
            <w:tcW w:w="4896" w:type="dxa"/>
            <w:tcBorders>
              <w:top w:val="single" w:sz="4" w:space="0" w:color="FFFFFF" w:themeColor="background1"/>
              <w:bottom w:val="single" w:sz="4" w:space="0" w:color="53565A" w:themeColor="accent5"/>
            </w:tcBorders>
          </w:tcPr>
          <w:p w14:paraId="1611A382" w14:textId="51E156C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DBA7B35" w14:textId="3F7349D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6,000</w:t>
            </w:r>
          </w:p>
        </w:tc>
      </w:tr>
      <w:tr w:rsidR="00D34D92" w:rsidRPr="009423C3" w14:paraId="649C2EA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8101D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IOTTAG PTY LTD</w:t>
            </w:r>
          </w:p>
        </w:tc>
        <w:tc>
          <w:tcPr>
            <w:tcW w:w="4896" w:type="dxa"/>
            <w:tcBorders>
              <w:top w:val="single" w:sz="4" w:space="0" w:color="FFFFFF" w:themeColor="background1"/>
              <w:bottom w:val="single" w:sz="4" w:space="0" w:color="53565A" w:themeColor="accent5"/>
            </w:tcBorders>
          </w:tcPr>
          <w:p w14:paraId="202FC250" w14:textId="647D115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633E35A0" w14:textId="1E0FF75D"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2,911</w:t>
            </w:r>
          </w:p>
        </w:tc>
      </w:tr>
      <w:tr w:rsidR="00D34D92" w:rsidRPr="009423C3" w14:paraId="34115CE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6B70D0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IPAR REHABILITATION PTY LTD</w:t>
            </w:r>
          </w:p>
        </w:tc>
        <w:tc>
          <w:tcPr>
            <w:tcW w:w="4896" w:type="dxa"/>
            <w:tcBorders>
              <w:top w:val="single" w:sz="4" w:space="0" w:color="FFFFFF" w:themeColor="background1"/>
              <w:bottom w:val="single" w:sz="4" w:space="0" w:color="53565A" w:themeColor="accent5"/>
            </w:tcBorders>
          </w:tcPr>
          <w:p w14:paraId="477C3E4E" w14:textId="497528F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46F11FA" w14:textId="1621B34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7,380</w:t>
            </w:r>
          </w:p>
        </w:tc>
      </w:tr>
      <w:tr w:rsidR="00D34D92" w:rsidRPr="009423C3" w14:paraId="3D3B407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26669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IPSOS PUBLIC AFFAIRS PTY LTD</w:t>
            </w:r>
          </w:p>
        </w:tc>
        <w:tc>
          <w:tcPr>
            <w:tcW w:w="4896" w:type="dxa"/>
            <w:tcBorders>
              <w:top w:val="single" w:sz="4" w:space="0" w:color="FFFFFF" w:themeColor="background1"/>
              <w:bottom w:val="single" w:sz="4" w:space="0" w:color="53565A" w:themeColor="accent5"/>
            </w:tcBorders>
          </w:tcPr>
          <w:p w14:paraId="713A3958" w14:textId="0D7A83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1B6CF4A" w14:textId="30DD220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146,935</w:t>
            </w:r>
          </w:p>
        </w:tc>
      </w:tr>
      <w:tr w:rsidR="00D34D92" w:rsidRPr="009423C3" w14:paraId="05DEF56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26103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IRREGULAR NETWORKS PTY LTD</w:t>
            </w:r>
          </w:p>
        </w:tc>
        <w:tc>
          <w:tcPr>
            <w:tcW w:w="4896" w:type="dxa"/>
            <w:tcBorders>
              <w:top w:val="single" w:sz="4" w:space="0" w:color="FFFFFF" w:themeColor="background1"/>
              <w:bottom w:val="single" w:sz="4" w:space="0" w:color="53565A" w:themeColor="accent5"/>
            </w:tcBorders>
          </w:tcPr>
          <w:p w14:paraId="40490425" w14:textId="1108807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4C30C413" w14:textId="783D385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29,600</w:t>
            </w:r>
          </w:p>
        </w:tc>
      </w:tr>
      <w:tr w:rsidR="00D34D92" w:rsidRPr="009423C3" w14:paraId="340A062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7A3F5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ITHACA GROUP</w:t>
            </w:r>
          </w:p>
        </w:tc>
        <w:tc>
          <w:tcPr>
            <w:tcW w:w="4896" w:type="dxa"/>
            <w:tcBorders>
              <w:top w:val="single" w:sz="4" w:space="0" w:color="FFFFFF" w:themeColor="background1"/>
              <w:bottom w:val="single" w:sz="4" w:space="0" w:color="53565A" w:themeColor="accent5"/>
            </w:tcBorders>
          </w:tcPr>
          <w:p w14:paraId="4DDD109F" w14:textId="0A3DD60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4D3950E" w14:textId="546E973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39,400</w:t>
            </w:r>
          </w:p>
        </w:tc>
      </w:tr>
      <w:tr w:rsidR="00D34D92" w:rsidRPr="009423C3" w14:paraId="131B022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9A54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 &amp; D CORRIGAN</w:t>
            </w:r>
          </w:p>
        </w:tc>
        <w:tc>
          <w:tcPr>
            <w:tcW w:w="4896" w:type="dxa"/>
            <w:tcBorders>
              <w:top w:val="single" w:sz="4" w:space="0" w:color="FFFFFF" w:themeColor="background1"/>
              <w:bottom w:val="single" w:sz="4" w:space="0" w:color="53565A" w:themeColor="accent5"/>
            </w:tcBorders>
          </w:tcPr>
          <w:p w14:paraId="5EAB0F13" w14:textId="6989CBF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36E21FE" w14:textId="26599B7B"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1,364</w:t>
            </w:r>
          </w:p>
        </w:tc>
      </w:tr>
      <w:tr w:rsidR="00D34D92" w:rsidRPr="009423C3" w14:paraId="0F375C9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2EC68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JAN GREGORY CONSULTING</w:t>
            </w:r>
          </w:p>
        </w:tc>
        <w:tc>
          <w:tcPr>
            <w:tcW w:w="4896" w:type="dxa"/>
            <w:tcBorders>
              <w:top w:val="single" w:sz="4" w:space="0" w:color="FFFFFF" w:themeColor="background1"/>
              <w:bottom w:val="single" w:sz="4" w:space="0" w:color="53565A" w:themeColor="accent5"/>
            </w:tcBorders>
          </w:tcPr>
          <w:p w14:paraId="3382BE2D" w14:textId="597E025B"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A303BD">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ssessment</w:t>
            </w:r>
            <w:r w:rsidR="00A303BD">
              <w:rPr>
                <w:rFonts w:ascii="Calibri" w:eastAsia="Times New Roman" w:hAnsi="Calibri" w:cs="Calibri"/>
                <w:color w:val="000000"/>
                <w:szCs w:val="20"/>
                <w:lang w:val="en-AU" w:eastAsia="en-AU"/>
              </w:rPr>
              <w:t xml:space="preserve"> 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39C6805E" w14:textId="7F79C99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10,000</w:t>
            </w:r>
          </w:p>
        </w:tc>
      </w:tr>
      <w:tr w:rsidR="00D34D92" w:rsidRPr="009423C3" w14:paraId="5C0BA2A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E7901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JDS AUSTRALIA PTY LTD</w:t>
            </w:r>
          </w:p>
        </w:tc>
        <w:tc>
          <w:tcPr>
            <w:tcW w:w="4896" w:type="dxa"/>
            <w:tcBorders>
              <w:top w:val="single" w:sz="4" w:space="0" w:color="FFFFFF" w:themeColor="background1"/>
              <w:bottom w:val="single" w:sz="4" w:space="0" w:color="53565A" w:themeColor="accent5"/>
            </w:tcBorders>
          </w:tcPr>
          <w:p w14:paraId="238F21D7" w14:textId="02D532E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4511EF06" w14:textId="17B3724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127,</w:t>
            </w:r>
            <w:r w:rsidR="005976C1" w:rsidRPr="00925213">
              <w:rPr>
                <w:rFonts w:ascii="Calibri" w:hAnsi="Calibri" w:cs="Calibri"/>
                <w:color w:val="000000"/>
                <w:szCs w:val="20"/>
              </w:rPr>
              <w:t>349</w:t>
            </w:r>
          </w:p>
        </w:tc>
      </w:tr>
      <w:tr w:rsidR="00D34D92" w:rsidRPr="009423C3" w14:paraId="325E2CF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6CBD7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JEFF WHALAN LEARNING GROUP</w:t>
            </w:r>
          </w:p>
        </w:tc>
        <w:tc>
          <w:tcPr>
            <w:tcW w:w="4896" w:type="dxa"/>
            <w:tcBorders>
              <w:top w:val="single" w:sz="4" w:space="0" w:color="FFFFFF" w:themeColor="background1"/>
              <w:bottom w:val="single" w:sz="4" w:space="0" w:color="53565A" w:themeColor="accent5"/>
            </w:tcBorders>
          </w:tcPr>
          <w:p w14:paraId="77AD1FF2" w14:textId="0C40C33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47AF7D13" w14:textId="3FAD0FC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8,900</w:t>
            </w:r>
          </w:p>
        </w:tc>
      </w:tr>
      <w:tr w:rsidR="00D34D92" w:rsidRPr="009423C3" w14:paraId="3793E5A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F03BF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JEGES HELEN ANN</w:t>
            </w:r>
          </w:p>
        </w:tc>
        <w:tc>
          <w:tcPr>
            <w:tcW w:w="4896" w:type="dxa"/>
            <w:tcBorders>
              <w:top w:val="single" w:sz="4" w:space="0" w:color="FFFFFF" w:themeColor="background1"/>
              <w:bottom w:val="single" w:sz="4" w:space="0" w:color="53565A" w:themeColor="accent5"/>
            </w:tcBorders>
          </w:tcPr>
          <w:p w14:paraId="5838BDE8" w14:textId="1DE9818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3DA44F3" w14:textId="7087E14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5,453</w:t>
            </w:r>
          </w:p>
        </w:tc>
      </w:tr>
      <w:tr w:rsidR="00D34D92" w:rsidRPr="009423C3" w14:paraId="0D26FC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FDF486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JENBEE CONSULTING</w:t>
            </w:r>
          </w:p>
        </w:tc>
        <w:tc>
          <w:tcPr>
            <w:tcW w:w="4896" w:type="dxa"/>
            <w:tcBorders>
              <w:top w:val="single" w:sz="4" w:space="0" w:color="FFFFFF" w:themeColor="background1"/>
              <w:bottom w:val="single" w:sz="4" w:space="0" w:color="53565A" w:themeColor="accent5"/>
            </w:tcBorders>
          </w:tcPr>
          <w:p w14:paraId="73E8C153" w14:textId="07E7D33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34D724E" w14:textId="57223C8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9,843</w:t>
            </w:r>
          </w:p>
        </w:tc>
      </w:tr>
      <w:tr w:rsidR="00D34D92" w:rsidRPr="009423C3" w14:paraId="43DDFBC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BB4258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JESUIT SOCIAL SERVICES LIMITED</w:t>
            </w:r>
          </w:p>
        </w:tc>
        <w:tc>
          <w:tcPr>
            <w:tcW w:w="4896" w:type="dxa"/>
            <w:tcBorders>
              <w:top w:val="single" w:sz="4" w:space="0" w:color="FFFFFF" w:themeColor="background1"/>
              <w:bottom w:val="single" w:sz="4" w:space="0" w:color="53565A" w:themeColor="accent5"/>
            </w:tcBorders>
          </w:tcPr>
          <w:p w14:paraId="3910D0F6" w14:textId="06322A7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52D3F30" w14:textId="6A8DA47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24,148</w:t>
            </w:r>
          </w:p>
        </w:tc>
      </w:tr>
      <w:tr w:rsidR="00D34D92" w:rsidRPr="009423C3" w14:paraId="10D9D61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10543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JEWISH HOLOCAUST CENTRE INC</w:t>
            </w:r>
          </w:p>
        </w:tc>
        <w:tc>
          <w:tcPr>
            <w:tcW w:w="4896" w:type="dxa"/>
            <w:tcBorders>
              <w:top w:val="single" w:sz="4" w:space="0" w:color="FFFFFF" w:themeColor="background1"/>
              <w:bottom w:val="single" w:sz="4" w:space="0" w:color="53565A" w:themeColor="accent5"/>
            </w:tcBorders>
          </w:tcPr>
          <w:p w14:paraId="2B7A81F1" w14:textId="49811EE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5D7BF7D" w14:textId="0EABC32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72,727</w:t>
            </w:r>
          </w:p>
        </w:tc>
      </w:tr>
      <w:tr w:rsidR="00D34D92" w:rsidRPr="009423C3" w14:paraId="6EAA1AA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F6BB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JFE GLOBAL PTY LTD</w:t>
            </w:r>
          </w:p>
        </w:tc>
        <w:tc>
          <w:tcPr>
            <w:tcW w:w="4896" w:type="dxa"/>
            <w:tcBorders>
              <w:top w:val="single" w:sz="4" w:space="0" w:color="FFFFFF" w:themeColor="background1"/>
              <w:bottom w:val="single" w:sz="4" w:space="0" w:color="53565A" w:themeColor="accent5"/>
            </w:tcBorders>
          </w:tcPr>
          <w:p w14:paraId="079318FC" w14:textId="5BC1F43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1323864" w14:textId="6AB455D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123,860</w:t>
            </w:r>
          </w:p>
        </w:tc>
      </w:tr>
      <w:tr w:rsidR="00D34D92" w:rsidRPr="009423C3" w14:paraId="75E964A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CE9A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JITTERBIT PTY LTD</w:t>
            </w:r>
          </w:p>
        </w:tc>
        <w:tc>
          <w:tcPr>
            <w:tcW w:w="4896" w:type="dxa"/>
            <w:tcBorders>
              <w:top w:val="single" w:sz="4" w:space="0" w:color="FFFFFF" w:themeColor="background1"/>
              <w:bottom w:val="single" w:sz="4" w:space="0" w:color="53565A" w:themeColor="accent5"/>
            </w:tcBorders>
          </w:tcPr>
          <w:p w14:paraId="271A0037" w14:textId="1A0C4F4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B870577" w14:textId="06D475E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24,000</w:t>
            </w:r>
          </w:p>
        </w:tc>
      </w:tr>
      <w:tr w:rsidR="00D34D92" w:rsidRPr="009423C3" w14:paraId="17C9325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5C6F3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JOANNA CATHLIN WALKER</w:t>
            </w:r>
          </w:p>
        </w:tc>
        <w:tc>
          <w:tcPr>
            <w:tcW w:w="4896" w:type="dxa"/>
            <w:tcBorders>
              <w:top w:val="single" w:sz="4" w:space="0" w:color="FFFFFF" w:themeColor="background1"/>
              <w:bottom w:val="single" w:sz="4" w:space="0" w:color="53565A" w:themeColor="accent5"/>
            </w:tcBorders>
          </w:tcPr>
          <w:p w14:paraId="0C7A0107" w14:textId="41B663F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F8621BD" w14:textId="59E09DE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7,227</w:t>
            </w:r>
          </w:p>
        </w:tc>
      </w:tr>
      <w:tr w:rsidR="00D34D92" w:rsidRPr="009423C3" w14:paraId="7964F5B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C9D15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JOHNSON RECRUITMENT</w:t>
            </w:r>
          </w:p>
        </w:tc>
        <w:tc>
          <w:tcPr>
            <w:tcW w:w="4896" w:type="dxa"/>
            <w:tcBorders>
              <w:top w:val="single" w:sz="4" w:space="0" w:color="FFFFFF" w:themeColor="background1"/>
              <w:bottom w:val="single" w:sz="4" w:space="0" w:color="53565A" w:themeColor="accent5"/>
            </w:tcBorders>
          </w:tcPr>
          <w:p w14:paraId="515E7179" w14:textId="554C237E"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133623">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2F340307" w14:textId="111C8FB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19,036</w:t>
            </w:r>
          </w:p>
        </w:tc>
      </w:tr>
      <w:tr w:rsidR="00D34D92" w:rsidRPr="009423C3" w14:paraId="46E3CA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34377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JONES BRONWYN</w:t>
            </w:r>
          </w:p>
        </w:tc>
        <w:tc>
          <w:tcPr>
            <w:tcW w:w="4896" w:type="dxa"/>
            <w:tcBorders>
              <w:top w:val="single" w:sz="4" w:space="0" w:color="FFFFFF" w:themeColor="background1"/>
              <w:bottom w:val="single" w:sz="4" w:space="0" w:color="53565A" w:themeColor="accent5"/>
            </w:tcBorders>
          </w:tcPr>
          <w:p w14:paraId="3B40A7F9" w14:textId="7B98A1E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A78C9D5" w14:textId="2934CF6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21,570</w:t>
            </w:r>
          </w:p>
        </w:tc>
      </w:tr>
      <w:tr w:rsidR="00D34D92" w:rsidRPr="009423C3" w14:paraId="3C673FA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BCBD8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JORDAN BERGIN PTY LTD</w:t>
            </w:r>
          </w:p>
        </w:tc>
        <w:tc>
          <w:tcPr>
            <w:tcW w:w="4896" w:type="dxa"/>
            <w:tcBorders>
              <w:top w:val="single" w:sz="4" w:space="0" w:color="FFFFFF" w:themeColor="background1"/>
              <w:bottom w:val="single" w:sz="4" w:space="0" w:color="53565A" w:themeColor="accent5"/>
            </w:tcBorders>
          </w:tcPr>
          <w:p w14:paraId="4634D710" w14:textId="64C1CEC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42B4E49" w14:textId="12B8EBD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6,000</w:t>
            </w:r>
          </w:p>
        </w:tc>
      </w:tr>
      <w:tr w:rsidR="00D34D92" w:rsidRPr="009423C3" w14:paraId="1DF6B64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02C51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JUNCTION SUPPORT SERVICES INC</w:t>
            </w:r>
          </w:p>
        </w:tc>
        <w:tc>
          <w:tcPr>
            <w:tcW w:w="4896" w:type="dxa"/>
            <w:tcBorders>
              <w:top w:val="single" w:sz="4" w:space="0" w:color="FFFFFF" w:themeColor="background1"/>
              <w:bottom w:val="single" w:sz="4" w:space="0" w:color="53565A" w:themeColor="accent5"/>
            </w:tcBorders>
          </w:tcPr>
          <w:p w14:paraId="6550A746" w14:textId="5794174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22E1C0B" w14:textId="2131552C"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1,455</w:t>
            </w:r>
          </w:p>
        </w:tc>
      </w:tr>
      <w:tr w:rsidR="00D34D92" w:rsidRPr="009423C3" w14:paraId="64EEA2B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CBA907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K+L GATES</w:t>
            </w:r>
          </w:p>
        </w:tc>
        <w:tc>
          <w:tcPr>
            <w:tcW w:w="4896" w:type="dxa"/>
            <w:tcBorders>
              <w:top w:val="single" w:sz="4" w:space="0" w:color="FFFFFF" w:themeColor="background1"/>
              <w:bottom w:val="single" w:sz="4" w:space="0" w:color="53565A" w:themeColor="accent5"/>
            </w:tcBorders>
          </w:tcPr>
          <w:p w14:paraId="3C43F4B3" w14:textId="5DD3C64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60F52F8" w14:textId="380C968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66,847</w:t>
            </w:r>
          </w:p>
        </w:tc>
      </w:tr>
      <w:tr w:rsidR="00D34D92" w:rsidRPr="009423C3" w14:paraId="49002BE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E4861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KADISHA ENTERPRISES PTY LTD</w:t>
            </w:r>
          </w:p>
        </w:tc>
        <w:tc>
          <w:tcPr>
            <w:tcW w:w="4896" w:type="dxa"/>
            <w:tcBorders>
              <w:top w:val="single" w:sz="4" w:space="0" w:color="FFFFFF" w:themeColor="background1"/>
              <w:bottom w:val="single" w:sz="4" w:space="0" w:color="53565A" w:themeColor="accent5"/>
            </w:tcBorders>
          </w:tcPr>
          <w:p w14:paraId="26FA059E" w14:textId="5730198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0B63445" w14:textId="06E1658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w:t>
            </w:r>
            <w:r w:rsidR="005976C1" w:rsidRPr="00925213">
              <w:rPr>
                <w:rFonts w:ascii="Calibri" w:hAnsi="Calibri" w:cs="Calibri"/>
                <w:color w:val="000000"/>
                <w:szCs w:val="20"/>
              </w:rPr>
              <w:t>820</w:t>
            </w:r>
          </w:p>
        </w:tc>
      </w:tr>
      <w:tr w:rsidR="00D34D92" w:rsidRPr="009423C3" w14:paraId="05B0FE6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A1524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KARE PSYCHOLOGY</w:t>
            </w:r>
          </w:p>
        </w:tc>
        <w:tc>
          <w:tcPr>
            <w:tcW w:w="4896" w:type="dxa"/>
            <w:tcBorders>
              <w:top w:val="single" w:sz="4" w:space="0" w:color="FFFFFF" w:themeColor="background1"/>
              <w:bottom w:val="single" w:sz="4" w:space="0" w:color="53565A" w:themeColor="accent5"/>
            </w:tcBorders>
          </w:tcPr>
          <w:p w14:paraId="15DD3B77" w14:textId="08A3D33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33F1261" w14:textId="7B299CB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90,138</w:t>
            </w:r>
          </w:p>
        </w:tc>
      </w:tr>
      <w:tr w:rsidR="00D34D92" w:rsidRPr="009423C3" w14:paraId="7CCB3E4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21BEC0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KASO RAYMOND LESLIE</w:t>
            </w:r>
          </w:p>
        </w:tc>
        <w:tc>
          <w:tcPr>
            <w:tcW w:w="4896" w:type="dxa"/>
            <w:tcBorders>
              <w:top w:val="single" w:sz="4" w:space="0" w:color="FFFFFF" w:themeColor="background1"/>
              <w:bottom w:val="single" w:sz="4" w:space="0" w:color="53565A" w:themeColor="accent5"/>
            </w:tcBorders>
          </w:tcPr>
          <w:p w14:paraId="343C0252" w14:textId="156E883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D31DBD4" w14:textId="688DD48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w:t>
            </w:r>
            <w:r w:rsidR="005976C1" w:rsidRPr="00925213">
              <w:rPr>
                <w:rFonts w:ascii="Calibri" w:hAnsi="Calibri" w:cs="Calibri"/>
                <w:color w:val="000000"/>
                <w:szCs w:val="20"/>
              </w:rPr>
              <w:t>855</w:t>
            </w:r>
          </w:p>
        </w:tc>
      </w:tr>
      <w:tr w:rsidR="00D34D92" w:rsidRPr="009423C3" w14:paraId="12FF239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C20800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KATHLEEN MARGARET GARDNER</w:t>
            </w:r>
          </w:p>
        </w:tc>
        <w:tc>
          <w:tcPr>
            <w:tcW w:w="4896" w:type="dxa"/>
            <w:tcBorders>
              <w:top w:val="single" w:sz="4" w:space="0" w:color="FFFFFF" w:themeColor="background1"/>
              <w:bottom w:val="single" w:sz="4" w:space="0" w:color="53565A" w:themeColor="accent5"/>
            </w:tcBorders>
          </w:tcPr>
          <w:p w14:paraId="25DD92B2" w14:textId="4F32937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05188F0" w14:textId="7D8857F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2,625</w:t>
            </w:r>
          </w:p>
        </w:tc>
      </w:tr>
      <w:tr w:rsidR="00D34D92" w:rsidRPr="009423C3" w14:paraId="375312E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05783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KAYA CONSULTING</w:t>
            </w:r>
          </w:p>
        </w:tc>
        <w:tc>
          <w:tcPr>
            <w:tcW w:w="4896" w:type="dxa"/>
            <w:tcBorders>
              <w:top w:val="single" w:sz="4" w:space="0" w:color="FFFFFF" w:themeColor="background1"/>
              <w:bottom w:val="single" w:sz="4" w:space="0" w:color="53565A" w:themeColor="accent5"/>
            </w:tcBorders>
          </w:tcPr>
          <w:p w14:paraId="29E131A4" w14:textId="52CB2FE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F3A36BF" w14:textId="74D95D0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9,300</w:t>
            </w:r>
          </w:p>
        </w:tc>
      </w:tr>
      <w:tr w:rsidR="00D34D92" w:rsidRPr="009423C3" w14:paraId="2D51CFA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908253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KENT MCINTOSH</w:t>
            </w:r>
          </w:p>
        </w:tc>
        <w:tc>
          <w:tcPr>
            <w:tcW w:w="4896" w:type="dxa"/>
            <w:tcBorders>
              <w:top w:val="single" w:sz="4" w:space="0" w:color="FFFFFF" w:themeColor="background1"/>
              <w:bottom w:val="single" w:sz="4" w:space="0" w:color="53565A" w:themeColor="accent5"/>
            </w:tcBorders>
          </w:tcPr>
          <w:p w14:paraId="18899DC2" w14:textId="0FA54C6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275D3F8" w14:textId="3DD57EC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4,447</w:t>
            </w:r>
          </w:p>
        </w:tc>
      </w:tr>
      <w:tr w:rsidR="00D34D92" w:rsidRPr="009423C3" w14:paraId="6C4F8FE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97E53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KERRIE HANCOX CONSULTING PTY LTD</w:t>
            </w:r>
          </w:p>
        </w:tc>
        <w:tc>
          <w:tcPr>
            <w:tcW w:w="4896" w:type="dxa"/>
            <w:tcBorders>
              <w:top w:val="single" w:sz="4" w:space="0" w:color="FFFFFF" w:themeColor="background1"/>
              <w:bottom w:val="single" w:sz="4" w:space="0" w:color="53565A" w:themeColor="accent5"/>
            </w:tcBorders>
          </w:tcPr>
          <w:p w14:paraId="7C40C3D2" w14:textId="18ED4EE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A53783" w14:textId="03321E4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38,250</w:t>
            </w:r>
          </w:p>
        </w:tc>
      </w:tr>
      <w:tr w:rsidR="00D34D92" w:rsidRPr="009423C3" w14:paraId="04C51D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507FA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KERRIE ONEILL CONSULTING</w:t>
            </w:r>
          </w:p>
        </w:tc>
        <w:tc>
          <w:tcPr>
            <w:tcW w:w="4896" w:type="dxa"/>
            <w:tcBorders>
              <w:top w:val="single" w:sz="4" w:space="0" w:color="FFFFFF" w:themeColor="background1"/>
              <w:bottom w:val="single" w:sz="4" w:space="0" w:color="53565A" w:themeColor="accent5"/>
            </w:tcBorders>
          </w:tcPr>
          <w:p w14:paraId="023E6238" w14:textId="148099B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E4AC06F" w14:textId="5824BCB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12,636</w:t>
            </w:r>
          </w:p>
        </w:tc>
      </w:tr>
      <w:tr w:rsidR="00D34D92" w:rsidRPr="009423C3" w14:paraId="5C3DF16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12F47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KIM MAREE LAFFAN</w:t>
            </w:r>
          </w:p>
        </w:tc>
        <w:tc>
          <w:tcPr>
            <w:tcW w:w="4896" w:type="dxa"/>
            <w:tcBorders>
              <w:top w:val="single" w:sz="4" w:space="0" w:color="FFFFFF" w:themeColor="background1"/>
              <w:bottom w:val="single" w:sz="4" w:space="0" w:color="53565A" w:themeColor="accent5"/>
            </w:tcBorders>
          </w:tcPr>
          <w:p w14:paraId="0738548B" w14:textId="2CAB472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7100289" w14:textId="75E555B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13,245</w:t>
            </w:r>
          </w:p>
        </w:tc>
      </w:tr>
      <w:tr w:rsidR="00D34D92" w:rsidRPr="009423C3" w14:paraId="39EAF85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F63AA2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KINEO</w:t>
            </w:r>
          </w:p>
        </w:tc>
        <w:tc>
          <w:tcPr>
            <w:tcW w:w="4896" w:type="dxa"/>
            <w:tcBorders>
              <w:top w:val="single" w:sz="4" w:space="0" w:color="FFFFFF" w:themeColor="background1"/>
              <w:bottom w:val="single" w:sz="4" w:space="0" w:color="53565A" w:themeColor="accent5"/>
            </w:tcBorders>
          </w:tcPr>
          <w:p w14:paraId="3D8385EA" w14:textId="45D2BC2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9B5437C" w14:textId="70400E8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12,000</w:t>
            </w:r>
          </w:p>
        </w:tc>
      </w:tr>
      <w:tr w:rsidR="00D34D92" w:rsidRPr="009423C3" w14:paraId="4154615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644F01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KIRKMAN JANET FAYE</w:t>
            </w:r>
          </w:p>
        </w:tc>
        <w:tc>
          <w:tcPr>
            <w:tcW w:w="4896" w:type="dxa"/>
            <w:tcBorders>
              <w:top w:val="single" w:sz="4" w:space="0" w:color="FFFFFF" w:themeColor="background1"/>
              <w:bottom w:val="single" w:sz="4" w:space="0" w:color="53565A" w:themeColor="accent5"/>
            </w:tcBorders>
          </w:tcPr>
          <w:p w14:paraId="1DBBE386" w14:textId="21F92FE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C14497F" w14:textId="4B73549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15,230</w:t>
            </w:r>
          </w:p>
        </w:tc>
      </w:tr>
      <w:tr w:rsidR="00D34D92" w:rsidRPr="009423C3" w14:paraId="46CBDE2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27C03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KLOCK ANNE MAREE</w:t>
            </w:r>
          </w:p>
        </w:tc>
        <w:tc>
          <w:tcPr>
            <w:tcW w:w="4896" w:type="dxa"/>
            <w:tcBorders>
              <w:top w:val="single" w:sz="4" w:space="0" w:color="FFFFFF" w:themeColor="background1"/>
              <w:bottom w:val="single" w:sz="4" w:space="0" w:color="53565A" w:themeColor="accent5"/>
            </w:tcBorders>
          </w:tcPr>
          <w:p w14:paraId="5904F35D" w14:textId="0E3E111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2DF90F47" w14:textId="471A027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49,</w:t>
            </w:r>
            <w:r w:rsidR="005976C1" w:rsidRPr="00925213">
              <w:rPr>
                <w:rFonts w:ascii="Calibri" w:hAnsi="Calibri" w:cs="Calibri"/>
                <w:color w:val="000000"/>
                <w:szCs w:val="20"/>
              </w:rPr>
              <w:t>555</w:t>
            </w:r>
          </w:p>
        </w:tc>
      </w:tr>
      <w:tr w:rsidR="00D34D92" w:rsidRPr="009423C3" w14:paraId="2AB524D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1548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KLOUD SOLUTIONS PTY LTD</w:t>
            </w:r>
          </w:p>
        </w:tc>
        <w:tc>
          <w:tcPr>
            <w:tcW w:w="4896" w:type="dxa"/>
            <w:tcBorders>
              <w:top w:val="single" w:sz="4" w:space="0" w:color="FFFFFF" w:themeColor="background1"/>
              <w:bottom w:val="single" w:sz="4" w:space="0" w:color="53565A" w:themeColor="accent5"/>
            </w:tcBorders>
          </w:tcPr>
          <w:p w14:paraId="4989EB13" w14:textId="544D84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4B0C1CAE" w14:textId="0DEE45D6"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2,288</w:t>
            </w:r>
          </w:p>
        </w:tc>
      </w:tr>
      <w:tr w:rsidR="00D34D92" w:rsidRPr="009423C3" w14:paraId="4C06293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52251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KNOWLEDGE ACADEMY AUSTRALIA PTY LIMITED</w:t>
            </w:r>
          </w:p>
        </w:tc>
        <w:tc>
          <w:tcPr>
            <w:tcW w:w="4896" w:type="dxa"/>
            <w:tcBorders>
              <w:top w:val="single" w:sz="4" w:space="0" w:color="FFFFFF" w:themeColor="background1"/>
              <w:bottom w:val="single" w:sz="4" w:space="0" w:color="53565A" w:themeColor="accent5"/>
            </w:tcBorders>
          </w:tcPr>
          <w:p w14:paraId="2465C1EB" w14:textId="0B07F2F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ECD10B0" w14:textId="73BB929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7,200</w:t>
            </w:r>
          </w:p>
        </w:tc>
      </w:tr>
      <w:tr w:rsidR="00D34D92" w:rsidRPr="009423C3" w14:paraId="46BF025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36932B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KPMG AUSTRALIA</w:t>
            </w:r>
          </w:p>
        </w:tc>
        <w:tc>
          <w:tcPr>
            <w:tcW w:w="4896" w:type="dxa"/>
            <w:tcBorders>
              <w:top w:val="single" w:sz="4" w:space="0" w:color="FFFFFF" w:themeColor="background1"/>
              <w:bottom w:val="single" w:sz="4" w:space="0" w:color="53565A" w:themeColor="accent5"/>
            </w:tcBorders>
          </w:tcPr>
          <w:p w14:paraId="15CBBF12" w14:textId="12F5FDD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46DE38A" w14:textId="06D99CE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2,624,570</w:t>
            </w:r>
          </w:p>
        </w:tc>
      </w:tr>
      <w:tr w:rsidR="00D34D92" w:rsidRPr="009423C3" w14:paraId="18BE829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C9C25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 TROBE UNIVERSITY</w:t>
            </w:r>
          </w:p>
        </w:tc>
        <w:tc>
          <w:tcPr>
            <w:tcW w:w="4896" w:type="dxa"/>
            <w:tcBorders>
              <w:top w:val="single" w:sz="4" w:space="0" w:color="FFFFFF" w:themeColor="background1"/>
              <w:bottom w:val="single" w:sz="4" w:space="0" w:color="53565A" w:themeColor="accent5"/>
            </w:tcBorders>
          </w:tcPr>
          <w:p w14:paraId="5F303075" w14:textId="4B87293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6BFD796" w14:textId="147026B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91,125</w:t>
            </w:r>
          </w:p>
        </w:tc>
      </w:tr>
      <w:tr w:rsidR="00D34D92" w:rsidRPr="009423C3" w14:paraId="27309BE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A4A05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LAHEY VICKI</w:t>
            </w:r>
          </w:p>
        </w:tc>
        <w:tc>
          <w:tcPr>
            <w:tcW w:w="4896" w:type="dxa"/>
            <w:tcBorders>
              <w:top w:val="single" w:sz="4" w:space="0" w:color="FFFFFF" w:themeColor="background1"/>
              <w:bottom w:val="single" w:sz="4" w:space="0" w:color="53565A" w:themeColor="accent5"/>
            </w:tcBorders>
          </w:tcPr>
          <w:p w14:paraId="49A70583" w14:textId="5F3A0CA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78B5460" w14:textId="0082C65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36,600</w:t>
            </w:r>
          </w:p>
        </w:tc>
      </w:tr>
      <w:tr w:rsidR="00D34D92" w:rsidRPr="009423C3" w14:paraId="208E33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DA9DA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LANDELL CORPORATION PTY LTD</w:t>
            </w:r>
          </w:p>
        </w:tc>
        <w:tc>
          <w:tcPr>
            <w:tcW w:w="4896" w:type="dxa"/>
            <w:tcBorders>
              <w:top w:val="single" w:sz="4" w:space="0" w:color="FFFFFF" w:themeColor="background1"/>
              <w:bottom w:val="single" w:sz="4" w:space="0" w:color="53565A" w:themeColor="accent5"/>
            </w:tcBorders>
          </w:tcPr>
          <w:p w14:paraId="73DEDF3D" w14:textId="5396A07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827239E" w14:textId="108D3A2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134,161</w:t>
            </w:r>
          </w:p>
        </w:tc>
      </w:tr>
      <w:tr w:rsidR="00D34D92" w:rsidRPr="009423C3" w14:paraId="2B61784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474F3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LANDER AND ROGERS</w:t>
            </w:r>
          </w:p>
        </w:tc>
        <w:tc>
          <w:tcPr>
            <w:tcW w:w="4896" w:type="dxa"/>
            <w:tcBorders>
              <w:top w:val="single" w:sz="4" w:space="0" w:color="FFFFFF" w:themeColor="background1"/>
              <w:bottom w:val="single" w:sz="4" w:space="0" w:color="53565A" w:themeColor="accent5"/>
            </w:tcBorders>
          </w:tcPr>
          <w:p w14:paraId="6CB7682B" w14:textId="41A26ED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3241C60" w14:textId="4657990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84,</w:t>
            </w:r>
            <w:r w:rsidR="005976C1" w:rsidRPr="00925213">
              <w:rPr>
                <w:rFonts w:ascii="Calibri" w:hAnsi="Calibri" w:cs="Calibri"/>
                <w:color w:val="000000"/>
                <w:szCs w:val="20"/>
              </w:rPr>
              <w:t>603</w:t>
            </w:r>
          </w:p>
        </w:tc>
      </w:tr>
      <w:tr w:rsidR="00D34D92" w:rsidRPr="009423C3" w14:paraId="390B69D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50EB4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LANE MARCIA</w:t>
            </w:r>
          </w:p>
        </w:tc>
        <w:tc>
          <w:tcPr>
            <w:tcW w:w="4896" w:type="dxa"/>
            <w:tcBorders>
              <w:top w:val="single" w:sz="4" w:space="0" w:color="FFFFFF" w:themeColor="background1"/>
              <w:bottom w:val="single" w:sz="4" w:space="0" w:color="53565A" w:themeColor="accent5"/>
            </w:tcBorders>
          </w:tcPr>
          <w:p w14:paraId="1C5DE8D1" w14:textId="384C2A9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9B96959" w14:textId="6D906AB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17,500</w:t>
            </w:r>
          </w:p>
        </w:tc>
      </w:tr>
      <w:tr w:rsidR="00D34D92" w:rsidRPr="009423C3" w14:paraId="42C1BD7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5E8A6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LANGUAGE LOOP</w:t>
            </w:r>
          </w:p>
        </w:tc>
        <w:tc>
          <w:tcPr>
            <w:tcW w:w="4896" w:type="dxa"/>
            <w:tcBorders>
              <w:top w:val="single" w:sz="4" w:space="0" w:color="FFFFFF" w:themeColor="background1"/>
              <w:bottom w:val="single" w:sz="4" w:space="0" w:color="53565A" w:themeColor="accent5"/>
            </w:tcBorders>
          </w:tcPr>
          <w:p w14:paraId="495A123E" w14:textId="77A3CA2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F7ABD6D" w14:textId="5C7F69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w:t>
            </w:r>
            <w:r w:rsidR="005976C1" w:rsidRPr="00925213">
              <w:rPr>
                <w:rFonts w:ascii="Calibri" w:hAnsi="Calibri" w:cs="Calibri"/>
                <w:color w:val="000000"/>
                <w:szCs w:val="20"/>
              </w:rPr>
              <w:t>992</w:t>
            </w:r>
          </w:p>
        </w:tc>
      </w:tr>
      <w:tr w:rsidR="00D34D92" w:rsidRPr="009423C3" w14:paraId="127C354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D8E40E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LARSEN WHITE TRACY</w:t>
            </w:r>
          </w:p>
        </w:tc>
        <w:tc>
          <w:tcPr>
            <w:tcW w:w="4896" w:type="dxa"/>
            <w:tcBorders>
              <w:top w:val="single" w:sz="4" w:space="0" w:color="FFFFFF" w:themeColor="background1"/>
              <w:bottom w:val="single" w:sz="4" w:space="0" w:color="53565A" w:themeColor="accent5"/>
            </w:tcBorders>
          </w:tcPr>
          <w:p w14:paraId="755D442B" w14:textId="5D9FD4D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60D2CCB" w14:textId="7CFF8B0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2,880</w:t>
            </w:r>
          </w:p>
        </w:tc>
      </w:tr>
      <w:tr w:rsidR="00D34D92" w:rsidRPr="009423C3" w14:paraId="04DF3BA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2157E6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LEADING WITH STRENGTH PTY LTD</w:t>
            </w:r>
          </w:p>
        </w:tc>
        <w:tc>
          <w:tcPr>
            <w:tcW w:w="4896" w:type="dxa"/>
            <w:tcBorders>
              <w:top w:val="single" w:sz="4" w:space="0" w:color="FFFFFF" w:themeColor="background1"/>
              <w:bottom w:val="single" w:sz="4" w:space="0" w:color="53565A" w:themeColor="accent5"/>
            </w:tcBorders>
          </w:tcPr>
          <w:p w14:paraId="4D9DF394" w14:textId="45DBB41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F965247" w14:textId="636C390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37,</w:t>
            </w:r>
            <w:r w:rsidR="005976C1" w:rsidRPr="00925213">
              <w:rPr>
                <w:rFonts w:ascii="Calibri" w:hAnsi="Calibri" w:cs="Calibri"/>
                <w:color w:val="000000"/>
                <w:szCs w:val="20"/>
              </w:rPr>
              <w:t>950</w:t>
            </w:r>
          </w:p>
        </w:tc>
      </w:tr>
      <w:tr w:rsidR="00D34D92" w:rsidRPr="009423C3" w14:paraId="412973E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FFF83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LEARN LABS GLOBAL PTY LTD</w:t>
            </w:r>
          </w:p>
        </w:tc>
        <w:tc>
          <w:tcPr>
            <w:tcW w:w="4896" w:type="dxa"/>
            <w:tcBorders>
              <w:top w:val="single" w:sz="4" w:space="0" w:color="FFFFFF" w:themeColor="background1"/>
              <w:bottom w:val="single" w:sz="4" w:space="0" w:color="53565A" w:themeColor="accent5"/>
            </w:tcBorders>
          </w:tcPr>
          <w:p w14:paraId="30E23690" w14:textId="62AD0DF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1541152" w14:textId="14B1B7E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220,</w:t>
            </w:r>
            <w:r w:rsidR="005976C1" w:rsidRPr="00925213">
              <w:rPr>
                <w:rFonts w:ascii="Calibri" w:hAnsi="Calibri" w:cs="Calibri"/>
                <w:color w:val="000000"/>
                <w:szCs w:val="20"/>
              </w:rPr>
              <w:t>963</w:t>
            </w:r>
          </w:p>
        </w:tc>
      </w:tr>
      <w:tr w:rsidR="00D34D92" w:rsidRPr="009423C3" w14:paraId="27AA881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E50E56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LEARNING FIRST GROUP PTY LTD</w:t>
            </w:r>
          </w:p>
        </w:tc>
        <w:tc>
          <w:tcPr>
            <w:tcW w:w="4896" w:type="dxa"/>
            <w:tcBorders>
              <w:top w:val="single" w:sz="4" w:space="0" w:color="FFFFFF" w:themeColor="background1"/>
              <w:bottom w:val="single" w:sz="4" w:space="0" w:color="53565A" w:themeColor="accent5"/>
            </w:tcBorders>
          </w:tcPr>
          <w:p w14:paraId="307D4A87" w14:textId="74554B4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1A0FA2E" w14:textId="78C60C1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92,000</w:t>
            </w:r>
          </w:p>
        </w:tc>
      </w:tr>
      <w:tr w:rsidR="00D34D92" w:rsidRPr="009423C3" w14:paraId="45DDFC1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33718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LEARNING FOCUS PTY LTD</w:t>
            </w:r>
          </w:p>
        </w:tc>
        <w:tc>
          <w:tcPr>
            <w:tcW w:w="4896" w:type="dxa"/>
            <w:tcBorders>
              <w:top w:val="single" w:sz="4" w:space="0" w:color="FFFFFF" w:themeColor="background1"/>
              <w:bottom w:val="single" w:sz="4" w:space="0" w:color="53565A" w:themeColor="accent5"/>
            </w:tcBorders>
          </w:tcPr>
          <w:p w14:paraId="549666EF" w14:textId="64AC8EF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8F7CF71" w14:textId="79EE6F8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12,032</w:t>
            </w:r>
          </w:p>
        </w:tc>
      </w:tr>
      <w:tr w:rsidR="00D34D92" w:rsidRPr="009423C3" w14:paraId="5D4A35F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1DCB1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LEARNING VENTURES PTY LIMITED</w:t>
            </w:r>
          </w:p>
        </w:tc>
        <w:tc>
          <w:tcPr>
            <w:tcW w:w="4896" w:type="dxa"/>
            <w:tcBorders>
              <w:top w:val="single" w:sz="4" w:space="0" w:color="FFFFFF" w:themeColor="background1"/>
              <w:bottom w:val="single" w:sz="4" w:space="0" w:color="53565A" w:themeColor="accent5"/>
            </w:tcBorders>
          </w:tcPr>
          <w:p w14:paraId="4205E490" w14:textId="5DB4817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71E37A9" w14:textId="58B6B8C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6,000</w:t>
            </w:r>
          </w:p>
        </w:tc>
      </w:tr>
      <w:tr w:rsidR="00D34D92" w:rsidRPr="009423C3" w14:paraId="2921F79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045FF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LEARNING WITH TECHNOLOGIES PTY LTD</w:t>
            </w:r>
          </w:p>
        </w:tc>
        <w:tc>
          <w:tcPr>
            <w:tcW w:w="4896" w:type="dxa"/>
            <w:tcBorders>
              <w:top w:val="single" w:sz="4" w:space="0" w:color="FFFFFF" w:themeColor="background1"/>
              <w:bottom w:val="single" w:sz="4" w:space="0" w:color="53565A" w:themeColor="accent5"/>
            </w:tcBorders>
          </w:tcPr>
          <w:p w14:paraId="59E1E1B7" w14:textId="7C5B9AD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99D0DA9" w14:textId="30B4706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3,759</w:t>
            </w:r>
          </w:p>
        </w:tc>
      </w:tr>
      <w:tr w:rsidR="00D34D92" w:rsidRPr="009423C3" w14:paraId="5FE6974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253F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LEIGH JEANETTE</w:t>
            </w:r>
          </w:p>
        </w:tc>
        <w:tc>
          <w:tcPr>
            <w:tcW w:w="4896" w:type="dxa"/>
            <w:tcBorders>
              <w:top w:val="single" w:sz="4" w:space="0" w:color="FFFFFF" w:themeColor="background1"/>
              <w:bottom w:val="single" w:sz="4" w:space="0" w:color="53565A" w:themeColor="accent5"/>
            </w:tcBorders>
          </w:tcPr>
          <w:p w14:paraId="0B00949F" w14:textId="139374D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05249D1" w14:textId="39254E2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w:t>
            </w:r>
            <w:r w:rsidR="005976C1" w:rsidRPr="00925213">
              <w:rPr>
                <w:rFonts w:ascii="Calibri" w:hAnsi="Calibri" w:cs="Calibri"/>
                <w:color w:val="000000"/>
                <w:szCs w:val="20"/>
              </w:rPr>
              <w:t>303</w:t>
            </w:r>
          </w:p>
        </w:tc>
      </w:tr>
      <w:tr w:rsidR="00D34D92" w:rsidRPr="009423C3" w14:paraId="49AB714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46CCD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LEONORA NOELINE RISSE</w:t>
            </w:r>
          </w:p>
        </w:tc>
        <w:tc>
          <w:tcPr>
            <w:tcW w:w="4896" w:type="dxa"/>
            <w:tcBorders>
              <w:top w:val="single" w:sz="4" w:space="0" w:color="FFFFFF" w:themeColor="background1"/>
              <w:bottom w:val="single" w:sz="4" w:space="0" w:color="53565A" w:themeColor="accent5"/>
            </w:tcBorders>
          </w:tcPr>
          <w:p w14:paraId="332D67F1" w14:textId="7C56654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FF94A7C" w14:textId="636EBF3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3B546CA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124AE5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LESSIS SELINA GRACE PAPALIA</w:t>
            </w:r>
          </w:p>
        </w:tc>
        <w:tc>
          <w:tcPr>
            <w:tcW w:w="4896" w:type="dxa"/>
            <w:tcBorders>
              <w:top w:val="single" w:sz="4" w:space="0" w:color="FFFFFF" w:themeColor="background1"/>
              <w:bottom w:val="single" w:sz="4" w:space="0" w:color="53565A" w:themeColor="accent5"/>
            </w:tcBorders>
          </w:tcPr>
          <w:p w14:paraId="074136BF" w14:textId="4EB9CB0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BDDE984" w14:textId="092B6BE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5,490</w:t>
            </w:r>
          </w:p>
        </w:tc>
      </w:tr>
      <w:tr w:rsidR="00D34D92" w:rsidRPr="009423C3" w14:paraId="52C6A0D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D84A1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LEVEL UP PSYCHOLOGY</w:t>
            </w:r>
          </w:p>
        </w:tc>
        <w:tc>
          <w:tcPr>
            <w:tcW w:w="4896" w:type="dxa"/>
            <w:tcBorders>
              <w:top w:val="single" w:sz="4" w:space="0" w:color="FFFFFF" w:themeColor="background1"/>
              <w:bottom w:val="single" w:sz="4" w:space="0" w:color="53565A" w:themeColor="accent5"/>
            </w:tcBorders>
          </w:tcPr>
          <w:p w14:paraId="749FE40B" w14:textId="6B98F9F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4FC6BF7" w14:textId="18EF52C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24,109</w:t>
            </w:r>
          </w:p>
        </w:tc>
      </w:tr>
      <w:tr w:rsidR="00D34D92" w:rsidRPr="009423C3" w14:paraId="213BB95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156E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LEVEY JOANNE CATHERINE</w:t>
            </w:r>
          </w:p>
        </w:tc>
        <w:tc>
          <w:tcPr>
            <w:tcW w:w="4896" w:type="dxa"/>
            <w:tcBorders>
              <w:top w:val="single" w:sz="4" w:space="0" w:color="FFFFFF" w:themeColor="background1"/>
              <w:bottom w:val="single" w:sz="4" w:space="0" w:color="53565A" w:themeColor="accent5"/>
            </w:tcBorders>
          </w:tcPr>
          <w:p w14:paraId="363F59F6" w14:textId="260CD86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76B0F6E" w14:textId="3CF9B12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w:t>
            </w:r>
            <w:r w:rsidR="005976C1" w:rsidRPr="00925213">
              <w:rPr>
                <w:rFonts w:ascii="Calibri" w:hAnsi="Calibri" w:cs="Calibri"/>
                <w:color w:val="000000"/>
                <w:szCs w:val="20"/>
              </w:rPr>
              <w:t>976</w:t>
            </w:r>
          </w:p>
        </w:tc>
      </w:tr>
      <w:tr w:rsidR="00D34D92" w:rsidRPr="009423C3" w14:paraId="32A06B0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B430CC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LEWIS TIM</w:t>
            </w:r>
          </w:p>
        </w:tc>
        <w:tc>
          <w:tcPr>
            <w:tcW w:w="4896" w:type="dxa"/>
            <w:tcBorders>
              <w:top w:val="single" w:sz="4" w:space="0" w:color="FFFFFF" w:themeColor="background1"/>
              <w:bottom w:val="single" w:sz="4" w:space="0" w:color="53565A" w:themeColor="accent5"/>
            </w:tcBorders>
          </w:tcPr>
          <w:p w14:paraId="264E595B" w14:textId="3D05A03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6C6C5D6" w14:textId="791779C8"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1,942</w:t>
            </w:r>
          </w:p>
        </w:tc>
      </w:tr>
      <w:tr w:rsidR="00D34D92" w:rsidRPr="009423C3" w14:paraId="4D951AF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F37901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LIBERATE ELEARNING PTY LTD</w:t>
            </w:r>
          </w:p>
        </w:tc>
        <w:tc>
          <w:tcPr>
            <w:tcW w:w="4896" w:type="dxa"/>
            <w:tcBorders>
              <w:top w:val="single" w:sz="4" w:space="0" w:color="FFFFFF" w:themeColor="background1"/>
              <w:bottom w:val="single" w:sz="4" w:space="0" w:color="53565A" w:themeColor="accent5"/>
            </w:tcBorders>
          </w:tcPr>
          <w:p w14:paraId="219E9473" w14:textId="21C24BC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B1C310" w14:textId="085A2E5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330,985</w:t>
            </w:r>
          </w:p>
        </w:tc>
      </w:tr>
      <w:tr w:rsidR="00D34D92" w:rsidRPr="009423C3" w14:paraId="43FCA96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398ED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LIFE SAVING VICTORIA LIMITED</w:t>
            </w:r>
          </w:p>
        </w:tc>
        <w:tc>
          <w:tcPr>
            <w:tcW w:w="4896" w:type="dxa"/>
            <w:tcBorders>
              <w:top w:val="single" w:sz="4" w:space="0" w:color="FFFFFF" w:themeColor="background1"/>
              <w:bottom w:val="single" w:sz="4" w:space="0" w:color="53565A" w:themeColor="accent5"/>
            </w:tcBorders>
          </w:tcPr>
          <w:p w14:paraId="77299EA6" w14:textId="49E08FE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2B850B3" w14:textId="110EF88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20,909</w:t>
            </w:r>
          </w:p>
        </w:tc>
      </w:tr>
      <w:tr w:rsidR="00D34D92" w:rsidRPr="009423C3" w14:paraId="710D16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FB03F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LIFE-ROLE DEVELOPMENT GROUP LIMITED</w:t>
            </w:r>
          </w:p>
        </w:tc>
        <w:tc>
          <w:tcPr>
            <w:tcW w:w="4896" w:type="dxa"/>
            <w:tcBorders>
              <w:top w:val="single" w:sz="4" w:space="0" w:color="FFFFFF" w:themeColor="background1"/>
              <w:bottom w:val="single" w:sz="4" w:space="0" w:color="53565A" w:themeColor="accent5"/>
            </w:tcBorders>
          </w:tcPr>
          <w:p w14:paraId="0ED3319C" w14:textId="69D167B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722E737" w14:textId="69B60B7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1,800</w:t>
            </w:r>
          </w:p>
        </w:tc>
      </w:tr>
      <w:tr w:rsidR="00D34D92" w:rsidRPr="009423C3" w14:paraId="18BA4C6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11E2D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LIFEWORKS COM PTY LTD</w:t>
            </w:r>
          </w:p>
        </w:tc>
        <w:tc>
          <w:tcPr>
            <w:tcW w:w="4896" w:type="dxa"/>
            <w:tcBorders>
              <w:top w:val="single" w:sz="4" w:space="0" w:color="FFFFFF" w:themeColor="background1"/>
              <w:bottom w:val="single" w:sz="4" w:space="0" w:color="53565A" w:themeColor="accent5"/>
            </w:tcBorders>
          </w:tcPr>
          <w:p w14:paraId="2F38B1EB" w14:textId="71FC6B6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D0E4D5A" w14:textId="1FAF898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1,375,</w:t>
            </w:r>
            <w:r w:rsidR="005976C1" w:rsidRPr="00925213">
              <w:rPr>
                <w:rFonts w:ascii="Calibri" w:hAnsi="Calibri" w:cs="Calibri"/>
                <w:color w:val="000000"/>
                <w:szCs w:val="20"/>
              </w:rPr>
              <w:t>987</w:t>
            </w:r>
          </w:p>
        </w:tc>
      </w:tr>
      <w:tr w:rsidR="00D34D92" w:rsidRPr="009423C3" w14:paraId="3DAC070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1151E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LIRATA LTD</w:t>
            </w:r>
          </w:p>
        </w:tc>
        <w:tc>
          <w:tcPr>
            <w:tcW w:w="4896" w:type="dxa"/>
            <w:tcBorders>
              <w:top w:val="single" w:sz="4" w:space="0" w:color="FFFFFF" w:themeColor="background1"/>
              <w:bottom w:val="single" w:sz="4" w:space="0" w:color="53565A" w:themeColor="accent5"/>
            </w:tcBorders>
          </w:tcPr>
          <w:p w14:paraId="397EC508" w14:textId="4BD7171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F59A8C2" w14:textId="0FE31C1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14,</w:t>
            </w:r>
            <w:r w:rsidR="005976C1" w:rsidRPr="00925213">
              <w:rPr>
                <w:rFonts w:ascii="Calibri" w:hAnsi="Calibri" w:cs="Calibri"/>
                <w:color w:val="000000"/>
                <w:szCs w:val="20"/>
              </w:rPr>
              <w:t>520</w:t>
            </w:r>
          </w:p>
        </w:tc>
      </w:tr>
      <w:tr w:rsidR="00D34D92" w:rsidRPr="009423C3" w14:paraId="6CB5AE1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B9738C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LLOYD RICHARD GERARD</w:t>
            </w:r>
          </w:p>
        </w:tc>
        <w:tc>
          <w:tcPr>
            <w:tcW w:w="4896" w:type="dxa"/>
            <w:tcBorders>
              <w:top w:val="single" w:sz="4" w:space="0" w:color="FFFFFF" w:themeColor="background1"/>
              <w:bottom w:val="single" w:sz="4" w:space="0" w:color="53565A" w:themeColor="accent5"/>
            </w:tcBorders>
          </w:tcPr>
          <w:p w14:paraId="43699623" w14:textId="5595465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4B19BE0" w14:textId="7FD00A9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57352CD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0E3F69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LOCAL LOGIC PLACE</w:t>
            </w:r>
          </w:p>
        </w:tc>
        <w:tc>
          <w:tcPr>
            <w:tcW w:w="4896" w:type="dxa"/>
            <w:tcBorders>
              <w:top w:val="single" w:sz="4" w:space="0" w:color="FFFFFF" w:themeColor="background1"/>
              <w:bottom w:val="single" w:sz="4" w:space="0" w:color="53565A" w:themeColor="accent5"/>
            </w:tcBorders>
          </w:tcPr>
          <w:p w14:paraId="14785AC6" w14:textId="0CFF992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83F15D3" w14:textId="3126261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3,290</w:t>
            </w:r>
          </w:p>
        </w:tc>
      </w:tr>
      <w:tr w:rsidR="00D34D92" w:rsidRPr="009423C3" w14:paraId="1CC8DDC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E05671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LOCK CLAIRE ALICE</w:t>
            </w:r>
          </w:p>
        </w:tc>
        <w:tc>
          <w:tcPr>
            <w:tcW w:w="4896" w:type="dxa"/>
            <w:tcBorders>
              <w:top w:val="single" w:sz="4" w:space="0" w:color="FFFFFF" w:themeColor="background1"/>
              <w:bottom w:val="single" w:sz="4" w:space="0" w:color="53565A" w:themeColor="accent5"/>
            </w:tcBorders>
          </w:tcPr>
          <w:p w14:paraId="20504E99" w14:textId="53CBD4E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3E3FF60" w14:textId="17BFC07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1,050</w:t>
            </w:r>
          </w:p>
        </w:tc>
      </w:tr>
      <w:tr w:rsidR="00D34D92" w:rsidRPr="009423C3" w14:paraId="405FB48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F0848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LOCKINGTON ROBIN</w:t>
            </w:r>
          </w:p>
        </w:tc>
        <w:tc>
          <w:tcPr>
            <w:tcW w:w="4896" w:type="dxa"/>
            <w:tcBorders>
              <w:top w:val="single" w:sz="4" w:space="0" w:color="FFFFFF" w:themeColor="background1"/>
              <w:bottom w:val="single" w:sz="4" w:space="0" w:color="53565A" w:themeColor="accent5"/>
            </w:tcBorders>
          </w:tcPr>
          <w:p w14:paraId="06188D67" w14:textId="25B4D76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6F56CE6" w14:textId="5C006AD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17,172</w:t>
            </w:r>
          </w:p>
        </w:tc>
      </w:tr>
      <w:tr w:rsidR="00D34D92" w:rsidRPr="009423C3" w14:paraId="7E9DD7F8" w14:textId="77777777" w:rsidTr="00AE5D19">
        <w:trPr>
          <w:cantSplit/>
          <w:trHeight w:val="353"/>
        </w:trPr>
        <w:tc>
          <w:tcPr>
            <w:tcW w:w="3023" w:type="dxa"/>
            <w:tcBorders>
              <w:top w:val="single" w:sz="4" w:space="0" w:color="FFFFFF" w:themeColor="background1"/>
              <w:bottom w:val="single" w:sz="4" w:space="0" w:color="53565A" w:themeColor="accent5"/>
            </w:tcBorders>
            <w:shd w:val="clear" w:color="auto" w:fill="auto"/>
          </w:tcPr>
          <w:p w14:paraId="329CA9E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LTG UNIT TRUST</w:t>
            </w:r>
          </w:p>
        </w:tc>
        <w:tc>
          <w:tcPr>
            <w:tcW w:w="4896" w:type="dxa"/>
            <w:tcBorders>
              <w:top w:val="single" w:sz="4" w:space="0" w:color="FFFFFF" w:themeColor="background1"/>
              <w:bottom w:val="single" w:sz="4" w:space="0" w:color="53565A" w:themeColor="accent5"/>
            </w:tcBorders>
          </w:tcPr>
          <w:p w14:paraId="3F2FECF9" w14:textId="409A327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CA2DA4F" w14:textId="2F5FC27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30,000</w:t>
            </w:r>
          </w:p>
        </w:tc>
      </w:tr>
      <w:tr w:rsidR="00D34D92" w:rsidRPr="009423C3" w14:paraId="534F9239" w14:textId="77777777" w:rsidTr="00AE5D19">
        <w:trPr>
          <w:cantSplit/>
          <w:trHeight w:val="353"/>
        </w:trPr>
        <w:tc>
          <w:tcPr>
            <w:tcW w:w="3023" w:type="dxa"/>
            <w:tcBorders>
              <w:top w:val="single" w:sz="4" w:space="0" w:color="53565A" w:themeColor="accent5"/>
              <w:bottom w:val="single" w:sz="4" w:space="0" w:color="auto"/>
            </w:tcBorders>
            <w:shd w:val="clear" w:color="auto" w:fill="auto"/>
          </w:tcPr>
          <w:p w14:paraId="08734C0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LUBULWA EVA JOYCE NAMPIMA</w:t>
            </w:r>
          </w:p>
        </w:tc>
        <w:tc>
          <w:tcPr>
            <w:tcW w:w="4896" w:type="dxa"/>
            <w:tcBorders>
              <w:top w:val="single" w:sz="4" w:space="0" w:color="53565A" w:themeColor="accent5"/>
              <w:bottom w:val="single" w:sz="4" w:space="0" w:color="auto"/>
            </w:tcBorders>
          </w:tcPr>
          <w:p w14:paraId="4A38FAB7" w14:textId="37DEA45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53565A" w:themeColor="accent5"/>
              <w:bottom w:val="single" w:sz="4" w:space="0" w:color="auto"/>
            </w:tcBorders>
            <w:shd w:val="clear" w:color="auto" w:fill="auto"/>
            <w:vAlign w:val="center"/>
          </w:tcPr>
          <w:p w14:paraId="06F72B94" w14:textId="4650B05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21,545</w:t>
            </w:r>
          </w:p>
        </w:tc>
      </w:tr>
      <w:tr w:rsidR="00D34D92" w:rsidRPr="009423C3" w14:paraId="4E5EDBE0" w14:textId="77777777" w:rsidTr="00AE5D19">
        <w:trPr>
          <w:cantSplit/>
          <w:trHeight w:val="353"/>
        </w:trPr>
        <w:tc>
          <w:tcPr>
            <w:tcW w:w="3023" w:type="dxa"/>
            <w:tcBorders>
              <w:top w:val="single" w:sz="4" w:space="0" w:color="auto"/>
              <w:bottom w:val="single" w:sz="4" w:space="0" w:color="53565A" w:themeColor="accent5"/>
            </w:tcBorders>
            <w:shd w:val="clear" w:color="auto" w:fill="auto"/>
          </w:tcPr>
          <w:p w14:paraId="2EA97D2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MADISON CROSS AUSTRALIA PTY LTD</w:t>
            </w:r>
          </w:p>
        </w:tc>
        <w:tc>
          <w:tcPr>
            <w:tcW w:w="4896" w:type="dxa"/>
            <w:tcBorders>
              <w:top w:val="single" w:sz="4" w:space="0" w:color="auto"/>
              <w:bottom w:val="single" w:sz="4" w:space="0" w:color="53565A" w:themeColor="accent5"/>
            </w:tcBorders>
          </w:tcPr>
          <w:p w14:paraId="37334950" w14:textId="4B8A124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auto"/>
              <w:bottom w:val="single" w:sz="4" w:space="0" w:color="53565A" w:themeColor="accent5"/>
            </w:tcBorders>
            <w:shd w:val="clear" w:color="auto" w:fill="auto"/>
            <w:vAlign w:val="center"/>
          </w:tcPr>
          <w:p w14:paraId="45905D7A" w14:textId="794707C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9,325</w:t>
            </w:r>
          </w:p>
        </w:tc>
      </w:tr>
      <w:tr w:rsidR="00D34D92" w:rsidRPr="009423C3" w14:paraId="55E42AE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25EFF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MAGOKORO PRACTICE PTY LTD</w:t>
            </w:r>
          </w:p>
        </w:tc>
        <w:tc>
          <w:tcPr>
            <w:tcW w:w="4896" w:type="dxa"/>
            <w:tcBorders>
              <w:top w:val="single" w:sz="4" w:space="0" w:color="FFFFFF" w:themeColor="background1"/>
              <w:bottom w:val="single" w:sz="4" w:space="0" w:color="53565A" w:themeColor="accent5"/>
            </w:tcBorders>
          </w:tcPr>
          <w:p w14:paraId="5273135F" w14:textId="3240226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3BAF20A" w14:textId="6590C81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3,974</w:t>
            </w:r>
          </w:p>
        </w:tc>
      </w:tr>
      <w:tr w:rsidR="00D34D92" w:rsidRPr="009423C3" w14:paraId="1C6122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4E750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MAILFORCE PTY LTD</w:t>
            </w:r>
          </w:p>
        </w:tc>
        <w:tc>
          <w:tcPr>
            <w:tcW w:w="4896" w:type="dxa"/>
            <w:tcBorders>
              <w:top w:val="single" w:sz="4" w:space="0" w:color="FFFFFF" w:themeColor="background1"/>
              <w:bottom w:val="single" w:sz="4" w:space="0" w:color="53565A" w:themeColor="accent5"/>
            </w:tcBorders>
          </w:tcPr>
          <w:p w14:paraId="35ED2FBE" w14:textId="71E4C4D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74D5274" w14:textId="5618DDB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23,357</w:t>
            </w:r>
          </w:p>
        </w:tc>
      </w:tr>
      <w:tr w:rsidR="00D34D92" w:rsidRPr="009423C3" w14:paraId="7091DDD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738EB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MALCOLM SIMONE LEAH</w:t>
            </w:r>
          </w:p>
        </w:tc>
        <w:tc>
          <w:tcPr>
            <w:tcW w:w="4896" w:type="dxa"/>
            <w:tcBorders>
              <w:top w:val="single" w:sz="4" w:space="0" w:color="FFFFFF" w:themeColor="background1"/>
              <w:bottom w:val="single" w:sz="4" w:space="0" w:color="53565A" w:themeColor="accent5"/>
            </w:tcBorders>
          </w:tcPr>
          <w:p w14:paraId="4D36BC66" w14:textId="5BB5900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7E67E8E" w14:textId="2F504B0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52,</w:t>
            </w:r>
            <w:r w:rsidR="005976C1" w:rsidRPr="00925213">
              <w:rPr>
                <w:rFonts w:ascii="Calibri" w:hAnsi="Calibri" w:cs="Calibri"/>
                <w:color w:val="000000"/>
                <w:szCs w:val="20"/>
              </w:rPr>
              <w:t>253</w:t>
            </w:r>
          </w:p>
        </w:tc>
      </w:tr>
      <w:tr w:rsidR="00D34D92" w:rsidRPr="009423C3" w14:paraId="23D03E3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F822D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MANN DEAN GRAEME</w:t>
            </w:r>
          </w:p>
        </w:tc>
        <w:tc>
          <w:tcPr>
            <w:tcW w:w="4896" w:type="dxa"/>
            <w:tcBorders>
              <w:top w:val="single" w:sz="4" w:space="0" w:color="FFFFFF" w:themeColor="background1"/>
              <w:bottom w:val="single" w:sz="4" w:space="0" w:color="53565A" w:themeColor="accent5"/>
            </w:tcBorders>
          </w:tcPr>
          <w:p w14:paraId="185CC89B" w14:textId="2CABF09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A888E84" w14:textId="03F527D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62,720</w:t>
            </w:r>
          </w:p>
        </w:tc>
      </w:tr>
      <w:tr w:rsidR="00D34D92" w:rsidRPr="009423C3" w14:paraId="44ACE22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6F06D4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MANUFACTURING LEARNING VICTORIA</w:t>
            </w:r>
          </w:p>
        </w:tc>
        <w:tc>
          <w:tcPr>
            <w:tcW w:w="4896" w:type="dxa"/>
            <w:tcBorders>
              <w:top w:val="single" w:sz="4" w:space="0" w:color="FFFFFF" w:themeColor="background1"/>
              <w:bottom w:val="single" w:sz="4" w:space="0" w:color="53565A" w:themeColor="accent5"/>
            </w:tcBorders>
          </w:tcPr>
          <w:p w14:paraId="509DCCDB" w14:textId="4829477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0C8DC01" w14:textId="4E2310F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18,300</w:t>
            </w:r>
          </w:p>
        </w:tc>
      </w:tr>
      <w:tr w:rsidR="00D34D92" w:rsidRPr="009423C3" w14:paraId="4CD955D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6D29E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MARCHBANK MEENAH ANN</w:t>
            </w:r>
          </w:p>
        </w:tc>
        <w:tc>
          <w:tcPr>
            <w:tcW w:w="4896" w:type="dxa"/>
            <w:tcBorders>
              <w:top w:val="single" w:sz="4" w:space="0" w:color="FFFFFF" w:themeColor="background1"/>
              <w:bottom w:val="single" w:sz="4" w:space="0" w:color="53565A" w:themeColor="accent5"/>
            </w:tcBorders>
          </w:tcPr>
          <w:p w14:paraId="71ECF85A" w14:textId="1E6A518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B007D72" w14:textId="7C2C691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3,175</w:t>
            </w:r>
          </w:p>
        </w:tc>
      </w:tr>
      <w:tr w:rsidR="00D34D92" w:rsidRPr="009423C3" w14:paraId="3CCC96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8BF8B6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MARGARET BAINBRIDGE EDUCATIONAL CONSULTANCY</w:t>
            </w:r>
          </w:p>
        </w:tc>
        <w:tc>
          <w:tcPr>
            <w:tcW w:w="4896" w:type="dxa"/>
            <w:tcBorders>
              <w:top w:val="single" w:sz="4" w:space="0" w:color="FFFFFF" w:themeColor="background1"/>
              <w:bottom w:val="single" w:sz="4" w:space="0" w:color="53565A" w:themeColor="accent5"/>
            </w:tcBorders>
          </w:tcPr>
          <w:p w14:paraId="77549868" w14:textId="5667B4F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367B663" w14:textId="224E546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w:t>
            </w:r>
            <w:r w:rsidR="005976C1" w:rsidRPr="00925213">
              <w:rPr>
                <w:rFonts w:ascii="Calibri" w:hAnsi="Calibri" w:cs="Calibri"/>
                <w:color w:val="000000"/>
                <w:szCs w:val="20"/>
              </w:rPr>
              <w:t>115</w:t>
            </w:r>
          </w:p>
        </w:tc>
      </w:tr>
      <w:tr w:rsidR="00D34D92" w:rsidRPr="009423C3" w14:paraId="272E63C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C8082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MARLO CONSULTANCY SERVICE</w:t>
            </w:r>
          </w:p>
        </w:tc>
        <w:tc>
          <w:tcPr>
            <w:tcW w:w="4896" w:type="dxa"/>
            <w:tcBorders>
              <w:top w:val="single" w:sz="4" w:space="0" w:color="FFFFFF" w:themeColor="background1"/>
              <w:bottom w:val="single" w:sz="4" w:space="0" w:color="53565A" w:themeColor="accent5"/>
            </w:tcBorders>
          </w:tcPr>
          <w:p w14:paraId="07EE71A8" w14:textId="3F48F87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18ADC32" w14:textId="054CD73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4,200</w:t>
            </w:r>
          </w:p>
        </w:tc>
      </w:tr>
      <w:tr w:rsidR="00D34D92" w:rsidRPr="009423C3" w14:paraId="4D7AEEF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9B6753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MAROONDAH CITY COUNCIL</w:t>
            </w:r>
          </w:p>
        </w:tc>
        <w:tc>
          <w:tcPr>
            <w:tcW w:w="4896" w:type="dxa"/>
            <w:tcBorders>
              <w:top w:val="single" w:sz="4" w:space="0" w:color="FFFFFF" w:themeColor="background1"/>
              <w:bottom w:val="single" w:sz="4" w:space="0" w:color="53565A" w:themeColor="accent5"/>
            </w:tcBorders>
          </w:tcPr>
          <w:p w14:paraId="27BB104D" w14:textId="4BADF627" w:rsidR="00D34D92" w:rsidRPr="008457E1" w:rsidRDefault="0048231C"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Utilities, infrastructure/sustainability, </w:t>
            </w:r>
            <w:proofErr w:type="gramStart"/>
            <w:r>
              <w:rPr>
                <w:rFonts w:ascii="Calibri" w:eastAsia="Times New Roman" w:hAnsi="Calibri" w:cs="Calibri"/>
                <w:color w:val="000000"/>
                <w:szCs w:val="20"/>
                <w:lang w:val="en-AU" w:eastAsia="en-AU"/>
              </w:rPr>
              <w:t>transport</w:t>
            </w:r>
            <w:proofErr w:type="gramEnd"/>
            <w:r>
              <w:rPr>
                <w:rFonts w:ascii="Calibri" w:eastAsia="Times New Roman" w:hAnsi="Calibri" w:cs="Calibri"/>
                <w:color w:val="000000"/>
                <w:szCs w:val="20"/>
                <w:lang w:val="en-AU" w:eastAsia="en-AU"/>
              </w:rPr>
              <w:t xml:space="preserve"> and project management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4E6D2D98" w14:textId="7AC0E36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39,375</w:t>
            </w:r>
          </w:p>
        </w:tc>
      </w:tr>
      <w:tr w:rsidR="00D34D92" w:rsidRPr="009423C3" w14:paraId="38BA09B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02E764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MARSH PTY LTD</w:t>
            </w:r>
          </w:p>
        </w:tc>
        <w:tc>
          <w:tcPr>
            <w:tcW w:w="4896" w:type="dxa"/>
            <w:tcBorders>
              <w:top w:val="single" w:sz="4" w:space="0" w:color="FFFFFF" w:themeColor="background1"/>
              <w:bottom w:val="single" w:sz="4" w:space="0" w:color="53565A" w:themeColor="accent5"/>
            </w:tcBorders>
          </w:tcPr>
          <w:p w14:paraId="117BBDD6" w14:textId="00F2365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32E77E2" w14:textId="478DF72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287,</w:t>
            </w:r>
            <w:r w:rsidR="005976C1" w:rsidRPr="00925213">
              <w:rPr>
                <w:rFonts w:ascii="Calibri" w:hAnsi="Calibri" w:cs="Calibri"/>
                <w:color w:val="000000"/>
                <w:szCs w:val="20"/>
              </w:rPr>
              <w:t>180</w:t>
            </w:r>
          </w:p>
        </w:tc>
      </w:tr>
      <w:tr w:rsidR="00D34D92" w:rsidRPr="009423C3" w14:paraId="6DAD3AE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12F9F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MARTIN PAMELA GAYE</w:t>
            </w:r>
          </w:p>
        </w:tc>
        <w:tc>
          <w:tcPr>
            <w:tcW w:w="4896" w:type="dxa"/>
            <w:tcBorders>
              <w:top w:val="single" w:sz="4" w:space="0" w:color="FFFFFF" w:themeColor="background1"/>
              <w:bottom w:val="single" w:sz="4" w:space="0" w:color="53565A" w:themeColor="accent5"/>
            </w:tcBorders>
          </w:tcPr>
          <w:p w14:paraId="770C155A" w14:textId="1A7A403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59C065F" w14:textId="0C9A702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47,</w:t>
            </w:r>
            <w:r w:rsidR="005976C1" w:rsidRPr="00925213">
              <w:rPr>
                <w:rFonts w:ascii="Calibri" w:hAnsi="Calibri" w:cs="Calibri"/>
                <w:color w:val="000000"/>
                <w:szCs w:val="20"/>
              </w:rPr>
              <w:t>036</w:t>
            </w:r>
          </w:p>
        </w:tc>
      </w:tr>
      <w:tr w:rsidR="00D34D92" w:rsidRPr="009423C3" w14:paraId="465F51A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B9D2A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MATHEMATICAL ASSOCIATION VIC</w:t>
            </w:r>
          </w:p>
        </w:tc>
        <w:tc>
          <w:tcPr>
            <w:tcW w:w="4896" w:type="dxa"/>
            <w:tcBorders>
              <w:top w:val="single" w:sz="4" w:space="0" w:color="FFFFFF" w:themeColor="background1"/>
              <w:bottom w:val="single" w:sz="4" w:space="0" w:color="53565A" w:themeColor="accent5"/>
            </w:tcBorders>
          </w:tcPr>
          <w:p w14:paraId="58D38B50" w14:textId="0358DC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69467CF" w14:textId="59FB02D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296,</w:t>
            </w:r>
            <w:r w:rsidR="005976C1" w:rsidRPr="00925213">
              <w:rPr>
                <w:rFonts w:ascii="Calibri" w:hAnsi="Calibri" w:cs="Calibri"/>
                <w:color w:val="000000"/>
                <w:szCs w:val="20"/>
              </w:rPr>
              <w:t>816</w:t>
            </w:r>
          </w:p>
        </w:tc>
      </w:tr>
      <w:tr w:rsidR="00D34D92" w:rsidRPr="009423C3" w14:paraId="453F968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1CD661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MATTHEWS PETER</w:t>
            </w:r>
          </w:p>
        </w:tc>
        <w:tc>
          <w:tcPr>
            <w:tcW w:w="4896" w:type="dxa"/>
            <w:tcBorders>
              <w:top w:val="single" w:sz="4" w:space="0" w:color="FFFFFF" w:themeColor="background1"/>
              <w:bottom w:val="single" w:sz="4" w:space="0" w:color="53565A" w:themeColor="accent5"/>
            </w:tcBorders>
          </w:tcPr>
          <w:p w14:paraId="4FD34193" w14:textId="6B7F8C6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687727A" w14:textId="7CCD45E1"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2,013</w:t>
            </w:r>
          </w:p>
        </w:tc>
      </w:tr>
      <w:tr w:rsidR="00D34D92" w:rsidRPr="009423C3" w14:paraId="423AA45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7D80C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MAX SOLUTIONS</w:t>
            </w:r>
          </w:p>
        </w:tc>
        <w:tc>
          <w:tcPr>
            <w:tcW w:w="4896" w:type="dxa"/>
            <w:tcBorders>
              <w:top w:val="single" w:sz="4" w:space="0" w:color="FFFFFF" w:themeColor="background1"/>
              <w:bottom w:val="single" w:sz="4" w:space="0" w:color="53565A" w:themeColor="accent5"/>
            </w:tcBorders>
          </w:tcPr>
          <w:p w14:paraId="70C2D2D8" w14:textId="1179975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D1FA645" w14:textId="7044224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6,409,</w:t>
            </w:r>
            <w:r w:rsidR="005976C1" w:rsidRPr="00925213">
              <w:rPr>
                <w:rFonts w:ascii="Calibri" w:hAnsi="Calibri" w:cs="Calibri"/>
                <w:color w:val="000000"/>
                <w:szCs w:val="20"/>
              </w:rPr>
              <w:t>801</w:t>
            </w:r>
          </w:p>
        </w:tc>
      </w:tr>
      <w:tr w:rsidR="00D34D92" w:rsidRPr="009423C3" w14:paraId="419636C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C09B5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MAXWELL JASON MICHAEL</w:t>
            </w:r>
          </w:p>
        </w:tc>
        <w:tc>
          <w:tcPr>
            <w:tcW w:w="4896" w:type="dxa"/>
            <w:tcBorders>
              <w:top w:val="single" w:sz="4" w:space="0" w:color="FFFFFF" w:themeColor="background1"/>
              <w:bottom w:val="single" w:sz="4" w:space="0" w:color="53565A" w:themeColor="accent5"/>
            </w:tcBorders>
          </w:tcPr>
          <w:p w14:paraId="1E152A3C" w14:textId="73A5308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D020568" w14:textId="55EA554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11,000</w:t>
            </w:r>
          </w:p>
        </w:tc>
      </w:tr>
      <w:tr w:rsidR="00D34D92" w:rsidRPr="009423C3" w14:paraId="0710D42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AC1566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MAYFAIR GROUP MANAGEMENT PTY LTD</w:t>
            </w:r>
          </w:p>
        </w:tc>
        <w:tc>
          <w:tcPr>
            <w:tcW w:w="4896" w:type="dxa"/>
            <w:tcBorders>
              <w:top w:val="single" w:sz="4" w:space="0" w:color="FFFFFF" w:themeColor="background1"/>
              <w:bottom w:val="single" w:sz="4" w:space="0" w:color="53565A" w:themeColor="accent5"/>
            </w:tcBorders>
          </w:tcPr>
          <w:p w14:paraId="261B7D0A" w14:textId="166697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464465">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0798AC26" w14:textId="61861FD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22,250</w:t>
            </w:r>
          </w:p>
        </w:tc>
      </w:tr>
      <w:tr w:rsidR="00D34D92" w:rsidRPr="009423C3" w14:paraId="34CCF8F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BA84F7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MCARTHUR (VIC) PTY LTD</w:t>
            </w:r>
          </w:p>
        </w:tc>
        <w:tc>
          <w:tcPr>
            <w:tcW w:w="4896" w:type="dxa"/>
            <w:tcBorders>
              <w:top w:val="single" w:sz="4" w:space="0" w:color="FFFFFF" w:themeColor="background1"/>
              <w:bottom w:val="single" w:sz="4" w:space="0" w:color="53565A" w:themeColor="accent5"/>
            </w:tcBorders>
          </w:tcPr>
          <w:p w14:paraId="72FD338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Recruitment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76AF0E85" w14:textId="73D49AF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221,</w:t>
            </w:r>
            <w:r w:rsidR="005976C1" w:rsidRPr="00925213">
              <w:rPr>
                <w:rFonts w:ascii="Calibri" w:hAnsi="Calibri" w:cs="Calibri"/>
                <w:color w:val="000000"/>
                <w:szCs w:val="20"/>
              </w:rPr>
              <w:t>555</w:t>
            </w:r>
          </w:p>
        </w:tc>
      </w:tr>
      <w:tr w:rsidR="00D34D92" w:rsidRPr="009423C3" w14:paraId="0A3143A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7887F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MCCRINDLE RESEARCH PTY LTD</w:t>
            </w:r>
          </w:p>
        </w:tc>
        <w:tc>
          <w:tcPr>
            <w:tcW w:w="4896" w:type="dxa"/>
            <w:tcBorders>
              <w:top w:val="single" w:sz="4" w:space="0" w:color="FFFFFF" w:themeColor="background1"/>
              <w:bottom w:val="single" w:sz="4" w:space="0" w:color="53565A" w:themeColor="accent5"/>
            </w:tcBorders>
          </w:tcPr>
          <w:p w14:paraId="49057702" w14:textId="1107539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464465">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71B364DC" w14:textId="28E7BF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22,000</w:t>
            </w:r>
          </w:p>
        </w:tc>
      </w:tr>
      <w:tr w:rsidR="00D34D92" w:rsidRPr="009423C3" w14:paraId="75CDE49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FD681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MCINTOSH HEATHER ANN</w:t>
            </w:r>
          </w:p>
        </w:tc>
        <w:tc>
          <w:tcPr>
            <w:tcW w:w="4896" w:type="dxa"/>
            <w:tcBorders>
              <w:top w:val="single" w:sz="4" w:space="0" w:color="FFFFFF" w:themeColor="background1"/>
              <w:bottom w:val="single" w:sz="4" w:space="0" w:color="53565A" w:themeColor="accent5"/>
            </w:tcBorders>
          </w:tcPr>
          <w:p w14:paraId="7A8DF418" w14:textId="6869D19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2DA2518" w14:textId="291BF70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w:t>
            </w:r>
            <w:r w:rsidR="005976C1" w:rsidRPr="00925213">
              <w:rPr>
                <w:rFonts w:ascii="Calibri" w:hAnsi="Calibri" w:cs="Calibri"/>
                <w:color w:val="000000"/>
                <w:szCs w:val="20"/>
              </w:rPr>
              <w:t>206</w:t>
            </w:r>
          </w:p>
        </w:tc>
      </w:tr>
      <w:tr w:rsidR="00D34D92" w:rsidRPr="009423C3" w14:paraId="2228468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C7F4C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MCKENZIE MUSIC PRODUCTIONS PTY LTD</w:t>
            </w:r>
          </w:p>
        </w:tc>
        <w:tc>
          <w:tcPr>
            <w:tcW w:w="4896" w:type="dxa"/>
            <w:tcBorders>
              <w:top w:val="single" w:sz="4" w:space="0" w:color="FFFFFF" w:themeColor="background1"/>
              <w:bottom w:val="single" w:sz="4" w:space="0" w:color="53565A" w:themeColor="accent5"/>
            </w:tcBorders>
          </w:tcPr>
          <w:p w14:paraId="7007959E" w14:textId="42A31F3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E03C84E" w14:textId="3590534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3,276</w:t>
            </w:r>
          </w:p>
        </w:tc>
      </w:tr>
      <w:tr w:rsidR="00D34D92" w:rsidRPr="009423C3" w14:paraId="51AC44B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2796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MCKIE GREG</w:t>
            </w:r>
          </w:p>
        </w:tc>
        <w:tc>
          <w:tcPr>
            <w:tcW w:w="4896" w:type="dxa"/>
            <w:tcBorders>
              <w:top w:val="single" w:sz="4" w:space="0" w:color="FFFFFF" w:themeColor="background1"/>
              <w:bottom w:val="single" w:sz="4" w:space="0" w:color="53565A" w:themeColor="accent5"/>
            </w:tcBorders>
          </w:tcPr>
          <w:p w14:paraId="4FD58D56" w14:textId="60D8839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4E9BFFAC" w14:textId="7CC193B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1,000</w:t>
            </w:r>
          </w:p>
        </w:tc>
      </w:tr>
      <w:tr w:rsidR="00D34D92" w:rsidRPr="009423C3" w14:paraId="76DDA67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8D6365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MCPHEE FRANCES A</w:t>
            </w:r>
          </w:p>
        </w:tc>
        <w:tc>
          <w:tcPr>
            <w:tcW w:w="4896" w:type="dxa"/>
            <w:tcBorders>
              <w:top w:val="single" w:sz="4" w:space="0" w:color="FFFFFF" w:themeColor="background1"/>
              <w:bottom w:val="single" w:sz="4" w:space="0" w:color="53565A" w:themeColor="accent5"/>
            </w:tcBorders>
          </w:tcPr>
          <w:p w14:paraId="2CF08BF7" w14:textId="52895FC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3365813" w14:textId="30686BB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8,725</w:t>
            </w:r>
          </w:p>
        </w:tc>
      </w:tr>
      <w:tr w:rsidR="00D34D92" w:rsidRPr="009423C3" w14:paraId="56359BA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48341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MEDIACOM AUSTRALIA PTY LIMITED</w:t>
            </w:r>
          </w:p>
        </w:tc>
        <w:tc>
          <w:tcPr>
            <w:tcW w:w="4896" w:type="dxa"/>
            <w:tcBorders>
              <w:top w:val="single" w:sz="4" w:space="0" w:color="FFFFFF" w:themeColor="background1"/>
              <w:bottom w:val="single" w:sz="4" w:space="0" w:color="53565A" w:themeColor="accent5"/>
            </w:tcBorders>
          </w:tcPr>
          <w:p w14:paraId="5D024E5C" w14:textId="5D649819" w:rsidR="00D34D92" w:rsidRPr="008457E1" w:rsidRDefault="00DA12FD"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3C8505A0" w14:textId="6EF1CD0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w:t>
            </w:r>
            <w:r w:rsidR="005976C1" w:rsidRPr="00925213">
              <w:rPr>
                <w:rFonts w:ascii="Calibri" w:hAnsi="Calibri" w:cs="Calibri"/>
                <w:color w:val="000000"/>
                <w:szCs w:val="20"/>
              </w:rPr>
              <w:t>082</w:t>
            </w:r>
          </w:p>
        </w:tc>
      </w:tr>
      <w:tr w:rsidR="00D34D92" w:rsidRPr="009423C3" w14:paraId="23F70B9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A1F97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MEGAN-JANE COTTER</w:t>
            </w:r>
          </w:p>
        </w:tc>
        <w:tc>
          <w:tcPr>
            <w:tcW w:w="4896" w:type="dxa"/>
            <w:tcBorders>
              <w:top w:val="single" w:sz="4" w:space="0" w:color="FFFFFF" w:themeColor="background1"/>
              <w:bottom w:val="single" w:sz="4" w:space="0" w:color="53565A" w:themeColor="accent5"/>
            </w:tcBorders>
          </w:tcPr>
          <w:p w14:paraId="1DEB235E" w14:textId="79C8C85B" w:rsidR="00D34D92" w:rsidRPr="008457E1" w:rsidRDefault="00E642CB" w:rsidP="00D34D92">
            <w:pPr>
              <w:pStyle w:val="ESTablebody"/>
              <w:rPr>
                <w:rFonts w:ascii="Calibri" w:eastAsia="Times New Roman" w:hAnsi="Calibri" w:cs="Calibri"/>
                <w:color w:val="000000"/>
                <w:szCs w:val="20"/>
                <w:lang w:val="en-AU" w:eastAsia="en-AU"/>
              </w:rPr>
            </w:pPr>
            <w:bookmarkStart w:id="20" w:name="_Hlk79487777"/>
            <w:r>
              <w:rPr>
                <w:rFonts w:ascii="Calibri" w:eastAsia="Times New Roman" w:hAnsi="Calibri" w:cs="Calibri"/>
                <w:color w:val="000000"/>
                <w:szCs w:val="20"/>
                <w:lang w:val="en-AU" w:eastAsia="en-AU"/>
              </w:rPr>
              <w:t>Publishing, printing, promotions and communications or marketing services</w:t>
            </w:r>
            <w:bookmarkEnd w:id="20"/>
          </w:p>
        </w:tc>
        <w:tc>
          <w:tcPr>
            <w:tcW w:w="1417" w:type="dxa"/>
            <w:tcBorders>
              <w:top w:val="single" w:sz="4" w:space="0" w:color="FFFFFF" w:themeColor="background1"/>
              <w:bottom w:val="single" w:sz="4" w:space="0" w:color="53565A" w:themeColor="accent5"/>
            </w:tcBorders>
            <w:shd w:val="clear" w:color="auto" w:fill="auto"/>
            <w:vAlign w:val="center"/>
          </w:tcPr>
          <w:p w14:paraId="60B89348" w14:textId="6D57505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17,372</w:t>
            </w:r>
          </w:p>
        </w:tc>
      </w:tr>
      <w:tr w:rsidR="00D34D92" w:rsidRPr="009423C3" w14:paraId="743E052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0A87E5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MELBOURNE BUSINESS SCHOOL LIMITED</w:t>
            </w:r>
          </w:p>
        </w:tc>
        <w:tc>
          <w:tcPr>
            <w:tcW w:w="4896" w:type="dxa"/>
            <w:tcBorders>
              <w:top w:val="single" w:sz="4" w:space="0" w:color="FFFFFF" w:themeColor="background1"/>
              <w:bottom w:val="single" w:sz="4" w:space="0" w:color="53565A" w:themeColor="accent5"/>
            </w:tcBorders>
          </w:tcPr>
          <w:p w14:paraId="2B034C63" w14:textId="17EE819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8962CB6" w14:textId="7C32EBF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6,473</w:t>
            </w:r>
          </w:p>
        </w:tc>
      </w:tr>
      <w:tr w:rsidR="00D34D92" w:rsidRPr="009423C3" w14:paraId="72F5C85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597EF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MELBOURNE POLYTECHNIC</w:t>
            </w:r>
          </w:p>
        </w:tc>
        <w:tc>
          <w:tcPr>
            <w:tcW w:w="4896" w:type="dxa"/>
            <w:tcBorders>
              <w:top w:val="single" w:sz="4" w:space="0" w:color="FFFFFF" w:themeColor="background1"/>
              <w:bottom w:val="single" w:sz="4" w:space="0" w:color="53565A" w:themeColor="accent5"/>
            </w:tcBorders>
          </w:tcPr>
          <w:p w14:paraId="2669A2A1" w14:textId="774AE3E1"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3D90B17C" w14:textId="7592F6A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198,</w:t>
            </w:r>
            <w:r w:rsidR="005976C1" w:rsidRPr="00925213">
              <w:rPr>
                <w:rFonts w:ascii="Calibri" w:hAnsi="Calibri" w:cs="Calibri"/>
                <w:color w:val="000000"/>
                <w:szCs w:val="20"/>
              </w:rPr>
              <w:t>104</w:t>
            </w:r>
          </w:p>
        </w:tc>
      </w:tr>
      <w:tr w:rsidR="00D34D92" w:rsidRPr="009423C3" w14:paraId="5BB6AF4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A12EFA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MELINDA METAXAS AND ASSOCIATES PTY LTD</w:t>
            </w:r>
          </w:p>
        </w:tc>
        <w:tc>
          <w:tcPr>
            <w:tcW w:w="4896" w:type="dxa"/>
            <w:tcBorders>
              <w:top w:val="single" w:sz="4" w:space="0" w:color="FFFFFF" w:themeColor="background1"/>
              <w:bottom w:val="single" w:sz="4" w:space="0" w:color="53565A" w:themeColor="accent5"/>
            </w:tcBorders>
          </w:tcPr>
          <w:p w14:paraId="238152F5" w14:textId="704454D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35840B2" w14:textId="0AD1CB4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5,200</w:t>
            </w:r>
          </w:p>
        </w:tc>
      </w:tr>
      <w:tr w:rsidR="00D34D92" w:rsidRPr="009423C3" w14:paraId="2C4578A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6EFCA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MENTOR LIST PTY LTD</w:t>
            </w:r>
          </w:p>
        </w:tc>
        <w:tc>
          <w:tcPr>
            <w:tcW w:w="4896" w:type="dxa"/>
            <w:tcBorders>
              <w:top w:val="single" w:sz="4" w:space="0" w:color="FFFFFF" w:themeColor="background1"/>
              <w:bottom w:val="single" w:sz="4" w:space="0" w:color="53565A" w:themeColor="accent5"/>
            </w:tcBorders>
          </w:tcPr>
          <w:p w14:paraId="5EDE6B0D" w14:textId="206CFA8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5BDC544" w14:textId="49B857A6"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132,000</w:t>
            </w:r>
          </w:p>
        </w:tc>
      </w:tr>
      <w:tr w:rsidR="00D34D92" w:rsidRPr="009423C3" w14:paraId="74D53C9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031717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MERCER CONSULTING (AUSTRALIA) PTY LTD</w:t>
            </w:r>
          </w:p>
        </w:tc>
        <w:tc>
          <w:tcPr>
            <w:tcW w:w="4896" w:type="dxa"/>
            <w:tcBorders>
              <w:top w:val="single" w:sz="4" w:space="0" w:color="FFFFFF" w:themeColor="background1"/>
              <w:bottom w:val="single" w:sz="4" w:space="0" w:color="53565A" w:themeColor="accent5"/>
            </w:tcBorders>
          </w:tcPr>
          <w:p w14:paraId="03D98AF7" w14:textId="492EA44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BB4DED4" w14:textId="72B3B11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17,000</w:t>
            </w:r>
          </w:p>
        </w:tc>
      </w:tr>
      <w:tr w:rsidR="00D34D92" w:rsidRPr="009423C3" w14:paraId="3F62BC8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829B8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META PM PTY LTD</w:t>
            </w:r>
          </w:p>
        </w:tc>
        <w:tc>
          <w:tcPr>
            <w:tcW w:w="4896" w:type="dxa"/>
            <w:tcBorders>
              <w:top w:val="single" w:sz="4" w:space="0" w:color="FFFFFF" w:themeColor="background1"/>
              <w:bottom w:val="single" w:sz="4" w:space="0" w:color="53565A" w:themeColor="accent5"/>
            </w:tcBorders>
          </w:tcPr>
          <w:p w14:paraId="3494DA04" w14:textId="10808F8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D7C94BC" w14:textId="5583BFA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290,180</w:t>
            </w:r>
          </w:p>
        </w:tc>
      </w:tr>
      <w:tr w:rsidR="00D34D92" w:rsidRPr="009423C3" w14:paraId="06D64D1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E649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MG EDUCATION CONSULTANCY PTY LTD</w:t>
            </w:r>
          </w:p>
        </w:tc>
        <w:tc>
          <w:tcPr>
            <w:tcW w:w="4896" w:type="dxa"/>
            <w:tcBorders>
              <w:top w:val="single" w:sz="4" w:space="0" w:color="FFFFFF" w:themeColor="background1"/>
              <w:bottom w:val="single" w:sz="4" w:space="0" w:color="53565A" w:themeColor="accent5"/>
            </w:tcBorders>
          </w:tcPr>
          <w:p w14:paraId="22AED141" w14:textId="4FFE3C3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79E8162" w14:textId="14AA3CA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10,909</w:t>
            </w:r>
          </w:p>
        </w:tc>
      </w:tr>
      <w:tr w:rsidR="00D34D92" w:rsidRPr="009423C3" w14:paraId="56D90D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6593A6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MICHELLE DUNN PRODUCTIONS PTY LTD</w:t>
            </w:r>
          </w:p>
        </w:tc>
        <w:tc>
          <w:tcPr>
            <w:tcW w:w="4896" w:type="dxa"/>
            <w:tcBorders>
              <w:top w:val="single" w:sz="4" w:space="0" w:color="FFFFFF" w:themeColor="background1"/>
              <w:bottom w:val="single" w:sz="4" w:space="0" w:color="53565A" w:themeColor="accent5"/>
            </w:tcBorders>
          </w:tcPr>
          <w:p w14:paraId="0823998E" w14:textId="77B9785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8C69F45" w14:textId="53DE47A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1,310</w:t>
            </w:r>
          </w:p>
        </w:tc>
      </w:tr>
      <w:tr w:rsidR="00D34D92" w:rsidRPr="009423C3" w14:paraId="42F221D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DD713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MICHELLE MCQUAID PTY LTD</w:t>
            </w:r>
          </w:p>
        </w:tc>
        <w:tc>
          <w:tcPr>
            <w:tcW w:w="4896" w:type="dxa"/>
            <w:tcBorders>
              <w:top w:val="single" w:sz="4" w:space="0" w:color="FFFFFF" w:themeColor="background1"/>
              <w:bottom w:val="single" w:sz="4" w:space="0" w:color="53565A" w:themeColor="accent5"/>
            </w:tcBorders>
          </w:tcPr>
          <w:p w14:paraId="4D4E2513" w14:textId="6132B8D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9F123AB" w14:textId="34F1391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61,000</w:t>
            </w:r>
          </w:p>
        </w:tc>
      </w:tr>
      <w:tr w:rsidR="00D34D92" w:rsidRPr="009423C3" w14:paraId="289751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08792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MICHILL CONSULTING</w:t>
            </w:r>
          </w:p>
        </w:tc>
        <w:tc>
          <w:tcPr>
            <w:tcW w:w="4896" w:type="dxa"/>
            <w:tcBorders>
              <w:top w:val="single" w:sz="4" w:space="0" w:color="FFFFFF" w:themeColor="background1"/>
              <w:bottom w:val="single" w:sz="4" w:space="0" w:color="53565A" w:themeColor="accent5"/>
            </w:tcBorders>
          </w:tcPr>
          <w:p w14:paraId="061D0E1D" w14:textId="49F3F1E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3B31773" w14:textId="70D2979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w:t>
            </w:r>
            <w:r w:rsidR="005976C1" w:rsidRPr="00925213">
              <w:rPr>
                <w:rFonts w:ascii="Calibri" w:hAnsi="Calibri" w:cs="Calibri"/>
                <w:color w:val="000000"/>
                <w:szCs w:val="20"/>
              </w:rPr>
              <w:t>574</w:t>
            </w:r>
          </w:p>
        </w:tc>
      </w:tr>
      <w:tr w:rsidR="00D34D92" w:rsidRPr="009423C3" w14:paraId="77E3CBF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00B25A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MIND STRENGTH PTY LTD</w:t>
            </w:r>
          </w:p>
        </w:tc>
        <w:tc>
          <w:tcPr>
            <w:tcW w:w="4896" w:type="dxa"/>
            <w:tcBorders>
              <w:top w:val="single" w:sz="4" w:space="0" w:color="FFFFFF" w:themeColor="background1"/>
              <w:bottom w:val="single" w:sz="4" w:space="0" w:color="53565A" w:themeColor="accent5"/>
            </w:tcBorders>
          </w:tcPr>
          <w:p w14:paraId="56B01111" w14:textId="264459F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B8BA91F" w14:textId="627E9D4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2,500</w:t>
            </w:r>
          </w:p>
        </w:tc>
      </w:tr>
      <w:tr w:rsidR="00D34D92" w:rsidRPr="009423C3" w14:paraId="5C1BF8F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914F4C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MIND TRIBES PTY LTD</w:t>
            </w:r>
          </w:p>
        </w:tc>
        <w:tc>
          <w:tcPr>
            <w:tcW w:w="4896" w:type="dxa"/>
            <w:tcBorders>
              <w:top w:val="single" w:sz="4" w:space="0" w:color="FFFFFF" w:themeColor="background1"/>
              <w:bottom w:val="single" w:sz="4" w:space="0" w:color="53565A" w:themeColor="accent5"/>
            </w:tcBorders>
          </w:tcPr>
          <w:p w14:paraId="33FEA67F" w14:textId="591FBEE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B461EE4" w14:textId="49C8784E"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2,900</w:t>
            </w:r>
          </w:p>
        </w:tc>
      </w:tr>
      <w:tr w:rsidR="00D34D92" w:rsidRPr="009423C3" w14:paraId="336A60D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82B7B1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MINTER ELLISON</w:t>
            </w:r>
          </w:p>
        </w:tc>
        <w:tc>
          <w:tcPr>
            <w:tcW w:w="4896" w:type="dxa"/>
            <w:tcBorders>
              <w:top w:val="single" w:sz="4" w:space="0" w:color="FFFFFF" w:themeColor="background1"/>
              <w:bottom w:val="single" w:sz="4" w:space="0" w:color="53565A" w:themeColor="accent5"/>
            </w:tcBorders>
          </w:tcPr>
          <w:p w14:paraId="771E0D40" w14:textId="5FE07FD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6EF3FAB" w14:textId="10C52F83"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3,065</w:t>
            </w:r>
          </w:p>
        </w:tc>
      </w:tr>
      <w:tr w:rsidR="00D34D92" w:rsidRPr="009423C3" w14:paraId="67FCECB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12945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MONASH UNIVERSITY</w:t>
            </w:r>
          </w:p>
        </w:tc>
        <w:tc>
          <w:tcPr>
            <w:tcW w:w="4896" w:type="dxa"/>
            <w:tcBorders>
              <w:top w:val="single" w:sz="4" w:space="0" w:color="FFFFFF" w:themeColor="background1"/>
              <w:bottom w:val="single" w:sz="4" w:space="0" w:color="53565A" w:themeColor="accent5"/>
            </w:tcBorders>
          </w:tcPr>
          <w:p w14:paraId="4AD0AA56" w14:textId="5DCCD80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22386F3" w14:textId="11C0480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1,390,491</w:t>
            </w:r>
          </w:p>
        </w:tc>
      </w:tr>
      <w:tr w:rsidR="00D34D92" w:rsidRPr="009423C3" w14:paraId="10C658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D1243E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MONEGHETTI CONSULTING GROUP PTY. LTD.</w:t>
            </w:r>
          </w:p>
        </w:tc>
        <w:tc>
          <w:tcPr>
            <w:tcW w:w="4896" w:type="dxa"/>
            <w:tcBorders>
              <w:top w:val="single" w:sz="4" w:space="0" w:color="FFFFFF" w:themeColor="background1"/>
              <w:bottom w:val="single" w:sz="4" w:space="0" w:color="53565A" w:themeColor="accent5"/>
            </w:tcBorders>
          </w:tcPr>
          <w:p w14:paraId="70C3044C" w14:textId="072F779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488D7AA" w14:textId="381D185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2,000</w:t>
            </w:r>
          </w:p>
        </w:tc>
      </w:tr>
      <w:tr w:rsidR="00D34D92" w:rsidRPr="009423C3" w14:paraId="03BCD22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409B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MONTUS TUTORING PTY LTD</w:t>
            </w:r>
          </w:p>
        </w:tc>
        <w:tc>
          <w:tcPr>
            <w:tcW w:w="4896" w:type="dxa"/>
            <w:tcBorders>
              <w:top w:val="single" w:sz="4" w:space="0" w:color="FFFFFF" w:themeColor="background1"/>
              <w:bottom w:val="single" w:sz="4" w:space="0" w:color="53565A" w:themeColor="accent5"/>
            </w:tcBorders>
          </w:tcPr>
          <w:p w14:paraId="5D91BC25" w14:textId="13CA29F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AEBD0FA" w14:textId="5444A789" w:rsidR="00D34D92" w:rsidRPr="008457E1" w:rsidRDefault="005976C1"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7,274</w:t>
            </w:r>
          </w:p>
        </w:tc>
      </w:tr>
      <w:tr w:rsidR="00D34D92" w:rsidRPr="009423C3" w14:paraId="67AB61F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DD5DE2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MORRIS SLEEP</w:t>
            </w:r>
          </w:p>
        </w:tc>
        <w:tc>
          <w:tcPr>
            <w:tcW w:w="4896" w:type="dxa"/>
            <w:tcBorders>
              <w:top w:val="single" w:sz="4" w:space="0" w:color="FFFFFF" w:themeColor="background1"/>
              <w:bottom w:val="single" w:sz="4" w:space="0" w:color="53565A" w:themeColor="accent5"/>
            </w:tcBorders>
          </w:tcPr>
          <w:p w14:paraId="10B877C8" w14:textId="45325F8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FD7DFA4" w14:textId="5E5DBD0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4,664</w:t>
            </w:r>
          </w:p>
        </w:tc>
      </w:tr>
      <w:tr w:rsidR="00D34D92" w:rsidRPr="009423C3" w14:paraId="0923C4D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D9C38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MOTT MACDONALD AUSTRALIA PTY LIMITED</w:t>
            </w:r>
          </w:p>
        </w:tc>
        <w:tc>
          <w:tcPr>
            <w:tcW w:w="4896" w:type="dxa"/>
            <w:tcBorders>
              <w:top w:val="single" w:sz="4" w:space="0" w:color="FFFFFF" w:themeColor="background1"/>
              <w:bottom w:val="single" w:sz="4" w:space="0" w:color="53565A" w:themeColor="accent5"/>
            </w:tcBorders>
          </w:tcPr>
          <w:p w14:paraId="212DFAFD" w14:textId="4D49FA2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EF62DF">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7C028E8D" w14:textId="3AD955D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3,325,277</w:t>
            </w:r>
          </w:p>
        </w:tc>
      </w:tr>
      <w:tr w:rsidR="00D34D92" w:rsidRPr="009423C3" w14:paraId="7A79213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C432B4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MR EDUCATIONAL SERVICES</w:t>
            </w:r>
          </w:p>
        </w:tc>
        <w:tc>
          <w:tcPr>
            <w:tcW w:w="4896" w:type="dxa"/>
            <w:tcBorders>
              <w:top w:val="single" w:sz="4" w:space="0" w:color="FFFFFF" w:themeColor="background1"/>
              <w:bottom w:val="single" w:sz="4" w:space="0" w:color="53565A" w:themeColor="accent5"/>
            </w:tcBorders>
          </w:tcPr>
          <w:p w14:paraId="77DFD49F" w14:textId="0D074E9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EF62DF">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0ECE0CE" w14:textId="1DE536E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23,187</w:t>
            </w:r>
          </w:p>
        </w:tc>
      </w:tr>
      <w:tr w:rsidR="00D34D92" w:rsidRPr="009423C3" w14:paraId="6DDEF7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FC27C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MUDALY NEEROSHINEE</w:t>
            </w:r>
          </w:p>
        </w:tc>
        <w:tc>
          <w:tcPr>
            <w:tcW w:w="4896" w:type="dxa"/>
            <w:tcBorders>
              <w:top w:val="single" w:sz="4" w:space="0" w:color="FFFFFF" w:themeColor="background1"/>
              <w:bottom w:val="single" w:sz="4" w:space="0" w:color="53565A" w:themeColor="accent5"/>
            </w:tcBorders>
          </w:tcPr>
          <w:p w14:paraId="4B8ECD3E" w14:textId="76D027C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EF62DF">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40649618" w14:textId="7015DDE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28,635</w:t>
            </w:r>
          </w:p>
        </w:tc>
      </w:tr>
      <w:tr w:rsidR="00D34D92" w:rsidRPr="009423C3" w14:paraId="0188962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DB6A48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MUNBY EDUCATION</w:t>
            </w:r>
          </w:p>
        </w:tc>
        <w:tc>
          <w:tcPr>
            <w:tcW w:w="4896" w:type="dxa"/>
            <w:tcBorders>
              <w:top w:val="single" w:sz="4" w:space="0" w:color="FFFFFF" w:themeColor="background1"/>
              <w:bottom w:val="single" w:sz="4" w:space="0" w:color="53565A" w:themeColor="accent5"/>
            </w:tcBorders>
          </w:tcPr>
          <w:p w14:paraId="02D192C1" w14:textId="6A357E7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CF797D5" w14:textId="09D3E45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5,000</w:t>
            </w:r>
          </w:p>
        </w:tc>
      </w:tr>
      <w:tr w:rsidR="00D34D92" w:rsidRPr="009423C3" w14:paraId="3A63C34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F63E5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MURDOCH CHILDRENS RESEARCH INSTITUTE</w:t>
            </w:r>
          </w:p>
        </w:tc>
        <w:tc>
          <w:tcPr>
            <w:tcW w:w="4896" w:type="dxa"/>
            <w:tcBorders>
              <w:top w:val="single" w:sz="4" w:space="0" w:color="FFFFFF" w:themeColor="background1"/>
              <w:bottom w:val="single" w:sz="4" w:space="0" w:color="53565A" w:themeColor="accent5"/>
            </w:tcBorders>
          </w:tcPr>
          <w:p w14:paraId="54C2BBCA" w14:textId="2972D215"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Early </w:t>
            </w:r>
            <w:r w:rsidR="00EF62DF">
              <w:rPr>
                <w:rFonts w:ascii="Calibri" w:eastAsia="Times New Roman" w:hAnsi="Calibri" w:cs="Calibri"/>
                <w:color w:val="000000"/>
                <w:szCs w:val="20"/>
                <w:lang w:val="en-AU" w:eastAsia="en-AU"/>
              </w:rPr>
              <w:t>c</w:t>
            </w:r>
            <w:r w:rsidRPr="008457E1">
              <w:rPr>
                <w:rFonts w:ascii="Calibri" w:eastAsia="Times New Roman" w:hAnsi="Calibri" w:cs="Calibri"/>
                <w:color w:val="000000"/>
                <w:szCs w:val="20"/>
                <w:lang w:val="en-AU" w:eastAsia="en-AU"/>
              </w:rPr>
              <w:t xml:space="preserve">hildhood </w:t>
            </w:r>
            <w:r w:rsidR="00EF62DF">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4DAB297F" w14:textId="38BF94B5"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97,023</w:t>
            </w:r>
          </w:p>
        </w:tc>
      </w:tr>
      <w:tr w:rsidR="00D34D92" w:rsidRPr="009423C3" w14:paraId="784F1DB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0485CD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MURPHY ANTHONY JOHN</w:t>
            </w:r>
          </w:p>
        </w:tc>
        <w:tc>
          <w:tcPr>
            <w:tcW w:w="4896" w:type="dxa"/>
            <w:tcBorders>
              <w:top w:val="single" w:sz="4" w:space="0" w:color="FFFFFF" w:themeColor="background1"/>
              <w:bottom w:val="single" w:sz="4" w:space="0" w:color="53565A" w:themeColor="accent5"/>
            </w:tcBorders>
          </w:tcPr>
          <w:p w14:paraId="131E1486" w14:textId="5B428ED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406148D" w14:textId="534E1661"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3,500</w:t>
            </w:r>
          </w:p>
        </w:tc>
      </w:tr>
      <w:tr w:rsidR="00D34D92" w:rsidRPr="009423C3" w14:paraId="0E1645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33F40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MURPHY JAMIE DANIEL</w:t>
            </w:r>
          </w:p>
        </w:tc>
        <w:tc>
          <w:tcPr>
            <w:tcW w:w="4896" w:type="dxa"/>
            <w:tcBorders>
              <w:top w:val="single" w:sz="4" w:space="0" w:color="FFFFFF" w:themeColor="background1"/>
              <w:bottom w:val="single" w:sz="4" w:space="0" w:color="53565A" w:themeColor="accent5"/>
            </w:tcBorders>
          </w:tcPr>
          <w:p w14:paraId="7A25CF2A" w14:textId="40933D3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7896C8E" w14:textId="7FB7919D"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1,500</w:t>
            </w:r>
          </w:p>
        </w:tc>
      </w:tr>
      <w:tr w:rsidR="00D34D92" w:rsidRPr="009423C3" w14:paraId="7340399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7319A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MURRIMATTERS PTY LTD</w:t>
            </w:r>
          </w:p>
        </w:tc>
        <w:tc>
          <w:tcPr>
            <w:tcW w:w="4896" w:type="dxa"/>
            <w:tcBorders>
              <w:top w:val="single" w:sz="4" w:space="0" w:color="FFFFFF" w:themeColor="background1"/>
              <w:bottom w:val="single" w:sz="4" w:space="0" w:color="53565A" w:themeColor="accent5"/>
            </w:tcBorders>
          </w:tcPr>
          <w:p w14:paraId="65AC0371" w14:textId="74247A3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30CF5D9" w14:textId="5C7F3D57"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4,000</w:t>
            </w:r>
          </w:p>
        </w:tc>
      </w:tr>
      <w:tr w:rsidR="00D34D92" w:rsidRPr="009423C3" w14:paraId="3F4229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EEDCD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MURTHY AASHA</w:t>
            </w:r>
          </w:p>
        </w:tc>
        <w:tc>
          <w:tcPr>
            <w:tcW w:w="4896" w:type="dxa"/>
            <w:tcBorders>
              <w:top w:val="single" w:sz="4" w:space="0" w:color="FFFFFF" w:themeColor="background1"/>
              <w:bottom w:val="single" w:sz="4" w:space="0" w:color="53565A" w:themeColor="accent5"/>
            </w:tcBorders>
          </w:tcPr>
          <w:p w14:paraId="439B869D" w14:textId="394E5F8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08812B3" w14:textId="619F7B1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5,300</w:t>
            </w:r>
          </w:p>
        </w:tc>
      </w:tr>
      <w:tr w:rsidR="00D34D92" w:rsidRPr="009423C3" w14:paraId="61BFD4E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3D2B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MUSHROOM CREATIVE HOUSE</w:t>
            </w:r>
          </w:p>
        </w:tc>
        <w:tc>
          <w:tcPr>
            <w:tcW w:w="4896" w:type="dxa"/>
            <w:tcBorders>
              <w:top w:val="single" w:sz="4" w:space="0" w:color="FFFFFF" w:themeColor="background1"/>
              <w:bottom w:val="single" w:sz="4" w:space="0" w:color="53565A" w:themeColor="accent5"/>
            </w:tcBorders>
          </w:tcPr>
          <w:p w14:paraId="0DB97CC1" w14:textId="1BC2A7F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1FF3A9A5" w14:textId="36DE587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hAnsi="Calibri" w:cs="Calibri"/>
                <w:color w:val="000000"/>
                <w:szCs w:val="20"/>
              </w:rPr>
              <w:t>26,325</w:t>
            </w:r>
          </w:p>
        </w:tc>
      </w:tr>
      <w:tr w:rsidR="00D34D92" w:rsidRPr="009423C3" w14:paraId="0133E8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5700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NATION PARTNERS PTY LTD</w:t>
            </w:r>
          </w:p>
        </w:tc>
        <w:tc>
          <w:tcPr>
            <w:tcW w:w="4896" w:type="dxa"/>
            <w:tcBorders>
              <w:top w:val="single" w:sz="4" w:space="0" w:color="FFFFFF" w:themeColor="background1"/>
              <w:bottom w:val="single" w:sz="4" w:space="0" w:color="53565A" w:themeColor="accent5"/>
            </w:tcBorders>
          </w:tcPr>
          <w:p w14:paraId="7FB26846" w14:textId="2B15A01C"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Strategic </w:t>
            </w:r>
            <w:r w:rsidR="003E39C3">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 xml:space="preserve">ervices and </w:t>
            </w:r>
            <w:r w:rsidR="001124D0">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dvice for </w:t>
            </w:r>
            <w:r w:rsidR="001124D0">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udit, </w:t>
            </w:r>
            <w:proofErr w:type="gramStart"/>
            <w:r w:rsidR="001124D0">
              <w:rPr>
                <w:rFonts w:ascii="Calibri" w:eastAsia="Times New Roman" w:hAnsi="Calibri" w:cs="Calibri"/>
                <w:color w:val="000000"/>
                <w:szCs w:val="20"/>
                <w:lang w:val="en-AU" w:eastAsia="en-AU"/>
              </w:rPr>
              <w:t>f</w:t>
            </w:r>
            <w:r w:rsidRPr="008457E1">
              <w:rPr>
                <w:rFonts w:ascii="Calibri" w:eastAsia="Times New Roman" w:hAnsi="Calibri" w:cs="Calibri"/>
                <w:color w:val="000000"/>
                <w:szCs w:val="20"/>
                <w:lang w:val="en-AU" w:eastAsia="en-AU"/>
              </w:rPr>
              <w:t>raud</w:t>
            </w:r>
            <w:proofErr w:type="gramEnd"/>
            <w:r w:rsidRPr="008457E1">
              <w:rPr>
                <w:rFonts w:ascii="Calibri" w:eastAsia="Times New Roman" w:hAnsi="Calibri" w:cs="Calibri"/>
                <w:color w:val="000000"/>
                <w:szCs w:val="20"/>
                <w:lang w:val="en-AU" w:eastAsia="en-AU"/>
              </w:rPr>
              <w:t xml:space="preserve"> and </w:t>
            </w:r>
            <w:r w:rsidR="001124D0">
              <w:rPr>
                <w:rFonts w:ascii="Calibri" w:eastAsia="Times New Roman" w:hAnsi="Calibri" w:cs="Calibri"/>
                <w:color w:val="000000"/>
                <w:szCs w:val="20"/>
                <w:lang w:val="en-AU" w:eastAsia="en-AU"/>
              </w:rPr>
              <w:t>p</w:t>
            </w:r>
            <w:r w:rsidRPr="008457E1">
              <w:rPr>
                <w:rFonts w:ascii="Calibri" w:eastAsia="Times New Roman" w:hAnsi="Calibri" w:cs="Calibri"/>
                <w:color w:val="000000"/>
                <w:szCs w:val="20"/>
                <w:lang w:val="en-AU" w:eastAsia="en-AU"/>
              </w:rPr>
              <w:t>rocurement</w:t>
            </w:r>
          </w:p>
        </w:tc>
        <w:tc>
          <w:tcPr>
            <w:tcW w:w="1417" w:type="dxa"/>
            <w:tcBorders>
              <w:top w:val="single" w:sz="4" w:space="0" w:color="FFFFFF" w:themeColor="background1"/>
              <w:bottom w:val="single" w:sz="4" w:space="0" w:color="53565A" w:themeColor="accent5"/>
            </w:tcBorders>
            <w:shd w:val="clear" w:color="auto" w:fill="auto"/>
          </w:tcPr>
          <w:p w14:paraId="7A574661" w14:textId="3FC888F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183,</w:t>
            </w:r>
            <w:r w:rsidRPr="00925213">
              <w:rPr>
                <w:rFonts w:ascii="Calibri" w:eastAsia="Times New Roman" w:hAnsi="Calibri" w:cs="Calibri"/>
                <w:color w:val="000000"/>
                <w:szCs w:val="20"/>
                <w:lang w:val="en-AU" w:eastAsia="en-AU"/>
              </w:rPr>
              <w:t>36</w:t>
            </w:r>
            <w:r w:rsidR="009E68CD" w:rsidRPr="00925213">
              <w:rPr>
                <w:rFonts w:ascii="Calibri" w:eastAsia="Times New Roman" w:hAnsi="Calibri" w:cs="Calibri"/>
                <w:color w:val="000000"/>
                <w:szCs w:val="20"/>
                <w:lang w:val="en-AU" w:eastAsia="en-AU"/>
              </w:rPr>
              <w:t>9</w:t>
            </w:r>
          </w:p>
        </w:tc>
      </w:tr>
      <w:tr w:rsidR="00D34D92" w:rsidRPr="009423C3" w14:paraId="0D09F4D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F63D5E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NATIONAL CURRICULUM SERVICES</w:t>
            </w:r>
          </w:p>
        </w:tc>
        <w:tc>
          <w:tcPr>
            <w:tcW w:w="4896" w:type="dxa"/>
            <w:tcBorders>
              <w:top w:val="single" w:sz="4" w:space="0" w:color="FFFFFF" w:themeColor="background1"/>
              <w:bottom w:val="single" w:sz="4" w:space="0" w:color="53565A" w:themeColor="accent5"/>
            </w:tcBorders>
          </w:tcPr>
          <w:p w14:paraId="7412938D" w14:textId="165AF576"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Curriculum </w:t>
            </w:r>
            <w:r w:rsidR="00136E0F">
              <w:rPr>
                <w:rFonts w:ascii="Calibri" w:eastAsia="Times New Roman" w:hAnsi="Calibri" w:cs="Calibri"/>
                <w:color w:val="000000"/>
                <w:szCs w:val="20"/>
                <w:lang w:val="en-AU" w:eastAsia="en-AU"/>
              </w:rPr>
              <w:t>d</w:t>
            </w:r>
            <w:r w:rsidRPr="008457E1">
              <w:rPr>
                <w:rFonts w:ascii="Calibri" w:eastAsia="Times New Roman" w:hAnsi="Calibri" w:cs="Calibri"/>
                <w:color w:val="000000"/>
                <w:szCs w:val="20"/>
                <w:lang w:val="en-AU" w:eastAsia="en-AU"/>
              </w:rPr>
              <w:t xml:space="preserve">evelopment </w:t>
            </w:r>
            <w:r w:rsidR="00136E0F">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07B38535" w14:textId="2B12E17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46,680</w:t>
            </w:r>
          </w:p>
        </w:tc>
      </w:tr>
      <w:tr w:rsidR="00D34D92" w:rsidRPr="009423C3" w14:paraId="14AA10F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2025A2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NATIONAL EXCELLENCE IN SCHOOL LEADERSHIP INSTITUTE PTY LTD</w:t>
            </w:r>
          </w:p>
        </w:tc>
        <w:tc>
          <w:tcPr>
            <w:tcW w:w="4896" w:type="dxa"/>
            <w:tcBorders>
              <w:top w:val="single" w:sz="4" w:space="0" w:color="FFFFFF" w:themeColor="background1"/>
              <w:bottom w:val="single" w:sz="4" w:space="0" w:color="53565A" w:themeColor="accent5"/>
            </w:tcBorders>
          </w:tcPr>
          <w:p w14:paraId="3F499503" w14:textId="4E4132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4E65DD3" w14:textId="42BA6F0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45,</w:t>
            </w:r>
            <w:r w:rsidRPr="00925213">
              <w:rPr>
                <w:rFonts w:ascii="Calibri" w:eastAsia="Times New Roman" w:hAnsi="Calibri" w:cs="Calibri"/>
                <w:color w:val="000000"/>
                <w:szCs w:val="20"/>
                <w:lang w:val="en-AU" w:eastAsia="en-AU"/>
              </w:rPr>
              <w:t>45</w:t>
            </w:r>
            <w:r w:rsidR="009E68CD" w:rsidRPr="00925213">
              <w:rPr>
                <w:rFonts w:ascii="Calibri" w:eastAsia="Times New Roman" w:hAnsi="Calibri" w:cs="Calibri"/>
                <w:color w:val="000000"/>
                <w:szCs w:val="20"/>
                <w:lang w:val="en-AU" w:eastAsia="en-AU"/>
              </w:rPr>
              <w:t>5</w:t>
            </w:r>
          </w:p>
        </w:tc>
      </w:tr>
      <w:tr w:rsidR="00D34D92" w:rsidRPr="009423C3" w14:paraId="774C51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B58A43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NATUS MEDICAL PTY LTD</w:t>
            </w:r>
          </w:p>
        </w:tc>
        <w:tc>
          <w:tcPr>
            <w:tcW w:w="4896" w:type="dxa"/>
            <w:tcBorders>
              <w:top w:val="single" w:sz="4" w:space="0" w:color="FFFFFF" w:themeColor="background1"/>
              <w:bottom w:val="single" w:sz="4" w:space="0" w:color="53565A" w:themeColor="accent5"/>
            </w:tcBorders>
          </w:tcPr>
          <w:p w14:paraId="72A1F5A7" w14:textId="0B325EE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A59EFAB" w14:textId="6BB4FFC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4,475</w:t>
            </w:r>
          </w:p>
        </w:tc>
      </w:tr>
      <w:tr w:rsidR="00D34D92" w:rsidRPr="009423C3" w14:paraId="4C956B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DDC34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NB EDUCATION SERVICES</w:t>
            </w:r>
          </w:p>
        </w:tc>
        <w:tc>
          <w:tcPr>
            <w:tcW w:w="4896" w:type="dxa"/>
            <w:tcBorders>
              <w:top w:val="single" w:sz="4" w:space="0" w:color="FFFFFF" w:themeColor="background1"/>
              <w:bottom w:val="single" w:sz="4" w:space="0" w:color="53565A" w:themeColor="accent5"/>
            </w:tcBorders>
          </w:tcPr>
          <w:p w14:paraId="6799699C" w14:textId="435D589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3757851" w14:textId="3E984C7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1,29</w:t>
            </w:r>
            <w:r w:rsidR="009E68CD" w:rsidRPr="00925213">
              <w:rPr>
                <w:rFonts w:ascii="Calibri" w:eastAsia="Times New Roman" w:hAnsi="Calibri" w:cs="Calibri"/>
                <w:color w:val="000000"/>
                <w:szCs w:val="20"/>
                <w:lang w:val="en-AU" w:eastAsia="en-AU"/>
              </w:rPr>
              <w:t>5</w:t>
            </w:r>
          </w:p>
        </w:tc>
      </w:tr>
      <w:tr w:rsidR="00D34D92" w:rsidRPr="009423C3" w14:paraId="0D6C17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B482B8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NEARMAP AUSTRALIA PTY LTD</w:t>
            </w:r>
          </w:p>
        </w:tc>
        <w:tc>
          <w:tcPr>
            <w:tcW w:w="4896" w:type="dxa"/>
            <w:tcBorders>
              <w:top w:val="single" w:sz="4" w:space="0" w:color="FFFFFF" w:themeColor="background1"/>
              <w:bottom w:val="single" w:sz="4" w:space="0" w:color="53565A" w:themeColor="accent5"/>
            </w:tcBorders>
          </w:tcPr>
          <w:p w14:paraId="3ABB2446" w14:textId="431FC99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386B74C9" w14:textId="6CF0086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4,680</w:t>
            </w:r>
          </w:p>
        </w:tc>
      </w:tr>
      <w:tr w:rsidR="00D34D92" w:rsidRPr="009423C3" w14:paraId="5436210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6C73F2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NEWTON ROBERT CLEVIN</w:t>
            </w:r>
          </w:p>
        </w:tc>
        <w:tc>
          <w:tcPr>
            <w:tcW w:w="4896" w:type="dxa"/>
            <w:tcBorders>
              <w:top w:val="single" w:sz="4" w:space="0" w:color="FFFFFF" w:themeColor="background1"/>
              <w:bottom w:val="single" w:sz="4" w:space="0" w:color="53565A" w:themeColor="accent5"/>
            </w:tcBorders>
          </w:tcPr>
          <w:p w14:paraId="24CF05B3" w14:textId="0653789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51A7CE5" w14:textId="0AE37A8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5,215</w:t>
            </w:r>
          </w:p>
        </w:tc>
      </w:tr>
      <w:tr w:rsidR="00D34D92" w:rsidRPr="009423C3" w14:paraId="39041DB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9CE59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NEXUS PRIMARY HEALTH</w:t>
            </w:r>
          </w:p>
        </w:tc>
        <w:tc>
          <w:tcPr>
            <w:tcW w:w="4896" w:type="dxa"/>
            <w:tcBorders>
              <w:top w:val="single" w:sz="4" w:space="0" w:color="FFFFFF" w:themeColor="background1"/>
              <w:bottom w:val="single" w:sz="4" w:space="0" w:color="53565A" w:themeColor="accent5"/>
            </w:tcBorders>
          </w:tcPr>
          <w:p w14:paraId="0D210E4E" w14:textId="2D414EE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82E7325" w14:textId="2384474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6,500</w:t>
            </w:r>
          </w:p>
        </w:tc>
      </w:tr>
      <w:tr w:rsidR="00D34D92" w:rsidRPr="009423C3" w14:paraId="41AD17C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DF5F0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NICHOLS KATE</w:t>
            </w:r>
          </w:p>
        </w:tc>
        <w:tc>
          <w:tcPr>
            <w:tcW w:w="4896" w:type="dxa"/>
            <w:tcBorders>
              <w:top w:val="single" w:sz="4" w:space="0" w:color="FFFFFF" w:themeColor="background1"/>
              <w:bottom w:val="single" w:sz="4" w:space="0" w:color="53565A" w:themeColor="accent5"/>
            </w:tcBorders>
          </w:tcPr>
          <w:p w14:paraId="0F283A9F" w14:textId="247C5BF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55D91BF" w14:textId="628BFEC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4,375</w:t>
            </w:r>
          </w:p>
        </w:tc>
      </w:tr>
      <w:tr w:rsidR="00D34D92" w:rsidRPr="009423C3" w14:paraId="3E0F7BD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7589B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NO FUSS ADMIN</w:t>
            </w:r>
          </w:p>
        </w:tc>
        <w:tc>
          <w:tcPr>
            <w:tcW w:w="4896" w:type="dxa"/>
            <w:tcBorders>
              <w:top w:val="single" w:sz="4" w:space="0" w:color="FFFFFF" w:themeColor="background1"/>
              <w:bottom w:val="single" w:sz="4" w:space="0" w:color="53565A" w:themeColor="accent5"/>
            </w:tcBorders>
          </w:tcPr>
          <w:p w14:paraId="40308D84" w14:textId="581DF4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1B1D39A" w14:textId="3295CE2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1,739</w:t>
            </w:r>
          </w:p>
        </w:tc>
      </w:tr>
      <w:tr w:rsidR="00D34D92" w:rsidRPr="009423C3" w14:paraId="46517FE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30E7FC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NOELLE BURDEKIN EDUCATIONAL CONSULTANCY PTY LTD</w:t>
            </w:r>
          </w:p>
        </w:tc>
        <w:tc>
          <w:tcPr>
            <w:tcW w:w="4896" w:type="dxa"/>
            <w:tcBorders>
              <w:top w:val="single" w:sz="4" w:space="0" w:color="FFFFFF" w:themeColor="background1"/>
              <w:bottom w:val="single" w:sz="4" w:space="0" w:color="53565A" w:themeColor="accent5"/>
            </w:tcBorders>
          </w:tcPr>
          <w:p w14:paraId="0E48061A" w14:textId="3DE9F65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C1ED800" w14:textId="313BCBA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6,374</w:t>
            </w:r>
          </w:p>
        </w:tc>
      </w:tr>
      <w:tr w:rsidR="00D34D92" w:rsidRPr="009423C3" w14:paraId="0203A49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FA5476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NORTHERN MALLEE LOCAL LEARNING AND EMPLOYMENT NETWORK</w:t>
            </w:r>
          </w:p>
        </w:tc>
        <w:tc>
          <w:tcPr>
            <w:tcW w:w="4896" w:type="dxa"/>
            <w:tcBorders>
              <w:top w:val="single" w:sz="4" w:space="0" w:color="FFFFFF" w:themeColor="background1"/>
              <w:bottom w:val="single" w:sz="4" w:space="0" w:color="53565A" w:themeColor="accent5"/>
            </w:tcBorders>
          </w:tcPr>
          <w:p w14:paraId="42B0AC2F" w14:textId="4EA43B3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ECA4D49" w14:textId="59B2C10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1,497</w:t>
            </w:r>
          </w:p>
        </w:tc>
      </w:tr>
      <w:tr w:rsidR="00D34D92" w:rsidRPr="009423C3" w14:paraId="61B9847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CD073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NOUS GROUP PTY LTD</w:t>
            </w:r>
          </w:p>
        </w:tc>
        <w:tc>
          <w:tcPr>
            <w:tcW w:w="4896" w:type="dxa"/>
            <w:tcBorders>
              <w:top w:val="single" w:sz="4" w:space="0" w:color="FFFFFF" w:themeColor="background1"/>
              <w:bottom w:val="single" w:sz="4" w:space="0" w:color="53565A" w:themeColor="accent5"/>
            </w:tcBorders>
          </w:tcPr>
          <w:p w14:paraId="349BDB0D" w14:textId="77F15AD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A2F4010" w14:textId="17AEFE3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1,293,445</w:t>
            </w:r>
          </w:p>
        </w:tc>
      </w:tr>
      <w:tr w:rsidR="00D34D92" w:rsidRPr="009423C3" w14:paraId="23B78EA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1AF31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NTT AUSTRALIA DIGITAL PTY LTD</w:t>
            </w:r>
          </w:p>
        </w:tc>
        <w:tc>
          <w:tcPr>
            <w:tcW w:w="4896" w:type="dxa"/>
            <w:tcBorders>
              <w:top w:val="single" w:sz="4" w:space="0" w:color="FFFFFF" w:themeColor="background1"/>
              <w:bottom w:val="single" w:sz="4" w:space="0" w:color="53565A" w:themeColor="accent5"/>
            </w:tcBorders>
          </w:tcPr>
          <w:p w14:paraId="15EB8B00" w14:textId="201E41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8403ED8" w14:textId="3DE4B46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1,357,797</w:t>
            </w:r>
          </w:p>
        </w:tc>
      </w:tr>
      <w:tr w:rsidR="00D34D92" w:rsidRPr="009423C3" w14:paraId="18B1678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3E8809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NTT AUSTRALIA PTY LTD</w:t>
            </w:r>
          </w:p>
        </w:tc>
        <w:tc>
          <w:tcPr>
            <w:tcW w:w="4896" w:type="dxa"/>
            <w:tcBorders>
              <w:top w:val="single" w:sz="4" w:space="0" w:color="FFFFFF" w:themeColor="background1"/>
              <w:bottom w:val="single" w:sz="4" w:space="0" w:color="53565A" w:themeColor="accent5"/>
            </w:tcBorders>
          </w:tcPr>
          <w:p w14:paraId="199B3971" w14:textId="1B404B8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2F76A2E" w14:textId="301CA77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281,104</w:t>
            </w:r>
          </w:p>
        </w:tc>
      </w:tr>
      <w:tr w:rsidR="00D34D92" w:rsidRPr="009423C3" w14:paraId="242484F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DCEFB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NUWORKS HOLDINGS PTY LTD</w:t>
            </w:r>
          </w:p>
        </w:tc>
        <w:tc>
          <w:tcPr>
            <w:tcW w:w="4896" w:type="dxa"/>
            <w:tcBorders>
              <w:top w:val="single" w:sz="4" w:space="0" w:color="FFFFFF" w:themeColor="background1"/>
              <w:bottom w:val="single" w:sz="4" w:space="0" w:color="53565A" w:themeColor="accent5"/>
            </w:tcBorders>
          </w:tcPr>
          <w:p w14:paraId="7EE54B98" w14:textId="0E197EA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3D91F9AF" w14:textId="58CAA73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9,535</w:t>
            </w:r>
          </w:p>
        </w:tc>
      </w:tr>
      <w:tr w:rsidR="00D34D92" w:rsidRPr="009423C3" w14:paraId="5663A04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80DE22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OBOLER ANDRE SHEM</w:t>
            </w:r>
          </w:p>
        </w:tc>
        <w:tc>
          <w:tcPr>
            <w:tcW w:w="4896" w:type="dxa"/>
            <w:tcBorders>
              <w:top w:val="single" w:sz="4" w:space="0" w:color="FFFFFF" w:themeColor="background1"/>
              <w:bottom w:val="single" w:sz="4" w:space="0" w:color="53565A" w:themeColor="accent5"/>
            </w:tcBorders>
          </w:tcPr>
          <w:p w14:paraId="37A8E321" w14:textId="3FEB4B2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51E4C57" w14:textId="730AF37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13,200</w:t>
            </w:r>
          </w:p>
        </w:tc>
      </w:tr>
      <w:tr w:rsidR="00D34D92" w:rsidRPr="009423C3" w14:paraId="5E46B46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708117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ODGERS BERNDTSON</w:t>
            </w:r>
          </w:p>
        </w:tc>
        <w:tc>
          <w:tcPr>
            <w:tcW w:w="4896" w:type="dxa"/>
            <w:tcBorders>
              <w:top w:val="single" w:sz="4" w:space="0" w:color="FFFFFF" w:themeColor="background1"/>
              <w:bottom w:val="single" w:sz="4" w:space="0" w:color="53565A" w:themeColor="accent5"/>
            </w:tcBorders>
          </w:tcPr>
          <w:p w14:paraId="1B91F37F" w14:textId="3EEA785F"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DE5A21">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493701A3" w14:textId="54345A0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243,</w:t>
            </w:r>
            <w:r w:rsidRPr="00925213">
              <w:rPr>
                <w:rFonts w:ascii="Calibri" w:eastAsia="Times New Roman" w:hAnsi="Calibri" w:cs="Calibri"/>
                <w:color w:val="000000"/>
                <w:szCs w:val="20"/>
                <w:lang w:val="en-AU" w:eastAsia="en-AU"/>
              </w:rPr>
              <w:t>76</w:t>
            </w:r>
            <w:r w:rsidR="009E68CD" w:rsidRPr="00925213">
              <w:rPr>
                <w:rFonts w:ascii="Calibri" w:eastAsia="Times New Roman" w:hAnsi="Calibri" w:cs="Calibri"/>
                <w:color w:val="000000"/>
                <w:szCs w:val="20"/>
                <w:lang w:val="en-AU" w:eastAsia="en-AU"/>
              </w:rPr>
              <w:t>4</w:t>
            </w:r>
          </w:p>
        </w:tc>
      </w:tr>
      <w:tr w:rsidR="00D34D92" w:rsidRPr="009423C3" w14:paraId="01B9469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8322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OLOUGHLIN ANDREW</w:t>
            </w:r>
          </w:p>
        </w:tc>
        <w:tc>
          <w:tcPr>
            <w:tcW w:w="4896" w:type="dxa"/>
            <w:tcBorders>
              <w:top w:val="single" w:sz="4" w:space="0" w:color="FFFFFF" w:themeColor="background1"/>
              <w:bottom w:val="single" w:sz="4" w:space="0" w:color="53565A" w:themeColor="accent5"/>
            </w:tcBorders>
          </w:tcPr>
          <w:p w14:paraId="16D1DE09" w14:textId="1AA72C1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C3FAC15" w14:textId="011B66A2"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1,18</w:t>
            </w:r>
            <w:r w:rsidR="009E68CD" w:rsidRPr="00925213">
              <w:rPr>
                <w:rFonts w:ascii="Calibri" w:eastAsia="Times New Roman" w:hAnsi="Calibri" w:cs="Calibri"/>
                <w:color w:val="000000"/>
                <w:szCs w:val="20"/>
                <w:lang w:val="en-AU" w:eastAsia="en-AU"/>
              </w:rPr>
              <w:t>2</w:t>
            </w:r>
          </w:p>
        </w:tc>
      </w:tr>
      <w:tr w:rsidR="00D34D92" w:rsidRPr="009423C3" w14:paraId="504FE98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D5179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OMEO DISTRICT HEALTH</w:t>
            </w:r>
          </w:p>
        </w:tc>
        <w:tc>
          <w:tcPr>
            <w:tcW w:w="4896" w:type="dxa"/>
            <w:tcBorders>
              <w:top w:val="single" w:sz="4" w:space="0" w:color="FFFFFF" w:themeColor="background1"/>
              <w:bottom w:val="single" w:sz="4" w:space="0" w:color="53565A" w:themeColor="accent5"/>
            </w:tcBorders>
          </w:tcPr>
          <w:p w14:paraId="78F60F49" w14:textId="013A661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2B54CCC" w14:textId="3C696AC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w:t>
            </w:r>
            <w:r w:rsidRPr="00925213">
              <w:rPr>
                <w:rFonts w:ascii="Calibri" w:eastAsia="Times New Roman" w:hAnsi="Calibri" w:cs="Calibri"/>
                <w:color w:val="000000"/>
                <w:szCs w:val="20"/>
                <w:lang w:val="en-AU" w:eastAsia="en-AU"/>
              </w:rPr>
              <w:t>19</w:t>
            </w:r>
            <w:r w:rsidR="009E68CD" w:rsidRPr="00925213">
              <w:rPr>
                <w:rFonts w:ascii="Calibri" w:eastAsia="Times New Roman" w:hAnsi="Calibri" w:cs="Calibri"/>
                <w:color w:val="000000"/>
                <w:szCs w:val="20"/>
                <w:lang w:val="en-AU" w:eastAsia="en-AU"/>
              </w:rPr>
              <w:t>8</w:t>
            </w:r>
          </w:p>
        </w:tc>
      </w:tr>
      <w:tr w:rsidR="00D34D92" w:rsidRPr="009423C3" w14:paraId="21A8014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4BEBB7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ONCALL LANGUAGE SERVICES PTY LTD</w:t>
            </w:r>
          </w:p>
        </w:tc>
        <w:tc>
          <w:tcPr>
            <w:tcW w:w="4896" w:type="dxa"/>
            <w:tcBorders>
              <w:top w:val="single" w:sz="4" w:space="0" w:color="FFFFFF" w:themeColor="background1"/>
              <w:bottom w:val="single" w:sz="4" w:space="0" w:color="53565A" w:themeColor="accent5"/>
            </w:tcBorders>
          </w:tcPr>
          <w:p w14:paraId="442A420F" w14:textId="781129E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4350906" w14:textId="5744A7D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825,000</w:t>
            </w:r>
          </w:p>
        </w:tc>
      </w:tr>
      <w:tr w:rsidR="00D34D92" w:rsidRPr="009423C3" w14:paraId="043B5A5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45A8F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OPTIM LEADERSHIP CONSULTING PTY LTD</w:t>
            </w:r>
          </w:p>
        </w:tc>
        <w:tc>
          <w:tcPr>
            <w:tcW w:w="4896" w:type="dxa"/>
            <w:tcBorders>
              <w:top w:val="single" w:sz="4" w:space="0" w:color="FFFFFF" w:themeColor="background1"/>
              <w:bottom w:val="single" w:sz="4" w:space="0" w:color="53565A" w:themeColor="accent5"/>
            </w:tcBorders>
          </w:tcPr>
          <w:p w14:paraId="1C6F8045" w14:textId="2DFF15A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1F1BD6">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7C98928E" w14:textId="16F0952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80,450</w:t>
            </w:r>
          </w:p>
        </w:tc>
      </w:tr>
      <w:tr w:rsidR="00D34D92" w:rsidRPr="009423C3" w14:paraId="77D692E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05356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ORGANISATIONAL DIRECTIONS PTY LTD</w:t>
            </w:r>
          </w:p>
        </w:tc>
        <w:tc>
          <w:tcPr>
            <w:tcW w:w="4896" w:type="dxa"/>
            <w:tcBorders>
              <w:top w:val="single" w:sz="4" w:space="0" w:color="FFFFFF" w:themeColor="background1"/>
              <w:bottom w:val="single" w:sz="4" w:space="0" w:color="53565A" w:themeColor="accent5"/>
            </w:tcBorders>
          </w:tcPr>
          <w:p w14:paraId="06DDEDE3" w14:textId="2306257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1F1BD6">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0AFBC58E" w14:textId="07248B8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932,</w:t>
            </w:r>
            <w:r w:rsidRPr="00925213">
              <w:rPr>
                <w:rFonts w:ascii="Calibri" w:eastAsia="Times New Roman" w:hAnsi="Calibri" w:cs="Calibri"/>
                <w:color w:val="000000"/>
                <w:szCs w:val="20"/>
                <w:lang w:val="en-AU" w:eastAsia="en-AU"/>
              </w:rPr>
              <w:t>92</w:t>
            </w:r>
            <w:r w:rsidR="009E68CD" w:rsidRPr="00925213">
              <w:rPr>
                <w:rFonts w:ascii="Calibri" w:eastAsia="Times New Roman" w:hAnsi="Calibri" w:cs="Calibri"/>
                <w:color w:val="000000"/>
                <w:szCs w:val="20"/>
                <w:lang w:val="en-AU" w:eastAsia="en-AU"/>
              </w:rPr>
              <w:t>9</w:t>
            </w:r>
          </w:p>
        </w:tc>
      </w:tr>
      <w:tr w:rsidR="00D34D92" w:rsidRPr="009423C3" w14:paraId="1C4CF01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DCDA7B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ORIMA RESEARCH PTY LTD</w:t>
            </w:r>
          </w:p>
        </w:tc>
        <w:tc>
          <w:tcPr>
            <w:tcW w:w="4896" w:type="dxa"/>
            <w:tcBorders>
              <w:top w:val="single" w:sz="4" w:space="0" w:color="FFFFFF" w:themeColor="background1"/>
              <w:bottom w:val="single" w:sz="4" w:space="0" w:color="53565A" w:themeColor="accent5"/>
            </w:tcBorders>
          </w:tcPr>
          <w:p w14:paraId="55A7F990" w14:textId="6A98DD8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81DDA50" w14:textId="2BBC328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623,</w:t>
            </w:r>
            <w:r w:rsidRPr="00925213">
              <w:rPr>
                <w:rFonts w:ascii="Calibri" w:eastAsia="Times New Roman" w:hAnsi="Calibri" w:cs="Calibri"/>
                <w:color w:val="000000"/>
                <w:szCs w:val="20"/>
                <w:lang w:val="en-AU" w:eastAsia="en-AU"/>
              </w:rPr>
              <w:t>35</w:t>
            </w:r>
            <w:r w:rsidR="009E68CD" w:rsidRPr="00925213">
              <w:rPr>
                <w:rFonts w:ascii="Calibri" w:eastAsia="Times New Roman" w:hAnsi="Calibri" w:cs="Calibri"/>
                <w:color w:val="000000"/>
                <w:szCs w:val="20"/>
                <w:lang w:val="en-AU" w:eastAsia="en-AU"/>
              </w:rPr>
              <w:t>9</w:t>
            </w:r>
          </w:p>
        </w:tc>
      </w:tr>
      <w:tr w:rsidR="00D34D92" w:rsidRPr="009423C3" w14:paraId="60370D2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A3E26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ORYGEN</w:t>
            </w:r>
          </w:p>
        </w:tc>
        <w:tc>
          <w:tcPr>
            <w:tcW w:w="4896" w:type="dxa"/>
            <w:tcBorders>
              <w:top w:val="single" w:sz="4" w:space="0" w:color="FFFFFF" w:themeColor="background1"/>
              <w:bottom w:val="single" w:sz="4" w:space="0" w:color="53565A" w:themeColor="accent5"/>
            </w:tcBorders>
          </w:tcPr>
          <w:p w14:paraId="00312B71" w14:textId="45F3850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95C2CFE" w14:textId="2289869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70,866</w:t>
            </w:r>
          </w:p>
        </w:tc>
      </w:tr>
      <w:tr w:rsidR="00D34D92" w:rsidRPr="009423C3" w14:paraId="446E4D8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00633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OUTCOMES EDUCATION PTY LTD</w:t>
            </w:r>
          </w:p>
        </w:tc>
        <w:tc>
          <w:tcPr>
            <w:tcW w:w="4896" w:type="dxa"/>
            <w:tcBorders>
              <w:top w:val="single" w:sz="4" w:space="0" w:color="FFFFFF" w:themeColor="background1"/>
              <w:bottom w:val="single" w:sz="4" w:space="0" w:color="53565A" w:themeColor="accent5"/>
            </w:tcBorders>
          </w:tcPr>
          <w:p w14:paraId="18EB0ADA" w14:textId="2CA487D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0C0C06D2" w14:textId="7F4FD7A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64,852</w:t>
            </w:r>
          </w:p>
        </w:tc>
      </w:tr>
      <w:tr w:rsidR="00D34D92" w:rsidRPr="009423C3" w14:paraId="26A052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6A1FAF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OZ CHILD - CHILDREN AUSTRALIA</w:t>
            </w:r>
          </w:p>
        </w:tc>
        <w:tc>
          <w:tcPr>
            <w:tcW w:w="4896" w:type="dxa"/>
            <w:tcBorders>
              <w:top w:val="single" w:sz="4" w:space="0" w:color="FFFFFF" w:themeColor="background1"/>
              <w:bottom w:val="single" w:sz="4" w:space="0" w:color="53565A" w:themeColor="accent5"/>
            </w:tcBorders>
          </w:tcPr>
          <w:p w14:paraId="1F254F97" w14:textId="1113168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56B0B60" w14:textId="2D2FAB4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1,600</w:t>
            </w:r>
          </w:p>
        </w:tc>
      </w:tr>
      <w:tr w:rsidR="00D34D92" w:rsidRPr="009423C3" w14:paraId="0132077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8C65B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OZ LIT TEACHER</w:t>
            </w:r>
          </w:p>
        </w:tc>
        <w:tc>
          <w:tcPr>
            <w:tcW w:w="4896" w:type="dxa"/>
            <w:tcBorders>
              <w:top w:val="single" w:sz="4" w:space="0" w:color="FFFFFF" w:themeColor="background1"/>
              <w:bottom w:val="single" w:sz="4" w:space="0" w:color="53565A" w:themeColor="accent5"/>
            </w:tcBorders>
          </w:tcPr>
          <w:p w14:paraId="7826B335" w14:textId="5B733E4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FB5EC2A" w14:textId="6DE2E76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36,</w:t>
            </w:r>
            <w:r w:rsidRPr="00925213">
              <w:rPr>
                <w:rFonts w:ascii="Calibri" w:eastAsia="Times New Roman" w:hAnsi="Calibri" w:cs="Calibri"/>
                <w:color w:val="000000"/>
                <w:szCs w:val="20"/>
                <w:lang w:val="en-AU" w:eastAsia="en-AU"/>
              </w:rPr>
              <w:t>70</w:t>
            </w:r>
            <w:r w:rsidR="009E68CD" w:rsidRPr="00925213">
              <w:rPr>
                <w:rFonts w:ascii="Calibri" w:eastAsia="Times New Roman" w:hAnsi="Calibri" w:cs="Calibri"/>
                <w:color w:val="000000"/>
                <w:szCs w:val="20"/>
                <w:lang w:val="en-AU" w:eastAsia="en-AU"/>
              </w:rPr>
              <w:t>4</w:t>
            </w:r>
          </w:p>
        </w:tc>
      </w:tr>
      <w:tr w:rsidR="00D34D92" w:rsidRPr="009423C3" w14:paraId="79F3DC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550B9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PAN SOFTWARE PTY LTD</w:t>
            </w:r>
          </w:p>
        </w:tc>
        <w:tc>
          <w:tcPr>
            <w:tcW w:w="4896" w:type="dxa"/>
            <w:tcBorders>
              <w:top w:val="single" w:sz="4" w:space="0" w:color="FFFFFF" w:themeColor="background1"/>
              <w:bottom w:val="single" w:sz="4" w:space="0" w:color="53565A" w:themeColor="accent5"/>
            </w:tcBorders>
          </w:tcPr>
          <w:p w14:paraId="14AB6666" w14:textId="79819EC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E840656" w14:textId="082772C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642,937</w:t>
            </w:r>
          </w:p>
        </w:tc>
      </w:tr>
      <w:tr w:rsidR="00D34D92" w:rsidRPr="009423C3" w14:paraId="0DAD5C0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B580FC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PAPER GIANT PTY LTD</w:t>
            </w:r>
          </w:p>
        </w:tc>
        <w:tc>
          <w:tcPr>
            <w:tcW w:w="4896" w:type="dxa"/>
            <w:tcBorders>
              <w:top w:val="single" w:sz="4" w:space="0" w:color="FFFFFF" w:themeColor="background1"/>
              <w:bottom w:val="single" w:sz="4" w:space="0" w:color="53565A" w:themeColor="accent5"/>
            </w:tcBorders>
          </w:tcPr>
          <w:p w14:paraId="1C6224FB" w14:textId="3FB7D21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C3162EF" w14:textId="4B4EAB4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11,440</w:t>
            </w:r>
          </w:p>
        </w:tc>
      </w:tr>
      <w:tr w:rsidR="00D34D92" w:rsidRPr="009423C3" w14:paraId="72FC8EE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B0D72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PARENTING RESEARCH CENTRE INC</w:t>
            </w:r>
          </w:p>
        </w:tc>
        <w:tc>
          <w:tcPr>
            <w:tcW w:w="4896" w:type="dxa"/>
            <w:tcBorders>
              <w:top w:val="single" w:sz="4" w:space="0" w:color="FFFFFF" w:themeColor="background1"/>
              <w:bottom w:val="single" w:sz="4" w:space="0" w:color="53565A" w:themeColor="accent5"/>
            </w:tcBorders>
          </w:tcPr>
          <w:p w14:paraId="713AE61B" w14:textId="0AE99C8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7B9A8C12" w14:textId="4D6940B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24,159</w:t>
            </w:r>
          </w:p>
        </w:tc>
      </w:tr>
      <w:tr w:rsidR="00D34D92" w:rsidRPr="009423C3" w14:paraId="2387B2A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02A08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PARISFIRST PARTNERS PTY LTD</w:t>
            </w:r>
          </w:p>
        </w:tc>
        <w:tc>
          <w:tcPr>
            <w:tcW w:w="4896" w:type="dxa"/>
            <w:tcBorders>
              <w:top w:val="single" w:sz="4" w:space="0" w:color="FFFFFF" w:themeColor="background1"/>
              <w:bottom w:val="single" w:sz="4" w:space="0" w:color="53565A" w:themeColor="accent5"/>
            </w:tcBorders>
          </w:tcPr>
          <w:p w14:paraId="25D499C8" w14:textId="67451E6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681C5F7A" w14:textId="7FFCAC2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65,</w:t>
            </w:r>
            <w:r w:rsidRPr="00925213">
              <w:rPr>
                <w:rFonts w:ascii="Calibri" w:eastAsia="Times New Roman" w:hAnsi="Calibri" w:cs="Calibri"/>
                <w:color w:val="000000"/>
                <w:szCs w:val="20"/>
                <w:lang w:val="en-AU" w:eastAsia="en-AU"/>
              </w:rPr>
              <w:t>28</w:t>
            </w:r>
            <w:r w:rsidR="009E68CD" w:rsidRPr="00925213">
              <w:rPr>
                <w:rFonts w:ascii="Calibri" w:eastAsia="Times New Roman" w:hAnsi="Calibri" w:cs="Calibri"/>
                <w:color w:val="000000"/>
                <w:szCs w:val="20"/>
                <w:lang w:val="en-AU" w:eastAsia="en-AU"/>
              </w:rPr>
              <w:t>2</w:t>
            </w:r>
          </w:p>
        </w:tc>
      </w:tr>
      <w:tr w:rsidR="00D34D92" w:rsidRPr="009423C3" w14:paraId="703D129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DD504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PEARSON AUSTRALIA GROUP PTY LTD</w:t>
            </w:r>
          </w:p>
        </w:tc>
        <w:tc>
          <w:tcPr>
            <w:tcW w:w="4896" w:type="dxa"/>
            <w:tcBorders>
              <w:top w:val="single" w:sz="4" w:space="0" w:color="FFFFFF" w:themeColor="background1"/>
              <w:bottom w:val="single" w:sz="4" w:space="0" w:color="53565A" w:themeColor="accent5"/>
            </w:tcBorders>
          </w:tcPr>
          <w:p w14:paraId="705DF362" w14:textId="55B53EB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5F4EE1E6" w14:textId="5F7FC9C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2,215</w:t>
            </w:r>
          </w:p>
        </w:tc>
      </w:tr>
      <w:tr w:rsidR="00D34D92" w:rsidRPr="009423C3" w14:paraId="19D6827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1FF031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PENELOPE KALOGEROPOULOS</w:t>
            </w:r>
          </w:p>
        </w:tc>
        <w:tc>
          <w:tcPr>
            <w:tcW w:w="4896" w:type="dxa"/>
            <w:tcBorders>
              <w:top w:val="single" w:sz="4" w:space="0" w:color="FFFFFF" w:themeColor="background1"/>
              <w:bottom w:val="single" w:sz="4" w:space="0" w:color="53565A" w:themeColor="accent5"/>
            </w:tcBorders>
          </w:tcPr>
          <w:p w14:paraId="5F279533" w14:textId="628FCC5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C93B6BF" w14:textId="768EE7D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2,000</w:t>
            </w:r>
          </w:p>
        </w:tc>
      </w:tr>
      <w:tr w:rsidR="00D34D92" w:rsidRPr="009423C3" w14:paraId="579511D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5821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PENSO AGENCY PTY LTD</w:t>
            </w:r>
          </w:p>
        </w:tc>
        <w:tc>
          <w:tcPr>
            <w:tcW w:w="4896" w:type="dxa"/>
            <w:tcBorders>
              <w:top w:val="single" w:sz="4" w:space="0" w:color="FFFFFF" w:themeColor="background1"/>
              <w:bottom w:val="single" w:sz="4" w:space="0" w:color="53565A" w:themeColor="accent5"/>
            </w:tcBorders>
          </w:tcPr>
          <w:p w14:paraId="310C87B3" w14:textId="264B014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48BEB791" w14:textId="383748A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1,850</w:t>
            </w:r>
          </w:p>
        </w:tc>
      </w:tr>
      <w:tr w:rsidR="00D34D92" w:rsidRPr="009423C3" w14:paraId="7A3E29E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CDA289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PETER BERRY CONSULTANCY PTY LTD</w:t>
            </w:r>
          </w:p>
        </w:tc>
        <w:tc>
          <w:tcPr>
            <w:tcW w:w="4896" w:type="dxa"/>
            <w:tcBorders>
              <w:top w:val="single" w:sz="4" w:space="0" w:color="FFFFFF" w:themeColor="background1"/>
              <w:bottom w:val="single" w:sz="4" w:space="0" w:color="53565A" w:themeColor="accent5"/>
            </w:tcBorders>
          </w:tcPr>
          <w:p w14:paraId="28550220" w14:textId="7FDF12A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03F5F76" w14:textId="07ACA2A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18,000</w:t>
            </w:r>
          </w:p>
        </w:tc>
      </w:tr>
      <w:tr w:rsidR="00D34D92" w:rsidRPr="009423C3" w14:paraId="0A4B24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DA5C4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PETER COLLINS AND ASSOCIATES PTY LTD</w:t>
            </w:r>
          </w:p>
        </w:tc>
        <w:tc>
          <w:tcPr>
            <w:tcW w:w="4896" w:type="dxa"/>
            <w:tcBorders>
              <w:top w:val="single" w:sz="4" w:space="0" w:color="FFFFFF" w:themeColor="background1"/>
              <w:bottom w:val="single" w:sz="4" w:space="0" w:color="53565A" w:themeColor="accent5"/>
            </w:tcBorders>
          </w:tcPr>
          <w:p w14:paraId="7D1410FF" w14:textId="4A9B69A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05DCFFBA" w14:textId="6584E55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4,900</w:t>
            </w:r>
          </w:p>
        </w:tc>
      </w:tr>
      <w:tr w:rsidR="00D34D92" w:rsidRPr="009423C3" w14:paraId="7B3339C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B35B1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PETER JAMES LONEY</w:t>
            </w:r>
          </w:p>
        </w:tc>
        <w:tc>
          <w:tcPr>
            <w:tcW w:w="4896" w:type="dxa"/>
            <w:tcBorders>
              <w:top w:val="single" w:sz="4" w:space="0" w:color="FFFFFF" w:themeColor="background1"/>
              <w:bottom w:val="single" w:sz="4" w:space="0" w:color="53565A" w:themeColor="accent5"/>
            </w:tcBorders>
          </w:tcPr>
          <w:p w14:paraId="1EB9928A" w14:textId="1E0472C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037793F" w14:textId="193D804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28,125</w:t>
            </w:r>
          </w:p>
        </w:tc>
      </w:tr>
      <w:tr w:rsidR="00D34D92" w:rsidRPr="009423C3" w14:paraId="7AB5FF2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3D7E7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PETER TERNES</w:t>
            </w:r>
          </w:p>
        </w:tc>
        <w:tc>
          <w:tcPr>
            <w:tcW w:w="4896" w:type="dxa"/>
            <w:tcBorders>
              <w:top w:val="single" w:sz="4" w:space="0" w:color="FFFFFF" w:themeColor="background1"/>
              <w:bottom w:val="single" w:sz="4" w:space="0" w:color="53565A" w:themeColor="accent5"/>
            </w:tcBorders>
          </w:tcPr>
          <w:p w14:paraId="0D293AA1" w14:textId="3AB6A54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01BAEA2A" w14:textId="5837E3D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15,000</w:t>
            </w:r>
          </w:p>
        </w:tc>
      </w:tr>
      <w:tr w:rsidR="00D34D92" w:rsidRPr="009423C3" w14:paraId="51F5DDD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0AA0B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PHAM GIANG</w:t>
            </w:r>
          </w:p>
        </w:tc>
        <w:tc>
          <w:tcPr>
            <w:tcW w:w="4896" w:type="dxa"/>
            <w:tcBorders>
              <w:top w:val="single" w:sz="4" w:space="0" w:color="FFFFFF" w:themeColor="background1"/>
              <w:bottom w:val="single" w:sz="4" w:space="0" w:color="53565A" w:themeColor="accent5"/>
            </w:tcBorders>
          </w:tcPr>
          <w:p w14:paraId="39C353C8" w14:textId="3B14963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5720350" w14:textId="07E18EE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32,102</w:t>
            </w:r>
          </w:p>
        </w:tc>
      </w:tr>
      <w:tr w:rsidR="00D34D92" w:rsidRPr="009423C3" w14:paraId="4ABF705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4D644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PHYSICAL MOVEMENT</w:t>
            </w:r>
          </w:p>
        </w:tc>
        <w:tc>
          <w:tcPr>
            <w:tcW w:w="4896" w:type="dxa"/>
            <w:tcBorders>
              <w:top w:val="single" w:sz="4" w:space="0" w:color="FFFFFF" w:themeColor="background1"/>
              <w:bottom w:val="single" w:sz="4" w:space="0" w:color="53565A" w:themeColor="accent5"/>
            </w:tcBorders>
          </w:tcPr>
          <w:p w14:paraId="140C5DA5" w14:textId="2DC6D85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9714DB8" w14:textId="0D8E041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15,000</w:t>
            </w:r>
          </w:p>
        </w:tc>
      </w:tr>
      <w:tr w:rsidR="00D34D92" w:rsidRPr="009423C3" w14:paraId="4B1731F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44E9E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PIE CREATIVE AGENCY PTY LTD</w:t>
            </w:r>
          </w:p>
        </w:tc>
        <w:tc>
          <w:tcPr>
            <w:tcW w:w="4896" w:type="dxa"/>
            <w:tcBorders>
              <w:top w:val="single" w:sz="4" w:space="0" w:color="FFFFFF" w:themeColor="background1"/>
              <w:bottom w:val="single" w:sz="4" w:space="0" w:color="53565A" w:themeColor="accent5"/>
            </w:tcBorders>
          </w:tcPr>
          <w:p w14:paraId="47CD52C0" w14:textId="7C9D8C56"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2AEC6CD0" w14:textId="13DBEC0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30,235</w:t>
            </w:r>
          </w:p>
        </w:tc>
      </w:tr>
      <w:tr w:rsidR="00D34D92" w:rsidRPr="009423C3" w14:paraId="7C93D6C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3E4B8B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PINNACLE GROUP AUSTRALIA PTY LTD</w:t>
            </w:r>
          </w:p>
        </w:tc>
        <w:tc>
          <w:tcPr>
            <w:tcW w:w="4896" w:type="dxa"/>
            <w:tcBorders>
              <w:top w:val="single" w:sz="4" w:space="0" w:color="FFFFFF" w:themeColor="background1"/>
              <w:bottom w:val="single" w:sz="4" w:space="0" w:color="53565A" w:themeColor="accent5"/>
            </w:tcBorders>
          </w:tcPr>
          <w:p w14:paraId="088FBC46" w14:textId="59183C9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A6CBD">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0D3670D8" w14:textId="7C28C67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538,425</w:t>
            </w:r>
          </w:p>
        </w:tc>
      </w:tr>
      <w:tr w:rsidR="00D34D92" w:rsidRPr="009423C3" w14:paraId="61E7E3D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EA34EA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PITCHER PARTNERS CONSULTING PTY LTD</w:t>
            </w:r>
          </w:p>
        </w:tc>
        <w:tc>
          <w:tcPr>
            <w:tcW w:w="4896" w:type="dxa"/>
            <w:tcBorders>
              <w:top w:val="single" w:sz="4" w:space="0" w:color="FFFFFF" w:themeColor="background1"/>
              <w:bottom w:val="single" w:sz="4" w:space="0" w:color="53565A" w:themeColor="accent5"/>
            </w:tcBorders>
          </w:tcPr>
          <w:p w14:paraId="6A0C7B7C" w14:textId="406DE6E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tcPr>
          <w:p w14:paraId="7BEA2DB1" w14:textId="220A8BD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1,482</w:t>
            </w:r>
          </w:p>
        </w:tc>
      </w:tr>
      <w:tr w:rsidR="00D34D92" w:rsidRPr="009423C3" w14:paraId="25EBC99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81CE21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PITCHES GLENNIS</w:t>
            </w:r>
          </w:p>
        </w:tc>
        <w:tc>
          <w:tcPr>
            <w:tcW w:w="4896" w:type="dxa"/>
            <w:tcBorders>
              <w:top w:val="single" w:sz="4" w:space="0" w:color="FFFFFF" w:themeColor="background1"/>
              <w:bottom w:val="single" w:sz="4" w:space="0" w:color="53565A" w:themeColor="accent5"/>
            </w:tcBorders>
          </w:tcPr>
          <w:p w14:paraId="271B23B1" w14:textId="5CC7A32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5734F6C5" w14:textId="17365C5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30,508</w:t>
            </w:r>
          </w:p>
        </w:tc>
      </w:tr>
      <w:tr w:rsidR="00D34D92" w:rsidRPr="009423C3" w14:paraId="4867E9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1A29B5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PIVOT PROFESSIONAL LEARNING PTY LTD</w:t>
            </w:r>
          </w:p>
        </w:tc>
        <w:tc>
          <w:tcPr>
            <w:tcW w:w="4896" w:type="dxa"/>
            <w:tcBorders>
              <w:top w:val="single" w:sz="4" w:space="0" w:color="FFFFFF" w:themeColor="background1"/>
              <w:bottom w:val="single" w:sz="4" w:space="0" w:color="53565A" w:themeColor="accent5"/>
            </w:tcBorders>
          </w:tcPr>
          <w:p w14:paraId="362F77B6" w14:textId="3E81F8D3"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127C7F">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ssessment </w:t>
            </w:r>
            <w:r w:rsidR="00127C7F">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56103FAE" w14:textId="29BF691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226,451</w:t>
            </w:r>
          </w:p>
        </w:tc>
      </w:tr>
      <w:tr w:rsidR="00D34D92" w:rsidRPr="009423C3" w14:paraId="236AF3E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7F480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PIXEL PERFECT PTY LTD</w:t>
            </w:r>
          </w:p>
        </w:tc>
        <w:tc>
          <w:tcPr>
            <w:tcW w:w="4896" w:type="dxa"/>
            <w:tcBorders>
              <w:top w:val="single" w:sz="4" w:space="0" w:color="FFFFFF" w:themeColor="background1"/>
              <w:bottom w:val="single" w:sz="4" w:space="0" w:color="53565A" w:themeColor="accent5"/>
            </w:tcBorders>
          </w:tcPr>
          <w:p w14:paraId="0EFB6095" w14:textId="32C9D6C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5CB4E967" w14:textId="7696657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592,599</w:t>
            </w:r>
          </w:p>
        </w:tc>
      </w:tr>
      <w:tr w:rsidR="00D34D92" w:rsidRPr="009423C3" w14:paraId="1ADC795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1AC1F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PJ GANNON EDUCATIONAL SERVICES</w:t>
            </w:r>
          </w:p>
        </w:tc>
        <w:tc>
          <w:tcPr>
            <w:tcW w:w="4896" w:type="dxa"/>
            <w:tcBorders>
              <w:top w:val="single" w:sz="4" w:space="0" w:color="FFFFFF" w:themeColor="background1"/>
              <w:bottom w:val="single" w:sz="4" w:space="0" w:color="53565A" w:themeColor="accent5"/>
            </w:tcBorders>
          </w:tcPr>
          <w:p w14:paraId="728F5E7E" w14:textId="192CD833"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0128F21A" w14:textId="7F7F5F7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21,150</w:t>
            </w:r>
          </w:p>
        </w:tc>
      </w:tr>
      <w:tr w:rsidR="00D34D92" w:rsidRPr="009423C3" w14:paraId="0954F45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2779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PKF INTEGRITY SERVICES BMNS PTY LTD</w:t>
            </w:r>
          </w:p>
        </w:tc>
        <w:tc>
          <w:tcPr>
            <w:tcW w:w="4896" w:type="dxa"/>
            <w:tcBorders>
              <w:top w:val="single" w:sz="4" w:space="0" w:color="FFFFFF" w:themeColor="background1"/>
              <w:bottom w:val="single" w:sz="4" w:space="0" w:color="53565A" w:themeColor="accent5"/>
            </w:tcBorders>
          </w:tcPr>
          <w:p w14:paraId="607EADAA" w14:textId="681D8B9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6D94C67" w14:textId="4DCD724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17,</w:t>
            </w:r>
            <w:r w:rsidRPr="00925213">
              <w:rPr>
                <w:rFonts w:ascii="Calibri" w:eastAsia="Times New Roman" w:hAnsi="Calibri" w:cs="Calibri"/>
                <w:color w:val="000000"/>
                <w:szCs w:val="20"/>
                <w:lang w:val="en-AU" w:eastAsia="en-AU"/>
              </w:rPr>
              <w:t>18</w:t>
            </w:r>
            <w:r w:rsidR="009E68CD" w:rsidRPr="00925213">
              <w:rPr>
                <w:rFonts w:ascii="Calibri" w:eastAsia="Times New Roman" w:hAnsi="Calibri" w:cs="Calibri"/>
                <w:color w:val="000000"/>
                <w:szCs w:val="20"/>
                <w:lang w:val="en-AU" w:eastAsia="en-AU"/>
              </w:rPr>
              <w:t>8</w:t>
            </w:r>
          </w:p>
        </w:tc>
      </w:tr>
      <w:tr w:rsidR="00D34D92" w:rsidRPr="009423C3" w14:paraId="146A20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B2DACA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PLACARD PTY LTD</w:t>
            </w:r>
          </w:p>
        </w:tc>
        <w:tc>
          <w:tcPr>
            <w:tcW w:w="4896" w:type="dxa"/>
            <w:tcBorders>
              <w:top w:val="single" w:sz="4" w:space="0" w:color="FFFFFF" w:themeColor="background1"/>
              <w:bottom w:val="single" w:sz="4" w:space="0" w:color="53565A" w:themeColor="accent5"/>
            </w:tcBorders>
          </w:tcPr>
          <w:p w14:paraId="42456BB8" w14:textId="7EB8B62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C423EA4" w14:textId="50B8D60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12,571</w:t>
            </w:r>
          </w:p>
        </w:tc>
      </w:tr>
      <w:tr w:rsidR="00D34D92" w:rsidRPr="009423C3" w14:paraId="40C110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677334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PLANIT TEST MANAGEMENT SOLUTIONS PTY LTD</w:t>
            </w:r>
          </w:p>
        </w:tc>
        <w:tc>
          <w:tcPr>
            <w:tcW w:w="4896" w:type="dxa"/>
            <w:tcBorders>
              <w:top w:val="single" w:sz="4" w:space="0" w:color="FFFFFF" w:themeColor="background1"/>
              <w:bottom w:val="single" w:sz="4" w:space="0" w:color="53565A" w:themeColor="accent5"/>
            </w:tcBorders>
          </w:tcPr>
          <w:p w14:paraId="65F7EABC" w14:textId="66B723D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72F51F5C" w14:textId="6A23D3D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538,</w:t>
            </w:r>
            <w:r w:rsidRPr="00925213">
              <w:rPr>
                <w:rFonts w:ascii="Calibri" w:eastAsia="Times New Roman" w:hAnsi="Calibri" w:cs="Calibri"/>
                <w:color w:val="000000"/>
                <w:szCs w:val="20"/>
                <w:lang w:val="en-AU" w:eastAsia="en-AU"/>
              </w:rPr>
              <w:t>69</w:t>
            </w:r>
            <w:r w:rsidR="009E68CD" w:rsidRPr="00925213">
              <w:rPr>
                <w:rFonts w:ascii="Calibri" w:eastAsia="Times New Roman" w:hAnsi="Calibri" w:cs="Calibri"/>
                <w:color w:val="000000"/>
                <w:szCs w:val="20"/>
                <w:lang w:val="en-AU" w:eastAsia="en-AU"/>
              </w:rPr>
              <w:t>1</w:t>
            </w:r>
          </w:p>
        </w:tc>
      </w:tr>
      <w:tr w:rsidR="00D34D92" w:rsidRPr="009423C3" w14:paraId="52CD366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9B017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PLUCKY FRANK</w:t>
            </w:r>
          </w:p>
        </w:tc>
        <w:tc>
          <w:tcPr>
            <w:tcW w:w="4896" w:type="dxa"/>
            <w:tcBorders>
              <w:top w:val="single" w:sz="4" w:space="0" w:color="FFFFFF" w:themeColor="background1"/>
              <w:bottom w:val="single" w:sz="4" w:space="0" w:color="53565A" w:themeColor="accent5"/>
            </w:tcBorders>
          </w:tcPr>
          <w:p w14:paraId="5A93DB24" w14:textId="08EC47B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54AD4A8" w14:textId="32DF57B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7,065</w:t>
            </w:r>
          </w:p>
        </w:tc>
      </w:tr>
      <w:tr w:rsidR="00D34D92" w:rsidRPr="009423C3" w14:paraId="7782B13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ACF3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PMH EDUCATIONAL CONSULTING PTY LTD</w:t>
            </w:r>
          </w:p>
        </w:tc>
        <w:tc>
          <w:tcPr>
            <w:tcW w:w="4896" w:type="dxa"/>
            <w:tcBorders>
              <w:top w:val="single" w:sz="4" w:space="0" w:color="FFFFFF" w:themeColor="background1"/>
              <w:bottom w:val="single" w:sz="4" w:space="0" w:color="53565A" w:themeColor="accent5"/>
            </w:tcBorders>
          </w:tcPr>
          <w:p w14:paraId="77080B70" w14:textId="3A9A80B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AABAFC4" w14:textId="1D15291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21,818</w:t>
            </w:r>
          </w:p>
        </w:tc>
      </w:tr>
      <w:tr w:rsidR="00D34D92" w:rsidRPr="009423C3" w14:paraId="1C2B028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D581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POLARON LANGUAGE SERVICES PTY LTD</w:t>
            </w:r>
          </w:p>
        </w:tc>
        <w:tc>
          <w:tcPr>
            <w:tcW w:w="4896" w:type="dxa"/>
            <w:tcBorders>
              <w:top w:val="single" w:sz="4" w:space="0" w:color="FFFFFF" w:themeColor="background1"/>
              <w:bottom w:val="single" w:sz="4" w:space="0" w:color="53565A" w:themeColor="accent5"/>
            </w:tcBorders>
          </w:tcPr>
          <w:p w14:paraId="78E7CBA6" w14:textId="64358D8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6F7CA74C" w14:textId="0FF21A8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63,</w:t>
            </w:r>
            <w:r w:rsidRPr="00925213">
              <w:rPr>
                <w:rFonts w:ascii="Calibri" w:eastAsia="Times New Roman" w:hAnsi="Calibri" w:cs="Calibri"/>
                <w:color w:val="000000"/>
                <w:szCs w:val="20"/>
                <w:lang w:val="en-AU" w:eastAsia="en-AU"/>
              </w:rPr>
              <w:t>7</w:t>
            </w:r>
            <w:r w:rsidR="009E68CD" w:rsidRPr="00925213">
              <w:rPr>
                <w:rFonts w:ascii="Calibri" w:eastAsia="Times New Roman" w:hAnsi="Calibri" w:cs="Calibri"/>
                <w:color w:val="000000"/>
                <w:szCs w:val="20"/>
                <w:lang w:val="en-AU" w:eastAsia="en-AU"/>
              </w:rPr>
              <w:t>10</w:t>
            </w:r>
          </w:p>
        </w:tc>
      </w:tr>
      <w:tr w:rsidR="00D34D92" w:rsidRPr="009423C3" w14:paraId="78B36E3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90CA88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POP EDUCATION PTY LTD</w:t>
            </w:r>
          </w:p>
        </w:tc>
        <w:tc>
          <w:tcPr>
            <w:tcW w:w="4896" w:type="dxa"/>
            <w:tcBorders>
              <w:top w:val="single" w:sz="4" w:space="0" w:color="FFFFFF" w:themeColor="background1"/>
              <w:bottom w:val="single" w:sz="4" w:space="0" w:color="53565A" w:themeColor="accent5"/>
            </w:tcBorders>
          </w:tcPr>
          <w:p w14:paraId="35A9C7FD" w14:textId="2FDD71F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D6A0E4D" w14:textId="1F793A4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111,715</w:t>
            </w:r>
          </w:p>
        </w:tc>
      </w:tr>
      <w:tr w:rsidR="00D34D92" w:rsidRPr="009423C3" w14:paraId="6DC1753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97664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POPE KEVIN WAYNE</w:t>
            </w:r>
          </w:p>
        </w:tc>
        <w:tc>
          <w:tcPr>
            <w:tcW w:w="4896" w:type="dxa"/>
            <w:tcBorders>
              <w:top w:val="single" w:sz="4" w:space="0" w:color="FFFFFF" w:themeColor="background1"/>
              <w:bottom w:val="single" w:sz="4" w:space="0" w:color="53565A" w:themeColor="accent5"/>
            </w:tcBorders>
          </w:tcPr>
          <w:p w14:paraId="493BA435" w14:textId="1CFD6E7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0176D1C" w14:textId="36F0A3E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19,708</w:t>
            </w:r>
          </w:p>
        </w:tc>
      </w:tr>
      <w:tr w:rsidR="00D34D92" w:rsidRPr="009423C3" w14:paraId="09D77DB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BA484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POSITIVE INTERACTION</w:t>
            </w:r>
          </w:p>
        </w:tc>
        <w:tc>
          <w:tcPr>
            <w:tcW w:w="4896" w:type="dxa"/>
            <w:tcBorders>
              <w:top w:val="single" w:sz="4" w:space="0" w:color="FFFFFF" w:themeColor="background1"/>
              <w:bottom w:val="single" w:sz="4" w:space="0" w:color="53565A" w:themeColor="accent5"/>
            </w:tcBorders>
          </w:tcPr>
          <w:p w14:paraId="52736CFC" w14:textId="1488ABC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128EB4C" w14:textId="0B89BF2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11,000</w:t>
            </w:r>
          </w:p>
        </w:tc>
      </w:tr>
      <w:tr w:rsidR="00D34D92" w:rsidRPr="009423C3" w14:paraId="5B9460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FF2E7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POSSIBILITY TO REALITY PTY LTD</w:t>
            </w:r>
          </w:p>
        </w:tc>
        <w:tc>
          <w:tcPr>
            <w:tcW w:w="4896" w:type="dxa"/>
            <w:tcBorders>
              <w:top w:val="single" w:sz="4" w:space="0" w:color="FFFFFF" w:themeColor="background1"/>
              <w:bottom w:val="single" w:sz="4" w:space="0" w:color="53565A" w:themeColor="accent5"/>
            </w:tcBorders>
          </w:tcPr>
          <w:p w14:paraId="1AA6B2FF" w14:textId="64C7BF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28057B">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082DAEB7" w14:textId="6FC9B57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4,44</w:t>
            </w:r>
            <w:r w:rsidR="009E68CD" w:rsidRPr="00925213">
              <w:rPr>
                <w:rFonts w:ascii="Calibri" w:eastAsia="Times New Roman" w:hAnsi="Calibri" w:cs="Calibri"/>
                <w:color w:val="000000"/>
                <w:szCs w:val="20"/>
                <w:lang w:val="en-AU" w:eastAsia="en-AU"/>
              </w:rPr>
              <w:t>5</w:t>
            </w:r>
          </w:p>
        </w:tc>
      </w:tr>
      <w:tr w:rsidR="00D34D92" w:rsidRPr="009423C3" w14:paraId="56D827A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63F17D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PRENSA PTY LTD</w:t>
            </w:r>
          </w:p>
        </w:tc>
        <w:tc>
          <w:tcPr>
            <w:tcW w:w="4896" w:type="dxa"/>
            <w:tcBorders>
              <w:top w:val="single" w:sz="4" w:space="0" w:color="FFFFFF" w:themeColor="background1"/>
              <w:bottom w:val="single" w:sz="4" w:space="0" w:color="53565A" w:themeColor="accent5"/>
            </w:tcBorders>
          </w:tcPr>
          <w:p w14:paraId="1D820027" w14:textId="283B9A1A" w:rsidR="00D34D92" w:rsidRPr="008457E1" w:rsidRDefault="0048231C"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Utilities, infrastructure/sustainability, </w:t>
            </w:r>
            <w:proofErr w:type="gramStart"/>
            <w:r>
              <w:rPr>
                <w:rFonts w:ascii="Calibri" w:eastAsia="Times New Roman" w:hAnsi="Calibri" w:cs="Calibri"/>
                <w:color w:val="000000"/>
                <w:szCs w:val="20"/>
                <w:lang w:val="en-AU" w:eastAsia="en-AU"/>
              </w:rPr>
              <w:t>transport</w:t>
            </w:r>
            <w:proofErr w:type="gramEnd"/>
            <w:r>
              <w:rPr>
                <w:rFonts w:ascii="Calibri" w:eastAsia="Times New Roman" w:hAnsi="Calibri" w:cs="Calibri"/>
                <w:color w:val="000000"/>
                <w:szCs w:val="20"/>
                <w:lang w:val="en-AU" w:eastAsia="en-AU"/>
              </w:rPr>
              <w:t xml:space="preserve"> and project management services</w:t>
            </w:r>
          </w:p>
        </w:tc>
        <w:tc>
          <w:tcPr>
            <w:tcW w:w="1417" w:type="dxa"/>
            <w:tcBorders>
              <w:top w:val="single" w:sz="4" w:space="0" w:color="FFFFFF" w:themeColor="background1"/>
              <w:bottom w:val="single" w:sz="4" w:space="0" w:color="53565A" w:themeColor="accent5"/>
            </w:tcBorders>
            <w:shd w:val="clear" w:color="auto" w:fill="auto"/>
          </w:tcPr>
          <w:p w14:paraId="1F4C8D5F" w14:textId="4008568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17,</w:t>
            </w:r>
            <w:r w:rsidRPr="00925213">
              <w:rPr>
                <w:rFonts w:ascii="Calibri" w:eastAsia="Times New Roman" w:hAnsi="Calibri" w:cs="Calibri"/>
                <w:color w:val="000000"/>
                <w:szCs w:val="20"/>
                <w:lang w:val="en-AU" w:eastAsia="en-AU"/>
              </w:rPr>
              <w:t>31</w:t>
            </w:r>
            <w:r w:rsidR="009E68CD" w:rsidRPr="00925213">
              <w:rPr>
                <w:rFonts w:ascii="Calibri" w:eastAsia="Times New Roman" w:hAnsi="Calibri" w:cs="Calibri"/>
                <w:color w:val="000000"/>
                <w:szCs w:val="20"/>
                <w:lang w:val="en-AU" w:eastAsia="en-AU"/>
              </w:rPr>
              <w:t>3</w:t>
            </w:r>
          </w:p>
        </w:tc>
      </w:tr>
      <w:tr w:rsidR="00D34D92" w:rsidRPr="009423C3" w14:paraId="5E1C6B9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7585E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PRICEWATERHOUSE COOPERS</w:t>
            </w:r>
          </w:p>
        </w:tc>
        <w:tc>
          <w:tcPr>
            <w:tcW w:w="4896" w:type="dxa"/>
            <w:tcBorders>
              <w:top w:val="single" w:sz="4" w:space="0" w:color="FFFFFF" w:themeColor="background1"/>
              <w:bottom w:val="single" w:sz="4" w:space="0" w:color="53565A" w:themeColor="accent5"/>
            </w:tcBorders>
          </w:tcPr>
          <w:p w14:paraId="609F127C" w14:textId="7D2F41C7"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tcPr>
          <w:p w14:paraId="51950CE4" w14:textId="221DD77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116,112</w:t>
            </w:r>
          </w:p>
        </w:tc>
      </w:tr>
      <w:tr w:rsidR="00D34D92" w:rsidRPr="009423C3" w14:paraId="1AFEDB2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358FE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PRICEWATERHOUSECOOPERS CONSULTING AUSTRALIA PTY LIMITED</w:t>
            </w:r>
          </w:p>
        </w:tc>
        <w:tc>
          <w:tcPr>
            <w:tcW w:w="4896" w:type="dxa"/>
            <w:tcBorders>
              <w:top w:val="single" w:sz="4" w:space="0" w:color="FFFFFF" w:themeColor="background1"/>
              <w:bottom w:val="single" w:sz="4" w:space="0" w:color="53565A" w:themeColor="accent5"/>
            </w:tcBorders>
          </w:tcPr>
          <w:p w14:paraId="0838162D" w14:textId="009810D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Financial, accounting, audit, taxation, risk management, insurance service</w:t>
            </w:r>
          </w:p>
        </w:tc>
        <w:tc>
          <w:tcPr>
            <w:tcW w:w="1417" w:type="dxa"/>
            <w:tcBorders>
              <w:top w:val="single" w:sz="4" w:space="0" w:color="FFFFFF" w:themeColor="background1"/>
              <w:bottom w:val="single" w:sz="4" w:space="0" w:color="53565A" w:themeColor="accent5"/>
            </w:tcBorders>
            <w:shd w:val="clear" w:color="auto" w:fill="auto"/>
          </w:tcPr>
          <w:p w14:paraId="6AB7748B" w14:textId="1FA5196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138,</w:t>
            </w:r>
            <w:r w:rsidRPr="00925213">
              <w:rPr>
                <w:rFonts w:ascii="Calibri" w:eastAsia="Times New Roman" w:hAnsi="Calibri" w:cs="Calibri"/>
                <w:color w:val="000000"/>
                <w:szCs w:val="20"/>
                <w:lang w:val="en-AU" w:eastAsia="en-AU"/>
              </w:rPr>
              <w:t>7</w:t>
            </w:r>
            <w:r w:rsidR="009E68CD" w:rsidRPr="00925213">
              <w:rPr>
                <w:rFonts w:ascii="Calibri" w:eastAsia="Times New Roman" w:hAnsi="Calibri" w:cs="Calibri"/>
                <w:color w:val="000000"/>
                <w:szCs w:val="20"/>
                <w:lang w:val="en-AU" w:eastAsia="en-AU"/>
              </w:rPr>
              <w:t>90</w:t>
            </w:r>
          </w:p>
        </w:tc>
      </w:tr>
      <w:tr w:rsidR="00D34D92" w:rsidRPr="009423C3" w14:paraId="44E1E67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2B2FA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PROCESS CONSULTING AND FACILITATING</w:t>
            </w:r>
          </w:p>
        </w:tc>
        <w:tc>
          <w:tcPr>
            <w:tcW w:w="4896" w:type="dxa"/>
            <w:tcBorders>
              <w:top w:val="single" w:sz="4" w:space="0" w:color="FFFFFF" w:themeColor="background1"/>
              <w:bottom w:val="single" w:sz="4" w:space="0" w:color="53565A" w:themeColor="accent5"/>
            </w:tcBorders>
          </w:tcPr>
          <w:p w14:paraId="19CFFF80" w14:textId="5E74554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5B897F34" w14:textId="632380C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5,294</w:t>
            </w:r>
          </w:p>
        </w:tc>
      </w:tr>
      <w:tr w:rsidR="00D34D92" w:rsidRPr="009423C3" w14:paraId="2E7D88A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52AD9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PROFILE SPEAKERS</w:t>
            </w:r>
          </w:p>
        </w:tc>
        <w:tc>
          <w:tcPr>
            <w:tcW w:w="4896" w:type="dxa"/>
            <w:tcBorders>
              <w:top w:val="single" w:sz="4" w:space="0" w:color="FFFFFF" w:themeColor="background1"/>
              <w:bottom w:val="single" w:sz="4" w:space="0" w:color="53565A" w:themeColor="accent5"/>
            </w:tcBorders>
          </w:tcPr>
          <w:p w14:paraId="63DA04DE" w14:textId="42311EB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3DF9AD63" w14:textId="787054F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12,545</w:t>
            </w:r>
          </w:p>
        </w:tc>
      </w:tr>
      <w:tr w:rsidR="00D34D92" w:rsidRPr="009423C3" w14:paraId="5A5A322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0F058C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PROJECT EVOKE PTY LTD</w:t>
            </w:r>
          </w:p>
        </w:tc>
        <w:tc>
          <w:tcPr>
            <w:tcW w:w="4896" w:type="dxa"/>
            <w:tcBorders>
              <w:top w:val="single" w:sz="4" w:space="0" w:color="FFFFFF" w:themeColor="background1"/>
              <w:bottom w:val="single" w:sz="4" w:space="0" w:color="53565A" w:themeColor="accent5"/>
            </w:tcBorders>
          </w:tcPr>
          <w:p w14:paraId="3F8A38D6" w14:textId="69081A92" w:rsidR="00D34D92" w:rsidRPr="008457E1" w:rsidRDefault="0048231C"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Utilities, infrastructure/sustainability, </w:t>
            </w:r>
            <w:proofErr w:type="gramStart"/>
            <w:r>
              <w:rPr>
                <w:rFonts w:ascii="Calibri" w:eastAsia="Times New Roman" w:hAnsi="Calibri" w:cs="Calibri"/>
                <w:color w:val="000000"/>
                <w:szCs w:val="20"/>
                <w:lang w:val="en-AU" w:eastAsia="en-AU"/>
              </w:rPr>
              <w:t>transport</w:t>
            </w:r>
            <w:proofErr w:type="gramEnd"/>
            <w:r>
              <w:rPr>
                <w:rFonts w:ascii="Calibri" w:eastAsia="Times New Roman" w:hAnsi="Calibri" w:cs="Calibri"/>
                <w:color w:val="000000"/>
                <w:szCs w:val="20"/>
                <w:lang w:val="en-AU" w:eastAsia="en-AU"/>
              </w:rPr>
              <w:t xml:space="preserve"> and project management services</w:t>
            </w:r>
          </w:p>
        </w:tc>
        <w:tc>
          <w:tcPr>
            <w:tcW w:w="1417" w:type="dxa"/>
            <w:tcBorders>
              <w:top w:val="single" w:sz="4" w:space="0" w:color="FFFFFF" w:themeColor="background1"/>
              <w:bottom w:val="single" w:sz="4" w:space="0" w:color="53565A" w:themeColor="accent5"/>
            </w:tcBorders>
            <w:shd w:val="clear" w:color="auto" w:fill="auto"/>
          </w:tcPr>
          <w:p w14:paraId="34B33738" w14:textId="0751AF8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124,650</w:t>
            </w:r>
          </w:p>
        </w:tc>
      </w:tr>
      <w:tr w:rsidR="00D34D92" w:rsidRPr="009423C3" w14:paraId="674FD28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1425DE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PROSSER SUSANNE</w:t>
            </w:r>
          </w:p>
        </w:tc>
        <w:tc>
          <w:tcPr>
            <w:tcW w:w="4896" w:type="dxa"/>
            <w:tcBorders>
              <w:top w:val="single" w:sz="4" w:space="0" w:color="FFFFFF" w:themeColor="background1"/>
              <w:bottom w:val="single" w:sz="4" w:space="0" w:color="53565A" w:themeColor="accent5"/>
            </w:tcBorders>
          </w:tcPr>
          <w:p w14:paraId="7A19440D" w14:textId="6BF19EE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36549E76" w14:textId="455459C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w:t>
            </w:r>
            <w:r w:rsidRPr="00925213">
              <w:rPr>
                <w:rFonts w:ascii="Calibri" w:eastAsia="Times New Roman" w:hAnsi="Calibri" w:cs="Calibri"/>
                <w:color w:val="000000"/>
                <w:szCs w:val="20"/>
                <w:lang w:val="en-AU" w:eastAsia="en-AU"/>
              </w:rPr>
              <w:t>09</w:t>
            </w:r>
            <w:r w:rsidR="009E68CD" w:rsidRPr="00925213">
              <w:rPr>
                <w:rFonts w:ascii="Calibri" w:eastAsia="Times New Roman" w:hAnsi="Calibri" w:cs="Calibri"/>
                <w:color w:val="000000"/>
                <w:szCs w:val="20"/>
                <w:lang w:val="en-AU" w:eastAsia="en-AU"/>
              </w:rPr>
              <w:t>1</w:t>
            </w:r>
          </w:p>
        </w:tc>
      </w:tr>
      <w:tr w:rsidR="00D34D92" w:rsidRPr="009423C3" w14:paraId="0E87909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4C980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PROTIVITI PTY LIMITED</w:t>
            </w:r>
          </w:p>
        </w:tc>
        <w:tc>
          <w:tcPr>
            <w:tcW w:w="4896" w:type="dxa"/>
            <w:tcBorders>
              <w:top w:val="single" w:sz="4" w:space="0" w:color="FFFFFF" w:themeColor="background1"/>
              <w:bottom w:val="single" w:sz="4" w:space="0" w:color="53565A" w:themeColor="accent5"/>
            </w:tcBorders>
          </w:tcPr>
          <w:p w14:paraId="217213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Strategic Services and Advice for Audit, Fraud and Procurement</w:t>
            </w:r>
          </w:p>
        </w:tc>
        <w:tc>
          <w:tcPr>
            <w:tcW w:w="1417" w:type="dxa"/>
            <w:tcBorders>
              <w:top w:val="single" w:sz="4" w:space="0" w:color="FFFFFF" w:themeColor="background1"/>
              <w:bottom w:val="single" w:sz="4" w:space="0" w:color="53565A" w:themeColor="accent5"/>
            </w:tcBorders>
            <w:shd w:val="clear" w:color="auto" w:fill="auto"/>
          </w:tcPr>
          <w:p w14:paraId="305380F9" w14:textId="43FB31C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56,</w:t>
            </w:r>
            <w:r w:rsidRPr="00925213">
              <w:rPr>
                <w:rFonts w:ascii="Calibri" w:eastAsia="Times New Roman" w:hAnsi="Calibri" w:cs="Calibri"/>
                <w:color w:val="000000"/>
                <w:szCs w:val="20"/>
                <w:lang w:val="en-AU" w:eastAsia="en-AU"/>
              </w:rPr>
              <w:t>68</w:t>
            </w:r>
            <w:r w:rsidR="009E68CD" w:rsidRPr="00925213">
              <w:rPr>
                <w:rFonts w:ascii="Calibri" w:eastAsia="Times New Roman" w:hAnsi="Calibri" w:cs="Calibri"/>
                <w:color w:val="000000"/>
                <w:szCs w:val="20"/>
                <w:lang w:val="en-AU" w:eastAsia="en-AU"/>
              </w:rPr>
              <w:t>5</w:t>
            </w:r>
          </w:p>
        </w:tc>
      </w:tr>
      <w:tr w:rsidR="00D34D92" w:rsidRPr="009423C3" w14:paraId="409A722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C303A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PROXIMITY ADVISORY SERVICES PTY LTD</w:t>
            </w:r>
          </w:p>
        </w:tc>
        <w:tc>
          <w:tcPr>
            <w:tcW w:w="4896" w:type="dxa"/>
            <w:tcBorders>
              <w:top w:val="single" w:sz="4" w:space="0" w:color="FFFFFF" w:themeColor="background1"/>
              <w:bottom w:val="single" w:sz="4" w:space="0" w:color="53565A" w:themeColor="accent5"/>
            </w:tcBorders>
          </w:tcPr>
          <w:p w14:paraId="316F7E0D" w14:textId="34F215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D43798A" w14:textId="4E63836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112,500</w:t>
            </w:r>
          </w:p>
        </w:tc>
      </w:tr>
      <w:tr w:rsidR="00D34D92" w:rsidRPr="009423C3" w14:paraId="3FE36E3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01B40C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PTR CONSULTING</w:t>
            </w:r>
          </w:p>
        </w:tc>
        <w:tc>
          <w:tcPr>
            <w:tcW w:w="4896" w:type="dxa"/>
            <w:tcBorders>
              <w:top w:val="single" w:sz="4" w:space="0" w:color="FFFFFF" w:themeColor="background1"/>
              <w:bottom w:val="single" w:sz="4" w:space="0" w:color="53565A" w:themeColor="accent5"/>
            </w:tcBorders>
          </w:tcPr>
          <w:p w14:paraId="308FF120" w14:textId="56825CA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D221745" w14:textId="19DE80A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36,250</w:t>
            </w:r>
          </w:p>
        </w:tc>
      </w:tr>
      <w:tr w:rsidR="00D34D92" w:rsidRPr="009423C3" w14:paraId="4696B8F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08C82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QDOS RESEARCH PTY LTD</w:t>
            </w:r>
          </w:p>
        </w:tc>
        <w:tc>
          <w:tcPr>
            <w:tcW w:w="4896" w:type="dxa"/>
            <w:tcBorders>
              <w:top w:val="single" w:sz="4" w:space="0" w:color="FFFFFF" w:themeColor="background1"/>
              <w:bottom w:val="single" w:sz="4" w:space="0" w:color="53565A" w:themeColor="accent5"/>
            </w:tcBorders>
          </w:tcPr>
          <w:p w14:paraId="52F3E154" w14:textId="0DEB3F7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022C5D">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711826D5" w14:textId="11352C7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73,550</w:t>
            </w:r>
          </w:p>
        </w:tc>
      </w:tr>
      <w:tr w:rsidR="00D34D92" w:rsidRPr="009423C3" w14:paraId="297259A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435B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QUINN JAMES LIAM</w:t>
            </w:r>
          </w:p>
        </w:tc>
        <w:tc>
          <w:tcPr>
            <w:tcW w:w="4896" w:type="dxa"/>
            <w:tcBorders>
              <w:top w:val="single" w:sz="4" w:space="0" w:color="FFFFFF" w:themeColor="background1"/>
              <w:bottom w:val="single" w:sz="4" w:space="0" w:color="53565A" w:themeColor="accent5"/>
            </w:tcBorders>
          </w:tcPr>
          <w:p w14:paraId="7629D49B" w14:textId="7B20B24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DCE2BC7" w14:textId="6B4EBC8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3,500</w:t>
            </w:r>
          </w:p>
        </w:tc>
      </w:tr>
      <w:tr w:rsidR="00D34D92" w:rsidRPr="009423C3" w14:paraId="1E01890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E6CFF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 AND P MARTIN</w:t>
            </w:r>
          </w:p>
        </w:tc>
        <w:tc>
          <w:tcPr>
            <w:tcW w:w="4896" w:type="dxa"/>
            <w:tcBorders>
              <w:top w:val="single" w:sz="4" w:space="0" w:color="FFFFFF" w:themeColor="background1"/>
              <w:bottom w:val="single" w:sz="4" w:space="0" w:color="53565A" w:themeColor="accent5"/>
            </w:tcBorders>
          </w:tcPr>
          <w:p w14:paraId="0BC3E35C" w14:textId="203864C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022C5D">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74F60A99" w14:textId="347ED9A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25,287</w:t>
            </w:r>
          </w:p>
        </w:tc>
      </w:tr>
      <w:tr w:rsidR="00D34D92" w:rsidRPr="009423C3" w14:paraId="24D529D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F32F6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RAINBOW ENTERPRISES (AUSTRALIA) PTY LTD</w:t>
            </w:r>
          </w:p>
        </w:tc>
        <w:tc>
          <w:tcPr>
            <w:tcW w:w="4896" w:type="dxa"/>
            <w:tcBorders>
              <w:top w:val="single" w:sz="4" w:space="0" w:color="FFFFFF" w:themeColor="background1"/>
              <w:bottom w:val="single" w:sz="4" w:space="0" w:color="53565A" w:themeColor="accent5"/>
            </w:tcBorders>
          </w:tcPr>
          <w:p w14:paraId="7B6E7C66" w14:textId="4689574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8A74A2B" w14:textId="7CD94F0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41,010</w:t>
            </w:r>
          </w:p>
        </w:tc>
      </w:tr>
      <w:tr w:rsidR="00D34D92" w:rsidRPr="009423C3" w14:paraId="3340845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0B3DFC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RAMUS DENISE ELLEN</w:t>
            </w:r>
          </w:p>
        </w:tc>
        <w:tc>
          <w:tcPr>
            <w:tcW w:w="4896" w:type="dxa"/>
            <w:tcBorders>
              <w:top w:val="single" w:sz="4" w:space="0" w:color="FFFFFF" w:themeColor="background1"/>
              <w:bottom w:val="single" w:sz="4" w:space="0" w:color="53565A" w:themeColor="accent5"/>
            </w:tcBorders>
          </w:tcPr>
          <w:p w14:paraId="2F9B81C6" w14:textId="0A71E0A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BCE452B" w14:textId="103657B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24,204</w:t>
            </w:r>
          </w:p>
        </w:tc>
      </w:tr>
      <w:tr w:rsidR="00D34D92" w:rsidRPr="009423C3" w14:paraId="005F258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D2127D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RANDSTAD PTY LIMITED</w:t>
            </w:r>
          </w:p>
        </w:tc>
        <w:tc>
          <w:tcPr>
            <w:tcW w:w="4896" w:type="dxa"/>
            <w:tcBorders>
              <w:top w:val="single" w:sz="4" w:space="0" w:color="FFFFFF" w:themeColor="background1"/>
              <w:bottom w:val="single" w:sz="4" w:space="0" w:color="53565A" w:themeColor="accent5"/>
            </w:tcBorders>
          </w:tcPr>
          <w:p w14:paraId="0C01313B" w14:textId="2BF97023"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tcPr>
          <w:p w14:paraId="24CA4FAB" w14:textId="0308AE4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5,413,249</w:t>
            </w:r>
          </w:p>
        </w:tc>
      </w:tr>
      <w:tr w:rsidR="00D34D92" w:rsidRPr="009423C3" w14:paraId="54D39B2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3017D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RANGER SHARON</w:t>
            </w:r>
          </w:p>
        </w:tc>
        <w:tc>
          <w:tcPr>
            <w:tcW w:w="4896" w:type="dxa"/>
            <w:tcBorders>
              <w:top w:val="single" w:sz="4" w:space="0" w:color="FFFFFF" w:themeColor="background1"/>
              <w:bottom w:val="single" w:sz="4" w:space="0" w:color="53565A" w:themeColor="accent5"/>
            </w:tcBorders>
          </w:tcPr>
          <w:p w14:paraId="190F84DA" w14:textId="3D1B1665"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036856B9" w14:textId="63205F6C"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9,58</w:t>
            </w:r>
            <w:r w:rsidR="009E68CD" w:rsidRPr="00925213">
              <w:rPr>
                <w:rFonts w:ascii="Calibri" w:eastAsia="Times New Roman" w:hAnsi="Calibri" w:cs="Calibri"/>
                <w:color w:val="000000"/>
                <w:szCs w:val="20"/>
                <w:lang w:val="en-AU" w:eastAsia="en-AU"/>
              </w:rPr>
              <w:t>6</w:t>
            </w:r>
          </w:p>
        </w:tc>
      </w:tr>
      <w:tr w:rsidR="00D34D92" w:rsidRPr="009423C3" w14:paraId="4420EB3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F4C80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RAYMUND FRANCES FLANAGAN</w:t>
            </w:r>
          </w:p>
        </w:tc>
        <w:tc>
          <w:tcPr>
            <w:tcW w:w="4896" w:type="dxa"/>
            <w:tcBorders>
              <w:top w:val="single" w:sz="4" w:space="0" w:color="FFFFFF" w:themeColor="background1"/>
              <w:bottom w:val="single" w:sz="4" w:space="0" w:color="53565A" w:themeColor="accent5"/>
            </w:tcBorders>
          </w:tcPr>
          <w:p w14:paraId="4DAA23E9" w14:textId="79D679F3"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FC70E2">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ssessment </w:t>
            </w:r>
            <w:r w:rsidR="00FC70E2">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13306F0C" w14:textId="23D8B13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35,860</w:t>
            </w:r>
          </w:p>
        </w:tc>
      </w:tr>
      <w:tr w:rsidR="00D34D92" w:rsidRPr="009423C3" w14:paraId="33E5F45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EB636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REAL BUSINESS PTY LTD</w:t>
            </w:r>
          </w:p>
        </w:tc>
        <w:tc>
          <w:tcPr>
            <w:tcW w:w="4896" w:type="dxa"/>
            <w:tcBorders>
              <w:top w:val="single" w:sz="4" w:space="0" w:color="FFFFFF" w:themeColor="background1"/>
              <w:bottom w:val="single" w:sz="4" w:space="0" w:color="53565A" w:themeColor="accent5"/>
            </w:tcBorders>
          </w:tcPr>
          <w:p w14:paraId="0A50835E" w14:textId="7233784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4DCC5BAE" w14:textId="6C92D73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1,650</w:t>
            </w:r>
          </w:p>
        </w:tc>
      </w:tr>
      <w:tr w:rsidR="00D34D92" w:rsidRPr="009423C3" w14:paraId="1CE9A94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DB3DB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RED PONY PTY LTD</w:t>
            </w:r>
          </w:p>
        </w:tc>
        <w:tc>
          <w:tcPr>
            <w:tcW w:w="4896" w:type="dxa"/>
            <w:tcBorders>
              <w:top w:val="single" w:sz="4" w:space="0" w:color="FFFFFF" w:themeColor="background1"/>
              <w:bottom w:val="single" w:sz="4" w:space="0" w:color="53565A" w:themeColor="accent5"/>
            </w:tcBorders>
          </w:tcPr>
          <w:p w14:paraId="50DB7158" w14:textId="0A773FE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0D980AF9" w14:textId="665A21B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18,340</w:t>
            </w:r>
          </w:p>
        </w:tc>
      </w:tr>
      <w:tr w:rsidR="00D34D92" w:rsidRPr="009423C3" w14:paraId="047DCB6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10EDA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REEVE LINDSAY</w:t>
            </w:r>
          </w:p>
        </w:tc>
        <w:tc>
          <w:tcPr>
            <w:tcW w:w="4896" w:type="dxa"/>
            <w:tcBorders>
              <w:top w:val="single" w:sz="4" w:space="0" w:color="FFFFFF" w:themeColor="background1"/>
              <w:bottom w:val="single" w:sz="4" w:space="0" w:color="53565A" w:themeColor="accent5"/>
            </w:tcBorders>
          </w:tcPr>
          <w:p w14:paraId="637AE59B" w14:textId="7F1F061C"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7CC74A64" w14:textId="3517D27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16,098</w:t>
            </w:r>
          </w:p>
        </w:tc>
      </w:tr>
      <w:tr w:rsidR="00D34D92" w:rsidRPr="009423C3" w14:paraId="2A692CA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F1DA0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REFLECT-ED PTY LTD</w:t>
            </w:r>
          </w:p>
        </w:tc>
        <w:tc>
          <w:tcPr>
            <w:tcW w:w="4896" w:type="dxa"/>
            <w:tcBorders>
              <w:top w:val="single" w:sz="4" w:space="0" w:color="FFFFFF" w:themeColor="background1"/>
              <w:bottom w:val="single" w:sz="4" w:space="0" w:color="53565A" w:themeColor="accent5"/>
            </w:tcBorders>
          </w:tcPr>
          <w:p w14:paraId="2147338A" w14:textId="27DE7E3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390F08D" w14:textId="456B0AB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12,670</w:t>
            </w:r>
          </w:p>
        </w:tc>
      </w:tr>
      <w:tr w:rsidR="00D34D92" w:rsidRPr="009423C3" w14:paraId="05B5918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E233C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REGULATORY IMPACT SOLUTIONS PTY. LTD.</w:t>
            </w:r>
          </w:p>
        </w:tc>
        <w:tc>
          <w:tcPr>
            <w:tcW w:w="4896" w:type="dxa"/>
            <w:tcBorders>
              <w:top w:val="single" w:sz="4" w:space="0" w:color="FFFFFF" w:themeColor="background1"/>
              <w:bottom w:val="single" w:sz="4" w:space="0" w:color="53565A" w:themeColor="accent5"/>
            </w:tcBorders>
          </w:tcPr>
          <w:p w14:paraId="43E8DC24" w14:textId="37C865B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752272B" w14:textId="18C3326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25,</w:t>
            </w:r>
            <w:r w:rsidRPr="00925213">
              <w:rPr>
                <w:rFonts w:ascii="Calibri" w:eastAsia="Times New Roman" w:hAnsi="Calibri" w:cs="Calibri"/>
                <w:color w:val="000000"/>
                <w:szCs w:val="20"/>
                <w:lang w:val="en-AU" w:eastAsia="en-AU"/>
              </w:rPr>
              <w:t>45</w:t>
            </w:r>
            <w:r w:rsidR="009E68CD" w:rsidRPr="00925213">
              <w:rPr>
                <w:rFonts w:ascii="Calibri" w:eastAsia="Times New Roman" w:hAnsi="Calibri" w:cs="Calibri"/>
                <w:color w:val="000000"/>
                <w:szCs w:val="20"/>
                <w:lang w:val="en-AU" w:eastAsia="en-AU"/>
              </w:rPr>
              <w:t>5</w:t>
            </w:r>
          </w:p>
        </w:tc>
      </w:tr>
      <w:tr w:rsidR="00D34D92" w:rsidRPr="009423C3" w14:paraId="3EB3335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19C0FD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REID CLAIRE LOUISE BEAUMONT</w:t>
            </w:r>
          </w:p>
        </w:tc>
        <w:tc>
          <w:tcPr>
            <w:tcW w:w="4896" w:type="dxa"/>
            <w:tcBorders>
              <w:top w:val="single" w:sz="4" w:space="0" w:color="FFFFFF" w:themeColor="background1"/>
              <w:bottom w:val="single" w:sz="4" w:space="0" w:color="53565A" w:themeColor="accent5"/>
            </w:tcBorders>
          </w:tcPr>
          <w:p w14:paraId="7B19000C" w14:textId="01E03D7E"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0923D51B" w14:textId="73ED7F8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5,400</w:t>
            </w:r>
          </w:p>
        </w:tc>
      </w:tr>
      <w:tr w:rsidR="00D34D92" w:rsidRPr="009423C3" w14:paraId="7BC798E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BC4815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RENAISSANCE PSYCHOLOGY AND CONSULTANCY PTY LTD</w:t>
            </w:r>
          </w:p>
        </w:tc>
        <w:tc>
          <w:tcPr>
            <w:tcW w:w="4896" w:type="dxa"/>
            <w:tcBorders>
              <w:top w:val="single" w:sz="4" w:space="0" w:color="FFFFFF" w:themeColor="background1"/>
              <w:bottom w:val="single" w:sz="4" w:space="0" w:color="53565A" w:themeColor="accent5"/>
            </w:tcBorders>
          </w:tcPr>
          <w:p w14:paraId="3CA2DB6B" w14:textId="15B4D27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EC8789A" w14:textId="5E33DC1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2,600</w:t>
            </w:r>
          </w:p>
        </w:tc>
      </w:tr>
      <w:tr w:rsidR="00D34D92" w:rsidRPr="009423C3" w14:paraId="732957C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4140B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RENOUF MARK</w:t>
            </w:r>
          </w:p>
        </w:tc>
        <w:tc>
          <w:tcPr>
            <w:tcW w:w="4896" w:type="dxa"/>
            <w:tcBorders>
              <w:top w:val="single" w:sz="4" w:space="0" w:color="FFFFFF" w:themeColor="background1"/>
              <w:bottom w:val="single" w:sz="4" w:space="0" w:color="53565A" w:themeColor="accent5"/>
            </w:tcBorders>
          </w:tcPr>
          <w:p w14:paraId="695C76E2" w14:textId="63284C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B49A41B" w14:textId="201C895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20,</w:t>
            </w:r>
            <w:r w:rsidRPr="00925213">
              <w:rPr>
                <w:rFonts w:ascii="Calibri" w:eastAsia="Times New Roman" w:hAnsi="Calibri" w:cs="Calibri"/>
                <w:color w:val="000000"/>
                <w:szCs w:val="20"/>
                <w:lang w:val="en-AU" w:eastAsia="en-AU"/>
              </w:rPr>
              <w:t>36</w:t>
            </w:r>
            <w:r w:rsidR="009E68CD" w:rsidRPr="00925213">
              <w:rPr>
                <w:rFonts w:ascii="Calibri" w:eastAsia="Times New Roman" w:hAnsi="Calibri" w:cs="Calibri"/>
                <w:color w:val="000000"/>
                <w:szCs w:val="20"/>
                <w:lang w:val="en-AU" w:eastAsia="en-AU"/>
              </w:rPr>
              <w:t>5</w:t>
            </w:r>
          </w:p>
        </w:tc>
      </w:tr>
      <w:tr w:rsidR="00D34D92" w:rsidRPr="009423C3" w14:paraId="1572FA3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419616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RESOLUTION MEDIA PTY LTD</w:t>
            </w:r>
          </w:p>
        </w:tc>
        <w:tc>
          <w:tcPr>
            <w:tcW w:w="4896" w:type="dxa"/>
            <w:tcBorders>
              <w:top w:val="single" w:sz="4" w:space="0" w:color="FFFFFF" w:themeColor="background1"/>
              <w:bottom w:val="single" w:sz="4" w:space="0" w:color="53565A" w:themeColor="accent5"/>
            </w:tcBorders>
          </w:tcPr>
          <w:p w14:paraId="2CBBA7C8" w14:textId="1B57467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36206FEF" w14:textId="7858DAA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57,</w:t>
            </w:r>
            <w:r w:rsidRPr="00925213">
              <w:rPr>
                <w:rFonts w:ascii="Calibri" w:eastAsia="Times New Roman" w:hAnsi="Calibri" w:cs="Calibri"/>
                <w:color w:val="000000"/>
                <w:szCs w:val="20"/>
                <w:lang w:val="en-AU" w:eastAsia="en-AU"/>
              </w:rPr>
              <w:t>8</w:t>
            </w:r>
            <w:r w:rsidR="009E68CD" w:rsidRPr="00925213">
              <w:rPr>
                <w:rFonts w:ascii="Calibri" w:eastAsia="Times New Roman" w:hAnsi="Calibri" w:cs="Calibri"/>
                <w:color w:val="000000"/>
                <w:szCs w:val="20"/>
                <w:lang w:val="en-AU" w:eastAsia="en-AU"/>
              </w:rPr>
              <w:t>70</w:t>
            </w:r>
          </w:p>
        </w:tc>
      </w:tr>
      <w:tr w:rsidR="00D34D92" w:rsidRPr="009423C3" w14:paraId="30A0F96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F5FA6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RESOLVE SOFTWARE GROUP PTY LTD</w:t>
            </w:r>
          </w:p>
        </w:tc>
        <w:tc>
          <w:tcPr>
            <w:tcW w:w="4896" w:type="dxa"/>
            <w:tcBorders>
              <w:top w:val="single" w:sz="4" w:space="0" w:color="FFFFFF" w:themeColor="background1"/>
              <w:bottom w:val="single" w:sz="4" w:space="0" w:color="53565A" w:themeColor="accent5"/>
            </w:tcBorders>
          </w:tcPr>
          <w:p w14:paraId="55933261" w14:textId="333EFF3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B0096AC" w14:textId="4D3B888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57,533</w:t>
            </w:r>
          </w:p>
        </w:tc>
      </w:tr>
      <w:tr w:rsidR="00D34D92" w:rsidRPr="009423C3" w14:paraId="1F32B48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8C079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REVOLUTION IT PTY LTD</w:t>
            </w:r>
          </w:p>
        </w:tc>
        <w:tc>
          <w:tcPr>
            <w:tcW w:w="4896" w:type="dxa"/>
            <w:tcBorders>
              <w:top w:val="single" w:sz="4" w:space="0" w:color="FFFFFF" w:themeColor="background1"/>
              <w:bottom w:val="single" w:sz="4" w:space="0" w:color="53565A" w:themeColor="accent5"/>
            </w:tcBorders>
          </w:tcPr>
          <w:p w14:paraId="590BB6F2" w14:textId="17EF62C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31763742" w14:textId="134066D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225,358</w:t>
            </w:r>
          </w:p>
        </w:tc>
      </w:tr>
      <w:tr w:rsidR="00D34D92" w:rsidRPr="009423C3" w14:paraId="21E954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74522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RICHARD REILLY</w:t>
            </w:r>
          </w:p>
        </w:tc>
        <w:tc>
          <w:tcPr>
            <w:tcW w:w="4896" w:type="dxa"/>
            <w:tcBorders>
              <w:top w:val="single" w:sz="4" w:space="0" w:color="FFFFFF" w:themeColor="background1"/>
              <w:bottom w:val="single" w:sz="4" w:space="0" w:color="53565A" w:themeColor="accent5"/>
            </w:tcBorders>
          </w:tcPr>
          <w:p w14:paraId="325B6234" w14:textId="0D6F2A9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6D3441F" w14:textId="0AA8CEB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8,750</w:t>
            </w:r>
          </w:p>
        </w:tc>
      </w:tr>
      <w:tr w:rsidR="00D34D92" w:rsidRPr="009423C3" w14:paraId="0273CDC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53A4F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RICHMOND JOHN</w:t>
            </w:r>
          </w:p>
        </w:tc>
        <w:tc>
          <w:tcPr>
            <w:tcW w:w="4896" w:type="dxa"/>
            <w:tcBorders>
              <w:top w:val="single" w:sz="4" w:space="0" w:color="FFFFFF" w:themeColor="background1"/>
              <w:bottom w:val="single" w:sz="4" w:space="0" w:color="53565A" w:themeColor="accent5"/>
            </w:tcBorders>
          </w:tcPr>
          <w:p w14:paraId="16ECDB99" w14:textId="3A85EAB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7B128B8" w14:textId="351863D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19,250</w:t>
            </w:r>
          </w:p>
        </w:tc>
      </w:tr>
      <w:tr w:rsidR="00D34D92" w:rsidRPr="009423C3" w14:paraId="312F525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AAD25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RIDDELL KATHRYN ANDREA</w:t>
            </w:r>
          </w:p>
        </w:tc>
        <w:tc>
          <w:tcPr>
            <w:tcW w:w="4896" w:type="dxa"/>
            <w:tcBorders>
              <w:top w:val="single" w:sz="4" w:space="0" w:color="FFFFFF" w:themeColor="background1"/>
              <w:bottom w:val="single" w:sz="4" w:space="0" w:color="53565A" w:themeColor="accent5"/>
            </w:tcBorders>
          </w:tcPr>
          <w:p w14:paraId="47553006" w14:textId="3753131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A2038C9" w14:textId="7CB3284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6,900</w:t>
            </w:r>
          </w:p>
        </w:tc>
      </w:tr>
      <w:tr w:rsidR="00D34D92" w:rsidRPr="009423C3" w14:paraId="7F91898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77570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RIGHT LANE CONSULTING PTY LTD</w:t>
            </w:r>
          </w:p>
        </w:tc>
        <w:tc>
          <w:tcPr>
            <w:tcW w:w="4896" w:type="dxa"/>
            <w:tcBorders>
              <w:top w:val="single" w:sz="4" w:space="0" w:color="FFFFFF" w:themeColor="background1"/>
              <w:bottom w:val="single" w:sz="4" w:space="0" w:color="53565A" w:themeColor="accent5"/>
            </w:tcBorders>
          </w:tcPr>
          <w:p w14:paraId="2051BB6C" w14:textId="3BD6A2A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A8FF406" w14:textId="0525C54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5,000</w:t>
            </w:r>
          </w:p>
        </w:tc>
      </w:tr>
      <w:tr w:rsidR="00D34D92" w:rsidRPr="009423C3" w14:paraId="2770DF8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D5704B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RITA ELLUL EDUCATION CONSULTING</w:t>
            </w:r>
          </w:p>
        </w:tc>
        <w:tc>
          <w:tcPr>
            <w:tcW w:w="4896" w:type="dxa"/>
            <w:tcBorders>
              <w:top w:val="single" w:sz="4" w:space="0" w:color="FFFFFF" w:themeColor="background1"/>
              <w:bottom w:val="single" w:sz="4" w:space="0" w:color="53565A" w:themeColor="accent5"/>
            </w:tcBorders>
          </w:tcPr>
          <w:p w14:paraId="5E5C0118" w14:textId="67E58C0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AA2ED28" w14:textId="7E17ABD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37,500</w:t>
            </w:r>
          </w:p>
        </w:tc>
      </w:tr>
      <w:tr w:rsidR="00D34D92" w:rsidRPr="009423C3" w14:paraId="5E7E5C6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3C79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RIVERSIDE EDUCATION</w:t>
            </w:r>
          </w:p>
        </w:tc>
        <w:tc>
          <w:tcPr>
            <w:tcW w:w="4896" w:type="dxa"/>
            <w:tcBorders>
              <w:top w:val="single" w:sz="4" w:space="0" w:color="FFFFFF" w:themeColor="background1"/>
              <w:bottom w:val="single" w:sz="4" w:space="0" w:color="53565A" w:themeColor="accent5"/>
            </w:tcBorders>
          </w:tcPr>
          <w:p w14:paraId="1B1FC17D" w14:textId="6F642DB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C4E9A33" w14:textId="21E094B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3,300</w:t>
            </w:r>
          </w:p>
        </w:tc>
      </w:tr>
      <w:tr w:rsidR="00D34D92" w:rsidRPr="009423C3" w14:paraId="4C64157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ACFA3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RIXSTEWART PTY LTD</w:t>
            </w:r>
          </w:p>
        </w:tc>
        <w:tc>
          <w:tcPr>
            <w:tcW w:w="4896" w:type="dxa"/>
            <w:tcBorders>
              <w:top w:val="single" w:sz="4" w:space="0" w:color="FFFFFF" w:themeColor="background1"/>
              <w:bottom w:val="single" w:sz="4" w:space="0" w:color="53565A" w:themeColor="accent5"/>
            </w:tcBorders>
          </w:tcPr>
          <w:p w14:paraId="770825C2" w14:textId="1A95FF8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E9D8781" w14:textId="688220E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8,900</w:t>
            </w:r>
          </w:p>
        </w:tc>
      </w:tr>
      <w:tr w:rsidR="00D34D92" w:rsidRPr="009423C3" w14:paraId="39C7A80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973EA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RMIT UNIVERSITY</w:t>
            </w:r>
          </w:p>
        </w:tc>
        <w:tc>
          <w:tcPr>
            <w:tcW w:w="4896" w:type="dxa"/>
            <w:tcBorders>
              <w:top w:val="single" w:sz="4" w:space="0" w:color="FFFFFF" w:themeColor="background1"/>
              <w:bottom w:val="single" w:sz="4" w:space="0" w:color="53565A" w:themeColor="accent5"/>
            </w:tcBorders>
          </w:tcPr>
          <w:p w14:paraId="634B8C1F" w14:textId="27D2210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44B59FA" w14:textId="55334E6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231,680</w:t>
            </w:r>
          </w:p>
        </w:tc>
      </w:tr>
      <w:tr w:rsidR="00D34D92" w:rsidRPr="009423C3" w14:paraId="55B4787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8711E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ROBINSON JOHN</w:t>
            </w:r>
          </w:p>
        </w:tc>
        <w:tc>
          <w:tcPr>
            <w:tcW w:w="4896" w:type="dxa"/>
            <w:tcBorders>
              <w:top w:val="single" w:sz="4" w:space="0" w:color="FFFFFF" w:themeColor="background1"/>
              <w:bottom w:val="single" w:sz="4" w:space="0" w:color="53565A" w:themeColor="accent5"/>
            </w:tcBorders>
          </w:tcPr>
          <w:p w14:paraId="47C7A011" w14:textId="2CBE2655"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50548664" w14:textId="472987D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1,52</w:t>
            </w:r>
            <w:r w:rsidR="009E68CD" w:rsidRPr="00925213">
              <w:rPr>
                <w:rFonts w:ascii="Calibri" w:eastAsia="Times New Roman" w:hAnsi="Calibri" w:cs="Calibri"/>
                <w:color w:val="000000"/>
                <w:szCs w:val="20"/>
                <w:lang w:val="en-AU" w:eastAsia="en-AU"/>
              </w:rPr>
              <w:t>8</w:t>
            </w:r>
          </w:p>
        </w:tc>
      </w:tr>
      <w:tr w:rsidR="00D34D92" w:rsidRPr="009423C3" w14:paraId="52BE453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7ECB7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ROBINSON LINA</w:t>
            </w:r>
          </w:p>
        </w:tc>
        <w:tc>
          <w:tcPr>
            <w:tcW w:w="4896" w:type="dxa"/>
            <w:tcBorders>
              <w:top w:val="single" w:sz="4" w:space="0" w:color="FFFFFF" w:themeColor="background1"/>
              <w:bottom w:val="single" w:sz="4" w:space="0" w:color="53565A" w:themeColor="accent5"/>
            </w:tcBorders>
          </w:tcPr>
          <w:p w14:paraId="26508AB2" w14:textId="6AE2E0F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AE588CE" w14:textId="66A07E1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3,73</w:t>
            </w:r>
            <w:r w:rsidR="009E68CD" w:rsidRPr="00925213">
              <w:rPr>
                <w:rFonts w:ascii="Calibri" w:eastAsia="Times New Roman" w:hAnsi="Calibri" w:cs="Calibri"/>
                <w:color w:val="000000"/>
                <w:szCs w:val="20"/>
                <w:lang w:val="en-AU" w:eastAsia="en-AU"/>
              </w:rPr>
              <w:t>8</w:t>
            </w:r>
          </w:p>
        </w:tc>
      </w:tr>
      <w:tr w:rsidR="00D34D92" w:rsidRPr="009423C3" w14:paraId="76B9733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731F7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ROBINSON VIVIANE</w:t>
            </w:r>
          </w:p>
        </w:tc>
        <w:tc>
          <w:tcPr>
            <w:tcW w:w="4896" w:type="dxa"/>
            <w:tcBorders>
              <w:top w:val="single" w:sz="4" w:space="0" w:color="FFFFFF" w:themeColor="background1"/>
              <w:bottom w:val="single" w:sz="4" w:space="0" w:color="53565A" w:themeColor="accent5"/>
            </w:tcBorders>
          </w:tcPr>
          <w:p w14:paraId="238BA839" w14:textId="54328B7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FC153D2" w14:textId="2F0CBCF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93,900</w:t>
            </w:r>
          </w:p>
        </w:tc>
      </w:tr>
      <w:tr w:rsidR="00D34D92" w:rsidRPr="009423C3" w14:paraId="5CC06D8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385A2E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ROBOBAI PTY LTD</w:t>
            </w:r>
          </w:p>
        </w:tc>
        <w:tc>
          <w:tcPr>
            <w:tcW w:w="4896" w:type="dxa"/>
            <w:tcBorders>
              <w:top w:val="single" w:sz="4" w:space="0" w:color="FFFFFF" w:themeColor="background1"/>
              <w:bottom w:val="single" w:sz="4" w:space="0" w:color="53565A" w:themeColor="accent5"/>
            </w:tcBorders>
          </w:tcPr>
          <w:p w14:paraId="78C6577E" w14:textId="04464D4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C178118" w14:textId="6B7A0B5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60,000</w:t>
            </w:r>
          </w:p>
        </w:tc>
      </w:tr>
      <w:tr w:rsidR="00D34D92" w:rsidRPr="009423C3" w14:paraId="39549F3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36BE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ROBSET CONSULTANCY</w:t>
            </w:r>
          </w:p>
        </w:tc>
        <w:tc>
          <w:tcPr>
            <w:tcW w:w="4896" w:type="dxa"/>
            <w:tcBorders>
              <w:top w:val="single" w:sz="4" w:space="0" w:color="FFFFFF" w:themeColor="background1"/>
              <w:bottom w:val="single" w:sz="4" w:space="0" w:color="53565A" w:themeColor="accent5"/>
            </w:tcBorders>
          </w:tcPr>
          <w:p w14:paraId="1848EB4A" w14:textId="77545C3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0773C64" w14:textId="1E25AE7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1,350</w:t>
            </w:r>
          </w:p>
        </w:tc>
      </w:tr>
      <w:tr w:rsidR="00D34D92" w:rsidRPr="009423C3" w14:paraId="5C10F12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6E025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ROD ALLEN CONSULTING</w:t>
            </w:r>
          </w:p>
        </w:tc>
        <w:tc>
          <w:tcPr>
            <w:tcW w:w="4896" w:type="dxa"/>
            <w:tcBorders>
              <w:top w:val="single" w:sz="4" w:space="0" w:color="FFFFFF" w:themeColor="background1"/>
              <w:bottom w:val="single" w:sz="4" w:space="0" w:color="53565A" w:themeColor="accent5"/>
            </w:tcBorders>
          </w:tcPr>
          <w:p w14:paraId="5D5C7DE6" w14:textId="3065013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056C6AF" w14:textId="3041662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13,250</w:t>
            </w:r>
          </w:p>
        </w:tc>
      </w:tr>
      <w:tr w:rsidR="00D34D92" w:rsidRPr="009423C3" w14:paraId="55B18D2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004D3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ROD WILLIAMSON EDUCATION CONSULTING</w:t>
            </w:r>
          </w:p>
        </w:tc>
        <w:tc>
          <w:tcPr>
            <w:tcW w:w="4896" w:type="dxa"/>
            <w:tcBorders>
              <w:top w:val="single" w:sz="4" w:space="0" w:color="FFFFFF" w:themeColor="background1"/>
              <w:bottom w:val="single" w:sz="4" w:space="0" w:color="53565A" w:themeColor="accent5"/>
            </w:tcBorders>
          </w:tcPr>
          <w:p w14:paraId="53A028D3" w14:textId="086F422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24B16AC" w14:textId="34A280E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15,475</w:t>
            </w:r>
          </w:p>
        </w:tc>
      </w:tr>
      <w:tr w:rsidR="00D34D92" w:rsidRPr="009423C3" w14:paraId="5B094D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781657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ROOFTOP SOCIAL</w:t>
            </w:r>
          </w:p>
        </w:tc>
        <w:tc>
          <w:tcPr>
            <w:tcW w:w="4896" w:type="dxa"/>
            <w:tcBorders>
              <w:top w:val="single" w:sz="4" w:space="0" w:color="FFFFFF" w:themeColor="background1"/>
              <w:bottom w:val="single" w:sz="4" w:space="0" w:color="53565A" w:themeColor="accent5"/>
            </w:tcBorders>
          </w:tcPr>
          <w:p w14:paraId="5A1D6A14" w14:textId="3641F27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57B6CCA" w14:textId="64BBE32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68,256</w:t>
            </w:r>
          </w:p>
        </w:tc>
      </w:tr>
      <w:tr w:rsidR="00D34D92" w:rsidRPr="009423C3" w14:paraId="7D16CEE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00A24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ROSCAR TECHNOLOGY PTY LTD</w:t>
            </w:r>
          </w:p>
        </w:tc>
        <w:tc>
          <w:tcPr>
            <w:tcW w:w="4896" w:type="dxa"/>
            <w:tcBorders>
              <w:top w:val="single" w:sz="4" w:space="0" w:color="FFFFFF" w:themeColor="background1"/>
              <w:bottom w:val="single" w:sz="4" w:space="0" w:color="53565A" w:themeColor="accent5"/>
            </w:tcBorders>
          </w:tcPr>
          <w:p w14:paraId="265E0AFB" w14:textId="13126B5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0D817D4" w14:textId="412FC5E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1,515</w:t>
            </w:r>
          </w:p>
        </w:tc>
      </w:tr>
      <w:tr w:rsidR="00D34D92" w:rsidRPr="009423C3" w14:paraId="1E2055F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F0D025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RSM AUSTRALIA PTY LTD</w:t>
            </w:r>
          </w:p>
        </w:tc>
        <w:tc>
          <w:tcPr>
            <w:tcW w:w="4896" w:type="dxa"/>
            <w:tcBorders>
              <w:top w:val="single" w:sz="4" w:space="0" w:color="FFFFFF" w:themeColor="background1"/>
              <w:bottom w:val="single" w:sz="4" w:space="0" w:color="53565A" w:themeColor="accent5"/>
            </w:tcBorders>
          </w:tcPr>
          <w:p w14:paraId="611F7116" w14:textId="1C03A61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E423CBA" w14:textId="4163911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364,934</w:t>
            </w:r>
          </w:p>
        </w:tc>
      </w:tr>
      <w:tr w:rsidR="00D34D92" w:rsidRPr="009423C3" w14:paraId="2479EFD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8F50A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RUBIX CENTRE</w:t>
            </w:r>
          </w:p>
        </w:tc>
        <w:tc>
          <w:tcPr>
            <w:tcW w:w="4896" w:type="dxa"/>
            <w:tcBorders>
              <w:top w:val="single" w:sz="4" w:space="0" w:color="FFFFFF" w:themeColor="background1"/>
              <w:bottom w:val="single" w:sz="4" w:space="0" w:color="53565A" w:themeColor="accent5"/>
            </w:tcBorders>
          </w:tcPr>
          <w:p w14:paraId="6A16FC86" w14:textId="4932E1E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EE28E4E" w14:textId="58EBB95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37,580</w:t>
            </w:r>
          </w:p>
        </w:tc>
      </w:tr>
      <w:tr w:rsidR="00D34D92" w:rsidRPr="009423C3" w14:paraId="2BDC0D6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F3236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RUBIX CONSULTING PTY LTD</w:t>
            </w:r>
          </w:p>
        </w:tc>
        <w:tc>
          <w:tcPr>
            <w:tcW w:w="4896" w:type="dxa"/>
            <w:tcBorders>
              <w:top w:val="single" w:sz="4" w:space="0" w:color="FFFFFF" w:themeColor="background1"/>
              <w:bottom w:val="single" w:sz="4" w:space="0" w:color="53565A" w:themeColor="accent5"/>
            </w:tcBorders>
          </w:tcPr>
          <w:p w14:paraId="2EA33DBB" w14:textId="0FF10E4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783F1B2" w14:textId="500F411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23,980</w:t>
            </w:r>
          </w:p>
        </w:tc>
      </w:tr>
      <w:tr w:rsidR="00D34D92" w:rsidRPr="009423C3" w14:paraId="2A94FD3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FC380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RUSSELL KOEHLER</w:t>
            </w:r>
          </w:p>
        </w:tc>
        <w:tc>
          <w:tcPr>
            <w:tcW w:w="4896" w:type="dxa"/>
            <w:tcBorders>
              <w:top w:val="single" w:sz="4" w:space="0" w:color="FFFFFF" w:themeColor="background1"/>
              <w:bottom w:val="single" w:sz="4" w:space="0" w:color="53565A" w:themeColor="accent5"/>
            </w:tcBorders>
          </w:tcPr>
          <w:p w14:paraId="6DFD9903" w14:textId="2DAFDEB6"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34E404B2" w14:textId="01399D3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22,349</w:t>
            </w:r>
          </w:p>
        </w:tc>
      </w:tr>
      <w:tr w:rsidR="00D34D92" w:rsidRPr="009423C3" w14:paraId="6BFD024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C273E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RUTH MOODIE</w:t>
            </w:r>
          </w:p>
        </w:tc>
        <w:tc>
          <w:tcPr>
            <w:tcW w:w="4896" w:type="dxa"/>
            <w:tcBorders>
              <w:top w:val="single" w:sz="4" w:space="0" w:color="FFFFFF" w:themeColor="background1"/>
              <w:bottom w:val="single" w:sz="4" w:space="0" w:color="53565A" w:themeColor="accent5"/>
            </w:tcBorders>
          </w:tcPr>
          <w:p w14:paraId="2EE45D39" w14:textId="40AC43D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9D92F6C" w14:textId="2A2C2D6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21,818</w:t>
            </w:r>
          </w:p>
        </w:tc>
      </w:tr>
      <w:tr w:rsidR="00D34D92" w:rsidRPr="009423C3" w14:paraId="688F4C0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4E030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RYPPLE LTD</w:t>
            </w:r>
          </w:p>
        </w:tc>
        <w:tc>
          <w:tcPr>
            <w:tcW w:w="4896" w:type="dxa"/>
            <w:tcBorders>
              <w:top w:val="single" w:sz="4" w:space="0" w:color="FFFFFF" w:themeColor="background1"/>
              <w:bottom w:val="single" w:sz="4" w:space="0" w:color="53565A" w:themeColor="accent5"/>
            </w:tcBorders>
          </w:tcPr>
          <w:p w14:paraId="1FD8548E" w14:textId="4D1BF13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93099F6" w14:textId="2F766E2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32,500</w:t>
            </w:r>
          </w:p>
        </w:tc>
      </w:tr>
      <w:tr w:rsidR="00D34D92" w:rsidRPr="009423C3" w14:paraId="30D92A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659F2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SACS CONSULTING PTY LTD</w:t>
            </w:r>
          </w:p>
        </w:tc>
        <w:tc>
          <w:tcPr>
            <w:tcW w:w="4896" w:type="dxa"/>
            <w:tcBorders>
              <w:top w:val="single" w:sz="4" w:space="0" w:color="FFFFFF" w:themeColor="background1"/>
              <w:bottom w:val="single" w:sz="4" w:space="0" w:color="53565A" w:themeColor="accent5"/>
            </w:tcBorders>
          </w:tcPr>
          <w:p w14:paraId="4198AFB5" w14:textId="6772640D"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48231C">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1999803C" w14:textId="5268DE4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w:t>
            </w:r>
            <w:r w:rsidRPr="00925213">
              <w:rPr>
                <w:rFonts w:ascii="Calibri" w:eastAsia="Times New Roman" w:hAnsi="Calibri" w:cs="Calibri"/>
                <w:color w:val="000000"/>
                <w:szCs w:val="20"/>
                <w:lang w:val="en-AU" w:eastAsia="en-AU"/>
              </w:rPr>
              <w:t>71</w:t>
            </w:r>
            <w:r w:rsidR="008362F9" w:rsidRPr="00925213">
              <w:rPr>
                <w:rFonts w:ascii="Calibri" w:eastAsia="Times New Roman" w:hAnsi="Calibri" w:cs="Calibri"/>
                <w:color w:val="000000"/>
                <w:szCs w:val="20"/>
                <w:lang w:val="en-AU" w:eastAsia="en-AU"/>
              </w:rPr>
              <w:t>1</w:t>
            </w:r>
          </w:p>
        </w:tc>
      </w:tr>
      <w:tr w:rsidR="00D34D92" w:rsidRPr="009423C3" w14:paraId="51299E2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635E84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SALLY HANRATTY PSYCHOLOGY</w:t>
            </w:r>
          </w:p>
        </w:tc>
        <w:tc>
          <w:tcPr>
            <w:tcW w:w="4896" w:type="dxa"/>
            <w:tcBorders>
              <w:top w:val="single" w:sz="4" w:space="0" w:color="FFFFFF" w:themeColor="background1"/>
              <w:bottom w:val="single" w:sz="4" w:space="0" w:color="53565A" w:themeColor="accent5"/>
            </w:tcBorders>
          </w:tcPr>
          <w:p w14:paraId="2D1C091D" w14:textId="1E8D20A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7966EE9" w14:textId="6942DF4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11,025</w:t>
            </w:r>
          </w:p>
        </w:tc>
      </w:tr>
      <w:tr w:rsidR="00D34D92" w:rsidRPr="009423C3" w14:paraId="116F707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4A5699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SALTER HILL GROUP PTY LTD</w:t>
            </w:r>
          </w:p>
        </w:tc>
        <w:tc>
          <w:tcPr>
            <w:tcW w:w="4896" w:type="dxa"/>
            <w:tcBorders>
              <w:top w:val="single" w:sz="4" w:space="0" w:color="FFFFFF" w:themeColor="background1"/>
              <w:bottom w:val="single" w:sz="4" w:space="0" w:color="53565A" w:themeColor="accent5"/>
            </w:tcBorders>
          </w:tcPr>
          <w:p w14:paraId="18D12991" w14:textId="007A2C8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B345361" w14:textId="24F43F1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7,400</w:t>
            </w:r>
          </w:p>
        </w:tc>
      </w:tr>
      <w:tr w:rsidR="00D34D92" w:rsidRPr="009423C3" w14:paraId="0E953CC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B39DF2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SATORI ASSURANCE PTY LTD</w:t>
            </w:r>
          </w:p>
        </w:tc>
        <w:tc>
          <w:tcPr>
            <w:tcW w:w="4896" w:type="dxa"/>
            <w:tcBorders>
              <w:top w:val="single" w:sz="4" w:space="0" w:color="FFFFFF" w:themeColor="background1"/>
              <w:bottom w:val="single" w:sz="4" w:space="0" w:color="53565A" w:themeColor="accent5"/>
            </w:tcBorders>
          </w:tcPr>
          <w:p w14:paraId="763343F8" w14:textId="6976627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7C368B9" w14:textId="67BFAC6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36,300</w:t>
            </w:r>
          </w:p>
        </w:tc>
      </w:tr>
      <w:tr w:rsidR="00D34D92" w:rsidRPr="009423C3" w14:paraId="3191966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49614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SAVAGE EMMA</w:t>
            </w:r>
          </w:p>
        </w:tc>
        <w:tc>
          <w:tcPr>
            <w:tcW w:w="4896" w:type="dxa"/>
            <w:tcBorders>
              <w:top w:val="single" w:sz="4" w:space="0" w:color="FFFFFF" w:themeColor="background1"/>
              <w:bottom w:val="single" w:sz="4" w:space="0" w:color="53565A" w:themeColor="accent5"/>
            </w:tcBorders>
          </w:tcPr>
          <w:p w14:paraId="3025C978" w14:textId="3E4C344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4AED0EB" w14:textId="2C0BED7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2,400</w:t>
            </w:r>
          </w:p>
        </w:tc>
      </w:tr>
      <w:tr w:rsidR="00D34D92" w:rsidRPr="009423C3" w14:paraId="475C80A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94478E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SAXTON </w:t>
            </w:r>
            <w:proofErr w:type="gramStart"/>
            <w:r w:rsidRPr="008457E1">
              <w:rPr>
                <w:rFonts w:ascii="Calibri" w:eastAsia="Times New Roman" w:hAnsi="Calibri" w:cs="Calibri"/>
                <w:color w:val="000000"/>
                <w:szCs w:val="20"/>
                <w:lang w:val="en-AU" w:eastAsia="en-AU"/>
              </w:rPr>
              <w:t>SPEAKERS</w:t>
            </w:r>
            <w:proofErr w:type="gramEnd"/>
            <w:r w:rsidRPr="008457E1">
              <w:rPr>
                <w:rFonts w:ascii="Calibri" w:eastAsia="Times New Roman" w:hAnsi="Calibri" w:cs="Calibri"/>
                <w:color w:val="000000"/>
                <w:szCs w:val="20"/>
                <w:lang w:val="en-AU" w:eastAsia="en-AU"/>
              </w:rPr>
              <w:t xml:space="preserve"> BUREAU PTY LTD</w:t>
            </w:r>
          </w:p>
        </w:tc>
        <w:tc>
          <w:tcPr>
            <w:tcW w:w="4896" w:type="dxa"/>
            <w:tcBorders>
              <w:top w:val="single" w:sz="4" w:space="0" w:color="FFFFFF" w:themeColor="background1"/>
              <w:bottom w:val="single" w:sz="4" w:space="0" w:color="53565A" w:themeColor="accent5"/>
            </w:tcBorders>
          </w:tcPr>
          <w:p w14:paraId="12DF6E05" w14:textId="5AE6A61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08C7475" w14:textId="50B6B51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7,104</w:t>
            </w:r>
          </w:p>
        </w:tc>
      </w:tr>
      <w:tr w:rsidR="00D34D92" w:rsidRPr="009423C3" w14:paraId="5C2B747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2C0397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SCHOOL RESEARCH EVALUATION AND MEASUREMENT SERVICES</w:t>
            </w:r>
          </w:p>
        </w:tc>
        <w:tc>
          <w:tcPr>
            <w:tcW w:w="4896" w:type="dxa"/>
            <w:tcBorders>
              <w:top w:val="single" w:sz="4" w:space="0" w:color="FFFFFF" w:themeColor="background1"/>
              <w:bottom w:val="single" w:sz="4" w:space="0" w:color="53565A" w:themeColor="accent5"/>
            </w:tcBorders>
          </w:tcPr>
          <w:p w14:paraId="63699046" w14:textId="0DF710C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63D0CBE8" w14:textId="5A3252E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53,925</w:t>
            </w:r>
          </w:p>
        </w:tc>
      </w:tr>
      <w:tr w:rsidR="00D34D92" w:rsidRPr="009423C3" w14:paraId="0199492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21179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SCIENCE LITERACY SOLUTIONS</w:t>
            </w:r>
          </w:p>
        </w:tc>
        <w:tc>
          <w:tcPr>
            <w:tcW w:w="4896" w:type="dxa"/>
            <w:tcBorders>
              <w:top w:val="single" w:sz="4" w:space="0" w:color="FFFFFF" w:themeColor="background1"/>
              <w:bottom w:val="single" w:sz="4" w:space="0" w:color="53565A" w:themeColor="accent5"/>
            </w:tcBorders>
          </w:tcPr>
          <w:p w14:paraId="32929B1A" w14:textId="0D931EA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D550478" w14:textId="4F97B6E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12,200</w:t>
            </w:r>
          </w:p>
        </w:tc>
      </w:tr>
      <w:tr w:rsidR="00D34D92" w:rsidRPr="009423C3" w14:paraId="4F9F19D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97798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SCOPE AUST LTD</w:t>
            </w:r>
          </w:p>
        </w:tc>
        <w:tc>
          <w:tcPr>
            <w:tcW w:w="4896" w:type="dxa"/>
            <w:tcBorders>
              <w:top w:val="single" w:sz="4" w:space="0" w:color="FFFFFF" w:themeColor="background1"/>
              <w:bottom w:val="single" w:sz="4" w:space="0" w:color="53565A" w:themeColor="accent5"/>
            </w:tcBorders>
          </w:tcPr>
          <w:p w14:paraId="7E1D8076" w14:textId="4343476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CD62D92" w14:textId="649E1EF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1,025</w:t>
            </w:r>
          </w:p>
        </w:tc>
      </w:tr>
      <w:tr w:rsidR="00D34D92" w:rsidRPr="009423C3" w14:paraId="39165DE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B0661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SCOTT ROSS</w:t>
            </w:r>
          </w:p>
        </w:tc>
        <w:tc>
          <w:tcPr>
            <w:tcW w:w="4896" w:type="dxa"/>
            <w:tcBorders>
              <w:top w:val="single" w:sz="4" w:space="0" w:color="FFFFFF" w:themeColor="background1"/>
              <w:bottom w:val="single" w:sz="4" w:space="0" w:color="53565A" w:themeColor="accent5"/>
            </w:tcBorders>
          </w:tcPr>
          <w:p w14:paraId="7B485CC9" w14:textId="3F485CD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21C7738" w14:textId="02FACC9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3,502</w:t>
            </w:r>
          </w:p>
        </w:tc>
      </w:tr>
      <w:tr w:rsidR="00D34D92" w:rsidRPr="009423C3" w14:paraId="7F1CEC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1D80D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SEAMER DESIGN</w:t>
            </w:r>
          </w:p>
        </w:tc>
        <w:tc>
          <w:tcPr>
            <w:tcW w:w="4896" w:type="dxa"/>
            <w:tcBorders>
              <w:top w:val="single" w:sz="4" w:space="0" w:color="FFFFFF" w:themeColor="background1"/>
              <w:bottom w:val="single" w:sz="4" w:space="0" w:color="53565A" w:themeColor="accent5"/>
            </w:tcBorders>
          </w:tcPr>
          <w:p w14:paraId="48E3D593" w14:textId="6B62381E"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78547B6" w14:textId="3098244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1,400</w:t>
            </w:r>
          </w:p>
        </w:tc>
      </w:tr>
      <w:tr w:rsidR="00D34D92" w:rsidRPr="009423C3" w14:paraId="5639B85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B3879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SEESAW STUDIO</w:t>
            </w:r>
          </w:p>
        </w:tc>
        <w:tc>
          <w:tcPr>
            <w:tcW w:w="4896" w:type="dxa"/>
            <w:tcBorders>
              <w:top w:val="single" w:sz="4" w:space="0" w:color="FFFFFF" w:themeColor="background1"/>
              <w:bottom w:val="single" w:sz="4" w:space="0" w:color="53565A" w:themeColor="accent5"/>
            </w:tcBorders>
          </w:tcPr>
          <w:p w14:paraId="6964D5C3" w14:textId="0587C518"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5C697EFE" w14:textId="5D08A26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6,000</w:t>
            </w:r>
          </w:p>
        </w:tc>
      </w:tr>
      <w:tr w:rsidR="00D34D92" w:rsidRPr="009423C3" w14:paraId="5E882BE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624BF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SEMANN SLATTERY AND ASSOCIATES PTY LTD</w:t>
            </w:r>
          </w:p>
        </w:tc>
        <w:tc>
          <w:tcPr>
            <w:tcW w:w="4896" w:type="dxa"/>
            <w:tcBorders>
              <w:top w:val="single" w:sz="4" w:space="0" w:color="FFFFFF" w:themeColor="background1"/>
              <w:bottom w:val="single" w:sz="4" w:space="0" w:color="53565A" w:themeColor="accent5"/>
            </w:tcBorders>
          </w:tcPr>
          <w:p w14:paraId="7909BC9D" w14:textId="22886B8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595CA8D" w14:textId="35B26D7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2,609,468</w:t>
            </w:r>
          </w:p>
        </w:tc>
      </w:tr>
      <w:tr w:rsidR="00D34D92" w:rsidRPr="009423C3" w14:paraId="58F1D6B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09555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SENATESHJ</w:t>
            </w:r>
          </w:p>
        </w:tc>
        <w:tc>
          <w:tcPr>
            <w:tcW w:w="4896" w:type="dxa"/>
            <w:tcBorders>
              <w:top w:val="single" w:sz="4" w:space="0" w:color="FFFFFF" w:themeColor="background1"/>
              <w:bottom w:val="single" w:sz="4" w:space="0" w:color="53565A" w:themeColor="accent5"/>
            </w:tcBorders>
          </w:tcPr>
          <w:p w14:paraId="661B1629" w14:textId="1ACFC14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82E07E6" w14:textId="0066656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269,</w:t>
            </w:r>
            <w:r w:rsidRPr="00925213">
              <w:rPr>
                <w:rFonts w:ascii="Calibri" w:eastAsia="Times New Roman" w:hAnsi="Calibri" w:cs="Calibri"/>
                <w:color w:val="000000"/>
                <w:szCs w:val="20"/>
                <w:lang w:val="en-AU" w:eastAsia="en-AU"/>
              </w:rPr>
              <w:t>56</w:t>
            </w:r>
            <w:r w:rsidR="008362F9" w:rsidRPr="00925213">
              <w:rPr>
                <w:rFonts w:ascii="Calibri" w:eastAsia="Times New Roman" w:hAnsi="Calibri" w:cs="Calibri"/>
                <w:color w:val="000000"/>
                <w:szCs w:val="20"/>
                <w:lang w:val="en-AU" w:eastAsia="en-AU"/>
              </w:rPr>
              <w:t>3</w:t>
            </w:r>
          </w:p>
        </w:tc>
      </w:tr>
      <w:tr w:rsidR="00D34D92" w:rsidRPr="009423C3" w14:paraId="4CD5F01C"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0C66A3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SETTERFIELD JACQUELINE MARY</w:t>
            </w:r>
          </w:p>
        </w:tc>
        <w:tc>
          <w:tcPr>
            <w:tcW w:w="4896" w:type="dxa"/>
            <w:tcBorders>
              <w:top w:val="single" w:sz="4" w:space="0" w:color="FFFFFF" w:themeColor="background1"/>
              <w:bottom w:val="single" w:sz="4" w:space="0" w:color="53565A" w:themeColor="accent5"/>
            </w:tcBorders>
          </w:tcPr>
          <w:p w14:paraId="66E4B97B" w14:textId="3DFECDC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FACA229" w14:textId="7966BE6F"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8,85</w:t>
            </w:r>
            <w:r w:rsidR="008362F9" w:rsidRPr="00925213">
              <w:rPr>
                <w:rFonts w:ascii="Calibri" w:eastAsia="Times New Roman" w:hAnsi="Calibri" w:cs="Calibri"/>
                <w:color w:val="000000"/>
                <w:szCs w:val="20"/>
                <w:lang w:val="en-AU" w:eastAsia="en-AU"/>
              </w:rPr>
              <w:t>5</w:t>
            </w:r>
          </w:p>
        </w:tc>
      </w:tr>
      <w:tr w:rsidR="00D34D92" w:rsidRPr="009423C3" w14:paraId="11F0AF8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6694DB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SFDC AUSTRALIA PTY LIMITED</w:t>
            </w:r>
          </w:p>
        </w:tc>
        <w:tc>
          <w:tcPr>
            <w:tcW w:w="4896" w:type="dxa"/>
            <w:tcBorders>
              <w:top w:val="single" w:sz="4" w:space="0" w:color="FFFFFF" w:themeColor="background1"/>
              <w:bottom w:val="single" w:sz="4" w:space="0" w:color="53565A" w:themeColor="accent5"/>
            </w:tcBorders>
          </w:tcPr>
          <w:p w14:paraId="50D6723D" w14:textId="41DBDEA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4DE9806D" w14:textId="156751F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2,065,</w:t>
            </w:r>
            <w:r w:rsidRPr="00925213">
              <w:rPr>
                <w:rFonts w:ascii="Calibri" w:eastAsia="Times New Roman" w:hAnsi="Calibri" w:cs="Calibri"/>
                <w:color w:val="000000"/>
                <w:szCs w:val="20"/>
                <w:lang w:val="en-AU" w:eastAsia="en-AU"/>
              </w:rPr>
              <w:t>48</w:t>
            </w:r>
            <w:r w:rsidR="008362F9" w:rsidRPr="00925213">
              <w:rPr>
                <w:rFonts w:ascii="Calibri" w:eastAsia="Times New Roman" w:hAnsi="Calibri" w:cs="Calibri"/>
                <w:color w:val="000000"/>
                <w:szCs w:val="20"/>
                <w:lang w:val="en-AU" w:eastAsia="en-AU"/>
              </w:rPr>
              <w:t>5</w:t>
            </w:r>
          </w:p>
        </w:tc>
      </w:tr>
      <w:tr w:rsidR="00D34D92" w:rsidRPr="009423C3" w14:paraId="490A708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8A0D3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SGS ECONOMICS AND PLANNING</w:t>
            </w:r>
          </w:p>
        </w:tc>
        <w:tc>
          <w:tcPr>
            <w:tcW w:w="4896" w:type="dxa"/>
            <w:tcBorders>
              <w:top w:val="single" w:sz="4" w:space="0" w:color="FFFFFF" w:themeColor="background1"/>
              <w:bottom w:val="single" w:sz="4" w:space="0" w:color="53565A" w:themeColor="accent5"/>
            </w:tcBorders>
          </w:tcPr>
          <w:p w14:paraId="202A65B4" w14:textId="12B233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58C78FE" w14:textId="5108D7B8"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8</w:t>
            </w:r>
            <w:r w:rsidR="008362F9" w:rsidRPr="00925213">
              <w:rPr>
                <w:rFonts w:ascii="Calibri" w:eastAsia="Times New Roman" w:hAnsi="Calibri" w:cs="Calibri"/>
                <w:color w:val="000000"/>
                <w:szCs w:val="20"/>
                <w:lang w:val="en-AU" w:eastAsia="en-AU"/>
              </w:rPr>
              <w:t>5</w:t>
            </w:r>
            <w:r w:rsidRPr="00925213">
              <w:rPr>
                <w:rFonts w:ascii="Calibri" w:eastAsia="Times New Roman" w:hAnsi="Calibri" w:cs="Calibri"/>
                <w:color w:val="000000"/>
                <w:szCs w:val="20"/>
                <w:lang w:val="en-AU" w:eastAsia="en-AU"/>
              </w:rPr>
              <w:t>,</w:t>
            </w:r>
            <w:r w:rsidR="008362F9" w:rsidRPr="00925213">
              <w:rPr>
                <w:rFonts w:ascii="Calibri" w:eastAsia="Times New Roman" w:hAnsi="Calibri" w:cs="Calibri"/>
                <w:color w:val="000000"/>
                <w:szCs w:val="20"/>
                <w:lang w:val="en-AU" w:eastAsia="en-AU"/>
              </w:rPr>
              <w:t>000</w:t>
            </w:r>
          </w:p>
        </w:tc>
      </w:tr>
      <w:tr w:rsidR="00D34D92" w:rsidRPr="009423C3" w14:paraId="70BC7FA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8AE29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SHANE PATRICK WALES</w:t>
            </w:r>
          </w:p>
        </w:tc>
        <w:tc>
          <w:tcPr>
            <w:tcW w:w="4896" w:type="dxa"/>
            <w:tcBorders>
              <w:top w:val="single" w:sz="4" w:space="0" w:color="FFFFFF" w:themeColor="background1"/>
              <w:bottom w:val="single" w:sz="4" w:space="0" w:color="53565A" w:themeColor="accent5"/>
            </w:tcBorders>
          </w:tcPr>
          <w:p w14:paraId="5B23EA56" w14:textId="074704D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BE1CE85" w14:textId="0546778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13,575</w:t>
            </w:r>
          </w:p>
        </w:tc>
      </w:tr>
      <w:tr w:rsidR="00D34D92" w:rsidRPr="009423C3" w14:paraId="0B8388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7A4AD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SHEEHAN MATTHEW LEIGH</w:t>
            </w:r>
          </w:p>
        </w:tc>
        <w:tc>
          <w:tcPr>
            <w:tcW w:w="4896" w:type="dxa"/>
            <w:tcBorders>
              <w:top w:val="single" w:sz="4" w:space="0" w:color="FFFFFF" w:themeColor="background1"/>
              <w:bottom w:val="single" w:sz="4" w:space="0" w:color="53565A" w:themeColor="accent5"/>
            </w:tcBorders>
          </w:tcPr>
          <w:p w14:paraId="1095E8DC" w14:textId="683A9F2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212EFB9" w14:textId="7FB2F42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8,700</w:t>
            </w:r>
          </w:p>
        </w:tc>
      </w:tr>
      <w:tr w:rsidR="00D34D92" w:rsidRPr="009423C3" w14:paraId="0D67640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007B15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SHERRY LINK COMMUNICATIONS</w:t>
            </w:r>
          </w:p>
        </w:tc>
        <w:tc>
          <w:tcPr>
            <w:tcW w:w="4896" w:type="dxa"/>
            <w:tcBorders>
              <w:top w:val="single" w:sz="4" w:space="0" w:color="FFFFFF" w:themeColor="background1"/>
              <w:bottom w:val="single" w:sz="4" w:space="0" w:color="53565A" w:themeColor="accent5"/>
            </w:tcBorders>
          </w:tcPr>
          <w:p w14:paraId="522A52A8" w14:textId="58E92AB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CB1D5E4" w14:textId="2E2CDDB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6,000</w:t>
            </w:r>
          </w:p>
        </w:tc>
      </w:tr>
      <w:tr w:rsidR="00D34D92" w:rsidRPr="009423C3" w14:paraId="2CB39A3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274E5A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SHK ASIA PACIFIC PTY LTD</w:t>
            </w:r>
          </w:p>
        </w:tc>
        <w:tc>
          <w:tcPr>
            <w:tcW w:w="4896" w:type="dxa"/>
            <w:tcBorders>
              <w:top w:val="single" w:sz="4" w:space="0" w:color="FFFFFF" w:themeColor="background1"/>
              <w:bottom w:val="single" w:sz="4" w:space="0" w:color="53565A" w:themeColor="accent5"/>
            </w:tcBorders>
          </w:tcPr>
          <w:p w14:paraId="699A858A" w14:textId="1022EEA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Recruitment </w:t>
            </w:r>
            <w:r w:rsidR="00F17011">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6801EB7A" w14:textId="18B826C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149,500</w:t>
            </w:r>
          </w:p>
        </w:tc>
      </w:tr>
      <w:tr w:rsidR="00D34D92" w:rsidRPr="009423C3" w14:paraId="0F5148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2EE86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SHOPPER MEDIA GROUP OPERATIONS PTY LTD</w:t>
            </w:r>
          </w:p>
        </w:tc>
        <w:tc>
          <w:tcPr>
            <w:tcW w:w="4896" w:type="dxa"/>
            <w:tcBorders>
              <w:top w:val="single" w:sz="4" w:space="0" w:color="FFFFFF" w:themeColor="background1"/>
              <w:bottom w:val="single" w:sz="4" w:space="0" w:color="53565A" w:themeColor="accent5"/>
            </w:tcBorders>
          </w:tcPr>
          <w:p w14:paraId="7F95628B" w14:textId="682AB1AA"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20F26D21" w14:textId="4264625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3,480</w:t>
            </w:r>
          </w:p>
        </w:tc>
      </w:tr>
      <w:tr w:rsidR="00D34D92" w:rsidRPr="009423C3" w14:paraId="241FF68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C689AC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SIGNORELLO INVESTMENTS PTY LTD</w:t>
            </w:r>
          </w:p>
        </w:tc>
        <w:tc>
          <w:tcPr>
            <w:tcW w:w="4896" w:type="dxa"/>
            <w:tcBorders>
              <w:top w:val="single" w:sz="4" w:space="0" w:color="FFFFFF" w:themeColor="background1"/>
              <w:bottom w:val="single" w:sz="4" w:space="0" w:color="53565A" w:themeColor="accent5"/>
            </w:tcBorders>
          </w:tcPr>
          <w:p w14:paraId="14075C01" w14:textId="1D3FB673"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7961484F" w14:textId="234F70D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72,500</w:t>
            </w:r>
          </w:p>
        </w:tc>
      </w:tr>
      <w:tr w:rsidR="00D34D92" w:rsidRPr="009423C3" w14:paraId="135630E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940C42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SILENT PARTNERS LEARNING SERVICES</w:t>
            </w:r>
          </w:p>
        </w:tc>
        <w:tc>
          <w:tcPr>
            <w:tcW w:w="4896" w:type="dxa"/>
            <w:tcBorders>
              <w:top w:val="single" w:sz="4" w:space="0" w:color="FFFFFF" w:themeColor="background1"/>
              <w:bottom w:val="single" w:sz="4" w:space="0" w:color="53565A" w:themeColor="accent5"/>
            </w:tcBorders>
          </w:tcPr>
          <w:p w14:paraId="44B1C75D" w14:textId="545C6D2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33A0171" w14:textId="09834A0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214,</w:t>
            </w:r>
            <w:r w:rsidRPr="00925213">
              <w:rPr>
                <w:rFonts w:ascii="Calibri" w:eastAsia="Times New Roman" w:hAnsi="Calibri" w:cs="Calibri"/>
                <w:color w:val="000000"/>
                <w:szCs w:val="20"/>
                <w:lang w:val="en-AU" w:eastAsia="en-AU"/>
              </w:rPr>
              <w:t>06</w:t>
            </w:r>
            <w:r w:rsidR="008362F9" w:rsidRPr="00925213">
              <w:rPr>
                <w:rFonts w:ascii="Calibri" w:eastAsia="Times New Roman" w:hAnsi="Calibri" w:cs="Calibri"/>
                <w:color w:val="000000"/>
                <w:szCs w:val="20"/>
                <w:lang w:val="en-AU" w:eastAsia="en-AU"/>
              </w:rPr>
              <w:t>4</w:t>
            </w:r>
          </w:p>
        </w:tc>
      </w:tr>
      <w:tr w:rsidR="00D34D92" w:rsidRPr="009423C3" w14:paraId="7662053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9EFAA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SILVEREYE LEARNING RESOURCES</w:t>
            </w:r>
          </w:p>
        </w:tc>
        <w:tc>
          <w:tcPr>
            <w:tcW w:w="4896" w:type="dxa"/>
            <w:tcBorders>
              <w:top w:val="single" w:sz="4" w:space="0" w:color="FFFFFF" w:themeColor="background1"/>
              <w:bottom w:val="single" w:sz="4" w:space="0" w:color="53565A" w:themeColor="accent5"/>
            </w:tcBorders>
          </w:tcPr>
          <w:p w14:paraId="2A022E8F" w14:textId="0240298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0C0FACB" w14:textId="1D4F135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1,617</w:t>
            </w:r>
          </w:p>
        </w:tc>
      </w:tr>
      <w:tr w:rsidR="00D34D92" w:rsidRPr="009423C3" w14:paraId="21FF36A6"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96F66D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SINGING BOWL MEDIA</w:t>
            </w:r>
          </w:p>
        </w:tc>
        <w:tc>
          <w:tcPr>
            <w:tcW w:w="4896" w:type="dxa"/>
            <w:tcBorders>
              <w:top w:val="single" w:sz="4" w:space="0" w:color="FFFFFF" w:themeColor="background1"/>
              <w:bottom w:val="single" w:sz="4" w:space="0" w:color="53565A" w:themeColor="accent5"/>
            </w:tcBorders>
          </w:tcPr>
          <w:p w14:paraId="31C97883" w14:textId="091A76A6"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1920FFBA" w14:textId="2E27E65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6,100</w:t>
            </w:r>
          </w:p>
        </w:tc>
      </w:tr>
      <w:tr w:rsidR="00D34D92" w:rsidRPr="009423C3" w14:paraId="2CF4FD7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6E03AF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SIP MANAGEMENT CONSULTANTS (VIC) PTY LTD</w:t>
            </w:r>
          </w:p>
        </w:tc>
        <w:tc>
          <w:tcPr>
            <w:tcW w:w="4896" w:type="dxa"/>
            <w:tcBorders>
              <w:top w:val="single" w:sz="4" w:space="0" w:color="FFFFFF" w:themeColor="background1"/>
              <w:bottom w:val="single" w:sz="4" w:space="0" w:color="53565A" w:themeColor="accent5"/>
            </w:tcBorders>
          </w:tcPr>
          <w:p w14:paraId="7344276B" w14:textId="418CCF9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8A92B76" w14:textId="1E80B77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4,800</w:t>
            </w:r>
          </w:p>
        </w:tc>
      </w:tr>
      <w:tr w:rsidR="00D34D92" w:rsidRPr="009423C3" w14:paraId="2639105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DABE55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SIT OR STAND</w:t>
            </w:r>
          </w:p>
        </w:tc>
        <w:tc>
          <w:tcPr>
            <w:tcW w:w="4896" w:type="dxa"/>
            <w:tcBorders>
              <w:top w:val="single" w:sz="4" w:space="0" w:color="FFFFFF" w:themeColor="background1"/>
              <w:bottom w:val="single" w:sz="4" w:space="0" w:color="53565A" w:themeColor="accent5"/>
            </w:tcBorders>
          </w:tcPr>
          <w:p w14:paraId="568B10A7" w14:textId="7980282E"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Utilities, </w:t>
            </w:r>
            <w:r w:rsidR="00A16445">
              <w:rPr>
                <w:rFonts w:ascii="Calibri" w:eastAsia="Times New Roman" w:hAnsi="Calibri" w:cs="Calibri"/>
                <w:color w:val="000000"/>
                <w:szCs w:val="20"/>
                <w:lang w:val="en-AU" w:eastAsia="en-AU"/>
              </w:rPr>
              <w:t>i</w:t>
            </w:r>
            <w:r w:rsidRPr="008457E1">
              <w:rPr>
                <w:rFonts w:ascii="Calibri" w:eastAsia="Times New Roman" w:hAnsi="Calibri" w:cs="Calibri"/>
                <w:color w:val="000000"/>
                <w:szCs w:val="20"/>
                <w:lang w:val="en-AU" w:eastAsia="en-AU"/>
              </w:rPr>
              <w:t>nfrastructure/</w:t>
            </w:r>
            <w:r w:rsidR="00A16445">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 xml:space="preserve">ustainability, </w:t>
            </w:r>
            <w:proofErr w:type="gramStart"/>
            <w:r w:rsidR="00A16445">
              <w:rPr>
                <w:rFonts w:ascii="Calibri" w:eastAsia="Times New Roman" w:hAnsi="Calibri" w:cs="Calibri"/>
                <w:color w:val="000000"/>
                <w:szCs w:val="20"/>
                <w:lang w:val="en-AU" w:eastAsia="en-AU"/>
              </w:rPr>
              <w:t>t</w:t>
            </w:r>
            <w:r w:rsidRPr="008457E1">
              <w:rPr>
                <w:rFonts w:ascii="Calibri" w:eastAsia="Times New Roman" w:hAnsi="Calibri" w:cs="Calibri"/>
                <w:color w:val="000000"/>
                <w:szCs w:val="20"/>
                <w:lang w:val="en-AU" w:eastAsia="en-AU"/>
              </w:rPr>
              <w:t>ransport</w:t>
            </w:r>
            <w:proofErr w:type="gramEnd"/>
            <w:r w:rsidRPr="008457E1">
              <w:rPr>
                <w:rFonts w:ascii="Calibri" w:eastAsia="Times New Roman" w:hAnsi="Calibri" w:cs="Calibri"/>
                <w:color w:val="000000"/>
                <w:szCs w:val="20"/>
                <w:lang w:val="en-AU" w:eastAsia="en-AU"/>
              </w:rPr>
              <w:t xml:space="preserve"> and </w:t>
            </w:r>
            <w:r w:rsidR="00A16445">
              <w:rPr>
                <w:rFonts w:ascii="Calibri" w:eastAsia="Times New Roman" w:hAnsi="Calibri" w:cs="Calibri"/>
                <w:color w:val="000000"/>
                <w:szCs w:val="20"/>
                <w:lang w:val="en-AU" w:eastAsia="en-AU"/>
              </w:rPr>
              <w:t>p</w:t>
            </w:r>
            <w:r w:rsidRPr="008457E1">
              <w:rPr>
                <w:rFonts w:ascii="Calibri" w:eastAsia="Times New Roman" w:hAnsi="Calibri" w:cs="Calibri"/>
                <w:color w:val="000000"/>
                <w:szCs w:val="20"/>
                <w:lang w:val="en-AU" w:eastAsia="en-AU"/>
              </w:rPr>
              <w:t xml:space="preserve">roject </w:t>
            </w:r>
            <w:r w:rsidR="00A16445">
              <w:rPr>
                <w:rFonts w:ascii="Calibri" w:eastAsia="Times New Roman" w:hAnsi="Calibri" w:cs="Calibri"/>
                <w:color w:val="000000"/>
                <w:szCs w:val="20"/>
                <w:lang w:val="en-AU" w:eastAsia="en-AU"/>
              </w:rPr>
              <w:t>m</w:t>
            </w:r>
            <w:r w:rsidRPr="008457E1">
              <w:rPr>
                <w:rFonts w:ascii="Calibri" w:eastAsia="Times New Roman" w:hAnsi="Calibri" w:cs="Calibri"/>
                <w:color w:val="000000"/>
                <w:szCs w:val="20"/>
                <w:lang w:val="en-AU" w:eastAsia="en-AU"/>
              </w:rPr>
              <w:t xml:space="preserve">anagement </w:t>
            </w:r>
            <w:r w:rsidR="00A16445">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tcPr>
          <w:p w14:paraId="300AB7C7" w14:textId="43F8A0F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26,</w:t>
            </w:r>
            <w:r w:rsidRPr="00925213">
              <w:rPr>
                <w:rFonts w:ascii="Calibri" w:eastAsia="Times New Roman" w:hAnsi="Calibri" w:cs="Calibri"/>
                <w:color w:val="000000"/>
                <w:szCs w:val="20"/>
                <w:lang w:val="en-AU" w:eastAsia="en-AU"/>
              </w:rPr>
              <w:t>14</w:t>
            </w:r>
            <w:r w:rsidR="008362F9" w:rsidRPr="00925213">
              <w:rPr>
                <w:rFonts w:ascii="Calibri" w:eastAsia="Times New Roman" w:hAnsi="Calibri" w:cs="Calibri"/>
                <w:color w:val="000000"/>
                <w:szCs w:val="20"/>
                <w:lang w:val="en-AU" w:eastAsia="en-AU"/>
              </w:rPr>
              <w:t>8</w:t>
            </w:r>
          </w:p>
        </w:tc>
      </w:tr>
      <w:tr w:rsidR="00D34D92" w:rsidRPr="009423C3" w14:paraId="19FF0F3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6353C5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SKILLS4THE FUTURE PTY LTD</w:t>
            </w:r>
          </w:p>
        </w:tc>
        <w:tc>
          <w:tcPr>
            <w:tcW w:w="4896" w:type="dxa"/>
            <w:tcBorders>
              <w:top w:val="single" w:sz="4" w:space="0" w:color="FFFFFF" w:themeColor="background1"/>
              <w:bottom w:val="single" w:sz="4" w:space="0" w:color="53565A" w:themeColor="accent5"/>
            </w:tcBorders>
          </w:tcPr>
          <w:p w14:paraId="7358A1CE" w14:textId="3260F670"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2A4451B3" w14:textId="1A4FAA0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90,040</w:t>
            </w:r>
          </w:p>
        </w:tc>
      </w:tr>
      <w:tr w:rsidR="00D34D92" w:rsidRPr="009423C3" w14:paraId="4A89488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8F7FDA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SKUNK CONTROL PTY LTD</w:t>
            </w:r>
          </w:p>
        </w:tc>
        <w:tc>
          <w:tcPr>
            <w:tcW w:w="4896" w:type="dxa"/>
            <w:tcBorders>
              <w:top w:val="single" w:sz="4" w:space="0" w:color="FFFFFF" w:themeColor="background1"/>
              <w:bottom w:val="single" w:sz="4" w:space="0" w:color="53565A" w:themeColor="accent5"/>
            </w:tcBorders>
          </w:tcPr>
          <w:p w14:paraId="0CCC05B5" w14:textId="0C3FA4D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A03B026" w14:textId="50285F8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39,</w:t>
            </w:r>
            <w:r w:rsidRPr="00925213">
              <w:rPr>
                <w:rFonts w:ascii="Calibri" w:eastAsia="Times New Roman" w:hAnsi="Calibri" w:cs="Calibri"/>
                <w:color w:val="000000"/>
                <w:szCs w:val="20"/>
                <w:lang w:val="en-AU" w:eastAsia="en-AU"/>
              </w:rPr>
              <w:t>64</w:t>
            </w:r>
            <w:r w:rsidR="008362F9" w:rsidRPr="00925213">
              <w:rPr>
                <w:rFonts w:ascii="Calibri" w:eastAsia="Times New Roman" w:hAnsi="Calibri" w:cs="Calibri"/>
                <w:color w:val="000000"/>
                <w:szCs w:val="20"/>
                <w:lang w:val="en-AU" w:eastAsia="en-AU"/>
              </w:rPr>
              <w:t>8</w:t>
            </w:r>
          </w:p>
        </w:tc>
      </w:tr>
      <w:tr w:rsidR="00D34D92" w:rsidRPr="009423C3" w14:paraId="61F3E1C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B0D2D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SLEEP MORRIS</w:t>
            </w:r>
          </w:p>
        </w:tc>
        <w:tc>
          <w:tcPr>
            <w:tcW w:w="4896" w:type="dxa"/>
            <w:tcBorders>
              <w:top w:val="single" w:sz="4" w:space="0" w:color="FFFFFF" w:themeColor="background1"/>
              <w:bottom w:val="single" w:sz="4" w:space="0" w:color="53565A" w:themeColor="accent5"/>
            </w:tcBorders>
          </w:tcPr>
          <w:p w14:paraId="0D9458FF" w14:textId="018EF24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F26E38A" w14:textId="562860E9"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9,81</w:t>
            </w:r>
            <w:r w:rsidR="008362F9" w:rsidRPr="00925213">
              <w:rPr>
                <w:rFonts w:ascii="Calibri" w:eastAsia="Times New Roman" w:hAnsi="Calibri" w:cs="Calibri"/>
                <w:color w:val="000000"/>
                <w:szCs w:val="20"/>
                <w:lang w:val="en-AU" w:eastAsia="en-AU"/>
              </w:rPr>
              <w:t>3</w:t>
            </w:r>
          </w:p>
        </w:tc>
      </w:tr>
      <w:tr w:rsidR="00D34D92" w:rsidRPr="009423C3" w14:paraId="5EB58D3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285A9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SMART APPS PTY LTD</w:t>
            </w:r>
          </w:p>
        </w:tc>
        <w:tc>
          <w:tcPr>
            <w:tcW w:w="4896" w:type="dxa"/>
            <w:tcBorders>
              <w:top w:val="single" w:sz="4" w:space="0" w:color="FFFFFF" w:themeColor="background1"/>
              <w:bottom w:val="single" w:sz="4" w:space="0" w:color="53565A" w:themeColor="accent5"/>
            </w:tcBorders>
          </w:tcPr>
          <w:p w14:paraId="7B274204" w14:textId="3578475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2C1C8F63" w14:textId="2BF014E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1,713,</w:t>
            </w:r>
            <w:r w:rsidRPr="00925213">
              <w:rPr>
                <w:rFonts w:ascii="Calibri" w:eastAsia="Times New Roman" w:hAnsi="Calibri" w:cs="Calibri"/>
                <w:color w:val="000000"/>
                <w:szCs w:val="20"/>
                <w:lang w:val="en-AU" w:eastAsia="en-AU"/>
              </w:rPr>
              <w:t>18</w:t>
            </w:r>
            <w:r w:rsidR="008362F9" w:rsidRPr="00925213">
              <w:rPr>
                <w:rFonts w:ascii="Calibri" w:eastAsia="Times New Roman" w:hAnsi="Calibri" w:cs="Calibri"/>
                <w:color w:val="000000"/>
                <w:szCs w:val="20"/>
                <w:lang w:val="en-AU" w:eastAsia="en-AU"/>
              </w:rPr>
              <w:t>9</w:t>
            </w:r>
          </w:p>
        </w:tc>
      </w:tr>
      <w:tr w:rsidR="00D34D92" w:rsidRPr="009423C3" w14:paraId="22EFB07B"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F7AFC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SMITH LUCIA MICHELLE</w:t>
            </w:r>
          </w:p>
        </w:tc>
        <w:tc>
          <w:tcPr>
            <w:tcW w:w="4896" w:type="dxa"/>
            <w:tcBorders>
              <w:top w:val="single" w:sz="4" w:space="0" w:color="FFFFFF" w:themeColor="background1"/>
              <w:bottom w:val="single" w:sz="4" w:space="0" w:color="53565A" w:themeColor="accent5"/>
            </w:tcBorders>
          </w:tcPr>
          <w:p w14:paraId="3A1E561B" w14:textId="17399AA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8DA1F4D" w14:textId="7446663A"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3,30</w:t>
            </w:r>
            <w:r w:rsidR="008362F9" w:rsidRPr="00925213">
              <w:rPr>
                <w:rFonts w:ascii="Calibri" w:eastAsia="Times New Roman" w:hAnsi="Calibri" w:cs="Calibri"/>
                <w:color w:val="000000"/>
                <w:szCs w:val="20"/>
                <w:lang w:val="en-AU" w:eastAsia="en-AU"/>
              </w:rPr>
              <w:t>2</w:t>
            </w:r>
          </w:p>
        </w:tc>
      </w:tr>
      <w:tr w:rsidR="00D34D92" w:rsidRPr="009423C3" w14:paraId="2B25B51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521A8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SOCIAL RESEARCH CENTRE PTY LTD</w:t>
            </w:r>
          </w:p>
        </w:tc>
        <w:tc>
          <w:tcPr>
            <w:tcW w:w="4896" w:type="dxa"/>
            <w:tcBorders>
              <w:top w:val="single" w:sz="4" w:space="0" w:color="FFFFFF" w:themeColor="background1"/>
              <w:bottom w:val="single" w:sz="4" w:space="0" w:color="53565A" w:themeColor="accent5"/>
            </w:tcBorders>
          </w:tcPr>
          <w:p w14:paraId="48D17215" w14:textId="2F10D2B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261267D2" w14:textId="1209755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1,555,873</w:t>
            </w:r>
          </w:p>
        </w:tc>
      </w:tr>
      <w:tr w:rsidR="00D34D92" w:rsidRPr="009423C3" w14:paraId="10A1F92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0A1DA7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SOCIAL VENTURES AUSTRALIA LIMITED</w:t>
            </w:r>
          </w:p>
        </w:tc>
        <w:tc>
          <w:tcPr>
            <w:tcW w:w="4896" w:type="dxa"/>
            <w:tcBorders>
              <w:top w:val="single" w:sz="4" w:space="0" w:color="FFFFFF" w:themeColor="background1"/>
              <w:bottom w:val="single" w:sz="4" w:space="0" w:color="53565A" w:themeColor="accent5"/>
            </w:tcBorders>
          </w:tcPr>
          <w:p w14:paraId="3C48267C" w14:textId="68F6217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6F92F8D" w14:textId="51B5F74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6,000</w:t>
            </w:r>
          </w:p>
        </w:tc>
      </w:tr>
      <w:tr w:rsidR="00D34D92" w:rsidRPr="009423C3" w14:paraId="78FF81C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E0519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SOCIALCOIL PTY LTD</w:t>
            </w:r>
          </w:p>
        </w:tc>
        <w:tc>
          <w:tcPr>
            <w:tcW w:w="4896" w:type="dxa"/>
            <w:tcBorders>
              <w:top w:val="single" w:sz="4" w:space="0" w:color="FFFFFF" w:themeColor="background1"/>
              <w:bottom w:val="single" w:sz="4" w:space="0" w:color="53565A" w:themeColor="accent5"/>
            </w:tcBorders>
          </w:tcPr>
          <w:p w14:paraId="28A5FFF1" w14:textId="5D9EFFB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3589958" w14:textId="19EAF8A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2,310</w:t>
            </w:r>
          </w:p>
        </w:tc>
      </w:tr>
      <w:tr w:rsidR="00D34D92" w:rsidRPr="009423C3" w14:paraId="546DF4A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D23CEE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SONG ROOM LIMITED</w:t>
            </w:r>
          </w:p>
        </w:tc>
        <w:tc>
          <w:tcPr>
            <w:tcW w:w="4896" w:type="dxa"/>
            <w:tcBorders>
              <w:top w:val="single" w:sz="4" w:space="0" w:color="FFFFFF" w:themeColor="background1"/>
              <w:bottom w:val="single" w:sz="4" w:space="0" w:color="53565A" w:themeColor="accent5"/>
            </w:tcBorders>
          </w:tcPr>
          <w:p w14:paraId="61C5FCCA" w14:textId="09A181D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037FAF1F" w14:textId="0814E87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444,050</w:t>
            </w:r>
          </w:p>
        </w:tc>
      </w:tr>
      <w:tr w:rsidR="00D34D92" w:rsidRPr="009423C3" w14:paraId="6ACEEBE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4F93F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SOULBOOK PTY LTD</w:t>
            </w:r>
          </w:p>
        </w:tc>
        <w:tc>
          <w:tcPr>
            <w:tcW w:w="4896" w:type="dxa"/>
            <w:tcBorders>
              <w:top w:val="single" w:sz="4" w:space="0" w:color="FFFFFF" w:themeColor="background1"/>
              <w:bottom w:val="single" w:sz="4" w:space="0" w:color="53565A" w:themeColor="accent5"/>
            </w:tcBorders>
          </w:tcPr>
          <w:p w14:paraId="1CEB6642" w14:textId="158C2FF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0DBEC66D" w14:textId="12C4BCC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917,067</w:t>
            </w:r>
          </w:p>
        </w:tc>
      </w:tr>
      <w:tr w:rsidR="00D34D92" w:rsidRPr="009423C3" w14:paraId="5F3DBA1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3D18D9" w14:textId="77777777" w:rsidR="00D34D92" w:rsidRPr="008457E1" w:rsidRDefault="00D34D92" w:rsidP="00D34D92">
            <w:pPr>
              <w:pStyle w:val="ESTablebody"/>
              <w:rPr>
                <w:rFonts w:ascii="Calibri" w:eastAsia="Times New Roman" w:hAnsi="Calibri" w:cs="Calibri"/>
                <w:color w:val="000000"/>
                <w:szCs w:val="20"/>
                <w:lang w:val="en-AU" w:eastAsia="en-AU"/>
              </w:rPr>
            </w:pPr>
            <w:proofErr w:type="gramStart"/>
            <w:r w:rsidRPr="008457E1">
              <w:rPr>
                <w:rFonts w:ascii="Calibri" w:eastAsia="Times New Roman" w:hAnsi="Calibri" w:cs="Calibri"/>
                <w:color w:val="000000"/>
                <w:szCs w:val="20"/>
                <w:lang w:val="en-AU" w:eastAsia="en-AU"/>
              </w:rPr>
              <w:t>SOUTH WEST</w:t>
            </w:r>
            <w:proofErr w:type="gramEnd"/>
            <w:r w:rsidRPr="008457E1">
              <w:rPr>
                <w:rFonts w:ascii="Calibri" w:eastAsia="Times New Roman" w:hAnsi="Calibri" w:cs="Calibri"/>
                <w:color w:val="000000"/>
                <w:szCs w:val="20"/>
                <w:lang w:val="en-AU" w:eastAsia="en-AU"/>
              </w:rPr>
              <w:t xml:space="preserve"> INSTITUTE OF TAFE (WARRNAMBOOL)</w:t>
            </w:r>
          </w:p>
        </w:tc>
        <w:tc>
          <w:tcPr>
            <w:tcW w:w="4896" w:type="dxa"/>
            <w:tcBorders>
              <w:top w:val="single" w:sz="4" w:space="0" w:color="FFFFFF" w:themeColor="background1"/>
              <w:bottom w:val="single" w:sz="4" w:space="0" w:color="53565A" w:themeColor="accent5"/>
            </w:tcBorders>
          </w:tcPr>
          <w:p w14:paraId="05EEF029" w14:textId="3F4AFE68"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A8018A1" w14:textId="2BD7B4F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64,311</w:t>
            </w:r>
          </w:p>
        </w:tc>
      </w:tr>
      <w:tr w:rsidR="00D34D92" w:rsidRPr="009423C3" w14:paraId="3A4A2FA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1A04B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SPARK CHART PTY LTD</w:t>
            </w:r>
          </w:p>
        </w:tc>
        <w:tc>
          <w:tcPr>
            <w:tcW w:w="4896" w:type="dxa"/>
            <w:tcBorders>
              <w:top w:val="single" w:sz="4" w:space="0" w:color="FFFFFF" w:themeColor="background1"/>
              <w:bottom w:val="single" w:sz="4" w:space="0" w:color="53565A" w:themeColor="accent5"/>
            </w:tcBorders>
          </w:tcPr>
          <w:p w14:paraId="27349975" w14:textId="3F461BD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7EFEC55" w14:textId="2B09B76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1,260</w:t>
            </w:r>
          </w:p>
        </w:tc>
      </w:tr>
      <w:tr w:rsidR="00D34D92" w:rsidRPr="009423C3" w14:paraId="7340263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12EB0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SPATIAL VISION INNOVATIONS PTY LTD</w:t>
            </w:r>
          </w:p>
        </w:tc>
        <w:tc>
          <w:tcPr>
            <w:tcW w:w="4896" w:type="dxa"/>
            <w:tcBorders>
              <w:top w:val="single" w:sz="4" w:space="0" w:color="FFFFFF" w:themeColor="background1"/>
              <w:bottom w:val="single" w:sz="4" w:space="0" w:color="53565A" w:themeColor="accent5"/>
            </w:tcBorders>
          </w:tcPr>
          <w:p w14:paraId="2FCFC28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Curriculum Development Services</w:t>
            </w:r>
          </w:p>
        </w:tc>
        <w:tc>
          <w:tcPr>
            <w:tcW w:w="1417" w:type="dxa"/>
            <w:tcBorders>
              <w:top w:val="single" w:sz="4" w:space="0" w:color="FFFFFF" w:themeColor="background1"/>
              <w:bottom w:val="single" w:sz="4" w:space="0" w:color="53565A" w:themeColor="accent5"/>
            </w:tcBorders>
            <w:shd w:val="clear" w:color="auto" w:fill="auto"/>
          </w:tcPr>
          <w:p w14:paraId="5065FA4C" w14:textId="793F839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4,600</w:t>
            </w:r>
          </w:p>
        </w:tc>
      </w:tr>
      <w:tr w:rsidR="00D34D92" w:rsidRPr="009423C3" w14:paraId="2947A46A"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07592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SPECIALISTERNE CENTRE AUSTRALIA LIMITED</w:t>
            </w:r>
          </w:p>
        </w:tc>
        <w:tc>
          <w:tcPr>
            <w:tcW w:w="4896" w:type="dxa"/>
            <w:tcBorders>
              <w:top w:val="single" w:sz="4" w:space="0" w:color="FFFFFF" w:themeColor="background1"/>
              <w:bottom w:val="single" w:sz="4" w:space="0" w:color="53565A" w:themeColor="accent5"/>
            </w:tcBorders>
          </w:tcPr>
          <w:p w14:paraId="57F35414" w14:textId="2FD9B05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CED5E4E" w14:textId="363D59A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12,000</w:t>
            </w:r>
          </w:p>
        </w:tc>
      </w:tr>
      <w:tr w:rsidR="00D34D92" w:rsidRPr="009423C3" w14:paraId="6F39298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C7B345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SPECTRUM HOUSE PTY LTD</w:t>
            </w:r>
          </w:p>
        </w:tc>
        <w:tc>
          <w:tcPr>
            <w:tcW w:w="4896" w:type="dxa"/>
            <w:tcBorders>
              <w:top w:val="single" w:sz="4" w:space="0" w:color="FFFFFF" w:themeColor="background1"/>
              <w:bottom w:val="single" w:sz="4" w:space="0" w:color="53565A" w:themeColor="accent5"/>
            </w:tcBorders>
          </w:tcPr>
          <w:p w14:paraId="5D93285F" w14:textId="59340B4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180A4A4" w14:textId="7D46415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1,580</w:t>
            </w:r>
          </w:p>
        </w:tc>
      </w:tr>
      <w:tr w:rsidR="00D34D92" w:rsidRPr="009423C3" w14:paraId="175484A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FA128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SPEECH PATHOLOGY PLUS</w:t>
            </w:r>
          </w:p>
        </w:tc>
        <w:tc>
          <w:tcPr>
            <w:tcW w:w="4896" w:type="dxa"/>
            <w:tcBorders>
              <w:top w:val="single" w:sz="4" w:space="0" w:color="FFFFFF" w:themeColor="background1"/>
              <w:bottom w:val="single" w:sz="4" w:space="0" w:color="53565A" w:themeColor="accent5"/>
            </w:tcBorders>
          </w:tcPr>
          <w:p w14:paraId="5AA4B435" w14:textId="144F288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BA22AE5" w14:textId="23B4DC7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w:t>
            </w:r>
            <w:r w:rsidRPr="00925213">
              <w:rPr>
                <w:rFonts w:ascii="Calibri" w:eastAsia="Times New Roman" w:hAnsi="Calibri" w:cs="Calibri"/>
                <w:color w:val="000000"/>
                <w:szCs w:val="20"/>
                <w:lang w:val="en-AU" w:eastAsia="en-AU"/>
              </w:rPr>
              <w:t>72</w:t>
            </w:r>
            <w:r w:rsidR="008362F9" w:rsidRPr="00925213">
              <w:rPr>
                <w:rFonts w:ascii="Calibri" w:eastAsia="Times New Roman" w:hAnsi="Calibri" w:cs="Calibri"/>
                <w:color w:val="000000"/>
                <w:szCs w:val="20"/>
                <w:lang w:val="en-AU" w:eastAsia="en-AU"/>
              </w:rPr>
              <w:t>8</w:t>
            </w:r>
          </w:p>
        </w:tc>
      </w:tr>
      <w:tr w:rsidR="00D34D92" w:rsidRPr="009423C3" w14:paraId="37A12BD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07114F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SPELD VICTORIA INC</w:t>
            </w:r>
          </w:p>
        </w:tc>
        <w:tc>
          <w:tcPr>
            <w:tcW w:w="4896" w:type="dxa"/>
            <w:tcBorders>
              <w:top w:val="single" w:sz="4" w:space="0" w:color="FFFFFF" w:themeColor="background1"/>
              <w:bottom w:val="single" w:sz="4" w:space="0" w:color="53565A" w:themeColor="accent5"/>
            </w:tcBorders>
          </w:tcPr>
          <w:p w14:paraId="2D3F1B75" w14:textId="396C701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90D2068" w14:textId="3331BA2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3,200</w:t>
            </w:r>
          </w:p>
        </w:tc>
      </w:tr>
      <w:tr w:rsidR="00D34D92" w:rsidRPr="009423C3" w14:paraId="4658329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1CC7A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SPENCE DEIRDRE GERALDINE</w:t>
            </w:r>
          </w:p>
        </w:tc>
        <w:tc>
          <w:tcPr>
            <w:tcW w:w="4896" w:type="dxa"/>
            <w:tcBorders>
              <w:top w:val="single" w:sz="4" w:space="0" w:color="FFFFFF" w:themeColor="background1"/>
              <w:bottom w:val="single" w:sz="4" w:space="0" w:color="53565A" w:themeColor="accent5"/>
            </w:tcBorders>
          </w:tcPr>
          <w:p w14:paraId="1425247F" w14:textId="2C61D63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FF5DE25" w14:textId="4A27B56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22,</w:t>
            </w:r>
            <w:r w:rsidRPr="00925213">
              <w:rPr>
                <w:rFonts w:ascii="Calibri" w:eastAsia="Times New Roman" w:hAnsi="Calibri" w:cs="Calibri"/>
                <w:color w:val="000000"/>
                <w:szCs w:val="20"/>
                <w:lang w:val="en-AU" w:eastAsia="en-AU"/>
              </w:rPr>
              <w:t>67</w:t>
            </w:r>
            <w:r w:rsidR="008362F9" w:rsidRPr="00925213">
              <w:rPr>
                <w:rFonts w:ascii="Calibri" w:eastAsia="Times New Roman" w:hAnsi="Calibri" w:cs="Calibri"/>
                <w:color w:val="000000"/>
                <w:szCs w:val="20"/>
                <w:lang w:val="en-AU" w:eastAsia="en-AU"/>
              </w:rPr>
              <w:t>4</w:t>
            </w:r>
          </w:p>
        </w:tc>
      </w:tr>
      <w:tr w:rsidR="00D34D92" w:rsidRPr="009423C3" w14:paraId="5F99293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09AB6E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SPRINGFOX PTY LTD</w:t>
            </w:r>
          </w:p>
        </w:tc>
        <w:tc>
          <w:tcPr>
            <w:tcW w:w="4896" w:type="dxa"/>
            <w:tcBorders>
              <w:top w:val="single" w:sz="4" w:space="0" w:color="FFFFFF" w:themeColor="background1"/>
              <w:bottom w:val="single" w:sz="4" w:space="0" w:color="53565A" w:themeColor="accent5"/>
            </w:tcBorders>
          </w:tcPr>
          <w:p w14:paraId="0A68B902" w14:textId="3170172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E8E2E75" w14:textId="1C5559A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11,375</w:t>
            </w:r>
          </w:p>
        </w:tc>
      </w:tr>
      <w:tr w:rsidR="00D34D92" w:rsidRPr="009423C3" w14:paraId="0F79E09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1CE7C8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SQUARE THE CIRCLE</w:t>
            </w:r>
          </w:p>
        </w:tc>
        <w:tc>
          <w:tcPr>
            <w:tcW w:w="4896" w:type="dxa"/>
            <w:tcBorders>
              <w:top w:val="single" w:sz="4" w:space="0" w:color="FFFFFF" w:themeColor="background1"/>
              <w:bottom w:val="single" w:sz="4" w:space="0" w:color="53565A" w:themeColor="accent5"/>
            </w:tcBorders>
          </w:tcPr>
          <w:p w14:paraId="398CB35E" w14:textId="63D03DB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5C9F2F0" w14:textId="0418970A"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10,140</w:t>
            </w:r>
          </w:p>
        </w:tc>
      </w:tr>
      <w:tr w:rsidR="00D34D92" w:rsidRPr="009423C3" w14:paraId="421B4C4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1A8EC6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SQUIZS CONSULTING SERVICE</w:t>
            </w:r>
          </w:p>
        </w:tc>
        <w:tc>
          <w:tcPr>
            <w:tcW w:w="4896" w:type="dxa"/>
            <w:tcBorders>
              <w:top w:val="single" w:sz="4" w:space="0" w:color="FFFFFF" w:themeColor="background1"/>
              <w:bottom w:val="single" w:sz="4" w:space="0" w:color="53565A" w:themeColor="accent5"/>
            </w:tcBorders>
          </w:tcPr>
          <w:p w14:paraId="5882CB97" w14:textId="0CAB27E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CC95053" w14:textId="1315E52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6,368</w:t>
            </w:r>
          </w:p>
        </w:tc>
      </w:tr>
      <w:tr w:rsidR="00D34D92" w:rsidRPr="009423C3" w14:paraId="6BA4048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4A2E9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 QUENTIN CONSULTING PTY LTD</w:t>
            </w:r>
          </w:p>
        </w:tc>
        <w:tc>
          <w:tcPr>
            <w:tcW w:w="4896" w:type="dxa"/>
            <w:tcBorders>
              <w:top w:val="single" w:sz="4" w:space="0" w:color="FFFFFF" w:themeColor="background1"/>
              <w:bottom w:val="single" w:sz="4" w:space="0" w:color="53565A" w:themeColor="accent5"/>
            </w:tcBorders>
          </w:tcPr>
          <w:p w14:paraId="34EB0950" w14:textId="4FAE5E2C"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7D11875" w14:textId="26F1557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14,040</w:t>
            </w:r>
          </w:p>
        </w:tc>
      </w:tr>
      <w:tr w:rsidR="00D34D92" w:rsidRPr="009423C3" w14:paraId="2458D20E"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4EF94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STENNING + ASSOCIATES PTY LTD</w:t>
            </w:r>
          </w:p>
        </w:tc>
        <w:tc>
          <w:tcPr>
            <w:tcW w:w="4896" w:type="dxa"/>
            <w:tcBorders>
              <w:top w:val="single" w:sz="4" w:space="0" w:color="FFFFFF" w:themeColor="background1"/>
              <w:bottom w:val="single" w:sz="4" w:space="0" w:color="53565A" w:themeColor="accent5"/>
            </w:tcBorders>
          </w:tcPr>
          <w:p w14:paraId="06BDD5DD" w14:textId="438F317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BC2342F" w14:textId="417C28E4"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9,40</w:t>
            </w:r>
            <w:r w:rsidR="000A737C" w:rsidRPr="00925213">
              <w:rPr>
                <w:rFonts w:ascii="Calibri" w:eastAsia="Times New Roman" w:hAnsi="Calibri" w:cs="Calibri"/>
                <w:color w:val="000000"/>
                <w:szCs w:val="20"/>
                <w:lang w:val="en-AU" w:eastAsia="en-AU"/>
              </w:rPr>
              <w:t>2</w:t>
            </w:r>
          </w:p>
        </w:tc>
      </w:tr>
      <w:tr w:rsidR="00D34D92" w:rsidRPr="009423C3" w14:paraId="308FFEB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E7F3A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STENNING KARL MURRAY</w:t>
            </w:r>
          </w:p>
        </w:tc>
        <w:tc>
          <w:tcPr>
            <w:tcW w:w="4896" w:type="dxa"/>
            <w:tcBorders>
              <w:top w:val="single" w:sz="4" w:space="0" w:color="FFFFFF" w:themeColor="background1"/>
              <w:bottom w:val="single" w:sz="4" w:space="0" w:color="53565A" w:themeColor="accent5"/>
            </w:tcBorders>
          </w:tcPr>
          <w:p w14:paraId="72038542" w14:textId="4C357304"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C1C30FD" w14:textId="75B89FB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5,400</w:t>
            </w:r>
          </w:p>
        </w:tc>
      </w:tr>
      <w:tr w:rsidR="00D34D92" w:rsidRPr="009423C3" w14:paraId="4E0D2D3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F2AF9FD"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STILE EDUCATION PTY LTD</w:t>
            </w:r>
          </w:p>
        </w:tc>
        <w:tc>
          <w:tcPr>
            <w:tcW w:w="4896" w:type="dxa"/>
            <w:tcBorders>
              <w:top w:val="single" w:sz="4" w:space="0" w:color="FFFFFF" w:themeColor="background1"/>
              <w:bottom w:val="single" w:sz="4" w:space="0" w:color="53565A" w:themeColor="accent5"/>
            </w:tcBorders>
          </w:tcPr>
          <w:p w14:paraId="4EC51409" w14:textId="07415D0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99E6ECA" w14:textId="303448B3"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19,500</w:t>
            </w:r>
          </w:p>
        </w:tc>
      </w:tr>
      <w:tr w:rsidR="00D34D92" w:rsidRPr="009423C3" w14:paraId="0486178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6A8BD41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STRATEGIC DATA PTY LTD</w:t>
            </w:r>
          </w:p>
        </w:tc>
        <w:tc>
          <w:tcPr>
            <w:tcW w:w="4896" w:type="dxa"/>
            <w:tcBorders>
              <w:top w:val="single" w:sz="4" w:space="0" w:color="FFFFFF" w:themeColor="background1"/>
              <w:bottom w:val="single" w:sz="4" w:space="0" w:color="53565A" w:themeColor="accent5"/>
            </w:tcBorders>
          </w:tcPr>
          <w:p w14:paraId="11538884" w14:textId="662D5D2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CA8D87D" w14:textId="641E407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3,949</w:t>
            </w:r>
          </w:p>
        </w:tc>
      </w:tr>
      <w:tr w:rsidR="00D34D92" w:rsidRPr="009423C3" w14:paraId="152D218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40F03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SUCCESS MEASURES</w:t>
            </w:r>
          </w:p>
        </w:tc>
        <w:tc>
          <w:tcPr>
            <w:tcW w:w="4896" w:type="dxa"/>
            <w:tcBorders>
              <w:top w:val="single" w:sz="4" w:space="0" w:color="FFFFFF" w:themeColor="background1"/>
              <w:bottom w:val="single" w:sz="4" w:space="0" w:color="53565A" w:themeColor="accent5"/>
            </w:tcBorders>
          </w:tcPr>
          <w:p w14:paraId="014BDF26" w14:textId="4B1E975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6BC69A1" w14:textId="4C3C729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111,500</w:t>
            </w:r>
          </w:p>
        </w:tc>
      </w:tr>
      <w:tr w:rsidR="00D34D92" w:rsidRPr="009423C3" w14:paraId="3F1CE2D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F6B12E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SUEZ RECYCLING AND RECOVERY PTY LTD</w:t>
            </w:r>
          </w:p>
        </w:tc>
        <w:tc>
          <w:tcPr>
            <w:tcW w:w="4896" w:type="dxa"/>
            <w:tcBorders>
              <w:top w:val="single" w:sz="4" w:space="0" w:color="FFFFFF" w:themeColor="background1"/>
              <w:bottom w:val="single" w:sz="4" w:space="0" w:color="53565A" w:themeColor="accent5"/>
            </w:tcBorders>
          </w:tcPr>
          <w:p w14:paraId="49C0F4DE" w14:textId="3EBFB1E5" w:rsidR="00D34D92" w:rsidRPr="008457E1" w:rsidRDefault="0048231C"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 xml:space="preserve">Utilities, infrastructure/sustainability, </w:t>
            </w:r>
            <w:proofErr w:type="gramStart"/>
            <w:r>
              <w:rPr>
                <w:rFonts w:ascii="Calibri" w:eastAsia="Times New Roman" w:hAnsi="Calibri" w:cs="Calibri"/>
                <w:color w:val="000000"/>
                <w:szCs w:val="20"/>
                <w:lang w:val="en-AU" w:eastAsia="en-AU"/>
              </w:rPr>
              <w:t>transport</w:t>
            </w:r>
            <w:proofErr w:type="gramEnd"/>
            <w:r>
              <w:rPr>
                <w:rFonts w:ascii="Calibri" w:eastAsia="Times New Roman" w:hAnsi="Calibri" w:cs="Calibri"/>
                <w:color w:val="000000"/>
                <w:szCs w:val="20"/>
                <w:lang w:val="en-AU" w:eastAsia="en-AU"/>
              </w:rPr>
              <w:t xml:space="preserve"> and project management services</w:t>
            </w:r>
          </w:p>
        </w:tc>
        <w:tc>
          <w:tcPr>
            <w:tcW w:w="1417" w:type="dxa"/>
            <w:tcBorders>
              <w:top w:val="single" w:sz="4" w:space="0" w:color="FFFFFF" w:themeColor="background1"/>
              <w:bottom w:val="single" w:sz="4" w:space="0" w:color="53565A" w:themeColor="accent5"/>
            </w:tcBorders>
            <w:shd w:val="clear" w:color="auto" w:fill="auto"/>
          </w:tcPr>
          <w:p w14:paraId="0A7ED779" w14:textId="10C196EB"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1,23</w:t>
            </w:r>
            <w:r w:rsidR="000A737C" w:rsidRPr="00925213">
              <w:rPr>
                <w:rFonts w:ascii="Calibri" w:eastAsia="Times New Roman" w:hAnsi="Calibri" w:cs="Calibri"/>
                <w:color w:val="000000"/>
                <w:szCs w:val="20"/>
                <w:lang w:val="en-AU" w:eastAsia="en-AU"/>
              </w:rPr>
              <w:t>6</w:t>
            </w:r>
          </w:p>
        </w:tc>
      </w:tr>
      <w:tr w:rsidR="00D34D92" w:rsidRPr="009423C3" w14:paraId="4958FC8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2385B6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SULLIVAN PETER</w:t>
            </w:r>
          </w:p>
        </w:tc>
        <w:tc>
          <w:tcPr>
            <w:tcW w:w="4896" w:type="dxa"/>
            <w:tcBorders>
              <w:top w:val="single" w:sz="4" w:space="0" w:color="FFFFFF" w:themeColor="background1"/>
              <w:bottom w:val="single" w:sz="4" w:space="0" w:color="53565A" w:themeColor="accent5"/>
            </w:tcBorders>
          </w:tcPr>
          <w:p w14:paraId="571768D1" w14:textId="3538BE6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81CF111" w14:textId="62DC009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3,000</w:t>
            </w:r>
          </w:p>
        </w:tc>
      </w:tr>
      <w:tr w:rsidR="00D34D92" w:rsidRPr="009423C3" w14:paraId="580428D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DCC1B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SUROTE PTY LTD</w:t>
            </w:r>
          </w:p>
        </w:tc>
        <w:tc>
          <w:tcPr>
            <w:tcW w:w="4896" w:type="dxa"/>
            <w:tcBorders>
              <w:top w:val="single" w:sz="4" w:space="0" w:color="FFFFFF" w:themeColor="background1"/>
              <w:bottom w:val="single" w:sz="4" w:space="0" w:color="53565A" w:themeColor="accent5"/>
            </w:tcBorders>
          </w:tcPr>
          <w:p w14:paraId="30FFD721" w14:textId="10DF2F8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1ECE46E" w14:textId="5AFE997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30,</w:t>
            </w:r>
            <w:r w:rsidRPr="00925213">
              <w:rPr>
                <w:rFonts w:ascii="Calibri" w:eastAsia="Times New Roman" w:hAnsi="Calibri" w:cs="Calibri"/>
                <w:color w:val="000000"/>
                <w:szCs w:val="20"/>
                <w:lang w:val="en-AU" w:eastAsia="en-AU"/>
              </w:rPr>
              <w:t>47</w:t>
            </w:r>
            <w:r w:rsidR="000A737C" w:rsidRPr="00925213">
              <w:rPr>
                <w:rFonts w:ascii="Calibri" w:eastAsia="Times New Roman" w:hAnsi="Calibri" w:cs="Calibri"/>
                <w:color w:val="000000"/>
                <w:szCs w:val="20"/>
                <w:lang w:val="en-AU" w:eastAsia="en-AU"/>
              </w:rPr>
              <w:t>1</w:t>
            </w:r>
          </w:p>
        </w:tc>
      </w:tr>
      <w:tr w:rsidR="00D34D92" w:rsidRPr="009423C3" w14:paraId="2A80FA4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29F10D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SWINBURNE UNIVERSITY OF TECHNOLOGY</w:t>
            </w:r>
          </w:p>
        </w:tc>
        <w:tc>
          <w:tcPr>
            <w:tcW w:w="4896" w:type="dxa"/>
            <w:tcBorders>
              <w:top w:val="single" w:sz="4" w:space="0" w:color="FFFFFF" w:themeColor="background1"/>
              <w:bottom w:val="single" w:sz="4" w:space="0" w:color="53565A" w:themeColor="accent5"/>
            </w:tcBorders>
          </w:tcPr>
          <w:p w14:paraId="1B555741" w14:textId="68C5A8C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40121F8" w14:textId="4A0CC23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994,030</w:t>
            </w:r>
          </w:p>
        </w:tc>
      </w:tr>
      <w:tr w:rsidR="00D34D92" w:rsidRPr="009423C3" w14:paraId="6A7B5B0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10DCE0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SYNERGISTIQ PTY LTD</w:t>
            </w:r>
          </w:p>
        </w:tc>
        <w:tc>
          <w:tcPr>
            <w:tcW w:w="4896" w:type="dxa"/>
            <w:tcBorders>
              <w:top w:val="single" w:sz="4" w:space="0" w:color="FFFFFF" w:themeColor="background1"/>
              <w:bottom w:val="single" w:sz="4" w:space="0" w:color="53565A" w:themeColor="accent5"/>
            </w:tcBorders>
          </w:tcPr>
          <w:p w14:paraId="79A4EB41" w14:textId="51379460"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6E21639" w14:textId="7DED1E6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784,</w:t>
            </w:r>
            <w:r w:rsidRPr="00925213">
              <w:rPr>
                <w:rFonts w:ascii="Calibri" w:eastAsia="Times New Roman" w:hAnsi="Calibri" w:cs="Calibri"/>
                <w:color w:val="000000"/>
                <w:szCs w:val="20"/>
                <w:lang w:val="en-AU" w:eastAsia="en-AU"/>
              </w:rPr>
              <w:t>30</w:t>
            </w:r>
            <w:r w:rsidR="000A737C" w:rsidRPr="00925213">
              <w:rPr>
                <w:rFonts w:ascii="Calibri" w:eastAsia="Times New Roman" w:hAnsi="Calibri" w:cs="Calibri"/>
                <w:color w:val="000000"/>
                <w:szCs w:val="20"/>
                <w:lang w:val="en-AU" w:eastAsia="en-AU"/>
              </w:rPr>
              <w:t>3</w:t>
            </w:r>
          </w:p>
        </w:tc>
      </w:tr>
      <w:tr w:rsidR="00D34D92" w:rsidRPr="009423C3" w14:paraId="5461F61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60F37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SYRIS CONSULTING PTY LTD</w:t>
            </w:r>
          </w:p>
        </w:tc>
        <w:tc>
          <w:tcPr>
            <w:tcW w:w="4896" w:type="dxa"/>
            <w:tcBorders>
              <w:top w:val="single" w:sz="4" w:space="0" w:color="FFFFFF" w:themeColor="background1"/>
              <w:bottom w:val="single" w:sz="4" w:space="0" w:color="53565A" w:themeColor="accent5"/>
            </w:tcBorders>
          </w:tcPr>
          <w:p w14:paraId="3768EBBB" w14:textId="3A4EF8F7"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F28340F" w14:textId="3DEB9B8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59,790</w:t>
            </w:r>
          </w:p>
        </w:tc>
      </w:tr>
      <w:tr w:rsidR="00D34D92" w:rsidRPr="009423C3" w14:paraId="332C1AB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D2ADDF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SZPAK VICKI</w:t>
            </w:r>
          </w:p>
        </w:tc>
        <w:tc>
          <w:tcPr>
            <w:tcW w:w="4896" w:type="dxa"/>
            <w:tcBorders>
              <w:top w:val="single" w:sz="4" w:space="0" w:color="FFFFFF" w:themeColor="background1"/>
              <w:bottom w:val="single" w:sz="4" w:space="0" w:color="53565A" w:themeColor="accent5"/>
            </w:tcBorders>
          </w:tcPr>
          <w:p w14:paraId="0092587A" w14:textId="472D0745"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tcPr>
          <w:p w14:paraId="0958EA95" w14:textId="54BA5D70"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2,66</w:t>
            </w:r>
            <w:r w:rsidR="000A737C" w:rsidRPr="00925213">
              <w:rPr>
                <w:rFonts w:ascii="Calibri" w:eastAsia="Times New Roman" w:hAnsi="Calibri" w:cs="Calibri"/>
                <w:color w:val="000000"/>
                <w:szCs w:val="20"/>
                <w:lang w:val="en-AU" w:eastAsia="en-AU"/>
              </w:rPr>
              <w:t>1</w:t>
            </w:r>
          </w:p>
        </w:tc>
      </w:tr>
      <w:tr w:rsidR="00D34D92" w:rsidRPr="009423C3" w14:paraId="4988DA9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E08BEFF"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TABLEAU INTERNATIONAL UC</w:t>
            </w:r>
          </w:p>
        </w:tc>
        <w:tc>
          <w:tcPr>
            <w:tcW w:w="4896" w:type="dxa"/>
            <w:tcBorders>
              <w:top w:val="single" w:sz="4" w:space="0" w:color="FFFFFF" w:themeColor="background1"/>
              <w:bottom w:val="single" w:sz="4" w:space="0" w:color="53565A" w:themeColor="accent5"/>
            </w:tcBorders>
          </w:tcPr>
          <w:p w14:paraId="709411CA" w14:textId="31B11EF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tcPr>
          <w:p w14:paraId="7B7B701C" w14:textId="06BB43F4"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3,326</w:t>
            </w:r>
          </w:p>
        </w:tc>
      </w:tr>
      <w:tr w:rsidR="00D34D92" w:rsidRPr="009423C3" w14:paraId="0A1E90E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2365C1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TAFE GIPPSLAND</w:t>
            </w:r>
          </w:p>
        </w:tc>
        <w:tc>
          <w:tcPr>
            <w:tcW w:w="4896" w:type="dxa"/>
            <w:tcBorders>
              <w:top w:val="single" w:sz="4" w:space="0" w:color="FFFFFF" w:themeColor="background1"/>
              <w:bottom w:val="single" w:sz="4" w:space="0" w:color="53565A" w:themeColor="accent5"/>
            </w:tcBorders>
          </w:tcPr>
          <w:p w14:paraId="1A77057E" w14:textId="7C527FCF"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31A7C47" w14:textId="620D6277"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1,933</w:t>
            </w:r>
          </w:p>
        </w:tc>
      </w:tr>
      <w:tr w:rsidR="00D34D92" w:rsidRPr="009423C3" w14:paraId="64D474D2"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1A9B0F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TALENT INTERNATIONAL (VIC) PTY LTD</w:t>
            </w:r>
          </w:p>
        </w:tc>
        <w:tc>
          <w:tcPr>
            <w:tcW w:w="4896" w:type="dxa"/>
            <w:tcBorders>
              <w:top w:val="single" w:sz="4" w:space="0" w:color="FFFFFF" w:themeColor="background1"/>
              <w:bottom w:val="single" w:sz="4" w:space="0" w:color="53565A" w:themeColor="accent5"/>
            </w:tcBorders>
          </w:tcPr>
          <w:p w14:paraId="75F75676" w14:textId="5E74A544" w:rsidR="00D34D92" w:rsidRPr="008457E1" w:rsidRDefault="00333A41"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Contract staff</w:t>
            </w:r>
          </w:p>
        </w:tc>
        <w:tc>
          <w:tcPr>
            <w:tcW w:w="1417" w:type="dxa"/>
            <w:tcBorders>
              <w:top w:val="single" w:sz="4" w:space="0" w:color="FFFFFF" w:themeColor="background1"/>
              <w:bottom w:val="single" w:sz="4" w:space="0" w:color="53565A" w:themeColor="accent5"/>
            </w:tcBorders>
            <w:shd w:val="clear" w:color="auto" w:fill="auto"/>
          </w:tcPr>
          <w:p w14:paraId="2CBCDF6F" w14:textId="26D14A9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3,176,699</w:t>
            </w:r>
          </w:p>
        </w:tc>
      </w:tr>
      <w:tr w:rsidR="00D34D92" w:rsidRPr="009423C3" w14:paraId="4885ED1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59291C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TAM VU</w:t>
            </w:r>
          </w:p>
        </w:tc>
        <w:tc>
          <w:tcPr>
            <w:tcW w:w="4896" w:type="dxa"/>
            <w:tcBorders>
              <w:top w:val="single" w:sz="4" w:space="0" w:color="FFFFFF" w:themeColor="background1"/>
              <w:bottom w:val="single" w:sz="4" w:space="0" w:color="53565A" w:themeColor="accent5"/>
            </w:tcBorders>
          </w:tcPr>
          <w:p w14:paraId="22EF51F1" w14:textId="463059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52274B70" w14:textId="0A2D959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14,</w:t>
            </w:r>
            <w:r w:rsidRPr="00925213">
              <w:rPr>
                <w:rFonts w:ascii="Calibri" w:eastAsia="Times New Roman" w:hAnsi="Calibri" w:cs="Calibri"/>
                <w:color w:val="000000"/>
                <w:szCs w:val="20"/>
                <w:lang w:val="en-AU" w:eastAsia="en-AU"/>
              </w:rPr>
              <w:t>32</w:t>
            </w:r>
            <w:r w:rsidR="000A737C" w:rsidRPr="00925213">
              <w:rPr>
                <w:rFonts w:ascii="Calibri" w:eastAsia="Times New Roman" w:hAnsi="Calibri" w:cs="Calibri"/>
                <w:color w:val="000000"/>
                <w:szCs w:val="20"/>
                <w:lang w:val="en-AU" w:eastAsia="en-AU"/>
              </w:rPr>
              <w:t>2</w:t>
            </w:r>
          </w:p>
        </w:tc>
      </w:tr>
      <w:tr w:rsidR="00D34D92" w:rsidRPr="009423C3" w14:paraId="4C804DB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E475CC"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TAMIKA BURDETT</w:t>
            </w:r>
          </w:p>
        </w:tc>
        <w:tc>
          <w:tcPr>
            <w:tcW w:w="4896" w:type="dxa"/>
            <w:tcBorders>
              <w:top w:val="single" w:sz="4" w:space="0" w:color="FFFFFF" w:themeColor="background1"/>
              <w:bottom w:val="single" w:sz="4" w:space="0" w:color="53565A" w:themeColor="accent5"/>
            </w:tcBorders>
          </w:tcPr>
          <w:p w14:paraId="5B87FE08" w14:textId="442FCC66"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B295A77" w14:textId="02F2C916"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7,500</w:t>
            </w:r>
          </w:p>
        </w:tc>
      </w:tr>
      <w:tr w:rsidR="00D34D92" w:rsidRPr="009423C3" w14:paraId="695B9F10"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133229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TARR ALENA</w:t>
            </w:r>
          </w:p>
        </w:tc>
        <w:tc>
          <w:tcPr>
            <w:tcW w:w="4896" w:type="dxa"/>
            <w:tcBorders>
              <w:top w:val="single" w:sz="4" w:space="0" w:color="FFFFFF" w:themeColor="background1"/>
              <w:bottom w:val="single" w:sz="4" w:space="0" w:color="53565A" w:themeColor="accent5"/>
            </w:tcBorders>
          </w:tcPr>
          <w:p w14:paraId="51C25637" w14:textId="25F3274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7725CB7" w14:textId="36EFC26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5,000</w:t>
            </w:r>
          </w:p>
        </w:tc>
      </w:tr>
      <w:tr w:rsidR="00D34D92" w:rsidRPr="009423C3" w14:paraId="04B7ABD1"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AF206B2"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TARRYN SHEEHAN</w:t>
            </w:r>
          </w:p>
        </w:tc>
        <w:tc>
          <w:tcPr>
            <w:tcW w:w="4896" w:type="dxa"/>
            <w:tcBorders>
              <w:top w:val="single" w:sz="4" w:space="0" w:color="FFFFFF" w:themeColor="background1"/>
              <w:bottom w:val="single" w:sz="4" w:space="0" w:color="53565A" w:themeColor="accent5"/>
            </w:tcBorders>
          </w:tcPr>
          <w:p w14:paraId="31F7CB5B" w14:textId="36CA9E4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A414318" w14:textId="2868A7D2"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1,950</w:t>
            </w:r>
          </w:p>
        </w:tc>
      </w:tr>
      <w:tr w:rsidR="00D34D92" w:rsidRPr="009423C3" w14:paraId="066A67F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54717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TEAM TEACH ASIA PACIFIC PTY LIMITED</w:t>
            </w:r>
          </w:p>
        </w:tc>
        <w:tc>
          <w:tcPr>
            <w:tcW w:w="4896" w:type="dxa"/>
            <w:tcBorders>
              <w:top w:val="single" w:sz="4" w:space="0" w:color="FFFFFF" w:themeColor="background1"/>
              <w:bottom w:val="single" w:sz="4" w:space="0" w:color="53565A" w:themeColor="accent5"/>
            </w:tcBorders>
          </w:tcPr>
          <w:p w14:paraId="636F2A8E" w14:textId="42C2178D"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3AC082E5" w14:textId="075B4001"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55,</w:t>
            </w:r>
            <w:r w:rsidRPr="00925213">
              <w:rPr>
                <w:rFonts w:ascii="Calibri" w:eastAsia="Times New Roman" w:hAnsi="Calibri" w:cs="Calibri"/>
                <w:color w:val="000000"/>
                <w:szCs w:val="20"/>
                <w:lang w:val="en-AU" w:eastAsia="en-AU"/>
              </w:rPr>
              <w:t>91</w:t>
            </w:r>
            <w:r w:rsidR="000A737C" w:rsidRPr="00925213">
              <w:rPr>
                <w:rFonts w:ascii="Calibri" w:eastAsia="Times New Roman" w:hAnsi="Calibri" w:cs="Calibri"/>
                <w:color w:val="000000"/>
                <w:szCs w:val="20"/>
                <w:lang w:val="en-AU" w:eastAsia="en-AU"/>
              </w:rPr>
              <w:t>7</w:t>
            </w:r>
          </w:p>
        </w:tc>
      </w:tr>
      <w:tr w:rsidR="00D34D92" w:rsidRPr="009423C3" w14:paraId="1357D19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22D089"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TECH-SAVVY SOLUTIONS</w:t>
            </w:r>
          </w:p>
        </w:tc>
        <w:tc>
          <w:tcPr>
            <w:tcW w:w="4896" w:type="dxa"/>
            <w:tcBorders>
              <w:top w:val="single" w:sz="4" w:space="0" w:color="FFFFFF" w:themeColor="background1"/>
              <w:bottom w:val="single" w:sz="4" w:space="0" w:color="53565A" w:themeColor="accent5"/>
            </w:tcBorders>
          </w:tcPr>
          <w:p w14:paraId="41A6E9E4" w14:textId="46034642"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tcPr>
          <w:p w14:paraId="3B67ACAA" w14:textId="3D650D3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20,708</w:t>
            </w:r>
          </w:p>
        </w:tc>
      </w:tr>
      <w:tr w:rsidR="00D34D92" w:rsidRPr="009423C3" w14:paraId="0A22109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2B118EC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TEGAN ANN PODUBINSKI</w:t>
            </w:r>
          </w:p>
        </w:tc>
        <w:tc>
          <w:tcPr>
            <w:tcW w:w="4896" w:type="dxa"/>
            <w:tcBorders>
              <w:top w:val="single" w:sz="4" w:space="0" w:color="FFFFFF" w:themeColor="background1"/>
              <w:bottom w:val="single" w:sz="4" w:space="0" w:color="53565A" w:themeColor="accent5"/>
            </w:tcBorders>
          </w:tcPr>
          <w:p w14:paraId="5B9EAC0D" w14:textId="048BFFF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13B470F" w14:textId="3B2B204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1,040</w:t>
            </w:r>
          </w:p>
        </w:tc>
      </w:tr>
      <w:tr w:rsidR="00D34D92" w:rsidRPr="009423C3" w14:paraId="7B03489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7E2904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TELSTRA PURPLE PTY LTD</w:t>
            </w:r>
          </w:p>
        </w:tc>
        <w:tc>
          <w:tcPr>
            <w:tcW w:w="4896" w:type="dxa"/>
            <w:tcBorders>
              <w:top w:val="single" w:sz="4" w:space="0" w:color="FFFFFF" w:themeColor="background1"/>
              <w:bottom w:val="single" w:sz="4" w:space="0" w:color="53565A" w:themeColor="accent5"/>
            </w:tcBorders>
          </w:tcPr>
          <w:p w14:paraId="29C5A21A" w14:textId="6B4E279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DE87CAA" w14:textId="6128843D"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327,764</w:t>
            </w:r>
          </w:p>
        </w:tc>
      </w:tr>
      <w:tr w:rsidR="00D34D92" w:rsidRPr="009423C3" w14:paraId="7C900D5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4804C9F5"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TERRA FIRMA PTY LTD</w:t>
            </w:r>
          </w:p>
        </w:tc>
        <w:tc>
          <w:tcPr>
            <w:tcW w:w="4896" w:type="dxa"/>
            <w:tcBorders>
              <w:top w:val="single" w:sz="4" w:space="0" w:color="FFFFFF" w:themeColor="background1"/>
              <w:bottom w:val="single" w:sz="4" w:space="0" w:color="53565A" w:themeColor="accent5"/>
            </w:tcBorders>
          </w:tcPr>
          <w:p w14:paraId="7AC494A4" w14:textId="2F80819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2875335" w14:textId="01AF3DB5"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620,140</w:t>
            </w:r>
          </w:p>
        </w:tc>
      </w:tr>
      <w:tr w:rsidR="00D34D92" w:rsidRPr="009423C3" w14:paraId="147FAA64"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5DA551"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CONVERSATION CARAVAN</w:t>
            </w:r>
          </w:p>
        </w:tc>
        <w:tc>
          <w:tcPr>
            <w:tcW w:w="4896" w:type="dxa"/>
            <w:tcBorders>
              <w:top w:val="single" w:sz="4" w:space="0" w:color="FFFFFF" w:themeColor="background1"/>
              <w:bottom w:val="single" w:sz="4" w:space="0" w:color="53565A" w:themeColor="accent5"/>
            </w:tcBorders>
          </w:tcPr>
          <w:p w14:paraId="4C9BEA12" w14:textId="193CC41B"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46F7F9F" w14:textId="162E5290"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32,940</w:t>
            </w:r>
          </w:p>
        </w:tc>
      </w:tr>
      <w:tr w:rsidR="00D34D92" w:rsidRPr="009423C3" w14:paraId="656E8FB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0B87794"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LEARNER FIRST PTY LTD</w:t>
            </w:r>
          </w:p>
        </w:tc>
        <w:tc>
          <w:tcPr>
            <w:tcW w:w="4896" w:type="dxa"/>
            <w:tcBorders>
              <w:top w:val="single" w:sz="4" w:space="0" w:color="FFFFFF" w:themeColor="background1"/>
              <w:bottom w:val="single" w:sz="4" w:space="0" w:color="53565A" w:themeColor="accent5"/>
            </w:tcBorders>
          </w:tcPr>
          <w:p w14:paraId="3FD0138D" w14:textId="5EE6228B"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2C8AD733" w14:textId="6A566399"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16,500</w:t>
            </w:r>
          </w:p>
        </w:tc>
      </w:tr>
      <w:tr w:rsidR="00D34D92" w:rsidRPr="009423C3" w14:paraId="4307CFD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D8BAD80"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TRUSTEE FOR MUNRO FAMILY TRUST</w:t>
            </w:r>
          </w:p>
        </w:tc>
        <w:tc>
          <w:tcPr>
            <w:tcW w:w="4896" w:type="dxa"/>
            <w:tcBorders>
              <w:top w:val="single" w:sz="4" w:space="0" w:color="FFFFFF" w:themeColor="background1"/>
              <w:bottom w:val="single" w:sz="4" w:space="0" w:color="53565A" w:themeColor="accent5"/>
            </w:tcBorders>
          </w:tcPr>
          <w:p w14:paraId="528C01C8" w14:textId="5766B861"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602D4047" w14:textId="63F3B5F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18,000</w:t>
            </w:r>
          </w:p>
        </w:tc>
      </w:tr>
      <w:tr w:rsidR="00D34D92" w:rsidRPr="009423C3" w14:paraId="76DEBC9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1DBD421A"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TRUSTEE FOR ROBOSOFT DISCRETIONARY TRUST</w:t>
            </w:r>
          </w:p>
        </w:tc>
        <w:tc>
          <w:tcPr>
            <w:tcW w:w="4896" w:type="dxa"/>
            <w:tcBorders>
              <w:top w:val="single" w:sz="4" w:space="0" w:color="FFFFFF" w:themeColor="background1"/>
              <w:bottom w:val="single" w:sz="4" w:space="0" w:color="53565A" w:themeColor="accent5"/>
            </w:tcBorders>
          </w:tcPr>
          <w:p w14:paraId="009D8E81" w14:textId="42C5C56F" w:rsidR="00D34D92" w:rsidRPr="008457E1" w:rsidRDefault="00E642CB"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tcPr>
          <w:p w14:paraId="3770A10A" w14:textId="3FAF21C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45,</w:t>
            </w:r>
            <w:r w:rsidRPr="00925213">
              <w:rPr>
                <w:rFonts w:ascii="Calibri" w:eastAsia="Times New Roman" w:hAnsi="Calibri" w:cs="Calibri"/>
                <w:color w:val="000000"/>
                <w:szCs w:val="20"/>
                <w:lang w:val="en-AU" w:eastAsia="en-AU"/>
              </w:rPr>
              <w:t>98</w:t>
            </w:r>
            <w:r w:rsidR="000A737C" w:rsidRPr="00925213">
              <w:rPr>
                <w:rFonts w:ascii="Calibri" w:eastAsia="Times New Roman" w:hAnsi="Calibri" w:cs="Calibri"/>
                <w:color w:val="000000"/>
                <w:szCs w:val="20"/>
                <w:lang w:val="en-AU" w:eastAsia="en-AU"/>
              </w:rPr>
              <w:t>3</w:t>
            </w:r>
          </w:p>
        </w:tc>
      </w:tr>
      <w:tr w:rsidR="00D34D92" w:rsidRPr="009423C3" w14:paraId="1E929B23"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F709B6"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TRUSTEE FOR SEED ADVISORY TRUST</w:t>
            </w:r>
          </w:p>
        </w:tc>
        <w:tc>
          <w:tcPr>
            <w:tcW w:w="4896" w:type="dxa"/>
            <w:tcBorders>
              <w:top w:val="single" w:sz="4" w:space="0" w:color="FFFFFF" w:themeColor="background1"/>
              <w:bottom w:val="single" w:sz="4" w:space="0" w:color="53565A" w:themeColor="accent5"/>
            </w:tcBorders>
          </w:tcPr>
          <w:p w14:paraId="753C5EF6" w14:textId="4255BE63"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2813E706" w14:textId="27513383" w:rsidR="00D34D92" w:rsidRPr="008457E1" w:rsidRDefault="00D34D92" w:rsidP="00D34D92">
            <w:pPr>
              <w:pStyle w:val="ESTablebody"/>
              <w:jc w:val="right"/>
              <w:rPr>
                <w:rFonts w:ascii="Calibri" w:eastAsia="Times New Roman" w:hAnsi="Calibri" w:cs="Calibri"/>
                <w:color w:val="000000"/>
                <w:szCs w:val="20"/>
                <w:lang w:val="en-AU" w:eastAsia="en-AU"/>
              </w:rPr>
            </w:pPr>
            <w:r w:rsidRPr="00925213">
              <w:rPr>
                <w:rFonts w:ascii="Calibri" w:eastAsia="Times New Roman" w:hAnsi="Calibri" w:cs="Calibri"/>
                <w:color w:val="000000"/>
                <w:szCs w:val="20"/>
                <w:lang w:val="en-AU" w:eastAsia="en-AU"/>
              </w:rPr>
              <w:t>4,36</w:t>
            </w:r>
            <w:r w:rsidR="000A737C" w:rsidRPr="00925213">
              <w:rPr>
                <w:rFonts w:ascii="Calibri" w:eastAsia="Times New Roman" w:hAnsi="Calibri" w:cs="Calibri"/>
                <w:color w:val="000000"/>
                <w:szCs w:val="20"/>
                <w:lang w:val="en-AU" w:eastAsia="en-AU"/>
              </w:rPr>
              <w:t>4</w:t>
            </w:r>
          </w:p>
        </w:tc>
      </w:tr>
      <w:tr w:rsidR="00D34D92" w:rsidRPr="009423C3" w14:paraId="76D1767F"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9564BE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TRUSTEE FOR THE ROBINSON FAMILY TRUST</w:t>
            </w:r>
          </w:p>
        </w:tc>
        <w:tc>
          <w:tcPr>
            <w:tcW w:w="4896" w:type="dxa"/>
            <w:tcBorders>
              <w:top w:val="single" w:sz="4" w:space="0" w:color="FFFFFF" w:themeColor="background1"/>
              <w:bottom w:val="single" w:sz="4" w:space="0" w:color="53565A" w:themeColor="accent5"/>
            </w:tcBorders>
          </w:tcPr>
          <w:p w14:paraId="7EAAD3FA" w14:textId="3311C56D"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7A930FC8" w14:textId="413A961E"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39,600</w:t>
            </w:r>
          </w:p>
        </w:tc>
      </w:tr>
      <w:tr w:rsidR="00D34D92" w:rsidRPr="009423C3" w14:paraId="0BFD11CD"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CBBD64E"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TRUSTEE FOR THE SNOOKS FAMILY TRUST</w:t>
            </w:r>
          </w:p>
        </w:tc>
        <w:tc>
          <w:tcPr>
            <w:tcW w:w="4896" w:type="dxa"/>
            <w:tcBorders>
              <w:top w:val="single" w:sz="4" w:space="0" w:color="FFFFFF" w:themeColor="background1"/>
              <w:bottom w:val="single" w:sz="4" w:space="0" w:color="53565A" w:themeColor="accent5"/>
            </w:tcBorders>
          </w:tcPr>
          <w:p w14:paraId="2D194508" w14:textId="7964796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3D79FD74" w14:textId="0272AB9C"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2,500</w:t>
            </w:r>
          </w:p>
        </w:tc>
      </w:tr>
      <w:tr w:rsidR="00D34D92" w:rsidRPr="009423C3" w14:paraId="47E91E27"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06A0A3F7"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UNIVERSITY OF NEW ENGLAND</w:t>
            </w:r>
          </w:p>
        </w:tc>
        <w:tc>
          <w:tcPr>
            <w:tcW w:w="4896" w:type="dxa"/>
            <w:tcBorders>
              <w:top w:val="single" w:sz="4" w:space="0" w:color="FFFFFF" w:themeColor="background1"/>
              <w:bottom w:val="single" w:sz="4" w:space="0" w:color="53565A" w:themeColor="accent5"/>
            </w:tcBorders>
          </w:tcPr>
          <w:p w14:paraId="5BBF00F0" w14:textId="64584D32"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4993D898" w14:textId="11440D2B"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483,150</w:t>
            </w:r>
          </w:p>
        </w:tc>
      </w:tr>
      <w:tr w:rsidR="00D34D92" w:rsidRPr="009423C3" w14:paraId="72D00208"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369D53"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 WELLBEING OUTFIT</w:t>
            </w:r>
          </w:p>
        </w:tc>
        <w:tc>
          <w:tcPr>
            <w:tcW w:w="4896" w:type="dxa"/>
            <w:tcBorders>
              <w:top w:val="single" w:sz="4" w:space="0" w:color="FFFFFF" w:themeColor="background1"/>
              <w:bottom w:val="single" w:sz="4" w:space="0" w:color="53565A" w:themeColor="accent5"/>
            </w:tcBorders>
          </w:tcPr>
          <w:p w14:paraId="2B3E6D38" w14:textId="688B0D09"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14F0BEAF" w14:textId="4173978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16,000</w:t>
            </w:r>
          </w:p>
        </w:tc>
      </w:tr>
      <w:tr w:rsidR="00D34D92" w:rsidRPr="009423C3" w14:paraId="31390CE5"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EAF188"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THEIRCARE PTY LTD</w:t>
            </w:r>
          </w:p>
        </w:tc>
        <w:tc>
          <w:tcPr>
            <w:tcW w:w="4896" w:type="dxa"/>
            <w:tcBorders>
              <w:top w:val="single" w:sz="4" w:space="0" w:color="FFFFFF" w:themeColor="background1"/>
              <w:bottom w:val="single" w:sz="4" w:space="0" w:color="53565A" w:themeColor="accent5"/>
            </w:tcBorders>
          </w:tcPr>
          <w:p w14:paraId="4040B55D" w14:textId="7E4C406A"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tcPr>
          <w:p w14:paraId="0D7A8B27" w14:textId="5015EF6F"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3,978,</w:t>
            </w:r>
            <w:r w:rsidRPr="00925213">
              <w:rPr>
                <w:rFonts w:ascii="Calibri" w:eastAsia="Times New Roman" w:hAnsi="Calibri" w:cs="Calibri"/>
                <w:color w:val="000000"/>
                <w:szCs w:val="20"/>
                <w:lang w:val="en-AU" w:eastAsia="en-AU"/>
              </w:rPr>
              <w:t>15</w:t>
            </w:r>
            <w:r w:rsidR="000A737C" w:rsidRPr="00925213">
              <w:rPr>
                <w:rFonts w:ascii="Calibri" w:eastAsia="Times New Roman" w:hAnsi="Calibri" w:cs="Calibri"/>
                <w:color w:val="000000"/>
                <w:szCs w:val="20"/>
                <w:lang w:val="en-AU" w:eastAsia="en-AU"/>
              </w:rPr>
              <w:t>5</w:t>
            </w:r>
          </w:p>
        </w:tc>
      </w:tr>
      <w:tr w:rsidR="00D34D92" w:rsidRPr="009423C3" w14:paraId="292A7F59" w14:textId="77777777" w:rsidTr="005976C1">
        <w:trPr>
          <w:cantSplit/>
          <w:trHeight w:val="353"/>
        </w:trPr>
        <w:tc>
          <w:tcPr>
            <w:tcW w:w="3023" w:type="dxa"/>
            <w:tcBorders>
              <w:top w:val="single" w:sz="4" w:space="0" w:color="FFFFFF" w:themeColor="background1"/>
              <w:bottom w:val="single" w:sz="4" w:space="0" w:color="53565A" w:themeColor="accent5"/>
            </w:tcBorders>
            <w:shd w:val="clear" w:color="auto" w:fill="auto"/>
          </w:tcPr>
          <w:p w14:paraId="74B069BB" w14:textId="77777777" w:rsidR="00D34D92" w:rsidRPr="008457E1" w:rsidRDefault="00D34D92" w:rsidP="00D34D92">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THERAPEUTIC ENGAGEMENT SUPPORT SERVICES ASSOCIATION</w:t>
            </w:r>
          </w:p>
        </w:tc>
        <w:tc>
          <w:tcPr>
            <w:tcW w:w="4896" w:type="dxa"/>
            <w:tcBorders>
              <w:top w:val="single" w:sz="4" w:space="0" w:color="FFFFFF" w:themeColor="background1"/>
              <w:bottom w:val="single" w:sz="4" w:space="0" w:color="53565A" w:themeColor="accent5"/>
            </w:tcBorders>
          </w:tcPr>
          <w:p w14:paraId="2ED52225" w14:textId="7A5923F5" w:rsidR="00D34D92" w:rsidRPr="008457E1" w:rsidRDefault="008D03EA" w:rsidP="00D34D92">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D34D92"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r</w:t>
            </w:r>
            <w:r w:rsidR="00333A41">
              <w:rPr>
                <w:rFonts w:ascii="Calibri" w:eastAsia="Times New Roman" w:hAnsi="Calibri" w:cs="Calibri"/>
                <w:color w:val="000000"/>
                <w:szCs w:val="20"/>
                <w:lang w:val="en-AU" w:eastAsia="en-AU"/>
              </w:rPr>
              <w:t xml:space="preserve">esearch, </w:t>
            </w:r>
            <w:proofErr w:type="gramStart"/>
            <w:r w:rsidR="00333A4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D34D92"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tcPr>
          <w:p w14:paraId="418BBEFB" w14:textId="221C5688" w:rsidR="00D34D92" w:rsidRPr="008457E1" w:rsidRDefault="00D34D92" w:rsidP="00D34D92">
            <w:pPr>
              <w:pStyle w:val="ESTablebody"/>
              <w:jc w:val="right"/>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20,080</w:t>
            </w:r>
          </w:p>
        </w:tc>
      </w:tr>
      <w:tr w:rsidR="00AE5D19" w:rsidRPr="009423C3" w14:paraId="558BDF0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643CD7"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THERESE DEMEDIUK</w:t>
            </w:r>
          </w:p>
        </w:tc>
        <w:tc>
          <w:tcPr>
            <w:tcW w:w="4896" w:type="dxa"/>
            <w:tcBorders>
              <w:top w:val="single" w:sz="4" w:space="0" w:color="FFFFFF" w:themeColor="background1"/>
              <w:bottom w:val="single" w:sz="4" w:space="0" w:color="53565A" w:themeColor="accent5"/>
            </w:tcBorders>
          </w:tcPr>
          <w:p w14:paraId="467EF732" w14:textId="3CCE8A20"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0FDE1302" w14:textId="012E059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1,280</w:t>
            </w:r>
          </w:p>
        </w:tc>
      </w:tr>
      <w:tr w:rsidR="00AE5D19" w:rsidRPr="009423C3" w14:paraId="4F9648E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1F835A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THINK IN COLOUR</w:t>
            </w:r>
          </w:p>
        </w:tc>
        <w:tc>
          <w:tcPr>
            <w:tcW w:w="4896" w:type="dxa"/>
            <w:tcBorders>
              <w:top w:val="single" w:sz="4" w:space="0" w:color="FFFFFF" w:themeColor="background1"/>
              <w:bottom w:val="single" w:sz="4" w:space="0" w:color="53565A" w:themeColor="accent5"/>
            </w:tcBorders>
          </w:tcPr>
          <w:p w14:paraId="5A2F629E" w14:textId="3060A95D"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AE5D19"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AE5D19"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66E73983" w14:textId="57623DB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1,675</w:t>
            </w:r>
          </w:p>
        </w:tc>
      </w:tr>
      <w:tr w:rsidR="00AE5D19" w:rsidRPr="009423C3" w14:paraId="13A1342B"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378B35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THINK THEN CREATE</w:t>
            </w:r>
          </w:p>
        </w:tc>
        <w:tc>
          <w:tcPr>
            <w:tcW w:w="4896" w:type="dxa"/>
            <w:tcBorders>
              <w:top w:val="single" w:sz="4" w:space="0" w:color="FFFFFF" w:themeColor="background1"/>
              <w:bottom w:val="single" w:sz="4" w:space="0" w:color="53565A" w:themeColor="accent5"/>
            </w:tcBorders>
          </w:tcPr>
          <w:p w14:paraId="58850B7D" w14:textId="31B927CD"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316900F" w14:textId="40488D5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90,148</w:t>
            </w:r>
          </w:p>
        </w:tc>
      </w:tr>
      <w:tr w:rsidR="00AE5D19" w:rsidRPr="009423C3" w14:paraId="39B48DE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A5B094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THIRD ELEMENT CONSULTING</w:t>
            </w:r>
          </w:p>
        </w:tc>
        <w:tc>
          <w:tcPr>
            <w:tcW w:w="4896" w:type="dxa"/>
            <w:tcBorders>
              <w:top w:val="single" w:sz="4" w:space="0" w:color="FFFFFF" w:themeColor="background1"/>
              <w:bottom w:val="single" w:sz="4" w:space="0" w:color="53565A" w:themeColor="accent5"/>
            </w:tcBorders>
          </w:tcPr>
          <w:p w14:paraId="017EAC81" w14:textId="42DE049C"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3AC7294" w14:textId="5E8A684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1,818</w:t>
            </w:r>
          </w:p>
        </w:tc>
      </w:tr>
      <w:tr w:rsidR="00AE5D19" w:rsidRPr="009423C3" w14:paraId="27ECFC3A"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EB5B3B5"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THORN FRANCES</w:t>
            </w:r>
          </w:p>
        </w:tc>
        <w:tc>
          <w:tcPr>
            <w:tcW w:w="4896" w:type="dxa"/>
            <w:tcBorders>
              <w:top w:val="single" w:sz="4" w:space="0" w:color="FFFFFF" w:themeColor="background1"/>
              <w:bottom w:val="single" w:sz="4" w:space="0" w:color="53565A" w:themeColor="accent5"/>
            </w:tcBorders>
          </w:tcPr>
          <w:p w14:paraId="7BBC1532" w14:textId="3EAEB7CE"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9861553" w14:textId="74CB3A3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42,000</w:t>
            </w:r>
          </w:p>
        </w:tc>
      </w:tr>
      <w:tr w:rsidR="00AE5D19" w:rsidRPr="009423C3" w14:paraId="31DA2937"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950646"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THOUGHTPOST GOVERNANCE</w:t>
            </w:r>
          </w:p>
        </w:tc>
        <w:tc>
          <w:tcPr>
            <w:tcW w:w="4896" w:type="dxa"/>
            <w:tcBorders>
              <w:top w:val="single" w:sz="4" w:space="0" w:color="FFFFFF" w:themeColor="background1"/>
              <w:bottom w:val="single" w:sz="4" w:space="0" w:color="53565A" w:themeColor="accent5"/>
            </w:tcBorders>
          </w:tcPr>
          <w:p w14:paraId="751E9706" w14:textId="5D0665CE"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r w:rsidR="00AE5D19" w:rsidRPr="008457E1">
              <w:rPr>
                <w:rFonts w:ascii="Calibri" w:eastAsia="Times New Roman" w:hAnsi="Calibri" w:cs="Calibri"/>
                <w:color w:val="000000"/>
                <w:szCs w:val="20"/>
                <w:lang w:val="en-AU" w:eastAsia="en-AU"/>
              </w:rPr>
              <w:t xml:space="preserve"> (</w:t>
            </w:r>
            <w:r w:rsidR="00F17011">
              <w:rPr>
                <w:rFonts w:ascii="Calibri" w:eastAsia="Times New Roman" w:hAnsi="Calibri" w:cs="Calibri"/>
                <w:color w:val="000000"/>
                <w:szCs w:val="20"/>
                <w:lang w:val="en-AU" w:eastAsia="en-AU"/>
              </w:rPr>
              <w:t xml:space="preserve">research, </w:t>
            </w:r>
            <w:proofErr w:type="gramStart"/>
            <w:r w:rsidR="00F17011">
              <w:rPr>
                <w:rFonts w:ascii="Calibri" w:eastAsia="Times New Roman" w:hAnsi="Calibri" w:cs="Calibri"/>
                <w:color w:val="000000"/>
                <w:szCs w:val="20"/>
                <w:lang w:val="en-AU" w:eastAsia="en-AU"/>
              </w:rPr>
              <w:t>leadership</w:t>
            </w:r>
            <w:proofErr w:type="gramEnd"/>
            <w:r w:rsidR="00333A41">
              <w:rPr>
                <w:rFonts w:ascii="Calibri" w:eastAsia="Times New Roman" w:hAnsi="Calibri" w:cs="Calibri"/>
                <w:color w:val="000000"/>
                <w:szCs w:val="20"/>
                <w:lang w:val="en-AU" w:eastAsia="en-AU"/>
              </w:rPr>
              <w:t xml:space="preserve"> and professional development</w:t>
            </w:r>
            <w:r w:rsidR="00AE5D19" w:rsidRPr="008457E1">
              <w:rPr>
                <w:rFonts w:ascii="Calibri" w:eastAsia="Times New Roman" w:hAnsi="Calibri" w:cs="Calibri"/>
                <w:color w:val="000000"/>
                <w:szCs w:val="20"/>
                <w:lang w:val="en-AU" w:eastAsia="en-AU"/>
              </w:rPr>
              <w:t>)</w:t>
            </w:r>
          </w:p>
        </w:tc>
        <w:tc>
          <w:tcPr>
            <w:tcW w:w="1417" w:type="dxa"/>
            <w:tcBorders>
              <w:top w:val="single" w:sz="4" w:space="0" w:color="FFFFFF" w:themeColor="background1"/>
              <w:bottom w:val="single" w:sz="4" w:space="0" w:color="53565A" w:themeColor="accent5"/>
            </w:tcBorders>
            <w:shd w:val="clear" w:color="auto" w:fill="auto"/>
            <w:vAlign w:val="center"/>
          </w:tcPr>
          <w:p w14:paraId="3194BB17" w14:textId="7240D20D"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32,600</w:t>
            </w:r>
          </w:p>
        </w:tc>
      </w:tr>
      <w:tr w:rsidR="00AE5D19" w:rsidRPr="009423C3" w14:paraId="19C5D7F6"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6BDDE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TIMPERLEY CONSULTANTS</w:t>
            </w:r>
          </w:p>
        </w:tc>
        <w:tc>
          <w:tcPr>
            <w:tcW w:w="4896" w:type="dxa"/>
            <w:tcBorders>
              <w:top w:val="single" w:sz="4" w:space="0" w:color="FFFFFF" w:themeColor="background1"/>
              <w:bottom w:val="single" w:sz="4" w:space="0" w:color="53565A" w:themeColor="accent5"/>
            </w:tcBorders>
          </w:tcPr>
          <w:p w14:paraId="5A2BAB5F" w14:textId="4DC400A7"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85A42E9" w14:textId="60F875C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156,200</w:t>
            </w:r>
          </w:p>
        </w:tc>
      </w:tr>
      <w:tr w:rsidR="00AE5D19" w:rsidRPr="009423C3" w14:paraId="3586BF64"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FAC0BF"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TLC EDUCATION DESIGN PTY LTD</w:t>
            </w:r>
          </w:p>
        </w:tc>
        <w:tc>
          <w:tcPr>
            <w:tcW w:w="4896" w:type="dxa"/>
            <w:tcBorders>
              <w:top w:val="single" w:sz="4" w:space="0" w:color="FFFFFF" w:themeColor="background1"/>
              <w:bottom w:val="single" w:sz="4" w:space="0" w:color="53565A" w:themeColor="accent5"/>
            </w:tcBorders>
          </w:tcPr>
          <w:p w14:paraId="0FC14B10" w14:textId="40B59F05"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056958F7" w14:textId="2E04C6B4"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1,250</w:t>
            </w:r>
          </w:p>
        </w:tc>
      </w:tr>
      <w:tr w:rsidR="00AE5D19" w:rsidRPr="009423C3" w14:paraId="149D63A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D6939FF"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TMS CONSULTING</w:t>
            </w:r>
          </w:p>
        </w:tc>
        <w:tc>
          <w:tcPr>
            <w:tcW w:w="4896" w:type="dxa"/>
            <w:tcBorders>
              <w:top w:val="single" w:sz="4" w:space="0" w:color="FFFFFF" w:themeColor="background1"/>
              <w:bottom w:val="single" w:sz="4" w:space="0" w:color="53565A" w:themeColor="accent5"/>
            </w:tcBorders>
          </w:tcPr>
          <w:p w14:paraId="18E296E0" w14:textId="3F5CFC44"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7C2BB6F" w14:textId="40B649A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18,800</w:t>
            </w:r>
          </w:p>
        </w:tc>
      </w:tr>
      <w:tr w:rsidR="00AE5D19" w:rsidRPr="009423C3" w14:paraId="1E65710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50588DC"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TRAINING AHEAD AUSTRALIA</w:t>
            </w:r>
          </w:p>
        </w:tc>
        <w:tc>
          <w:tcPr>
            <w:tcW w:w="4896" w:type="dxa"/>
            <w:tcBorders>
              <w:top w:val="single" w:sz="4" w:space="0" w:color="FFFFFF" w:themeColor="background1"/>
              <w:bottom w:val="single" w:sz="4" w:space="0" w:color="53565A" w:themeColor="accent5"/>
            </w:tcBorders>
          </w:tcPr>
          <w:p w14:paraId="706055C8" w14:textId="58BC1BC5"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AC7CF38" w14:textId="0B30F1FF"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1,800</w:t>
            </w:r>
          </w:p>
        </w:tc>
      </w:tr>
      <w:tr w:rsidR="00AE5D19" w:rsidRPr="009423C3" w14:paraId="59CDF054"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4AE2A01"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TRINA PITCHER</w:t>
            </w:r>
          </w:p>
        </w:tc>
        <w:tc>
          <w:tcPr>
            <w:tcW w:w="4896" w:type="dxa"/>
            <w:tcBorders>
              <w:top w:val="single" w:sz="4" w:space="0" w:color="FFFFFF" w:themeColor="background1"/>
              <w:bottom w:val="single" w:sz="4" w:space="0" w:color="53565A" w:themeColor="accent5"/>
            </w:tcBorders>
          </w:tcPr>
          <w:p w14:paraId="188E49FF" w14:textId="763506B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5B9891D" w14:textId="44F14D5B"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2,455</w:t>
            </w:r>
          </w:p>
        </w:tc>
      </w:tr>
      <w:tr w:rsidR="00AE5D19" w:rsidRPr="009423C3" w14:paraId="7CF3CF62"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89BBB4"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TRINAMIX PTY LTD</w:t>
            </w:r>
          </w:p>
        </w:tc>
        <w:tc>
          <w:tcPr>
            <w:tcW w:w="4896" w:type="dxa"/>
            <w:tcBorders>
              <w:top w:val="single" w:sz="4" w:space="0" w:color="FFFFFF" w:themeColor="background1"/>
              <w:bottom w:val="single" w:sz="4" w:space="0" w:color="53565A" w:themeColor="accent5"/>
            </w:tcBorders>
          </w:tcPr>
          <w:p w14:paraId="5AF2C586" w14:textId="076AC195"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2E909D6B" w14:textId="1B205A44"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223,465</w:t>
            </w:r>
          </w:p>
        </w:tc>
      </w:tr>
      <w:tr w:rsidR="00AE5D19" w:rsidRPr="009423C3" w14:paraId="5F8FF6CD"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67E7AD"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TRUSTEE FOR WORKWELL CONSULTING FAMILY TRUST</w:t>
            </w:r>
          </w:p>
        </w:tc>
        <w:tc>
          <w:tcPr>
            <w:tcW w:w="4896" w:type="dxa"/>
            <w:tcBorders>
              <w:top w:val="single" w:sz="4" w:space="0" w:color="FFFFFF" w:themeColor="background1"/>
              <w:bottom w:val="single" w:sz="4" w:space="0" w:color="53565A" w:themeColor="accent5"/>
            </w:tcBorders>
          </w:tcPr>
          <w:p w14:paraId="1D2FA21B" w14:textId="40288765"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76A9982" w14:textId="2EE11FB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5,500</w:t>
            </w:r>
          </w:p>
        </w:tc>
      </w:tr>
      <w:tr w:rsidR="00AE5D19" w:rsidRPr="009423C3" w14:paraId="556E424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FC09DD"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TRUTH AGENCY</w:t>
            </w:r>
          </w:p>
        </w:tc>
        <w:tc>
          <w:tcPr>
            <w:tcW w:w="4896" w:type="dxa"/>
            <w:tcBorders>
              <w:top w:val="single" w:sz="4" w:space="0" w:color="FFFFFF" w:themeColor="background1"/>
              <w:bottom w:val="single" w:sz="4" w:space="0" w:color="53565A" w:themeColor="accent5"/>
            </w:tcBorders>
          </w:tcPr>
          <w:p w14:paraId="501332A2" w14:textId="1E3C9495"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B8A5868" w14:textId="731F3AF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44,525</w:t>
            </w:r>
          </w:p>
        </w:tc>
      </w:tr>
      <w:tr w:rsidR="00AE5D19" w:rsidRPr="009423C3" w14:paraId="11A501C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1F290D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TRY JULIANNE CHRISTINE</w:t>
            </w:r>
          </w:p>
        </w:tc>
        <w:tc>
          <w:tcPr>
            <w:tcW w:w="4896" w:type="dxa"/>
            <w:tcBorders>
              <w:top w:val="single" w:sz="4" w:space="0" w:color="FFFFFF" w:themeColor="background1"/>
              <w:bottom w:val="single" w:sz="4" w:space="0" w:color="53565A" w:themeColor="accent5"/>
            </w:tcBorders>
          </w:tcPr>
          <w:p w14:paraId="51AB4E2A" w14:textId="10A41DFA"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3E274BB" w14:textId="779596B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12,459</w:t>
            </w:r>
          </w:p>
        </w:tc>
      </w:tr>
      <w:tr w:rsidR="00AE5D19" w:rsidRPr="009423C3" w14:paraId="255A6D63"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240F81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TURNER KAREN</w:t>
            </w:r>
          </w:p>
        </w:tc>
        <w:tc>
          <w:tcPr>
            <w:tcW w:w="4896" w:type="dxa"/>
            <w:tcBorders>
              <w:top w:val="single" w:sz="4" w:space="0" w:color="FFFFFF" w:themeColor="background1"/>
              <w:bottom w:val="single" w:sz="4" w:space="0" w:color="53565A" w:themeColor="accent5"/>
            </w:tcBorders>
          </w:tcPr>
          <w:p w14:paraId="117A864A" w14:textId="4F4C5431"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47E88FF" w14:textId="15962EEB"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47,461</w:t>
            </w:r>
          </w:p>
        </w:tc>
      </w:tr>
      <w:tr w:rsidR="00AE5D19" w:rsidRPr="009423C3" w14:paraId="6CED3DB0"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9234523"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TWOMEY TERENCE</w:t>
            </w:r>
          </w:p>
        </w:tc>
        <w:tc>
          <w:tcPr>
            <w:tcW w:w="4896" w:type="dxa"/>
            <w:tcBorders>
              <w:top w:val="single" w:sz="4" w:space="0" w:color="FFFFFF" w:themeColor="background1"/>
              <w:bottom w:val="single" w:sz="4" w:space="0" w:color="53565A" w:themeColor="accent5"/>
            </w:tcBorders>
          </w:tcPr>
          <w:p w14:paraId="791FFED7" w14:textId="497CF37C"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5B8087F9" w14:textId="4081705A"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71,825</w:t>
            </w:r>
          </w:p>
        </w:tc>
      </w:tr>
      <w:tr w:rsidR="00AE5D19" w:rsidRPr="009423C3" w14:paraId="30D9730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6467CB"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UNE PARTNERSHIPS PTY LTD</w:t>
            </w:r>
          </w:p>
        </w:tc>
        <w:tc>
          <w:tcPr>
            <w:tcW w:w="4896" w:type="dxa"/>
            <w:tcBorders>
              <w:top w:val="single" w:sz="4" w:space="0" w:color="FFFFFF" w:themeColor="background1"/>
              <w:bottom w:val="single" w:sz="4" w:space="0" w:color="53565A" w:themeColor="accent5"/>
            </w:tcBorders>
          </w:tcPr>
          <w:p w14:paraId="7AEED572" w14:textId="37E751F2"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77F7C89" w14:textId="237F53A8"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62,223</w:t>
            </w:r>
          </w:p>
        </w:tc>
      </w:tr>
      <w:tr w:rsidR="00AE5D19" w:rsidRPr="009423C3" w14:paraId="7BAD219F"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11DC20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UNITED MINDS COMMUNITY SERVICES LTD.</w:t>
            </w:r>
          </w:p>
        </w:tc>
        <w:tc>
          <w:tcPr>
            <w:tcW w:w="4896" w:type="dxa"/>
            <w:tcBorders>
              <w:top w:val="single" w:sz="4" w:space="0" w:color="FFFFFF" w:themeColor="background1"/>
              <w:bottom w:val="single" w:sz="4" w:space="0" w:color="53565A" w:themeColor="accent5"/>
            </w:tcBorders>
          </w:tcPr>
          <w:p w14:paraId="0DA9907D" w14:textId="6061C3CB"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D18CE3F" w14:textId="668F534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30,653</w:t>
            </w:r>
          </w:p>
        </w:tc>
      </w:tr>
      <w:tr w:rsidR="00AE5D19" w:rsidRPr="009423C3" w14:paraId="512DC8E8"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BEFCFB1"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UNIVERSITY OF MELBOURNE</w:t>
            </w:r>
          </w:p>
        </w:tc>
        <w:tc>
          <w:tcPr>
            <w:tcW w:w="4896" w:type="dxa"/>
            <w:tcBorders>
              <w:top w:val="single" w:sz="4" w:space="0" w:color="FFFFFF" w:themeColor="background1"/>
              <w:bottom w:val="single" w:sz="4" w:space="0" w:color="53565A" w:themeColor="accent5"/>
            </w:tcBorders>
          </w:tcPr>
          <w:p w14:paraId="79FF87BF" w14:textId="3EA70316"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07B168" w14:textId="532A9A8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2,469,382</w:t>
            </w:r>
          </w:p>
        </w:tc>
      </w:tr>
      <w:tr w:rsidR="00AE5D19" w:rsidRPr="009423C3" w14:paraId="57F93E05"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4815C3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UNIVERSITY OF NEW SOUTH WALES</w:t>
            </w:r>
          </w:p>
        </w:tc>
        <w:tc>
          <w:tcPr>
            <w:tcW w:w="4896" w:type="dxa"/>
            <w:tcBorders>
              <w:top w:val="single" w:sz="4" w:space="0" w:color="FFFFFF" w:themeColor="background1"/>
              <w:bottom w:val="single" w:sz="4" w:space="0" w:color="53565A" w:themeColor="accent5"/>
            </w:tcBorders>
          </w:tcPr>
          <w:p w14:paraId="51BBDEC8" w14:textId="0DE10B96"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F5E83F6" w14:textId="7D9356E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83,701</w:t>
            </w:r>
          </w:p>
        </w:tc>
      </w:tr>
      <w:tr w:rsidR="00AE5D19" w:rsidRPr="009423C3" w14:paraId="02BEC345"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CD34DD"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UNIVERSITY OF NEWCASTLE</w:t>
            </w:r>
          </w:p>
        </w:tc>
        <w:tc>
          <w:tcPr>
            <w:tcW w:w="4896" w:type="dxa"/>
            <w:tcBorders>
              <w:top w:val="single" w:sz="4" w:space="0" w:color="FFFFFF" w:themeColor="background1"/>
              <w:bottom w:val="single" w:sz="4" w:space="0" w:color="53565A" w:themeColor="accent5"/>
            </w:tcBorders>
          </w:tcPr>
          <w:p w14:paraId="4E71BD1A" w14:textId="6D922D9F"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C707ED6" w14:textId="6DC3124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7,204</w:t>
            </w:r>
          </w:p>
        </w:tc>
      </w:tr>
      <w:tr w:rsidR="00AE5D19" w:rsidRPr="009423C3" w14:paraId="2F9E6FC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B55D45A"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URBAN MAINTENANCE SYSTEMS PTY LTD</w:t>
            </w:r>
          </w:p>
        </w:tc>
        <w:tc>
          <w:tcPr>
            <w:tcW w:w="4896" w:type="dxa"/>
            <w:tcBorders>
              <w:top w:val="single" w:sz="4" w:space="0" w:color="FFFFFF" w:themeColor="background1"/>
              <w:bottom w:val="single" w:sz="4" w:space="0" w:color="53565A" w:themeColor="accent5"/>
            </w:tcBorders>
          </w:tcPr>
          <w:p w14:paraId="56C079EE" w14:textId="5526380D"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Utilities, </w:t>
            </w:r>
            <w:r w:rsidR="001651D9">
              <w:rPr>
                <w:rFonts w:ascii="Calibri" w:eastAsia="Times New Roman" w:hAnsi="Calibri" w:cs="Calibri"/>
                <w:color w:val="000000"/>
                <w:szCs w:val="20"/>
                <w:lang w:val="en-AU" w:eastAsia="en-AU"/>
              </w:rPr>
              <w:t>i</w:t>
            </w:r>
            <w:r w:rsidRPr="008457E1">
              <w:rPr>
                <w:rFonts w:ascii="Calibri" w:eastAsia="Times New Roman" w:hAnsi="Calibri" w:cs="Calibri"/>
                <w:color w:val="000000"/>
                <w:szCs w:val="20"/>
                <w:lang w:val="en-AU" w:eastAsia="en-AU"/>
              </w:rPr>
              <w:t>nfrastructure/</w:t>
            </w:r>
            <w:r w:rsidR="001651D9">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 xml:space="preserve">ustainability, </w:t>
            </w:r>
            <w:proofErr w:type="gramStart"/>
            <w:r w:rsidR="001651D9">
              <w:rPr>
                <w:rFonts w:ascii="Calibri" w:eastAsia="Times New Roman" w:hAnsi="Calibri" w:cs="Calibri"/>
                <w:color w:val="000000"/>
                <w:szCs w:val="20"/>
                <w:lang w:val="en-AU" w:eastAsia="en-AU"/>
              </w:rPr>
              <w:t>t</w:t>
            </w:r>
            <w:r w:rsidRPr="008457E1">
              <w:rPr>
                <w:rFonts w:ascii="Calibri" w:eastAsia="Times New Roman" w:hAnsi="Calibri" w:cs="Calibri"/>
                <w:color w:val="000000"/>
                <w:szCs w:val="20"/>
                <w:lang w:val="en-AU" w:eastAsia="en-AU"/>
              </w:rPr>
              <w:t>ransport</w:t>
            </w:r>
            <w:proofErr w:type="gramEnd"/>
            <w:r w:rsidRPr="008457E1">
              <w:rPr>
                <w:rFonts w:ascii="Calibri" w:eastAsia="Times New Roman" w:hAnsi="Calibri" w:cs="Calibri"/>
                <w:color w:val="000000"/>
                <w:szCs w:val="20"/>
                <w:lang w:val="en-AU" w:eastAsia="en-AU"/>
              </w:rPr>
              <w:t xml:space="preserve"> and </w:t>
            </w:r>
            <w:r w:rsidR="001651D9">
              <w:rPr>
                <w:rFonts w:ascii="Calibri" w:eastAsia="Times New Roman" w:hAnsi="Calibri" w:cs="Calibri"/>
                <w:color w:val="000000"/>
                <w:szCs w:val="20"/>
                <w:lang w:val="en-AU" w:eastAsia="en-AU"/>
              </w:rPr>
              <w:t>p</w:t>
            </w:r>
            <w:r w:rsidRPr="008457E1">
              <w:rPr>
                <w:rFonts w:ascii="Calibri" w:eastAsia="Times New Roman" w:hAnsi="Calibri" w:cs="Calibri"/>
                <w:color w:val="000000"/>
                <w:szCs w:val="20"/>
                <w:lang w:val="en-AU" w:eastAsia="en-AU"/>
              </w:rPr>
              <w:t xml:space="preserve">roject </w:t>
            </w:r>
            <w:r w:rsidR="001651D9">
              <w:rPr>
                <w:rFonts w:ascii="Calibri" w:eastAsia="Times New Roman" w:hAnsi="Calibri" w:cs="Calibri"/>
                <w:color w:val="000000"/>
                <w:szCs w:val="20"/>
                <w:lang w:val="en-AU" w:eastAsia="en-AU"/>
              </w:rPr>
              <w:t>m</w:t>
            </w:r>
            <w:r w:rsidRPr="008457E1">
              <w:rPr>
                <w:rFonts w:ascii="Calibri" w:eastAsia="Times New Roman" w:hAnsi="Calibri" w:cs="Calibri"/>
                <w:color w:val="000000"/>
                <w:szCs w:val="20"/>
                <w:lang w:val="en-AU" w:eastAsia="en-AU"/>
              </w:rPr>
              <w:t xml:space="preserve">anagement </w:t>
            </w:r>
            <w:r w:rsidR="001651D9">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31128C55" w14:textId="3CFD39D8"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2,500</w:t>
            </w:r>
          </w:p>
        </w:tc>
      </w:tr>
      <w:tr w:rsidR="00AE5D19" w:rsidRPr="009423C3" w14:paraId="315CEF45"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C33B38F"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URBIS PTY LTD</w:t>
            </w:r>
          </w:p>
        </w:tc>
        <w:tc>
          <w:tcPr>
            <w:tcW w:w="4896" w:type="dxa"/>
            <w:tcBorders>
              <w:top w:val="single" w:sz="4" w:space="0" w:color="FFFFFF" w:themeColor="background1"/>
              <w:bottom w:val="single" w:sz="4" w:space="0" w:color="53565A" w:themeColor="accent5"/>
            </w:tcBorders>
          </w:tcPr>
          <w:p w14:paraId="167C559C" w14:textId="6FF4EA2C"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AED0170" w14:textId="0D32C79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205,920</w:t>
            </w:r>
          </w:p>
        </w:tc>
      </w:tr>
      <w:tr w:rsidR="00AE5D19" w:rsidRPr="009423C3" w14:paraId="1619ADD8"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553EBC7"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UWORKIN PTY LTD</w:t>
            </w:r>
          </w:p>
        </w:tc>
        <w:tc>
          <w:tcPr>
            <w:tcW w:w="4896" w:type="dxa"/>
            <w:tcBorders>
              <w:top w:val="single" w:sz="4" w:space="0" w:color="FFFFFF" w:themeColor="background1"/>
              <w:bottom w:val="single" w:sz="4" w:space="0" w:color="53565A" w:themeColor="accent5"/>
            </w:tcBorders>
          </w:tcPr>
          <w:p w14:paraId="0F891699" w14:textId="28A78B9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934B53D" w14:textId="7D858C68"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53,800</w:t>
            </w:r>
          </w:p>
        </w:tc>
      </w:tr>
      <w:tr w:rsidR="00AE5D19" w:rsidRPr="009423C3" w14:paraId="79519632"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22EF24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VALAD SOLUTIONS PTY LTD</w:t>
            </w:r>
          </w:p>
        </w:tc>
        <w:tc>
          <w:tcPr>
            <w:tcW w:w="4896" w:type="dxa"/>
            <w:tcBorders>
              <w:top w:val="single" w:sz="4" w:space="0" w:color="FFFFFF" w:themeColor="background1"/>
              <w:bottom w:val="single" w:sz="4" w:space="0" w:color="53565A" w:themeColor="accent5"/>
            </w:tcBorders>
          </w:tcPr>
          <w:p w14:paraId="0E11CAEA" w14:textId="61061186"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BA2382A" w14:textId="4D231FB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797,042</w:t>
            </w:r>
          </w:p>
        </w:tc>
      </w:tr>
      <w:tr w:rsidR="00AE5D19" w:rsidRPr="009423C3" w14:paraId="1790BD9D"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FBEE6E"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VAN REES MICHONNE</w:t>
            </w:r>
          </w:p>
        </w:tc>
        <w:tc>
          <w:tcPr>
            <w:tcW w:w="4896" w:type="dxa"/>
            <w:tcBorders>
              <w:top w:val="single" w:sz="4" w:space="0" w:color="FFFFFF" w:themeColor="background1"/>
              <w:bottom w:val="single" w:sz="4" w:space="0" w:color="53565A" w:themeColor="accent5"/>
            </w:tcBorders>
          </w:tcPr>
          <w:p w14:paraId="60F6CBF3" w14:textId="35253C2A"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6FB08E2" w14:textId="07350379"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19,091</w:t>
            </w:r>
          </w:p>
        </w:tc>
      </w:tr>
      <w:tr w:rsidR="00AE5D19" w:rsidRPr="009423C3" w14:paraId="607A4FC6"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6C6FF16"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VERSA AGENCY PTY LTD</w:t>
            </w:r>
          </w:p>
        </w:tc>
        <w:tc>
          <w:tcPr>
            <w:tcW w:w="4896" w:type="dxa"/>
            <w:tcBorders>
              <w:top w:val="single" w:sz="4" w:space="0" w:color="FFFFFF" w:themeColor="background1"/>
              <w:bottom w:val="single" w:sz="4" w:space="0" w:color="53565A" w:themeColor="accent5"/>
            </w:tcBorders>
          </w:tcPr>
          <w:p w14:paraId="3B34BAAC" w14:textId="6EA30F45"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70EA1D7E" w14:textId="10A89CCD"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98,649</w:t>
            </w:r>
          </w:p>
        </w:tc>
      </w:tr>
      <w:tr w:rsidR="00AE5D19" w:rsidRPr="009423C3" w14:paraId="0B7ED7D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F53597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VET DEVELOPMENT CENTRE LTD</w:t>
            </w:r>
          </w:p>
        </w:tc>
        <w:tc>
          <w:tcPr>
            <w:tcW w:w="4896" w:type="dxa"/>
            <w:tcBorders>
              <w:top w:val="single" w:sz="4" w:space="0" w:color="FFFFFF" w:themeColor="background1"/>
              <w:bottom w:val="single" w:sz="4" w:space="0" w:color="53565A" w:themeColor="accent5"/>
            </w:tcBorders>
          </w:tcPr>
          <w:p w14:paraId="4B9AF6DA" w14:textId="42BACCE3"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2FCE8E2" w14:textId="62FC8DB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1,513,100</w:t>
            </w:r>
          </w:p>
        </w:tc>
      </w:tr>
      <w:tr w:rsidR="00AE5D19" w:rsidRPr="009423C3" w14:paraId="507B230A"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C2BB76A"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VETASSESS</w:t>
            </w:r>
          </w:p>
        </w:tc>
        <w:tc>
          <w:tcPr>
            <w:tcW w:w="4896" w:type="dxa"/>
            <w:tcBorders>
              <w:top w:val="single" w:sz="4" w:space="0" w:color="FFFFFF" w:themeColor="background1"/>
              <w:bottom w:val="single" w:sz="4" w:space="0" w:color="53565A" w:themeColor="accent5"/>
            </w:tcBorders>
          </w:tcPr>
          <w:p w14:paraId="54282297" w14:textId="6ECFB13C"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2C3E6D4" w14:textId="34287C08"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70,373</w:t>
            </w:r>
          </w:p>
        </w:tc>
      </w:tr>
      <w:tr w:rsidR="00AE5D19" w:rsidRPr="009423C3" w14:paraId="1081D528"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EFC102D"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VICISSITUDE</w:t>
            </w:r>
          </w:p>
        </w:tc>
        <w:tc>
          <w:tcPr>
            <w:tcW w:w="4896" w:type="dxa"/>
            <w:tcBorders>
              <w:top w:val="single" w:sz="4" w:space="0" w:color="FFFFFF" w:themeColor="background1"/>
              <w:bottom w:val="single" w:sz="4" w:space="0" w:color="53565A" w:themeColor="accent5"/>
            </w:tcBorders>
          </w:tcPr>
          <w:p w14:paraId="47054425" w14:textId="60330E57"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30142951" w14:textId="5CA3F41F"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17,806</w:t>
            </w:r>
          </w:p>
        </w:tc>
      </w:tr>
      <w:tr w:rsidR="00AE5D19" w:rsidRPr="009423C3" w14:paraId="1EF42AB7"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FDB1301"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 UNIVERSITY</w:t>
            </w:r>
          </w:p>
        </w:tc>
        <w:tc>
          <w:tcPr>
            <w:tcW w:w="4896" w:type="dxa"/>
            <w:tcBorders>
              <w:top w:val="single" w:sz="4" w:space="0" w:color="FFFFFF" w:themeColor="background1"/>
              <w:bottom w:val="single" w:sz="4" w:space="0" w:color="53565A" w:themeColor="accent5"/>
            </w:tcBorders>
          </w:tcPr>
          <w:p w14:paraId="72750565" w14:textId="1744416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0E5CF373" w14:textId="61829BCF"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288,012</w:t>
            </w:r>
          </w:p>
        </w:tc>
      </w:tr>
      <w:tr w:rsidR="00AE5D19" w:rsidRPr="009423C3" w14:paraId="2B6731F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8178134"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ABORIGINAL COMMUNITY CONTROLLED HEALTH ORGANISATION INC</w:t>
            </w:r>
          </w:p>
        </w:tc>
        <w:tc>
          <w:tcPr>
            <w:tcW w:w="4896" w:type="dxa"/>
            <w:tcBorders>
              <w:top w:val="single" w:sz="4" w:space="0" w:color="FFFFFF" w:themeColor="background1"/>
              <w:bottom w:val="single" w:sz="4" w:space="0" w:color="53565A" w:themeColor="accent5"/>
            </w:tcBorders>
          </w:tcPr>
          <w:p w14:paraId="58C46FBF" w14:textId="7A916ED2"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2FFD3A6" w14:textId="1F3B19FD"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2,200</w:t>
            </w:r>
          </w:p>
        </w:tc>
      </w:tr>
      <w:tr w:rsidR="00AE5D19" w:rsidRPr="009423C3" w14:paraId="458F7ADF"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F3AB9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ABORIGINAL EDUCATION ASSOCIATION INC</w:t>
            </w:r>
          </w:p>
        </w:tc>
        <w:tc>
          <w:tcPr>
            <w:tcW w:w="4896" w:type="dxa"/>
            <w:tcBorders>
              <w:top w:val="single" w:sz="4" w:space="0" w:color="FFFFFF" w:themeColor="background1"/>
              <w:bottom w:val="single" w:sz="4" w:space="0" w:color="53565A" w:themeColor="accent5"/>
            </w:tcBorders>
          </w:tcPr>
          <w:p w14:paraId="0F0AA3D0" w14:textId="24025041"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63B21E1" w14:textId="4D3836A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50,000</w:t>
            </w:r>
          </w:p>
        </w:tc>
      </w:tr>
      <w:tr w:rsidR="00AE5D19" w:rsidRPr="009423C3" w14:paraId="5A27FF7B"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C699774"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APPLIED LEARNING ASSOCIATION INC</w:t>
            </w:r>
          </w:p>
        </w:tc>
        <w:tc>
          <w:tcPr>
            <w:tcW w:w="4896" w:type="dxa"/>
            <w:tcBorders>
              <w:top w:val="single" w:sz="4" w:space="0" w:color="FFFFFF" w:themeColor="background1"/>
              <w:bottom w:val="single" w:sz="4" w:space="0" w:color="53565A" w:themeColor="accent5"/>
            </w:tcBorders>
          </w:tcPr>
          <w:p w14:paraId="69E3F9D5" w14:textId="72C6F68D"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9F43F29" w14:textId="2B66D7A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4,000</w:t>
            </w:r>
          </w:p>
        </w:tc>
      </w:tr>
      <w:tr w:rsidR="00AE5D19" w:rsidRPr="009423C3" w14:paraId="43A43AA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B80E7A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ASSESSMENT SERVICES</w:t>
            </w:r>
          </w:p>
        </w:tc>
        <w:tc>
          <w:tcPr>
            <w:tcW w:w="4896" w:type="dxa"/>
            <w:tcBorders>
              <w:top w:val="single" w:sz="4" w:space="0" w:color="FFFFFF" w:themeColor="background1"/>
              <w:bottom w:val="single" w:sz="4" w:space="0" w:color="53565A" w:themeColor="accent5"/>
            </w:tcBorders>
          </w:tcPr>
          <w:p w14:paraId="2B42CC14" w14:textId="27971A05"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Education </w:t>
            </w:r>
            <w:r w:rsidR="00F17011">
              <w:rPr>
                <w:rFonts w:ascii="Calibri" w:eastAsia="Times New Roman" w:hAnsi="Calibri" w:cs="Calibri"/>
                <w:color w:val="000000"/>
                <w:szCs w:val="20"/>
                <w:lang w:val="en-AU" w:eastAsia="en-AU"/>
              </w:rPr>
              <w:t>a</w:t>
            </w:r>
            <w:r w:rsidRPr="008457E1">
              <w:rPr>
                <w:rFonts w:ascii="Calibri" w:eastAsia="Times New Roman" w:hAnsi="Calibri" w:cs="Calibri"/>
                <w:color w:val="000000"/>
                <w:szCs w:val="20"/>
                <w:lang w:val="en-AU" w:eastAsia="en-AU"/>
              </w:rPr>
              <w:t xml:space="preserve">ssessment </w:t>
            </w:r>
            <w:r w:rsidR="00F17011">
              <w:rPr>
                <w:rFonts w:ascii="Calibri" w:eastAsia="Times New Roman" w:hAnsi="Calibri" w:cs="Calibri"/>
                <w:color w:val="000000"/>
                <w:szCs w:val="20"/>
                <w:lang w:val="en-AU" w:eastAsia="en-AU"/>
              </w:rPr>
              <w:t>s</w:t>
            </w:r>
            <w:r w:rsidRPr="008457E1">
              <w:rPr>
                <w:rFonts w:ascii="Calibri" w:eastAsia="Times New Roman" w:hAnsi="Calibri" w:cs="Calibri"/>
                <w:color w:val="000000"/>
                <w:szCs w:val="20"/>
                <w:lang w:val="en-AU" w:eastAsia="en-AU"/>
              </w:rPr>
              <w:t>ervices</w:t>
            </w:r>
          </w:p>
        </w:tc>
        <w:tc>
          <w:tcPr>
            <w:tcW w:w="1417" w:type="dxa"/>
            <w:tcBorders>
              <w:top w:val="single" w:sz="4" w:space="0" w:color="FFFFFF" w:themeColor="background1"/>
              <w:bottom w:val="single" w:sz="4" w:space="0" w:color="53565A" w:themeColor="accent5"/>
            </w:tcBorders>
            <w:shd w:val="clear" w:color="auto" w:fill="auto"/>
            <w:vAlign w:val="center"/>
          </w:tcPr>
          <w:p w14:paraId="3C9BE4C5" w14:textId="5997A8C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198,178</w:t>
            </w:r>
          </w:p>
        </w:tc>
      </w:tr>
      <w:tr w:rsidR="00AE5D19" w:rsidRPr="009423C3" w14:paraId="4E02B965"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E6BC1E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 xml:space="preserve">VICTORIAN COMMERCIAL </w:t>
            </w:r>
            <w:proofErr w:type="gramStart"/>
            <w:r w:rsidRPr="008457E1">
              <w:rPr>
                <w:rFonts w:ascii="Calibri" w:eastAsia="Times New Roman" w:hAnsi="Calibri" w:cs="Calibri"/>
                <w:color w:val="000000"/>
                <w:szCs w:val="20"/>
                <w:lang w:val="en-AU" w:eastAsia="en-AU"/>
              </w:rPr>
              <w:t>TEACHERS</w:t>
            </w:r>
            <w:proofErr w:type="gramEnd"/>
            <w:r w:rsidRPr="008457E1">
              <w:rPr>
                <w:rFonts w:ascii="Calibri" w:eastAsia="Times New Roman" w:hAnsi="Calibri" w:cs="Calibri"/>
                <w:color w:val="000000"/>
                <w:szCs w:val="20"/>
                <w:lang w:val="en-AU" w:eastAsia="en-AU"/>
              </w:rPr>
              <w:t xml:space="preserve"> ASSOCIATION</w:t>
            </w:r>
          </w:p>
        </w:tc>
        <w:tc>
          <w:tcPr>
            <w:tcW w:w="4896" w:type="dxa"/>
            <w:tcBorders>
              <w:top w:val="single" w:sz="4" w:space="0" w:color="FFFFFF" w:themeColor="background1"/>
              <w:bottom w:val="single" w:sz="4" w:space="0" w:color="53565A" w:themeColor="accent5"/>
            </w:tcBorders>
          </w:tcPr>
          <w:p w14:paraId="56FAD0EC" w14:textId="0F2519A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F2DE04C" w14:textId="224082B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5,940</w:t>
            </w:r>
          </w:p>
        </w:tc>
      </w:tr>
      <w:tr w:rsidR="00AE5D19" w:rsidRPr="009423C3" w14:paraId="3609EB3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98F4636"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COUNCIL OF SOCIAL SERVICE INC</w:t>
            </w:r>
          </w:p>
        </w:tc>
        <w:tc>
          <w:tcPr>
            <w:tcW w:w="4896" w:type="dxa"/>
            <w:tcBorders>
              <w:top w:val="single" w:sz="4" w:space="0" w:color="FFFFFF" w:themeColor="background1"/>
              <w:bottom w:val="single" w:sz="4" w:space="0" w:color="53565A" w:themeColor="accent5"/>
            </w:tcBorders>
          </w:tcPr>
          <w:p w14:paraId="68855C62" w14:textId="5AF35A8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F36027A" w14:textId="6792FEAB"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4,500</w:t>
            </w:r>
          </w:p>
        </w:tc>
      </w:tr>
      <w:tr w:rsidR="00AE5D19" w:rsidRPr="009423C3" w14:paraId="5BDEA456"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91A893"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DEAF SOCIETY</w:t>
            </w:r>
          </w:p>
        </w:tc>
        <w:tc>
          <w:tcPr>
            <w:tcW w:w="4896" w:type="dxa"/>
            <w:tcBorders>
              <w:top w:val="single" w:sz="4" w:space="0" w:color="FFFFFF" w:themeColor="background1"/>
              <w:bottom w:val="single" w:sz="4" w:space="0" w:color="53565A" w:themeColor="accent5"/>
            </w:tcBorders>
          </w:tcPr>
          <w:p w14:paraId="2FFCD217" w14:textId="705942CD"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1148929" w14:textId="0B416D5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4,916</w:t>
            </w:r>
          </w:p>
        </w:tc>
      </w:tr>
      <w:tr w:rsidR="00AE5D19" w:rsidRPr="009423C3" w14:paraId="5E323F92"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7536B2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VICTORIAN PUBLIC SECTOR COMMISSION</w:t>
            </w:r>
          </w:p>
        </w:tc>
        <w:tc>
          <w:tcPr>
            <w:tcW w:w="4896" w:type="dxa"/>
            <w:tcBorders>
              <w:top w:val="single" w:sz="4" w:space="0" w:color="FFFFFF" w:themeColor="background1"/>
              <w:bottom w:val="single" w:sz="4" w:space="0" w:color="53565A" w:themeColor="accent5"/>
            </w:tcBorders>
          </w:tcPr>
          <w:p w14:paraId="2642B74C" w14:textId="4D0E37DF"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87EA950" w14:textId="16D424F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52,813</w:t>
            </w:r>
          </w:p>
        </w:tc>
      </w:tr>
      <w:tr w:rsidR="00AE5D19" w:rsidRPr="009423C3" w14:paraId="1A9A605F"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8BDB841"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VINCENT RIO EDUCATION &amp; TRAINING CONSULTANT</w:t>
            </w:r>
          </w:p>
        </w:tc>
        <w:tc>
          <w:tcPr>
            <w:tcW w:w="4896" w:type="dxa"/>
            <w:tcBorders>
              <w:top w:val="single" w:sz="4" w:space="0" w:color="FFFFFF" w:themeColor="background1"/>
              <w:bottom w:val="single" w:sz="4" w:space="0" w:color="53565A" w:themeColor="accent5"/>
            </w:tcBorders>
          </w:tcPr>
          <w:p w14:paraId="315264E3" w14:textId="7B89D686"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40F5390C" w14:textId="6FEC8D2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2,430</w:t>
            </w:r>
          </w:p>
        </w:tc>
      </w:tr>
      <w:tr w:rsidR="00AE5D19" w:rsidRPr="009423C3" w14:paraId="044454E0"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F6FDC47"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VISIBILITY CO PTY LTD</w:t>
            </w:r>
          </w:p>
        </w:tc>
        <w:tc>
          <w:tcPr>
            <w:tcW w:w="4896" w:type="dxa"/>
            <w:tcBorders>
              <w:top w:val="single" w:sz="4" w:space="0" w:color="FFFFFF" w:themeColor="background1"/>
              <w:bottom w:val="single" w:sz="4" w:space="0" w:color="53565A" w:themeColor="accent5"/>
            </w:tcBorders>
          </w:tcPr>
          <w:p w14:paraId="7162595F" w14:textId="64115AC0"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50B7996" w14:textId="11E0ACD3"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1,895</w:t>
            </w:r>
          </w:p>
        </w:tc>
      </w:tr>
      <w:tr w:rsidR="00AE5D19" w:rsidRPr="009423C3" w14:paraId="5F76EEEB"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78BFA2"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VITALE ELAINE PATRICIA</w:t>
            </w:r>
          </w:p>
        </w:tc>
        <w:tc>
          <w:tcPr>
            <w:tcW w:w="4896" w:type="dxa"/>
            <w:tcBorders>
              <w:top w:val="single" w:sz="4" w:space="0" w:color="FFFFFF" w:themeColor="background1"/>
              <w:bottom w:val="single" w:sz="4" w:space="0" w:color="53565A" w:themeColor="accent5"/>
            </w:tcBorders>
          </w:tcPr>
          <w:p w14:paraId="4F5C94C6" w14:textId="2ED6B50E"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DC4517D" w14:textId="4CE560B3"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19,842</w:t>
            </w:r>
          </w:p>
        </w:tc>
      </w:tr>
      <w:tr w:rsidR="00AE5D19" w:rsidRPr="009423C3" w14:paraId="2C4EB7B2"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0B8844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VJA EDUCATION CONSULTANT</w:t>
            </w:r>
          </w:p>
        </w:tc>
        <w:tc>
          <w:tcPr>
            <w:tcW w:w="4896" w:type="dxa"/>
            <w:tcBorders>
              <w:top w:val="single" w:sz="4" w:space="0" w:color="FFFFFF" w:themeColor="background1"/>
              <w:bottom w:val="single" w:sz="4" w:space="0" w:color="53565A" w:themeColor="accent5"/>
            </w:tcBorders>
          </w:tcPr>
          <w:p w14:paraId="71B7D954" w14:textId="78A62BF8"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519729D" w14:textId="3593614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44,907</w:t>
            </w:r>
          </w:p>
        </w:tc>
      </w:tr>
      <w:tr w:rsidR="00AE5D19" w:rsidRPr="009423C3" w14:paraId="2B70B11D"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2E9E627"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WALL DEBORAH SUSAN</w:t>
            </w:r>
          </w:p>
        </w:tc>
        <w:tc>
          <w:tcPr>
            <w:tcW w:w="4896" w:type="dxa"/>
            <w:tcBorders>
              <w:top w:val="single" w:sz="4" w:space="0" w:color="FFFFFF" w:themeColor="background1"/>
              <w:bottom w:val="single" w:sz="4" w:space="0" w:color="53565A" w:themeColor="accent5"/>
            </w:tcBorders>
          </w:tcPr>
          <w:p w14:paraId="422F52BD" w14:textId="4CB52A96"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2C85FE12" w14:textId="0437C6B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3,887</w:t>
            </w:r>
          </w:p>
        </w:tc>
      </w:tr>
      <w:tr w:rsidR="00AE5D19" w:rsidRPr="009423C3" w14:paraId="11BF8F0F"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D475E55"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WALLIS CONSULTING GROUP PTY LTD</w:t>
            </w:r>
          </w:p>
        </w:tc>
        <w:tc>
          <w:tcPr>
            <w:tcW w:w="4896" w:type="dxa"/>
            <w:tcBorders>
              <w:top w:val="single" w:sz="4" w:space="0" w:color="FFFFFF" w:themeColor="background1"/>
              <w:bottom w:val="single" w:sz="4" w:space="0" w:color="53565A" w:themeColor="accent5"/>
            </w:tcBorders>
          </w:tcPr>
          <w:p w14:paraId="55FAB094" w14:textId="57CCAAE3"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D550578" w14:textId="160EE62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507,361</w:t>
            </w:r>
          </w:p>
        </w:tc>
      </w:tr>
      <w:tr w:rsidR="00AE5D19" w:rsidRPr="009423C3" w14:paraId="131E3D1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CDFEA5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WATSON PSYCHOLOGY</w:t>
            </w:r>
          </w:p>
        </w:tc>
        <w:tc>
          <w:tcPr>
            <w:tcW w:w="4896" w:type="dxa"/>
            <w:tcBorders>
              <w:top w:val="single" w:sz="4" w:space="0" w:color="FFFFFF" w:themeColor="background1"/>
              <w:bottom w:val="single" w:sz="4" w:space="0" w:color="53565A" w:themeColor="accent5"/>
            </w:tcBorders>
          </w:tcPr>
          <w:p w14:paraId="352E1F24" w14:textId="6CE96D2A"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456D7494" w14:textId="48E6273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4,080</w:t>
            </w:r>
          </w:p>
        </w:tc>
      </w:tr>
      <w:tr w:rsidR="00AE5D19" w:rsidRPr="009423C3" w14:paraId="30C54A38"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A196CDA"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WATTERSTON CONSULTING PTY LTD</w:t>
            </w:r>
          </w:p>
        </w:tc>
        <w:tc>
          <w:tcPr>
            <w:tcW w:w="4896" w:type="dxa"/>
            <w:tcBorders>
              <w:top w:val="single" w:sz="4" w:space="0" w:color="FFFFFF" w:themeColor="background1"/>
              <w:bottom w:val="single" w:sz="4" w:space="0" w:color="53565A" w:themeColor="accent5"/>
            </w:tcBorders>
          </w:tcPr>
          <w:p w14:paraId="0C71991A" w14:textId="757BE8A8"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D0B2CDE" w14:textId="494DFC3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24,000</w:t>
            </w:r>
          </w:p>
        </w:tc>
      </w:tr>
      <w:tr w:rsidR="00AE5D19" w:rsidRPr="009423C3" w14:paraId="033F1FC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BBD0CB4"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WEB SURVEY</w:t>
            </w:r>
          </w:p>
        </w:tc>
        <w:tc>
          <w:tcPr>
            <w:tcW w:w="4896" w:type="dxa"/>
            <w:tcBorders>
              <w:top w:val="single" w:sz="4" w:space="0" w:color="FFFFFF" w:themeColor="background1"/>
              <w:bottom w:val="single" w:sz="4" w:space="0" w:color="53565A" w:themeColor="accent5"/>
            </w:tcBorders>
          </w:tcPr>
          <w:p w14:paraId="3E9D1E5F" w14:textId="6F0EA056"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CA2F935" w14:textId="54A43D2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219,936</w:t>
            </w:r>
          </w:p>
        </w:tc>
      </w:tr>
      <w:tr w:rsidR="00AE5D19" w:rsidRPr="009423C3" w14:paraId="63692A8D"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7B3C222"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WEBPLACE PTY LTD</w:t>
            </w:r>
          </w:p>
        </w:tc>
        <w:tc>
          <w:tcPr>
            <w:tcW w:w="4896" w:type="dxa"/>
            <w:tcBorders>
              <w:top w:val="single" w:sz="4" w:space="0" w:color="FFFFFF" w:themeColor="background1"/>
              <w:bottom w:val="single" w:sz="4" w:space="0" w:color="53565A" w:themeColor="accent5"/>
            </w:tcBorders>
          </w:tcPr>
          <w:p w14:paraId="362B50D8" w14:textId="29C49EE2"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36C94BAE" w14:textId="4DC7FA6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5,338</w:t>
            </w:r>
          </w:p>
        </w:tc>
      </w:tr>
      <w:tr w:rsidR="00AE5D19" w:rsidRPr="009423C3" w14:paraId="5579ACE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549242FB"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WEBSCUER</w:t>
            </w:r>
          </w:p>
        </w:tc>
        <w:tc>
          <w:tcPr>
            <w:tcW w:w="4896" w:type="dxa"/>
            <w:tcBorders>
              <w:top w:val="single" w:sz="4" w:space="0" w:color="FFFFFF" w:themeColor="background1"/>
              <w:bottom w:val="single" w:sz="4" w:space="0" w:color="53565A" w:themeColor="accent5"/>
            </w:tcBorders>
          </w:tcPr>
          <w:p w14:paraId="0A207645" w14:textId="4E808599"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A65FBCD" w14:textId="09B94426"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1,875</w:t>
            </w:r>
          </w:p>
        </w:tc>
      </w:tr>
      <w:tr w:rsidR="00AE5D19" w:rsidRPr="009423C3" w14:paraId="2C9D7CA5"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EC0EE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WESTERN SPORTS TRAINERS ASSOCIATION</w:t>
            </w:r>
          </w:p>
        </w:tc>
        <w:tc>
          <w:tcPr>
            <w:tcW w:w="4896" w:type="dxa"/>
            <w:tcBorders>
              <w:top w:val="single" w:sz="4" w:space="0" w:color="FFFFFF" w:themeColor="background1"/>
              <w:bottom w:val="single" w:sz="4" w:space="0" w:color="53565A" w:themeColor="accent5"/>
            </w:tcBorders>
          </w:tcPr>
          <w:p w14:paraId="7604E26C" w14:textId="08812BB5"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346F4B03" w14:textId="5403D31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6,100</w:t>
            </w:r>
          </w:p>
        </w:tc>
      </w:tr>
      <w:tr w:rsidR="00AE5D19" w:rsidRPr="009423C3" w14:paraId="6CD4AEBA"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0C39584"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WETRAIN</w:t>
            </w:r>
          </w:p>
        </w:tc>
        <w:tc>
          <w:tcPr>
            <w:tcW w:w="4896" w:type="dxa"/>
            <w:tcBorders>
              <w:top w:val="single" w:sz="4" w:space="0" w:color="FFFFFF" w:themeColor="background1"/>
              <w:bottom w:val="single" w:sz="4" w:space="0" w:color="53565A" w:themeColor="accent5"/>
            </w:tcBorders>
          </w:tcPr>
          <w:p w14:paraId="5A4BBF0B" w14:textId="3CFBD1DF"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26ECFDE3" w14:textId="082E08A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11,991</w:t>
            </w:r>
          </w:p>
        </w:tc>
      </w:tr>
      <w:tr w:rsidR="00AE5D19" w:rsidRPr="009423C3" w14:paraId="55744A2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63FF76D"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WFDS PTY LTD</w:t>
            </w:r>
          </w:p>
        </w:tc>
        <w:tc>
          <w:tcPr>
            <w:tcW w:w="4896" w:type="dxa"/>
            <w:tcBorders>
              <w:top w:val="single" w:sz="4" w:space="0" w:color="FFFFFF" w:themeColor="background1"/>
              <w:bottom w:val="single" w:sz="4" w:space="0" w:color="53565A" w:themeColor="accent5"/>
            </w:tcBorders>
          </w:tcPr>
          <w:p w14:paraId="4F03F321" w14:textId="3FB59F98"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5930D5B" w14:textId="68EC5924"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159,901</w:t>
            </w:r>
          </w:p>
        </w:tc>
      </w:tr>
      <w:tr w:rsidR="00AE5D19" w:rsidRPr="009423C3" w14:paraId="6346FF1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94CA74E"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WHITE ANGELA EVELYN</w:t>
            </w:r>
          </w:p>
        </w:tc>
        <w:tc>
          <w:tcPr>
            <w:tcW w:w="4896" w:type="dxa"/>
            <w:tcBorders>
              <w:top w:val="single" w:sz="4" w:space="0" w:color="FFFFFF" w:themeColor="background1"/>
              <w:bottom w:val="single" w:sz="4" w:space="0" w:color="53565A" w:themeColor="accent5"/>
            </w:tcBorders>
          </w:tcPr>
          <w:p w14:paraId="3CBB5AF0" w14:textId="7E8A1D9E"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A9C8FD6" w14:textId="6EACD4A0"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11,110</w:t>
            </w:r>
          </w:p>
        </w:tc>
      </w:tr>
      <w:tr w:rsidR="00AE5D19" w:rsidRPr="009423C3" w14:paraId="05D767B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5B553C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WHITE INVESTMENT HOLDING PTY LTD</w:t>
            </w:r>
          </w:p>
        </w:tc>
        <w:tc>
          <w:tcPr>
            <w:tcW w:w="4896" w:type="dxa"/>
            <w:tcBorders>
              <w:top w:val="single" w:sz="4" w:space="0" w:color="FFFFFF" w:themeColor="background1"/>
              <w:bottom w:val="single" w:sz="4" w:space="0" w:color="53565A" w:themeColor="accent5"/>
            </w:tcBorders>
          </w:tcPr>
          <w:p w14:paraId="085AB549" w14:textId="7F5426C2"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1AE95E67" w14:textId="1A57224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3,860</w:t>
            </w:r>
          </w:p>
        </w:tc>
      </w:tr>
      <w:tr w:rsidR="00AE5D19" w:rsidRPr="009423C3" w14:paraId="2EC4B950"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3B1B5B6"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WILCOB PTY LTD</w:t>
            </w:r>
          </w:p>
        </w:tc>
        <w:tc>
          <w:tcPr>
            <w:tcW w:w="4896" w:type="dxa"/>
            <w:tcBorders>
              <w:top w:val="single" w:sz="4" w:space="0" w:color="FFFFFF" w:themeColor="background1"/>
              <w:bottom w:val="single" w:sz="4" w:space="0" w:color="53565A" w:themeColor="accent5"/>
            </w:tcBorders>
          </w:tcPr>
          <w:p w14:paraId="4394DABD" w14:textId="11497EB1"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40985369" w14:textId="298C2B7E"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631,934</w:t>
            </w:r>
          </w:p>
        </w:tc>
      </w:tr>
      <w:tr w:rsidR="00AE5D19" w:rsidRPr="009423C3" w14:paraId="6FB2C35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06078E"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WILLIAMS ALAN BRUNTON</w:t>
            </w:r>
          </w:p>
        </w:tc>
        <w:tc>
          <w:tcPr>
            <w:tcW w:w="4896" w:type="dxa"/>
            <w:tcBorders>
              <w:top w:val="single" w:sz="4" w:space="0" w:color="FFFFFF" w:themeColor="background1"/>
              <w:bottom w:val="single" w:sz="4" w:space="0" w:color="53565A" w:themeColor="accent5"/>
            </w:tcBorders>
          </w:tcPr>
          <w:p w14:paraId="1E5CB618" w14:textId="5C9A13BA"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5C27296" w14:textId="57FE2FF4"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4,800</w:t>
            </w:r>
          </w:p>
        </w:tc>
      </w:tr>
      <w:tr w:rsidR="00AE5D19" w:rsidRPr="009423C3" w14:paraId="5354ACB4"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7FD2BE3"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WISE OWL PSYCHOLOGY AND EDUCATION SERVICES</w:t>
            </w:r>
          </w:p>
        </w:tc>
        <w:tc>
          <w:tcPr>
            <w:tcW w:w="4896" w:type="dxa"/>
            <w:tcBorders>
              <w:top w:val="single" w:sz="4" w:space="0" w:color="FFFFFF" w:themeColor="background1"/>
              <w:bottom w:val="single" w:sz="4" w:space="0" w:color="53565A" w:themeColor="accent5"/>
            </w:tcBorders>
          </w:tcPr>
          <w:p w14:paraId="0689755E" w14:textId="292F2D5B"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26838B7" w14:textId="21A779B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3,673</w:t>
            </w:r>
          </w:p>
        </w:tc>
      </w:tr>
      <w:tr w:rsidR="00AE5D19" w:rsidRPr="009423C3" w14:paraId="5000F45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727268A1"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WITCHELL DAVID</w:t>
            </w:r>
          </w:p>
        </w:tc>
        <w:tc>
          <w:tcPr>
            <w:tcW w:w="4896" w:type="dxa"/>
            <w:tcBorders>
              <w:top w:val="single" w:sz="4" w:space="0" w:color="FFFFFF" w:themeColor="background1"/>
              <w:bottom w:val="single" w:sz="4" w:space="0" w:color="53565A" w:themeColor="accent5"/>
            </w:tcBorders>
          </w:tcPr>
          <w:p w14:paraId="2A24D044" w14:textId="1F9F088C"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1568A35" w14:textId="66E42891"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8,750</w:t>
            </w:r>
          </w:p>
        </w:tc>
      </w:tr>
      <w:tr w:rsidR="00AE5D19" w:rsidRPr="009423C3" w14:paraId="426C222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FAB56D8"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WOMENS HEALTH IN THE NORTH INC</w:t>
            </w:r>
          </w:p>
        </w:tc>
        <w:tc>
          <w:tcPr>
            <w:tcW w:w="4896" w:type="dxa"/>
            <w:tcBorders>
              <w:top w:val="single" w:sz="4" w:space="0" w:color="FFFFFF" w:themeColor="background1"/>
              <w:bottom w:val="single" w:sz="4" w:space="0" w:color="53565A" w:themeColor="accent5"/>
            </w:tcBorders>
          </w:tcPr>
          <w:p w14:paraId="7B2F8C1C" w14:textId="233B1437"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A1F00BC" w14:textId="2EDD3CE4"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9,228</w:t>
            </w:r>
          </w:p>
        </w:tc>
      </w:tr>
      <w:tr w:rsidR="00AE5D19" w:rsidRPr="009423C3" w14:paraId="1DD80A47"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9674E05"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WOOLLYBULL PTY LTD</w:t>
            </w:r>
          </w:p>
        </w:tc>
        <w:tc>
          <w:tcPr>
            <w:tcW w:w="4896" w:type="dxa"/>
            <w:tcBorders>
              <w:top w:val="single" w:sz="4" w:space="0" w:color="FFFFFF" w:themeColor="background1"/>
              <w:bottom w:val="single" w:sz="4" w:space="0" w:color="53565A" w:themeColor="accent5"/>
            </w:tcBorders>
          </w:tcPr>
          <w:p w14:paraId="1B28E877" w14:textId="4E2FDA04"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Publishing, printing, promotions and communications or marketing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0B6ADE1F" w14:textId="55F09A0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6,240</w:t>
            </w:r>
          </w:p>
        </w:tc>
      </w:tr>
      <w:tr w:rsidR="00AE5D19" w:rsidRPr="009423C3" w14:paraId="500AE0D3"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40F166B"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WORK ABLE CONSULTING PTY LTD</w:t>
            </w:r>
          </w:p>
        </w:tc>
        <w:tc>
          <w:tcPr>
            <w:tcW w:w="4896" w:type="dxa"/>
            <w:tcBorders>
              <w:top w:val="single" w:sz="4" w:space="0" w:color="FFFFFF" w:themeColor="background1"/>
              <w:bottom w:val="single" w:sz="4" w:space="0" w:color="53565A" w:themeColor="accent5"/>
            </w:tcBorders>
          </w:tcPr>
          <w:p w14:paraId="51DBCB6E" w14:textId="2E562BBB"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8181C84" w14:textId="21C77E9C"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1,560</w:t>
            </w:r>
          </w:p>
        </w:tc>
      </w:tr>
      <w:tr w:rsidR="00AE5D19" w:rsidRPr="009423C3" w14:paraId="0FB4FE5C"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4C5FD5A5"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WORKLOGIC PTY LTD</w:t>
            </w:r>
          </w:p>
        </w:tc>
        <w:tc>
          <w:tcPr>
            <w:tcW w:w="4896" w:type="dxa"/>
            <w:tcBorders>
              <w:top w:val="single" w:sz="4" w:space="0" w:color="FFFFFF" w:themeColor="background1"/>
              <w:bottom w:val="single" w:sz="4" w:space="0" w:color="53565A" w:themeColor="accent5"/>
            </w:tcBorders>
          </w:tcPr>
          <w:p w14:paraId="1393F05D" w14:textId="1B4B48B8"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2D78D5F6" w14:textId="246E573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182,487</w:t>
            </w:r>
          </w:p>
        </w:tc>
      </w:tr>
      <w:tr w:rsidR="00AE5D19" w:rsidRPr="009423C3" w14:paraId="7A4826A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8EC78B"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WORLD EDUCATION PROGRAM AUSTRALIA LIMITED</w:t>
            </w:r>
          </w:p>
        </w:tc>
        <w:tc>
          <w:tcPr>
            <w:tcW w:w="4896" w:type="dxa"/>
            <w:tcBorders>
              <w:top w:val="single" w:sz="4" w:space="0" w:color="FFFFFF" w:themeColor="background1"/>
              <w:bottom w:val="single" w:sz="4" w:space="0" w:color="53565A" w:themeColor="accent5"/>
            </w:tcBorders>
          </w:tcPr>
          <w:p w14:paraId="5989FB35" w14:textId="32167B46"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1D7706AF" w14:textId="0C427DCB"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55,053</w:t>
            </w:r>
          </w:p>
        </w:tc>
      </w:tr>
      <w:tr w:rsidR="00AE5D19" w:rsidRPr="009423C3" w14:paraId="09DD6F66"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3D001F59"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WRIGHT GILLIAN</w:t>
            </w:r>
          </w:p>
        </w:tc>
        <w:tc>
          <w:tcPr>
            <w:tcW w:w="4896" w:type="dxa"/>
            <w:tcBorders>
              <w:top w:val="single" w:sz="4" w:space="0" w:color="FFFFFF" w:themeColor="background1"/>
              <w:bottom w:val="single" w:sz="4" w:space="0" w:color="53565A" w:themeColor="accent5"/>
            </w:tcBorders>
          </w:tcPr>
          <w:p w14:paraId="48BF8035" w14:textId="1AD1B82A"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75A65A27" w14:textId="5AB6FA4A"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38,406</w:t>
            </w:r>
          </w:p>
        </w:tc>
      </w:tr>
      <w:tr w:rsidR="00AE5D19" w:rsidRPr="009423C3" w14:paraId="655BF29E"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0F075ED2"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WRIGHT PAULINE ANN</w:t>
            </w:r>
          </w:p>
        </w:tc>
        <w:tc>
          <w:tcPr>
            <w:tcW w:w="4896" w:type="dxa"/>
            <w:tcBorders>
              <w:top w:val="single" w:sz="4" w:space="0" w:color="FFFFFF" w:themeColor="background1"/>
              <w:bottom w:val="single" w:sz="4" w:space="0" w:color="53565A" w:themeColor="accent5"/>
            </w:tcBorders>
          </w:tcPr>
          <w:p w14:paraId="28CD4BB3" w14:textId="43051FE3"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Training services</w:t>
            </w:r>
          </w:p>
        </w:tc>
        <w:tc>
          <w:tcPr>
            <w:tcW w:w="1417" w:type="dxa"/>
            <w:tcBorders>
              <w:top w:val="single" w:sz="4" w:space="0" w:color="FFFFFF" w:themeColor="background1"/>
              <w:bottom w:val="single" w:sz="4" w:space="0" w:color="53565A" w:themeColor="accent5"/>
            </w:tcBorders>
            <w:shd w:val="clear" w:color="auto" w:fill="auto"/>
            <w:vAlign w:val="center"/>
          </w:tcPr>
          <w:p w14:paraId="66DDC859" w14:textId="5A37DC8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3,000</w:t>
            </w:r>
          </w:p>
        </w:tc>
      </w:tr>
      <w:tr w:rsidR="00AE5D19" w:rsidRPr="009423C3" w14:paraId="339277F4"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3779402"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WTP AUSTRALIA PTY LIMITED</w:t>
            </w:r>
          </w:p>
        </w:tc>
        <w:tc>
          <w:tcPr>
            <w:tcW w:w="4896" w:type="dxa"/>
            <w:tcBorders>
              <w:top w:val="single" w:sz="4" w:space="0" w:color="FFFFFF" w:themeColor="background1"/>
              <w:bottom w:val="single" w:sz="4" w:space="0" w:color="53565A" w:themeColor="accent5"/>
            </w:tcBorders>
          </w:tcPr>
          <w:p w14:paraId="6D75C6D3" w14:textId="6F3ED0B7"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5A596C09" w14:textId="192A507B"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9,500</w:t>
            </w:r>
          </w:p>
        </w:tc>
      </w:tr>
      <w:tr w:rsidR="00AE5D19" w:rsidRPr="009423C3" w14:paraId="45388E19"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15108796"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YARN STRONG SISTA PTY LTD</w:t>
            </w:r>
          </w:p>
        </w:tc>
        <w:tc>
          <w:tcPr>
            <w:tcW w:w="4896" w:type="dxa"/>
            <w:tcBorders>
              <w:top w:val="single" w:sz="4" w:space="0" w:color="FFFFFF" w:themeColor="background1"/>
              <w:bottom w:val="single" w:sz="4" w:space="0" w:color="53565A" w:themeColor="accent5"/>
            </w:tcBorders>
          </w:tcPr>
          <w:p w14:paraId="362E44F5" w14:textId="2D0CF002" w:rsidR="00AE5D19" w:rsidRPr="008457E1" w:rsidRDefault="00E642CB"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Education and community development services</w:t>
            </w:r>
          </w:p>
        </w:tc>
        <w:tc>
          <w:tcPr>
            <w:tcW w:w="1417" w:type="dxa"/>
            <w:tcBorders>
              <w:top w:val="single" w:sz="4" w:space="0" w:color="FFFFFF" w:themeColor="background1"/>
              <w:bottom w:val="single" w:sz="4" w:space="0" w:color="53565A" w:themeColor="accent5"/>
            </w:tcBorders>
            <w:shd w:val="clear" w:color="auto" w:fill="auto"/>
            <w:vAlign w:val="center"/>
          </w:tcPr>
          <w:p w14:paraId="28183F13" w14:textId="43ABA115"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13,636</w:t>
            </w:r>
          </w:p>
        </w:tc>
      </w:tr>
      <w:tr w:rsidR="00AE5D19" w:rsidRPr="009423C3" w14:paraId="2A703154"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5B038E3"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YOLANDA FINETTE HOLISTIC COACHING AND CONSULTANCY</w:t>
            </w:r>
          </w:p>
        </w:tc>
        <w:tc>
          <w:tcPr>
            <w:tcW w:w="4896" w:type="dxa"/>
            <w:tcBorders>
              <w:top w:val="single" w:sz="4" w:space="0" w:color="FFFFFF" w:themeColor="background1"/>
              <w:bottom w:val="single" w:sz="4" w:space="0" w:color="53565A" w:themeColor="accent5"/>
            </w:tcBorders>
          </w:tcPr>
          <w:p w14:paraId="74833434" w14:textId="5EB46EDB"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876A3A0" w14:textId="48CDFD97"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2,050</w:t>
            </w:r>
          </w:p>
        </w:tc>
      </w:tr>
      <w:tr w:rsidR="00AE5D19" w:rsidRPr="009423C3" w14:paraId="1E456047"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2D213530"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t>YOUTH AFFAIRS COUNCIL OF VICTORIA INC</w:t>
            </w:r>
          </w:p>
        </w:tc>
        <w:tc>
          <w:tcPr>
            <w:tcW w:w="4896" w:type="dxa"/>
            <w:tcBorders>
              <w:top w:val="single" w:sz="4" w:space="0" w:color="FFFFFF" w:themeColor="background1"/>
              <w:bottom w:val="single" w:sz="4" w:space="0" w:color="53565A" w:themeColor="accent5"/>
            </w:tcBorders>
          </w:tcPr>
          <w:p w14:paraId="6E024BD3" w14:textId="691A4801"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Professional services</w:t>
            </w:r>
          </w:p>
        </w:tc>
        <w:tc>
          <w:tcPr>
            <w:tcW w:w="1417" w:type="dxa"/>
            <w:tcBorders>
              <w:top w:val="single" w:sz="4" w:space="0" w:color="FFFFFF" w:themeColor="background1"/>
              <w:bottom w:val="single" w:sz="4" w:space="0" w:color="53565A" w:themeColor="accent5"/>
            </w:tcBorders>
            <w:shd w:val="clear" w:color="auto" w:fill="auto"/>
            <w:vAlign w:val="center"/>
          </w:tcPr>
          <w:p w14:paraId="6923D23D" w14:textId="3BAB7556"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29,155</w:t>
            </w:r>
          </w:p>
        </w:tc>
      </w:tr>
      <w:tr w:rsidR="00AE5D19" w:rsidRPr="009423C3" w14:paraId="1A6CAA41" w14:textId="77777777" w:rsidTr="005F54A8">
        <w:trPr>
          <w:cantSplit/>
          <w:trHeight w:val="353"/>
        </w:trPr>
        <w:tc>
          <w:tcPr>
            <w:tcW w:w="3023" w:type="dxa"/>
            <w:tcBorders>
              <w:top w:val="single" w:sz="4" w:space="0" w:color="FFFFFF" w:themeColor="background1"/>
              <w:bottom w:val="single" w:sz="4" w:space="0" w:color="53565A" w:themeColor="accent5"/>
            </w:tcBorders>
            <w:shd w:val="clear" w:color="auto" w:fill="auto"/>
          </w:tcPr>
          <w:p w14:paraId="668B4FC5" w14:textId="77777777" w:rsidR="00AE5D19" w:rsidRPr="008457E1" w:rsidRDefault="00AE5D19" w:rsidP="00AE5D19">
            <w:pPr>
              <w:pStyle w:val="ESTablebody"/>
              <w:rPr>
                <w:rFonts w:ascii="Calibri" w:eastAsia="Times New Roman" w:hAnsi="Calibri" w:cs="Calibri"/>
                <w:color w:val="000000"/>
                <w:szCs w:val="20"/>
                <w:lang w:val="en-AU" w:eastAsia="en-AU"/>
              </w:rPr>
            </w:pPr>
            <w:r w:rsidRPr="008457E1">
              <w:rPr>
                <w:rFonts w:ascii="Calibri" w:eastAsia="Times New Roman" w:hAnsi="Calibri" w:cs="Calibri"/>
                <w:color w:val="000000"/>
                <w:szCs w:val="20"/>
                <w:lang w:val="en-AU" w:eastAsia="en-AU"/>
              </w:rPr>
              <w:lastRenderedPageBreak/>
              <w:t>ZYCUS INFOTECH PRIVATE LIMITED</w:t>
            </w:r>
          </w:p>
        </w:tc>
        <w:tc>
          <w:tcPr>
            <w:tcW w:w="4896" w:type="dxa"/>
            <w:tcBorders>
              <w:top w:val="single" w:sz="4" w:space="0" w:color="FFFFFF" w:themeColor="background1"/>
              <w:bottom w:val="single" w:sz="4" w:space="0" w:color="53565A" w:themeColor="accent5"/>
            </w:tcBorders>
          </w:tcPr>
          <w:p w14:paraId="09801974" w14:textId="072CF3FF" w:rsidR="00AE5D19" w:rsidRPr="008457E1" w:rsidRDefault="008D03EA" w:rsidP="00AE5D19">
            <w:pPr>
              <w:pStyle w:val="ESTablebody"/>
              <w:rPr>
                <w:rFonts w:ascii="Calibri" w:eastAsia="Times New Roman" w:hAnsi="Calibri" w:cs="Calibri"/>
                <w:color w:val="000000"/>
                <w:szCs w:val="20"/>
                <w:lang w:val="en-AU" w:eastAsia="en-AU"/>
              </w:rPr>
            </w:pPr>
            <w:r>
              <w:rPr>
                <w:rFonts w:ascii="Calibri" w:eastAsia="Times New Roman" w:hAnsi="Calibri" w:cs="Calibri"/>
                <w:color w:val="000000"/>
                <w:szCs w:val="20"/>
                <w:lang w:val="en-AU" w:eastAsia="en-AU"/>
              </w:rPr>
              <w:t>IT services</w:t>
            </w:r>
          </w:p>
        </w:tc>
        <w:tc>
          <w:tcPr>
            <w:tcW w:w="1417" w:type="dxa"/>
            <w:tcBorders>
              <w:top w:val="single" w:sz="4" w:space="0" w:color="FFFFFF" w:themeColor="background1"/>
              <w:bottom w:val="single" w:sz="4" w:space="0" w:color="53565A" w:themeColor="accent5"/>
            </w:tcBorders>
            <w:shd w:val="clear" w:color="auto" w:fill="auto"/>
            <w:vAlign w:val="center"/>
          </w:tcPr>
          <w:p w14:paraId="125D254D" w14:textId="7F663E13" w:rsidR="00AE5D19" w:rsidRPr="008457E1" w:rsidRDefault="00AE5D19" w:rsidP="00AE5D19">
            <w:pPr>
              <w:pStyle w:val="ESTablebody"/>
              <w:jc w:val="right"/>
              <w:rPr>
                <w:rFonts w:ascii="Calibri" w:eastAsia="Times New Roman" w:hAnsi="Calibri" w:cs="Calibri"/>
                <w:color w:val="000000"/>
                <w:szCs w:val="20"/>
                <w:lang w:val="en-AU" w:eastAsia="en-AU"/>
              </w:rPr>
            </w:pPr>
            <w:r>
              <w:rPr>
                <w:rFonts w:ascii="Calibri" w:hAnsi="Calibri" w:cs="Calibri"/>
                <w:color w:val="000000"/>
                <w:szCs w:val="20"/>
              </w:rPr>
              <w:t>492,909</w:t>
            </w:r>
          </w:p>
        </w:tc>
      </w:tr>
    </w:tbl>
    <w:p w14:paraId="55CC4AB1" w14:textId="77777777" w:rsidR="00D34D92" w:rsidRPr="00925213" w:rsidRDefault="00D34D92" w:rsidP="00D34D92">
      <w:pPr>
        <w:pStyle w:val="ESTableintroheading"/>
        <w:rPr>
          <w:rFonts w:ascii="Calibri" w:hAnsi="Calibri" w:cs="Calibri"/>
        </w:rPr>
      </w:pPr>
    </w:p>
    <w:p w14:paraId="60CA214B" w14:textId="77777777" w:rsidR="0016370D" w:rsidRPr="00B85B32" w:rsidRDefault="0016370D" w:rsidP="00D34D92">
      <w:pPr>
        <w:pStyle w:val="ESTableintroheading"/>
        <w:rPr>
          <w:rFonts w:ascii="Calibri" w:hAnsi="Calibri" w:cs="Calibri"/>
        </w:rPr>
      </w:pPr>
    </w:p>
    <w:sectPr w:rsidR="0016370D" w:rsidRPr="00B85B32" w:rsidSect="000A737C">
      <w:pgSz w:w="11900" w:h="16840"/>
      <w:pgMar w:top="1440" w:right="1418"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9D8A" w14:textId="77777777" w:rsidR="00E768C6" w:rsidRDefault="00E768C6" w:rsidP="004625D4">
      <w:r>
        <w:separator/>
      </w:r>
    </w:p>
  </w:endnote>
  <w:endnote w:type="continuationSeparator" w:id="0">
    <w:p w14:paraId="0BFB6AF2" w14:textId="77777777" w:rsidR="00E768C6" w:rsidRDefault="00E768C6" w:rsidP="004625D4">
      <w:r>
        <w:continuationSeparator/>
      </w:r>
    </w:p>
  </w:endnote>
  <w:endnote w:type="continuationNotice" w:id="1">
    <w:p w14:paraId="5EBE85E6" w14:textId="77777777" w:rsidR="00E768C6" w:rsidRDefault="00E76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F303" w14:textId="00BF2AAB" w:rsidR="00E768C6" w:rsidRDefault="00E76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4AF4" w14:textId="77777777" w:rsidR="00E768C6" w:rsidRPr="003E29B5" w:rsidRDefault="00E768C6" w:rsidP="004625D4">
    <w:r w:rsidRPr="003E29B5">
      <w:tab/>
    </w:r>
  </w:p>
  <w:p w14:paraId="3CC568CE" w14:textId="441DA88A" w:rsidR="00E768C6" w:rsidRDefault="00E76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55F0" w14:textId="7E380079" w:rsidR="00E768C6" w:rsidRPr="00B8261F" w:rsidRDefault="00760694" w:rsidP="00FC51F2">
    <w:pPr>
      <w:pStyle w:val="ESFooter"/>
    </w:pPr>
    <w:sdt>
      <w:sdtPr>
        <w:rPr>
          <w:lang w:val="en-AU"/>
        </w:rPr>
        <w:id w:val="208384299"/>
        <w:docPartObj>
          <w:docPartGallery w:val="Page Numbers (Bottom of Page)"/>
          <w:docPartUnique/>
        </w:docPartObj>
      </w:sdtPr>
      <w:sdtEndPr/>
      <w:sdtContent>
        <w:r w:rsidR="00E768C6" w:rsidRPr="00B8261F">
          <w:rPr>
            <w:lang w:val="en-AU"/>
          </w:rPr>
          <w:t>Page</w:t>
        </w:r>
        <w:r w:rsidR="00E768C6">
          <w:rPr>
            <w:lang w:val="en-AU"/>
          </w:rPr>
          <w:t xml:space="preserve"> </w:t>
        </w:r>
        <w:r w:rsidR="00FB0926" w:rsidRPr="00FB0926">
          <w:rPr>
            <w:noProof w:val="0"/>
            <w:lang w:val="en-AU"/>
          </w:rPr>
          <w:fldChar w:fldCharType="begin"/>
        </w:r>
        <w:r w:rsidR="00FB0926" w:rsidRPr="00FB0926">
          <w:rPr>
            <w:lang w:val="en-AU"/>
          </w:rPr>
          <w:instrText xml:space="preserve"> PAGE   \* MERGEFORMAT </w:instrText>
        </w:r>
        <w:r w:rsidR="00FB0926" w:rsidRPr="00FB0926">
          <w:rPr>
            <w:noProof w:val="0"/>
            <w:lang w:val="en-AU"/>
          </w:rPr>
          <w:fldChar w:fldCharType="separate"/>
        </w:r>
        <w:r w:rsidR="00FB0926" w:rsidRPr="00FB0926">
          <w:rPr>
            <w:lang w:val="en-AU"/>
          </w:rPr>
          <w:t>1</w:t>
        </w:r>
        <w:r w:rsidR="00FB0926" w:rsidRPr="00FB0926">
          <w:rPr>
            <w:lang w:val="en-AU"/>
          </w:rPr>
          <w:fldChar w:fldCharType="end"/>
        </w:r>
        <w:r w:rsidR="00E768C6" w:rsidRPr="00B8261F">
          <w:rPr>
            <w:lang w:val="en-AU"/>
          </w:rPr>
          <w:t xml:space="preserve"> </w:t>
        </w:r>
        <w:r w:rsidR="00E768C6">
          <w:rPr>
            <w:lang w:val="en-AU"/>
          </w:rPr>
          <w:t xml:space="preserve">| </w:t>
        </w:r>
        <w:r w:rsidR="00E768C6" w:rsidRPr="00B8261F">
          <w:rPr>
            <w:lang w:val="en-AU"/>
          </w:rPr>
          <w:fldChar w:fldCharType="begin"/>
        </w:r>
        <w:r w:rsidR="00E768C6" w:rsidRPr="00B8261F">
          <w:rPr>
            <w:lang w:val="en-AU"/>
          </w:rPr>
          <w:instrText xml:space="preserve"> TITLE  \* MERGEFORMAT </w:instrText>
        </w:r>
        <w:r w:rsidR="00E768C6" w:rsidRPr="00B8261F">
          <w:rPr>
            <w:lang w:val="en-AU"/>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6E75" w14:textId="77777777" w:rsidR="00E768C6" w:rsidRDefault="00E768C6" w:rsidP="004625D4">
      <w:r>
        <w:separator/>
      </w:r>
    </w:p>
  </w:footnote>
  <w:footnote w:type="continuationSeparator" w:id="0">
    <w:p w14:paraId="551F4789" w14:textId="77777777" w:rsidR="00E768C6" w:rsidRDefault="00E768C6" w:rsidP="004625D4">
      <w:r>
        <w:continuationSeparator/>
      </w:r>
    </w:p>
  </w:footnote>
  <w:footnote w:type="continuationNotice" w:id="1">
    <w:p w14:paraId="5375ADE2" w14:textId="77777777" w:rsidR="00E768C6" w:rsidRDefault="00E768C6"/>
  </w:footnote>
  <w:footnote w:id="2">
    <w:p w14:paraId="5F471B1D" w14:textId="4D081F80" w:rsidR="00C3010C" w:rsidRDefault="00C3010C">
      <w:pPr>
        <w:pStyle w:val="FootnoteText"/>
      </w:pPr>
      <w:r>
        <w:rPr>
          <w:rStyle w:val="FootnoteReference"/>
        </w:rPr>
        <w:footnoteRef/>
      </w:r>
      <w:r>
        <w:t xml:space="preserve"> </w:t>
      </w:r>
      <w:r w:rsidRPr="00925213">
        <w:rPr>
          <w:rFonts w:ascii="Calibri" w:hAnsi="Calibri" w:cs="Calibri"/>
        </w:rPr>
        <w:t>Contractors’ business names are listed in the Australian Business Register. Capitalisation, abbreviations, punctuation, spelling and any apparent errors or inconsistencies are consistent with the register’s listings.</w:t>
      </w:r>
    </w:p>
  </w:footnote>
  <w:footnote w:id="3">
    <w:p w14:paraId="195A424B" w14:textId="34974D8B" w:rsidR="00E768C6" w:rsidRPr="00D40D82" w:rsidRDefault="00E768C6" w:rsidP="00D34D92">
      <w:pPr>
        <w:pStyle w:val="FootnoteText"/>
        <w:rPr>
          <w:lang w:val="en-AU"/>
        </w:rPr>
      </w:pPr>
      <w:r>
        <w:rPr>
          <w:rStyle w:val="FootnoteReference"/>
        </w:rPr>
        <w:footnoteRef/>
      </w:r>
      <w:r>
        <w:t xml:space="preserve"> </w:t>
      </w:r>
      <w:r w:rsidRPr="00FB1B8F">
        <w:rPr>
          <w:rFonts w:cstheme="minorHAnsi"/>
          <w:szCs w:val="15"/>
        </w:rPr>
        <w:t>Contractors’ business names are as listed in the Australian Business Register</w:t>
      </w:r>
      <w:r w:rsidR="0048231C">
        <w:rPr>
          <w:rFonts w:cstheme="minorHAnsi"/>
          <w:szCs w:val="15"/>
        </w:rPr>
        <w:t>.</w:t>
      </w:r>
      <w:r w:rsidRPr="00FB1B8F">
        <w:rPr>
          <w:rFonts w:cstheme="minorHAnsi"/>
          <w:szCs w:val="15"/>
        </w:rPr>
        <w:t xml:space="preserve"> </w:t>
      </w:r>
      <w:r w:rsidR="008E6743">
        <w:rPr>
          <w:rFonts w:cstheme="minorHAnsi"/>
          <w:szCs w:val="15"/>
        </w:rPr>
        <w:t>C</w:t>
      </w:r>
      <w:r w:rsidRPr="00FB1B8F">
        <w:rPr>
          <w:rFonts w:cstheme="minorHAnsi"/>
          <w:szCs w:val="15"/>
        </w:rPr>
        <w:t>apitalisation, abbreviations, punctuation, spelling and any apparent errors or inconsistencies are as listed</w:t>
      </w:r>
      <w:r>
        <w:rPr>
          <w:rFonts w:cstheme="minorHAnsi"/>
          <w:szCs w:val="15"/>
        </w:rPr>
        <w:t xml:space="preserve"> in the 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4371" w14:textId="58DE5579" w:rsidR="00E768C6" w:rsidRDefault="00E768C6">
    <w:pPr>
      <w:pStyle w:val="Header"/>
    </w:pPr>
    <w:r>
      <w:rPr>
        <w:noProof/>
        <w:lang w:val="en-AU" w:eastAsia="en-AU"/>
      </w:rPr>
      <w:drawing>
        <wp:anchor distT="0" distB="0" distL="114300" distR="114300" simplePos="0" relativeHeight="251658240" behindDoc="1" locked="0" layoutInCell="1" allowOverlap="1" wp14:anchorId="6481ED34" wp14:editId="3BAEB38E">
          <wp:simplePos x="0" y="0"/>
          <wp:positionH relativeFrom="page">
            <wp:align>left</wp:align>
          </wp:positionH>
          <wp:positionV relativeFrom="page">
            <wp:align>top</wp:align>
          </wp:positionV>
          <wp:extent cx="7558724" cy="10687628"/>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8724" cy="106876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C562" w14:textId="03D1203C" w:rsidR="00E768C6" w:rsidRPr="001A3102" w:rsidRDefault="00E768C6" w:rsidP="001A3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128754"/>
    <w:lvl w:ilvl="0">
      <w:start w:val="1"/>
      <w:numFmt w:val="decimal"/>
      <w:pStyle w:val="ESbullet1indent"/>
      <w:lvlText w:val="%1."/>
      <w:lvlJc w:val="left"/>
      <w:pPr>
        <w:tabs>
          <w:tab w:val="num" w:pos="1209"/>
        </w:tabs>
        <w:ind w:left="1209" w:hanging="360"/>
      </w:pPr>
    </w:lvl>
  </w:abstractNum>
  <w:abstractNum w:abstractNumId="1" w15:restartNumberingAfterBreak="0">
    <w:nsid w:val="01AF4F85"/>
    <w:multiLevelType w:val="multilevel"/>
    <w:tmpl w:val="4A2C09A0"/>
    <w:styleLink w:val="CurrentList2"/>
    <w:lvl w:ilvl="0">
      <w:start w:val="2"/>
      <w:numFmt w:val="decimal"/>
      <w:lvlText w:val="Note %1: "/>
      <w:lvlJc w:val="left"/>
      <w:pPr>
        <w:tabs>
          <w:tab w:val="num" w:pos="1352"/>
        </w:tabs>
        <w:ind w:left="135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4D21372"/>
    <w:multiLevelType w:val="multilevel"/>
    <w:tmpl w:val="A95498EE"/>
    <w:lvl w:ilvl="0">
      <w:start w:val="1"/>
      <w:numFmt w:val="decimal"/>
      <w:pStyle w:val="HeadingLevel1"/>
      <w:suff w:val="space"/>
      <w:lvlText w:val="%1."/>
      <w:lvlJc w:val="left"/>
      <w:pPr>
        <w:ind w:left="57" w:hanging="57"/>
      </w:pPr>
      <w:rPr>
        <w:rFonts w:hint="default"/>
      </w:rPr>
    </w:lvl>
    <w:lvl w:ilvl="1">
      <w:start w:val="1"/>
      <w:numFmt w:val="decimal"/>
      <w:suff w:val="space"/>
      <w:lvlText w:val="%1.%2"/>
      <w:lvlJc w:val="left"/>
      <w:pPr>
        <w:ind w:left="57" w:hanging="57"/>
      </w:pPr>
      <w:rPr>
        <w:rFonts w:hint="default"/>
      </w:rPr>
    </w:lvl>
    <w:lvl w:ilvl="2">
      <w:start w:val="1"/>
      <w:numFmt w:val="decimal"/>
      <w:suff w:val="space"/>
      <w:lvlText w:val="%1.%2.%3"/>
      <w:lvlJc w:val="left"/>
      <w:pPr>
        <w:ind w:left="57" w:hanging="57"/>
      </w:pPr>
      <w:rPr>
        <w:rFonts w:hint="default"/>
      </w:rPr>
    </w:lvl>
    <w:lvl w:ilvl="3">
      <w:start w:val="1"/>
      <w:numFmt w:val="decimal"/>
      <w:lvlText w:val="(%4)"/>
      <w:lvlJc w:val="left"/>
      <w:pPr>
        <w:ind w:left="57" w:hanging="57"/>
      </w:pPr>
      <w:rPr>
        <w:rFonts w:hint="default"/>
      </w:rPr>
    </w:lvl>
    <w:lvl w:ilvl="4">
      <w:start w:val="1"/>
      <w:numFmt w:val="lowerLetter"/>
      <w:lvlText w:val="(%5)"/>
      <w:lvlJc w:val="left"/>
      <w:pPr>
        <w:ind w:left="57" w:hanging="57"/>
      </w:pPr>
      <w:rPr>
        <w:rFonts w:hint="default"/>
      </w:rPr>
    </w:lvl>
    <w:lvl w:ilvl="5">
      <w:start w:val="1"/>
      <w:numFmt w:val="lowerRoman"/>
      <w:lvlText w:val="(%6)"/>
      <w:lvlJc w:val="left"/>
      <w:pPr>
        <w:ind w:left="57" w:hanging="57"/>
      </w:pPr>
      <w:rPr>
        <w:rFonts w:hint="default"/>
      </w:rPr>
    </w:lvl>
    <w:lvl w:ilvl="6">
      <w:start w:val="1"/>
      <w:numFmt w:val="decimal"/>
      <w:lvlText w:val="%7."/>
      <w:lvlJc w:val="left"/>
      <w:pPr>
        <w:ind w:left="57" w:hanging="57"/>
      </w:pPr>
      <w:rPr>
        <w:rFonts w:hint="default"/>
      </w:rPr>
    </w:lvl>
    <w:lvl w:ilvl="7">
      <w:start w:val="1"/>
      <w:numFmt w:val="lowerLetter"/>
      <w:lvlText w:val="%8."/>
      <w:lvlJc w:val="left"/>
      <w:pPr>
        <w:ind w:left="57" w:hanging="57"/>
      </w:pPr>
      <w:rPr>
        <w:rFonts w:hint="default"/>
      </w:rPr>
    </w:lvl>
    <w:lvl w:ilvl="8">
      <w:start w:val="1"/>
      <w:numFmt w:val="lowerRoman"/>
      <w:lvlText w:val="%9."/>
      <w:lvlJc w:val="left"/>
      <w:pPr>
        <w:ind w:left="57" w:hanging="57"/>
      </w:pPr>
      <w:rPr>
        <w:rFonts w:hint="default"/>
      </w:rPr>
    </w:lvl>
  </w:abstractNum>
  <w:abstractNum w:abstractNumId="3" w15:restartNumberingAfterBreak="0">
    <w:nsid w:val="05C804C6"/>
    <w:multiLevelType w:val="multilevel"/>
    <w:tmpl w:val="62421870"/>
    <w:styleLink w:val="GuidanceAlphaListStyle"/>
    <w:lvl w:ilvl="0">
      <w:start w:val="1"/>
      <w:numFmt w:val="lowerLetter"/>
      <w:lvlText w:val="(%1)"/>
      <w:lvlJc w:val="left"/>
      <w:pPr>
        <w:ind w:left="340" w:hanging="340"/>
      </w:pPr>
      <w:rPr>
        <w:color w:val="auto"/>
        <w:u w:color="FFFFFF" w:themeColor="background1"/>
      </w:rPr>
    </w:lvl>
    <w:lvl w:ilvl="1">
      <w:start w:val="1"/>
      <w:numFmt w:val="lowerRoman"/>
      <w:lvlText w:val=" (%2)"/>
      <w:lvlJc w:val="left"/>
      <w:pPr>
        <w:tabs>
          <w:tab w:val="num" w:pos="340"/>
        </w:tabs>
        <w:ind w:left="680" w:hanging="680"/>
      </w:pPr>
      <w:rPr>
        <w:rFonts w:hint="default"/>
      </w:rPr>
    </w:lvl>
    <w:lvl w:ilvl="2">
      <w:start w:val="1"/>
      <w:numFmt w:val="none"/>
      <w:lvlText w:val=" –"/>
      <w:lvlJc w:val="left"/>
      <w:pPr>
        <w:tabs>
          <w:tab w:val="num" w:pos="680"/>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EE77F9"/>
    <w:multiLevelType w:val="multilevel"/>
    <w:tmpl w:val="F104AB12"/>
    <w:numStyleLink w:val="NumberedHeadings"/>
  </w:abstractNum>
  <w:abstractNum w:abstractNumId="5" w15:restartNumberingAfterBreak="0">
    <w:nsid w:val="0A371B35"/>
    <w:multiLevelType w:val="hybridMultilevel"/>
    <w:tmpl w:val="F7F05A60"/>
    <w:lvl w:ilvl="0" w:tplc="F56267EE">
      <w:start w:val="1"/>
      <w:numFmt w:val="bullet"/>
      <w:pStyle w:val="BodyTextIndent"/>
      <w:lvlText w:val=""/>
      <w:lvlJc w:val="left"/>
      <w:pPr>
        <w:ind w:left="1077" w:hanging="360"/>
      </w:pPr>
      <w:rPr>
        <w:rFonts w:ascii="Symbol" w:hAnsi="Symbol" w:hint="default"/>
        <w:color w:val="44697D"/>
      </w:rPr>
    </w:lvl>
    <w:lvl w:ilvl="1" w:tplc="AB14B39E">
      <w:start w:val="1"/>
      <w:numFmt w:val="decimal"/>
      <w:lvlText w:val="%2."/>
      <w:lvlJc w:val="left"/>
      <w:pPr>
        <w:tabs>
          <w:tab w:val="num" w:pos="720"/>
        </w:tabs>
        <w:ind w:left="720" w:hanging="360"/>
      </w:pPr>
      <w:rPr>
        <w:rFonts w:hint="default"/>
        <w:color w:val="auto"/>
        <w:szCs w:val="2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8B2608"/>
    <w:multiLevelType w:val="hybridMultilevel"/>
    <w:tmpl w:val="6D085EFC"/>
    <w:lvl w:ilvl="0" w:tplc="F56267EE">
      <w:start w:val="1"/>
      <w:numFmt w:val="bullet"/>
      <w:pStyle w:val="Notestextindentbullets"/>
      <w:lvlText w:val=""/>
      <w:lvlJc w:val="left"/>
      <w:pPr>
        <w:ind w:left="1440" w:hanging="360"/>
      </w:pPr>
      <w:rPr>
        <w:rFonts w:ascii="Symbol" w:hAnsi="Symbol" w:hint="default"/>
      </w:rPr>
    </w:lvl>
    <w:lvl w:ilvl="1" w:tplc="AB14B39E"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4732DB"/>
    <w:multiLevelType w:val="hybridMultilevel"/>
    <w:tmpl w:val="9A0A1EFC"/>
    <w:lvl w:ilvl="0" w:tplc="76981B82">
      <w:start w:val="1"/>
      <w:numFmt w:val="lowerLetter"/>
      <w:pStyle w:val="NotesIndentLetter"/>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8" w15:restartNumberingAfterBreak="0">
    <w:nsid w:val="0D6A4162"/>
    <w:multiLevelType w:val="multilevel"/>
    <w:tmpl w:val="67B4D2A4"/>
    <w:styleLink w:val="ListBulletAlphaStyle"/>
    <w:lvl w:ilvl="0">
      <w:start w:val="1"/>
      <w:numFmt w:val="bullet"/>
      <w:lvlText w:val=""/>
      <w:lvlJc w:val="left"/>
      <w:pPr>
        <w:ind w:left="340" w:hanging="340"/>
      </w:pPr>
      <w:rPr>
        <w:rFonts w:ascii="Symbol" w:hAnsi="Symbol" w:hint="default"/>
      </w:rPr>
    </w:lvl>
    <w:lvl w:ilvl="1">
      <w:start w:val="1"/>
      <w:numFmt w:val="lowerLetter"/>
      <w:lvlText w:val="(%2)"/>
      <w:lvlJc w:val="left"/>
      <w:pPr>
        <w:ind w:left="680" w:hanging="340"/>
      </w:pPr>
      <w:rPr>
        <w:rFonts w:hint="default"/>
      </w:rPr>
    </w:lvl>
    <w:lvl w:ilvl="2">
      <w:start w:val="1"/>
      <w:numFmt w:val="lowerRoman"/>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77788A"/>
    <w:multiLevelType w:val="hybridMultilevel"/>
    <w:tmpl w:val="784A3CD2"/>
    <w:lvl w:ilvl="0" w:tplc="0C090001">
      <w:start w:val="1"/>
      <w:numFmt w:val="bullet"/>
      <w:pStyle w:val="notestext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6386E"/>
    <w:multiLevelType w:val="multilevel"/>
    <w:tmpl w:val="F70623F0"/>
    <w:numStyleLink w:val="Bullet"/>
  </w:abstractNum>
  <w:abstractNum w:abstractNumId="11" w15:restartNumberingAfterBreak="0">
    <w:nsid w:val="1BB06538"/>
    <w:multiLevelType w:val="hybridMultilevel"/>
    <w:tmpl w:val="BFBC2904"/>
    <w:lvl w:ilvl="0" w:tplc="0E30C6C2">
      <w:start w:val="1"/>
      <w:numFmt w:val="bullet"/>
      <w:pStyle w:val="VFTextbullets"/>
      <w:lvlText w:val=""/>
      <w:lvlJc w:val="left"/>
      <w:pPr>
        <w:tabs>
          <w:tab w:val="num" w:pos="340"/>
        </w:tabs>
        <w:ind w:left="340" w:hanging="34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5"/>
      <w:numFmt w:val="bullet"/>
      <w:lvlText w:val="•"/>
      <w:lvlJc w:val="left"/>
      <w:pPr>
        <w:ind w:left="2370" w:hanging="57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D95887"/>
    <w:multiLevelType w:val="multilevel"/>
    <w:tmpl w:val="4A2C09A0"/>
    <w:styleLink w:val="Style2"/>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47C6140"/>
    <w:multiLevelType w:val="hybridMultilevel"/>
    <w:tmpl w:val="1AA204C4"/>
    <w:lvl w:ilvl="0" w:tplc="93BE83A8">
      <w:start w:val="1"/>
      <w:numFmt w:val="decimal"/>
      <w:pStyle w:val="Note"/>
      <w:lvlText w:val="Note %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6B9383F"/>
    <w:multiLevelType w:val="hybridMultilevel"/>
    <w:tmpl w:val="1A56D874"/>
    <w:lvl w:ilvl="0" w:tplc="E6E6B4D2">
      <w:start w:val="1"/>
      <w:numFmt w:val="bullet"/>
      <w:pStyle w:val="ESTable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3080F"/>
    <w:multiLevelType w:val="hybridMultilevel"/>
    <w:tmpl w:val="00760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40CD5"/>
    <w:multiLevelType w:val="hybridMultilevel"/>
    <w:tmpl w:val="F70623F0"/>
    <w:styleLink w:val="Bullet"/>
    <w:lvl w:ilvl="0" w:tplc="0E30C6C2">
      <w:start w:val="1"/>
      <w:numFmt w:val="bullet"/>
      <w:pStyle w:val="Imprint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7" w15:restartNumberingAfterBreak="0">
    <w:nsid w:val="336268E0"/>
    <w:multiLevelType w:val="multilevel"/>
    <w:tmpl w:val="F104AB12"/>
    <w:numStyleLink w:val="NumberedHeadings"/>
  </w:abstractNum>
  <w:abstractNum w:abstractNumId="18" w15:restartNumberingAfterBreak="0">
    <w:nsid w:val="3DD004E2"/>
    <w:multiLevelType w:val="hybridMultilevel"/>
    <w:tmpl w:val="81AADF3E"/>
    <w:styleLink w:val="ArticleSection1"/>
    <w:lvl w:ilvl="0" w:tplc="34F89848">
      <w:start w:val="1"/>
      <w:numFmt w:val="bullet"/>
      <w:pStyle w:val="ES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3A1403"/>
    <w:multiLevelType w:val="hybridMultilevel"/>
    <w:tmpl w:val="9DD69076"/>
    <w:lvl w:ilvl="0" w:tplc="836A17E2">
      <w:start w:val="1"/>
      <w:numFmt w:val="lowerLetter"/>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20"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1" w15:restartNumberingAfterBreak="0">
    <w:nsid w:val="4B6367C4"/>
    <w:multiLevelType w:val="multilevel"/>
    <w:tmpl w:val="F104AB12"/>
    <w:styleLink w:val="NumberedHeadings"/>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3318" w:hanging="624"/>
      </w:pPr>
      <w:rPr>
        <w:rFonts w:hint="default"/>
      </w:rPr>
    </w:lvl>
    <w:lvl w:ilvl="2">
      <w:start w:val="1"/>
      <w:numFmt w:val="decimal"/>
      <w:pStyle w:val="Heading3"/>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CC02D17"/>
    <w:multiLevelType w:val="hybridMultilevel"/>
    <w:tmpl w:val="C8E0C006"/>
    <w:lvl w:ilvl="0" w:tplc="4DDE940A">
      <w:start w:val="1"/>
      <w:numFmt w:val="decimal"/>
      <w:pStyle w:val="Heading2notes"/>
      <w:lvlText w:val="Note %1"/>
      <w:lvlJc w:val="left"/>
      <w:pPr>
        <w:ind w:left="360" w:hanging="360"/>
      </w:pPr>
      <w:rPr>
        <w:rFonts w:hint="default"/>
      </w:rPr>
    </w:lvl>
    <w:lvl w:ilvl="1" w:tplc="0C090019" w:tentative="1">
      <w:start w:val="1"/>
      <w:numFmt w:val="lowerLetter"/>
      <w:pStyle w:val="Heading2notes"/>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42D7713"/>
    <w:multiLevelType w:val="hybridMultilevel"/>
    <w:tmpl w:val="B81822DA"/>
    <w:lvl w:ilvl="0" w:tplc="95B4B0A8">
      <w:start w:val="1"/>
      <w:numFmt w:val="bullet"/>
      <w:pStyle w:val="E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D66773"/>
    <w:multiLevelType w:val="hybridMultilevel"/>
    <w:tmpl w:val="052EE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5F6A5F"/>
    <w:multiLevelType w:val="multilevel"/>
    <w:tmpl w:val="4A2C09A0"/>
    <w:styleLink w:val="CurrentList1"/>
    <w:lvl w:ilvl="0">
      <w:start w:val="1"/>
      <w:numFmt w:val="decimal"/>
      <w:lvlText w:val="Note %1: "/>
      <w:lvlJc w:val="left"/>
      <w:pPr>
        <w:tabs>
          <w:tab w:val="num" w:pos="992"/>
        </w:tabs>
        <w:ind w:left="992" w:hanging="99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lvlText w:val="Note %1%2: "/>
      <w:lvlJc w:val="left"/>
      <w:pPr>
        <w:tabs>
          <w:tab w:val="num" w:pos="1532"/>
        </w:tabs>
        <w:ind w:left="1532" w:hanging="992"/>
      </w:pPr>
      <w:rPr>
        <w:rFonts w:ascii="Times New Roman" w:hAnsi="Times New Roman" w:cs="Times New Roman" w:hint="default"/>
        <w:b/>
        <w:i w:val="0"/>
        <w:color w:val="auto"/>
        <w:sz w:val="20"/>
        <w:szCs w:val="20"/>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B0B7437"/>
    <w:multiLevelType w:val="hybridMultilevel"/>
    <w:tmpl w:val="94D2A6CA"/>
    <w:lvl w:ilvl="0" w:tplc="C8A4BD74">
      <w:numFmt w:val="bullet"/>
      <w:pStyle w:val="Bulletsquestionnaire"/>
      <w:lvlText w:val="•"/>
      <w:lvlJc w:val="left"/>
      <w:pPr>
        <w:ind w:left="1080" w:hanging="720"/>
      </w:pPr>
      <w:rPr>
        <w:rFonts w:ascii="Calibri" w:eastAsiaTheme="minorHAnsi" w:hAnsi="Calibri" w:cs="Calibri" w:hint="default"/>
      </w:rPr>
    </w:lvl>
    <w:lvl w:ilvl="1" w:tplc="29946B3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AC0CC9"/>
    <w:multiLevelType w:val="hybridMultilevel"/>
    <w:tmpl w:val="66009A06"/>
    <w:lvl w:ilvl="0" w:tplc="CD164CB2">
      <w:start w:val="1"/>
      <w:numFmt w:val="decimal"/>
      <w:pStyle w:val="ESAppendix1"/>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215738"/>
    <w:multiLevelType w:val="hybridMultilevel"/>
    <w:tmpl w:val="D1728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36E51E7"/>
    <w:multiLevelType w:val="hybridMultilevel"/>
    <w:tmpl w:val="19E005EA"/>
    <w:lvl w:ilvl="0" w:tplc="0C090001">
      <w:start w:val="1"/>
      <w:numFmt w:val="decimal"/>
      <w:pStyle w:val="ReferenceTextNumbered"/>
      <w:lvlText w:val="%1."/>
      <w:lvlJc w:val="left"/>
      <w:pPr>
        <w:ind w:left="720" w:hanging="360"/>
      </w:pPr>
      <w:rPr>
        <w:b w:val="0"/>
      </w:rPr>
    </w:lvl>
    <w:lvl w:ilvl="1" w:tplc="D4E4CC0A"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2E921FA"/>
    <w:multiLevelType w:val="multilevel"/>
    <w:tmpl w:val="CBF63D70"/>
    <w:lvl w:ilvl="0">
      <w:start w:val="1"/>
      <w:numFmt w:val="decimal"/>
      <w:pStyle w:val="NotesHeading-Level1"/>
      <w:lvlText w:val="Note %1: "/>
      <w:lvlJc w:val="left"/>
      <w:pPr>
        <w:tabs>
          <w:tab w:val="num" w:pos="851"/>
        </w:tabs>
        <w:ind w:left="1134" w:hanging="1134"/>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NotesHeading-Level2"/>
      <w:lvlText w:val="Note %1%2: "/>
      <w:lvlJc w:val="left"/>
      <w:pPr>
        <w:tabs>
          <w:tab w:val="num" w:pos="851"/>
        </w:tabs>
        <w:ind w:left="1532" w:hanging="1532"/>
      </w:pPr>
      <w:rPr>
        <w:rFonts w:ascii="Times New Roman" w:hAnsi="Times New Roman" w:cs="Times New Roman" w:hint="default"/>
        <w:b/>
        <w:i w:val="0"/>
        <w:color w:val="auto"/>
        <w:sz w:val="20"/>
        <w:szCs w:val="20"/>
        <w:u w:val="singl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3C7651A"/>
    <w:multiLevelType w:val="hybridMultilevel"/>
    <w:tmpl w:val="A6AC9E5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F8B449F"/>
    <w:multiLevelType w:val="hybridMultilevel"/>
    <w:tmpl w:val="A580CC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14"/>
  </w:num>
  <w:num w:numId="4">
    <w:abstractNumId w:val="27"/>
  </w:num>
  <w:num w:numId="5">
    <w:abstractNumId w:val="22"/>
  </w:num>
  <w:num w:numId="6">
    <w:abstractNumId w:val="15"/>
  </w:num>
  <w:num w:numId="7">
    <w:abstractNumId w:val="31"/>
  </w:num>
  <w:num w:numId="8">
    <w:abstractNumId w:val="32"/>
  </w:num>
  <w:num w:numId="9">
    <w:abstractNumId w:val="20"/>
  </w:num>
  <w:num w:numId="10">
    <w:abstractNumId w:val="13"/>
  </w:num>
  <w:num w:numId="11">
    <w:abstractNumId w:val="5"/>
  </w:num>
  <w:num w:numId="12">
    <w:abstractNumId w:val="10"/>
  </w:num>
  <w:num w:numId="13">
    <w:abstractNumId w:val="21"/>
  </w:num>
  <w:num w:numId="14">
    <w:abstractNumId w:val="4"/>
  </w:num>
  <w:num w:numId="15">
    <w:abstractNumId w:val="17"/>
  </w:num>
  <w:num w:numId="16">
    <w:abstractNumId w:val="18"/>
  </w:num>
  <w:num w:numId="17">
    <w:abstractNumId w:val="16"/>
  </w:num>
  <w:num w:numId="18">
    <w:abstractNumId w:val="30"/>
  </w:num>
  <w:num w:numId="19">
    <w:abstractNumId w:val="25"/>
  </w:num>
  <w:num w:numId="20">
    <w:abstractNumId w:val="12"/>
  </w:num>
  <w:num w:numId="21">
    <w:abstractNumId w:val="1"/>
  </w:num>
  <w:num w:numId="22">
    <w:abstractNumId w:val="9"/>
  </w:num>
  <w:num w:numId="23">
    <w:abstractNumId w:val="29"/>
  </w:num>
  <w:num w:numId="24">
    <w:abstractNumId w:val="6"/>
  </w:num>
  <w:num w:numId="25">
    <w:abstractNumId w:val="7"/>
  </w:num>
  <w:num w:numId="26">
    <w:abstractNumId w:val="2"/>
    <w:lvlOverride w:ilvl="0">
      <w:lvl w:ilvl="0">
        <w:start w:val="1"/>
        <w:numFmt w:val="decimal"/>
        <w:pStyle w:val="HeadingLevel1"/>
        <w:suff w:val="space"/>
        <w:lvlText w:val="%1."/>
        <w:lvlJc w:val="left"/>
        <w:pPr>
          <w:ind w:left="9696" w:hanging="3033"/>
        </w:pPr>
        <w:rPr>
          <w:rFonts w:hint="default"/>
        </w:rPr>
      </w:lvl>
    </w:lvlOverride>
    <w:lvlOverride w:ilvl="1">
      <w:lvl w:ilvl="1">
        <w:start w:val="1"/>
        <w:numFmt w:val="decimal"/>
        <w:suff w:val="space"/>
        <w:lvlText w:val="%1.%2      "/>
        <w:lvlJc w:val="left"/>
        <w:pPr>
          <w:ind w:left="6720" w:hanging="57"/>
        </w:pPr>
        <w:rPr>
          <w:rFonts w:hint="default"/>
        </w:rPr>
      </w:lvl>
    </w:lvlOverride>
    <w:lvlOverride w:ilvl="2">
      <w:lvl w:ilvl="2">
        <w:start w:val="1"/>
        <w:numFmt w:val="decimal"/>
        <w:suff w:val="space"/>
        <w:lvlText w:val="%1.%2.%3     "/>
        <w:lvlJc w:val="left"/>
        <w:pPr>
          <w:ind w:left="6720" w:hanging="57"/>
        </w:pPr>
        <w:rPr>
          <w:rFonts w:hint="default"/>
        </w:rPr>
      </w:lvl>
    </w:lvlOverride>
    <w:lvlOverride w:ilvl="3">
      <w:lvl w:ilvl="3">
        <w:start w:val="1"/>
        <w:numFmt w:val="decimal"/>
        <w:lvlText w:val="(%4)"/>
        <w:lvlJc w:val="left"/>
        <w:pPr>
          <w:ind w:left="6720" w:hanging="57"/>
        </w:pPr>
        <w:rPr>
          <w:rFonts w:hint="default"/>
        </w:rPr>
      </w:lvl>
    </w:lvlOverride>
    <w:lvlOverride w:ilvl="4">
      <w:lvl w:ilvl="4">
        <w:start w:val="1"/>
        <w:numFmt w:val="lowerLetter"/>
        <w:lvlText w:val="(%5)"/>
        <w:lvlJc w:val="left"/>
        <w:pPr>
          <w:ind w:left="6720" w:hanging="57"/>
        </w:pPr>
        <w:rPr>
          <w:rFonts w:hint="default"/>
        </w:rPr>
      </w:lvl>
    </w:lvlOverride>
    <w:lvlOverride w:ilvl="5">
      <w:lvl w:ilvl="5">
        <w:start w:val="1"/>
        <w:numFmt w:val="lowerRoman"/>
        <w:lvlText w:val="(%6)"/>
        <w:lvlJc w:val="left"/>
        <w:pPr>
          <w:ind w:left="6720" w:hanging="57"/>
        </w:pPr>
        <w:rPr>
          <w:rFonts w:hint="default"/>
        </w:rPr>
      </w:lvl>
    </w:lvlOverride>
    <w:lvlOverride w:ilvl="6">
      <w:lvl w:ilvl="6">
        <w:start w:val="1"/>
        <w:numFmt w:val="decimal"/>
        <w:lvlText w:val="%7."/>
        <w:lvlJc w:val="left"/>
        <w:pPr>
          <w:ind w:left="6720" w:hanging="57"/>
        </w:pPr>
        <w:rPr>
          <w:rFonts w:hint="default"/>
        </w:rPr>
      </w:lvl>
    </w:lvlOverride>
    <w:lvlOverride w:ilvl="7">
      <w:lvl w:ilvl="7">
        <w:start w:val="1"/>
        <w:numFmt w:val="lowerLetter"/>
        <w:lvlText w:val="%8."/>
        <w:lvlJc w:val="left"/>
        <w:pPr>
          <w:ind w:left="6720" w:hanging="57"/>
        </w:pPr>
        <w:rPr>
          <w:rFonts w:hint="default"/>
        </w:rPr>
      </w:lvl>
    </w:lvlOverride>
    <w:lvlOverride w:ilvl="8">
      <w:lvl w:ilvl="8">
        <w:start w:val="1"/>
        <w:numFmt w:val="lowerRoman"/>
        <w:lvlText w:val="%9."/>
        <w:lvlJc w:val="left"/>
        <w:pPr>
          <w:ind w:left="6720" w:hanging="57"/>
        </w:pPr>
        <w:rPr>
          <w:rFonts w:hint="default"/>
        </w:rPr>
      </w:lvl>
    </w:lvlOverride>
  </w:num>
  <w:num w:numId="27">
    <w:abstractNumId w:val="11"/>
  </w:num>
  <w:num w:numId="28">
    <w:abstractNumId w:val="8"/>
  </w:num>
  <w:num w:numId="29">
    <w:abstractNumId w:val="3"/>
  </w:num>
  <w:num w:numId="30">
    <w:abstractNumId w:val="19"/>
  </w:num>
  <w:num w:numId="31">
    <w:abstractNumId w:val="28"/>
  </w:num>
  <w:num w:numId="32">
    <w:abstractNumId w:val="24"/>
  </w:num>
  <w:num w:numId="3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E4"/>
    <w:rsid w:val="00000932"/>
    <w:rsid w:val="00015041"/>
    <w:rsid w:val="00020D42"/>
    <w:rsid w:val="00022B63"/>
    <w:rsid w:val="00022C5D"/>
    <w:rsid w:val="00022DB1"/>
    <w:rsid w:val="000235C1"/>
    <w:rsid w:val="000257C7"/>
    <w:rsid w:val="00026183"/>
    <w:rsid w:val="00026E1D"/>
    <w:rsid w:val="00027004"/>
    <w:rsid w:val="000308CF"/>
    <w:rsid w:val="00031D28"/>
    <w:rsid w:val="00031FC9"/>
    <w:rsid w:val="00034595"/>
    <w:rsid w:val="00036651"/>
    <w:rsid w:val="00037120"/>
    <w:rsid w:val="00041CEF"/>
    <w:rsid w:val="00043D7B"/>
    <w:rsid w:val="00045BB1"/>
    <w:rsid w:val="00052609"/>
    <w:rsid w:val="00056EC4"/>
    <w:rsid w:val="0005727D"/>
    <w:rsid w:val="00057678"/>
    <w:rsid w:val="0006151F"/>
    <w:rsid w:val="00063E20"/>
    <w:rsid w:val="00065B32"/>
    <w:rsid w:val="000670D5"/>
    <w:rsid w:val="000719DC"/>
    <w:rsid w:val="000732CE"/>
    <w:rsid w:val="00074399"/>
    <w:rsid w:val="000750EA"/>
    <w:rsid w:val="00076B6C"/>
    <w:rsid w:val="00076CAF"/>
    <w:rsid w:val="0008342E"/>
    <w:rsid w:val="000838F0"/>
    <w:rsid w:val="00086F8D"/>
    <w:rsid w:val="00087776"/>
    <w:rsid w:val="00087A88"/>
    <w:rsid w:val="0009352A"/>
    <w:rsid w:val="0009363A"/>
    <w:rsid w:val="00094A25"/>
    <w:rsid w:val="00095062"/>
    <w:rsid w:val="0009564B"/>
    <w:rsid w:val="0009617F"/>
    <w:rsid w:val="000A0FC2"/>
    <w:rsid w:val="000A47D4"/>
    <w:rsid w:val="000A6F8D"/>
    <w:rsid w:val="000A737C"/>
    <w:rsid w:val="000B23A8"/>
    <w:rsid w:val="000B2A02"/>
    <w:rsid w:val="000B3CAD"/>
    <w:rsid w:val="000B7ED8"/>
    <w:rsid w:val="000C0558"/>
    <w:rsid w:val="000C302D"/>
    <w:rsid w:val="000C55AE"/>
    <w:rsid w:val="000C58C0"/>
    <w:rsid w:val="000C7D83"/>
    <w:rsid w:val="000D087A"/>
    <w:rsid w:val="000D2C66"/>
    <w:rsid w:val="000D4A29"/>
    <w:rsid w:val="000D55FA"/>
    <w:rsid w:val="000D7499"/>
    <w:rsid w:val="000D79A0"/>
    <w:rsid w:val="000E02A6"/>
    <w:rsid w:val="000E03D0"/>
    <w:rsid w:val="000E20D0"/>
    <w:rsid w:val="000E27F2"/>
    <w:rsid w:val="000E4F10"/>
    <w:rsid w:val="000E5AD9"/>
    <w:rsid w:val="000E7CF4"/>
    <w:rsid w:val="000F0B89"/>
    <w:rsid w:val="000F1766"/>
    <w:rsid w:val="000F206A"/>
    <w:rsid w:val="000F4694"/>
    <w:rsid w:val="000F49EE"/>
    <w:rsid w:val="000F5DEB"/>
    <w:rsid w:val="00101DD0"/>
    <w:rsid w:val="00101FC4"/>
    <w:rsid w:val="001053BD"/>
    <w:rsid w:val="001100A7"/>
    <w:rsid w:val="00110A9B"/>
    <w:rsid w:val="0011173A"/>
    <w:rsid w:val="001124D0"/>
    <w:rsid w:val="00113CE2"/>
    <w:rsid w:val="001141DD"/>
    <w:rsid w:val="001170A7"/>
    <w:rsid w:val="00125BAA"/>
    <w:rsid w:val="00127A2E"/>
    <w:rsid w:val="00127C7F"/>
    <w:rsid w:val="001303CF"/>
    <w:rsid w:val="00130951"/>
    <w:rsid w:val="00133623"/>
    <w:rsid w:val="00133677"/>
    <w:rsid w:val="00134D26"/>
    <w:rsid w:val="0013526D"/>
    <w:rsid w:val="00135498"/>
    <w:rsid w:val="00136CA7"/>
    <w:rsid w:val="00136E0F"/>
    <w:rsid w:val="00143D28"/>
    <w:rsid w:val="00145061"/>
    <w:rsid w:val="00150CB1"/>
    <w:rsid w:val="001510CB"/>
    <w:rsid w:val="001517DB"/>
    <w:rsid w:val="001540A0"/>
    <w:rsid w:val="00155B6B"/>
    <w:rsid w:val="001571E7"/>
    <w:rsid w:val="001619D9"/>
    <w:rsid w:val="00162D4C"/>
    <w:rsid w:val="0016370D"/>
    <w:rsid w:val="00164C16"/>
    <w:rsid w:val="001651D9"/>
    <w:rsid w:val="0016599E"/>
    <w:rsid w:val="00165D56"/>
    <w:rsid w:val="00165F23"/>
    <w:rsid w:val="00171C4E"/>
    <w:rsid w:val="00172CF3"/>
    <w:rsid w:val="001738ED"/>
    <w:rsid w:val="00174A39"/>
    <w:rsid w:val="00174B63"/>
    <w:rsid w:val="00174D0D"/>
    <w:rsid w:val="00176CCA"/>
    <w:rsid w:val="001800BC"/>
    <w:rsid w:val="00180D44"/>
    <w:rsid w:val="001819B4"/>
    <w:rsid w:val="00183220"/>
    <w:rsid w:val="00184C61"/>
    <w:rsid w:val="001852A3"/>
    <w:rsid w:val="00186D38"/>
    <w:rsid w:val="001918F6"/>
    <w:rsid w:val="00191E22"/>
    <w:rsid w:val="00193D7B"/>
    <w:rsid w:val="00196B6D"/>
    <w:rsid w:val="001A117D"/>
    <w:rsid w:val="001A173F"/>
    <w:rsid w:val="001A3102"/>
    <w:rsid w:val="001A55E4"/>
    <w:rsid w:val="001A786F"/>
    <w:rsid w:val="001A7AD2"/>
    <w:rsid w:val="001B123D"/>
    <w:rsid w:val="001B25DF"/>
    <w:rsid w:val="001B2986"/>
    <w:rsid w:val="001B325B"/>
    <w:rsid w:val="001B590A"/>
    <w:rsid w:val="001C21DB"/>
    <w:rsid w:val="001C3818"/>
    <w:rsid w:val="001C39E3"/>
    <w:rsid w:val="001C535F"/>
    <w:rsid w:val="001C5B60"/>
    <w:rsid w:val="001C75CD"/>
    <w:rsid w:val="001D20D3"/>
    <w:rsid w:val="001D587C"/>
    <w:rsid w:val="001D58BE"/>
    <w:rsid w:val="001D5C7A"/>
    <w:rsid w:val="001D6647"/>
    <w:rsid w:val="001D6AC6"/>
    <w:rsid w:val="001D7DAA"/>
    <w:rsid w:val="001E0D8A"/>
    <w:rsid w:val="001E239A"/>
    <w:rsid w:val="001E4251"/>
    <w:rsid w:val="001E4E5E"/>
    <w:rsid w:val="001E52FE"/>
    <w:rsid w:val="001E6656"/>
    <w:rsid w:val="001E7931"/>
    <w:rsid w:val="001F1753"/>
    <w:rsid w:val="001F1BD6"/>
    <w:rsid w:val="001F2B15"/>
    <w:rsid w:val="001F3958"/>
    <w:rsid w:val="001F3A06"/>
    <w:rsid w:val="001F3C88"/>
    <w:rsid w:val="001F472D"/>
    <w:rsid w:val="001F4896"/>
    <w:rsid w:val="001F65BA"/>
    <w:rsid w:val="0020064D"/>
    <w:rsid w:val="002016AB"/>
    <w:rsid w:val="002029C7"/>
    <w:rsid w:val="002062C6"/>
    <w:rsid w:val="00207683"/>
    <w:rsid w:val="002077C7"/>
    <w:rsid w:val="00207CE3"/>
    <w:rsid w:val="00210179"/>
    <w:rsid w:val="0021069B"/>
    <w:rsid w:val="0021211A"/>
    <w:rsid w:val="002124FB"/>
    <w:rsid w:val="002149EE"/>
    <w:rsid w:val="00215719"/>
    <w:rsid w:val="00216F6E"/>
    <w:rsid w:val="00222B1F"/>
    <w:rsid w:val="00225206"/>
    <w:rsid w:val="0022650B"/>
    <w:rsid w:val="00227233"/>
    <w:rsid w:val="00231836"/>
    <w:rsid w:val="0023284F"/>
    <w:rsid w:val="00232B74"/>
    <w:rsid w:val="002336EA"/>
    <w:rsid w:val="0023735B"/>
    <w:rsid w:val="0024093F"/>
    <w:rsid w:val="00241062"/>
    <w:rsid w:val="00241D6C"/>
    <w:rsid w:val="002463DA"/>
    <w:rsid w:val="002465E7"/>
    <w:rsid w:val="00252813"/>
    <w:rsid w:val="002529D6"/>
    <w:rsid w:val="002545C3"/>
    <w:rsid w:val="00254760"/>
    <w:rsid w:val="00254FB1"/>
    <w:rsid w:val="00256474"/>
    <w:rsid w:val="00257A88"/>
    <w:rsid w:val="00261972"/>
    <w:rsid w:val="002635F4"/>
    <w:rsid w:val="00266162"/>
    <w:rsid w:val="00266343"/>
    <w:rsid w:val="002668DA"/>
    <w:rsid w:val="00272DC3"/>
    <w:rsid w:val="00272E2F"/>
    <w:rsid w:val="00273A8B"/>
    <w:rsid w:val="00273C4B"/>
    <w:rsid w:val="00275815"/>
    <w:rsid w:val="0027693B"/>
    <w:rsid w:val="0028057B"/>
    <w:rsid w:val="00281A83"/>
    <w:rsid w:val="00282B43"/>
    <w:rsid w:val="00283AF5"/>
    <w:rsid w:val="0028521E"/>
    <w:rsid w:val="0028532D"/>
    <w:rsid w:val="00285453"/>
    <w:rsid w:val="002922C8"/>
    <w:rsid w:val="002925BE"/>
    <w:rsid w:val="00292E72"/>
    <w:rsid w:val="00294EFF"/>
    <w:rsid w:val="002967A6"/>
    <w:rsid w:val="00297AD7"/>
    <w:rsid w:val="002A0659"/>
    <w:rsid w:val="002A2D1E"/>
    <w:rsid w:val="002A3D61"/>
    <w:rsid w:val="002A6CBB"/>
    <w:rsid w:val="002A6DD2"/>
    <w:rsid w:val="002B1311"/>
    <w:rsid w:val="002B19B7"/>
    <w:rsid w:val="002B26FB"/>
    <w:rsid w:val="002B5B59"/>
    <w:rsid w:val="002B613C"/>
    <w:rsid w:val="002B6DF2"/>
    <w:rsid w:val="002B7961"/>
    <w:rsid w:val="002C1365"/>
    <w:rsid w:val="002C199F"/>
    <w:rsid w:val="002C38B2"/>
    <w:rsid w:val="002C3948"/>
    <w:rsid w:val="002C3F9C"/>
    <w:rsid w:val="002C4E31"/>
    <w:rsid w:val="002C740F"/>
    <w:rsid w:val="002D3DCA"/>
    <w:rsid w:val="002D48A1"/>
    <w:rsid w:val="002D5B7F"/>
    <w:rsid w:val="002D7D74"/>
    <w:rsid w:val="002E0D54"/>
    <w:rsid w:val="002E1A61"/>
    <w:rsid w:val="002E52A4"/>
    <w:rsid w:val="002E6936"/>
    <w:rsid w:val="002F118C"/>
    <w:rsid w:val="002F7050"/>
    <w:rsid w:val="002F7E62"/>
    <w:rsid w:val="00311499"/>
    <w:rsid w:val="00311637"/>
    <w:rsid w:val="00311B38"/>
    <w:rsid w:val="00314461"/>
    <w:rsid w:val="003217AA"/>
    <w:rsid w:val="0032202D"/>
    <w:rsid w:val="00323679"/>
    <w:rsid w:val="003250CC"/>
    <w:rsid w:val="00326470"/>
    <w:rsid w:val="003326DB"/>
    <w:rsid w:val="0033295C"/>
    <w:rsid w:val="00333A41"/>
    <w:rsid w:val="00334CA0"/>
    <w:rsid w:val="00335CD6"/>
    <w:rsid w:val="003363B8"/>
    <w:rsid w:val="00336BB7"/>
    <w:rsid w:val="00341651"/>
    <w:rsid w:val="00342338"/>
    <w:rsid w:val="00343610"/>
    <w:rsid w:val="00343A5F"/>
    <w:rsid w:val="00344FCA"/>
    <w:rsid w:val="00346279"/>
    <w:rsid w:val="00346822"/>
    <w:rsid w:val="00347F57"/>
    <w:rsid w:val="00350862"/>
    <w:rsid w:val="00350921"/>
    <w:rsid w:val="003513C8"/>
    <w:rsid w:val="00352083"/>
    <w:rsid w:val="00353648"/>
    <w:rsid w:val="00353E82"/>
    <w:rsid w:val="003549D6"/>
    <w:rsid w:val="00355385"/>
    <w:rsid w:val="00355BD2"/>
    <w:rsid w:val="0035757C"/>
    <w:rsid w:val="00362463"/>
    <w:rsid w:val="00362992"/>
    <w:rsid w:val="00366B16"/>
    <w:rsid w:val="003701EA"/>
    <w:rsid w:val="00371B6C"/>
    <w:rsid w:val="00372B38"/>
    <w:rsid w:val="003732E7"/>
    <w:rsid w:val="00375B4C"/>
    <w:rsid w:val="0037720C"/>
    <w:rsid w:val="0038027C"/>
    <w:rsid w:val="00380609"/>
    <w:rsid w:val="003811E8"/>
    <w:rsid w:val="00383663"/>
    <w:rsid w:val="0038417F"/>
    <w:rsid w:val="003847FD"/>
    <w:rsid w:val="00386DF8"/>
    <w:rsid w:val="0038770B"/>
    <w:rsid w:val="00391CFA"/>
    <w:rsid w:val="003978BB"/>
    <w:rsid w:val="003A3128"/>
    <w:rsid w:val="003A61C0"/>
    <w:rsid w:val="003A7A53"/>
    <w:rsid w:val="003A7E6E"/>
    <w:rsid w:val="003B03A5"/>
    <w:rsid w:val="003B0DD3"/>
    <w:rsid w:val="003B1D35"/>
    <w:rsid w:val="003B21F3"/>
    <w:rsid w:val="003B3A5C"/>
    <w:rsid w:val="003B4B22"/>
    <w:rsid w:val="003C0418"/>
    <w:rsid w:val="003C0CD3"/>
    <w:rsid w:val="003C3424"/>
    <w:rsid w:val="003C5B97"/>
    <w:rsid w:val="003C6B5B"/>
    <w:rsid w:val="003D323F"/>
    <w:rsid w:val="003E175B"/>
    <w:rsid w:val="003E33F3"/>
    <w:rsid w:val="003E39C3"/>
    <w:rsid w:val="003E4431"/>
    <w:rsid w:val="003E5BF4"/>
    <w:rsid w:val="003E7947"/>
    <w:rsid w:val="003F1983"/>
    <w:rsid w:val="003F3CFA"/>
    <w:rsid w:val="003F447C"/>
    <w:rsid w:val="003F72B6"/>
    <w:rsid w:val="003F7F75"/>
    <w:rsid w:val="00401072"/>
    <w:rsid w:val="00402275"/>
    <w:rsid w:val="004028B6"/>
    <w:rsid w:val="0040413C"/>
    <w:rsid w:val="004077F4"/>
    <w:rsid w:val="00413489"/>
    <w:rsid w:val="00415272"/>
    <w:rsid w:val="004166CC"/>
    <w:rsid w:val="00416ED0"/>
    <w:rsid w:val="00417F80"/>
    <w:rsid w:val="004222FE"/>
    <w:rsid w:val="00423E1C"/>
    <w:rsid w:val="00423F2F"/>
    <w:rsid w:val="00426955"/>
    <w:rsid w:val="004270B1"/>
    <w:rsid w:val="0043180A"/>
    <w:rsid w:val="00431A98"/>
    <w:rsid w:val="004339E2"/>
    <w:rsid w:val="004345E0"/>
    <w:rsid w:val="004353AA"/>
    <w:rsid w:val="00435800"/>
    <w:rsid w:val="00435EC8"/>
    <w:rsid w:val="00441952"/>
    <w:rsid w:val="00443FC0"/>
    <w:rsid w:val="0044408F"/>
    <w:rsid w:val="00445B6A"/>
    <w:rsid w:val="00446135"/>
    <w:rsid w:val="00454B97"/>
    <w:rsid w:val="00455A71"/>
    <w:rsid w:val="00461D4B"/>
    <w:rsid w:val="0046240F"/>
    <w:rsid w:val="004625D4"/>
    <w:rsid w:val="00464465"/>
    <w:rsid w:val="00464A31"/>
    <w:rsid w:val="00470C7A"/>
    <w:rsid w:val="004730DE"/>
    <w:rsid w:val="00477271"/>
    <w:rsid w:val="004817C0"/>
    <w:rsid w:val="00481D56"/>
    <w:rsid w:val="0048208C"/>
    <w:rsid w:val="0048231C"/>
    <w:rsid w:val="0048252B"/>
    <w:rsid w:val="00483675"/>
    <w:rsid w:val="0048471B"/>
    <w:rsid w:val="00485A98"/>
    <w:rsid w:val="0048665E"/>
    <w:rsid w:val="004877A4"/>
    <w:rsid w:val="0048794B"/>
    <w:rsid w:val="00490E1D"/>
    <w:rsid w:val="0049347C"/>
    <w:rsid w:val="004A0D72"/>
    <w:rsid w:val="004A213A"/>
    <w:rsid w:val="004A3C1A"/>
    <w:rsid w:val="004A4077"/>
    <w:rsid w:val="004B152B"/>
    <w:rsid w:val="004B2D89"/>
    <w:rsid w:val="004B3047"/>
    <w:rsid w:val="004B444D"/>
    <w:rsid w:val="004B459E"/>
    <w:rsid w:val="004B6293"/>
    <w:rsid w:val="004B65EA"/>
    <w:rsid w:val="004B6B7F"/>
    <w:rsid w:val="004B7882"/>
    <w:rsid w:val="004C0CF7"/>
    <w:rsid w:val="004C1A9F"/>
    <w:rsid w:val="004C23C6"/>
    <w:rsid w:val="004C2BC1"/>
    <w:rsid w:val="004C5862"/>
    <w:rsid w:val="004C791F"/>
    <w:rsid w:val="004D1E5F"/>
    <w:rsid w:val="004D2C67"/>
    <w:rsid w:val="004D4577"/>
    <w:rsid w:val="004D4982"/>
    <w:rsid w:val="004D5592"/>
    <w:rsid w:val="004D586E"/>
    <w:rsid w:val="004D6CE7"/>
    <w:rsid w:val="004D6D1F"/>
    <w:rsid w:val="004E0014"/>
    <w:rsid w:val="004E0646"/>
    <w:rsid w:val="004E0ECC"/>
    <w:rsid w:val="004E1CE0"/>
    <w:rsid w:val="004E41FE"/>
    <w:rsid w:val="004E511C"/>
    <w:rsid w:val="004E51C7"/>
    <w:rsid w:val="004F5B66"/>
    <w:rsid w:val="004F64D4"/>
    <w:rsid w:val="004F665C"/>
    <w:rsid w:val="004F6F3C"/>
    <w:rsid w:val="004F7363"/>
    <w:rsid w:val="004F7546"/>
    <w:rsid w:val="0050505B"/>
    <w:rsid w:val="0050523F"/>
    <w:rsid w:val="00505878"/>
    <w:rsid w:val="00507F4D"/>
    <w:rsid w:val="005101FA"/>
    <w:rsid w:val="00512DA1"/>
    <w:rsid w:val="00513407"/>
    <w:rsid w:val="0051512E"/>
    <w:rsid w:val="0052085C"/>
    <w:rsid w:val="005211E8"/>
    <w:rsid w:val="005217E1"/>
    <w:rsid w:val="00521B80"/>
    <w:rsid w:val="005242B0"/>
    <w:rsid w:val="00524C48"/>
    <w:rsid w:val="00527A7E"/>
    <w:rsid w:val="00531E5A"/>
    <w:rsid w:val="005327E7"/>
    <w:rsid w:val="00532CA3"/>
    <w:rsid w:val="00532F14"/>
    <w:rsid w:val="005401AC"/>
    <w:rsid w:val="00541723"/>
    <w:rsid w:val="00546221"/>
    <w:rsid w:val="00547053"/>
    <w:rsid w:val="00547A7D"/>
    <w:rsid w:val="00552A0B"/>
    <w:rsid w:val="0055375F"/>
    <w:rsid w:val="00554262"/>
    <w:rsid w:val="00554F44"/>
    <w:rsid w:val="00554F68"/>
    <w:rsid w:val="00555660"/>
    <w:rsid w:val="005559C0"/>
    <w:rsid w:val="00555B5C"/>
    <w:rsid w:val="00556BE9"/>
    <w:rsid w:val="00560D50"/>
    <w:rsid w:val="0056160F"/>
    <w:rsid w:val="0056497E"/>
    <w:rsid w:val="00564AD6"/>
    <w:rsid w:val="00565DAC"/>
    <w:rsid w:val="0056637C"/>
    <w:rsid w:val="00566BA3"/>
    <w:rsid w:val="00566D58"/>
    <w:rsid w:val="00573178"/>
    <w:rsid w:val="00574004"/>
    <w:rsid w:val="0057498B"/>
    <w:rsid w:val="00574BDC"/>
    <w:rsid w:val="005754BD"/>
    <w:rsid w:val="00581DFE"/>
    <w:rsid w:val="005840CC"/>
    <w:rsid w:val="005859CC"/>
    <w:rsid w:val="00587098"/>
    <w:rsid w:val="00587D57"/>
    <w:rsid w:val="00596F70"/>
    <w:rsid w:val="005976C1"/>
    <w:rsid w:val="00597A09"/>
    <w:rsid w:val="00597DAE"/>
    <w:rsid w:val="005A04C2"/>
    <w:rsid w:val="005A0B5A"/>
    <w:rsid w:val="005A1410"/>
    <w:rsid w:val="005A14CD"/>
    <w:rsid w:val="005A20D1"/>
    <w:rsid w:val="005A4453"/>
    <w:rsid w:val="005A4862"/>
    <w:rsid w:val="005A6645"/>
    <w:rsid w:val="005B140D"/>
    <w:rsid w:val="005B2D12"/>
    <w:rsid w:val="005B2FFC"/>
    <w:rsid w:val="005B622E"/>
    <w:rsid w:val="005B65A6"/>
    <w:rsid w:val="005B6770"/>
    <w:rsid w:val="005C3874"/>
    <w:rsid w:val="005C44A2"/>
    <w:rsid w:val="005C4DC8"/>
    <w:rsid w:val="005C53BA"/>
    <w:rsid w:val="005C5CBD"/>
    <w:rsid w:val="005C61C4"/>
    <w:rsid w:val="005C6879"/>
    <w:rsid w:val="005D0EC8"/>
    <w:rsid w:val="005D1A8C"/>
    <w:rsid w:val="005D1BFB"/>
    <w:rsid w:val="005D3B5F"/>
    <w:rsid w:val="005D3D8B"/>
    <w:rsid w:val="005D4278"/>
    <w:rsid w:val="005D4A85"/>
    <w:rsid w:val="005D5FC8"/>
    <w:rsid w:val="005E0008"/>
    <w:rsid w:val="005E2043"/>
    <w:rsid w:val="005E23ED"/>
    <w:rsid w:val="005E2677"/>
    <w:rsid w:val="005E2BD1"/>
    <w:rsid w:val="005E303A"/>
    <w:rsid w:val="005E7F58"/>
    <w:rsid w:val="005F1584"/>
    <w:rsid w:val="005F34B1"/>
    <w:rsid w:val="005F36AA"/>
    <w:rsid w:val="005F3A28"/>
    <w:rsid w:val="005F5181"/>
    <w:rsid w:val="005F54A8"/>
    <w:rsid w:val="005F6509"/>
    <w:rsid w:val="005F6EE8"/>
    <w:rsid w:val="005F6FB3"/>
    <w:rsid w:val="006022FF"/>
    <w:rsid w:val="006035BB"/>
    <w:rsid w:val="00610247"/>
    <w:rsid w:val="00610E13"/>
    <w:rsid w:val="006119D3"/>
    <w:rsid w:val="00614AA1"/>
    <w:rsid w:val="006222B6"/>
    <w:rsid w:val="006235EE"/>
    <w:rsid w:val="00627B7C"/>
    <w:rsid w:val="006310AD"/>
    <w:rsid w:val="00635DE7"/>
    <w:rsid w:val="00636DB0"/>
    <w:rsid w:val="006407EF"/>
    <w:rsid w:val="00642E70"/>
    <w:rsid w:val="006445C1"/>
    <w:rsid w:val="006451E5"/>
    <w:rsid w:val="006465CA"/>
    <w:rsid w:val="006475ED"/>
    <w:rsid w:val="0065157B"/>
    <w:rsid w:val="00654409"/>
    <w:rsid w:val="00655E14"/>
    <w:rsid w:val="00657F19"/>
    <w:rsid w:val="00660008"/>
    <w:rsid w:val="00663B25"/>
    <w:rsid w:val="00664124"/>
    <w:rsid w:val="006645B0"/>
    <w:rsid w:val="006668A7"/>
    <w:rsid w:val="00670826"/>
    <w:rsid w:val="006711AF"/>
    <w:rsid w:val="00674596"/>
    <w:rsid w:val="00675820"/>
    <w:rsid w:val="00676185"/>
    <w:rsid w:val="006764F7"/>
    <w:rsid w:val="0068272F"/>
    <w:rsid w:val="00686958"/>
    <w:rsid w:val="006909A9"/>
    <w:rsid w:val="00690C60"/>
    <w:rsid w:val="00691CB8"/>
    <w:rsid w:val="00692AFC"/>
    <w:rsid w:val="0069303B"/>
    <w:rsid w:val="006943A2"/>
    <w:rsid w:val="00696FED"/>
    <w:rsid w:val="006A007C"/>
    <w:rsid w:val="006A1F2B"/>
    <w:rsid w:val="006A296B"/>
    <w:rsid w:val="006A5DC5"/>
    <w:rsid w:val="006A6433"/>
    <w:rsid w:val="006B00FC"/>
    <w:rsid w:val="006B015D"/>
    <w:rsid w:val="006B01DF"/>
    <w:rsid w:val="006B1266"/>
    <w:rsid w:val="006B26E0"/>
    <w:rsid w:val="006B55EF"/>
    <w:rsid w:val="006B75C1"/>
    <w:rsid w:val="006B7992"/>
    <w:rsid w:val="006C07BA"/>
    <w:rsid w:val="006C0888"/>
    <w:rsid w:val="006C27C1"/>
    <w:rsid w:val="006C3D1D"/>
    <w:rsid w:val="006C5917"/>
    <w:rsid w:val="006C7386"/>
    <w:rsid w:val="006D0A3E"/>
    <w:rsid w:val="006D2BFE"/>
    <w:rsid w:val="006D5733"/>
    <w:rsid w:val="006E52DD"/>
    <w:rsid w:val="006E6C4E"/>
    <w:rsid w:val="006E6D13"/>
    <w:rsid w:val="006E79A9"/>
    <w:rsid w:val="006F2C51"/>
    <w:rsid w:val="006F3304"/>
    <w:rsid w:val="006F36D0"/>
    <w:rsid w:val="006F38F3"/>
    <w:rsid w:val="006F3BD3"/>
    <w:rsid w:val="006F47F2"/>
    <w:rsid w:val="006F4FF2"/>
    <w:rsid w:val="006F6474"/>
    <w:rsid w:val="006F75F0"/>
    <w:rsid w:val="0070415B"/>
    <w:rsid w:val="007069CC"/>
    <w:rsid w:val="00710BD8"/>
    <w:rsid w:val="007120FD"/>
    <w:rsid w:val="00712505"/>
    <w:rsid w:val="0071403C"/>
    <w:rsid w:val="0071555B"/>
    <w:rsid w:val="00716A52"/>
    <w:rsid w:val="00717490"/>
    <w:rsid w:val="00717B51"/>
    <w:rsid w:val="00724727"/>
    <w:rsid w:val="007255E0"/>
    <w:rsid w:val="00731E55"/>
    <w:rsid w:val="00732A11"/>
    <w:rsid w:val="00732D21"/>
    <w:rsid w:val="0073335D"/>
    <w:rsid w:val="00735AF5"/>
    <w:rsid w:val="0073669E"/>
    <w:rsid w:val="00741F8A"/>
    <w:rsid w:val="007440A2"/>
    <w:rsid w:val="0074764F"/>
    <w:rsid w:val="007507AC"/>
    <w:rsid w:val="0075183B"/>
    <w:rsid w:val="00751BB5"/>
    <w:rsid w:val="0075266E"/>
    <w:rsid w:val="0075489D"/>
    <w:rsid w:val="007555F7"/>
    <w:rsid w:val="00755EE8"/>
    <w:rsid w:val="00756A90"/>
    <w:rsid w:val="00760694"/>
    <w:rsid w:val="00763E3E"/>
    <w:rsid w:val="00764A58"/>
    <w:rsid w:val="00764A80"/>
    <w:rsid w:val="00765BC5"/>
    <w:rsid w:val="00770BB2"/>
    <w:rsid w:val="00773101"/>
    <w:rsid w:val="007903C1"/>
    <w:rsid w:val="00795344"/>
    <w:rsid w:val="0079667E"/>
    <w:rsid w:val="007966F2"/>
    <w:rsid w:val="007A00B5"/>
    <w:rsid w:val="007A0AE1"/>
    <w:rsid w:val="007A3834"/>
    <w:rsid w:val="007B0158"/>
    <w:rsid w:val="007B0205"/>
    <w:rsid w:val="007B0754"/>
    <w:rsid w:val="007B205F"/>
    <w:rsid w:val="007B2D77"/>
    <w:rsid w:val="007B4649"/>
    <w:rsid w:val="007B49F7"/>
    <w:rsid w:val="007B56A9"/>
    <w:rsid w:val="007B58C1"/>
    <w:rsid w:val="007C42B9"/>
    <w:rsid w:val="007C4B2D"/>
    <w:rsid w:val="007C546A"/>
    <w:rsid w:val="007C6189"/>
    <w:rsid w:val="007C697B"/>
    <w:rsid w:val="007D02F2"/>
    <w:rsid w:val="007D32BC"/>
    <w:rsid w:val="007D3E38"/>
    <w:rsid w:val="007D4D77"/>
    <w:rsid w:val="007D534C"/>
    <w:rsid w:val="007D702E"/>
    <w:rsid w:val="007D7CE0"/>
    <w:rsid w:val="007E112E"/>
    <w:rsid w:val="007E6337"/>
    <w:rsid w:val="007E6661"/>
    <w:rsid w:val="007E6A2B"/>
    <w:rsid w:val="007F233B"/>
    <w:rsid w:val="007F2E43"/>
    <w:rsid w:val="007F3516"/>
    <w:rsid w:val="007F44F8"/>
    <w:rsid w:val="007F511A"/>
    <w:rsid w:val="007F5E40"/>
    <w:rsid w:val="008028AF"/>
    <w:rsid w:val="00802CD4"/>
    <w:rsid w:val="008032A1"/>
    <w:rsid w:val="0080332D"/>
    <w:rsid w:val="008036AB"/>
    <w:rsid w:val="00803DB4"/>
    <w:rsid w:val="00805DA8"/>
    <w:rsid w:val="00806A71"/>
    <w:rsid w:val="00806AFE"/>
    <w:rsid w:val="00811CD9"/>
    <w:rsid w:val="00812443"/>
    <w:rsid w:val="00813D3C"/>
    <w:rsid w:val="008147C5"/>
    <w:rsid w:val="00815AF7"/>
    <w:rsid w:val="00816C52"/>
    <w:rsid w:val="00821AD9"/>
    <w:rsid w:val="00821C5E"/>
    <w:rsid w:val="00822E84"/>
    <w:rsid w:val="00825550"/>
    <w:rsid w:val="0082731D"/>
    <w:rsid w:val="00830DB7"/>
    <w:rsid w:val="008339B0"/>
    <w:rsid w:val="008359DA"/>
    <w:rsid w:val="008362F9"/>
    <w:rsid w:val="00837050"/>
    <w:rsid w:val="008374F8"/>
    <w:rsid w:val="0084127C"/>
    <w:rsid w:val="00841B94"/>
    <w:rsid w:val="008454E7"/>
    <w:rsid w:val="0084687B"/>
    <w:rsid w:val="00846BD6"/>
    <w:rsid w:val="00850B3D"/>
    <w:rsid w:val="00851D06"/>
    <w:rsid w:val="008536D7"/>
    <w:rsid w:val="008545F6"/>
    <w:rsid w:val="00860489"/>
    <w:rsid w:val="00862D75"/>
    <w:rsid w:val="00863257"/>
    <w:rsid w:val="00864610"/>
    <w:rsid w:val="00867077"/>
    <w:rsid w:val="00870062"/>
    <w:rsid w:val="00870593"/>
    <w:rsid w:val="00872B9A"/>
    <w:rsid w:val="00882434"/>
    <w:rsid w:val="008828D7"/>
    <w:rsid w:val="00890A80"/>
    <w:rsid w:val="00890A8F"/>
    <w:rsid w:val="00890FAF"/>
    <w:rsid w:val="0089306B"/>
    <w:rsid w:val="008938CC"/>
    <w:rsid w:val="00894417"/>
    <w:rsid w:val="00895C8B"/>
    <w:rsid w:val="008962AD"/>
    <w:rsid w:val="00896A88"/>
    <w:rsid w:val="00896B64"/>
    <w:rsid w:val="008A1E7C"/>
    <w:rsid w:val="008A22B9"/>
    <w:rsid w:val="008A3412"/>
    <w:rsid w:val="008A3484"/>
    <w:rsid w:val="008A4E6F"/>
    <w:rsid w:val="008A6577"/>
    <w:rsid w:val="008A6770"/>
    <w:rsid w:val="008B1291"/>
    <w:rsid w:val="008B1301"/>
    <w:rsid w:val="008B41D4"/>
    <w:rsid w:val="008B450A"/>
    <w:rsid w:val="008B5673"/>
    <w:rsid w:val="008C2E5E"/>
    <w:rsid w:val="008C7C75"/>
    <w:rsid w:val="008D03EA"/>
    <w:rsid w:val="008D0580"/>
    <w:rsid w:val="008D37E8"/>
    <w:rsid w:val="008D52F6"/>
    <w:rsid w:val="008D64F8"/>
    <w:rsid w:val="008E07FB"/>
    <w:rsid w:val="008E08D1"/>
    <w:rsid w:val="008E1A8B"/>
    <w:rsid w:val="008E1E12"/>
    <w:rsid w:val="008E34C2"/>
    <w:rsid w:val="008E51FD"/>
    <w:rsid w:val="008E58F5"/>
    <w:rsid w:val="008E6194"/>
    <w:rsid w:val="008E62FB"/>
    <w:rsid w:val="008E6743"/>
    <w:rsid w:val="008E764E"/>
    <w:rsid w:val="008E7ABE"/>
    <w:rsid w:val="008F0C9F"/>
    <w:rsid w:val="008F2002"/>
    <w:rsid w:val="008F343F"/>
    <w:rsid w:val="008F76EF"/>
    <w:rsid w:val="00900B73"/>
    <w:rsid w:val="009028B3"/>
    <w:rsid w:val="009069DB"/>
    <w:rsid w:val="00906A68"/>
    <w:rsid w:val="009110E5"/>
    <w:rsid w:val="00912A3B"/>
    <w:rsid w:val="0091304B"/>
    <w:rsid w:val="00913B69"/>
    <w:rsid w:val="00915157"/>
    <w:rsid w:val="009157FD"/>
    <w:rsid w:val="00920591"/>
    <w:rsid w:val="00920870"/>
    <w:rsid w:val="00920949"/>
    <w:rsid w:val="009215ED"/>
    <w:rsid w:val="00922215"/>
    <w:rsid w:val="009247AA"/>
    <w:rsid w:val="00925017"/>
    <w:rsid w:val="00925213"/>
    <w:rsid w:val="00932E82"/>
    <w:rsid w:val="00935124"/>
    <w:rsid w:val="009402F4"/>
    <w:rsid w:val="00940968"/>
    <w:rsid w:val="009423C3"/>
    <w:rsid w:val="00942B1A"/>
    <w:rsid w:val="00942F24"/>
    <w:rsid w:val="0094596E"/>
    <w:rsid w:val="0094644C"/>
    <w:rsid w:val="00946824"/>
    <w:rsid w:val="0095058A"/>
    <w:rsid w:val="00951BB7"/>
    <w:rsid w:val="009524D9"/>
    <w:rsid w:val="00956A67"/>
    <w:rsid w:val="00956AA0"/>
    <w:rsid w:val="00956EAB"/>
    <w:rsid w:val="00962817"/>
    <w:rsid w:val="00962A98"/>
    <w:rsid w:val="00967F32"/>
    <w:rsid w:val="0097184B"/>
    <w:rsid w:val="00971928"/>
    <w:rsid w:val="0097360D"/>
    <w:rsid w:val="009744B4"/>
    <w:rsid w:val="009777C4"/>
    <w:rsid w:val="009824E2"/>
    <w:rsid w:val="00982AF5"/>
    <w:rsid w:val="00984DBA"/>
    <w:rsid w:val="00985F00"/>
    <w:rsid w:val="00992739"/>
    <w:rsid w:val="00993BB4"/>
    <w:rsid w:val="00993FE4"/>
    <w:rsid w:val="00994D8F"/>
    <w:rsid w:val="0099598E"/>
    <w:rsid w:val="00997A0A"/>
    <w:rsid w:val="009A0569"/>
    <w:rsid w:val="009A0996"/>
    <w:rsid w:val="009A0D35"/>
    <w:rsid w:val="009A1A6D"/>
    <w:rsid w:val="009A3648"/>
    <w:rsid w:val="009A4125"/>
    <w:rsid w:val="009A515D"/>
    <w:rsid w:val="009A51F5"/>
    <w:rsid w:val="009A543E"/>
    <w:rsid w:val="009A7120"/>
    <w:rsid w:val="009B2C2D"/>
    <w:rsid w:val="009B31D3"/>
    <w:rsid w:val="009B362A"/>
    <w:rsid w:val="009B6F07"/>
    <w:rsid w:val="009C35DC"/>
    <w:rsid w:val="009C398D"/>
    <w:rsid w:val="009C4211"/>
    <w:rsid w:val="009C4769"/>
    <w:rsid w:val="009C616F"/>
    <w:rsid w:val="009D0B95"/>
    <w:rsid w:val="009D505F"/>
    <w:rsid w:val="009D5DAF"/>
    <w:rsid w:val="009E3413"/>
    <w:rsid w:val="009E68CD"/>
    <w:rsid w:val="009E7478"/>
    <w:rsid w:val="009E75B6"/>
    <w:rsid w:val="009F3808"/>
    <w:rsid w:val="009F5592"/>
    <w:rsid w:val="009F63BC"/>
    <w:rsid w:val="009F6941"/>
    <w:rsid w:val="009F6DE9"/>
    <w:rsid w:val="00A0037F"/>
    <w:rsid w:val="00A03034"/>
    <w:rsid w:val="00A03928"/>
    <w:rsid w:val="00A03D4E"/>
    <w:rsid w:val="00A03F33"/>
    <w:rsid w:val="00A042AB"/>
    <w:rsid w:val="00A048F1"/>
    <w:rsid w:val="00A04ECA"/>
    <w:rsid w:val="00A057B9"/>
    <w:rsid w:val="00A07EAC"/>
    <w:rsid w:val="00A12621"/>
    <w:rsid w:val="00A16445"/>
    <w:rsid w:val="00A171C6"/>
    <w:rsid w:val="00A21D08"/>
    <w:rsid w:val="00A239FB"/>
    <w:rsid w:val="00A24CDA"/>
    <w:rsid w:val="00A250E1"/>
    <w:rsid w:val="00A257EE"/>
    <w:rsid w:val="00A273B8"/>
    <w:rsid w:val="00A27616"/>
    <w:rsid w:val="00A30189"/>
    <w:rsid w:val="00A303BD"/>
    <w:rsid w:val="00A30DC6"/>
    <w:rsid w:val="00A33998"/>
    <w:rsid w:val="00A343F7"/>
    <w:rsid w:val="00A350C8"/>
    <w:rsid w:val="00A357C8"/>
    <w:rsid w:val="00A363E0"/>
    <w:rsid w:val="00A36D67"/>
    <w:rsid w:val="00A413D1"/>
    <w:rsid w:val="00A42377"/>
    <w:rsid w:val="00A443AE"/>
    <w:rsid w:val="00A44D3C"/>
    <w:rsid w:val="00A45134"/>
    <w:rsid w:val="00A460BC"/>
    <w:rsid w:val="00A46FA8"/>
    <w:rsid w:val="00A473A9"/>
    <w:rsid w:val="00A47D59"/>
    <w:rsid w:val="00A51583"/>
    <w:rsid w:val="00A51D50"/>
    <w:rsid w:val="00A522AE"/>
    <w:rsid w:val="00A529D8"/>
    <w:rsid w:val="00A5394B"/>
    <w:rsid w:val="00A539B6"/>
    <w:rsid w:val="00A54A03"/>
    <w:rsid w:val="00A5663D"/>
    <w:rsid w:val="00A570A7"/>
    <w:rsid w:val="00A5774C"/>
    <w:rsid w:val="00A606A0"/>
    <w:rsid w:val="00A660DE"/>
    <w:rsid w:val="00A706DF"/>
    <w:rsid w:val="00A7559C"/>
    <w:rsid w:val="00A7613C"/>
    <w:rsid w:val="00A766E2"/>
    <w:rsid w:val="00A767EE"/>
    <w:rsid w:val="00A77418"/>
    <w:rsid w:val="00A831E7"/>
    <w:rsid w:val="00A94D2D"/>
    <w:rsid w:val="00A95E6F"/>
    <w:rsid w:val="00A97078"/>
    <w:rsid w:val="00AA16E7"/>
    <w:rsid w:val="00AA2E93"/>
    <w:rsid w:val="00AA3C3C"/>
    <w:rsid w:val="00AA5D63"/>
    <w:rsid w:val="00AA6B8F"/>
    <w:rsid w:val="00AA70D7"/>
    <w:rsid w:val="00AA730F"/>
    <w:rsid w:val="00AA748D"/>
    <w:rsid w:val="00AA74E2"/>
    <w:rsid w:val="00AB095A"/>
    <w:rsid w:val="00AB0D28"/>
    <w:rsid w:val="00AB40E0"/>
    <w:rsid w:val="00AB4B8E"/>
    <w:rsid w:val="00AB67FE"/>
    <w:rsid w:val="00AC079D"/>
    <w:rsid w:val="00AC3167"/>
    <w:rsid w:val="00AC3D11"/>
    <w:rsid w:val="00AC4396"/>
    <w:rsid w:val="00AC4AA7"/>
    <w:rsid w:val="00AC5801"/>
    <w:rsid w:val="00AC64B0"/>
    <w:rsid w:val="00AC785D"/>
    <w:rsid w:val="00AD04B4"/>
    <w:rsid w:val="00AD20F5"/>
    <w:rsid w:val="00AD590E"/>
    <w:rsid w:val="00AD7098"/>
    <w:rsid w:val="00AD78F4"/>
    <w:rsid w:val="00AE0CD1"/>
    <w:rsid w:val="00AE178B"/>
    <w:rsid w:val="00AE1B1F"/>
    <w:rsid w:val="00AE4178"/>
    <w:rsid w:val="00AE5ADA"/>
    <w:rsid w:val="00AE5D19"/>
    <w:rsid w:val="00AE703B"/>
    <w:rsid w:val="00AF279A"/>
    <w:rsid w:val="00AF4D90"/>
    <w:rsid w:val="00AF64FA"/>
    <w:rsid w:val="00AF6CFE"/>
    <w:rsid w:val="00B007AF"/>
    <w:rsid w:val="00B01583"/>
    <w:rsid w:val="00B02065"/>
    <w:rsid w:val="00B03ACA"/>
    <w:rsid w:val="00B068C6"/>
    <w:rsid w:val="00B1041A"/>
    <w:rsid w:val="00B105CD"/>
    <w:rsid w:val="00B109EB"/>
    <w:rsid w:val="00B14816"/>
    <w:rsid w:val="00B14A95"/>
    <w:rsid w:val="00B15FA9"/>
    <w:rsid w:val="00B21C14"/>
    <w:rsid w:val="00B22BAD"/>
    <w:rsid w:val="00B22E71"/>
    <w:rsid w:val="00B22FBC"/>
    <w:rsid w:val="00B25259"/>
    <w:rsid w:val="00B26DD9"/>
    <w:rsid w:val="00B3056C"/>
    <w:rsid w:val="00B32CFB"/>
    <w:rsid w:val="00B331EB"/>
    <w:rsid w:val="00B35699"/>
    <w:rsid w:val="00B35EA6"/>
    <w:rsid w:val="00B37280"/>
    <w:rsid w:val="00B432E8"/>
    <w:rsid w:val="00B4392B"/>
    <w:rsid w:val="00B439AA"/>
    <w:rsid w:val="00B4680F"/>
    <w:rsid w:val="00B474D2"/>
    <w:rsid w:val="00B4758E"/>
    <w:rsid w:val="00B50DB9"/>
    <w:rsid w:val="00B524F6"/>
    <w:rsid w:val="00B52643"/>
    <w:rsid w:val="00B52F74"/>
    <w:rsid w:val="00B562D9"/>
    <w:rsid w:val="00B564EA"/>
    <w:rsid w:val="00B605E2"/>
    <w:rsid w:val="00B60B93"/>
    <w:rsid w:val="00B635C8"/>
    <w:rsid w:val="00B64169"/>
    <w:rsid w:val="00B658F9"/>
    <w:rsid w:val="00B71362"/>
    <w:rsid w:val="00B734CC"/>
    <w:rsid w:val="00B749B5"/>
    <w:rsid w:val="00B77C6E"/>
    <w:rsid w:val="00B80B42"/>
    <w:rsid w:val="00B8261F"/>
    <w:rsid w:val="00B831FF"/>
    <w:rsid w:val="00B85B32"/>
    <w:rsid w:val="00B907AB"/>
    <w:rsid w:val="00B914AF"/>
    <w:rsid w:val="00B91693"/>
    <w:rsid w:val="00B91FC6"/>
    <w:rsid w:val="00B93143"/>
    <w:rsid w:val="00B94DE1"/>
    <w:rsid w:val="00BA0262"/>
    <w:rsid w:val="00BA09DD"/>
    <w:rsid w:val="00BA3A7E"/>
    <w:rsid w:val="00BA48FC"/>
    <w:rsid w:val="00BA793C"/>
    <w:rsid w:val="00BA7986"/>
    <w:rsid w:val="00BB03D3"/>
    <w:rsid w:val="00BB3222"/>
    <w:rsid w:val="00BB39E6"/>
    <w:rsid w:val="00BB5E1F"/>
    <w:rsid w:val="00BC0E40"/>
    <w:rsid w:val="00BC18C9"/>
    <w:rsid w:val="00BC444A"/>
    <w:rsid w:val="00BC4480"/>
    <w:rsid w:val="00BC5B20"/>
    <w:rsid w:val="00BC5C02"/>
    <w:rsid w:val="00BC6934"/>
    <w:rsid w:val="00BC7EEC"/>
    <w:rsid w:val="00BD1FDC"/>
    <w:rsid w:val="00BD4000"/>
    <w:rsid w:val="00BD512A"/>
    <w:rsid w:val="00BD6569"/>
    <w:rsid w:val="00BE0D68"/>
    <w:rsid w:val="00BE182E"/>
    <w:rsid w:val="00BE7A69"/>
    <w:rsid w:val="00BE7F51"/>
    <w:rsid w:val="00BF432C"/>
    <w:rsid w:val="00BF43C9"/>
    <w:rsid w:val="00C03213"/>
    <w:rsid w:val="00C05E29"/>
    <w:rsid w:val="00C111BB"/>
    <w:rsid w:val="00C12334"/>
    <w:rsid w:val="00C12FA8"/>
    <w:rsid w:val="00C1381B"/>
    <w:rsid w:val="00C13BE6"/>
    <w:rsid w:val="00C13E1C"/>
    <w:rsid w:val="00C1555F"/>
    <w:rsid w:val="00C16020"/>
    <w:rsid w:val="00C170F2"/>
    <w:rsid w:val="00C177B1"/>
    <w:rsid w:val="00C20E3D"/>
    <w:rsid w:val="00C216D6"/>
    <w:rsid w:val="00C23C1F"/>
    <w:rsid w:val="00C3010C"/>
    <w:rsid w:val="00C31A24"/>
    <w:rsid w:val="00C32612"/>
    <w:rsid w:val="00C33105"/>
    <w:rsid w:val="00C33F7A"/>
    <w:rsid w:val="00C342FB"/>
    <w:rsid w:val="00C4037D"/>
    <w:rsid w:val="00C43EBE"/>
    <w:rsid w:val="00C44667"/>
    <w:rsid w:val="00C465D0"/>
    <w:rsid w:val="00C47C5D"/>
    <w:rsid w:val="00C50BBD"/>
    <w:rsid w:val="00C534DF"/>
    <w:rsid w:val="00C5561A"/>
    <w:rsid w:val="00C611A8"/>
    <w:rsid w:val="00C63A8F"/>
    <w:rsid w:val="00C6729E"/>
    <w:rsid w:val="00C67CAE"/>
    <w:rsid w:val="00C74B36"/>
    <w:rsid w:val="00C74E14"/>
    <w:rsid w:val="00C74E25"/>
    <w:rsid w:val="00C75292"/>
    <w:rsid w:val="00C764F1"/>
    <w:rsid w:val="00C80BF3"/>
    <w:rsid w:val="00C818FE"/>
    <w:rsid w:val="00C82029"/>
    <w:rsid w:val="00C823CB"/>
    <w:rsid w:val="00C93191"/>
    <w:rsid w:val="00C95123"/>
    <w:rsid w:val="00C9544F"/>
    <w:rsid w:val="00C95B2F"/>
    <w:rsid w:val="00C97881"/>
    <w:rsid w:val="00CA0F81"/>
    <w:rsid w:val="00CA19E5"/>
    <w:rsid w:val="00CA4042"/>
    <w:rsid w:val="00CA5B71"/>
    <w:rsid w:val="00CA7331"/>
    <w:rsid w:val="00CA7DBD"/>
    <w:rsid w:val="00CB1A5A"/>
    <w:rsid w:val="00CB1E9F"/>
    <w:rsid w:val="00CB3577"/>
    <w:rsid w:val="00CB55F8"/>
    <w:rsid w:val="00CB5CA0"/>
    <w:rsid w:val="00CB69AB"/>
    <w:rsid w:val="00CC052D"/>
    <w:rsid w:val="00CC0786"/>
    <w:rsid w:val="00CC4A74"/>
    <w:rsid w:val="00CC61E7"/>
    <w:rsid w:val="00CD0695"/>
    <w:rsid w:val="00CD44E8"/>
    <w:rsid w:val="00CD5811"/>
    <w:rsid w:val="00CD5911"/>
    <w:rsid w:val="00CD719B"/>
    <w:rsid w:val="00CE32AD"/>
    <w:rsid w:val="00CE3E50"/>
    <w:rsid w:val="00CF11F3"/>
    <w:rsid w:val="00CF1F52"/>
    <w:rsid w:val="00CF20EE"/>
    <w:rsid w:val="00CF2D68"/>
    <w:rsid w:val="00CF6B1E"/>
    <w:rsid w:val="00D016C4"/>
    <w:rsid w:val="00D01DBF"/>
    <w:rsid w:val="00D03868"/>
    <w:rsid w:val="00D051AA"/>
    <w:rsid w:val="00D05EA6"/>
    <w:rsid w:val="00D11F3C"/>
    <w:rsid w:val="00D14116"/>
    <w:rsid w:val="00D145D5"/>
    <w:rsid w:val="00D17425"/>
    <w:rsid w:val="00D17CA1"/>
    <w:rsid w:val="00D20525"/>
    <w:rsid w:val="00D22553"/>
    <w:rsid w:val="00D264A2"/>
    <w:rsid w:val="00D27F38"/>
    <w:rsid w:val="00D3017C"/>
    <w:rsid w:val="00D317BD"/>
    <w:rsid w:val="00D31D76"/>
    <w:rsid w:val="00D334B1"/>
    <w:rsid w:val="00D340C5"/>
    <w:rsid w:val="00D34D92"/>
    <w:rsid w:val="00D41103"/>
    <w:rsid w:val="00D43073"/>
    <w:rsid w:val="00D431A5"/>
    <w:rsid w:val="00D447B6"/>
    <w:rsid w:val="00D44FDB"/>
    <w:rsid w:val="00D4653A"/>
    <w:rsid w:val="00D5084A"/>
    <w:rsid w:val="00D50B03"/>
    <w:rsid w:val="00D543DA"/>
    <w:rsid w:val="00D548BA"/>
    <w:rsid w:val="00D55904"/>
    <w:rsid w:val="00D56BC0"/>
    <w:rsid w:val="00D56F4E"/>
    <w:rsid w:val="00D5744A"/>
    <w:rsid w:val="00D5796E"/>
    <w:rsid w:val="00D64812"/>
    <w:rsid w:val="00D66CF0"/>
    <w:rsid w:val="00D7158B"/>
    <w:rsid w:val="00D773AC"/>
    <w:rsid w:val="00D819FC"/>
    <w:rsid w:val="00D8405D"/>
    <w:rsid w:val="00D85AEC"/>
    <w:rsid w:val="00D85F3B"/>
    <w:rsid w:val="00D86003"/>
    <w:rsid w:val="00D87F48"/>
    <w:rsid w:val="00D90AAF"/>
    <w:rsid w:val="00D9296E"/>
    <w:rsid w:val="00D94151"/>
    <w:rsid w:val="00D9461E"/>
    <w:rsid w:val="00D9631B"/>
    <w:rsid w:val="00DA0D48"/>
    <w:rsid w:val="00DA12FD"/>
    <w:rsid w:val="00DA670B"/>
    <w:rsid w:val="00DB216C"/>
    <w:rsid w:val="00DB3503"/>
    <w:rsid w:val="00DB3C79"/>
    <w:rsid w:val="00DB53CA"/>
    <w:rsid w:val="00DB6A91"/>
    <w:rsid w:val="00DB7C83"/>
    <w:rsid w:val="00DC0A8C"/>
    <w:rsid w:val="00DC2642"/>
    <w:rsid w:val="00DC326E"/>
    <w:rsid w:val="00DC597B"/>
    <w:rsid w:val="00DC5C18"/>
    <w:rsid w:val="00DC5DC4"/>
    <w:rsid w:val="00DC71C5"/>
    <w:rsid w:val="00DD22EE"/>
    <w:rsid w:val="00DD5CEC"/>
    <w:rsid w:val="00DD6383"/>
    <w:rsid w:val="00DD79F0"/>
    <w:rsid w:val="00DE5A21"/>
    <w:rsid w:val="00DE6357"/>
    <w:rsid w:val="00DE757C"/>
    <w:rsid w:val="00DE7C88"/>
    <w:rsid w:val="00DF18DB"/>
    <w:rsid w:val="00DF2766"/>
    <w:rsid w:val="00DF5D54"/>
    <w:rsid w:val="00DF6209"/>
    <w:rsid w:val="00E00644"/>
    <w:rsid w:val="00E017C8"/>
    <w:rsid w:val="00E03BA8"/>
    <w:rsid w:val="00E03DAE"/>
    <w:rsid w:val="00E05201"/>
    <w:rsid w:val="00E0659C"/>
    <w:rsid w:val="00E066AE"/>
    <w:rsid w:val="00E11F50"/>
    <w:rsid w:val="00E15BED"/>
    <w:rsid w:val="00E17835"/>
    <w:rsid w:val="00E23628"/>
    <w:rsid w:val="00E250C7"/>
    <w:rsid w:val="00E25CF1"/>
    <w:rsid w:val="00E25E09"/>
    <w:rsid w:val="00E26E1E"/>
    <w:rsid w:val="00E270FB"/>
    <w:rsid w:val="00E319F1"/>
    <w:rsid w:val="00E328F3"/>
    <w:rsid w:val="00E36040"/>
    <w:rsid w:val="00E367C5"/>
    <w:rsid w:val="00E36AC2"/>
    <w:rsid w:val="00E404CF"/>
    <w:rsid w:val="00E47C47"/>
    <w:rsid w:val="00E47DFA"/>
    <w:rsid w:val="00E5186A"/>
    <w:rsid w:val="00E54512"/>
    <w:rsid w:val="00E642CB"/>
    <w:rsid w:val="00E64B1D"/>
    <w:rsid w:val="00E716BD"/>
    <w:rsid w:val="00E71AC9"/>
    <w:rsid w:val="00E729A0"/>
    <w:rsid w:val="00E73938"/>
    <w:rsid w:val="00E73A02"/>
    <w:rsid w:val="00E768C6"/>
    <w:rsid w:val="00E82620"/>
    <w:rsid w:val="00E83265"/>
    <w:rsid w:val="00E841F0"/>
    <w:rsid w:val="00E850A2"/>
    <w:rsid w:val="00E853AC"/>
    <w:rsid w:val="00E861FB"/>
    <w:rsid w:val="00E91AA3"/>
    <w:rsid w:val="00E93411"/>
    <w:rsid w:val="00E9618C"/>
    <w:rsid w:val="00E9655D"/>
    <w:rsid w:val="00EA0052"/>
    <w:rsid w:val="00EA4008"/>
    <w:rsid w:val="00EA6E10"/>
    <w:rsid w:val="00EA7305"/>
    <w:rsid w:val="00EB0150"/>
    <w:rsid w:val="00EB1342"/>
    <w:rsid w:val="00EB6245"/>
    <w:rsid w:val="00EB7C14"/>
    <w:rsid w:val="00EB7EE6"/>
    <w:rsid w:val="00EC53F8"/>
    <w:rsid w:val="00EC5BCE"/>
    <w:rsid w:val="00ED23D2"/>
    <w:rsid w:val="00ED5144"/>
    <w:rsid w:val="00EE238C"/>
    <w:rsid w:val="00EE43BB"/>
    <w:rsid w:val="00EE728B"/>
    <w:rsid w:val="00EE73A0"/>
    <w:rsid w:val="00EE7FC1"/>
    <w:rsid w:val="00EF154E"/>
    <w:rsid w:val="00EF17F3"/>
    <w:rsid w:val="00EF2618"/>
    <w:rsid w:val="00EF2D9D"/>
    <w:rsid w:val="00EF3558"/>
    <w:rsid w:val="00EF62DF"/>
    <w:rsid w:val="00F0026B"/>
    <w:rsid w:val="00F00782"/>
    <w:rsid w:val="00F01AF7"/>
    <w:rsid w:val="00F02ACF"/>
    <w:rsid w:val="00F02E6C"/>
    <w:rsid w:val="00F02ECF"/>
    <w:rsid w:val="00F03317"/>
    <w:rsid w:val="00F03BE8"/>
    <w:rsid w:val="00F04181"/>
    <w:rsid w:val="00F0563D"/>
    <w:rsid w:val="00F06CBF"/>
    <w:rsid w:val="00F100C8"/>
    <w:rsid w:val="00F108E0"/>
    <w:rsid w:val="00F11B14"/>
    <w:rsid w:val="00F14C93"/>
    <w:rsid w:val="00F14D22"/>
    <w:rsid w:val="00F16AF0"/>
    <w:rsid w:val="00F17011"/>
    <w:rsid w:val="00F17AD9"/>
    <w:rsid w:val="00F20752"/>
    <w:rsid w:val="00F25657"/>
    <w:rsid w:val="00F25CF0"/>
    <w:rsid w:val="00F31408"/>
    <w:rsid w:val="00F31F6E"/>
    <w:rsid w:val="00F323C7"/>
    <w:rsid w:val="00F3248E"/>
    <w:rsid w:val="00F3490D"/>
    <w:rsid w:val="00F35F99"/>
    <w:rsid w:val="00F362FF"/>
    <w:rsid w:val="00F37ACD"/>
    <w:rsid w:val="00F4085C"/>
    <w:rsid w:val="00F40D78"/>
    <w:rsid w:val="00F425AA"/>
    <w:rsid w:val="00F42800"/>
    <w:rsid w:val="00F4331F"/>
    <w:rsid w:val="00F43948"/>
    <w:rsid w:val="00F45CB8"/>
    <w:rsid w:val="00F46BF3"/>
    <w:rsid w:val="00F50949"/>
    <w:rsid w:val="00F537DF"/>
    <w:rsid w:val="00F55FBA"/>
    <w:rsid w:val="00F62DCE"/>
    <w:rsid w:val="00F63F0C"/>
    <w:rsid w:val="00F64C6F"/>
    <w:rsid w:val="00F707EB"/>
    <w:rsid w:val="00F71828"/>
    <w:rsid w:val="00F73C0E"/>
    <w:rsid w:val="00F74EB1"/>
    <w:rsid w:val="00F77222"/>
    <w:rsid w:val="00F81FCA"/>
    <w:rsid w:val="00F8208F"/>
    <w:rsid w:val="00F8366C"/>
    <w:rsid w:val="00F83A70"/>
    <w:rsid w:val="00F84521"/>
    <w:rsid w:val="00F84C1F"/>
    <w:rsid w:val="00F86E18"/>
    <w:rsid w:val="00F87439"/>
    <w:rsid w:val="00F87D12"/>
    <w:rsid w:val="00F90A93"/>
    <w:rsid w:val="00F91CFF"/>
    <w:rsid w:val="00F92588"/>
    <w:rsid w:val="00F93D2B"/>
    <w:rsid w:val="00F944E5"/>
    <w:rsid w:val="00F9453E"/>
    <w:rsid w:val="00F94684"/>
    <w:rsid w:val="00F964B1"/>
    <w:rsid w:val="00F96BB9"/>
    <w:rsid w:val="00FA0897"/>
    <w:rsid w:val="00FA2275"/>
    <w:rsid w:val="00FA30D0"/>
    <w:rsid w:val="00FA4912"/>
    <w:rsid w:val="00FA6935"/>
    <w:rsid w:val="00FA6CBD"/>
    <w:rsid w:val="00FA79A2"/>
    <w:rsid w:val="00FA7AD1"/>
    <w:rsid w:val="00FB0926"/>
    <w:rsid w:val="00FB2991"/>
    <w:rsid w:val="00FB569D"/>
    <w:rsid w:val="00FB6D32"/>
    <w:rsid w:val="00FB7156"/>
    <w:rsid w:val="00FC146A"/>
    <w:rsid w:val="00FC1F95"/>
    <w:rsid w:val="00FC3B56"/>
    <w:rsid w:val="00FC3D68"/>
    <w:rsid w:val="00FC51F2"/>
    <w:rsid w:val="00FC5826"/>
    <w:rsid w:val="00FC70E2"/>
    <w:rsid w:val="00FD6BB8"/>
    <w:rsid w:val="00FD6DBA"/>
    <w:rsid w:val="00FD77E0"/>
    <w:rsid w:val="00FD7DA4"/>
    <w:rsid w:val="00FE4E52"/>
    <w:rsid w:val="00FE7CCC"/>
    <w:rsid w:val="00FF1253"/>
    <w:rsid w:val="00FF360F"/>
    <w:rsid w:val="00FF3BE8"/>
    <w:rsid w:val="00FF560D"/>
    <w:rsid w:val="00FF5F5C"/>
    <w:rsid w:val="00FF63B6"/>
    <w:rsid w:val="00FF7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94235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C"/>
    <w:rPr>
      <w:sz w:val="22"/>
    </w:rPr>
  </w:style>
  <w:style w:type="paragraph" w:styleId="Heading10">
    <w:name w:val="heading 1"/>
    <w:aliases w:val="Heading 1 do not use,Section heading 1,Front Page Title,1.,Para 1,Para 11"/>
    <w:basedOn w:val="Normal"/>
    <w:next w:val="Normal"/>
    <w:link w:val="Heading1Char"/>
    <w:uiPriority w:val="9"/>
    <w:qFormat/>
    <w:rsid w:val="00F63F0C"/>
    <w:pPr>
      <w:keepNext/>
      <w:keepLines/>
      <w:spacing w:after="480"/>
      <w:outlineLvl w:val="0"/>
    </w:pPr>
    <w:rPr>
      <w:rFonts w:asciiTheme="majorHAnsi" w:eastAsiaTheme="majorEastAsia" w:hAnsiTheme="majorHAnsi" w:cstheme="majorBidi"/>
      <w:b/>
      <w:color w:val="D9D9D6" w:themeColor="accent1"/>
      <w:sz w:val="40"/>
      <w:szCs w:val="32"/>
    </w:rPr>
  </w:style>
  <w:style w:type="paragraph" w:styleId="Heading20">
    <w:name w:val="heading 2"/>
    <w:aliases w:val="Reset numbering,Reset numbering1,Heading 2 do not use,Front Page List of Sections"/>
    <w:basedOn w:val="Normal"/>
    <w:next w:val="Normal"/>
    <w:link w:val="Heading2Char"/>
    <w:uiPriority w:val="9"/>
    <w:unhideWhenUsed/>
    <w:qFormat/>
    <w:rsid w:val="0028532D"/>
    <w:pPr>
      <w:keepNext/>
      <w:keepLines/>
      <w:spacing w:before="40"/>
      <w:outlineLvl w:val="1"/>
    </w:pPr>
    <w:rPr>
      <w:rFonts w:asciiTheme="majorHAnsi" w:eastAsiaTheme="majorEastAsia" w:hAnsiTheme="majorHAnsi" w:cstheme="majorBidi"/>
      <w:color w:val="A5A59D" w:themeColor="accent1" w:themeShade="BF"/>
      <w:sz w:val="26"/>
      <w:szCs w:val="26"/>
    </w:rPr>
  </w:style>
  <w:style w:type="paragraph" w:styleId="Heading30">
    <w:name w:val="heading 3"/>
    <w:aliases w:val="DET Heading 3,Level 1 - 1,Heading 3 do not use"/>
    <w:basedOn w:val="Normal"/>
    <w:next w:val="Normal"/>
    <w:link w:val="Heading3Char"/>
    <w:uiPriority w:val="9"/>
    <w:unhideWhenUsed/>
    <w:qFormat/>
    <w:rsid w:val="007E6337"/>
    <w:pPr>
      <w:keepNext/>
      <w:keepLines/>
      <w:spacing w:before="40"/>
      <w:outlineLvl w:val="2"/>
    </w:pPr>
    <w:rPr>
      <w:rFonts w:asciiTheme="majorHAnsi" w:eastAsiaTheme="majorEastAsia" w:hAnsiTheme="majorHAnsi" w:cstheme="majorBidi"/>
      <w:color w:val="6F6F67" w:themeColor="accent1" w:themeShade="7F"/>
    </w:rPr>
  </w:style>
  <w:style w:type="paragraph" w:styleId="Heading4">
    <w:name w:val="heading 4"/>
    <w:basedOn w:val="Normal"/>
    <w:next w:val="Normal"/>
    <w:link w:val="Heading4Char"/>
    <w:uiPriority w:val="9"/>
    <w:unhideWhenUsed/>
    <w:qFormat/>
    <w:rsid w:val="0028532D"/>
    <w:pPr>
      <w:keepNext/>
      <w:keepLines/>
      <w:spacing w:before="40"/>
      <w:ind w:left="864" w:hanging="144"/>
      <w:outlineLvl w:val="3"/>
    </w:pPr>
    <w:rPr>
      <w:rFonts w:asciiTheme="majorHAnsi" w:eastAsiaTheme="majorEastAsia" w:hAnsiTheme="majorHAnsi" w:cstheme="majorBidi"/>
      <w:i/>
      <w:iCs/>
      <w:color w:val="A5A59D" w:themeColor="accent1" w:themeShade="BF"/>
    </w:rPr>
  </w:style>
  <w:style w:type="paragraph" w:styleId="Heading5">
    <w:name w:val="heading 5"/>
    <w:basedOn w:val="Normal"/>
    <w:next w:val="Normal"/>
    <w:link w:val="Heading5Char"/>
    <w:uiPriority w:val="9"/>
    <w:unhideWhenUsed/>
    <w:qFormat/>
    <w:rsid w:val="0028532D"/>
    <w:pPr>
      <w:keepNext/>
      <w:keepLines/>
      <w:spacing w:before="40"/>
      <w:ind w:left="1008" w:hanging="432"/>
      <w:outlineLvl w:val="4"/>
    </w:pPr>
    <w:rPr>
      <w:rFonts w:asciiTheme="majorHAnsi" w:eastAsiaTheme="majorEastAsia" w:hAnsiTheme="majorHAnsi" w:cstheme="majorBidi"/>
      <w:color w:val="A5A59D" w:themeColor="accent1" w:themeShade="BF"/>
    </w:rPr>
  </w:style>
  <w:style w:type="paragraph" w:styleId="Heading6">
    <w:name w:val="heading 6"/>
    <w:basedOn w:val="Normal"/>
    <w:next w:val="Normal"/>
    <w:link w:val="Heading6Char"/>
    <w:uiPriority w:val="9"/>
    <w:unhideWhenUsed/>
    <w:qFormat/>
    <w:rsid w:val="0028532D"/>
    <w:pPr>
      <w:keepNext/>
      <w:keepLines/>
      <w:spacing w:before="40"/>
      <w:ind w:left="1152" w:hanging="432"/>
      <w:outlineLvl w:val="5"/>
    </w:pPr>
    <w:rPr>
      <w:rFonts w:asciiTheme="majorHAnsi" w:eastAsiaTheme="majorEastAsia" w:hAnsiTheme="majorHAnsi" w:cstheme="majorBidi"/>
      <w:color w:val="6F6F67" w:themeColor="accent1" w:themeShade="7F"/>
    </w:rPr>
  </w:style>
  <w:style w:type="paragraph" w:styleId="Heading7">
    <w:name w:val="heading 7"/>
    <w:aliases w:val="Section Sub-Heading 4"/>
    <w:basedOn w:val="Normal"/>
    <w:next w:val="Normal"/>
    <w:link w:val="Heading7Char"/>
    <w:uiPriority w:val="9"/>
    <w:unhideWhenUsed/>
    <w:qFormat/>
    <w:rsid w:val="0028532D"/>
    <w:pPr>
      <w:keepNext/>
      <w:keepLines/>
      <w:spacing w:before="40"/>
      <w:ind w:left="1296" w:hanging="288"/>
      <w:outlineLvl w:val="6"/>
    </w:pPr>
    <w:rPr>
      <w:rFonts w:asciiTheme="majorHAnsi" w:eastAsiaTheme="majorEastAsia" w:hAnsiTheme="majorHAnsi" w:cstheme="majorBidi"/>
      <w:i/>
      <w:iCs/>
      <w:color w:val="6F6F67" w:themeColor="accent1" w:themeShade="7F"/>
    </w:rPr>
  </w:style>
  <w:style w:type="paragraph" w:styleId="Heading8">
    <w:name w:val="heading 8"/>
    <w:basedOn w:val="Normal"/>
    <w:next w:val="Normal"/>
    <w:link w:val="Heading8Char"/>
    <w:uiPriority w:val="9"/>
    <w:unhideWhenUsed/>
    <w:qFormat/>
    <w:rsid w:val="0028532D"/>
    <w:pPr>
      <w:keepNext/>
      <w:keepLines/>
      <w:spacing w:before="40"/>
      <w:ind w:left="1440" w:hanging="432"/>
      <w:outlineLvl w:val="7"/>
    </w:pPr>
    <w:rPr>
      <w:rFonts w:asciiTheme="majorHAnsi" w:eastAsiaTheme="majorEastAsia" w:hAnsiTheme="majorHAnsi" w:cstheme="majorBidi"/>
      <w:color w:val="B0353C" w:themeColor="text1" w:themeTint="D8"/>
      <w:sz w:val="21"/>
      <w:szCs w:val="21"/>
    </w:rPr>
  </w:style>
  <w:style w:type="paragraph" w:styleId="Heading9">
    <w:name w:val="heading 9"/>
    <w:basedOn w:val="Normal"/>
    <w:next w:val="Normal"/>
    <w:link w:val="Heading9Char"/>
    <w:uiPriority w:val="9"/>
    <w:unhideWhenUsed/>
    <w:qFormat/>
    <w:rsid w:val="0028532D"/>
    <w:pPr>
      <w:keepNext/>
      <w:keepLines/>
      <w:spacing w:before="40"/>
      <w:ind w:left="1584" w:hanging="144"/>
      <w:outlineLvl w:val="8"/>
    </w:pPr>
    <w:rPr>
      <w:rFonts w:asciiTheme="majorHAnsi" w:eastAsiaTheme="majorEastAsia" w:hAnsiTheme="majorHAnsi" w:cstheme="majorBidi"/>
      <w:i/>
      <w:iCs/>
      <w:color w:val="B035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o not use Char,Section heading 1 Char,Front Page Title Char,1. Char,Para 1 Char,Para 11 Char"/>
    <w:basedOn w:val="DefaultParagraphFont"/>
    <w:link w:val="Heading10"/>
    <w:uiPriority w:val="9"/>
    <w:rsid w:val="00F63F0C"/>
    <w:rPr>
      <w:rFonts w:asciiTheme="majorHAnsi" w:eastAsiaTheme="majorEastAsia" w:hAnsiTheme="majorHAnsi" w:cstheme="majorBidi"/>
      <w:b/>
      <w:color w:val="D9D9D6" w:themeColor="accent1"/>
      <w:sz w:val="40"/>
      <w:szCs w:val="32"/>
    </w:rPr>
  </w:style>
  <w:style w:type="paragraph" w:styleId="TOCHeading">
    <w:name w:val="TOC Heading"/>
    <w:basedOn w:val="ESHeading1"/>
    <w:next w:val="Normal"/>
    <w:uiPriority w:val="39"/>
    <w:unhideWhenUsed/>
    <w:qFormat/>
    <w:rsid w:val="00EE728B"/>
    <w:pPr>
      <w:spacing w:after="480" w:line="240" w:lineRule="auto"/>
      <w:outlineLvl w:val="9"/>
    </w:pPr>
  </w:style>
  <w:style w:type="paragraph" w:styleId="Header">
    <w:name w:val="header"/>
    <w:basedOn w:val="Normal"/>
    <w:link w:val="HeaderChar"/>
    <w:unhideWhenUsed/>
    <w:rsid w:val="004625D4"/>
    <w:pPr>
      <w:tabs>
        <w:tab w:val="center" w:pos="4513"/>
        <w:tab w:val="right" w:pos="9026"/>
      </w:tabs>
    </w:pPr>
  </w:style>
  <w:style w:type="character" w:customStyle="1" w:styleId="HeaderChar">
    <w:name w:val="Header Char"/>
    <w:basedOn w:val="DefaultParagraphFont"/>
    <w:link w:val="Header"/>
    <w:rsid w:val="004625D4"/>
  </w:style>
  <w:style w:type="paragraph" w:styleId="Footer">
    <w:name w:val="footer"/>
    <w:basedOn w:val="Normal"/>
    <w:link w:val="FooterChar"/>
    <w:uiPriority w:val="99"/>
    <w:unhideWhenUsed/>
    <w:rsid w:val="004625D4"/>
    <w:pPr>
      <w:tabs>
        <w:tab w:val="center" w:pos="4513"/>
        <w:tab w:val="right" w:pos="9026"/>
      </w:tabs>
    </w:pPr>
  </w:style>
  <w:style w:type="character" w:customStyle="1" w:styleId="FooterChar">
    <w:name w:val="Footer Char"/>
    <w:basedOn w:val="DefaultParagraphFont"/>
    <w:link w:val="Footer"/>
    <w:uiPriority w:val="99"/>
    <w:rsid w:val="004625D4"/>
  </w:style>
  <w:style w:type="paragraph" w:styleId="FootnoteText">
    <w:name w:val="footnote text"/>
    <w:basedOn w:val="Normal"/>
    <w:link w:val="FootnoteTextChar"/>
    <w:uiPriority w:val="99"/>
    <w:unhideWhenUsed/>
    <w:rsid w:val="003B3A5C"/>
    <w:pPr>
      <w:spacing w:after="40"/>
    </w:pPr>
    <w:rPr>
      <w:rFonts w:eastAsiaTheme="minorEastAsia" w:cs="Arial"/>
      <w:sz w:val="15"/>
      <w:szCs w:val="11"/>
      <w:lang w:val="en-US"/>
    </w:rPr>
  </w:style>
  <w:style w:type="character" w:customStyle="1" w:styleId="FootnoteTextChar">
    <w:name w:val="Footnote Text Char"/>
    <w:basedOn w:val="DefaultParagraphFont"/>
    <w:link w:val="FootnoteText"/>
    <w:uiPriority w:val="99"/>
    <w:rsid w:val="003B3A5C"/>
    <w:rPr>
      <w:rFonts w:eastAsiaTheme="minorEastAsia" w:cs="Arial"/>
      <w:sz w:val="15"/>
      <w:szCs w:val="11"/>
      <w:lang w:val="en-US"/>
    </w:rPr>
  </w:style>
  <w:style w:type="paragraph" w:customStyle="1" w:styleId="ESbullet1">
    <w:name w:val="ES_bullet 1"/>
    <w:basedOn w:val="Normal"/>
    <w:qFormat/>
    <w:rsid w:val="003B3A5C"/>
    <w:pPr>
      <w:numPr>
        <w:numId w:val="2"/>
      </w:numPr>
      <w:spacing w:after="180"/>
      <w:ind w:left="284" w:hanging="284"/>
    </w:pPr>
    <w:rPr>
      <w:rFonts w:ascii="Arial" w:eastAsiaTheme="minorEastAsia" w:hAnsi="Arial" w:cs="Arial"/>
      <w:szCs w:val="18"/>
      <w:lang w:val="en-US"/>
    </w:rPr>
  </w:style>
  <w:style w:type="paragraph" w:customStyle="1" w:styleId="ESHeading1">
    <w:name w:val="ES_Heading 1"/>
    <w:basedOn w:val="Title"/>
    <w:link w:val="ESHeading1Char"/>
    <w:qFormat/>
    <w:rsid w:val="00717490"/>
    <w:pPr>
      <w:pageBreakBefore/>
      <w:spacing w:after="180" w:line="450" w:lineRule="atLeast"/>
      <w:contextualSpacing w:val="0"/>
      <w:outlineLvl w:val="0"/>
    </w:pPr>
    <w:rPr>
      <w:rFonts w:ascii="Arial" w:hAnsi="Arial"/>
      <w:b/>
      <w:color w:val="AF272F" w:themeColor="accent4"/>
      <w:spacing w:val="5"/>
      <w:sz w:val="44"/>
      <w:szCs w:val="52"/>
      <w:lang w:val="en-US"/>
    </w:rPr>
  </w:style>
  <w:style w:type="paragraph" w:customStyle="1" w:styleId="ESHeading2">
    <w:name w:val="ES_Heading 2"/>
    <w:basedOn w:val="ESHeading1"/>
    <w:link w:val="ESHeading2Char"/>
    <w:qFormat/>
    <w:rsid w:val="00717490"/>
    <w:pPr>
      <w:pageBreakBefore w:val="0"/>
      <w:spacing w:before="240" w:line="240" w:lineRule="atLeast"/>
    </w:pPr>
    <w:rPr>
      <w:b w:val="0"/>
      <w:bCs/>
      <w:color w:val="8A2A2F" w:themeColor="text1"/>
      <w:sz w:val="28"/>
      <w:szCs w:val="20"/>
    </w:rPr>
  </w:style>
  <w:style w:type="paragraph" w:customStyle="1" w:styleId="ESHeading3">
    <w:name w:val="ES_Heading 3"/>
    <w:basedOn w:val="Heading30"/>
    <w:link w:val="ESHeading3Char"/>
    <w:qFormat/>
    <w:rsid w:val="003B3A5C"/>
    <w:pPr>
      <w:keepNext w:val="0"/>
      <w:keepLines w:val="0"/>
      <w:spacing w:before="240" w:after="120" w:line="240" w:lineRule="atLeast"/>
    </w:pPr>
    <w:rPr>
      <w:rFonts w:ascii="Arial" w:eastAsiaTheme="minorEastAsia" w:hAnsi="Arial" w:cs="Arial"/>
      <w:b/>
      <w:color w:val="53565A" w:themeColor="accent5"/>
      <w:szCs w:val="18"/>
      <w:lang w:val="en-US"/>
    </w:rPr>
  </w:style>
  <w:style w:type="paragraph" w:customStyle="1" w:styleId="ESTablenumberrightaligned">
    <w:name w:val="ES_Table number right aligned"/>
    <w:basedOn w:val="ESTablebody"/>
    <w:link w:val="ESTablenumberrightalignedChar"/>
    <w:qFormat/>
    <w:rsid w:val="006C0888"/>
    <w:pPr>
      <w:jc w:val="right"/>
    </w:pPr>
  </w:style>
  <w:style w:type="paragraph" w:styleId="Title">
    <w:name w:val="Title"/>
    <w:basedOn w:val="Normal"/>
    <w:next w:val="Normal"/>
    <w:link w:val="TitleChar"/>
    <w:uiPriority w:val="10"/>
    <w:qFormat/>
    <w:rsid w:val="007E63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337"/>
    <w:rPr>
      <w:rFonts w:asciiTheme="majorHAnsi" w:eastAsiaTheme="majorEastAsia" w:hAnsiTheme="majorHAnsi" w:cstheme="majorBidi"/>
      <w:spacing w:val="-10"/>
      <w:kern w:val="28"/>
      <w:sz w:val="56"/>
      <w:szCs w:val="56"/>
    </w:rPr>
  </w:style>
  <w:style w:type="character" w:customStyle="1" w:styleId="Heading3Char">
    <w:name w:val="Heading 3 Char"/>
    <w:aliases w:val="DET Heading 3 Char,Level 1 - 1 Char,Heading 3 do not use Char"/>
    <w:basedOn w:val="DefaultParagraphFont"/>
    <w:link w:val="Heading30"/>
    <w:uiPriority w:val="9"/>
    <w:rsid w:val="007E6337"/>
    <w:rPr>
      <w:rFonts w:asciiTheme="majorHAnsi" w:eastAsiaTheme="majorEastAsia" w:hAnsiTheme="majorHAnsi" w:cstheme="majorBidi"/>
      <w:color w:val="6F6F67" w:themeColor="accent1" w:themeShade="7F"/>
    </w:rPr>
  </w:style>
  <w:style w:type="paragraph" w:customStyle="1" w:styleId="ESbullet2">
    <w:name w:val="ES_bullet 2"/>
    <w:basedOn w:val="ESbullet1"/>
    <w:qFormat/>
    <w:rsid w:val="00724727"/>
    <w:pPr>
      <w:numPr>
        <w:numId w:val="16"/>
      </w:numPr>
    </w:pPr>
  </w:style>
  <w:style w:type="table" w:styleId="TableGrid">
    <w:name w:val="Table Grid"/>
    <w:basedOn w:val="TableNormal"/>
    <w:uiPriority w:val="39"/>
    <w:rsid w:val="0072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ableheadingwhite">
    <w:name w:val="ES_Table heading white"/>
    <w:basedOn w:val="Normal"/>
    <w:link w:val="ESTableheadingwhiteChar"/>
    <w:qFormat/>
    <w:rsid w:val="003B3A5C"/>
    <w:pPr>
      <w:spacing w:before="80" w:after="80"/>
    </w:pPr>
    <w:rPr>
      <w:rFonts w:ascii="Arial" w:eastAsiaTheme="minorEastAsia" w:hAnsi="Arial" w:cs="Arial"/>
      <w:b/>
      <w:color w:val="FFFFFF" w:themeColor="background1"/>
      <w:sz w:val="19"/>
      <w:szCs w:val="18"/>
      <w:lang w:val="en-US"/>
    </w:rPr>
  </w:style>
  <w:style w:type="paragraph" w:customStyle="1" w:styleId="ESTableheading">
    <w:name w:val="ES_Table heading"/>
    <w:basedOn w:val="ESTableheadingwhite"/>
    <w:link w:val="ESTableheadingChar"/>
    <w:qFormat/>
    <w:rsid w:val="003B3A5C"/>
    <w:pPr>
      <w:spacing w:before="120" w:after="120"/>
    </w:pPr>
    <w:rPr>
      <w:sz w:val="20"/>
    </w:rPr>
  </w:style>
  <w:style w:type="paragraph" w:styleId="TOC3">
    <w:name w:val="toc 3"/>
    <w:basedOn w:val="Normal"/>
    <w:next w:val="Normal"/>
    <w:autoRedefine/>
    <w:uiPriority w:val="39"/>
    <w:unhideWhenUsed/>
    <w:rsid w:val="008A3484"/>
    <w:pPr>
      <w:spacing w:after="100"/>
      <w:ind w:left="480"/>
    </w:pPr>
  </w:style>
  <w:style w:type="paragraph" w:styleId="TOC1">
    <w:name w:val="toc 1"/>
    <w:basedOn w:val="Normal"/>
    <w:next w:val="Normal"/>
    <w:autoRedefine/>
    <w:uiPriority w:val="39"/>
    <w:unhideWhenUsed/>
    <w:rsid w:val="00FC51F2"/>
    <w:pPr>
      <w:tabs>
        <w:tab w:val="right" w:leader="dot" w:pos="7938"/>
      </w:tabs>
      <w:spacing w:after="100"/>
    </w:pPr>
    <w:rPr>
      <w:b/>
    </w:rPr>
  </w:style>
  <w:style w:type="paragraph" w:styleId="TOC2">
    <w:name w:val="toc 2"/>
    <w:basedOn w:val="Normal"/>
    <w:next w:val="Normal"/>
    <w:autoRedefine/>
    <w:uiPriority w:val="39"/>
    <w:unhideWhenUsed/>
    <w:rsid w:val="008A3484"/>
    <w:pPr>
      <w:spacing w:after="100"/>
      <w:ind w:left="240"/>
    </w:pPr>
  </w:style>
  <w:style w:type="paragraph" w:customStyle="1" w:styleId="Imprintbullet">
    <w:name w:val="Imprint bullet"/>
    <w:basedOn w:val="Normal"/>
    <w:uiPriority w:val="99"/>
    <w:qFormat/>
    <w:rsid w:val="00890A8F"/>
    <w:pPr>
      <w:numPr>
        <w:numId w:val="17"/>
      </w:numPr>
      <w:tabs>
        <w:tab w:val="left" w:pos="170"/>
      </w:tabs>
      <w:spacing w:after="90" w:line="220" w:lineRule="atLeast"/>
    </w:pPr>
    <w:rPr>
      <w:rFonts w:ascii="Arial" w:eastAsia="Times New Roman" w:hAnsi="Arial" w:cs="Times New Roman"/>
      <w:sz w:val="16"/>
      <w:szCs w:val="20"/>
      <w:lang w:val="en-AU"/>
    </w:rPr>
  </w:style>
  <w:style w:type="paragraph" w:customStyle="1" w:styleId="Imprintinformation">
    <w:name w:val="Imprint information"/>
    <w:basedOn w:val="Normal"/>
    <w:uiPriority w:val="99"/>
    <w:rsid w:val="00890A8F"/>
    <w:pPr>
      <w:spacing w:after="90" w:line="220" w:lineRule="atLeast"/>
    </w:pPr>
    <w:rPr>
      <w:rFonts w:ascii="Arial" w:eastAsia="Times New Roman" w:hAnsi="Arial" w:cs="Times New Roman"/>
      <w:sz w:val="16"/>
      <w:lang w:val="en-AU"/>
    </w:rPr>
  </w:style>
  <w:style w:type="paragraph" w:customStyle="1" w:styleId="ESHeading4">
    <w:name w:val="ES_Heading 4"/>
    <w:basedOn w:val="ESHeading3"/>
    <w:link w:val="ESHeading4Char"/>
    <w:qFormat/>
    <w:rsid w:val="003B3A5C"/>
    <w:rPr>
      <w:b w:val="0"/>
    </w:rPr>
  </w:style>
  <w:style w:type="paragraph" w:customStyle="1" w:styleId="ESTableintroheading">
    <w:name w:val="ES_Table intro heading"/>
    <w:basedOn w:val="ESTableheading"/>
    <w:link w:val="ESTableintroheadingChar"/>
    <w:qFormat/>
    <w:rsid w:val="00E03DAE"/>
    <w:pPr>
      <w:keepNext/>
    </w:pPr>
    <w:rPr>
      <w:color w:val="AF272F" w:themeColor="accent4"/>
    </w:rPr>
  </w:style>
  <w:style w:type="paragraph" w:customStyle="1" w:styleId="ESTablebody">
    <w:name w:val="ES_Table body"/>
    <w:basedOn w:val="Normal"/>
    <w:link w:val="ESTablebodyChar"/>
    <w:qFormat/>
    <w:rsid w:val="003B3A5C"/>
    <w:pPr>
      <w:spacing w:before="120" w:after="120"/>
    </w:pPr>
    <w:rPr>
      <w:rFonts w:ascii="Arial" w:eastAsiaTheme="minorEastAsia" w:hAnsi="Arial" w:cs="Arial"/>
      <w:sz w:val="20"/>
      <w:szCs w:val="18"/>
      <w:lang w:val="en-US"/>
    </w:rPr>
  </w:style>
  <w:style w:type="paragraph" w:customStyle="1" w:styleId="ESTablebullet1">
    <w:name w:val="ES_Table bullet 1"/>
    <w:basedOn w:val="ESTablebody"/>
    <w:qFormat/>
    <w:rsid w:val="00AD20F5"/>
    <w:pPr>
      <w:numPr>
        <w:numId w:val="3"/>
      </w:numPr>
    </w:pPr>
  </w:style>
  <w:style w:type="paragraph" w:customStyle="1" w:styleId="ESFooter">
    <w:name w:val="ES_Footer"/>
    <w:basedOn w:val="Normal"/>
    <w:qFormat/>
    <w:rsid w:val="00C97881"/>
    <w:pPr>
      <w:jc w:val="right"/>
    </w:pPr>
    <w:rPr>
      <w:noProof/>
      <w:color w:val="000000" w:themeColor="text2"/>
      <w:sz w:val="15"/>
      <w:szCs w:val="15"/>
      <w:lang w:eastAsia="en-GB"/>
    </w:rPr>
  </w:style>
  <w:style w:type="character" w:styleId="FootnoteReference">
    <w:name w:val="footnote reference"/>
    <w:aliases w:val="DET Footnote Reference"/>
    <w:basedOn w:val="DefaultParagraphFont"/>
    <w:uiPriority w:val="99"/>
    <w:unhideWhenUsed/>
    <w:rsid w:val="003A3128"/>
    <w:rPr>
      <w:vertAlign w:val="superscript"/>
    </w:rPr>
  </w:style>
  <w:style w:type="paragraph" w:customStyle="1" w:styleId="ESQuotetext">
    <w:name w:val="ES_Quote text"/>
    <w:basedOn w:val="Normal"/>
    <w:qFormat/>
    <w:rsid w:val="003B3A5C"/>
    <w:pPr>
      <w:spacing w:after="120" w:line="240" w:lineRule="atLeast"/>
    </w:pPr>
    <w:rPr>
      <w:rFonts w:ascii="Arial" w:eastAsiaTheme="minorEastAsia" w:hAnsi="Arial" w:cs="Arial"/>
      <w:i/>
      <w:color w:val="53565A" w:themeColor="accent5"/>
      <w:szCs w:val="18"/>
      <w:lang w:val="en-US"/>
    </w:rPr>
  </w:style>
  <w:style w:type="paragraph" w:customStyle="1" w:styleId="ESAppendix1">
    <w:name w:val="ES_Appendix 1"/>
    <w:basedOn w:val="ESHeading1"/>
    <w:qFormat/>
    <w:rsid w:val="00717490"/>
    <w:pPr>
      <w:numPr>
        <w:numId w:val="4"/>
      </w:numPr>
      <w:ind w:left="3402" w:hanging="3402"/>
    </w:pPr>
  </w:style>
  <w:style w:type="paragraph" w:customStyle="1" w:styleId="ESTableheadingred">
    <w:name w:val="ES_Table heading red"/>
    <w:basedOn w:val="ESTableheadingwhite"/>
    <w:qFormat/>
    <w:rsid w:val="006C0888"/>
    <w:rPr>
      <w:color w:val="8A2A2F" w:themeColor="text1"/>
    </w:rPr>
  </w:style>
  <w:style w:type="paragraph" w:styleId="BalloonText">
    <w:name w:val="Balloon Text"/>
    <w:basedOn w:val="Normal"/>
    <w:link w:val="BalloonTextChar"/>
    <w:uiPriority w:val="99"/>
    <w:semiHidden/>
    <w:unhideWhenUsed/>
    <w:rsid w:val="003F3C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3CFA"/>
    <w:rPr>
      <w:rFonts w:ascii="Times New Roman" w:hAnsi="Times New Roman" w:cs="Times New Roman"/>
      <w:sz w:val="18"/>
      <w:szCs w:val="18"/>
    </w:rPr>
  </w:style>
  <w:style w:type="paragraph" w:customStyle="1" w:styleId="Tabletext">
    <w:name w:val="Table text"/>
    <w:basedOn w:val="TableofFigures"/>
    <w:link w:val="TabletextChar"/>
    <w:uiPriority w:val="9"/>
    <w:qFormat/>
    <w:rsid w:val="00DE757C"/>
    <w:pPr>
      <w:spacing w:before="20" w:after="20" w:line="240" w:lineRule="auto"/>
      <w:ind w:left="170" w:hanging="170"/>
    </w:pPr>
    <w:rPr>
      <w:rFonts w:eastAsia="Tahoma" w:cs="Arial"/>
      <w:noProof/>
      <w:spacing w:val="2"/>
      <w:sz w:val="16"/>
      <w:szCs w:val="18"/>
      <w:lang w:eastAsia="en-AU"/>
    </w:rPr>
  </w:style>
  <w:style w:type="character" w:customStyle="1" w:styleId="TabletextChar">
    <w:name w:val="Table text Char"/>
    <w:link w:val="Tabletext"/>
    <w:uiPriority w:val="9"/>
    <w:rsid w:val="00DE757C"/>
    <w:rPr>
      <w:rFonts w:eastAsia="Tahoma" w:cs="Arial"/>
      <w:noProof/>
      <w:spacing w:val="2"/>
      <w:sz w:val="16"/>
      <w:szCs w:val="18"/>
      <w:lang w:val="en-AU" w:eastAsia="en-AU"/>
    </w:rPr>
  </w:style>
  <w:style w:type="paragraph" w:styleId="TableofFigures">
    <w:name w:val="table of figures"/>
    <w:basedOn w:val="Normal"/>
    <w:next w:val="Normal"/>
    <w:link w:val="TableofFiguresChar"/>
    <w:unhideWhenUsed/>
    <w:qFormat/>
    <w:rsid w:val="00DE757C"/>
    <w:pPr>
      <w:spacing w:line="259" w:lineRule="auto"/>
    </w:pPr>
    <w:rPr>
      <w:szCs w:val="22"/>
      <w:lang w:val="en-AU"/>
    </w:rPr>
  </w:style>
  <w:style w:type="table" w:customStyle="1" w:styleId="DTFFinancialTable">
    <w:name w:val="DTF Financial Table"/>
    <w:basedOn w:val="TableNormal"/>
    <w:uiPriority w:val="99"/>
    <w:rsid w:val="00DE757C"/>
    <w:pPr>
      <w:spacing w:before="20" w:after="20"/>
    </w:pPr>
    <w:rPr>
      <w:rFonts w:ascii="Arial" w:hAnsi="Arial"/>
      <w:spacing w:val="2"/>
      <w:sz w:val="16"/>
      <w:szCs w:val="20"/>
      <w:lang w:val="en-AU"/>
    </w:rPr>
    <w:tblPr>
      <w:tblStyleRowBandSize w:val="1"/>
      <w:tblStyleColBandSize w:val="1"/>
      <w:tblInd w:w="28" w:type="dxa"/>
      <w:tblBorders>
        <w:bottom w:val="single" w:sz="12" w:space="0" w:color="auto"/>
      </w:tblBorders>
      <w:tblCellMar>
        <w:left w:w="57" w:type="dxa"/>
        <w:right w:w="57" w:type="dxa"/>
      </w:tblCellMar>
    </w:tblPr>
    <w:trPr>
      <w:cantSplit/>
    </w:trPr>
    <w:tblStylePr w:type="firstRow">
      <w:pPr>
        <w:wordWrap/>
        <w:spacing w:beforeLines="0" w:before="60" w:beforeAutospacing="0" w:afterLines="0" w:after="60" w:afterAutospacing="0" w:line="240" w:lineRule="auto"/>
      </w:pPr>
      <w:rPr>
        <w:b w:val="0"/>
        <w:i w:val="0"/>
        <w:color w:val="FFFFFF" w:themeColor="background1"/>
        <w:sz w:val="16"/>
      </w:rPr>
      <w:tblPr/>
      <w:trPr>
        <w:cantSplit w:val="0"/>
      </w:trPr>
      <w:tcPr>
        <w:shd w:val="clear" w:color="auto" w:fill="000000"/>
        <w:vAlign w:val="bottom"/>
      </w:tcPr>
    </w:tblStylePr>
    <w:tblStylePr w:type="lastRow">
      <w:rPr>
        <w:b w:val="0"/>
      </w:rPr>
      <w:tblPr/>
      <w:tcPr>
        <w:tcBorders>
          <w:top w:val="single" w:sz="6" w:space="0" w:color="000000"/>
          <w:left w:val="nil"/>
          <w:bottom w:val="single" w:sz="12" w:space="0" w:color="000000"/>
          <w:right w:val="nil"/>
          <w:insideH w:val="nil"/>
          <w:insideV w:val="nil"/>
          <w:tl2br w:val="nil"/>
          <w:tr2bl w:val="nil"/>
        </w:tcBorders>
      </w:tcPr>
    </w:tblStylePr>
    <w:tblStylePr w:type="firstCol">
      <w:pPr>
        <w:wordWrap/>
        <w:spacing w:line="240" w:lineRule="auto"/>
        <w:ind w:leftChars="0" w:left="170" w:rightChars="0" w:right="0" w:firstLineChars="0" w:hanging="170"/>
        <w:jc w:val="left"/>
      </w:pPr>
    </w:tblStylePr>
    <w:tblStylePr w:type="lastCol">
      <w:rPr>
        <w:b/>
      </w:rPr>
      <w:tblPr/>
      <w:tcPr>
        <w:shd w:val="clear" w:color="auto" w:fill="F2F2F2"/>
      </w:tcPr>
    </w:tblStylePr>
    <w:tblStylePr w:type="band1Vert">
      <w:tblPr/>
      <w:tcPr>
        <w:shd w:val="clear" w:color="auto" w:fill="EBEBEB"/>
      </w:tcPr>
    </w:tblStylePr>
    <w:tblStylePr w:type="band1Horz">
      <w:tblPr/>
      <w:tcPr>
        <w:shd w:val="clear" w:color="auto" w:fill="EBEBEB"/>
      </w:tcPr>
    </w:tblStylePr>
    <w:tblStylePr w:type="band2Horz">
      <w:tblPr/>
      <w:tcPr>
        <w:shd w:val="clear" w:color="auto" w:fill="FFFFFF"/>
      </w:tcPr>
    </w:tblStylePr>
  </w:style>
  <w:style w:type="paragraph" w:customStyle="1" w:styleId="Tabletextbold">
    <w:name w:val="Table text bold"/>
    <w:qFormat/>
    <w:rsid w:val="00DE757C"/>
    <w:pPr>
      <w:spacing w:before="120" w:after="20" w:line="276" w:lineRule="auto"/>
    </w:pPr>
    <w:rPr>
      <w:rFonts w:ascii="Arial" w:hAnsi="Arial"/>
      <w:b/>
      <w:spacing w:val="6"/>
      <w:sz w:val="16"/>
      <w:szCs w:val="16"/>
      <w:lang w:val="en-AU"/>
    </w:rPr>
  </w:style>
  <w:style w:type="character" w:customStyle="1" w:styleId="TableofFiguresChar">
    <w:name w:val="Table of Figures Char"/>
    <w:link w:val="TableofFigures"/>
    <w:rsid w:val="00DE757C"/>
    <w:rPr>
      <w:sz w:val="22"/>
      <w:szCs w:val="22"/>
      <w:lang w:val="en-AU"/>
    </w:rPr>
  </w:style>
  <w:style w:type="paragraph" w:customStyle="1" w:styleId="Tabletextheading">
    <w:name w:val="Table text heading"/>
    <w:basedOn w:val="TableofFigures"/>
    <w:link w:val="TabletextheadingChar"/>
    <w:qFormat/>
    <w:rsid w:val="00DE757C"/>
    <w:pPr>
      <w:spacing w:before="20" w:after="20" w:line="240" w:lineRule="auto"/>
      <w:jc w:val="right"/>
    </w:pPr>
    <w:rPr>
      <w:rFonts w:eastAsia="Tahoma" w:cs="Arial"/>
      <w:i/>
      <w:iCs/>
      <w:noProof/>
      <w:spacing w:val="2"/>
      <w:sz w:val="16"/>
      <w:szCs w:val="18"/>
      <w:lang w:eastAsia="en-AU"/>
    </w:rPr>
  </w:style>
  <w:style w:type="character" w:customStyle="1" w:styleId="TabletextheadingChar">
    <w:name w:val="Table text heading Char"/>
    <w:link w:val="Tabletextheading"/>
    <w:rsid w:val="00DE757C"/>
    <w:rPr>
      <w:rFonts w:eastAsia="Tahoma" w:cs="Arial"/>
      <w:i/>
      <w:iCs/>
      <w:noProof/>
      <w:spacing w:val="2"/>
      <w:sz w:val="16"/>
      <w:szCs w:val="18"/>
      <w:lang w:val="en-AU" w:eastAsia="en-AU"/>
    </w:rPr>
  </w:style>
  <w:style w:type="paragraph" w:customStyle="1" w:styleId="TabletextheadingCentred">
    <w:name w:val="Table text heading Centred"/>
    <w:basedOn w:val="Tabletextheading"/>
    <w:link w:val="TabletextheadingCentredChar"/>
    <w:rsid w:val="00DE757C"/>
    <w:pPr>
      <w:jc w:val="center"/>
    </w:pPr>
    <w:rPr>
      <w:noProof w:val="0"/>
      <w:szCs w:val="20"/>
    </w:rPr>
  </w:style>
  <w:style w:type="character" w:customStyle="1" w:styleId="TabletextheadingCentredChar">
    <w:name w:val="Table text heading Centred Char"/>
    <w:link w:val="TabletextheadingCentred"/>
    <w:locked/>
    <w:rsid w:val="00DE757C"/>
    <w:rPr>
      <w:rFonts w:eastAsia="Tahoma" w:cs="Arial"/>
      <w:i/>
      <w:iCs/>
      <w:spacing w:val="2"/>
      <w:sz w:val="16"/>
      <w:szCs w:val="20"/>
      <w:lang w:val="en-AU" w:eastAsia="en-AU"/>
    </w:rPr>
  </w:style>
  <w:style w:type="paragraph" w:customStyle="1" w:styleId="ESBodyText">
    <w:name w:val="ES_Body Text"/>
    <w:basedOn w:val="Normal"/>
    <w:link w:val="ESBodyTextChar"/>
    <w:qFormat/>
    <w:rsid w:val="00F02ACF"/>
    <w:pPr>
      <w:spacing w:after="120" w:line="240" w:lineRule="atLeast"/>
    </w:pPr>
    <w:rPr>
      <w:rFonts w:ascii="Arial" w:eastAsiaTheme="minorEastAsia" w:hAnsi="Arial" w:cs="Arial"/>
      <w:sz w:val="19"/>
      <w:szCs w:val="18"/>
      <w:lang w:val="en-US"/>
    </w:rPr>
  </w:style>
  <w:style w:type="character" w:styleId="Hyperlink">
    <w:name w:val="Hyperlink"/>
    <w:basedOn w:val="DefaultParagraphFont"/>
    <w:uiPriority w:val="99"/>
    <w:unhideWhenUsed/>
    <w:rsid w:val="00F02ACF"/>
    <w:rPr>
      <w:color w:val="AF272F" w:themeColor="hyperlink"/>
      <w:u w:val="single"/>
    </w:rPr>
  </w:style>
  <w:style w:type="paragraph" w:customStyle="1" w:styleId="Heading2notes">
    <w:name w:val="Heading 2 notes"/>
    <w:basedOn w:val="Normal"/>
    <w:link w:val="Heading2notesChar"/>
    <w:qFormat/>
    <w:rsid w:val="00F02ACF"/>
    <w:pPr>
      <w:keepNext/>
      <w:numPr>
        <w:ilvl w:val="1"/>
        <w:numId w:val="5"/>
      </w:numPr>
      <w:tabs>
        <w:tab w:val="left" w:pos="1134"/>
      </w:tabs>
      <w:spacing w:before="430" w:after="90" w:line="360" w:lineRule="atLeast"/>
      <w:outlineLvl w:val="1"/>
    </w:pPr>
    <w:rPr>
      <w:rFonts w:ascii="Arial" w:eastAsia="Times New Roman" w:hAnsi="Arial" w:cs="Arial"/>
      <w:bCs/>
      <w:iCs/>
      <w:color w:val="8A2A2F" w:themeColor="text1"/>
      <w:sz w:val="28"/>
      <w:szCs w:val="28"/>
      <w:lang w:val="en-AU"/>
    </w:rPr>
  </w:style>
  <w:style w:type="paragraph" w:customStyle="1" w:styleId="ESbullet1indent">
    <w:name w:val="ES_bullet 1 + indent"/>
    <w:basedOn w:val="ESbullet1"/>
    <w:qFormat/>
    <w:rsid w:val="00F02ACF"/>
    <w:pPr>
      <w:numPr>
        <w:numId w:val="1"/>
      </w:numPr>
      <w:spacing w:after="120"/>
      <w:ind w:left="714" w:hanging="357"/>
    </w:pPr>
    <w:rPr>
      <w:sz w:val="19"/>
    </w:rPr>
  </w:style>
  <w:style w:type="paragraph" w:styleId="ListParagraph">
    <w:name w:val="List Paragraph"/>
    <w:aliases w:val="Bullet Point,List Paragraph IEPCP 11pt,List Paragraph1,List Paragraph11,Dot Points,L,Recommendation,List Paragraph Number,Bullet point,Content descriptions,NFP GP Bulleted List,FooterText,numbered,Paragraphe de liste1"/>
    <w:basedOn w:val="Normal"/>
    <w:link w:val="ListParagraphChar"/>
    <w:uiPriority w:val="34"/>
    <w:qFormat/>
    <w:rsid w:val="00087776"/>
    <w:pPr>
      <w:ind w:left="720"/>
      <w:contextualSpacing/>
    </w:pPr>
  </w:style>
  <w:style w:type="character" w:styleId="CommentReference">
    <w:name w:val="annotation reference"/>
    <w:basedOn w:val="DefaultParagraphFont"/>
    <w:uiPriority w:val="99"/>
    <w:unhideWhenUsed/>
    <w:rsid w:val="00C12FA8"/>
    <w:rPr>
      <w:sz w:val="16"/>
      <w:szCs w:val="16"/>
    </w:rPr>
  </w:style>
  <w:style w:type="paragraph" w:styleId="CommentText">
    <w:name w:val="annotation text"/>
    <w:basedOn w:val="Normal"/>
    <w:link w:val="CommentTextChar"/>
    <w:uiPriority w:val="99"/>
    <w:unhideWhenUsed/>
    <w:rsid w:val="00C12FA8"/>
    <w:rPr>
      <w:sz w:val="20"/>
      <w:szCs w:val="20"/>
    </w:rPr>
  </w:style>
  <w:style w:type="character" w:customStyle="1" w:styleId="CommentTextChar">
    <w:name w:val="Comment Text Char"/>
    <w:basedOn w:val="DefaultParagraphFont"/>
    <w:link w:val="CommentText"/>
    <w:uiPriority w:val="99"/>
    <w:rsid w:val="00C12FA8"/>
    <w:rPr>
      <w:sz w:val="20"/>
      <w:szCs w:val="20"/>
    </w:rPr>
  </w:style>
  <w:style w:type="paragraph" w:customStyle="1" w:styleId="Bullet1">
    <w:name w:val="Bullet 1"/>
    <w:uiPriority w:val="11"/>
    <w:qFormat/>
    <w:rsid w:val="00C12FA8"/>
    <w:pPr>
      <w:numPr>
        <w:numId w:val="9"/>
      </w:numPr>
      <w:tabs>
        <w:tab w:val="clear" w:pos="360"/>
      </w:tabs>
      <w:spacing w:before="100" w:after="100"/>
      <w:ind w:left="1080"/>
      <w:contextualSpacing/>
    </w:pPr>
    <w:rPr>
      <w:rFonts w:eastAsia="Times New Roman" w:cs="Calibri"/>
      <w:spacing w:val="2"/>
      <w:sz w:val="20"/>
      <w:szCs w:val="20"/>
      <w:lang w:val="en-AU" w:eastAsia="en-AU"/>
    </w:rPr>
  </w:style>
  <w:style w:type="paragraph" w:customStyle="1" w:styleId="Bullet2">
    <w:name w:val="Bullet 2"/>
    <w:basedOn w:val="Bullet1"/>
    <w:uiPriority w:val="11"/>
    <w:qFormat/>
    <w:rsid w:val="00C12FA8"/>
    <w:pPr>
      <w:numPr>
        <w:ilvl w:val="1"/>
      </w:numPr>
      <w:tabs>
        <w:tab w:val="clear" w:pos="720"/>
      </w:tabs>
      <w:ind w:left="1800"/>
    </w:pPr>
  </w:style>
  <w:style w:type="paragraph" w:customStyle="1" w:styleId="Bulletindent">
    <w:name w:val="Bullet indent"/>
    <w:basedOn w:val="Bullet2"/>
    <w:uiPriority w:val="9"/>
    <w:qFormat/>
    <w:rsid w:val="00C12FA8"/>
    <w:pPr>
      <w:numPr>
        <w:ilvl w:val="2"/>
      </w:numPr>
      <w:tabs>
        <w:tab w:val="clear" w:pos="1152"/>
      </w:tabs>
      <w:ind w:left="2520"/>
    </w:pPr>
  </w:style>
  <w:style w:type="paragraph" w:customStyle="1" w:styleId="Bulletindent2">
    <w:name w:val="Bullet indent 2"/>
    <w:basedOn w:val="Normal"/>
    <w:uiPriority w:val="9"/>
    <w:qFormat/>
    <w:rsid w:val="00C12FA8"/>
    <w:pPr>
      <w:numPr>
        <w:ilvl w:val="3"/>
        <w:numId w:val="9"/>
      </w:numPr>
      <w:spacing w:before="100" w:after="100" w:line="276" w:lineRule="auto"/>
      <w:contextualSpacing/>
    </w:pPr>
    <w:rPr>
      <w:rFonts w:eastAsiaTheme="minorEastAsia"/>
      <w:spacing w:val="2"/>
      <w:sz w:val="20"/>
      <w:szCs w:val="20"/>
      <w:lang w:val="en-AU" w:eastAsia="en-AU"/>
    </w:rPr>
  </w:style>
  <w:style w:type="character" w:customStyle="1" w:styleId="Heading2Char">
    <w:name w:val="Heading 2 Char"/>
    <w:aliases w:val="Reset numbering Char,Reset numbering1 Char,Heading 2 do not use Char,Front Page List of Sections Char"/>
    <w:basedOn w:val="DefaultParagraphFont"/>
    <w:link w:val="Heading20"/>
    <w:uiPriority w:val="9"/>
    <w:rsid w:val="0028532D"/>
    <w:rPr>
      <w:rFonts w:asciiTheme="majorHAnsi" w:eastAsiaTheme="majorEastAsia" w:hAnsiTheme="majorHAnsi" w:cstheme="majorBidi"/>
      <w:color w:val="A5A59D" w:themeColor="accent1" w:themeShade="BF"/>
      <w:sz w:val="26"/>
      <w:szCs w:val="26"/>
    </w:rPr>
  </w:style>
  <w:style w:type="character" w:customStyle="1" w:styleId="Heading4Char">
    <w:name w:val="Heading 4 Char"/>
    <w:basedOn w:val="DefaultParagraphFont"/>
    <w:link w:val="Heading4"/>
    <w:uiPriority w:val="9"/>
    <w:rsid w:val="0028532D"/>
    <w:rPr>
      <w:rFonts w:asciiTheme="majorHAnsi" w:eastAsiaTheme="majorEastAsia" w:hAnsiTheme="majorHAnsi" w:cstheme="majorBidi"/>
      <w:i/>
      <w:iCs/>
      <w:color w:val="A5A59D" w:themeColor="accent1" w:themeShade="BF"/>
      <w:sz w:val="22"/>
    </w:rPr>
  </w:style>
  <w:style w:type="character" w:customStyle="1" w:styleId="Heading5Char">
    <w:name w:val="Heading 5 Char"/>
    <w:basedOn w:val="DefaultParagraphFont"/>
    <w:link w:val="Heading5"/>
    <w:uiPriority w:val="9"/>
    <w:semiHidden/>
    <w:rsid w:val="0028532D"/>
    <w:rPr>
      <w:rFonts w:asciiTheme="majorHAnsi" w:eastAsiaTheme="majorEastAsia" w:hAnsiTheme="majorHAnsi" w:cstheme="majorBidi"/>
      <w:color w:val="A5A59D" w:themeColor="accent1" w:themeShade="BF"/>
      <w:sz w:val="22"/>
    </w:rPr>
  </w:style>
  <w:style w:type="character" w:customStyle="1" w:styleId="Heading6Char">
    <w:name w:val="Heading 6 Char"/>
    <w:basedOn w:val="DefaultParagraphFont"/>
    <w:link w:val="Heading6"/>
    <w:uiPriority w:val="9"/>
    <w:rsid w:val="0028532D"/>
    <w:rPr>
      <w:rFonts w:asciiTheme="majorHAnsi" w:eastAsiaTheme="majorEastAsia" w:hAnsiTheme="majorHAnsi" w:cstheme="majorBidi"/>
      <w:color w:val="6F6F67" w:themeColor="accent1" w:themeShade="7F"/>
      <w:sz w:val="22"/>
    </w:rPr>
  </w:style>
  <w:style w:type="character" w:customStyle="1" w:styleId="Heading7Char">
    <w:name w:val="Heading 7 Char"/>
    <w:aliases w:val="Section Sub-Heading 4 Char"/>
    <w:basedOn w:val="DefaultParagraphFont"/>
    <w:link w:val="Heading7"/>
    <w:uiPriority w:val="9"/>
    <w:semiHidden/>
    <w:rsid w:val="0028532D"/>
    <w:rPr>
      <w:rFonts w:asciiTheme="majorHAnsi" w:eastAsiaTheme="majorEastAsia" w:hAnsiTheme="majorHAnsi" w:cstheme="majorBidi"/>
      <w:i/>
      <w:iCs/>
      <w:color w:val="6F6F67" w:themeColor="accent1" w:themeShade="7F"/>
      <w:sz w:val="22"/>
    </w:rPr>
  </w:style>
  <w:style w:type="character" w:customStyle="1" w:styleId="Heading8Char">
    <w:name w:val="Heading 8 Char"/>
    <w:basedOn w:val="DefaultParagraphFont"/>
    <w:link w:val="Heading8"/>
    <w:uiPriority w:val="9"/>
    <w:semiHidden/>
    <w:rsid w:val="0028532D"/>
    <w:rPr>
      <w:rFonts w:asciiTheme="majorHAnsi" w:eastAsiaTheme="majorEastAsia" w:hAnsiTheme="majorHAnsi" w:cstheme="majorBidi"/>
      <w:color w:val="B0353C" w:themeColor="text1" w:themeTint="D8"/>
      <w:sz w:val="21"/>
      <w:szCs w:val="21"/>
    </w:rPr>
  </w:style>
  <w:style w:type="character" w:customStyle="1" w:styleId="Heading9Char">
    <w:name w:val="Heading 9 Char"/>
    <w:basedOn w:val="DefaultParagraphFont"/>
    <w:link w:val="Heading9"/>
    <w:uiPriority w:val="9"/>
    <w:semiHidden/>
    <w:rsid w:val="0028532D"/>
    <w:rPr>
      <w:rFonts w:asciiTheme="majorHAnsi" w:eastAsiaTheme="majorEastAsia" w:hAnsiTheme="majorHAnsi" w:cstheme="majorBidi"/>
      <w:i/>
      <w:iCs/>
      <w:color w:val="B0353C" w:themeColor="text1" w:themeTint="D8"/>
      <w:sz w:val="21"/>
      <w:szCs w:val="21"/>
    </w:rPr>
  </w:style>
  <w:style w:type="numbering" w:customStyle="1" w:styleId="ArticleSection1">
    <w:name w:val="Article / Section1"/>
    <w:basedOn w:val="NoList"/>
    <w:next w:val="ArticleSection"/>
    <w:uiPriority w:val="99"/>
    <w:semiHidden/>
    <w:unhideWhenUsed/>
    <w:rsid w:val="0028532D"/>
    <w:pPr>
      <w:numPr>
        <w:numId w:val="16"/>
      </w:numPr>
    </w:pPr>
  </w:style>
  <w:style w:type="numbering" w:styleId="ArticleSection">
    <w:name w:val="Outline List 3"/>
    <w:basedOn w:val="NoList"/>
    <w:uiPriority w:val="99"/>
    <w:semiHidden/>
    <w:unhideWhenUsed/>
    <w:rsid w:val="0028532D"/>
  </w:style>
  <w:style w:type="character" w:customStyle="1" w:styleId="ESTableheadingwhiteChar">
    <w:name w:val="ES_Table heading white Char"/>
    <w:basedOn w:val="DefaultParagraphFont"/>
    <w:link w:val="ESTableheadingwhite"/>
    <w:rsid w:val="00BE0D68"/>
    <w:rPr>
      <w:rFonts w:ascii="Arial" w:eastAsiaTheme="minorEastAsia" w:hAnsi="Arial" w:cs="Arial"/>
      <w:b/>
      <w:color w:val="FFFFFF" w:themeColor="background1"/>
      <w:sz w:val="19"/>
      <w:szCs w:val="18"/>
      <w:lang w:val="en-US"/>
    </w:rPr>
  </w:style>
  <w:style w:type="character" w:customStyle="1" w:styleId="ESTablebodyChar">
    <w:name w:val="ES_Table body Char"/>
    <w:basedOn w:val="DefaultParagraphFont"/>
    <w:link w:val="ESTablebody"/>
    <w:rsid w:val="00BE0D68"/>
    <w:rPr>
      <w:rFonts w:ascii="Arial" w:eastAsiaTheme="minorEastAsia" w:hAnsi="Arial" w:cs="Arial"/>
      <w:sz w:val="20"/>
      <w:szCs w:val="18"/>
      <w:lang w:val="en-US"/>
    </w:rPr>
  </w:style>
  <w:style w:type="paragraph" w:styleId="NormalWeb">
    <w:name w:val="Normal (Web)"/>
    <w:basedOn w:val="Normal"/>
    <w:uiPriority w:val="99"/>
    <w:unhideWhenUsed/>
    <w:rsid w:val="00C95B2F"/>
    <w:rPr>
      <w:rFonts w:ascii="Times New Roman" w:hAnsi="Times New Roman" w:cs="Times New Roman"/>
      <w:sz w:val="24"/>
      <w:lang w:val="en-AU" w:eastAsia="en-AU"/>
    </w:rPr>
  </w:style>
  <w:style w:type="character" w:customStyle="1" w:styleId="ListParagraphChar">
    <w:name w:val="List Paragraph Char"/>
    <w:aliases w:val="Bullet Point Char,List Paragraph IEPCP 11pt Char,List Paragraph1 Char,List Paragraph11 Char,Dot Points Char,L Char,Recommendation Char,List Paragraph Number Char,Bullet point Char,Content descriptions Char,NFP GP Bulleted List Char"/>
    <w:basedOn w:val="DefaultParagraphFont"/>
    <w:link w:val="ListParagraph"/>
    <w:uiPriority w:val="34"/>
    <w:qFormat/>
    <w:locked/>
    <w:rsid w:val="00942F24"/>
    <w:rPr>
      <w:sz w:val="22"/>
    </w:rPr>
  </w:style>
  <w:style w:type="paragraph" w:styleId="CommentSubject">
    <w:name w:val="annotation subject"/>
    <w:basedOn w:val="CommentText"/>
    <w:next w:val="CommentText"/>
    <w:link w:val="CommentSubjectChar"/>
    <w:uiPriority w:val="99"/>
    <w:semiHidden/>
    <w:unhideWhenUsed/>
    <w:rsid w:val="00AB4B8E"/>
    <w:rPr>
      <w:b/>
      <w:bCs/>
    </w:rPr>
  </w:style>
  <w:style w:type="character" w:customStyle="1" w:styleId="CommentSubjectChar">
    <w:name w:val="Comment Subject Char"/>
    <w:basedOn w:val="CommentTextChar"/>
    <w:link w:val="CommentSubject"/>
    <w:uiPriority w:val="99"/>
    <w:semiHidden/>
    <w:rsid w:val="00AB4B8E"/>
    <w:rPr>
      <w:b/>
      <w:bCs/>
      <w:sz w:val="20"/>
      <w:szCs w:val="20"/>
    </w:rPr>
  </w:style>
  <w:style w:type="paragraph" w:customStyle="1" w:styleId="DETTableTextFinancial">
    <w:name w:val="DET Table Text Financial"/>
    <w:basedOn w:val="Normal"/>
    <w:rsid w:val="00D55904"/>
    <w:pPr>
      <w:spacing w:before="60" w:after="60"/>
    </w:pPr>
    <w:rPr>
      <w:rFonts w:ascii="Arial" w:hAnsi="Arial" w:cs="Arial"/>
      <w:sz w:val="17"/>
      <w:szCs w:val="17"/>
      <w:lang w:val="en-AU"/>
    </w:rPr>
  </w:style>
  <w:style w:type="character" w:styleId="FollowedHyperlink">
    <w:name w:val="FollowedHyperlink"/>
    <w:basedOn w:val="DefaultParagraphFont"/>
    <w:uiPriority w:val="99"/>
    <w:semiHidden/>
    <w:unhideWhenUsed/>
    <w:rsid w:val="0068272F"/>
    <w:rPr>
      <w:color w:val="8A2A2B" w:themeColor="followedHyperlink"/>
      <w:u w:val="single"/>
    </w:rPr>
  </w:style>
  <w:style w:type="character" w:customStyle="1" w:styleId="ESBodyTextChar">
    <w:name w:val="ES_Body Text Char"/>
    <w:basedOn w:val="DefaultParagraphFont"/>
    <w:link w:val="ESBodyText"/>
    <w:rsid w:val="0016370D"/>
    <w:rPr>
      <w:rFonts w:ascii="Arial" w:eastAsiaTheme="minorEastAsia" w:hAnsi="Arial" w:cs="Arial"/>
      <w:sz w:val="19"/>
      <w:szCs w:val="18"/>
      <w:lang w:val="en-US"/>
    </w:rPr>
  </w:style>
  <w:style w:type="paragraph" w:customStyle="1" w:styleId="ESTableBody0">
    <w:name w:val="ES_Table Body"/>
    <w:basedOn w:val="ESBodyText"/>
    <w:link w:val="ESTableBodyChar0"/>
    <w:qFormat/>
    <w:rsid w:val="0016370D"/>
    <w:pPr>
      <w:spacing w:before="40" w:after="40" w:line="240" w:lineRule="auto"/>
    </w:pPr>
    <w:rPr>
      <w:sz w:val="16"/>
    </w:rPr>
  </w:style>
  <w:style w:type="character" w:customStyle="1" w:styleId="ESTableBodyChar0">
    <w:name w:val="ES_Table Body Char"/>
    <w:basedOn w:val="DefaultParagraphFont"/>
    <w:link w:val="ESTableBody0"/>
    <w:rsid w:val="0016370D"/>
    <w:rPr>
      <w:rFonts w:ascii="Arial" w:eastAsiaTheme="minorEastAsia" w:hAnsi="Arial" w:cs="Arial"/>
      <w:sz w:val="16"/>
      <w:szCs w:val="18"/>
      <w:lang w:val="en-US"/>
    </w:rPr>
  </w:style>
  <w:style w:type="paragraph" w:customStyle="1" w:styleId="W1">
    <w:name w:val="W1"/>
    <w:basedOn w:val="ESTableheadingwhite"/>
    <w:link w:val="W1Char"/>
    <w:qFormat/>
    <w:rsid w:val="0016370D"/>
  </w:style>
  <w:style w:type="character" w:customStyle="1" w:styleId="W1Char">
    <w:name w:val="W1 Char"/>
    <w:basedOn w:val="ESTableheadingwhiteChar"/>
    <w:link w:val="W1"/>
    <w:rsid w:val="0016370D"/>
    <w:rPr>
      <w:rFonts w:ascii="Arial" w:eastAsiaTheme="minorEastAsia" w:hAnsi="Arial" w:cs="Arial"/>
      <w:b/>
      <w:color w:val="FFFFFF" w:themeColor="background1"/>
      <w:sz w:val="19"/>
      <w:szCs w:val="18"/>
      <w:lang w:val="en-US"/>
    </w:rPr>
  </w:style>
  <w:style w:type="paragraph" w:customStyle="1" w:styleId="H5">
    <w:name w:val="H5"/>
    <w:basedOn w:val="ESTableintroheading"/>
    <w:link w:val="H5Char"/>
    <w:qFormat/>
    <w:rsid w:val="0016370D"/>
    <w:rPr>
      <w:lang w:val="en-AU"/>
    </w:rPr>
  </w:style>
  <w:style w:type="character" w:customStyle="1" w:styleId="H5Char">
    <w:name w:val="H5 Char"/>
    <w:basedOn w:val="DefaultParagraphFont"/>
    <w:link w:val="H5"/>
    <w:rsid w:val="0016370D"/>
    <w:rPr>
      <w:rFonts w:ascii="Arial" w:eastAsiaTheme="minorEastAsia" w:hAnsi="Arial" w:cs="Arial"/>
      <w:b/>
      <w:color w:val="AF272F" w:themeColor="accent4"/>
      <w:sz w:val="20"/>
      <w:szCs w:val="18"/>
      <w:lang w:val="en-AU"/>
    </w:rPr>
  </w:style>
  <w:style w:type="character" w:customStyle="1" w:styleId="ESTableheadingChar">
    <w:name w:val="ES_Table heading Char"/>
    <w:basedOn w:val="ESTableheadingwhiteChar"/>
    <w:link w:val="ESTableheading"/>
    <w:rsid w:val="0016370D"/>
    <w:rPr>
      <w:rFonts w:ascii="Arial" w:eastAsiaTheme="minorEastAsia" w:hAnsi="Arial" w:cs="Arial"/>
      <w:b/>
      <w:color w:val="FFFFFF" w:themeColor="background1"/>
      <w:sz w:val="20"/>
      <w:szCs w:val="18"/>
      <w:lang w:val="en-US"/>
    </w:rPr>
  </w:style>
  <w:style w:type="paragraph" w:customStyle="1" w:styleId="N1">
    <w:name w:val="N1"/>
    <w:basedOn w:val="ESBodyText"/>
    <w:link w:val="N1Char"/>
    <w:qFormat/>
    <w:rsid w:val="0016370D"/>
    <w:rPr>
      <w:rFonts w:cstheme="minorHAnsi"/>
      <w:sz w:val="22"/>
      <w:szCs w:val="22"/>
      <w:lang w:val="en-AU"/>
    </w:rPr>
  </w:style>
  <w:style w:type="character" w:customStyle="1" w:styleId="N1Char">
    <w:name w:val="N1 Char"/>
    <w:basedOn w:val="ESBodyTextChar"/>
    <w:link w:val="N1"/>
    <w:rsid w:val="0016370D"/>
    <w:rPr>
      <w:rFonts w:ascii="Arial" w:eastAsiaTheme="minorEastAsia" w:hAnsi="Arial" w:cstheme="minorHAnsi"/>
      <w:sz w:val="22"/>
      <w:szCs w:val="22"/>
      <w:lang w:val="en-AU"/>
    </w:rPr>
  </w:style>
  <w:style w:type="character" w:customStyle="1" w:styleId="ESTablenumberrightalignedChar">
    <w:name w:val="ES_Table number right aligned Char"/>
    <w:basedOn w:val="ESTablebodyChar"/>
    <w:link w:val="ESTablenumberrightaligned"/>
    <w:rsid w:val="0016370D"/>
    <w:rPr>
      <w:rFonts w:ascii="Arial" w:eastAsiaTheme="minorEastAsia" w:hAnsi="Arial" w:cs="Arial"/>
      <w:sz w:val="20"/>
      <w:szCs w:val="18"/>
      <w:lang w:val="en-US"/>
    </w:rPr>
  </w:style>
  <w:style w:type="paragraph" w:customStyle="1" w:styleId="ESBullet1indent0">
    <w:name w:val="ES_Bullet 1 + indent"/>
    <w:basedOn w:val="ESbullet1"/>
    <w:qFormat/>
    <w:rsid w:val="0016370D"/>
    <w:pPr>
      <w:numPr>
        <w:numId w:val="0"/>
      </w:numPr>
      <w:tabs>
        <w:tab w:val="num" w:pos="2058"/>
      </w:tabs>
      <w:spacing w:after="120"/>
      <w:ind w:left="2058" w:hanging="360"/>
    </w:pPr>
    <w:rPr>
      <w:sz w:val="19"/>
    </w:rPr>
  </w:style>
  <w:style w:type="character" w:customStyle="1" w:styleId="ESHeading1Char">
    <w:name w:val="ES_Heading 1 Char"/>
    <w:basedOn w:val="TitleChar"/>
    <w:link w:val="ESHeading1"/>
    <w:rsid w:val="0016370D"/>
    <w:rPr>
      <w:rFonts w:ascii="Arial" w:eastAsiaTheme="majorEastAsia" w:hAnsi="Arial" w:cstheme="majorBidi"/>
      <w:b/>
      <w:color w:val="AF272F" w:themeColor="accent4"/>
      <w:spacing w:val="5"/>
      <w:kern w:val="28"/>
      <w:sz w:val="44"/>
      <w:szCs w:val="52"/>
      <w:lang w:val="en-US"/>
    </w:rPr>
  </w:style>
  <w:style w:type="character" w:customStyle="1" w:styleId="ESHeading2Char">
    <w:name w:val="ES_Heading 2 Char"/>
    <w:basedOn w:val="ESHeading1Char"/>
    <w:link w:val="ESHeading2"/>
    <w:rsid w:val="0016370D"/>
    <w:rPr>
      <w:rFonts w:ascii="Arial" w:eastAsiaTheme="majorEastAsia" w:hAnsi="Arial" w:cstheme="majorBidi"/>
      <w:b w:val="0"/>
      <w:bCs/>
      <w:color w:val="8A2A2F" w:themeColor="text1"/>
      <w:spacing w:val="5"/>
      <w:kern w:val="28"/>
      <w:sz w:val="28"/>
      <w:szCs w:val="20"/>
      <w:lang w:val="en-US"/>
    </w:rPr>
  </w:style>
  <w:style w:type="paragraph" w:customStyle="1" w:styleId="ESTableBullet1indent">
    <w:name w:val="ES_Table Bullet 1 + indent"/>
    <w:basedOn w:val="ESTablebullet1"/>
    <w:qFormat/>
    <w:rsid w:val="0016370D"/>
    <w:pPr>
      <w:numPr>
        <w:numId w:val="0"/>
      </w:numPr>
      <w:tabs>
        <w:tab w:val="num" w:pos="926"/>
      </w:tabs>
      <w:spacing w:before="60" w:after="60"/>
      <w:ind w:left="568" w:hanging="284"/>
    </w:pPr>
    <w:rPr>
      <w:sz w:val="16"/>
    </w:rPr>
  </w:style>
  <w:style w:type="character" w:customStyle="1" w:styleId="ESTableintroheadingChar">
    <w:name w:val="ES_Table intro heading Char"/>
    <w:basedOn w:val="ESTableheadingChar"/>
    <w:link w:val="ESTableintroheading"/>
    <w:rsid w:val="0016370D"/>
    <w:rPr>
      <w:rFonts w:ascii="Arial" w:eastAsiaTheme="minorEastAsia" w:hAnsi="Arial" w:cs="Arial"/>
      <w:b/>
      <w:color w:val="AF272F" w:themeColor="accent4"/>
      <w:sz w:val="20"/>
      <w:szCs w:val="18"/>
      <w:lang w:val="en-US"/>
    </w:rPr>
  </w:style>
  <w:style w:type="character" w:customStyle="1" w:styleId="ESHeading3Char">
    <w:name w:val="ES_Heading 3 Char"/>
    <w:basedOn w:val="Heading3Char"/>
    <w:link w:val="ESHeading3"/>
    <w:rsid w:val="0016370D"/>
    <w:rPr>
      <w:rFonts w:ascii="Arial" w:eastAsiaTheme="minorEastAsia" w:hAnsi="Arial" w:cs="Arial"/>
      <w:b/>
      <w:color w:val="53565A" w:themeColor="accent5"/>
      <w:sz w:val="22"/>
      <w:szCs w:val="18"/>
      <w:lang w:val="en-US"/>
    </w:rPr>
  </w:style>
  <w:style w:type="paragraph" w:customStyle="1" w:styleId="H2">
    <w:name w:val="H2"/>
    <w:basedOn w:val="ESHeading3"/>
    <w:link w:val="H2Char"/>
    <w:qFormat/>
    <w:rsid w:val="0016370D"/>
    <w:rPr>
      <w:b w:val="0"/>
      <w:color w:val="8A2A2F" w:themeColor="text1"/>
      <w:sz w:val="28"/>
      <w:szCs w:val="28"/>
      <w:lang w:val="en-AU"/>
    </w:rPr>
  </w:style>
  <w:style w:type="character" w:customStyle="1" w:styleId="H2Char">
    <w:name w:val="H2 Char"/>
    <w:basedOn w:val="ESHeading3Char"/>
    <w:link w:val="H2"/>
    <w:rsid w:val="0016370D"/>
    <w:rPr>
      <w:rFonts w:ascii="Arial" w:eastAsiaTheme="minorEastAsia" w:hAnsi="Arial" w:cs="Arial"/>
      <w:b w:val="0"/>
      <w:color w:val="8A2A2F" w:themeColor="text1"/>
      <w:sz w:val="28"/>
      <w:szCs w:val="28"/>
      <w:lang w:val="en-AU"/>
    </w:rPr>
  </w:style>
  <w:style w:type="table" w:customStyle="1" w:styleId="TableGrid3">
    <w:name w:val="Table Grid3"/>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ESQuotetext"/>
    <w:link w:val="H3Char"/>
    <w:qFormat/>
    <w:rsid w:val="0016370D"/>
    <w:rPr>
      <w:b/>
      <w:i w:val="0"/>
      <w:lang w:val="en-AU"/>
    </w:rPr>
  </w:style>
  <w:style w:type="character" w:customStyle="1" w:styleId="H3Char">
    <w:name w:val="H3 Char"/>
    <w:basedOn w:val="DefaultParagraphFont"/>
    <w:link w:val="H3"/>
    <w:rsid w:val="0016370D"/>
    <w:rPr>
      <w:rFonts w:ascii="Arial" w:eastAsiaTheme="minorEastAsia" w:hAnsi="Arial" w:cs="Arial"/>
      <w:b/>
      <w:color w:val="53565A" w:themeColor="accent5"/>
      <w:sz w:val="22"/>
      <w:szCs w:val="18"/>
      <w:lang w:val="en-AU"/>
    </w:rPr>
  </w:style>
  <w:style w:type="character" w:customStyle="1" w:styleId="ESHeading4Char">
    <w:name w:val="ES_Heading 4 Char"/>
    <w:basedOn w:val="ESHeading3Char"/>
    <w:link w:val="ESHeading4"/>
    <w:rsid w:val="0016370D"/>
    <w:rPr>
      <w:rFonts w:ascii="Arial" w:eastAsiaTheme="minorEastAsia" w:hAnsi="Arial" w:cs="Arial"/>
      <w:b w:val="0"/>
      <w:color w:val="53565A" w:themeColor="accent5"/>
      <w:sz w:val="22"/>
      <w:szCs w:val="18"/>
      <w:lang w:val="en-US"/>
    </w:rPr>
  </w:style>
  <w:style w:type="paragraph" w:styleId="TOC4">
    <w:name w:val="toc 4"/>
    <w:basedOn w:val="Normal"/>
    <w:next w:val="Normal"/>
    <w:autoRedefine/>
    <w:uiPriority w:val="39"/>
    <w:unhideWhenUsed/>
    <w:rsid w:val="0016370D"/>
    <w:pPr>
      <w:ind w:left="660"/>
    </w:pPr>
    <w:rPr>
      <w:rFonts w:cstheme="minorHAnsi"/>
      <w:sz w:val="18"/>
      <w:szCs w:val="18"/>
    </w:rPr>
  </w:style>
  <w:style w:type="paragraph" w:styleId="TOC5">
    <w:name w:val="toc 5"/>
    <w:basedOn w:val="Normal"/>
    <w:next w:val="Normal"/>
    <w:autoRedefine/>
    <w:uiPriority w:val="39"/>
    <w:unhideWhenUsed/>
    <w:rsid w:val="0016370D"/>
    <w:pPr>
      <w:ind w:left="880"/>
    </w:pPr>
    <w:rPr>
      <w:rFonts w:cstheme="minorHAnsi"/>
      <w:sz w:val="18"/>
      <w:szCs w:val="18"/>
    </w:rPr>
  </w:style>
  <w:style w:type="paragraph" w:styleId="TOC6">
    <w:name w:val="toc 6"/>
    <w:basedOn w:val="Normal"/>
    <w:next w:val="Normal"/>
    <w:autoRedefine/>
    <w:uiPriority w:val="39"/>
    <w:unhideWhenUsed/>
    <w:rsid w:val="0016370D"/>
    <w:pPr>
      <w:ind w:left="1100"/>
    </w:pPr>
    <w:rPr>
      <w:rFonts w:cstheme="minorHAnsi"/>
      <w:sz w:val="18"/>
      <w:szCs w:val="18"/>
    </w:rPr>
  </w:style>
  <w:style w:type="paragraph" w:styleId="TOC7">
    <w:name w:val="toc 7"/>
    <w:basedOn w:val="Normal"/>
    <w:next w:val="Normal"/>
    <w:autoRedefine/>
    <w:uiPriority w:val="39"/>
    <w:unhideWhenUsed/>
    <w:rsid w:val="0016370D"/>
    <w:pPr>
      <w:ind w:left="1320"/>
    </w:pPr>
    <w:rPr>
      <w:rFonts w:cstheme="minorHAnsi"/>
      <w:sz w:val="18"/>
      <w:szCs w:val="18"/>
    </w:rPr>
  </w:style>
  <w:style w:type="paragraph" w:styleId="TOC8">
    <w:name w:val="toc 8"/>
    <w:basedOn w:val="Normal"/>
    <w:next w:val="Normal"/>
    <w:autoRedefine/>
    <w:uiPriority w:val="39"/>
    <w:unhideWhenUsed/>
    <w:rsid w:val="0016370D"/>
    <w:pPr>
      <w:ind w:left="1540"/>
    </w:pPr>
    <w:rPr>
      <w:rFonts w:cstheme="minorHAnsi"/>
      <w:sz w:val="18"/>
      <w:szCs w:val="18"/>
    </w:rPr>
  </w:style>
  <w:style w:type="paragraph" w:styleId="TOC9">
    <w:name w:val="toc 9"/>
    <w:basedOn w:val="Normal"/>
    <w:next w:val="Normal"/>
    <w:autoRedefine/>
    <w:uiPriority w:val="39"/>
    <w:unhideWhenUsed/>
    <w:rsid w:val="0016370D"/>
    <w:pPr>
      <w:ind w:left="1760"/>
    </w:pPr>
    <w:rPr>
      <w:rFonts w:cstheme="minorHAnsi"/>
      <w:sz w:val="18"/>
      <w:szCs w:val="18"/>
    </w:rPr>
  </w:style>
  <w:style w:type="paragraph" w:customStyle="1" w:styleId="Heading4notes">
    <w:name w:val="Heading 4 notes"/>
    <w:basedOn w:val="Heading4"/>
    <w:link w:val="Heading4notesChar"/>
    <w:qFormat/>
    <w:rsid w:val="0016370D"/>
    <w:pPr>
      <w:keepLines w:val="0"/>
      <w:tabs>
        <w:tab w:val="left" w:pos="397"/>
      </w:tabs>
      <w:spacing w:before="200" w:after="90" w:line="220" w:lineRule="atLeast"/>
      <w:ind w:left="0" w:firstLine="0"/>
    </w:pPr>
    <w:rPr>
      <w:rFonts w:ascii="Arial" w:eastAsia="Times New Roman" w:hAnsi="Arial" w:cs="Times New Roman"/>
      <w:b/>
      <w:iCs w:val="0"/>
      <w:color w:val="8A2A2F" w:themeColor="text1"/>
      <w:sz w:val="19"/>
      <w:lang w:val="en-AU"/>
    </w:rPr>
  </w:style>
  <w:style w:type="character" w:customStyle="1" w:styleId="Heading4notesChar">
    <w:name w:val="Heading 4 notes Char"/>
    <w:basedOn w:val="DefaultParagraphFont"/>
    <w:link w:val="Heading4notes"/>
    <w:rsid w:val="0016370D"/>
    <w:rPr>
      <w:rFonts w:ascii="Arial" w:eastAsia="Times New Roman" w:hAnsi="Arial" w:cs="Times New Roman"/>
      <w:b/>
      <w:i/>
      <w:color w:val="8A2A2F" w:themeColor="text1"/>
      <w:sz w:val="19"/>
      <w:lang w:val="en-AU"/>
    </w:rPr>
  </w:style>
  <w:style w:type="paragraph" w:customStyle="1" w:styleId="Tablecolumnheading">
    <w:name w:val="Table column heading"/>
    <w:basedOn w:val="Normal"/>
    <w:link w:val="TablecolumnheadingChar"/>
    <w:rsid w:val="0016370D"/>
    <w:pPr>
      <w:keepNext/>
      <w:widowControl w:val="0"/>
      <w:tabs>
        <w:tab w:val="left" w:pos="205"/>
      </w:tabs>
      <w:autoSpaceDE w:val="0"/>
      <w:autoSpaceDN w:val="0"/>
      <w:adjustRightInd w:val="0"/>
      <w:spacing w:before="80" w:after="80"/>
    </w:pPr>
    <w:rPr>
      <w:rFonts w:ascii="Arial" w:eastAsia="Times New Roman" w:hAnsi="Arial" w:cs="Arial"/>
      <w:b/>
      <w:bCs/>
      <w:color w:val="FFFFFF"/>
      <w:sz w:val="17"/>
      <w:szCs w:val="18"/>
      <w:lang w:val="en-AU"/>
    </w:rPr>
  </w:style>
  <w:style w:type="character" w:customStyle="1" w:styleId="TablecolumnheadingChar">
    <w:name w:val="Table column heading Char"/>
    <w:basedOn w:val="DefaultParagraphFont"/>
    <w:link w:val="Tablecolumnheading"/>
    <w:rsid w:val="0016370D"/>
    <w:rPr>
      <w:rFonts w:ascii="Arial" w:eastAsia="Times New Roman" w:hAnsi="Arial" w:cs="Arial"/>
      <w:b/>
      <w:bCs/>
      <w:color w:val="FFFFFF"/>
      <w:sz w:val="17"/>
      <w:szCs w:val="18"/>
      <w:lang w:val="en-AU"/>
    </w:rPr>
  </w:style>
  <w:style w:type="paragraph" w:customStyle="1" w:styleId="TableTextFinancial">
    <w:name w:val="Table Text Financial"/>
    <w:basedOn w:val="Normal"/>
    <w:uiPriority w:val="99"/>
    <w:qFormat/>
    <w:rsid w:val="0016370D"/>
    <w:pPr>
      <w:spacing w:after="60"/>
    </w:pPr>
    <w:rPr>
      <w:rFonts w:ascii="Arial" w:hAnsi="Arial" w:cs="Arial"/>
      <w:bCs/>
      <w:sz w:val="16"/>
      <w:szCs w:val="52"/>
      <w:lang w:val="en-AU"/>
    </w:rPr>
  </w:style>
  <w:style w:type="paragraph" w:customStyle="1" w:styleId="Tabletextnoindent">
    <w:name w:val="Table text no indent"/>
    <w:basedOn w:val="Normal"/>
    <w:uiPriority w:val="99"/>
    <w:qFormat/>
    <w:rsid w:val="0016370D"/>
    <w:pPr>
      <w:widowControl w:val="0"/>
      <w:tabs>
        <w:tab w:val="left" w:pos="205"/>
      </w:tabs>
      <w:autoSpaceDE w:val="0"/>
      <w:autoSpaceDN w:val="0"/>
      <w:adjustRightInd w:val="0"/>
      <w:spacing w:before="80" w:after="80"/>
    </w:pPr>
    <w:rPr>
      <w:rFonts w:ascii="Arial" w:eastAsia="Times New Roman" w:hAnsi="Arial" w:cs="Arial"/>
      <w:sz w:val="17"/>
      <w:szCs w:val="18"/>
      <w:lang w:val="en-AU"/>
    </w:rPr>
  </w:style>
  <w:style w:type="character" w:customStyle="1" w:styleId="Heading2notesChar">
    <w:name w:val="Heading 2 notes Char"/>
    <w:basedOn w:val="DefaultParagraphFont"/>
    <w:link w:val="Heading2notes"/>
    <w:rsid w:val="0016370D"/>
    <w:rPr>
      <w:rFonts w:ascii="Arial" w:eastAsia="Times New Roman" w:hAnsi="Arial" w:cs="Arial"/>
      <w:bCs/>
      <w:iCs/>
      <w:color w:val="8A2A2F" w:themeColor="text1"/>
      <w:sz w:val="28"/>
      <w:szCs w:val="28"/>
      <w:lang w:val="en-AU"/>
    </w:rPr>
  </w:style>
  <w:style w:type="paragraph" w:styleId="Caption">
    <w:name w:val="caption"/>
    <w:aliases w:val="Note Text Bold Talic"/>
    <w:basedOn w:val="Normal"/>
    <w:next w:val="Normal"/>
    <w:qFormat/>
    <w:rsid w:val="0016370D"/>
    <w:pPr>
      <w:keepNext/>
      <w:spacing w:before="200" w:after="90" w:line="220" w:lineRule="atLeast"/>
    </w:pPr>
    <w:rPr>
      <w:rFonts w:ascii="Arial" w:eastAsia="Times New Roman" w:hAnsi="Arial" w:cs="Times New Roman"/>
      <w:b/>
      <w:i/>
      <w:color w:val="8A2A2F" w:themeColor="text1"/>
      <w:sz w:val="17"/>
      <w:lang w:val="en-AU"/>
    </w:rPr>
  </w:style>
  <w:style w:type="paragraph" w:customStyle="1" w:styleId="Note">
    <w:name w:val="Note"/>
    <w:basedOn w:val="ESAppendix1"/>
    <w:qFormat/>
    <w:rsid w:val="0016370D"/>
    <w:pPr>
      <w:numPr>
        <w:numId w:val="10"/>
      </w:numPr>
      <w:ind w:left="360"/>
    </w:pPr>
    <w:rPr>
      <w:b w:val="0"/>
    </w:rPr>
  </w:style>
  <w:style w:type="paragraph" w:customStyle="1" w:styleId="Default">
    <w:name w:val="Default"/>
    <w:basedOn w:val="Normal"/>
    <w:rsid w:val="0016370D"/>
    <w:pPr>
      <w:autoSpaceDE w:val="0"/>
      <w:autoSpaceDN w:val="0"/>
    </w:pPr>
    <w:rPr>
      <w:rFonts w:ascii="Arial" w:hAnsi="Arial" w:cs="Arial"/>
      <w:color w:val="000000"/>
      <w:sz w:val="24"/>
      <w:lang w:val="en-AU"/>
    </w:rPr>
  </w:style>
  <w:style w:type="paragraph" w:styleId="EndnoteText">
    <w:name w:val="endnote text"/>
    <w:basedOn w:val="Normal"/>
    <w:link w:val="EndnoteTextChar"/>
    <w:uiPriority w:val="99"/>
    <w:semiHidden/>
    <w:unhideWhenUsed/>
    <w:rsid w:val="0016370D"/>
    <w:rPr>
      <w:sz w:val="20"/>
      <w:szCs w:val="20"/>
    </w:rPr>
  </w:style>
  <w:style w:type="character" w:customStyle="1" w:styleId="EndnoteTextChar">
    <w:name w:val="Endnote Text Char"/>
    <w:basedOn w:val="DefaultParagraphFont"/>
    <w:link w:val="EndnoteText"/>
    <w:uiPriority w:val="99"/>
    <w:semiHidden/>
    <w:rsid w:val="0016370D"/>
    <w:rPr>
      <w:sz w:val="20"/>
      <w:szCs w:val="20"/>
    </w:rPr>
  </w:style>
  <w:style w:type="character" w:styleId="EndnoteReference">
    <w:name w:val="endnote reference"/>
    <w:basedOn w:val="DefaultParagraphFont"/>
    <w:uiPriority w:val="99"/>
    <w:semiHidden/>
    <w:unhideWhenUsed/>
    <w:rsid w:val="0016370D"/>
    <w:rPr>
      <w:vertAlign w:val="superscript"/>
    </w:rPr>
  </w:style>
  <w:style w:type="paragraph" w:customStyle="1" w:styleId="W2">
    <w:name w:val="W2"/>
    <w:basedOn w:val="ESTablenumberrightaligned"/>
    <w:link w:val="W2Char"/>
    <w:qFormat/>
    <w:rsid w:val="0016370D"/>
    <w:pPr>
      <w:jc w:val="left"/>
    </w:pPr>
    <w:rPr>
      <w:b/>
      <w:lang w:val="en-AU"/>
    </w:rPr>
  </w:style>
  <w:style w:type="paragraph" w:customStyle="1" w:styleId="T1">
    <w:name w:val="T1"/>
    <w:basedOn w:val="W1"/>
    <w:link w:val="T1Char"/>
    <w:qFormat/>
    <w:rsid w:val="0016370D"/>
    <w:rPr>
      <w:sz w:val="20"/>
    </w:rPr>
  </w:style>
  <w:style w:type="character" w:customStyle="1" w:styleId="W2Char">
    <w:name w:val="W2 Char"/>
    <w:basedOn w:val="ESTablenumberrightalignedChar"/>
    <w:link w:val="W2"/>
    <w:rsid w:val="0016370D"/>
    <w:rPr>
      <w:rFonts w:ascii="Arial" w:eastAsiaTheme="minorEastAsia" w:hAnsi="Arial" w:cs="Arial"/>
      <w:b/>
      <w:sz w:val="20"/>
      <w:szCs w:val="18"/>
      <w:lang w:val="en-AU"/>
    </w:rPr>
  </w:style>
  <w:style w:type="character" w:customStyle="1" w:styleId="T1Char">
    <w:name w:val="T1 Char"/>
    <w:basedOn w:val="W1Char"/>
    <w:link w:val="T1"/>
    <w:rsid w:val="0016370D"/>
    <w:rPr>
      <w:rFonts w:ascii="Arial" w:eastAsiaTheme="minorEastAsia" w:hAnsi="Arial" w:cs="Arial"/>
      <w:b/>
      <w:color w:val="FFFFFF" w:themeColor="background1"/>
      <w:sz w:val="20"/>
      <w:szCs w:val="18"/>
      <w:lang w:val="en-US"/>
    </w:rPr>
  </w:style>
  <w:style w:type="paragraph" w:customStyle="1" w:styleId="H4">
    <w:name w:val="H4"/>
    <w:basedOn w:val="ESHeading4"/>
    <w:link w:val="H4Char"/>
    <w:qFormat/>
    <w:rsid w:val="0016370D"/>
  </w:style>
  <w:style w:type="character" w:customStyle="1" w:styleId="H4Char">
    <w:name w:val="H4 Char"/>
    <w:basedOn w:val="ESHeading4Char"/>
    <w:link w:val="H4"/>
    <w:rsid w:val="0016370D"/>
    <w:rPr>
      <w:rFonts w:ascii="Arial" w:eastAsiaTheme="minorEastAsia" w:hAnsi="Arial" w:cs="Arial"/>
      <w:b w:val="0"/>
      <w:color w:val="53565A" w:themeColor="accent5"/>
      <w:sz w:val="22"/>
      <w:szCs w:val="18"/>
      <w:lang w:val="en-US"/>
    </w:rPr>
  </w:style>
  <w:style w:type="table" w:customStyle="1" w:styleId="TableGrid4">
    <w:name w:val="Table Grid4"/>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otal">
    <w:name w:val="Table total"/>
    <w:basedOn w:val="Normal"/>
    <w:link w:val="TabletotalChar"/>
    <w:qFormat/>
    <w:rsid w:val="0016370D"/>
    <w:pPr>
      <w:widowControl w:val="0"/>
      <w:tabs>
        <w:tab w:val="left" w:pos="205"/>
      </w:tabs>
      <w:spacing w:before="40" w:after="200" w:line="220" w:lineRule="atLeast"/>
    </w:pPr>
    <w:rPr>
      <w:rFonts w:ascii="Arial" w:eastAsia="Times New Roman" w:hAnsi="Arial" w:cs="Arial"/>
      <w:b/>
      <w:color w:val="8A2A2F" w:themeColor="text1"/>
      <w:sz w:val="17"/>
      <w:lang w:val="en-AU"/>
    </w:rPr>
  </w:style>
  <w:style w:type="character" w:customStyle="1" w:styleId="TabletotalChar">
    <w:name w:val="Table total Char"/>
    <w:basedOn w:val="DefaultParagraphFont"/>
    <w:link w:val="Tabletotal"/>
    <w:rsid w:val="0016370D"/>
    <w:rPr>
      <w:rFonts w:ascii="Arial" w:eastAsia="Times New Roman" w:hAnsi="Arial" w:cs="Arial"/>
      <w:b/>
      <w:color w:val="8A2A2F" w:themeColor="text1"/>
      <w:sz w:val="17"/>
      <w:lang w:val="en-AU"/>
    </w:rPr>
  </w:style>
  <w:style w:type="table" w:customStyle="1" w:styleId="TableGrid1">
    <w:name w:val="Table Grid1"/>
    <w:basedOn w:val="TableNormal"/>
    <w:next w:val="TableGrid"/>
    <w:uiPriority w:val="39"/>
    <w:rsid w:val="0016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6370D"/>
    <w:pPr>
      <w:numPr>
        <w:numId w:val="11"/>
      </w:numPr>
      <w:tabs>
        <w:tab w:val="left" w:pos="284"/>
        <w:tab w:val="num" w:pos="360"/>
      </w:tabs>
      <w:spacing w:before="60" w:after="120" w:line="240" w:lineRule="exact"/>
      <w:ind w:left="360"/>
    </w:pPr>
    <w:rPr>
      <w:rFonts w:ascii="Arial" w:eastAsia="Cambria" w:hAnsi="Arial" w:cs="Times New Roman"/>
      <w:sz w:val="20"/>
      <w:lang w:val="en-US"/>
    </w:rPr>
  </w:style>
  <w:style w:type="character" w:customStyle="1" w:styleId="BodyTextIndentChar">
    <w:name w:val="Body Text Indent Char"/>
    <w:basedOn w:val="DefaultParagraphFont"/>
    <w:link w:val="BodyTextIndent"/>
    <w:uiPriority w:val="99"/>
    <w:rsid w:val="0016370D"/>
    <w:rPr>
      <w:rFonts w:ascii="Arial" w:eastAsia="Cambria" w:hAnsi="Arial" w:cs="Times New Roman"/>
      <w:sz w:val="20"/>
      <w:lang w:val="en-US"/>
    </w:rPr>
  </w:style>
  <w:style w:type="paragraph" w:customStyle="1" w:styleId="DETFootnoteTextforobjectivestablesOHStable">
    <w:name w:val="DET Footnote Text for objectives tables &amp; OHS table"/>
    <w:basedOn w:val="Normal"/>
    <w:next w:val="Normal"/>
    <w:link w:val="DETFootnoteTextforobjectivestablesOHStableChar"/>
    <w:qFormat/>
    <w:rsid w:val="0016370D"/>
    <w:pPr>
      <w:widowControl w:val="0"/>
      <w:tabs>
        <w:tab w:val="left" w:pos="142"/>
      </w:tabs>
      <w:autoSpaceDE w:val="0"/>
      <w:autoSpaceDN w:val="0"/>
      <w:adjustRightInd w:val="0"/>
      <w:spacing w:line="150" w:lineRule="exact"/>
      <w:ind w:left="113" w:hanging="113"/>
    </w:pPr>
    <w:rPr>
      <w:rFonts w:ascii="Arial Narrow" w:eastAsia="Times New Roman" w:hAnsi="Arial Narrow" w:cs="Arial"/>
      <w:color w:val="000000"/>
      <w:sz w:val="15"/>
      <w:szCs w:val="16"/>
      <w:lang w:val="en-AU"/>
    </w:rPr>
  </w:style>
  <w:style w:type="character" w:customStyle="1" w:styleId="DETFootnoteTextforobjectivestablesOHStableChar">
    <w:name w:val="DET Footnote Text for objectives tables &amp; OHS table Char"/>
    <w:link w:val="DETFootnoteTextforobjectivestablesOHStable"/>
    <w:rsid w:val="0016370D"/>
    <w:rPr>
      <w:rFonts w:ascii="Arial Narrow" w:eastAsia="Times New Roman" w:hAnsi="Arial Narrow" w:cs="Arial"/>
      <w:color w:val="000000"/>
      <w:sz w:val="15"/>
      <w:szCs w:val="16"/>
      <w:lang w:val="en-AU"/>
    </w:rPr>
  </w:style>
  <w:style w:type="paragraph" w:styleId="Revision">
    <w:name w:val="Revision"/>
    <w:hidden/>
    <w:uiPriority w:val="99"/>
    <w:semiHidden/>
    <w:rsid w:val="0016370D"/>
    <w:rPr>
      <w:sz w:val="22"/>
    </w:rPr>
  </w:style>
  <w:style w:type="numbering" w:customStyle="1" w:styleId="Bullet">
    <w:name w:val="Bullet"/>
    <w:uiPriority w:val="99"/>
    <w:rsid w:val="0016370D"/>
    <w:pPr>
      <w:numPr>
        <w:numId w:val="17"/>
      </w:numPr>
    </w:pPr>
  </w:style>
  <w:style w:type="paragraph" w:styleId="ListBullet2">
    <w:name w:val="List Bullet 2"/>
    <w:basedOn w:val="ListBullet"/>
    <w:uiPriority w:val="19"/>
    <w:rsid w:val="0016370D"/>
    <w:pPr>
      <w:numPr>
        <w:ilvl w:val="1"/>
      </w:numPr>
      <w:tabs>
        <w:tab w:val="num" w:pos="360"/>
      </w:tabs>
      <w:ind w:left="1800"/>
    </w:pPr>
  </w:style>
  <w:style w:type="paragraph" w:styleId="ListBullet">
    <w:name w:val="List Bullet"/>
    <w:basedOn w:val="Normal"/>
    <w:link w:val="ListBulletChar"/>
    <w:uiPriority w:val="19"/>
    <w:qFormat/>
    <w:rsid w:val="0016370D"/>
    <w:pPr>
      <w:keepLines/>
      <w:numPr>
        <w:numId w:val="12"/>
      </w:numPr>
      <w:spacing w:before="60"/>
      <w:ind w:left="1080"/>
      <w:contextualSpacing/>
    </w:pPr>
    <w:rPr>
      <w:spacing w:val="2"/>
      <w:sz w:val="18"/>
      <w:szCs w:val="18"/>
      <w:lang w:val="en-AU"/>
    </w:rPr>
  </w:style>
  <w:style w:type="paragraph" w:styleId="ListBullet3">
    <w:name w:val="List Bullet 3"/>
    <w:basedOn w:val="ListBullet2"/>
    <w:uiPriority w:val="19"/>
    <w:unhideWhenUsed/>
    <w:rsid w:val="0016370D"/>
    <w:pPr>
      <w:numPr>
        <w:ilvl w:val="2"/>
      </w:numPr>
      <w:tabs>
        <w:tab w:val="num" w:pos="360"/>
      </w:tabs>
      <w:ind w:left="2520" w:hanging="180"/>
    </w:pPr>
  </w:style>
  <w:style w:type="character" w:customStyle="1" w:styleId="ListBulletChar">
    <w:name w:val="List Bullet Char"/>
    <w:basedOn w:val="DefaultParagraphFont"/>
    <w:link w:val="ListBullet"/>
    <w:uiPriority w:val="19"/>
    <w:rsid w:val="0016370D"/>
    <w:rPr>
      <w:spacing w:val="2"/>
      <w:sz w:val="18"/>
      <w:szCs w:val="18"/>
      <w:lang w:val="en-AU"/>
    </w:rPr>
  </w:style>
  <w:style w:type="paragraph" w:customStyle="1" w:styleId="Heading2nonTOC">
    <w:name w:val="Heading 2 (non TOC)"/>
    <w:basedOn w:val="Heading20"/>
    <w:next w:val="Normal"/>
    <w:uiPriority w:val="12"/>
    <w:qFormat/>
    <w:rsid w:val="0016370D"/>
    <w:pPr>
      <w:numPr>
        <w:ilvl w:val="1"/>
      </w:numPr>
      <w:tabs>
        <w:tab w:val="left" w:pos="964"/>
        <w:tab w:val="right" w:pos="9582"/>
      </w:tabs>
      <w:spacing w:before="240"/>
    </w:pPr>
    <w:rPr>
      <w:b/>
      <w:color w:val="auto"/>
      <w:spacing w:val="-2"/>
      <w:sz w:val="24"/>
      <w:lang w:val="en-AU"/>
    </w:rPr>
  </w:style>
  <w:style w:type="character" w:styleId="UnresolvedMention">
    <w:name w:val="Unresolved Mention"/>
    <w:basedOn w:val="DefaultParagraphFont"/>
    <w:uiPriority w:val="99"/>
    <w:semiHidden/>
    <w:unhideWhenUsed/>
    <w:rsid w:val="0016370D"/>
    <w:rPr>
      <w:color w:val="605E5C"/>
      <w:shd w:val="clear" w:color="auto" w:fill="E1DFDD"/>
    </w:rPr>
  </w:style>
  <w:style w:type="paragraph" w:customStyle="1" w:styleId="Heading1">
    <w:name w:val="Heading 1 (#)"/>
    <w:basedOn w:val="Heading10"/>
    <w:uiPriority w:val="14"/>
    <w:qFormat/>
    <w:rsid w:val="00920591"/>
    <w:pPr>
      <w:pageBreakBefore/>
      <w:numPr>
        <w:numId w:val="14"/>
      </w:numPr>
      <w:pBdr>
        <w:bottom w:val="single" w:sz="12" w:space="1" w:color="auto"/>
      </w:pBdr>
      <w:tabs>
        <w:tab w:val="num" w:pos="360"/>
      </w:tabs>
      <w:spacing w:before="360" w:after="0"/>
      <w:ind w:left="0" w:firstLine="0"/>
    </w:pPr>
    <w:rPr>
      <w:color w:val="auto"/>
      <w:spacing w:val="-2"/>
      <w:sz w:val="28"/>
      <w:szCs w:val="28"/>
      <w:lang w:val="en-AU"/>
    </w:rPr>
  </w:style>
  <w:style w:type="paragraph" w:customStyle="1" w:styleId="Heading2">
    <w:name w:val="Heading 2 (#)"/>
    <w:basedOn w:val="Heading20"/>
    <w:link w:val="Heading2Char0"/>
    <w:uiPriority w:val="14"/>
    <w:qFormat/>
    <w:rsid w:val="00920591"/>
    <w:pPr>
      <w:numPr>
        <w:ilvl w:val="1"/>
        <w:numId w:val="14"/>
      </w:numPr>
      <w:tabs>
        <w:tab w:val="num" w:pos="360"/>
        <w:tab w:val="left" w:pos="964"/>
        <w:tab w:val="right" w:pos="9582"/>
      </w:tabs>
      <w:spacing w:before="240"/>
      <w:ind w:left="0" w:firstLine="0"/>
    </w:pPr>
    <w:rPr>
      <w:b/>
      <w:color w:val="auto"/>
      <w:spacing w:val="-2"/>
      <w:sz w:val="24"/>
    </w:rPr>
  </w:style>
  <w:style w:type="numbering" w:customStyle="1" w:styleId="NumberedHeadings">
    <w:name w:val="Numbered Headings"/>
    <w:uiPriority w:val="99"/>
    <w:rsid w:val="00920591"/>
    <w:pPr>
      <w:numPr>
        <w:numId w:val="13"/>
      </w:numPr>
    </w:pPr>
  </w:style>
  <w:style w:type="paragraph" w:customStyle="1" w:styleId="Heading3">
    <w:name w:val="Heading 3 (#)"/>
    <w:basedOn w:val="Heading30"/>
    <w:next w:val="Normal"/>
    <w:uiPriority w:val="14"/>
    <w:rsid w:val="00920591"/>
    <w:pPr>
      <w:numPr>
        <w:ilvl w:val="2"/>
        <w:numId w:val="14"/>
      </w:numPr>
      <w:tabs>
        <w:tab w:val="num" w:pos="360"/>
        <w:tab w:val="left" w:pos="737"/>
        <w:tab w:val="right" w:pos="9582"/>
      </w:tabs>
      <w:spacing w:before="180"/>
      <w:ind w:left="0" w:firstLine="0"/>
    </w:pPr>
    <w:rPr>
      <w:b/>
      <w:bCs/>
      <w:color w:val="auto"/>
      <w:spacing w:val="-2"/>
      <w:sz w:val="20"/>
      <w:szCs w:val="26"/>
      <w:lang w:val="en-AU"/>
    </w:rPr>
  </w:style>
  <w:style w:type="paragraph" w:customStyle="1" w:styleId="NumberedHeading1">
    <w:name w:val="Numbered Heading 1"/>
    <w:basedOn w:val="Heading10"/>
    <w:next w:val="Normal"/>
    <w:qFormat/>
    <w:rsid w:val="00920591"/>
    <w:pPr>
      <w:numPr>
        <w:numId w:val="15"/>
      </w:numPr>
      <w:tabs>
        <w:tab w:val="num" w:pos="360"/>
      </w:tabs>
      <w:spacing w:before="240" w:after="120"/>
      <w:ind w:left="0" w:firstLine="0"/>
    </w:pPr>
    <w:rPr>
      <w:rFonts w:ascii="Georgia" w:eastAsia="SimHei" w:hAnsi="Georgia" w:cs="Times New Roman"/>
      <w:color w:val="094183"/>
      <w:sz w:val="32"/>
      <w:lang w:val="en-AU"/>
    </w:rPr>
  </w:style>
  <w:style w:type="paragraph" w:customStyle="1" w:styleId="NumberedHeading2">
    <w:name w:val="Numbered Heading 2"/>
    <w:basedOn w:val="Heading20"/>
    <w:next w:val="Normal"/>
    <w:qFormat/>
    <w:rsid w:val="00A03F33"/>
    <w:pPr>
      <w:numPr>
        <w:ilvl w:val="1"/>
        <w:numId w:val="15"/>
      </w:numPr>
      <w:spacing w:before="160" w:after="60"/>
      <w:ind w:left="1440" w:hanging="360"/>
    </w:pPr>
    <w:rPr>
      <w:rFonts w:ascii="Georgia" w:eastAsia="SimHei" w:hAnsi="Georgia" w:cs="Times New Roman"/>
      <w:b/>
      <w:color w:val="auto"/>
      <w:sz w:val="24"/>
      <w:lang w:val="en-AU"/>
    </w:rPr>
  </w:style>
  <w:style w:type="paragraph" w:customStyle="1" w:styleId="NumberedHeading3">
    <w:name w:val="Numbered Heading 3"/>
    <w:basedOn w:val="Heading30"/>
    <w:next w:val="Normal"/>
    <w:qFormat/>
    <w:rsid w:val="00A03F33"/>
    <w:pPr>
      <w:numPr>
        <w:ilvl w:val="2"/>
        <w:numId w:val="15"/>
      </w:numPr>
      <w:spacing w:before="160" w:after="60"/>
      <w:ind w:left="2160" w:hanging="180"/>
    </w:pPr>
    <w:rPr>
      <w:rFonts w:ascii="Georgia" w:eastAsia="SimHei" w:hAnsi="Georgia" w:cs="Times New Roman"/>
      <w:color w:val="094183"/>
      <w:sz w:val="24"/>
      <w:lang w:val="en-AU"/>
    </w:rPr>
  </w:style>
  <w:style w:type="paragraph" w:customStyle="1" w:styleId="xmsonormal">
    <w:name w:val="x_msonormal"/>
    <w:basedOn w:val="Normal"/>
    <w:rsid w:val="00920591"/>
    <w:rPr>
      <w:rFonts w:ascii="Calibri" w:hAnsi="Calibri" w:cs="Calibri"/>
      <w:szCs w:val="22"/>
      <w:lang w:val="en-AU" w:eastAsia="en-AU"/>
    </w:rPr>
  </w:style>
  <w:style w:type="paragraph" w:styleId="BodyText">
    <w:name w:val="Body Text"/>
    <w:aliases w:val="1 VF Body Text"/>
    <w:basedOn w:val="Normal"/>
    <w:link w:val="BodyTextChar"/>
    <w:unhideWhenUsed/>
    <w:qFormat/>
    <w:rsid w:val="00D34D92"/>
    <w:pPr>
      <w:spacing w:after="120"/>
    </w:pPr>
    <w:rPr>
      <w:lang w:val="en-AU"/>
    </w:rPr>
  </w:style>
  <w:style w:type="character" w:customStyle="1" w:styleId="BodyTextChar">
    <w:name w:val="Body Text Char"/>
    <w:aliases w:val="1 VF Body Text Char"/>
    <w:basedOn w:val="DefaultParagraphFont"/>
    <w:link w:val="BodyText"/>
    <w:rsid w:val="00D34D92"/>
    <w:rPr>
      <w:sz w:val="22"/>
      <w:lang w:val="en-AU"/>
    </w:rPr>
  </w:style>
  <w:style w:type="paragraph" w:customStyle="1" w:styleId="StatementName">
    <w:name w:val="Statement Name"/>
    <w:basedOn w:val="Normal"/>
    <w:next w:val="Normal"/>
    <w:link w:val="StatementNameChar"/>
    <w:autoRedefine/>
    <w:rsid w:val="00D34D92"/>
    <w:pPr>
      <w:pBdr>
        <w:bottom w:val="single" w:sz="4" w:space="1" w:color="auto"/>
      </w:pBdr>
      <w:spacing w:line="260" w:lineRule="atLeast"/>
    </w:pPr>
    <w:rPr>
      <w:rFonts w:ascii="Arial" w:eastAsia="Times New Roman" w:hAnsi="Arial" w:cs="Arial"/>
      <w:b/>
      <w:sz w:val="24"/>
      <w:lang w:val="en-AU"/>
    </w:rPr>
  </w:style>
  <w:style w:type="paragraph" w:customStyle="1" w:styleId="StatementDateHeader">
    <w:name w:val="Statement Date Header"/>
    <w:basedOn w:val="Normal"/>
    <w:next w:val="Normal"/>
    <w:rsid w:val="00D34D92"/>
    <w:pPr>
      <w:pBdr>
        <w:bottom w:val="single" w:sz="4" w:space="1" w:color="auto"/>
      </w:pBdr>
      <w:spacing w:line="260" w:lineRule="atLeast"/>
    </w:pPr>
    <w:rPr>
      <w:rFonts w:ascii="Arial" w:eastAsia="Times New Roman" w:hAnsi="Arial" w:cs="Times New Roman"/>
      <w:i/>
      <w:sz w:val="24"/>
      <w:szCs w:val="20"/>
      <w:lang w:val="en-AU"/>
    </w:rPr>
  </w:style>
  <w:style w:type="paragraph" w:customStyle="1" w:styleId="StatementTextLevel3">
    <w:name w:val="Statement Text Level 3"/>
    <w:basedOn w:val="Normal"/>
    <w:next w:val="Normal"/>
    <w:rsid w:val="00D34D92"/>
    <w:pPr>
      <w:spacing w:line="260" w:lineRule="atLeast"/>
    </w:pPr>
    <w:rPr>
      <w:rFonts w:ascii="Arial" w:eastAsia="Times New Roman" w:hAnsi="Arial" w:cs="Times New Roman"/>
      <w:szCs w:val="20"/>
      <w:lang w:val="en-AU"/>
    </w:rPr>
  </w:style>
  <w:style w:type="paragraph" w:customStyle="1" w:styleId="ContinuedNotesHeading-Level1">
    <w:name w:val="Continued Notes Heading - Level 1"/>
    <w:basedOn w:val="NotesHeading-Level1"/>
    <w:qFormat/>
    <w:rsid w:val="00D34D92"/>
    <w:pPr>
      <w:numPr>
        <w:numId w:val="0"/>
      </w:numPr>
      <w:spacing w:line="240" w:lineRule="auto"/>
      <w:outlineLvl w:val="9"/>
    </w:pPr>
  </w:style>
  <w:style w:type="paragraph" w:customStyle="1" w:styleId="TableHeaderLevel1">
    <w:name w:val="Table Header Level 1"/>
    <w:basedOn w:val="Normal"/>
    <w:semiHidden/>
    <w:rsid w:val="00D34D92"/>
    <w:pPr>
      <w:spacing w:line="260" w:lineRule="atLeast"/>
      <w:jc w:val="center"/>
    </w:pPr>
    <w:rPr>
      <w:rFonts w:ascii="Arial" w:eastAsia="Times New Roman" w:hAnsi="Arial" w:cs="Times New Roman"/>
      <w:b/>
      <w:szCs w:val="18"/>
      <w:lang w:val="en-AU"/>
    </w:rPr>
  </w:style>
  <w:style w:type="paragraph" w:customStyle="1" w:styleId="StatementTextLevel1bItalic">
    <w:name w:val="Statement Text Level 1(b) + Italic"/>
    <w:basedOn w:val="Normal"/>
    <w:rsid w:val="00D34D92"/>
    <w:pPr>
      <w:spacing w:line="260" w:lineRule="atLeast"/>
    </w:pPr>
    <w:rPr>
      <w:rFonts w:ascii="Arial" w:eastAsia="Times New Roman" w:hAnsi="Arial" w:cs="Times New Roman"/>
      <w:b/>
      <w:bCs/>
      <w:i/>
      <w:iCs/>
      <w:szCs w:val="18"/>
      <w:lang w:val="en-AU"/>
    </w:rPr>
  </w:style>
  <w:style w:type="paragraph" w:customStyle="1" w:styleId="Graphic">
    <w:name w:val="Graphic"/>
    <w:basedOn w:val="Signature"/>
    <w:rsid w:val="00D34D92"/>
    <w:pPr>
      <w:pBdr>
        <w:top w:val="single" w:sz="4" w:space="1" w:color="auto"/>
        <w:left w:val="single" w:sz="4" w:space="1" w:color="auto"/>
        <w:bottom w:val="single" w:sz="4" w:space="1" w:color="auto"/>
        <w:right w:val="single" w:sz="4" w:space="1" w:color="auto"/>
      </w:pBdr>
      <w:jc w:val="center"/>
    </w:pPr>
  </w:style>
  <w:style w:type="paragraph" w:styleId="Signature">
    <w:name w:val="Signature"/>
    <w:basedOn w:val="Normal"/>
    <w:link w:val="SignatureChar"/>
    <w:rsid w:val="00D34D92"/>
    <w:rPr>
      <w:rFonts w:ascii="Arial" w:eastAsia="Times New Roman" w:hAnsi="Arial" w:cs="Times New Roman"/>
      <w:szCs w:val="20"/>
      <w:lang w:val="en-AU"/>
    </w:rPr>
  </w:style>
  <w:style w:type="character" w:customStyle="1" w:styleId="SignatureChar">
    <w:name w:val="Signature Char"/>
    <w:basedOn w:val="DefaultParagraphFont"/>
    <w:link w:val="Signature"/>
    <w:rsid w:val="00D34D92"/>
    <w:rPr>
      <w:rFonts w:ascii="Arial" w:eastAsia="Times New Roman" w:hAnsi="Arial" w:cs="Times New Roman"/>
      <w:sz w:val="22"/>
      <w:szCs w:val="20"/>
      <w:lang w:val="en-AU"/>
    </w:rPr>
  </w:style>
  <w:style w:type="paragraph" w:styleId="MacroText">
    <w:name w:val="macro"/>
    <w:link w:val="MacroTextChar"/>
    <w:semiHidden/>
    <w:rsid w:val="00D34D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sz w:val="18"/>
      <w:szCs w:val="20"/>
    </w:rPr>
  </w:style>
  <w:style w:type="character" w:customStyle="1" w:styleId="MacroTextChar">
    <w:name w:val="Macro Text Char"/>
    <w:basedOn w:val="DefaultParagraphFont"/>
    <w:link w:val="MacroText"/>
    <w:semiHidden/>
    <w:rsid w:val="00D34D92"/>
    <w:rPr>
      <w:rFonts w:ascii="Courier New" w:eastAsia="Times New Roman" w:hAnsi="Courier New" w:cs="Courier New"/>
      <w:sz w:val="18"/>
      <w:szCs w:val="20"/>
    </w:rPr>
  </w:style>
  <w:style w:type="paragraph" w:customStyle="1" w:styleId="NotesTotal">
    <w:name w:val="Notes Total"/>
    <w:basedOn w:val="Normal"/>
    <w:autoRedefine/>
    <w:rsid w:val="00D34D92"/>
    <w:pPr>
      <w:spacing w:line="260" w:lineRule="atLeast"/>
      <w:ind w:left="139" w:right="57"/>
    </w:pPr>
    <w:rPr>
      <w:rFonts w:ascii="Arial" w:eastAsia="Times New Roman" w:hAnsi="Arial" w:cs="Times New Roman"/>
      <w:b/>
      <w:iCs/>
      <w:sz w:val="20"/>
      <w:szCs w:val="20"/>
      <w:lang w:val="en-AU"/>
    </w:rPr>
  </w:style>
  <w:style w:type="paragraph" w:customStyle="1" w:styleId="TitlePage">
    <w:name w:val="Title Page"/>
    <w:basedOn w:val="Normal"/>
    <w:autoRedefine/>
    <w:rsid w:val="00D34D92"/>
    <w:pPr>
      <w:spacing w:before="1200" w:after="1200" w:line="260" w:lineRule="atLeast"/>
      <w:ind w:left="57" w:right="57"/>
      <w:jc w:val="right"/>
    </w:pPr>
    <w:rPr>
      <w:rFonts w:ascii="Arial" w:eastAsia="Times New Roman" w:hAnsi="Arial" w:cs="Times New Roman"/>
      <w:b/>
      <w:bCs/>
      <w:sz w:val="48"/>
      <w:szCs w:val="20"/>
      <w:lang w:val="en-AU"/>
    </w:rPr>
  </w:style>
  <w:style w:type="paragraph" w:customStyle="1" w:styleId="zcontents">
    <w:name w:val="zcontents"/>
    <w:basedOn w:val="Normal"/>
    <w:semiHidden/>
    <w:rsid w:val="00D34D92"/>
    <w:pPr>
      <w:spacing w:after="260"/>
    </w:pPr>
    <w:rPr>
      <w:rFonts w:ascii="Arial" w:eastAsia="Times New Roman" w:hAnsi="Arial" w:cs="Times New Roman"/>
      <w:b/>
      <w:sz w:val="32"/>
      <w:szCs w:val="20"/>
      <w:lang w:val="en-AU"/>
    </w:rPr>
  </w:style>
  <w:style w:type="paragraph" w:customStyle="1" w:styleId="Normal10pt">
    <w:name w:val="Normal + 10 pt"/>
    <w:aliases w:val="Line spacing:  single"/>
    <w:basedOn w:val="Normal"/>
    <w:rsid w:val="00D34D92"/>
    <w:pPr>
      <w:spacing w:before="130" w:after="130" w:line="260" w:lineRule="atLeast"/>
    </w:pPr>
    <w:rPr>
      <w:rFonts w:ascii="Arial" w:eastAsia="Times New Roman" w:hAnsi="Arial" w:cs="Times New Roman"/>
      <w:b/>
      <w:sz w:val="20"/>
      <w:szCs w:val="20"/>
      <w:lang w:val="en-AU"/>
    </w:rPr>
  </w:style>
  <w:style w:type="paragraph" w:styleId="z-BottomofForm">
    <w:name w:val="HTML Bottom of Form"/>
    <w:basedOn w:val="Normal"/>
    <w:next w:val="Normal"/>
    <w:link w:val="z-BottomofFormChar"/>
    <w:hidden/>
    <w:rsid w:val="00D34D92"/>
    <w:pPr>
      <w:pBdr>
        <w:top w:val="single" w:sz="6" w:space="1" w:color="auto"/>
      </w:pBdr>
      <w:spacing w:line="260" w:lineRule="atLeast"/>
      <w:jc w:val="center"/>
    </w:pPr>
    <w:rPr>
      <w:rFonts w:ascii="Arial" w:eastAsia="Times New Roman" w:hAnsi="Arial" w:cs="Arial"/>
      <w:vanish/>
      <w:sz w:val="16"/>
      <w:szCs w:val="16"/>
      <w:lang w:val="en-AU"/>
    </w:rPr>
  </w:style>
  <w:style w:type="character" w:customStyle="1" w:styleId="z-BottomofFormChar">
    <w:name w:val="z-Bottom of Form Char"/>
    <w:basedOn w:val="DefaultParagraphFont"/>
    <w:link w:val="z-BottomofForm"/>
    <w:rsid w:val="00D34D92"/>
    <w:rPr>
      <w:rFonts w:ascii="Arial" w:eastAsia="Times New Roman" w:hAnsi="Arial" w:cs="Arial"/>
      <w:vanish/>
      <w:sz w:val="16"/>
      <w:szCs w:val="16"/>
      <w:lang w:val="en-AU"/>
    </w:rPr>
  </w:style>
  <w:style w:type="paragraph" w:styleId="z-TopofForm">
    <w:name w:val="HTML Top of Form"/>
    <w:basedOn w:val="Normal"/>
    <w:next w:val="Normal"/>
    <w:link w:val="z-TopofFormChar"/>
    <w:hidden/>
    <w:rsid w:val="00D34D92"/>
    <w:pPr>
      <w:pBdr>
        <w:bottom w:val="single" w:sz="6" w:space="1" w:color="auto"/>
      </w:pBdr>
      <w:spacing w:line="260" w:lineRule="atLeast"/>
      <w:jc w:val="center"/>
    </w:pPr>
    <w:rPr>
      <w:rFonts w:ascii="Arial" w:eastAsia="Times New Roman" w:hAnsi="Arial" w:cs="Arial"/>
      <w:vanish/>
      <w:sz w:val="16"/>
      <w:szCs w:val="16"/>
      <w:lang w:val="en-AU"/>
    </w:rPr>
  </w:style>
  <w:style w:type="character" w:customStyle="1" w:styleId="z-TopofFormChar">
    <w:name w:val="z-Top of Form Char"/>
    <w:basedOn w:val="DefaultParagraphFont"/>
    <w:link w:val="z-TopofForm"/>
    <w:rsid w:val="00D34D92"/>
    <w:rPr>
      <w:rFonts w:ascii="Arial" w:eastAsia="Times New Roman" w:hAnsi="Arial" w:cs="Arial"/>
      <w:vanish/>
      <w:sz w:val="16"/>
      <w:szCs w:val="16"/>
      <w:lang w:val="en-AU"/>
    </w:rPr>
  </w:style>
  <w:style w:type="paragraph" w:styleId="DocumentMap">
    <w:name w:val="Document Map"/>
    <w:basedOn w:val="Normal"/>
    <w:link w:val="DocumentMapChar"/>
    <w:semiHidden/>
    <w:rsid w:val="00D34D92"/>
    <w:pPr>
      <w:shd w:val="clear" w:color="auto" w:fill="000080"/>
    </w:pPr>
    <w:rPr>
      <w:rFonts w:ascii="Tahoma" w:eastAsia="Times New Roman" w:hAnsi="Tahoma" w:cs="Times New Roman"/>
      <w:sz w:val="20"/>
      <w:szCs w:val="20"/>
      <w:lang w:val="en-AU" w:eastAsia="en-AU"/>
    </w:rPr>
  </w:style>
  <w:style w:type="character" w:customStyle="1" w:styleId="DocumentMapChar">
    <w:name w:val="Document Map Char"/>
    <w:basedOn w:val="DefaultParagraphFont"/>
    <w:link w:val="DocumentMap"/>
    <w:semiHidden/>
    <w:rsid w:val="00D34D92"/>
    <w:rPr>
      <w:rFonts w:ascii="Tahoma" w:eastAsia="Times New Roman" w:hAnsi="Tahoma" w:cs="Times New Roman"/>
      <w:sz w:val="20"/>
      <w:szCs w:val="20"/>
      <w:shd w:val="clear" w:color="auto" w:fill="000080"/>
      <w:lang w:val="en-AU" w:eastAsia="en-AU"/>
    </w:rPr>
  </w:style>
  <w:style w:type="numbering" w:customStyle="1" w:styleId="NoList1">
    <w:name w:val="No List1"/>
    <w:next w:val="NoList"/>
    <w:semiHidden/>
    <w:rsid w:val="00D34D92"/>
  </w:style>
  <w:style w:type="paragraph" w:customStyle="1" w:styleId="Normal8pt">
    <w:name w:val="Normal + 8 pt"/>
    <w:basedOn w:val="Normal"/>
    <w:rsid w:val="00D34D92"/>
    <w:pPr>
      <w:widowControl w:val="0"/>
      <w:autoSpaceDE w:val="0"/>
      <w:autoSpaceDN w:val="0"/>
    </w:pPr>
    <w:rPr>
      <w:rFonts w:ascii="Arial" w:eastAsia="Times New Roman" w:hAnsi="Arial" w:cs="Times New Roman"/>
      <w:bCs/>
      <w:iCs/>
      <w:spacing w:val="-6"/>
      <w:sz w:val="16"/>
      <w:szCs w:val="16"/>
      <w:lang w:val="en-US"/>
    </w:rPr>
  </w:style>
  <w:style w:type="paragraph" w:customStyle="1" w:styleId="NormalCalistoMT">
    <w:name w:val="Normal + Calisto MT"/>
    <w:aliases w:val="8 pt,Right"/>
    <w:basedOn w:val="Normal"/>
    <w:rsid w:val="00D34D92"/>
    <w:pPr>
      <w:framePr w:hSpace="180" w:wrap="around" w:vAnchor="text" w:hAnchor="margin" w:y="1"/>
      <w:spacing w:line="260" w:lineRule="atLeast"/>
      <w:ind w:right="212"/>
      <w:suppressOverlap/>
      <w:jc w:val="right"/>
    </w:pPr>
    <w:rPr>
      <w:rFonts w:ascii="Calisto MT" w:eastAsia="Times New Roman" w:hAnsi="Calisto MT" w:cs="Times New Roman"/>
      <w:sz w:val="16"/>
      <w:szCs w:val="20"/>
      <w:lang w:val="en-AU"/>
    </w:rPr>
  </w:style>
  <w:style w:type="paragraph" w:customStyle="1" w:styleId="ReferenceText">
    <w:name w:val="Reference Text"/>
    <w:basedOn w:val="Normal"/>
    <w:link w:val="ReferenceTextChar"/>
    <w:qFormat/>
    <w:rsid w:val="00D34D92"/>
    <w:pPr>
      <w:spacing w:before="60" w:after="60" w:line="200" w:lineRule="exact"/>
      <w:ind w:right="-1"/>
    </w:pPr>
    <w:rPr>
      <w:rFonts w:ascii="Arial" w:eastAsia="Times New Roman" w:hAnsi="Arial" w:cs="Arial"/>
      <w:sz w:val="18"/>
      <w:szCs w:val="18"/>
      <w:lang w:val="en-AU" w:eastAsia="en-AU"/>
    </w:rPr>
  </w:style>
  <w:style w:type="paragraph" w:customStyle="1" w:styleId="NotesHeading-Level1">
    <w:name w:val="Notes Heading - Level 1"/>
    <w:basedOn w:val="Normal"/>
    <w:qFormat/>
    <w:rsid w:val="00D34D92"/>
    <w:pPr>
      <w:numPr>
        <w:numId w:val="18"/>
      </w:numPr>
      <w:shd w:val="clear" w:color="auto" w:fill="8A2A2F" w:themeFill="text1"/>
      <w:tabs>
        <w:tab w:val="clear" w:pos="851"/>
        <w:tab w:val="num" w:pos="340"/>
      </w:tabs>
      <w:spacing w:line="260" w:lineRule="atLeast"/>
      <w:ind w:left="340" w:right="607" w:hanging="340"/>
      <w:outlineLvl w:val="0"/>
    </w:pPr>
    <w:rPr>
      <w:rFonts w:ascii="Arial" w:eastAsia="Times New Roman" w:hAnsi="Arial" w:cs="Times New Roman"/>
      <w:b/>
      <w:color w:val="FFFFFF" w:themeColor="background1"/>
      <w:sz w:val="20"/>
      <w:szCs w:val="20"/>
      <w:lang w:val="en-AU"/>
    </w:rPr>
  </w:style>
  <w:style w:type="paragraph" w:customStyle="1" w:styleId="NotesHeading-Level2">
    <w:name w:val="Notes Heading - Level 2"/>
    <w:basedOn w:val="NotesHeading-Level1"/>
    <w:rsid w:val="00D34D92"/>
    <w:pPr>
      <w:framePr w:hSpace="180" w:wrap="around" w:vAnchor="text" w:hAnchor="margin" w:y="1"/>
      <w:numPr>
        <w:ilvl w:val="1"/>
      </w:numPr>
      <w:tabs>
        <w:tab w:val="clear" w:pos="851"/>
        <w:tab w:val="num" w:pos="340"/>
      </w:tabs>
      <w:ind w:left="340" w:hanging="340"/>
      <w:suppressOverlap/>
    </w:pPr>
    <w:rPr>
      <w:sz w:val="18"/>
    </w:rPr>
  </w:style>
  <w:style w:type="character" w:customStyle="1" w:styleId="StatementNameChar">
    <w:name w:val="Statement Name Char"/>
    <w:basedOn w:val="DefaultParagraphFont"/>
    <w:link w:val="StatementName"/>
    <w:rsid w:val="00D34D92"/>
    <w:rPr>
      <w:rFonts w:ascii="Arial" w:eastAsia="Times New Roman" w:hAnsi="Arial" w:cs="Arial"/>
      <w:b/>
      <w:lang w:val="en-AU"/>
    </w:rPr>
  </w:style>
  <w:style w:type="numbering" w:customStyle="1" w:styleId="CurrentList1">
    <w:name w:val="Current List1"/>
    <w:rsid w:val="00207683"/>
    <w:pPr>
      <w:numPr>
        <w:numId w:val="19"/>
      </w:numPr>
    </w:pPr>
  </w:style>
  <w:style w:type="numbering" w:customStyle="1" w:styleId="Style2">
    <w:name w:val="Style2"/>
    <w:rsid w:val="00207683"/>
    <w:pPr>
      <w:numPr>
        <w:numId w:val="20"/>
      </w:numPr>
    </w:pPr>
  </w:style>
  <w:style w:type="numbering" w:customStyle="1" w:styleId="CurrentList2">
    <w:name w:val="Current List2"/>
    <w:rsid w:val="00207683"/>
    <w:pPr>
      <w:numPr>
        <w:numId w:val="21"/>
      </w:numPr>
    </w:pPr>
  </w:style>
  <w:style w:type="character" w:customStyle="1" w:styleId="ReferenceTextChar">
    <w:name w:val="Reference Text Char"/>
    <w:basedOn w:val="DefaultParagraphFont"/>
    <w:link w:val="ReferenceText"/>
    <w:rsid w:val="00D34D92"/>
    <w:rPr>
      <w:rFonts w:ascii="Arial" w:eastAsia="Times New Roman" w:hAnsi="Arial" w:cs="Arial"/>
      <w:sz w:val="18"/>
      <w:szCs w:val="18"/>
      <w:lang w:val="en-AU" w:eastAsia="en-AU"/>
    </w:rPr>
  </w:style>
  <w:style w:type="paragraph" w:customStyle="1" w:styleId="StatementHeading">
    <w:name w:val="Statement Heading"/>
    <w:basedOn w:val="Normal"/>
    <w:rsid w:val="00D34D92"/>
    <w:pPr>
      <w:spacing w:line="260" w:lineRule="atLeast"/>
    </w:pPr>
    <w:rPr>
      <w:rFonts w:ascii="Arial" w:eastAsia="Times New Roman" w:hAnsi="Arial" w:cs="Times New Roman"/>
      <w:b/>
      <w:sz w:val="24"/>
      <w:szCs w:val="20"/>
      <w:lang w:val="en-AU"/>
    </w:rPr>
  </w:style>
  <w:style w:type="paragraph" w:customStyle="1" w:styleId="GreyShadeTableBreak">
    <w:name w:val="Grey Shade Table Break"/>
    <w:basedOn w:val="Normal"/>
    <w:qFormat/>
    <w:rsid w:val="00D34D92"/>
    <w:pPr>
      <w:shd w:val="clear" w:color="auto" w:fill="D9D9D9" w:themeFill="background1" w:themeFillShade="D9"/>
      <w:tabs>
        <w:tab w:val="left" w:pos="9214"/>
      </w:tabs>
      <w:spacing w:line="260" w:lineRule="atLeast"/>
      <w:ind w:right="607"/>
    </w:pPr>
    <w:rPr>
      <w:rFonts w:ascii="Arial" w:eastAsia="Times New Roman" w:hAnsi="Arial" w:cs="Times New Roman"/>
      <w:szCs w:val="20"/>
      <w:lang w:val="en-AU"/>
    </w:rPr>
  </w:style>
  <w:style w:type="paragraph" w:customStyle="1" w:styleId="GreyShadeTableBreaknon-Standard">
    <w:name w:val="Grey Shade Table Break non-Standard"/>
    <w:qFormat/>
    <w:rsid w:val="00D34D92"/>
    <w:pPr>
      <w:shd w:val="clear" w:color="auto" w:fill="D9D9D9" w:themeFill="background1" w:themeFillShade="D9"/>
      <w:ind w:right="57"/>
    </w:pPr>
    <w:rPr>
      <w:rFonts w:ascii="Times New Roman" w:eastAsia="Times New Roman" w:hAnsi="Times New Roman" w:cs="Times New Roman"/>
      <w:sz w:val="22"/>
      <w:szCs w:val="20"/>
      <w:lang w:val="en-AU"/>
    </w:rPr>
  </w:style>
  <w:style w:type="paragraph" w:customStyle="1" w:styleId="ReferenceTextLetter">
    <w:name w:val="Reference Text Letter"/>
    <w:basedOn w:val="ReferenceText"/>
    <w:rsid w:val="00D34D92"/>
    <w:pPr>
      <w:spacing w:line="240" w:lineRule="auto"/>
      <w:ind w:left="567" w:right="567"/>
    </w:pPr>
  </w:style>
  <w:style w:type="paragraph" w:customStyle="1" w:styleId="NotesHeader">
    <w:name w:val="Notes Header"/>
    <w:basedOn w:val="Normal"/>
    <w:next w:val="Normal"/>
    <w:rsid w:val="00D34D92"/>
    <w:pPr>
      <w:spacing w:line="260" w:lineRule="atLeast"/>
      <w:jc w:val="center"/>
    </w:pPr>
    <w:rPr>
      <w:rFonts w:ascii="Arial" w:eastAsia="Times New Roman" w:hAnsi="Arial" w:cs="Times New Roman"/>
      <w:b/>
      <w:szCs w:val="20"/>
      <w:lang w:val="en-AU"/>
    </w:rPr>
  </w:style>
  <w:style w:type="paragraph" w:customStyle="1" w:styleId="NotesReferences">
    <w:name w:val="Notes References"/>
    <w:basedOn w:val="Normal"/>
    <w:next w:val="Normal"/>
    <w:rsid w:val="00D34D92"/>
    <w:pPr>
      <w:spacing w:line="260" w:lineRule="atLeast"/>
      <w:jc w:val="center"/>
    </w:pPr>
    <w:rPr>
      <w:rFonts w:ascii="Arial" w:eastAsia="Times New Roman" w:hAnsi="Arial" w:cs="Times New Roman"/>
      <w:szCs w:val="20"/>
      <w:lang w:val="en-AU"/>
    </w:rPr>
  </w:style>
  <w:style w:type="paragraph" w:customStyle="1" w:styleId="NotesData">
    <w:name w:val="Notes Data"/>
    <w:basedOn w:val="Normal"/>
    <w:rsid w:val="00D34D92"/>
    <w:pPr>
      <w:framePr w:hSpace="180" w:wrap="around" w:vAnchor="text" w:hAnchor="margin" w:y="1"/>
      <w:spacing w:line="260" w:lineRule="atLeast"/>
      <w:jc w:val="center"/>
    </w:pPr>
    <w:rPr>
      <w:rFonts w:ascii="Arial" w:eastAsia="Times New Roman" w:hAnsi="Arial" w:cs="Times New Roman"/>
      <w:sz w:val="20"/>
      <w:szCs w:val="20"/>
      <w:lang w:val="en-AU"/>
    </w:rPr>
  </w:style>
  <w:style w:type="paragraph" w:customStyle="1" w:styleId="NotesTextLevel1">
    <w:name w:val="Notes Text Level 1"/>
    <w:basedOn w:val="Normal"/>
    <w:next w:val="Normal"/>
    <w:rsid w:val="00D34D92"/>
    <w:pPr>
      <w:spacing w:line="260" w:lineRule="atLeast"/>
    </w:pPr>
    <w:rPr>
      <w:rFonts w:ascii="Arial" w:eastAsia="Times New Roman" w:hAnsi="Arial" w:cs="Times New Roman"/>
      <w:b/>
      <w:i/>
      <w:szCs w:val="20"/>
      <w:u w:val="single"/>
      <w:lang w:val="en-AU"/>
    </w:rPr>
  </w:style>
  <w:style w:type="paragraph" w:customStyle="1" w:styleId="NotesTextLevel3aboldItalic">
    <w:name w:val="Notes Text Level 3(a) bold + Italic"/>
    <w:basedOn w:val="Normal"/>
    <w:link w:val="NotesTextLevel3aboldItalicChar"/>
    <w:rsid w:val="00D34D92"/>
    <w:pPr>
      <w:spacing w:line="260" w:lineRule="atLeast"/>
    </w:pPr>
    <w:rPr>
      <w:rFonts w:ascii="Arial" w:eastAsia="Times New Roman" w:hAnsi="Arial" w:cs="Times New Roman"/>
      <w:b/>
      <w:bCs/>
      <w:i/>
      <w:iCs/>
      <w:szCs w:val="20"/>
      <w:lang w:val="en-AU"/>
    </w:rPr>
  </w:style>
  <w:style w:type="character" w:customStyle="1" w:styleId="NotesTextLevel3aboldItalicChar">
    <w:name w:val="Notes Text Level 3(a) bold + Italic Char"/>
    <w:basedOn w:val="DefaultParagraphFont"/>
    <w:link w:val="NotesTextLevel3aboldItalic"/>
    <w:rsid w:val="00D34D92"/>
    <w:rPr>
      <w:rFonts w:ascii="Arial" w:eastAsia="Times New Roman" w:hAnsi="Arial" w:cs="Times New Roman"/>
      <w:b/>
      <w:bCs/>
      <w:i/>
      <w:iCs/>
      <w:sz w:val="22"/>
      <w:szCs w:val="20"/>
      <w:lang w:val="en-AU"/>
    </w:rPr>
  </w:style>
  <w:style w:type="paragraph" w:customStyle="1" w:styleId="NotesHeading3">
    <w:name w:val="Notes Heading 3"/>
    <w:basedOn w:val="Normal"/>
    <w:autoRedefine/>
    <w:rsid w:val="00D34D92"/>
    <w:pPr>
      <w:spacing w:before="80" w:after="40" w:line="260" w:lineRule="atLeast"/>
      <w:ind w:left="113" w:right="113"/>
    </w:pPr>
    <w:rPr>
      <w:rFonts w:ascii="Arial" w:eastAsia="Times New Roman" w:hAnsi="Arial" w:cs="Times New Roman"/>
      <w:szCs w:val="20"/>
      <w:u w:val="single"/>
      <w:lang w:val="en-US"/>
    </w:rPr>
  </w:style>
  <w:style w:type="paragraph" w:customStyle="1" w:styleId="NotesHeading3a">
    <w:name w:val="Notes Heading 3a"/>
    <w:basedOn w:val="Normal"/>
    <w:autoRedefine/>
    <w:rsid w:val="00D34D92"/>
    <w:pPr>
      <w:tabs>
        <w:tab w:val="num" w:pos="473"/>
      </w:tabs>
      <w:spacing w:after="120" w:line="260" w:lineRule="atLeast"/>
      <w:ind w:left="113" w:right="113"/>
      <w:jc w:val="both"/>
    </w:pPr>
    <w:rPr>
      <w:rFonts w:ascii="Arial" w:eastAsia="Times New Roman" w:hAnsi="Arial" w:cs="Times New Roman"/>
      <w:szCs w:val="20"/>
      <w:u w:val="single"/>
      <w:lang w:val="en-US"/>
    </w:rPr>
  </w:style>
  <w:style w:type="paragraph" w:customStyle="1" w:styleId="Notessub-lineitem">
    <w:name w:val="Notes sub-line item"/>
    <w:basedOn w:val="Normal"/>
    <w:autoRedefine/>
    <w:rsid w:val="00D34D92"/>
    <w:pPr>
      <w:framePr w:hSpace="180" w:wrap="around" w:vAnchor="page" w:hAnchor="margin" w:y="1985"/>
      <w:tabs>
        <w:tab w:val="left" w:pos="593"/>
        <w:tab w:val="left" w:pos="1443"/>
      </w:tabs>
      <w:spacing w:line="260" w:lineRule="atLeast"/>
      <w:ind w:left="567" w:right="113"/>
    </w:pPr>
    <w:rPr>
      <w:rFonts w:ascii="Arial" w:eastAsia="Times New Roman" w:hAnsi="Arial" w:cs="Times New Roman"/>
      <w:sz w:val="20"/>
      <w:szCs w:val="20"/>
      <w:lang w:val="en-AU"/>
    </w:rPr>
  </w:style>
  <w:style w:type="paragraph" w:customStyle="1" w:styleId="NotesLineItem">
    <w:name w:val="Notes Line Item"/>
    <w:basedOn w:val="Normal"/>
    <w:autoRedefine/>
    <w:rsid w:val="00D34D92"/>
    <w:pPr>
      <w:spacing w:line="260" w:lineRule="atLeast"/>
      <w:ind w:left="34"/>
    </w:pPr>
    <w:rPr>
      <w:rFonts w:ascii="Arial" w:eastAsia="Times New Roman" w:hAnsi="Arial" w:cs="Times New Roman"/>
      <w:iCs/>
      <w:sz w:val="16"/>
      <w:szCs w:val="16"/>
      <w:lang w:val="en-AU" w:eastAsia="en-AU"/>
    </w:rPr>
  </w:style>
  <w:style w:type="paragraph" w:customStyle="1" w:styleId="NoteText">
    <w:name w:val="Note Text"/>
    <w:basedOn w:val="Normal"/>
    <w:autoRedefine/>
    <w:rsid w:val="00D34D92"/>
    <w:pPr>
      <w:tabs>
        <w:tab w:val="left" w:pos="284"/>
      </w:tabs>
      <w:spacing w:after="120" w:line="260" w:lineRule="atLeast"/>
      <w:ind w:left="567"/>
    </w:pPr>
    <w:rPr>
      <w:rFonts w:ascii="Arial" w:eastAsia="Times New Roman" w:hAnsi="Arial" w:cs="Times New Roman"/>
      <w:sz w:val="20"/>
      <w:szCs w:val="20"/>
      <w:lang w:val="en-AU"/>
    </w:rPr>
  </w:style>
  <w:style w:type="paragraph" w:customStyle="1" w:styleId="NotesHeading">
    <w:name w:val="'Notes' Heading"/>
    <w:basedOn w:val="Normal"/>
    <w:autoRedefine/>
    <w:rsid w:val="00D34D92"/>
    <w:pPr>
      <w:spacing w:line="260" w:lineRule="atLeast"/>
      <w:ind w:left="57" w:right="57"/>
      <w:jc w:val="center"/>
    </w:pPr>
    <w:rPr>
      <w:rFonts w:ascii="Arial" w:eastAsia="Times New Roman" w:hAnsi="Arial" w:cs="Times New Roman"/>
      <w:b/>
      <w:sz w:val="20"/>
      <w:szCs w:val="20"/>
      <w:lang w:val="en-AU"/>
    </w:rPr>
  </w:style>
  <w:style w:type="paragraph" w:customStyle="1" w:styleId="NotesReference">
    <w:name w:val="'Notes' Reference"/>
    <w:basedOn w:val="Normal"/>
    <w:autoRedefine/>
    <w:rsid w:val="00D34D92"/>
    <w:pPr>
      <w:spacing w:line="260" w:lineRule="atLeast"/>
      <w:ind w:left="57" w:right="57"/>
      <w:jc w:val="center"/>
    </w:pPr>
    <w:rPr>
      <w:rFonts w:ascii="Arial" w:eastAsia="Times New Roman" w:hAnsi="Arial" w:cs="Times New Roman"/>
      <w:sz w:val="20"/>
      <w:szCs w:val="20"/>
      <w:lang w:val="en-AU"/>
    </w:rPr>
  </w:style>
  <w:style w:type="paragraph" w:customStyle="1" w:styleId="NotesHeading4">
    <w:name w:val="Notes Heading 4"/>
    <w:basedOn w:val="NoteText"/>
    <w:autoRedefine/>
    <w:rsid w:val="00D34D92"/>
    <w:pPr>
      <w:keepNext/>
      <w:spacing w:before="200" w:after="80"/>
      <w:ind w:right="57"/>
    </w:pPr>
  </w:style>
  <w:style w:type="paragraph" w:customStyle="1" w:styleId="NotesHeading3NumberingOff">
    <w:name w:val="Notes Heading 3 Numbering Off"/>
    <w:basedOn w:val="NotesHeading3"/>
    <w:autoRedefine/>
    <w:rsid w:val="00D34D92"/>
    <w:pPr>
      <w:tabs>
        <w:tab w:val="left" w:pos="1132"/>
      </w:tabs>
    </w:pPr>
  </w:style>
  <w:style w:type="paragraph" w:customStyle="1" w:styleId="NotesHeadingPlain">
    <w:name w:val="'Notes' Heading Plain"/>
    <w:basedOn w:val="NotesHeading"/>
    <w:autoRedefine/>
    <w:rsid w:val="00D34D92"/>
    <w:rPr>
      <w:b w:val="0"/>
    </w:rPr>
  </w:style>
  <w:style w:type="paragraph" w:customStyle="1" w:styleId="NotesHeading5">
    <w:name w:val="Notes Heading 5"/>
    <w:basedOn w:val="Normal"/>
    <w:autoRedefine/>
    <w:rsid w:val="00D34D92"/>
    <w:pPr>
      <w:spacing w:before="120" w:after="40" w:line="260" w:lineRule="atLeast"/>
      <w:ind w:left="113" w:right="113"/>
      <w:jc w:val="both"/>
    </w:pPr>
    <w:rPr>
      <w:rFonts w:ascii="Arial" w:eastAsia="Times New Roman" w:hAnsi="Arial" w:cs="Times New Roman"/>
      <w:b/>
      <w:sz w:val="20"/>
      <w:szCs w:val="20"/>
      <w:lang w:val="en-AU"/>
    </w:rPr>
  </w:style>
  <w:style w:type="paragraph" w:customStyle="1" w:styleId="NoteTextBEFOREDotPoint">
    <w:name w:val="Note Text BEFORE Dot Point"/>
    <w:basedOn w:val="NoteText"/>
    <w:rsid w:val="00D34D92"/>
    <w:pPr>
      <w:spacing w:after="0"/>
      <w:ind w:left="178" w:right="57"/>
    </w:pPr>
  </w:style>
  <w:style w:type="paragraph" w:customStyle="1" w:styleId="ItalicLineItem">
    <w:name w:val="Italic Line Item"/>
    <w:basedOn w:val="Normal"/>
    <w:rsid w:val="00D34D92"/>
    <w:pPr>
      <w:tabs>
        <w:tab w:val="left" w:pos="566"/>
      </w:tabs>
      <w:spacing w:line="260" w:lineRule="atLeast"/>
      <w:ind w:left="284" w:right="113"/>
      <w:jc w:val="both"/>
    </w:pPr>
    <w:rPr>
      <w:rFonts w:ascii="Arial" w:eastAsia="Times New Roman" w:hAnsi="Arial" w:cs="Times New Roman"/>
      <w:i/>
      <w:sz w:val="20"/>
      <w:szCs w:val="20"/>
      <w:lang w:val="en-US"/>
    </w:rPr>
  </w:style>
  <w:style w:type="paragraph" w:customStyle="1" w:styleId="ItalicHeading">
    <w:name w:val="Italic Heading"/>
    <w:basedOn w:val="ItalicLineItem"/>
    <w:rsid w:val="00D34D92"/>
    <w:pPr>
      <w:ind w:left="57" w:right="0"/>
    </w:pPr>
  </w:style>
  <w:style w:type="paragraph" w:customStyle="1" w:styleId="Notes">
    <w:name w:val="'Notes'"/>
    <w:basedOn w:val="Normal"/>
    <w:rsid w:val="00D34D92"/>
    <w:pPr>
      <w:spacing w:line="260" w:lineRule="atLeast"/>
      <w:jc w:val="center"/>
    </w:pPr>
    <w:rPr>
      <w:rFonts w:ascii="Arial" w:eastAsia="Times New Roman" w:hAnsi="Arial" w:cs="Times New Roman"/>
      <w:b/>
      <w:szCs w:val="20"/>
      <w:lang w:val="en-AU"/>
    </w:rPr>
  </w:style>
  <w:style w:type="paragraph" w:customStyle="1" w:styleId="Lineitems">
    <w:name w:val="Line items"/>
    <w:basedOn w:val="Normal"/>
    <w:link w:val="LineitemsChar"/>
    <w:autoRedefine/>
    <w:rsid w:val="00D34D92"/>
    <w:pPr>
      <w:spacing w:line="260" w:lineRule="atLeast"/>
    </w:pPr>
    <w:rPr>
      <w:rFonts w:ascii="Arial" w:eastAsia="Times New Roman" w:hAnsi="Arial" w:cs="Times New Roman"/>
      <w:sz w:val="20"/>
      <w:szCs w:val="20"/>
      <w:lang w:val="en-AU"/>
    </w:rPr>
  </w:style>
  <w:style w:type="paragraph" w:customStyle="1" w:styleId="Notestext">
    <w:name w:val="Notes text"/>
    <w:basedOn w:val="Notes"/>
    <w:rsid w:val="00D34D92"/>
    <w:rPr>
      <w:b w:val="0"/>
    </w:rPr>
  </w:style>
  <w:style w:type="paragraph" w:customStyle="1" w:styleId="Lineitemtable">
    <w:name w:val="Line item table"/>
    <w:basedOn w:val="Lineitems"/>
    <w:rsid w:val="00D34D92"/>
  </w:style>
  <w:style w:type="paragraph" w:customStyle="1" w:styleId="12line">
    <w:name w:val="1/2 line"/>
    <w:basedOn w:val="Normal"/>
    <w:rsid w:val="00D34D92"/>
    <w:pPr>
      <w:spacing w:before="10" w:after="10"/>
    </w:pPr>
    <w:rPr>
      <w:rFonts w:ascii="Arial" w:eastAsia="Times New Roman" w:hAnsi="Arial" w:cs="Times New Roman"/>
      <w:sz w:val="20"/>
      <w:szCs w:val="20"/>
      <w:lang w:val="en-AU"/>
    </w:rPr>
  </w:style>
  <w:style w:type="paragraph" w:customStyle="1" w:styleId="lineitemitalic">
    <w:name w:val="line item italic"/>
    <w:basedOn w:val="Normal"/>
    <w:rsid w:val="00D34D92"/>
    <w:pPr>
      <w:spacing w:line="260" w:lineRule="atLeast"/>
    </w:pPr>
    <w:rPr>
      <w:rFonts w:ascii="Arial" w:eastAsia="Times New Roman" w:hAnsi="Arial" w:cs="Times New Roman"/>
      <w:i/>
      <w:szCs w:val="20"/>
      <w:lang w:val="en-AU"/>
    </w:rPr>
  </w:style>
  <w:style w:type="paragraph" w:customStyle="1" w:styleId="lineitembold">
    <w:name w:val="line item bold"/>
    <w:basedOn w:val="Normal"/>
    <w:rsid w:val="00D34D92"/>
    <w:pPr>
      <w:spacing w:line="260" w:lineRule="atLeast"/>
    </w:pPr>
    <w:rPr>
      <w:rFonts w:ascii="Arial" w:eastAsia="Times New Roman" w:hAnsi="Arial" w:cs="Times New Roman"/>
      <w:b/>
      <w:sz w:val="20"/>
      <w:szCs w:val="20"/>
      <w:lang w:val="en-AU"/>
    </w:rPr>
  </w:style>
  <w:style w:type="paragraph" w:customStyle="1" w:styleId="Notesheading0">
    <w:name w:val="Notes heading"/>
    <w:basedOn w:val="Normal"/>
    <w:rsid w:val="00D34D92"/>
    <w:rPr>
      <w:rFonts w:ascii="Calisto MT" w:eastAsia="Times New Roman" w:hAnsi="Calisto MT" w:cs="Times New Roman"/>
      <w:b/>
      <w:sz w:val="14"/>
      <w:szCs w:val="20"/>
      <w:lang w:val="en-AU" w:eastAsia="en-AU"/>
    </w:rPr>
  </w:style>
  <w:style w:type="paragraph" w:customStyle="1" w:styleId="Notestothefinancialstatements">
    <w:name w:val="Notes to the financial statements"/>
    <w:aliases w:val="Heading"/>
    <w:basedOn w:val="Normal"/>
    <w:rsid w:val="00D34D92"/>
    <w:pPr>
      <w:tabs>
        <w:tab w:val="left" w:pos="567"/>
        <w:tab w:val="left" w:pos="1134"/>
        <w:tab w:val="left" w:pos="1701"/>
      </w:tabs>
      <w:spacing w:before="60" w:after="60"/>
    </w:pPr>
    <w:rPr>
      <w:rFonts w:ascii="Tahoma" w:eastAsia="Times New Roman" w:hAnsi="Tahoma" w:cs="Times New Roman"/>
      <w:b/>
      <w:color w:val="000000"/>
      <w:sz w:val="16"/>
      <w:szCs w:val="20"/>
      <w:lang w:val="en-AU" w:eastAsia="en-AU"/>
    </w:rPr>
  </w:style>
  <w:style w:type="paragraph" w:customStyle="1" w:styleId="NotesBulletPoint">
    <w:name w:val="Notes Bullet Point"/>
    <w:basedOn w:val="Normal"/>
    <w:autoRedefine/>
    <w:rsid w:val="00D34D92"/>
    <w:pPr>
      <w:tabs>
        <w:tab w:val="left" w:pos="413"/>
        <w:tab w:val="num" w:pos="927"/>
      </w:tabs>
      <w:ind w:left="414" w:right="113" w:hanging="301"/>
      <w:jc w:val="both"/>
    </w:pPr>
    <w:rPr>
      <w:rFonts w:ascii="Arial" w:eastAsia="Times New Roman" w:hAnsi="Arial" w:cs="Times New Roman"/>
      <w:snapToGrid w:val="0"/>
      <w:sz w:val="20"/>
      <w:szCs w:val="20"/>
      <w:lang w:val="en-US" w:eastAsia="en-AU"/>
    </w:rPr>
  </w:style>
  <w:style w:type="paragraph" w:customStyle="1" w:styleId="Headinga">
    <w:name w:val="Heading a"/>
    <w:basedOn w:val="Normal"/>
    <w:rsid w:val="00D34D92"/>
    <w:rPr>
      <w:rFonts w:ascii="Arial" w:eastAsia="Times New Roman" w:hAnsi="Arial" w:cs="Times New Roman"/>
      <w:b/>
      <w:bCs/>
      <w:szCs w:val="18"/>
      <w:lang w:val="en-AU"/>
    </w:rPr>
  </w:style>
  <w:style w:type="paragraph" w:customStyle="1" w:styleId="LineitemsTotal">
    <w:name w:val="Line items Total"/>
    <w:basedOn w:val="Lineitems"/>
    <w:rsid w:val="00D34D92"/>
    <w:pPr>
      <w:framePr w:hSpace="180" w:wrap="around" w:vAnchor="text" w:hAnchor="margin" w:y="1"/>
    </w:pPr>
    <w:rPr>
      <w:b/>
      <w:i/>
    </w:rPr>
  </w:style>
  <w:style w:type="paragraph" w:customStyle="1" w:styleId="SAPHeading-Level1">
    <w:name w:val="SAP Heading - Level 1"/>
    <w:basedOn w:val="NotesHeading-Level1"/>
    <w:rsid w:val="00D34D92"/>
    <w:pPr>
      <w:numPr>
        <w:numId w:val="0"/>
      </w:numPr>
      <w:shd w:val="clear" w:color="auto" w:fill="auto"/>
      <w:tabs>
        <w:tab w:val="num" w:pos="851"/>
      </w:tabs>
      <w:ind w:left="851" w:hanging="851"/>
    </w:pPr>
    <w:rPr>
      <w:color w:val="auto"/>
    </w:rPr>
  </w:style>
  <w:style w:type="paragraph" w:customStyle="1" w:styleId="SAPHeading-Level2">
    <w:name w:val="SAP Heading - Level 2"/>
    <w:basedOn w:val="SAPHeading-Level1"/>
    <w:rsid w:val="00D34D92"/>
    <w:pPr>
      <w:spacing w:before="100" w:after="100" w:line="240" w:lineRule="auto"/>
      <w:outlineLvl w:val="9"/>
    </w:pPr>
  </w:style>
  <w:style w:type="paragraph" w:customStyle="1" w:styleId="SAPHeading-Level3">
    <w:name w:val="SAP Heading - Level 3"/>
    <w:basedOn w:val="SAPHeading-Level2"/>
    <w:rsid w:val="00D34D92"/>
  </w:style>
  <w:style w:type="paragraph" w:customStyle="1" w:styleId="NotesText0">
    <w:name w:val="Notes Text"/>
    <w:basedOn w:val="ReferenceText"/>
    <w:qFormat/>
    <w:rsid w:val="00D34D92"/>
    <w:pPr>
      <w:spacing w:before="100" w:after="100" w:line="240" w:lineRule="auto"/>
    </w:pPr>
  </w:style>
  <w:style w:type="paragraph" w:customStyle="1" w:styleId="NotesTextHeading">
    <w:name w:val="Notes Text Heading"/>
    <w:basedOn w:val="NotesText0"/>
    <w:rsid w:val="00D34D92"/>
    <w:rPr>
      <w:b/>
      <w:u w:val="single"/>
    </w:rPr>
  </w:style>
  <w:style w:type="paragraph" w:customStyle="1" w:styleId="NoteHeading-Level1">
    <w:name w:val="Note Heading - Level 1"/>
    <w:basedOn w:val="Normal"/>
    <w:rsid w:val="00D34D92"/>
    <w:pPr>
      <w:spacing w:line="260" w:lineRule="atLeast"/>
    </w:pPr>
    <w:rPr>
      <w:rFonts w:ascii="Arial" w:eastAsia="Times New Roman" w:hAnsi="Arial" w:cs="Times New Roman"/>
      <w:szCs w:val="20"/>
      <w:lang w:val="en-AU"/>
    </w:rPr>
  </w:style>
  <w:style w:type="paragraph" w:customStyle="1" w:styleId="NoteHeading-Level2">
    <w:name w:val="Note Heading - Level 2"/>
    <w:basedOn w:val="Normal"/>
    <w:rsid w:val="00D34D92"/>
    <w:pPr>
      <w:spacing w:line="260" w:lineRule="atLeast"/>
    </w:pPr>
    <w:rPr>
      <w:rFonts w:ascii="Arial" w:eastAsia="Times New Roman" w:hAnsi="Arial" w:cs="Times New Roman"/>
      <w:szCs w:val="20"/>
      <w:lang w:val="en-AU"/>
    </w:rPr>
  </w:style>
  <w:style w:type="character" w:customStyle="1" w:styleId="LineitemsChar">
    <w:name w:val="Line items Char"/>
    <w:basedOn w:val="DefaultParagraphFont"/>
    <w:link w:val="Lineitems"/>
    <w:rsid w:val="00D34D92"/>
    <w:rPr>
      <w:rFonts w:ascii="Arial" w:eastAsia="Times New Roman" w:hAnsi="Arial" w:cs="Times New Roman"/>
      <w:sz w:val="20"/>
      <w:szCs w:val="20"/>
      <w:lang w:val="en-AU"/>
    </w:rPr>
  </w:style>
  <w:style w:type="paragraph" w:customStyle="1" w:styleId="Notesreferencetext">
    <w:name w:val="Notes reference text"/>
    <w:basedOn w:val="Normal"/>
    <w:next w:val="Normal"/>
    <w:rsid w:val="00D34D92"/>
    <w:pPr>
      <w:spacing w:line="260" w:lineRule="atLeast"/>
      <w:jc w:val="center"/>
    </w:pPr>
    <w:rPr>
      <w:rFonts w:ascii="Arial" w:eastAsia="Times New Roman" w:hAnsi="Arial" w:cs="Times New Roman"/>
      <w:szCs w:val="20"/>
      <w:lang w:val="en-AU"/>
    </w:rPr>
  </w:style>
  <w:style w:type="paragraph" w:customStyle="1" w:styleId="SAPHeading-Level4">
    <w:name w:val="SAP Heading - Level 4"/>
    <w:basedOn w:val="SAPHeading-Level3"/>
    <w:rsid w:val="00D34D92"/>
    <w:pPr>
      <w:ind w:right="0"/>
    </w:pPr>
    <w:rPr>
      <w:rFonts w:ascii="Arial Bold" w:hAnsi="Arial Bold"/>
      <w:b w:val="0"/>
    </w:rPr>
  </w:style>
  <w:style w:type="paragraph" w:customStyle="1" w:styleId="notestextbulletpoint">
    <w:name w:val="notes text bullet point"/>
    <w:basedOn w:val="NotesText0"/>
    <w:qFormat/>
    <w:rsid w:val="00D34D92"/>
    <w:pPr>
      <w:numPr>
        <w:numId w:val="22"/>
      </w:numPr>
      <w:tabs>
        <w:tab w:val="left" w:pos="284"/>
        <w:tab w:val="num" w:pos="340"/>
      </w:tabs>
      <w:spacing w:after="160"/>
      <w:ind w:left="340" w:hanging="340"/>
    </w:pPr>
    <w:rPr>
      <w:lang w:eastAsia="en-US"/>
    </w:rPr>
  </w:style>
  <w:style w:type="paragraph" w:customStyle="1" w:styleId="StyleSAPHeading-Level3NotBoldItalicUnderlineLeft01">
    <w:name w:val="Style SAP Heading - Level 3 + Not Bold Italic Underline Left:  0...1"/>
    <w:basedOn w:val="SAPHeading-Level3"/>
    <w:rsid w:val="00D34D92"/>
    <w:pPr>
      <w:tabs>
        <w:tab w:val="clear" w:pos="851"/>
      </w:tabs>
      <w:ind w:left="0" w:right="0" w:firstLine="0"/>
    </w:pPr>
    <w:rPr>
      <w:b w:val="0"/>
      <w:i/>
      <w:iCs/>
      <w:u w:val="single"/>
    </w:rPr>
  </w:style>
  <w:style w:type="paragraph" w:customStyle="1" w:styleId="StyleSAPHeading-Level3NotBoldItalicUnderline">
    <w:name w:val="Style SAP Heading - Level 3 + Not Bold Italic Underline"/>
    <w:basedOn w:val="SAPHeading-Level3"/>
    <w:rsid w:val="00D34D92"/>
    <w:pPr>
      <w:tabs>
        <w:tab w:val="clear" w:pos="851"/>
      </w:tabs>
      <w:ind w:left="0" w:right="0" w:firstLine="0"/>
    </w:pPr>
    <w:rPr>
      <w:b w:val="0"/>
      <w:i/>
      <w:iCs/>
      <w:u w:val="single"/>
    </w:rPr>
  </w:style>
  <w:style w:type="paragraph" w:customStyle="1" w:styleId="FinancialStatementCurrentYearData">
    <w:name w:val="Financial Statement Current Year Data"/>
    <w:basedOn w:val="Normal"/>
    <w:autoRedefine/>
    <w:rsid w:val="00D34D92"/>
    <w:pPr>
      <w:tabs>
        <w:tab w:val="left" w:pos="866"/>
      </w:tabs>
      <w:spacing w:line="260" w:lineRule="atLeast"/>
      <w:ind w:left="57" w:right="57"/>
      <w:jc w:val="right"/>
    </w:pPr>
    <w:rPr>
      <w:rFonts w:ascii="Arial" w:eastAsia="Times New Roman" w:hAnsi="Arial" w:cs="Times New Roman"/>
      <w:snapToGrid w:val="0"/>
      <w:sz w:val="20"/>
      <w:szCs w:val="20"/>
      <w:lang w:val="en-AU"/>
    </w:rPr>
  </w:style>
  <w:style w:type="paragraph" w:customStyle="1" w:styleId="ReferenceTextNumbered">
    <w:name w:val="Reference Text Numbered"/>
    <w:basedOn w:val="ReferenceText"/>
    <w:qFormat/>
    <w:rsid w:val="00D34D92"/>
    <w:pPr>
      <w:numPr>
        <w:numId w:val="23"/>
      </w:numPr>
      <w:tabs>
        <w:tab w:val="left" w:pos="284"/>
        <w:tab w:val="num" w:pos="340"/>
      </w:tabs>
      <w:ind w:left="340" w:hanging="340"/>
    </w:pPr>
    <w:rPr>
      <w:lang w:eastAsia="en-US"/>
    </w:rPr>
  </w:style>
  <w:style w:type="paragraph" w:customStyle="1" w:styleId="Notestextindentbullets">
    <w:name w:val="Notes text indent bullets"/>
    <w:basedOn w:val="NotesText0"/>
    <w:qFormat/>
    <w:rsid w:val="00D34D92"/>
    <w:pPr>
      <w:numPr>
        <w:numId w:val="24"/>
      </w:numPr>
      <w:tabs>
        <w:tab w:val="left" w:pos="1418"/>
      </w:tabs>
      <w:spacing w:after="160"/>
      <w:ind w:left="397" w:hanging="397"/>
    </w:pPr>
    <w:rPr>
      <w:lang w:eastAsia="en-US"/>
    </w:rPr>
  </w:style>
  <w:style w:type="paragraph" w:customStyle="1" w:styleId="StyleNotesTextJustified">
    <w:name w:val="Style Notes Text + Justified"/>
    <w:basedOn w:val="NotesText0"/>
    <w:rsid w:val="00D34D92"/>
  </w:style>
  <w:style w:type="paragraph" w:customStyle="1" w:styleId="NotesIndentLetter">
    <w:name w:val="Notes Indent Letter"/>
    <w:basedOn w:val="Notestext"/>
    <w:qFormat/>
    <w:rsid w:val="00D34D92"/>
    <w:pPr>
      <w:numPr>
        <w:numId w:val="25"/>
      </w:numPr>
      <w:ind w:left="397" w:hanging="397"/>
      <w:jc w:val="both"/>
    </w:pPr>
  </w:style>
  <w:style w:type="paragraph" w:customStyle="1" w:styleId="Style1">
    <w:name w:val="Style1"/>
    <w:basedOn w:val="Footer"/>
    <w:link w:val="Style1Char"/>
    <w:qFormat/>
    <w:rsid w:val="00D34D92"/>
    <w:rPr>
      <w:rFonts w:ascii="Arial" w:eastAsia="Times New Roman" w:hAnsi="Arial" w:cs="Times New Roman"/>
      <w:szCs w:val="20"/>
      <w:lang w:val="en-AU"/>
    </w:rPr>
  </w:style>
  <w:style w:type="paragraph" w:customStyle="1" w:styleId="Style3">
    <w:name w:val="Style3"/>
    <w:basedOn w:val="Footer"/>
    <w:link w:val="Style3Char"/>
    <w:qFormat/>
    <w:rsid w:val="00D34D92"/>
    <w:rPr>
      <w:rFonts w:ascii="Arial" w:eastAsia="Times New Roman" w:hAnsi="Arial" w:cs="Times New Roman"/>
      <w:szCs w:val="20"/>
      <w:lang w:val="en-AU"/>
    </w:rPr>
  </w:style>
  <w:style w:type="character" w:customStyle="1" w:styleId="Style1Char">
    <w:name w:val="Style1 Char"/>
    <w:basedOn w:val="FooterChar"/>
    <w:link w:val="Style1"/>
    <w:rsid w:val="00D34D92"/>
    <w:rPr>
      <w:rFonts w:ascii="Arial" w:eastAsia="Times New Roman" w:hAnsi="Arial" w:cs="Times New Roman"/>
      <w:sz w:val="22"/>
      <w:szCs w:val="20"/>
      <w:lang w:val="en-AU"/>
    </w:rPr>
  </w:style>
  <w:style w:type="character" w:customStyle="1" w:styleId="Style3Char">
    <w:name w:val="Style3 Char"/>
    <w:basedOn w:val="FooterChar"/>
    <w:link w:val="Style3"/>
    <w:rsid w:val="00D34D92"/>
    <w:rPr>
      <w:rFonts w:ascii="Arial" w:eastAsia="Times New Roman" w:hAnsi="Arial" w:cs="Times New Roman"/>
      <w:sz w:val="22"/>
      <w:szCs w:val="20"/>
      <w:lang w:val="en-AU"/>
    </w:rPr>
  </w:style>
  <w:style w:type="paragraph" w:customStyle="1" w:styleId="SectionHeading">
    <w:name w:val="Section Heading"/>
    <w:basedOn w:val="ReferenceText"/>
    <w:link w:val="SectionHeadingChar"/>
    <w:rsid w:val="00D34D92"/>
    <w:pPr>
      <w:spacing w:before="120" w:after="120" w:line="360" w:lineRule="auto"/>
      <w:ind w:left="57" w:right="0" w:hanging="57"/>
    </w:pPr>
    <w:rPr>
      <w:b/>
      <w:sz w:val="28"/>
    </w:rPr>
  </w:style>
  <w:style w:type="character" w:customStyle="1" w:styleId="SectionHeadingChar">
    <w:name w:val="Section Heading Char"/>
    <w:basedOn w:val="DefaultParagraphFont"/>
    <w:link w:val="SectionHeading"/>
    <w:rsid w:val="00D34D92"/>
    <w:rPr>
      <w:rFonts w:ascii="Arial" w:eastAsia="Times New Roman" w:hAnsi="Arial" w:cs="Arial"/>
      <w:b/>
      <w:sz w:val="28"/>
      <w:szCs w:val="18"/>
      <w:lang w:val="en-AU" w:eastAsia="en-AU"/>
    </w:rPr>
  </w:style>
  <w:style w:type="paragraph" w:customStyle="1" w:styleId="SubHeading">
    <w:name w:val="Sub Heading"/>
    <w:basedOn w:val="SectionHeading"/>
    <w:qFormat/>
    <w:rsid w:val="00D34D92"/>
    <w:pPr>
      <w:numPr>
        <w:ilvl w:val="1"/>
      </w:numPr>
      <w:shd w:val="clear" w:color="auto" w:fill="8A2A2F" w:themeFill="text1"/>
      <w:ind w:left="57" w:hanging="57"/>
      <w:outlineLvl w:val="1"/>
    </w:pPr>
    <w:rPr>
      <w:sz w:val="20"/>
    </w:rPr>
  </w:style>
  <w:style w:type="paragraph" w:customStyle="1" w:styleId="SectionHeadingDescription">
    <w:name w:val="Section Heading Description"/>
    <w:basedOn w:val="SectionHeading"/>
    <w:next w:val="SubHeading"/>
    <w:qFormat/>
    <w:rsid w:val="00D34D92"/>
    <w:pPr>
      <w:ind w:left="0" w:firstLine="0"/>
    </w:pPr>
    <w:rPr>
      <w:b w:val="0"/>
      <w:sz w:val="18"/>
    </w:rPr>
  </w:style>
  <w:style w:type="paragraph" w:customStyle="1" w:styleId="PolicytextDept">
    <w:name w:val="Policy text Dept"/>
    <w:basedOn w:val="Normal"/>
    <w:link w:val="PolicytextDeptChar"/>
    <w:qFormat/>
    <w:rsid w:val="00D34D92"/>
    <w:pPr>
      <w:pBdr>
        <w:top w:val="single" w:sz="4" w:space="1" w:color="009560"/>
        <w:left w:val="single" w:sz="4" w:space="0" w:color="009560"/>
        <w:bottom w:val="single" w:sz="4" w:space="1" w:color="009560"/>
        <w:right w:val="single" w:sz="4" w:space="0" w:color="009560"/>
      </w:pBdr>
      <w:spacing w:after="120" w:line="120" w:lineRule="atLeast"/>
      <w:ind w:right="607"/>
    </w:pPr>
    <w:rPr>
      <w:rFonts w:ascii="Arial" w:eastAsia="Times New Roman" w:hAnsi="Arial" w:cs="Arial"/>
      <w:bCs/>
      <w:szCs w:val="18"/>
      <w:lang w:val="en-AU"/>
    </w:rPr>
  </w:style>
  <w:style w:type="character" w:customStyle="1" w:styleId="PolicytextDeptChar">
    <w:name w:val="Policy text Dept Char"/>
    <w:basedOn w:val="DefaultParagraphFont"/>
    <w:link w:val="PolicytextDept"/>
    <w:rsid w:val="00D34D92"/>
    <w:rPr>
      <w:rFonts w:ascii="Arial" w:eastAsia="Times New Roman" w:hAnsi="Arial" w:cs="Arial"/>
      <w:bCs/>
      <w:sz w:val="22"/>
      <w:szCs w:val="18"/>
      <w:lang w:val="en-AU"/>
    </w:rPr>
  </w:style>
  <w:style w:type="paragraph" w:customStyle="1" w:styleId="PolicyheadingDept">
    <w:name w:val="Policy heading Dept"/>
    <w:basedOn w:val="PolicytextDept"/>
    <w:qFormat/>
    <w:rsid w:val="00D34D92"/>
    <w:rPr>
      <w:b/>
    </w:rPr>
  </w:style>
  <w:style w:type="paragraph" w:customStyle="1" w:styleId="PrelimsCoverTitle">
    <w:name w:val="Prelims_CoverTitle"/>
    <w:qFormat/>
    <w:rsid w:val="00D34D92"/>
    <w:pPr>
      <w:spacing w:before="3400" w:after="560" w:line="400" w:lineRule="exact"/>
    </w:pPr>
    <w:rPr>
      <w:rFonts w:ascii="Arial" w:eastAsia="Times New Roman" w:hAnsi="Arial" w:cs="Times New Roman"/>
      <w:b/>
      <w:sz w:val="36"/>
      <w:lang w:val="en-AU"/>
    </w:rPr>
  </w:style>
  <w:style w:type="paragraph" w:customStyle="1" w:styleId="SectionHeadingNoNumber">
    <w:name w:val="Section Heading (No Number)"/>
    <w:basedOn w:val="SectionHeading"/>
    <w:qFormat/>
    <w:rsid w:val="00D34D92"/>
    <w:pPr>
      <w:shd w:val="clear" w:color="auto" w:fill="17365D"/>
      <w:ind w:left="0" w:firstLine="0"/>
    </w:pPr>
  </w:style>
  <w:style w:type="paragraph" w:customStyle="1" w:styleId="Policytextboxtable">
    <w:name w:val="Policy text box table"/>
    <w:basedOn w:val="Normal"/>
    <w:link w:val="PolicytextboxtableChar"/>
    <w:qFormat/>
    <w:rsid w:val="00D34D92"/>
    <w:pPr>
      <w:spacing w:line="260" w:lineRule="atLeast"/>
    </w:pPr>
    <w:rPr>
      <w:rFonts w:ascii="Calibri" w:eastAsia="Times New Roman" w:hAnsi="Calibri" w:cs="Arial"/>
      <w:szCs w:val="18"/>
      <w:lang w:val="en-AU"/>
    </w:rPr>
  </w:style>
  <w:style w:type="character" w:customStyle="1" w:styleId="PolicytextboxtableChar">
    <w:name w:val="Policy text box table Char"/>
    <w:basedOn w:val="DefaultParagraphFont"/>
    <w:link w:val="Policytextboxtable"/>
    <w:rsid w:val="00D34D92"/>
    <w:rPr>
      <w:rFonts w:ascii="Calibri" w:eastAsia="Times New Roman" w:hAnsi="Calibri" w:cs="Arial"/>
      <w:sz w:val="22"/>
      <w:szCs w:val="18"/>
      <w:lang w:val="en-AU"/>
    </w:rPr>
  </w:style>
  <w:style w:type="paragraph" w:customStyle="1" w:styleId="HeadingLevel1">
    <w:name w:val="Heading Level 1"/>
    <w:basedOn w:val="SectionHeading"/>
    <w:link w:val="HeadingLevel1Char"/>
    <w:qFormat/>
    <w:rsid w:val="00D34D92"/>
    <w:pPr>
      <w:numPr>
        <w:numId w:val="26"/>
      </w:numPr>
      <w:ind w:left="340" w:hanging="340"/>
      <w:outlineLvl w:val="0"/>
    </w:pPr>
  </w:style>
  <w:style w:type="character" w:customStyle="1" w:styleId="HeadingLevel1Char">
    <w:name w:val="Heading Level 1 Char"/>
    <w:basedOn w:val="SectionHeadingChar"/>
    <w:link w:val="HeadingLevel1"/>
    <w:rsid w:val="00D34D92"/>
    <w:rPr>
      <w:rFonts w:ascii="Arial" w:eastAsia="Times New Roman" w:hAnsi="Arial" w:cs="Arial"/>
      <w:b/>
      <w:sz w:val="28"/>
      <w:szCs w:val="18"/>
      <w:lang w:val="en-AU" w:eastAsia="en-AU"/>
    </w:rPr>
  </w:style>
  <w:style w:type="table" w:customStyle="1" w:styleId="TableGrid2">
    <w:name w:val="Table Grid2"/>
    <w:basedOn w:val="TableNormal"/>
    <w:next w:val="TableGrid"/>
    <w:uiPriority w:val="39"/>
    <w:rsid w:val="00D34D92"/>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HeadingTableRed">
    <w:name w:val="ES-Heading_Table Red"/>
    <w:basedOn w:val="Normal"/>
    <w:link w:val="ES-HeadingTableRedChar"/>
    <w:qFormat/>
    <w:rsid w:val="00D34D92"/>
    <w:pPr>
      <w:spacing w:before="80" w:after="80"/>
    </w:pPr>
    <w:rPr>
      <w:rFonts w:ascii="Arial" w:eastAsia="Times New Roman" w:hAnsi="Arial" w:cs="Arial"/>
      <w:b/>
      <w:color w:val="8A2A2F"/>
      <w:sz w:val="19"/>
      <w:szCs w:val="18"/>
      <w:lang w:val="en-US"/>
    </w:rPr>
  </w:style>
  <w:style w:type="character" w:customStyle="1" w:styleId="ES-HeadingTableRedChar">
    <w:name w:val="ES-Heading_Table Red Char"/>
    <w:basedOn w:val="DefaultParagraphFont"/>
    <w:link w:val="ES-HeadingTableRed"/>
    <w:rsid w:val="00D34D92"/>
    <w:rPr>
      <w:rFonts w:ascii="Arial" w:eastAsia="Times New Roman" w:hAnsi="Arial" w:cs="Arial"/>
      <w:b/>
      <w:color w:val="8A2A2F"/>
      <w:sz w:val="19"/>
      <w:szCs w:val="18"/>
      <w:lang w:val="en-US"/>
    </w:rPr>
  </w:style>
  <w:style w:type="table" w:customStyle="1" w:styleId="TableGrid6">
    <w:name w:val="Table Grid6"/>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4D92"/>
    <w:rPr>
      <w:rFonts w:ascii="Arial" w:eastAsia="Arial" w:hAnsi="Arial"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FTextbullets">
    <w:name w:val="VF Text bullets"/>
    <w:basedOn w:val="BodyText"/>
    <w:link w:val="VFTextbulletsChar"/>
    <w:qFormat/>
    <w:rsid w:val="00D34D92"/>
    <w:pPr>
      <w:widowControl w:val="0"/>
      <w:numPr>
        <w:numId w:val="27"/>
      </w:numPr>
      <w:tabs>
        <w:tab w:val="clear" w:pos="340"/>
        <w:tab w:val="num" w:pos="851"/>
      </w:tabs>
      <w:autoSpaceDE w:val="0"/>
      <w:autoSpaceDN w:val="0"/>
      <w:spacing w:before="8" w:after="0"/>
      <w:ind w:left="1134" w:hanging="1134"/>
    </w:pPr>
    <w:rPr>
      <w:rFonts w:ascii="Arial" w:eastAsia="Times New Roman" w:hAnsi="Arial" w:cs="Arial"/>
      <w:sz w:val="18"/>
      <w:szCs w:val="20"/>
    </w:rPr>
  </w:style>
  <w:style w:type="character" w:customStyle="1" w:styleId="VFTextbulletsChar">
    <w:name w:val="VF Text bullets Char"/>
    <w:basedOn w:val="DefaultParagraphFont"/>
    <w:link w:val="VFTextbullets"/>
    <w:rsid w:val="00D34D92"/>
    <w:rPr>
      <w:rFonts w:ascii="Arial" w:eastAsia="Times New Roman" w:hAnsi="Arial" w:cs="Arial"/>
      <w:sz w:val="18"/>
      <w:szCs w:val="20"/>
      <w:lang w:val="en-AU"/>
    </w:rPr>
  </w:style>
  <w:style w:type="table" w:customStyle="1" w:styleId="DTFtexttable">
    <w:name w:val="DTF text table"/>
    <w:basedOn w:val="TableGrid"/>
    <w:uiPriority w:val="99"/>
    <w:rsid w:val="00D34D92"/>
    <w:pPr>
      <w:spacing w:before="30" w:after="30" w:line="264" w:lineRule="auto"/>
    </w:pPr>
    <w:rPr>
      <w:spacing w:val="2"/>
      <w:sz w:val="18"/>
      <w:szCs w:val="21"/>
      <w:lang w:val="en-AU"/>
    </w:rPr>
    <w:tblPr>
      <w:tblStyleRowBandSize w:val="1"/>
      <w:tblStyleColBandSize w:val="1"/>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A2A2F" w:themeFill="text1"/>
        <w:vAlign w:val="bottom"/>
      </w:tcPr>
    </w:tblStylePr>
    <w:tblStylePr w:type="lastRow">
      <w:rPr>
        <w:b/>
      </w:rPr>
      <w:tblPr/>
      <w:tcPr>
        <w:tcBorders>
          <w:top w:val="single" w:sz="6" w:space="0" w:color="D9D9D6" w:themeColor="accent1"/>
          <w:left w:val="nil"/>
          <w:bottom w:val="single" w:sz="12" w:space="0" w:color="D9D9D6" w:themeColor="accent1"/>
          <w:right w:val="nil"/>
          <w:insideV w:val="nil"/>
        </w:tcBorders>
        <w:shd w:val="clear" w:color="auto" w:fill="FFFFFF" w:themeFill="background1"/>
      </w:tcPr>
    </w:tblStylePr>
    <w:tblStylePr w:type="firstCol">
      <w:pPr>
        <w:jc w:val="left"/>
      </w:pPr>
      <w:tblPr/>
      <w:tcPr>
        <w:shd w:val="clear" w:color="auto" w:fill="FFFFFF" w:themeFill="background1"/>
      </w:tcPr>
    </w:tblStylePr>
    <w:tblStylePr w:type="lastCol">
      <w:pPr>
        <w:jc w:val="left"/>
      </w:pPr>
    </w:tblStylePr>
    <w:tblStylePr w:type="band1Vert">
      <w:pPr>
        <w:jc w:val="left"/>
      </w:pPr>
    </w:tblStylePr>
    <w:tblStylePr w:type="band2Vert">
      <w:pPr>
        <w:jc w:val="left"/>
      </w:p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FSNote">
    <w:name w:val="FS_Note"/>
    <w:basedOn w:val="Normal"/>
    <w:qFormat/>
    <w:rsid w:val="00D34D92"/>
    <w:pPr>
      <w:ind w:left="360" w:hanging="360"/>
      <w:jc w:val="both"/>
    </w:pPr>
    <w:rPr>
      <w:rFonts w:ascii="Arial" w:eastAsia="Times New Roman" w:hAnsi="Arial" w:cs="Arial"/>
      <w:b/>
      <w:sz w:val="18"/>
      <w:szCs w:val="22"/>
      <w:lang w:val="en-AU"/>
    </w:rPr>
  </w:style>
  <w:style w:type="character" w:customStyle="1" w:styleId="SourceReference">
    <w:name w:val="Source Reference"/>
    <w:basedOn w:val="DefaultParagraphFont"/>
    <w:uiPriority w:val="54"/>
    <w:rsid w:val="00D34D92"/>
    <w:rPr>
      <w:noProof/>
      <w:color w:val="AF272F" w:themeColor="accent4"/>
      <w:sz w:val="14"/>
      <w:lang w:val="en-AU"/>
    </w:rPr>
  </w:style>
  <w:style w:type="character" w:customStyle="1" w:styleId="Heading2Char0">
    <w:name w:val="Heading 2 (#) Char"/>
    <w:basedOn w:val="DefaultParagraphFont"/>
    <w:link w:val="Heading2"/>
    <w:uiPriority w:val="14"/>
    <w:rsid w:val="00D34D92"/>
    <w:rPr>
      <w:rFonts w:asciiTheme="majorHAnsi" w:eastAsiaTheme="majorEastAsia" w:hAnsiTheme="majorHAnsi" w:cstheme="majorBidi"/>
      <w:b/>
      <w:spacing w:val="-2"/>
      <w:szCs w:val="26"/>
    </w:rPr>
  </w:style>
  <w:style w:type="numbering" w:customStyle="1" w:styleId="ListBulletAlphaStyle">
    <w:name w:val="List Bullet/Alpha Style"/>
    <w:uiPriority w:val="99"/>
    <w:rsid w:val="00207683"/>
    <w:pPr>
      <w:numPr>
        <w:numId w:val="28"/>
      </w:numPr>
    </w:pPr>
  </w:style>
  <w:style w:type="numbering" w:customStyle="1" w:styleId="GuidanceAlphaListStyle">
    <w:name w:val="Guidance Alpha List Style"/>
    <w:uiPriority w:val="99"/>
    <w:rsid w:val="00207683"/>
    <w:pPr>
      <w:numPr>
        <w:numId w:val="29"/>
      </w:numPr>
    </w:pPr>
  </w:style>
  <w:style w:type="character" w:styleId="Emphasis">
    <w:name w:val="Emphasis"/>
    <w:basedOn w:val="DefaultParagraphFont"/>
    <w:uiPriority w:val="20"/>
    <w:qFormat/>
    <w:rsid w:val="00D34D92"/>
    <w:rPr>
      <w:i/>
      <w:iCs/>
    </w:rPr>
  </w:style>
  <w:style w:type="paragraph" w:customStyle="1" w:styleId="msonormal0">
    <w:name w:val="msonormal"/>
    <w:basedOn w:val="Normal"/>
    <w:rsid w:val="00D34D92"/>
    <w:pPr>
      <w:spacing w:before="100" w:beforeAutospacing="1" w:after="100" w:afterAutospacing="1"/>
    </w:pPr>
    <w:rPr>
      <w:rFonts w:ascii="Times New Roman" w:eastAsia="Times New Roman" w:hAnsi="Times New Roman" w:cs="Times New Roman"/>
      <w:sz w:val="24"/>
      <w:lang w:val="en-AU" w:eastAsia="en-AU"/>
    </w:rPr>
  </w:style>
  <w:style w:type="paragraph" w:styleId="Quote">
    <w:name w:val="Quote"/>
    <w:basedOn w:val="Normal"/>
    <w:next w:val="Normal"/>
    <w:link w:val="QuoteChar"/>
    <w:uiPriority w:val="29"/>
    <w:qFormat/>
    <w:rsid w:val="009A0996"/>
    <w:pPr>
      <w:spacing w:before="200" w:after="160" w:line="259" w:lineRule="auto"/>
      <w:ind w:left="864" w:right="864"/>
      <w:jc w:val="center"/>
    </w:pPr>
    <w:rPr>
      <w:i/>
      <w:iCs/>
      <w:color w:val="C54148" w:themeColor="text1" w:themeTint="BF"/>
      <w:szCs w:val="22"/>
      <w:lang w:val="en-AU"/>
    </w:rPr>
  </w:style>
  <w:style w:type="character" w:customStyle="1" w:styleId="QuoteChar">
    <w:name w:val="Quote Char"/>
    <w:basedOn w:val="DefaultParagraphFont"/>
    <w:link w:val="Quote"/>
    <w:uiPriority w:val="29"/>
    <w:rsid w:val="009A0996"/>
    <w:rPr>
      <w:i/>
      <w:iCs/>
      <w:color w:val="C54148" w:themeColor="text1" w:themeTint="BF"/>
      <w:sz w:val="22"/>
      <w:szCs w:val="22"/>
      <w:lang w:val="en-AU"/>
    </w:rPr>
  </w:style>
  <w:style w:type="paragraph" w:customStyle="1" w:styleId="Bulletsquestionnaire">
    <w:name w:val="Bullets questionnaire"/>
    <w:basedOn w:val="ListParagraph"/>
    <w:qFormat/>
    <w:rsid w:val="007A0AE1"/>
    <w:pPr>
      <w:numPr>
        <w:numId w:val="33"/>
      </w:numPr>
      <w:spacing w:after="160" w:line="259" w:lineRule="auto"/>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703">
      <w:bodyDiv w:val="1"/>
      <w:marLeft w:val="0"/>
      <w:marRight w:val="0"/>
      <w:marTop w:val="0"/>
      <w:marBottom w:val="0"/>
      <w:divBdr>
        <w:top w:val="none" w:sz="0" w:space="0" w:color="auto"/>
        <w:left w:val="none" w:sz="0" w:space="0" w:color="auto"/>
        <w:bottom w:val="none" w:sz="0" w:space="0" w:color="auto"/>
        <w:right w:val="none" w:sz="0" w:space="0" w:color="auto"/>
      </w:divBdr>
    </w:div>
    <w:div w:id="17661404">
      <w:bodyDiv w:val="1"/>
      <w:marLeft w:val="0"/>
      <w:marRight w:val="0"/>
      <w:marTop w:val="0"/>
      <w:marBottom w:val="0"/>
      <w:divBdr>
        <w:top w:val="none" w:sz="0" w:space="0" w:color="auto"/>
        <w:left w:val="none" w:sz="0" w:space="0" w:color="auto"/>
        <w:bottom w:val="none" w:sz="0" w:space="0" w:color="auto"/>
        <w:right w:val="none" w:sz="0" w:space="0" w:color="auto"/>
      </w:divBdr>
    </w:div>
    <w:div w:id="18236858">
      <w:bodyDiv w:val="1"/>
      <w:marLeft w:val="0"/>
      <w:marRight w:val="0"/>
      <w:marTop w:val="0"/>
      <w:marBottom w:val="0"/>
      <w:divBdr>
        <w:top w:val="none" w:sz="0" w:space="0" w:color="auto"/>
        <w:left w:val="none" w:sz="0" w:space="0" w:color="auto"/>
        <w:bottom w:val="none" w:sz="0" w:space="0" w:color="auto"/>
        <w:right w:val="none" w:sz="0" w:space="0" w:color="auto"/>
      </w:divBdr>
    </w:div>
    <w:div w:id="27729708">
      <w:bodyDiv w:val="1"/>
      <w:marLeft w:val="0"/>
      <w:marRight w:val="0"/>
      <w:marTop w:val="0"/>
      <w:marBottom w:val="0"/>
      <w:divBdr>
        <w:top w:val="none" w:sz="0" w:space="0" w:color="auto"/>
        <w:left w:val="none" w:sz="0" w:space="0" w:color="auto"/>
        <w:bottom w:val="none" w:sz="0" w:space="0" w:color="auto"/>
        <w:right w:val="none" w:sz="0" w:space="0" w:color="auto"/>
      </w:divBdr>
    </w:div>
    <w:div w:id="32775356">
      <w:bodyDiv w:val="1"/>
      <w:marLeft w:val="0"/>
      <w:marRight w:val="0"/>
      <w:marTop w:val="0"/>
      <w:marBottom w:val="0"/>
      <w:divBdr>
        <w:top w:val="none" w:sz="0" w:space="0" w:color="auto"/>
        <w:left w:val="none" w:sz="0" w:space="0" w:color="auto"/>
        <w:bottom w:val="none" w:sz="0" w:space="0" w:color="auto"/>
        <w:right w:val="none" w:sz="0" w:space="0" w:color="auto"/>
      </w:divBdr>
    </w:div>
    <w:div w:id="73742429">
      <w:bodyDiv w:val="1"/>
      <w:marLeft w:val="0"/>
      <w:marRight w:val="0"/>
      <w:marTop w:val="0"/>
      <w:marBottom w:val="0"/>
      <w:divBdr>
        <w:top w:val="none" w:sz="0" w:space="0" w:color="auto"/>
        <w:left w:val="none" w:sz="0" w:space="0" w:color="auto"/>
        <w:bottom w:val="none" w:sz="0" w:space="0" w:color="auto"/>
        <w:right w:val="none" w:sz="0" w:space="0" w:color="auto"/>
      </w:divBdr>
    </w:div>
    <w:div w:id="76562345">
      <w:bodyDiv w:val="1"/>
      <w:marLeft w:val="0"/>
      <w:marRight w:val="0"/>
      <w:marTop w:val="0"/>
      <w:marBottom w:val="0"/>
      <w:divBdr>
        <w:top w:val="none" w:sz="0" w:space="0" w:color="auto"/>
        <w:left w:val="none" w:sz="0" w:space="0" w:color="auto"/>
        <w:bottom w:val="none" w:sz="0" w:space="0" w:color="auto"/>
        <w:right w:val="none" w:sz="0" w:space="0" w:color="auto"/>
      </w:divBdr>
    </w:div>
    <w:div w:id="86662292">
      <w:bodyDiv w:val="1"/>
      <w:marLeft w:val="0"/>
      <w:marRight w:val="0"/>
      <w:marTop w:val="0"/>
      <w:marBottom w:val="0"/>
      <w:divBdr>
        <w:top w:val="none" w:sz="0" w:space="0" w:color="auto"/>
        <w:left w:val="none" w:sz="0" w:space="0" w:color="auto"/>
        <w:bottom w:val="none" w:sz="0" w:space="0" w:color="auto"/>
        <w:right w:val="none" w:sz="0" w:space="0" w:color="auto"/>
      </w:divBdr>
    </w:div>
    <w:div w:id="96799775">
      <w:bodyDiv w:val="1"/>
      <w:marLeft w:val="0"/>
      <w:marRight w:val="0"/>
      <w:marTop w:val="0"/>
      <w:marBottom w:val="0"/>
      <w:divBdr>
        <w:top w:val="none" w:sz="0" w:space="0" w:color="auto"/>
        <w:left w:val="none" w:sz="0" w:space="0" w:color="auto"/>
        <w:bottom w:val="none" w:sz="0" w:space="0" w:color="auto"/>
        <w:right w:val="none" w:sz="0" w:space="0" w:color="auto"/>
      </w:divBdr>
    </w:div>
    <w:div w:id="109250472">
      <w:bodyDiv w:val="1"/>
      <w:marLeft w:val="0"/>
      <w:marRight w:val="0"/>
      <w:marTop w:val="0"/>
      <w:marBottom w:val="0"/>
      <w:divBdr>
        <w:top w:val="none" w:sz="0" w:space="0" w:color="auto"/>
        <w:left w:val="none" w:sz="0" w:space="0" w:color="auto"/>
        <w:bottom w:val="none" w:sz="0" w:space="0" w:color="auto"/>
        <w:right w:val="none" w:sz="0" w:space="0" w:color="auto"/>
      </w:divBdr>
    </w:div>
    <w:div w:id="128591247">
      <w:bodyDiv w:val="1"/>
      <w:marLeft w:val="0"/>
      <w:marRight w:val="0"/>
      <w:marTop w:val="0"/>
      <w:marBottom w:val="0"/>
      <w:divBdr>
        <w:top w:val="none" w:sz="0" w:space="0" w:color="auto"/>
        <w:left w:val="none" w:sz="0" w:space="0" w:color="auto"/>
        <w:bottom w:val="none" w:sz="0" w:space="0" w:color="auto"/>
        <w:right w:val="none" w:sz="0" w:space="0" w:color="auto"/>
      </w:divBdr>
    </w:div>
    <w:div w:id="133259791">
      <w:bodyDiv w:val="1"/>
      <w:marLeft w:val="0"/>
      <w:marRight w:val="0"/>
      <w:marTop w:val="0"/>
      <w:marBottom w:val="0"/>
      <w:divBdr>
        <w:top w:val="none" w:sz="0" w:space="0" w:color="auto"/>
        <w:left w:val="none" w:sz="0" w:space="0" w:color="auto"/>
        <w:bottom w:val="none" w:sz="0" w:space="0" w:color="auto"/>
        <w:right w:val="none" w:sz="0" w:space="0" w:color="auto"/>
      </w:divBdr>
    </w:div>
    <w:div w:id="155416695">
      <w:bodyDiv w:val="1"/>
      <w:marLeft w:val="0"/>
      <w:marRight w:val="0"/>
      <w:marTop w:val="0"/>
      <w:marBottom w:val="0"/>
      <w:divBdr>
        <w:top w:val="none" w:sz="0" w:space="0" w:color="auto"/>
        <w:left w:val="none" w:sz="0" w:space="0" w:color="auto"/>
        <w:bottom w:val="none" w:sz="0" w:space="0" w:color="auto"/>
        <w:right w:val="none" w:sz="0" w:space="0" w:color="auto"/>
      </w:divBdr>
    </w:div>
    <w:div w:id="158931656">
      <w:bodyDiv w:val="1"/>
      <w:marLeft w:val="0"/>
      <w:marRight w:val="0"/>
      <w:marTop w:val="0"/>
      <w:marBottom w:val="0"/>
      <w:divBdr>
        <w:top w:val="none" w:sz="0" w:space="0" w:color="auto"/>
        <w:left w:val="none" w:sz="0" w:space="0" w:color="auto"/>
        <w:bottom w:val="none" w:sz="0" w:space="0" w:color="auto"/>
        <w:right w:val="none" w:sz="0" w:space="0" w:color="auto"/>
      </w:divBdr>
    </w:div>
    <w:div w:id="159276723">
      <w:bodyDiv w:val="1"/>
      <w:marLeft w:val="0"/>
      <w:marRight w:val="0"/>
      <w:marTop w:val="0"/>
      <w:marBottom w:val="0"/>
      <w:divBdr>
        <w:top w:val="none" w:sz="0" w:space="0" w:color="auto"/>
        <w:left w:val="none" w:sz="0" w:space="0" w:color="auto"/>
        <w:bottom w:val="none" w:sz="0" w:space="0" w:color="auto"/>
        <w:right w:val="none" w:sz="0" w:space="0" w:color="auto"/>
      </w:divBdr>
    </w:div>
    <w:div w:id="159466572">
      <w:bodyDiv w:val="1"/>
      <w:marLeft w:val="0"/>
      <w:marRight w:val="0"/>
      <w:marTop w:val="0"/>
      <w:marBottom w:val="0"/>
      <w:divBdr>
        <w:top w:val="none" w:sz="0" w:space="0" w:color="auto"/>
        <w:left w:val="none" w:sz="0" w:space="0" w:color="auto"/>
        <w:bottom w:val="none" w:sz="0" w:space="0" w:color="auto"/>
        <w:right w:val="none" w:sz="0" w:space="0" w:color="auto"/>
      </w:divBdr>
    </w:div>
    <w:div w:id="167796882">
      <w:bodyDiv w:val="1"/>
      <w:marLeft w:val="0"/>
      <w:marRight w:val="0"/>
      <w:marTop w:val="0"/>
      <w:marBottom w:val="0"/>
      <w:divBdr>
        <w:top w:val="none" w:sz="0" w:space="0" w:color="auto"/>
        <w:left w:val="none" w:sz="0" w:space="0" w:color="auto"/>
        <w:bottom w:val="none" w:sz="0" w:space="0" w:color="auto"/>
        <w:right w:val="none" w:sz="0" w:space="0" w:color="auto"/>
      </w:divBdr>
    </w:div>
    <w:div w:id="198859275">
      <w:bodyDiv w:val="1"/>
      <w:marLeft w:val="0"/>
      <w:marRight w:val="0"/>
      <w:marTop w:val="0"/>
      <w:marBottom w:val="0"/>
      <w:divBdr>
        <w:top w:val="none" w:sz="0" w:space="0" w:color="auto"/>
        <w:left w:val="none" w:sz="0" w:space="0" w:color="auto"/>
        <w:bottom w:val="none" w:sz="0" w:space="0" w:color="auto"/>
        <w:right w:val="none" w:sz="0" w:space="0" w:color="auto"/>
      </w:divBdr>
    </w:div>
    <w:div w:id="199246233">
      <w:bodyDiv w:val="1"/>
      <w:marLeft w:val="0"/>
      <w:marRight w:val="0"/>
      <w:marTop w:val="0"/>
      <w:marBottom w:val="0"/>
      <w:divBdr>
        <w:top w:val="none" w:sz="0" w:space="0" w:color="auto"/>
        <w:left w:val="none" w:sz="0" w:space="0" w:color="auto"/>
        <w:bottom w:val="none" w:sz="0" w:space="0" w:color="auto"/>
        <w:right w:val="none" w:sz="0" w:space="0" w:color="auto"/>
      </w:divBdr>
    </w:div>
    <w:div w:id="203686449">
      <w:bodyDiv w:val="1"/>
      <w:marLeft w:val="0"/>
      <w:marRight w:val="0"/>
      <w:marTop w:val="0"/>
      <w:marBottom w:val="0"/>
      <w:divBdr>
        <w:top w:val="none" w:sz="0" w:space="0" w:color="auto"/>
        <w:left w:val="none" w:sz="0" w:space="0" w:color="auto"/>
        <w:bottom w:val="none" w:sz="0" w:space="0" w:color="auto"/>
        <w:right w:val="none" w:sz="0" w:space="0" w:color="auto"/>
      </w:divBdr>
    </w:div>
    <w:div w:id="210922421">
      <w:bodyDiv w:val="1"/>
      <w:marLeft w:val="0"/>
      <w:marRight w:val="0"/>
      <w:marTop w:val="0"/>
      <w:marBottom w:val="0"/>
      <w:divBdr>
        <w:top w:val="none" w:sz="0" w:space="0" w:color="auto"/>
        <w:left w:val="none" w:sz="0" w:space="0" w:color="auto"/>
        <w:bottom w:val="none" w:sz="0" w:space="0" w:color="auto"/>
        <w:right w:val="none" w:sz="0" w:space="0" w:color="auto"/>
      </w:divBdr>
      <w:divsChild>
        <w:div w:id="912735540">
          <w:marLeft w:val="0"/>
          <w:marRight w:val="0"/>
          <w:marTop w:val="0"/>
          <w:marBottom w:val="0"/>
          <w:divBdr>
            <w:top w:val="none" w:sz="0" w:space="0" w:color="auto"/>
            <w:left w:val="none" w:sz="0" w:space="0" w:color="auto"/>
            <w:bottom w:val="none" w:sz="0" w:space="0" w:color="auto"/>
            <w:right w:val="none" w:sz="0" w:space="0" w:color="auto"/>
          </w:divBdr>
          <w:divsChild>
            <w:div w:id="618293710">
              <w:marLeft w:val="0"/>
              <w:marRight w:val="0"/>
              <w:marTop w:val="0"/>
              <w:marBottom w:val="0"/>
              <w:divBdr>
                <w:top w:val="none" w:sz="0" w:space="0" w:color="auto"/>
                <w:left w:val="none" w:sz="0" w:space="0" w:color="auto"/>
                <w:bottom w:val="none" w:sz="0" w:space="0" w:color="auto"/>
                <w:right w:val="none" w:sz="0" w:space="0" w:color="auto"/>
              </w:divBdr>
              <w:divsChild>
                <w:div w:id="1879589663">
                  <w:marLeft w:val="0"/>
                  <w:marRight w:val="0"/>
                  <w:marTop w:val="0"/>
                  <w:marBottom w:val="0"/>
                  <w:divBdr>
                    <w:top w:val="none" w:sz="0" w:space="0" w:color="auto"/>
                    <w:left w:val="none" w:sz="0" w:space="0" w:color="auto"/>
                    <w:bottom w:val="none" w:sz="0" w:space="0" w:color="auto"/>
                    <w:right w:val="none" w:sz="0" w:space="0" w:color="auto"/>
                  </w:divBdr>
                  <w:divsChild>
                    <w:div w:id="507528473">
                      <w:marLeft w:val="0"/>
                      <w:marRight w:val="0"/>
                      <w:marTop w:val="0"/>
                      <w:marBottom w:val="0"/>
                      <w:divBdr>
                        <w:top w:val="none" w:sz="0" w:space="0" w:color="auto"/>
                        <w:left w:val="none" w:sz="0" w:space="0" w:color="auto"/>
                        <w:bottom w:val="none" w:sz="0" w:space="0" w:color="auto"/>
                        <w:right w:val="none" w:sz="0" w:space="0" w:color="auto"/>
                      </w:divBdr>
                      <w:divsChild>
                        <w:div w:id="1794324708">
                          <w:marLeft w:val="13380"/>
                          <w:marRight w:val="0"/>
                          <w:marTop w:val="0"/>
                          <w:marBottom w:val="0"/>
                          <w:divBdr>
                            <w:top w:val="none" w:sz="0" w:space="0" w:color="auto"/>
                            <w:left w:val="none" w:sz="0" w:space="0" w:color="auto"/>
                            <w:bottom w:val="none" w:sz="0" w:space="0" w:color="auto"/>
                            <w:right w:val="none" w:sz="0" w:space="0" w:color="auto"/>
                          </w:divBdr>
                          <w:divsChild>
                            <w:div w:id="2043702422">
                              <w:marLeft w:val="0"/>
                              <w:marRight w:val="0"/>
                              <w:marTop w:val="0"/>
                              <w:marBottom w:val="420"/>
                              <w:divBdr>
                                <w:top w:val="none" w:sz="0" w:space="0" w:color="auto"/>
                                <w:left w:val="none" w:sz="0" w:space="0" w:color="auto"/>
                                <w:bottom w:val="none" w:sz="0" w:space="0" w:color="auto"/>
                                <w:right w:val="none" w:sz="0" w:space="0" w:color="auto"/>
                              </w:divBdr>
                              <w:divsChild>
                                <w:div w:id="1921060408">
                                  <w:marLeft w:val="0"/>
                                  <w:marRight w:val="0"/>
                                  <w:marTop w:val="0"/>
                                  <w:marBottom w:val="0"/>
                                  <w:divBdr>
                                    <w:top w:val="none" w:sz="0" w:space="0" w:color="auto"/>
                                    <w:left w:val="none" w:sz="0" w:space="0" w:color="auto"/>
                                    <w:bottom w:val="none" w:sz="0" w:space="0" w:color="auto"/>
                                    <w:right w:val="none" w:sz="0" w:space="0" w:color="auto"/>
                                  </w:divBdr>
                                  <w:divsChild>
                                    <w:div w:id="178351531">
                                      <w:marLeft w:val="0"/>
                                      <w:marRight w:val="0"/>
                                      <w:marTop w:val="0"/>
                                      <w:marBottom w:val="0"/>
                                      <w:divBdr>
                                        <w:top w:val="none" w:sz="0" w:space="0" w:color="auto"/>
                                        <w:left w:val="none" w:sz="0" w:space="0" w:color="auto"/>
                                        <w:bottom w:val="none" w:sz="0" w:space="0" w:color="auto"/>
                                        <w:right w:val="none" w:sz="0" w:space="0" w:color="auto"/>
                                      </w:divBdr>
                                      <w:divsChild>
                                        <w:div w:id="1349986727">
                                          <w:marLeft w:val="0"/>
                                          <w:marRight w:val="0"/>
                                          <w:marTop w:val="0"/>
                                          <w:marBottom w:val="0"/>
                                          <w:divBdr>
                                            <w:top w:val="none" w:sz="0" w:space="0" w:color="auto"/>
                                            <w:left w:val="none" w:sz="0" w:space="0" w:color="auto"/>
                                            <w:bottom w:val="none" w:sz="0" w:space="0" w:color="auto"/>
                                            <w:right w:val="none" w:sz="0" w:space="0" w:color="auto"/>
                                          </w:divBdr>
                                          <w:divsChild>
                                            <w:div w:id="1966571174">
                                              <w:marLeft w:val="0"/>
                                              <w:marRight w:val="0"/>
                                              <w:marTop w:val="0"/>
                                              <w:marBottom w:val="0"/>
                                              <w:divBdr>
                                                <w:top w:val="none" w:sz="0" w:space="0" w:color="auto"/>
                                                <w:left w:val="none" w:sz="0" w:space="0" w:color="auto"/>
                                                <w:bottom w:val="none" w:sz="0" w:space="0" w:color="auto"/>
                                                <w:right w:val="none" w:sz="0" w:space="0" w:color="auto"/>
                                              </w:divBdr>
                                              <w:divsChild>
                                                <w:div w:id="2139564445">
                                                  <w:marLeft w:val="0"/>
                                                  <w:marRight w:val="0"/>
                                                  <w:marTop w:val="0"/>
                                                  <w:marBottom w:val="0"/>
                                                  <w:divBdr>
                                                    <w:top w:val="none" w:sz="0" w:space="0" w:color="auto"/>
                                                    <w:left w:val="none" w:sz="0" w:space="0" w:color="auto"/>
                                                    <w:bottom w:val="none" w:sz="0" w:space="0" w:color="auto"/>
                                                    <w:right w:val="none" w:sz="0" w:space="0" w:color="auto"/>
                                                  </w:divBdr>
                                                  <w:divsChild>
                                                    <w:div w:id="1911311058">
                                                      <w:marLeft w:val="0"/>
                                                      <w:marRight w:val="0"/>
                                                      <w:marTop w:val="0"/>
                                                      <w:marBottom w:val="0"/>
                                                      <w:divBdr>
                                                        <w:top w:val="none" w:sz="0" w:space="0" w:color="auto"/>
                                                        <w:left w:val="none" w:sz="0" w:space="0" w:color="auto"/>
                                                        <w:bottom w:val="none" w:sz="0" w:space="0" w:color="auto"/>
                                                        <w:right w:val="none" w:sz="0" w:space="0" w:color="auto"/>
                                                      </w:divBdr>
                                                      <w:divsChild>
                                                        <w:div w:id="1778257327">
                                                          <w:marLeft w:val="0"/>
                                                          <w:marRight w:val="0"/>
                                                          <w:marTop w:val="0"/>
                                                          <w:marBottom w:val="0"/>
                                                          <w:divBdr>
                                                            <w:top w:val="none" w:sz="0" w:space="0" w:color="auto"/>
                                                            <w:left w:val="none" w:sz="0" w:space="0" w:color="auto"/>
                                                            <w:bottom w:val="none" w:sz="0" w:space="0" w:color="auto"/>
                                                            <w:right w:val="none" w:sz="0" w:space="0" w:color="auto"/>
                                                          </w:divBdr>
                                                          <w:divsChild>
                                                            <w:div w:id="2028948555">
                                                              <w:marLeft w:val="0"/>
                                                              <w:marRight w:val="0"/>
                                                              <w:marTop w:val="0"/>
                                                              <w:marBottom w:val="0"/>
                                                              <w:divBdr>
                                                                <w:top w:val="none" w:sz="0" w:space="0" w:color="auto"/>
                                                                <w:left w:val="none" w:sz="0" w:space="0" w:color="auto"/>
                                                                <w:bottom w:val="none" w:sz="0" w:space="0" w:color="auto"/>
                                                                <w:right w:val="none" w:sz="0" w:space="0" w:color="auto"/>
                                                              </w:divBdr>
                                                              <w:divsChild>
                                                                <w:div w:id="17698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66783">
      <w:bodyDiv w:val="1"/>
      <w:marLeft w:val="0"/>
      <w:marRight w:val="0"/>
      <w:marTop w:val="0"/>
      <w:marBottom w:val="0"/>
      <w:divBdr>
        <w:top w:val="none" w:sz="0" w:space="0" w:color="auto"/>
        <w:left w:val="none" w:sz="0" w:space="0" w:color="auto"/>
        <w:bottom w:val="none" w:sz="0" w:space="0" w:color="auto"/>
        <w:right w:val="none" w:sz="0" w:space="0" w:color="auto"/>
      </w:divBdr>
    </w:div>
    <w:div w:id="228151789">
      <w:bodyDiv w:val="1"/>
      <w:marLeft w:val="0"/>
      <w:marRight w:val="0"/>
      <w:marTop w:val="0"/>
      <w:marBottom w:val="0"/>
      <w:divBdr>
        <w:top w:val="none" w:sz="0" w:space="0" w:color="auto"/>
        <w:left w:val="none" w:sz="0" w:space="0" w:color="auto"/>
        <w:bottom w:val="none" w:sz="0" w:space="0" w:color="auto"/>
        <w:right w:val="none" w:sz="0" w:space="0" w:color="auto"/>
      </w:divBdr>
    </w:div>
    <w:div w:id="256254439">
      <w:bodyDiv w:val="1"/>
      <w:marLeft w:val="0"/>
      <w:marRight w:val="0"/>
      <w:marTop w:val="0"/>
      <w:marBottom w:val="0"/>
      <w:divBdr>
        <w:top w:val="none" w:sz="0" w:space="0" w:color="auto"/>
        <w:left w:val="none" w:sz="0" w:space="0" w:color="auto"/>
        <w:bottom w:val="none" w:sz="0" w:space="0" w:color="auto"/>
        <w:right w:val="none" w:sz="0" w:space="0" w:color="auto"/>
      </w:divBdr>
    </w:div>
    <w:div w:id="261180811">
      <w:bodyDiv w:val="1"/>
      <w:marLeft w:val="0"/>
      <w:marRight w:val="0"/>
      <w:marTop w:val="0"/>
      <w:marBottom w:val="0"/>
      <w:divBdr>
        <w:top w:val="none" w:sz="0" w:space="0" w:color="auto"/>
        <w:left w:val="none" w:sz="0" w:space="0" w:color="auto"/>
        <w:bottom w:val="none" w:sz="0" w:space="0" w:color="auto"/>
        <w:right w:val="none" w:sz="0" w:space="0" w:color="auto"/>
      </w:divBdr>
    </w:div>
    <w:div w:id="266817969">
      <w:bodyDiv w:val="1"/>
      <w:marLeft w:val="0"/>
      <w:marRight w:val="0"/>
      <w:marTop w:val="0"/>
      <w:marBottom w:val="0"/>
      <w:divBdr>
        <w:top w:val="none" w:sz="0" w:space="0" w:color="auto"/>
        <w:left w:val="none" w:sz="0" w:space="0" w:color="auto"/>
        <w:bottom w:val="none" w:sz="0" w:space="0" w:color="auto"/>
        <w:right w:val="none" w:sz="0" w:space="0" w:color="auto"/>
      </w:divBdr>
    </w:div>
    <w:div w:id="277300609">
      <w:bodyDiv w:val="1"/>
      <w:marLeft w:val="0"/>
      <w:marRight w:val="0"/>
      <w:marTop w:val="0"/>
      <w:marBottom w:val="0"/>
      <w:divBdr>
        <w:top w:val="none" w:sz="0" w:space="0" w:color="auto"/>
        <w:left w:val="none" w:sz="0" w:space="0" w:color="auto"/>
        <w:bottom w:val="none" w:sz="0" w:space="0" w:color="auto"/>
        <w:right w:val="none" w:sz="0" w:space="0" w:color="auto"/>
      </w:divBdr>
    </w:div>
    <w:div w:id="278924228">
      <w:bodyDiv w:val="1"/>
      <w:marLeft w:val="0"/>
      <w:marRight w:val="0"/>
      <w:marTop w:val="0"/>
      <w:marBottom w:val="0"/>
      <w:divBdr>
        <w:top w:val="none" w:sz="0" w:space="0" w:color="auto"/>
        <w:left w:val="none" w:sz="0" w:space="0" w:color="auto"/>
        <w:bottom w:val="none" w:sz="0" w:space="0" w:color="auto"/>
        <w:right w:val="none" w:sz="0" w:space="0" w:color="auto"/>
      </w:divBdr>
    </w:div>
    <w:div w:id="282924099">
      <w:bodyDiv w:val="1"/>
      <w:marLeft w:val="0"/>
      <w:marRight w:val="0"/>
      <w:marTop w:val="0"/>
      <w:marBottom w:val="0"/>
      <w:divBdr>
        <w:top w:val="none" w:sz="0" w:space="0" w:color="auto"/>
        <w:left w:val="none" w:sz="0" w:space="0" w:color="auto"/>
        <w:bottom w:val="none" w:sz="0" w:space="0" w:color="auto"/>
        <w:right w:val="none" w:sz="0" w:space="0" w:color="auto"/>
      </w:divBdr>
    </w:div>
    <w:div w:id="283999824">
      <w:bodyDiv w:val="1"/>
      <w:marLeft w:val="0"/>
      <w:marRight w:val="0"/>
      <w:marTop w:val="0"/>
      <w:marBottom w:val="0"/>
      <w:divBdr>
        <w:top w:val="none" w:sz="0" w:space="0" w:color="auto"/>
        <w:left w:val="none" w:sz="0" w:space="0" w:color="auto"/>
        <w:bottom w:val="none" w:sz="0" w:space="0" w:color="auto"/>
        <w:right w:val="none" w:sz="0" w:space="0" w:color="auto"/>
      </w:divBdr>
    </w:div>
    <w:div w:id="289895440">
      <w:bodyDiv w:val="1"/>
      <w:marLeft w:val="0"/>
      <w:marRight w:val="0"/>
      <w:marTop w:val="0"/>
      <w:marBottom w:val="0"/>
      <w:divBdr>
        <w:top w:val="none" w:sz="0" w:space="0" w:color="auto"/>
        <w:left w:val="none" w:sz="0" w:space="0" w:color="auto"/>
        <w:bottom w:val="none" w:sz="0" w:space="0" w:color="auto"/>
        <w:right w:val="none" w:sz="0" w:space="0" w:color="auto"/>
      </w:divBdr>
    </w:div>
    <w:div w:id="307056191">
      <w:bodyDiv w:val="1"/>
      <w:marLeft w:val="0"/>
      <w:marRight w:val="0"/>
      <w:marTop w:val="0"/>
      <w:marBottom w:val="0"/>
      <w:divBdr>
        <w:top w:val="none" w:sz="0" w:space="0" w:color="auto"/>
        <w:left w:val="none" w:sz="0" w:space="0" w:color="auto"/>
        <w:bottom w:val="none" w:sz="0" w:space="0" w:color="auto"/>
        <w:right w:val="none" w:sz="0" w:space="0" w:color="auto"/>
      </w:divBdr>
    </w:div>
    <w:div w:id="310401929">
      <w:bodyDiv w:val="1"/>
      <w:marLeft w:val="0"/>
      <w:marRight w:val="0"/>
      <w:marTop w:val="0"/>
      <w:marBottom w:val="0"/>
      <w:divBdr>
        <w:top w:val="none" w:sz="0" w:space="0" w:color="auto"/>
        <w:left w:val="none" w:sz="0" w:space="0" w:color="auto"/>
        <w:bottom w:val="none" w:sz="0" w:space="0" w:color="auto"/>
        <w:right w:val="none" w:sz="0" w:space="0" w:color="auto"/>
      </w:divBdr>
    </w:div>
    <w:div w:id="312565709">
      <w:bodyDiv w:val="1"/>
      <w:marLeft w:val="0"/>
      <w:marRight w:val="0"/>
      <w:marTop w:val="0"/>
      <w:marBottom w:val="0"/>
      <w:divBdr>
        <w:top w:val="none" w:sz="0" w:space="0" w:color="auto"/>
        <w:left w:val="none" w:sz="0" w:space="0" w:color="auto"/>
        <w:bottom w:val="none" w:sz="0" w:space="0" w:color="auto"/>
        <w:right w:val="none" w:sz="0" w:space="0" w:color="auto"/>
      </w:divBdr>
    </w:div>
    <w:div w:id="317195939">
      <w:bodyDiv w:val="1"/>
      <w:marLeft w:val="0"/>
      <w:marRight w:val="0"/>
      <w:marTop w:val="0"/>
      <w:marBottom w:val="0"/>
      <w:divBdr>
        <w:top w:val="none" w:sz="0" w:space="0" w:color="auto"/>
        <w:left w:val="none" w:sz="0" w:space="0" w:color="auto"/>
        <w:bottom w:val="none" w:sz="0" w:space="0" w:color="auto"/>
        <w:right w:val="none" w:sz="0" w:space="0" w:color="auto"/>
      </w:divBdr>
    </w:div>
    <w:div w:id="349649888">
      <w:bodyDiv w:val="1"/>
      <w:marLeft w:val="0"/>
      <w:marRight w:val="0"/>
      <w:marTop w:val="0"/>
      <w:marBottom w:val="0"/>
      <w:divBdr>
        <w:top w:val="none" w:sz="0" w:space="0" w:color="auto"/>
        <w:left w:val="none" w:sz="0" w:space="0" w:color="auto"/>
        <w:bottom w:val="none" w:sz="0" w:space="0" w:color="auto"/>
        <w:right w:val="none" w:sz="0" w:space="0" w:color="auto"/>
      </w:divBdr>
    </w:div>
    <w:div w:id="353894547">
      <w:bodyDiv w:val="1"/>
      <w:marLeft w:val="0"/>
      <w:marRight w:val="0"/>
      <w:marTop w:val="0"/>
      <w:marBottom w:val="0"/>
      <w:divBdr>
        <w:top w:val="none" w:sz="0" w:space="0" w:color="auto"/>
        <w:left w:val="none" w:sz="0" w:space="0" w:color="auto"/>
        <w:bottom w:val="none" w:sz="0" w:space="0" w:color="auto"/>
        <w:right w:val="none" w:sz="0" w:space="0" w:color="auto"/>
      </w:divBdr>
    </w:div>
    <w:div w:id="382951224">
      <w:bodyDiv w:val="1"/>
      <w:marLeft w:val="0"/>
      <w:marRight w:val="0"/>
      <w:marTop w:val="0"/>
      <w:marBottom w:val="0"/>
      <w:divBdr>
        <w:top w:val="none" w:sz="0" w:space="0" w:color="auto"/>
        <w:left w:val="none" w:sz="0" w:space="0" w:color="auto"/>
        <w:bottom w:val="none" w:sz="0" w:space="0" w:color="auto"/>
        <w:right w:val="none" w:sz="0" w:space="0" w:color="auto"/>
      </w:divBdr>
    </w:div>
    <w:div w:id="395903211">
      <w:bodyDiv w:val="1"/>
      <w:marLeft w:val="0"/>
      <w:marRight w:val="0"/>
      <w:marTop w:val="0"/>
      <w:marBottom w:val="0"/>
      <w:divBdr>
        <w:top w:val="none" w:sz="0" w:space="0" w:color="auto"/>
        <w:left w:val="none" w:sz="0" w:space="0" w:color="auto"/>
        <w:bottom w:val="none" w:sz="0" w:space="0" w:color="auto"/>
        <w:right w:val="none" w:sz="0" w:space="0" w:color="auto"/>
      </w:divBdr>
    </w:div>
    <w:div w:id="397437901">
      <w:bodyDiv w:val="1"/>
      <w:marLeft w:val="0"/>
      <w:marRight w:val="0"/>
      <w:marTop w:val="0"/>
      <w:marBottom w:val="0"/>
      <w:divBdr>
        <w:top w:val="none" w:sz="0" w:space="0" w:color="auto"/>
        <w:left w:val="none" w:sz="0" w:space="0" w:color="auto"/>
        <w:bottom w:val="none" w:sz="0" w:space="0" w:color="auto"/>
        <w:right w:val="none" w:sz="0" w:space="0" w:color="auto"/>
      </w:divBdr>
    </w:div>
    <w:div w:id="418914470">
      <w:bodyDiv w:val="1"/>
      <w:marLeft w:val="0"/>
      <w:marRight w:val="0"/>
      <w:marTop w:val="0"/>
      <w:marBottom w:val="0"/>
      <w:divBdr>
        <w:top w:val="none" w:sz="0" w:space="0" w:color="auto"/>
        <w:left w:val="none" w:sz="0" w:space="0" w:color="auto"/>
        <w:bottom w:val="none" w:sz="0" w:space="0" w:color="auto"/>
        <w:right w:val="none" w:sz="0" w:space="0" w:color="auto"/>
      </w:divBdr>
    </w:div>
    <w:div w:id="419301643">
      <w:bodyDiv w:val="1"/>
      <w:marLeft w:val="0"/>
      <w:marRight w:val="0"/>
      <w:marTop w:val="0"/>
      <w:marBottom w:val="0"/>
      <w:divBdr>
        <w:top w:val="none" w:sz="0" w:space="0" w:color="auto"/>
        <w:left w:val="none" w:sz="0" w:space="0" w:color="auto"/>
        <w:bottom w:val="none" w:sz="0" w:space="0" w:color="auto"/>
        <w:right w:val="none" w:sz="0" w:space="0" w:color="auto"/>
      </w:divBdr>
    </w:div>
    <w:div w:id="423769451">
      <w:bodyDiv w:val="1"/>
      <w:marLeft w:val="0"/>
      <w:marRight w:val="0"/>
      <w:marTop w:val="0"/>
      <w:marBottom w:val="0"/>
      <w:divBdr>
        <w:top w:val="none" w:sz="0" w:space="0" w:color="auto"/>
        <w:left w:val="none" w:sz="0" w:space="0" w:color="auto"/>
        <w:bottom w:val="none" w:sz="0" w:space="0" w:color="auto"/>
        <w:right w:val="none" w:sz="0" w:space="0" w:color="auto"/>
      </w:divBdr>
    </w:div>
    <w:div w:id="438990885">
      <w:bodyDiv w:val="1"/>
      <w:marLeft w:val="0"/>
      <w:marRight w:val="0"/>
      <w:marTop w:val="0"/>
      <w:marBottom w:val="0"/>
      <w:divBdr>
        <w:top w:val="none" w:sz="0" w:space="0" w:color="auto"/>
        <w:left w:val="none" w:sz="0" w:space="0" w:color="auto"/>
        <w:bottom w:val="none" w:sz="0" w:space="0" w:color="auto"/>
        <w:right w:val="none" w:sz="0" w:space="0" w:color="auto"/>
      </w:divBdr>
    </w:div>
    <w:div w:id="441805780">
      <w:bodyDiv w:val="1"/>
      <w:marLeft w:val="0"/>
      <w:marRight w:val="0"/>
      <w:marTop w:val="0"/>
      <w:marBottom w:val="0"/>
      <w:divBdr>
        <w:top w:val="none" w:sz="0" w:space="0" w:color="auto"/>
        <w:left w:val="none" w:sz="0" w:space="0" w:color="auto"/>
        <w:bottom w:val="none" w:sz="0" w:space="0" w:color="auto"/>
        <w:right w:val="none" w:sz="0" w:space="0" w:color="auto"/>
      </w:divBdr>
    </w:div>
    <w:div w:id="444349627">
      <w:bodyDiv w:val="1"/>
      <w:marLeft w:val="0"/>
      <w:marRight w:val="0"/>
      <w:marTop w:val="0"/>
      <w:marBottom w:val="0"/>
      <w:divBdr>
        <w:top w:val="none" w:sz="0" w:space="0" w:color="auto"/>
        <w:left w:val="none" w:sz="0" w:space="0" w:color="auto"/>
        <w:bottom w:val="none" w:sz="0" w:space="0" w:color="auto"/>
        <w:right w:val="none" w:sz="0" w:space="0" w:color="auto"/>
      </w:divBdr>
    </w:div>
    <w:div w:id="449512186">
      <w:bodyDiv w:val="1"/>
      <w:marLeft w:val="0"/>
      <w:marRight w:val="0"/>
      <w:marTop w:val="0"/>
      <w:marBottom w:val="0"/>
      <w:divBdr>
        <w:top w:val="none" w:sz="0" w:space="0" w:color="auto"/>
        <w:left w:val="none" w:sz="0" w:space="0" w:color="auto"/>
        <w:bottom w:val="none" w:sz="0" w:space="0" w:color="auto"/>
        <w:right w:val="none" w:sz="0" w:space="0" w:color="auto"/>
      </w:divBdr>
    </w:div>
    <w:div w:id="463043402">
      <w:bodyDiv w:val="1"/>
      <w:marLeft w:val="0"/>
      <w:marRight w:val="0"/>
      <w:marTop w:val="0"/>
      <w:marBottom w:val="0"/>
      <w:divBdr>
        <w:top w:val="none" w:sz="0" w:space="0" w:color="auto"/>
        <w:left w:val="none" w:sz="0" w:space="0" w:color="auto"/>
        <w:bottom w:val="none" w:sz="0" w:space="0" w:color="auto"/>
        <w:right w:val="none" w:sz="0" w:space="0" w:color="auto"/>
      </w:divBdr>
    </w:div>
    <w:div w:id="475875482">
      <w:bodyDiv w:val="1"/>
      <w:marLeft w:val="0"/>
      <w:marRight w:val="0"/>
      <w:marTop w:val="0"/>
      <w:marBottom w:val="0"/>
      <w:divBdr>
        <w:top w:val="none" w:sz="0" w:space="0" w:color="auto"/>
        <w:left w:val="none" w:sz="0" w:space="0" w:color="auto"/>
        <w:bottom w:val="none" w:sz="0" w:space="0" w:color="auto"/>
        <w:right w:val="none" w:sz="0" w:space="0" w:color="auto"/>
      </w:divBdr>
    </w:div>
    <w:div w:id="488593061">
      <w:bodyDiv w:val="1"/>
      <w:marLeft w:val="0"/>
      <w:marRight w:val="0"/>
      <w:marTop w:val="0"/>
      <w:marBottom w:val="0"/>
      <w:divBdr>
        <w:top w:val="none" w:sz="0" w:space="0" w:color="auto"/>
        <w:left w:val="none" w:sz="0" w:space="0" w:color="auto"/>
        <w:bottom w:val="none" w:sz="0" w:space="0" w:color="auto"/>
        <w:right w:val="none" w:sz="0" w:space="0" w:color="auto"/>
      </w:divBdr>
    </w:div>
    <w:div w:id="488984637">
      <w:bodyDiv w:val="1"/>
      <w:marLeft w:val="0"/>
      <w:marRight w:val="0"/>
      <w:marTop w:val="0"/>
      <w:marBottom w:val="0"/>
      <w:divBdr>
        <w:top w:val="none" w:sz="0" w:space="0" w:color="auto"/>
        <w:left w:val="none" w:sz="0" w:space="0" w:color="auto"/>
        <w:bottom w:val="none" w:sz="0" w:space="0" w:color="auto"/>
        <w:right w:val="none" w:sz="0" w:space="0" w:color="auto"/>
      </w:divBdr>
    </w:div>
    <w:div w:id="490213797">
      <w:bodyDiv w:val="1"/>
      <w:marLeft w:val="0"/>
      <w:marRight w:val="0"/>
      <w:marTop w:val="0"/>
      <w:marBottom w:val="0"/>
      <w:divBdr>
        <w:top w:val="none" w:sz="0" w:space="0" w:color="auto"/>
        <w:left w:val="none" w:sz="0" w:space="0" w:color="auto"/>
        <w:bottom w:val="none" w:sz="0" w:space="0" w:color="auto"/>
        <w:right w:val="none" w:sz="0" w:space="0" w:color="auto"/>
      </w:divBdr>
    </w:div>
    <w:div w:id="513542666">
      <w:bodyDiv w:val="1"/>
      <w:marLeft w:val="0"/>
      <w:marRight w:val="0"/>
      <w:marTop w:val="0"/>
      <w:marBottom w:val="0"/>
      <w:divBdr>
        <w:top w:val="none" w:sz="0" w:space="0" w:color="auto"/>
        <w:left w:val="none" w:sz="0" w:space="0" w:color="auto"/>
        <w:bottom w:val="none" w:sz="0" w:space="0" w:color="auto"/>
        <w:right w:val="none" w:sz="0" w:space="0" w:color="auto"/>
      </w:divBdr>
    </w:div>
    <w:div w:id="523327450">
      <w:bodyDiv w:val="1"/>
      <w:marLeft w:val="0"/>
      <w:marRight w:val="0"/>
      <w:marTop w:val="0"/>
      <w:marBottom w:val="0"/>
      <w:divBdr>
        <w:top w:val="none" w:sz="0" w:space="0" w:color="auto"/>
        <w:left w:val="none" w:sz="0" w:space="0" w:color="auto"/>
        <w:bottom w:val="none" w:sz="0" w:space="0" w:color="auto"/>
        <w:right w:val="none" w:sz="0" w:space="0" w:color="auto"/>
      </w:divBdr>
    </w:div>
    <w:div w:id="526910028">
      <w:bodyDiv w:val="1"/>
      <w:marLeft w:val="0"/>
      <w:marRight w:val="0"/>
      <w:marTop w:val="0"/>
      <w:marBottom w:val="0"/>
      <w:divBdr>
        <w:top w:val="none" w:sz="0" w:space="0" w:color="auto"/>
        <w:left w:val="none" w:sz="0" w:space="0" w:color="auto"/>
        <w:bottom w:val="none" w:sz="0" w:space="0" w:color="auto"/>
        <w:right w:val="none" w:sz="0" w:space="0" w:color="auto"/>
      </w:divBdr>
    </w:div>
    <w:div w:id="541753068">
      <w:bodyDiv w:val="1"/>
      <w:marLeft w:val="0"/>
      <w:marRight w:val="0"/>
      <w:marTop w:val="0"/>
      <w:marBottom w:val="0"/>
      <w:divBdr>
        <w:top w:val="none" w:sz="0" w:space="0" w:color="auto"/>
        <w:left w:val="none" w:sz="0" w:space="0" w:color="auto"/>
        <w:bottom w:val="none" w:sz="0" w:space="0" w:color="auto"/>
        <w:right w:val="none" w:sz="0" w:space="0" w:color="auto"/>
      </w:divBdr>
    </w:div>
    <w:div w:id="554894815">
      <w:bodyDiv w:val="1"/>
      <w:marLeft w:val="0"/>
      <w:marRight w:val="0"/>
      <w:marTop w:val="0"/>
      <w:marBottom w:val="0"/>
      <w:divBdr>
        <w:top w:val="none" w:sz="0" w:space="0" w:color="auto"/>
        <w:left w:val="none" w:sz="0" w:space="0" w:color="auto"/>
        <w:bottom w:val="none" w:sz="0" w:space="0" w:color="auto"/>
        <w:right w:val="none" w:sz="0" w:space="0" w:color="auto"/>
      </w:divBdr>
    </w:div>
    <w:div w:id="564922307">
      <w:bodyDiv w:val="1"/>
      <w:marLeft w:val="0"/>
      <w:marRight w:val="0"/>
      <w:marTop w:val="0"/>
      <w:marBottom w:val="0"/>
      <w:divBdr>
        <w:top w:val="none" w:sz="0" w:space="0" w:color="auto"/>
        <w:left w:val="none" w:sz="0" w:space="0" w:color="auto"/>
        <w:bottom w:val="none" w:sz="0" w:space="0" w:color="auto"/>
        <w:right w:val="none" w:sz="0" w:space="0" w:color="auto"/>
      </w:divBdr>
    </w:div>
    <w:div w:id="570963048">
      <w:bodyDiv w:val="1"/>
      <w:marLeft w:val="0"/>
      <w:marRight w:val="0"/>
      <w:marTop w:val="0"/>
      <w:marBottom w:val="0"/>
      <w:divBdr>
        <w:top w:val="none" w:sz="0" w:space="0" w:color="auto"/>
        <w:left w:val="none" w:sz="0" w:space="0" w:color="auto"/>
        <w:bottom w:val="none" w:sz="0" w:space="0" w:color="auto"/>
        <w:right w:val="none" w:sz="0" w:space="0" w:color="auto"/>
      </w:divBdr>
    </w:div>
    <w:div w:id="571962178">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8558925">
      <w:bodyDiv w:val="1"/>
      <w:marLeft w:val="0"/>
      <w:marRight w:val="0"/>
      <w:marTop w:val="0"/>
      <w:marBottom w:val="0"/>
      <w:divBdr>
        <w:top w:val="none" w:sz="0" w:space="0" w:color="auto"/>
        <w:left w:val="none" w:sz="0" w:space="0" w:color="auto"/>
        <w:bottom w:val="none" w:sz="0" w:space="0" w:color="auto"/>
        <w:right w:val="none" w:sz="0" w:space="0" w:color="auto"/>
      </w:divBdr>
    </w:div>
    <w:div w:id="582228583">
      <w:bodyDiv w:val="1"/>
      <w:marLeft w:val="0"/>
      <w:marRight w:val="0"/>
      <w:marTop w:val="0"/>
      <w:marBottom w:val="0"/>
      <w:divBdr>
        <w:top w:val="none" w:sz="0" w:space="0" w:color="auto"/>
        <w:left w:val="none" w:sz="0" w:space="0" w:color="auto"/>
        <w:bottom w:val="none" w:sz="0" w:space="0" w:color="auto"/>
        <w:right w:val="none" w:sz="0" w:space="0" w:color="auto"/>
      </w:divBdr>
    </w:div>
    <w:div w:id="605892750">
      <w:bodyDiv w:val="1"/>
      <w:marLeft w:val="0"/>
      <w:marRight w:val="0"/>
      <w:marTop w:val="0"/>
      <w:marBottom w:val="0"/>
      <w:divBdr>
        <w:top w:val="none" w:sz="0" w:space="0" w:color="auto"/>
        <w:left w:val="none" w:sz="0" w:space="0" w:color="auto"/>
        <w:bottom w:val="none" w:sz="0" w:space="0" w:color="auto"/>
        <w:right w:val="none" w:sz="0" w:space="0" w:color="auto"/>
      </w:divBdr>
    </w:div>
    <w:div w:id="628508900">
      <w:bodyDiv w:val="1"/>
      <w:marLeft w:val="0"/>
      <w:marRight w:val="0"/>
      <w:marTop w:val="0"/>
      <w:marBottom w:val="0"/>
      <w:divBdr>
        <w:top w:val="none" w:sz="0" w:space="0" w:color="auto"/>
        <w:left w:val="none" w:sz="0" w:space="0" w:color="auto"/>
        <w:bottom w:val="none" w:sz="0" w:space="0" w:color="auto"/>
        <w:right w:val="none" w:sz="0" w:space="0" w:color="auto"/>
      </w:divBdr>
    </w:div>
    <w:div w:id="636646178">
      <w:bodyDiv w:val="1"/>
      <w:marLeft w:val="0"/>
      <w:marRight w:val="0"/>
      <w:marTop w:val="0"/>
      <w:marBottom w:val="0"/>
      <w:divBdr>
        <w:top w:val="none" w:sz="0" w:space="0" w:color="auto"/>
        <w:left w:val="none" w:sz="0" w:space="0" w:color="auto"/>
        <w:bottom w:val="none" w:sz="0" w:space="0" w:color="auto"/>
        <w:right w:val="none" w:sz="0" w:space="0" w:color="auto"/>
      </w:divBdr>
    </w:div>
    <w:div w:id="637733142">
      <w:bodyDiv w:val="1"/>
      <w:marLeft w:val="0"/>
      <w:marRight w:val="0"/>
      <w:marTop w:val="0"/>
      <w:marBottom w:val="0"/>
      <w:divBdr>
        <w:top w:val="none" w:sz="0" w:space="0" w:color="auto"/>
        <w:left w:val="none" w:sz="0" w:space="0" w:color="auto"/>
        <w:bottom w:val="none" w:sz="0" w:space="0" w:color="auto"/>
        <w:right w:val="none" w:sz="0" w:space="0" w:color="auto"/>
      </w:divBdr>
    </w:div>
    <w:div w:id="638219450">
      <w:bodyDiv w:val="1"/>
      <w:marLeft w:val="0"/>
      <w:marRight w:val="0"/>
      <w:marTop w:val="0"/>
      <w:marBottom w:val="0"/>
      <w:divBdr>
        <w:top w:val="none" w:sz="0" w:space="0" w:color="auto"/>
        <w:left w:val="none" w:sz="0" w:space="0" w:color="auto"/>
        <w:bottom w:val="none" w:sz="0" w:space="0" w:color="auto"/>
        <w:right w:val="none" w:sz="0" w:space="0" w:color="auto"/>
      </w:divBdr>
    </w:div>
    <w:div w:id="650599172">
      <w:bodyDiv w:val="1"/>
      <w:marLeft w:val="0"/>
      <w:marRight w:val="0"/>
      <w:marTop w:val="0"/>
      <w:marBottom w:val="0"/>
      <w:divBdr>
        <w:top w:val="none" w:sz="0" w:space="0" w:color="auto"/>
        <w:left w:val="none" w:sz="0" w:space="0" w:color="auto"/>
        <w:bottom w:val="none" w:sz="0" w:space="0" w:color="auto"/>
        <w:right w:val="none" w:sz="0" w:space="0" w:color="auto"/>
      </w:divBdr>
    </w:div>
    <w:div w:id="676275884">
      <w:bodyDiv w:val="1"/>
      <w:marLeft w:val="0"/>
      <w:marRight w:val="0"/>
      <w:marTop w:val="0"/>
      <w:marBottom w:val="0"/>
      <w:divBdr>
        <w:top w:val="none" w:sz="0" w:space="0" w:color="auto"/>
        <w:left w:val="none" w:sz="0" w:space="0" w:color="auto"/>
        <w:bottom w:val="none" w:sz="0" w:space="0" w:color="auto"/>
        <w:right w:val="none" w:sz="0" w:space="0" w:color="auto"/>
      </w:divBdr>
    </w:div>
    <w:div w:id="684013751">
      <w:bodyDiv w:val="1"/>
      <w:marLeft w:val="0"/>
      <w:marRight w:val="0"/>
      <w:marTop w:val="0"/>
      <w:marBottom w:val="0"/>
      <w:divBdr>
        <w:top w:val="none" w:sz="0" w:space="0" w:color="auto"/>
        <w:left w:val="none" w:sz="0" w:space="0" w:color="auto"/>
        <w:bottom w:val="none" w:sz="0" w:space="0" w:color="auto"/>
        <w:right w:val="none" w:sz="0" w:space="0" w:color="auto"/>
      </w:divBdr>
    </w:div>
    <w:div w:id="703554939">
      <w:bodyDiv w:val="1"/>
      <w:marLeft w:val="0"/>
      <w:marRight w:val="0"/>
      <w:marTop w:val="0"/>
      <w:marBottom w:val="0"/>
      <w:divBdr>
        <w:top w:val="none" w:sz="0" w:space="0" w:color="auto"/>
        <w:left w:val="none" w:sz="0" w:space="0" w:color="auto"/>
        <w:bottom w:val="none" w:sz="0" w:space="0" w:color="auto"/>
        <w:right w:val="none" w:sz="0" w:space="0" w:color="auto"/>
      </w:divBdr>
    </w:div>
    <w:div w:id="706374752">
      <w:bodyDiv w:val="1"/>
      <w:marLeft w:val="0"/>
      <w:marRight w:val="0"/>
      <w:marTop w:val="0"/>
      <w:marBottom w:val="0"/>
      <w:divBdr>
        <w:top w:val="none" w:sz="0" w:space="0" w:color="auto"/>
        <w:left w:val="none" w:sz="0" w:space="0" w:color="auto"/>
        <w:bottom w:val="none" w:sz="0" w:space="0" w:color="auto"/>
        <w:right w:val="none" w:sz="0" w:space="0" w:color="auto"/>
      </w:divBdr>
    </w:div>
    <w:div w:id="714622017">
      <w:bodyDiv w:val="1"/>
      <w:marLeft w:val="0"/>
      <w:marRight w:val="0"/>
      <w:marTop w:val="0"/>
      <w:marBottom w:val="0"/>
      <w:divBdr>
        <w:top w:val="none" w:sz="0" w:space="0" w:color="auto"/>
        <w:left w:val="none" w:sz="0" w:space="0" w:color="auto"/>
        <w:bottom w:val="none" w:sz="0" w:space="0" w:color="auto"/>
        <w:right w:val="none" w:sz="0" w:space="0" w:color="auto"/>
      </w:divBdr>
    </w:div>
    <w:div w:id="740522078">
      <w:bodyDiv w:val="1"/>
      <w:marLeft w:val="0"/>
      <w:marRight w:val="0"/>
      <w:marTop w:val="0"/>
      <w:marBottom w:val="0"/>
      <w:divBdr>
        <w:top w:val="none" w:sz="0" w:space="0" w:color="auto"/>
        <w:left w:val="none" w:sz="0" w:space="0" w:color="auto"/>
        <w:bottom w:val="none" w:sz="0" w:space="0" w:color="auto"/>
        <w:right w:val="none" w:sz="0" w:space="0" w:color="auto"/>
      </w:divBdr>
    </w:div>
    <w:div w:id="744033770">
      <w:bodyDiv w:val="1"/>
      <w:marLeft w:val="0"/>
      <w:marRight w:val="0"/>
      <w:marTop w:val="0"/>
      <w:marBottom w:val="0"/>
      <w:divBdr>
        <w:top w:val="none" w:sz="0" w:space="0" w:color="auto"/>
        <w:left w:val="none" w:sz="0" w:space="0" w:color="auto"/>
        <w:bottom w:val="none" w:sz="0" w:space="0" w:color="auto"/>
        <w:right w:val="none" w:sz="0" w:space="0" w:color="auto"/>
      </w:divBdr>
    </w:div>
    <w:div w:id="750855513">
      <w:bodyDiv w:val="1"/>
      <w:marLeft w:val="0"/>
      <w:marRight w:val="0"/>
      <w:marTop w:val="0"/>
      <w:marBottom w:val="0"/>
      <w:divBdr>
        <w:top w:val="none" w:sz="0" w:space="0" w:color="auto"/>
        <w:left w:val="none" w:sz="0" w:space="0" w:color="auto"/>
        <w:bottom w:val="none" w:sz="0" w:space="0" w:color="auto"/>
        <w:right w:val="none" w:sz="0" w:space="0" w:color="auto"/>
      </w:divBdr>
    </w:div>
    <w:div w:id="773404196">
      <w:bodyDiv w:val="1"/>
      <w:marLeft w:val="0"/>
      <w:marRight w:val="0"/>
      <w:marTop w:val="0"/>
      <w:marBottom w:val="0"/>
      <w:divBdr>
        <w:top w:val="none" w:sz="0" w:space="0" w:color="auto"/>
        <w:left w:val="none" w:sz="0" w:space="0" w:color="auto"/>
        <w:bottom w:val="none" w:sz="0" w:space="0" w:color="auto"/>
        <w:right w:val="none" w:sz="0" w:space="0" w:color="auto"/>
      </w:divBdr>
    </w:div>
    <w:div w:id="778718461">
      <w:bodyDiv w:val="1"/>
      <w:marLeft w:val="0"/>
      <w:marRight w:val="0"/>
      <w:marTop w:val="0"/>
      <w:marBottom w:val="0"/>
      <w:divBdr>
        <w:top w:val="none" w:sz="0" w:space="0" w:color="auto"/>
        <w:left w:val="none" w:sz="0" w:space="0" w:color="auto"/>
        <w:bottom w:val="none" w:sz="0" w:space="0" w:color="auto"/>
        <w:right w:val="none" w:sz="0" w:space="0" w:color="auto"/>
      </w:divBdr>
    </w:div>
    <w:div w:id="794181710">
      <w:bodyDiv w:val="1"/>
      <w:marLeft w:val="0"/>
      <w:marRight w:val="0"/>
      <w:marTop w:val="0"/>
      <w:marBottom w:val="0"/>
      <w:divBdr>
        <w:top w:val="none" w:sz="0" w:space="0" w:color="auto"/>
        <w:left w:val="none" w:sz="0" w:space="0" w:color="auto"/>
        <w:bottom w:val="none" w:sz="0" w:space="0" w:color="auto"/>
        <w:right w:val="none" w:sz="0" w:space="0" w:color="auto"/>
      </w:divBdr>
    </w:div>
    <w:div w:id="804853402">
      <w:bodyDiv w:val="1"/>
      <w:marLeft w:val="0"/>
      <w:marRight w:val="0"/>
      <w:marTop w:val="0"/>
      <w:marBottom w:val="0"/>
      <w:divBdr>
        <w:top w:val="none" w:sz="0" w:space="0" w:color="auto"/>
        <w:left w:val="none" w:sz="0" w:space="0" w:color="auto"/>
        <w:bottom w:val="none" w:sz="0" w:space="0" w:color="auto"/>
        <w:right w:val="none" w:sz="0" w:space="0" w:color="auto"/>
      </w:divBdr>
    </w:div>
    <w:div w:id="857157284">
      <w:bodyDiv w:val="1"/>
      <w:marLeft w:val="0"/>
      <w:marRight w:val="0"/>
      <w:marTop w:val="0"/>
      <w:marBottom w:val="0"/>
      <w:divBdr>
        <w:top w:val="none" w:sz="0" w:space="0" w:color="auto"/>
        <w:left w:val="none" w:sz="0" w:space="0" w:color="auto"/>
        <w:bottom w:val="none" w:sz="0" w:space="0" w:color="auto"/>
        <w:right w:val="none" w:sz="0" w:space="0" w:color="auto"/>
      </w:divBdr>
    </w:div>
    <w:div w:id="867377871">
      <w:bodyDiv w:val="1"/>
      <w:marLeft w:val="0"/>
      <w:marRight w:val="0"/>
      <w:marTop w:val="0"/>
      <w:marBottom w:val="0"/>
      <w:divBdr>
        <w:top w:val="none" w:sz="0" w:space="0" w:color="auto"/>
        <w:left w:val="none" w:sz="0" w:space="0" w:color="auto"/>
        <w:bottom w:val="none" w:sz="0" w:space="0" w:color="auto"/>
        <w:right w:val="none" w:sz="0" w:space="0" w:color="auto"/>
      </w:divBdr>
    </w:div>
    <w:div w:id="874804756">
      <w:bodyDiv w:val="1"/>
      <w:marLeft w:val="0"/>
      <w:marRight w:val="0"/>
      <w:marTop w:val="0"/>
      <w:marBottom w:val="0"/>
      <w:divBdr>
        <w:top w:val="none" w:sz="0" w:space="0" w:color="auto"/>
        <w:left w:val="none" w:sz="0" w:space="0" w:color="auto"/>
        <w:bottom w:val="none" w:sz="0" w:space="0" w:color="auto"/>
        <w:right w:val="none" w:sz="0" w:space="0" w:color="auto"/>
      </w:divBdr>
    </w:div>
    <w:div w:id="875510828">
      <w:bodyDiv w:val="1"/>
      <w:marLeft w:val="0"/>
      <w:marRight w:val="0"/>
      <w:marTop w:val="0"/>
      <w:marBottom w:val="0"/>
      <w:divBdr>
        <w:top w:val="none" w:sz="0" w:space="0" w:color="auto"/>
        <w:left w:val="none" w:sz="0" w:space="0" w:color="auto"/>
        <w:bottom w:val="none" w:sz="0" w:space="0" w:color="auto"/>
        <w:right w:val="none" w:sz="0" w:space="0" w:color="auto"/>
      </w:divBdr>
    </w:div>
    <w:div w:id="884171731">
      <w:bodyDiv w:val="1"/>
      <w:marLeft w:val="0"/>
      <w:marRight w:val="0"/>
      <w:marTop w:val="0"/>
      <w:marBottom w:val="0"/>
      <w:divBdr>
        <w:top w:val="none" w:sz="0" w:space="0" w:color="auto"/>
        <w:left w:val="none" w:sz="0" w:space="0" w:color="auto"/>
        <w:bottom w:val="none" w:sz="0" w:space="0" w:color="auto"/>
        <w:right w:val="none" w:sz="0" w:space="0" w:color="auto"/>
      </w:divBdr>
    </w:div>
    <w:div w:id="886337535">
      <w:bodyDiv w:val="1"/>
      <w:marLeft w:val="0"/>
      <w:marRight w:val="0"/>
      <w:marTop w:val="0"/>
      <w:marBottom w:val="0"/>
      <w:divBdr>
        <w:top w:val="none" w:sz="0" w:space="0" w:color="auto"/>
        <w:left w:val="none" w:sz="0" w:space="0" w:color="auto"/>
        <w:bottom w:val="none" w:sz="0" w:space="0" w:color="auto"/>
        <w:right w:val="none" w:sz="0" w:space="0" w:color="auto"/>
      </w:divBdr>
    </w:div>
    <w:div w:id="899708980">
      <w:bodyDiv w:val="1"/>
      <w:marLeft w:val="0"/>
      <w:marRight w:val="0"/>
      <w:marTop w:val="0"/>
      <w:marBottom w:val="0"/>
      <w:divBdr>
        <w:top w:val="none" w:sz="0" w:space="0" w:color="auto"/>
        <w:left w:val="none" w:sz="0" w:space="0" w:color="auto"/>
        <w:bottom w:val="none" w:sz="0" w:space="0" w:color="auto"/>
        <w:right w:val="none" w:sz="0" w:space="0" w:color="auto"/>
      </w:divBdr>
    </w:div>
    <w:div w:id="901208683">
      <w:bodyDiv w:val="1"/>
      <w:marLeft w:val="0"/>
      <w:marRight w:val="0"/>
      <w:marTop w:val="0"/>
      <w:marBottom w:val="0"/>
      <w:divBdr>
        <w:top w:val="none" w:sz="0" w:space="0" w:color="auto"/>
        <w:left w:val="none" w:sz="0" w:space="0" w:color="auto"/>
        <w:bottom w:val="none" w:sz="0" w:space="0" w:color="auto"/>
        <w:right w:val="none" w:sz="0" w:space="0" w:color="auto"/>
      </w:divBdr>
    </w:div>
    <w:div w:id="918178428">
      <w:bodyDiv w:val="1"/>
      <w:marLeft w:val="0"/>
      <w:marRight w:val="0"/>
      <w:marTop w:val="0"/>
      <w:marBottom w:val="0"/>
      <w:divBdr>
        <w:top w:val="none" w:sz="0" w:space="0" w:color="auto"/>
        <w:left w:val="none" w:sz="0" w:space="0" w:color="auto"/>
        <w:bottom w:val="none" w:sz="0" w:space="0" w:color="auto"/>
        <w:right w:val="none" w:sz="0" w:space="0" w:color="auto"/>
      </w:divBdr>
    </w:div>
    <w:div w:id="920022385">
      <w:bodyDiv w:val="1"/>
      <w:marLeft w:val="0"/>
      <w:marRight w:val="0"/>
      <w:marTop w:val="0"/>
      <w:marBottom w:val="0"/>
      <w:divBdr>
        <w:top w:val="none" w:sz="0" w:space="0" w:color="auto"/>
        <w:left w:val="none" w:sz="0" w:space="0" w:color="auto"/>
        <w:bottom w:val="none" w:sz="0" w:space="0" w:color="auto"/>
        <w:right w:val="none" w:sz="0" w:space="0" w:color="auto"/>
      </w:divBdr>
    </w:div>
    <w:div w:id="930234369">
      <w:bodyDiv w:val="1"/>
      <w:marLeft w:val="0"/>
      <w:marRight w:val="0"/>
      <w:marTop w:val="0"/>
      <w:marBottom w:val="0"/>
      <w:divBdr>
        <w:top w:val="none" w:sz="0" w:space="0" w:color="auto"/>
        <w:left w:val="none" w:sz="0" w:space="0" w:color="auto"/>
        <w:bottom w:val="none" w:sz="0" w:space="0" w:color="auto"/>
        <w:right w:val="none" w:sz="0" w:space="0" w:color="auto"/>
      </w:divBdr>
    </w:div>
    <w:div w:id="961693986">
      <w:bodyDiv w:val="1"/>
      <w:marLeft w:val="0"/>
      <w:marRight w:val="0"/>
      <w:marTop w:val="0"/>
      <w:marBottom w:val="0"/>
      <w:divBdr>
        <w:top w:val="none" w:sz="0" w:space="0" w:color="auto"/>
        <w:left w:val="none" w:sz="0" w:space="0" w:color="auto"/>
        <w:bottom w:val="none" w:sz="0" w:space="0" w:color="auto"/>
        <w:right w:val="none" w:sz="0" w:space="0" w:color="auto"/>
      </w:divBdr>
    </w:div>
    <w:div w:id="962730353">
      <w:bodyDiv w:val="1"/>
      <w:marLeft w:val="0"/>
      <w:marRight w:val="0"/>
      <w:marTop w:val="0"/>
      <w:marBottom w:val="0"/>
      <w:divBdr>
        <w:top w:val="none" w:sz="0" w:space="0" w:color="auto"/>
        <w:left w:val="none" w:sz="0" w:space="0" w:color="auto"/>
        <w:bottom w:val="none" w:sz="0" w:space="0" w:color="auto"/>
        <w:right w:val="none" w:sz="0" w:space="0" w:color="auto"/>
      </w:divBdr>
    </w:div>
    <w:div w:id="981881852">
      <w:bodyDiv w:val="1"/>
      <w:marLeft w:val="0"/>
      <w:marRight w:val="0"/>
      <w:marTop w:val="0"/>
      <w:marBottom w:val="0"/>
      <w:divBdr>
        <w:top w:val="none" w:sz="0" w:space="0" w:color="auto"/>
        <w:left w:val="none" w:sz="0" w:space="0" w:color="auto"/>
        <w:bottom w:val="none" w:sz="0" w:space="0" w:color="auto"/>
        <w:right w:val="none" w:sz="0" w:space="0" w:color="auto"/>
      </w:divBdr>
    </w:div>
    <w:div w:id="989208677">
      <w:bodyDiv w:val="1"/>
      <w:marLeft w:val="0"/>
      <w:marRight w:val="0"/>
      <w:marTop w:val="0"/>
      <w:marBottom w:val="0"/>
      <w:divBdr>
        <w:top w:val="none" w:sz="0" w:space="0" w:color="auto"/>
        <w:left w:val="none" w:sz="0" w:space="0" w:color="auto"/>
        <w:bottom w:val="none" w:sz="0" w:space="0" w:color="auto"/>
        <w:right w:val="none" w:sz="0" w:space="0" w:color="auto"/>
      </w:divBdr>
    </w:div>
    <w:div w:id="1002509457">
      <w:bodyDiv w:val="1"/>
      <w:marLeft w:val="0"/>
      <w:marRight w:val="0"/>
      <w:marTop w:val="0"/>
      <w:marBottom w:val="0"/>
      <w:divBdr>
        <w:top w:val="none" w:sz="0" w:space="0" w:color="auto"/>
        <w:left w:val="none" w:sz="0" w:space="0" w:color="auto"/>
        <w:bottom w:val="none" w:sz="0" w:space="0" w:color="auto"/>
        <w:right w:val="none" w:sz="0" w:space="0" w:color="auto"/>
      </w:divBdr>
    </w:div>
    <w:div w:id="1005549880">
      <w:bodyDiv w:val="1"/>
      <w:marLeft w:val="0"/>
      <w:marRight w:val="0"/>
      <w:marTop w:val="0"/>
      <w:marBottom w:val="0"/>
      <w:divBdr>
        <w:top w:val="none" w:sz="0" w:space="0" w:color="auto"/>
        <w:left w:val="none" w:sz="0" w:space="0" w:color="auto"/>
        <w:bottom w:val="none" w:sz="0" w:space="0" w:color="auto"/>
        <w:right w:val="none" w:sz="0" w:space="0" w:color="auto"/>
      </w:divBdr>
    </w:div>
    <w:div w:id="1007100637">
      <w:bodyDiv w:val="1"/>
      <w:marLeft w:val="0"/>
      <w:marRight w:val="0"/>
      <w:marTop w:val="0"/>
      <w:marBottom w:val="0"/>
      <w:divBdr>
        <w:top w:val="none" w:sz="0" w:space="0" w:color="auto"/>
        <w:left w:val="none" w:sz="0" w:space="0" w:color="auto"/>
        <w:bottom w:val="none" w:sz="0" w:space="0" w:color="auto"/>
        <w:right w:val="none" w:sz="0" w:space="0" w:color="auto"/>
      </w:divBdr>
    </w:div>
    <w:div w:id="1014503263">
      <w:bodyDiv w:val="1"/>
      <w:marLeft w:val="0"/>
      <w:marRight w:val="0"/>
      <w:marTop w:val="0"/>
      <w:marBottom w:val="0"/>
      <w:divBdr>
        <w:top w:val="none" w:sz="0" w:space="0" w:color="auto"/>
        <w:left w:val="none" w:sz="0" w:space="0" w:color="auto"/>
        <w:bottom w:val="none" w:sz="0" w:space="0" w:color="auto"/>
        <w:right w:val="none" w:sz="0" w:space="0" w:color="auto"/>
      </w:divBdr>
    </w:div>
    <w:div w:id="1039625378">
      <w:bodyDiv w:val="1"/>
      <w:marLeft w:val="0"/>
      <w:marRight w:val="0"/>
      <w:marTop w:val="0"/>
      <w:marBottom w:val="0"/>
      <w:divBdr>
        <w:top w:val="none" w:sz="0" w:space="0" w:color="auto"/>
        <w:left w:val="none" w:sz="0" w:space="0" w:color="auto"/>
        <w:bottom w:val="none" w:sz="0" w:space="0" w:color="auto"/>
        <w:right w:val="none" w:sz="0" w:space="0" w:color="auto"/>
      </w:divBdr>
    </w:div>
    <w:div w:id="1045908670">
      <w:bodyDiv w:val="1"/>
      <w:marLeft w:val="0"/>
      <w:marRight w:val="0"/>
      <w:marTop w:val="0"/>
      <w:marBottom w:val="0"/>
      <w:divBdr>
        <w:top w:val="none" w:sz="0" w:space="0" w:color="auto"/>
        <w:left w:val="none" w:sz="0" w:space="0" w:color="auto"/>
        <w:bottom w:val="none" w:sz="0" w:space="0" w:color="auto"/>
        <w:right w:val="none" w:sz="0" w:space="0" w:color="auto"/>
      </w:divBdr>
    </w:div>
    <w:div w:id="1049106376">
      <w:bodyDiv w:val="1"/>
      <w:marLeft w:val="0"/>
      <w:marRight w:val="0"/>
      <w:marTop w:val="0"/>
      <w:marBottom w:val="0"/>
      <w:divBdr>
        <w:top w:val="none" w:sz="0" w:space="0" w:color="auto"/>
        <w:left w:val="none" w:sz="0" w:space="0" w:color="auto"/>
        <w:bottom w:val="none" w:sz="0" w:space="0" w:color="auto"/>
        <w:right w:val="none" w:sz="0" w:space="0" w:color="auto"/>
      </w:divBdr>
    </w:div>
    <w:div w:id="1050032684">
      <w:bodyDiv w:val="1"/>
      <w:marLeft w:val="0"/>
      <w:marRight w:val="0"/>
      <w:marTop w:val="0"/>
      <w:marBottom w:val="0"/>
      <w:divBdr>
        <w:top w:val="none" w:sz="0" w:space="0" w:color="auto"/>
        <w:left w:val="none" w:sz="0" w:space="0" w:color="auto"/>
        <w:bottom w:val="none" w:sz="0" w:space="0" w:color="auto"/>
        <w:right w:val="none" w:sz="0" w:space="0" w:color="auto"/>
      </w:divBdr>
    </w:div>
    <w:div w:id="1051071583">
      <w:bodyDiv w:val="1"/>
      <w:marLeft w:val="0"/>
      <w:marRight w:val="0"/>
      <w:marTop w:val="0"/>
      <w:marBottom w:val="0"/>
      <w:divBdr>
        <w:top w:val="none" w:sz="0" w:space="0" w:color="auto"/>
        <w:left w:val="none" w:sz="0" w:space="0" w:color="auto"/>
        <w:bottom w:val="none" w:sz="0" w:space="0" w:color="auto"/>
        <w:right w:val="none" w:sz="0" w:space="0" w:color="auto"/>
      </w:divBdr>
    </w:div>
    <w:div w:id="1064335227">
      <w:bodyDiv w:val="1"/>
      <w:marLeft w:val="0"/>
      <w:marRight w:val="0"/>
      <w:marTop w:val="0"/>
      <w:marBottom w:val="0"/>
      <w:divBdr>
        <w:top w:val="none" w:sz="0" w:space="0" w:color="auto"/>
        <w:left w:val="none" w:sz="0" w:space="0" w:color="auto"/>
        <w:bottom w:val="none" w:sz="0" w:space="0" w:color="auto"/>
        <w:right w:val="none" w:sz="0" w:space="0" w:color="auto"/>
      </w:divBdr>
    </w:div>
    <w:div w:id="1068379194">
      <w:bodyDiv w:val="1"/>
      <w:marLeft w:val="0"/>
      <w:marRight w:val="0"/>
      <w:marTop w:val="0"/>
      <w:marBottom w:val="0"/>
      <w:divBdr>
        <w:top w:val="none" w:sz="0" w:space="0" w:color="auto"/>
        <w:left w:val="none" w:sz="0" w:space="0" w:color="auto"/>
        <w:bottom w:val="none" w:sz="0" w:space="0" w:color="auto"/>
        <w:right w:val="none" w:sz="0" w:space="0" w:color="auto"/>
      </w:divBdr>
    </w:div>
    <w:div w:id="1068383017">
      <w:bodyDiv w:val="1"/>
      <w:marLeft w:val="0"/>
      <w:marRight w:val="0"/>
      <w:marTop w:val="0"/>
      <w:marBottom w:val="0"/>
      <w:divBdr>
        <w:top w:val="none" w:sz="0" w:space="0" w:color="auto"/>
        <w:left w:val="none" w:sz="0" w:space="0" w:color="auto"/>
        <w:bottom w:val="none" w:sz="0" w:space="0" w:color="auto"/>
        <w:right w:val="none" w:sz="0" w:space="0" w:color="auto"/>
      </w:divBdr>
    </w:div>
    <w:div w:id="1090662440">
      <w:bodyDiv w:val="1"/>
      <w:marLeft w:val="0"/>
      <w:marRight w:val="0"/>
      <w:marTop w:val="0"/>
      <w:marBottom w:val="0"/>
      <w:divBdr>
        <w:top w:val="none" w:sz="0" w:space="0" w:color="auto"/>
        <w:left w:val="none" w:sz="0" w:space="0" w:color="auto"/>
        <w:bottom w:val="none" w:sz="0" w:space="0" w:color="auto"/>
        <w:right w:val="none" w:sz="0" w:space="0" w:color="auto"/>
      </w:divBdr>
    </w:div>
    <w:div w:id="1104349240">
      <w:bodyDiv w:val="1"/>
      <w:marLeft w:val="0"/>
      <w:marRight w:val="0"/>
      <w:marTop w:val="0"/>
      <w:marBottom w:val="0"/>
      <w:divBdr>
        <w:top w:val="none" w:sz="0" w:space="0" w:color="auto"/>
        <w:left w:val="none" w:sz="0" w:space="0" w:color="auto"/>
        <w:bottom w:val="none" w:sz="0" w:space="0" w:color="auto"/>
        <w:right w:val="none" w:sz="0" w:space="0" w:color="auto"/>
      </w:divBdr>
    </w:div>
    <w:div w:id="1107577795">
      <w:bodyDiv w:val="1"/>
      <w:marLeft w:val="0"/>
      <w:marRight w:val="0"/>
      <w:marTop w:val="0"/>
      <w:marBottom w:val="0"/>
      <w:divBdr>
        <w:top w:val="none" w:sz="0" w:space="0" w:color="auto"/>
        <w:left w:val="none" w:sz="0" w:space="0" w:color="auto"/>
        <w:bottom w:val="none" w:sz="0" w:space="0" w:color="auto"/>
        <w:right w:val="none" w:sz="0" w:space="0" w:color="auto"/>
      </w:divBdr>
    </w:div>
    <w:div w:id="1109665136">
      <w:bodyDiv w:val="1"/>
      <w:marLeft w:val="0"/>
      <w:marRight w:val="0"/>
      <w:marTop w:val="0"/>
      <w:marBottom w:val="0"/>
      <w:divBdr>
        <w:top w:val="none" w:sz="0" w:space="0" w:color="auto"/>
        <w:left w:val="none" w:sz="0" w:space="0" w:color="auto"/>
        <w:bottom w:val="none" w:sz="0" w:space="0" w:color="auto"/>
        <w:right w:val="none" w:sz="0" w:space="0" w:color="auto"/>
      </w:divBdr>
    </w:div>
    <w:div w:id="1164782928">
      <w:bodyDiv w:val="1"/>
      <w:marLeft w:val="0"/>
      <w:marRight w:val="0"/>
      <w:marTop w:val="0"/>
      <w:marBottom w:val="0"/>
      <w:divBdr>
        <w:top w:val="none" w:sz="0" w:space="0" w:color="auto"/>
        <w:left w:val="none" w:sz="0" w:space="0" w:color="auto"/>
        <w:bottom w:val="none" w:sz="0" w:space="0" w:color="auto"/>
        <w:right w:val="none" w:sz="0" w:space="0" w:color="auto"/>
      </w:divBdr>
    </w:div>
    <w:div w:id="1166477794">
      <w:bodyDiv w:val="1"/>
      <w:marLeft w:val="0"/>
      <w:marRight w:val="0"/>
      <w:marTop w:val="0"/>
      <w:marBottom w:val="0"/>
      <w:divBdr>
        <w:top w:val="none" w:sz="0" w:space="0" w:color="auto"/>
        <w:left w:val="none" w:sz="0" w:space="0" w:color="auto"/>
        <w:bottom w:val="none" w:sz="0" w:space="0" w:color="auto"/>
        <w:right w:val="none" w:sz="0" w:space="0" w:color="auto"/>
      </w:divBdr>
    </w:div>
    <w:div w:id="1185561581">
      <w:bodyDiv w:val="1"/>
      <w:marLeft w:val="0"/>
      <w:marRight w:val="0"/>
      <w:marTop w:val="0"/>
      <w:marBottom w:val="0"/>
      <w:divBdr>
        <w:top w:val="none" w:sz="0" w:space="0" w:color="auto"/>
        <w:left w:val="none" w:sz="0" w:space="0" w:color="auto"/>
        <w:bottom w:val="none" w:sz="0" w:space="0" w:color="auto"/>
        <w:right w:val="none" w:sz="0" w:space="0" w:color="auto"/>
      </w:divBdr>
    </w:div>
    <w:div w:id="1193691728">
      <w:bodyDiv w:val="1"/>
      <w:marLeft w:val="0"/>
      <w:marRight w:val="0"/>
      <w:marTop w:val="0"/>
      <w:marBottom w:val="0"/>
      <w:divBdr>
        <w:top w:val="none" w:sz="0" w:space="0" w:color="auto"/>
        <w:left w:val="none" w:sz="0" w:space="0" w:color="auto"/>
        <w:bottom w:val="none" w:sz="0" w:space="0" w:color="auto"/>
        <w:right w:val="none" w:sz="0" w:space="0" w:color="auto"/>
      </w:divBdr>
    </w:div>
    <w:div w:id="1200166615">
      <w:bodyDiv w:val="1"/>
      <w:marLeft w:val="0"/>
      <w:marRight w:val="0"/>
      <w:marTop w:val="0"/>
      <w:marBottom w:val="0"/>
      <w:divBdr>
        <w:top w:val="none" w:sz="0" w:space="0" w:color="auto"/>
        <w:left w:val="none" w:sz="0" w:space="0" w:color="auto"/>
        <w:bottom w:val="none" w:sz="0" w:space="0" w:color="auto"/>
        <w:right w:val="none" w:sz="0" w:space="0" w:color="auto"/>
      </w:divBdr>
    </w:div>
    <w:div w:id="1212613582">
      <w:bodyDiv w:val="1"/>
      <w:marLeft w:val="0"/>
      <w:marRight w:val="0"/>
      <w:marTop w:val="0"/>
      <w:marBottom w:val="0"/>
      <w:divBdr>
        <w:top w:val="none" w:sz="0" w:space="0" w:color="auto"/>
        <w:left w:val="none" w:sz="0" w:space="0" w:color="auto"/>
        <w:bottom w:val="none" w:sz="0" w:space="0" w:color="auto"/>
        <w:right w:val="none" w:sz="0" w:space="0" w:color="auto"/>
      </w:divBdr>
    </w:div>
    <w:div w:id="1216698960">
      <w:bodyDiv w:val="1"/>
      <w:marLeft w:val="0"/>
      <w:marRight w:val="0"/>
      <w:marTop w:val="0"/>
      <w:marBottom w:val="0"/>
      <w:divBdr>
        <w:top w:val="none" w:sz="0" w:space="0" w:color="auto"/>
        <w:left w:val="none" w:sz="0" w:space="0" w:color="auto"/>
        <w:bottom w:val="none" w:sz="0" w:space="0" w:color="auto"/>
        <w:right w:val="none" w:sz="0" w:space="0" w:color="auto"/>
      </w:divBdr>
    </w:div>
    <w:div w:id="1248340371">
      <w:bodyDiv w:val="1"/>
      <w:marLeft w:val="0"/>
      <w:marRight w:val="0"/>
      <w:marTop w:val="0"/>
      <w:marBottom w:val="0"/>
      <w:divBdr>
        <w:top w:val="none" w:sz="0" w:space="0" w:color="auto"/>
        <w:left w:val="none" w:sz="0" w:space="0" w:color="auto"/>
        <w:bottom w:val="none" w:sz="0" w:space="0" w:color="auto"/>
        <w:right w:val="none" w:sz="0" w:space="0" w:color="auto"/>
      </w:divBdr>
    </w:div>
    <w:div w:id="1251280710">
      <w:bodyDiv w:val="1"/>
      <w:marLeft w:val="0"/>
      <w:marRight w:val="0"/>
      <w:marTop w:val="0"/>
      <w:marBottom w:val="0"/>
      <w:divBdr>
        <w:top w:val="none" w:sz="0" w:space="0" w:color="auto"/>
        <w:left w:val="none" w:sz="0" w:space="0" w:color="auto"/>
        <w:bottom w:val="none" w:sz="0" w:space="0" w:color="auto"/>
        <w:right w:val="none" w:sz="0" w:space="0" w:color="auto"/>
      </w:divBdr>
    </w:div>
    <w:div w:id="1255631306">
      <w:bodyDiv w:val="1"/>
      <w:marLeft w:val="0"/>
      <w:marRight w:val="0"/>
      <w:marTop w:val="0"/>
      <w:marBottom w:val="0"/>
      <w:divBdr>
        <w:top w:val="none" w:sz="0" w:space="0" w:color="auto"/>
        <w:left w:val="none" w:sz="0" w:space="0" w:color="auto"/>
        <w:bottom w:val="none" w:sz="0" w:space="0" w:color="auto"/>
        <w:right w:val="none" w:sz="0" w:space="0" w:color="auto"/>
      </w:divBdr>
    </w:div>
    <w:div w:id="1259025494">
      <w:bodyDiv w:val="1"/>
      <w:marLeft w:val="0"/>
      <w:marRight w:val="0"/>
      <w:marTop w:val="0"/>
      <w:marBottom w:val="0"/>
      <w:divBdr>
        <w:top w:val="none" w:sz="0" w:space="0" w:color="auto"/>
        <w:left w:val="none" w:sz="0" w:space="0" w:color="auto"/>
        <w:bottom w:val="none" w:sz="0" w:space="0" w:color="auto"/>
        <w:right w:val="none" w:sz="0" w:space="0" w:color="auto"/>
      </w:divBdr>
    </w:div>
    <w:div w:id="1278684142">
      <w:bodyDiv w:val="1"/>
      <w:marLeft w:val="0"/>
      <w:marRight w:val="0"/>
      <w:marTop w:val="0"/>
      <w:marBottom w:val="0"/>
      <w:divBdr>
        <w:top w:val="none" w:sz="0" w:space="0" w:color="auto"/>
        <w:left w:val="none" w:sz="0" w:space="0" w:color="auto"/>
        <w:bottom w:val="none" w:sz="0" w:space="0" w:color="auto"/>
        <w:right w:val="none" w:sz="0" w:space="0" w:color="auto"/>
      </w:divBdr>
    </w:div>
    <w:div w:id="1280720843">
      <w:bodyDiv w:val="1"/>
      <w:marLeft w:val="0"/>
      <w:marRight w:val="0"/>
      <w:marTop w:val="0"/>
      <w:marBottom w:val="0"/>
      <w:divBdr>
        <w:top w:val="none" w:sz="0" w:space="0" w:color="auto"/>
        <w:left w:val="none" w:sz="0" w:space="0" w:color="auto"/>
        <w:bottom w:val="none" w:sz="0" w:space="0" w:color="auto"/>
        <w:right w:val="none" w:sz="0" w:space="0" w:color="auto"/>
      </w:divBdr>
    </w:div>
    <w:div w:id="1284070078">
      <w:bodyDiv w:val="1"/>
      <w:marLeft w:val="0"/>
      <w:marRight w:val="0"/>
      <w:marTop w:val="0"/>
      <w:marBottom w:val="0"/>
      <w:divBdr>
        <w:top w:val="none" w:sz="0" w:space="0" w:color="auto"/>
        <w:left w:val="none" w:sz="0" w:space="0" w:color="auto"/>
        <w:bottom w:val="none" w:sz="0" w:space="0" w:color="auto"/>
        <w:right w:val="none" w:sz="0" w:space="0" w:color="auto"/>
      </w:divBdr>
    </w:div>
    <w:div w:id="1303074788">
      <w:bodyDiv w:val="1"/>
      <w:marLeft w:val="0"/>
      <w:marRight w:val="0"/>
      <w:marTop w:val="0"/>
      <w:marBottom w:val="0"/>
      <w:divBdr>
        <w:top w:val="none" w:sz="0" w:space="0" w:color="auto"/>
        <w:left w:val="none" w:sz="0" w:space="0" w:color="auto"/>
        <w:bottom w:val="none" w:sz="0" w:space="0" w:color="auto"/>
        <w:right w:val="none" w:sz="0" w:space="0" w:color="auto"/>
      </w:divBdr>
    </w:div>
    <w:div w:id="1318727722">
      <w:bodyDiv w:val="1"/>
      <w:marLeft w:val="0"/>
      <w:marRight w:val="0"/>
      <w:marTop w:val="0"/>
      <w:marBottom w:val="0"/>
      <w:divBdr>
        <w:top w:val="none" w:sz="0" w:space="0" w:color="auto"/>
        <w:left w:val="none" w:sz="0" w:space="0" w:color="auto"/>
        <w:bottom w:val="none" w:sz="0" w:space="0" w:color="auto"/>
        <w:right w:val="none" w:sz="0" w:space="0" w:color="auto"/>
      </w:divBdr>
    </w:div>
    <w:div w:id="1324969679">
      <w:bodyDiv w:val="1"/>
      <w:marLeft w:val="0"/>
      <w:marRight w:val="0"/>
      <w:marTop w:val="0"/>
      <w:marBottom w:val="0"/>
      <w:divBdr>
        <w:top w:val="none" w:sz="0" w:space="0" w:color="auto"/>
        <w:left w:val="none" w:sz="0" w:space="0" w:color="auto"/>
        <w:bottom w:val="none" w:sz="0" w:space="0" w:color="auto"/>
        <w:right w:val="none" w:sz="0" w:space="0" w:color="auto"/>
      </w:divBdr>
    </w:div>
    <w:div w:id="1334138569">
      <w:bodyDiv w:val="1"/>
      <w:marLeft w:val="0"/>
      <w:marRight w:val="0"/>
      <w:marTop w:val="0"/>
      <w:marBottom w:val="0"/>
      <w:divBdr>
        <w:top w:val="none" w:sz="0" w:space="0" w:color="auto"/>
        <w:left w:val="none" w:sz="0" w:space="0" w:color="auto"/>
        <w:bottom w:val="none" w:sz="0" w:space="0" w:color="auto"/>
        <w:right w:val="none" w:sz="0" w:space="0" w:color="auto"/>
      </w:divBdr>
    </w:div>
    <w:div w:id="1334145407">
      <w:bodyDiv w:val="1"/>
      <w:marLeft w:val="0"/>
      <w:marRight w:val="0"/>
      <w:marTop w:val="0"/>
      <w:marBottom w:val="0"/>
      <w:divBdr>
        <w:top w:val="none" w:sz="0" w:space="0" w:color="auto"/>
        <w:left w:val="none" w:sz="0" w:space="0" w:color="auto"/>
        <w:bottom w:val="none" w:sz="0" w:space="0" w:color="auto"/>
        <w:right w:val="none" w:sz="0" w:space="0" w:color="auto"/>
      </w:divBdr>
    </w:div>
    <w:div w:id="1350915698">
      <w:bodyDiv w:val="1"/>
      <w:marLeft w:val="0"/>
      <w:marRight w:val="0"/>
      <w:marTop w:val="0"/>
      <w:marBottom w:val="0"/>
      <w:divBdr>
        <w:top w:val="none" w:sz="0" w:space="0" w:color="auto"/>
        <w:left w:val="none" w:sz="0" w:space="0" w:color="auto"/>
        <w:bottom w:val="none" w:sz="0" w:space="0" w:color="auto"/>
        <w:right w:val="none" w:sz="0" w:space="0" w:color="auto"/>
      </w:divBdr>
    </w:div>
    <w:div w:id="1361275864">
      <w:bodyDiv w:val="1"/>
      <w:marLeft w:val="0"/>
      <w:marRight w:val="0"/>
      <w:marTop w:val="0"/>
      <w:marBottom w:val="0"/>
      <w:divBdr>
        <w:top w:val="none" w:sz="0" w:space="0" w:color="auto"/>
        <w:left w:val="none" w:sz="0" w:space="0" w:color="auto"/>
        <w:bottom w:val="none" w:sz="0" w:space="0" w:color="auto"/>
        <w:right w:val="none" w:sz="0" w:space="0" w:color="auto"/>
      </w:divBdr>
    </w:div>
    <w:div w:id="1369723611">
      <w:bodyDiv w:val="1"/>
      <w:marLeft w:val="0"/>
      <w:marRight w:val="0"/>
      <w:marTop w:val="0"/>
      <w:marBottom w:val="0"/>
      <w:divBdr>
        <w:top w:val="none" w:sz="0" w:space="0" w:color="auto"/>
        <w:left w:val="none" w:sz="0" w:space="0" w:color="auto"/>
        <w:bottom w:val="none" w:sz="0" w:space="0" w:color="auto"/>
        <w:right w:val="none" w:sz="0" w:space="0" w:color="auto"/>
      </w:divBdr>
    </w:div>
    <w:div w:id="1372001725">
      <w:bodyDiv w:val="1"/>
      <w:marLeft w:val="0"/>
      <w:marRight w:val="0"/>
      <w:marTop w:val="0"/>
      <w:marBottom w:val="0"/>
      <w:divBdr>
        <w:top w:val="none" w:sz="0" w:space="0" w:color="auto"/>
        <w:left w:val="none" w:sz="0" w:space="0" w:color="auto"/>
        <w:bottom w:val="none" w:sz="0" w:space="0" w:color="auto"/>
        <w:right w:val="none" w:sz="0" w:space="0" w:color="auto"/>
      </w:divBdr>
    </w:div>
    <w:div w:id="1373462239">
      <w:bodyDiv w:val="1"/>
      <w:marLeft w:val="0"/>
      <w:marRight w:val="0"/>
      <w:marTop w:val="0"/>
      <w:marBottom w:val="0"/>
      <w:divBdr>
        <w:top w:val="none" w:sz="0" w:space="0" w:color="auto"/>
        <w:left w:val="none" w:sz="0" w:space="0" w:color="auto"/>
        <w:bottom w:val="none" w:sz="0" w:space="0" w:color="auto"/>
        <w:right w:val="none" w:sz="0" w:space="0" w:color="auto"/>
      </w:divBdr>
    </w:div>
    <w:div w:id="1374305811">
      <w:bodyDiv w:val="1"/>
      <w:marLeft w:val="0"/>
      <w:marRight w:val="0"/>
      <w:marTop w:val="0"/>
      <w:marBottom w:val="0"/>
      <w:divBdr>
        <w:top w:val="none" w:sz="0" w:space="0" w:color="auto"/>
        <w:left w:val="none" w:sz="0" w:space="0" w:color="auto"/>
        <w:bottom w:val="none" w:sz="0" w:space="0" w:color="auto"/>
        <w:right w:val="none" w:sz="0" w:space="0" w:color="auto"/>
      </w:divBdr>
    </w:div>
    <w:div w:id="1374622542">
      <w:bodyDiv w:val="1"/>
      <w:marLeft w:val="0"/>
      <w:marRight w:val="0"/>
      <w:marTop w:val="0"/>
      <w:marBottom w:val="0"/>
      <w:divBdr>
        <w:top w:val="none" w:sz="0" w:space="0" w:color="auto"/>
        <w:left w:val="none" w:sz="0" w:space="0" w:color="auto"/>
        <w:bottom w:val="none" w:sz="0" w:space="0" w:color="auto"/>
        <w:right w:val="none" w:sz="0" w:space="0" w:color="auto"/>
      </w:divBdr>
    </w:div>
    <w:div w:id="1396467466">
      <w:bodyDiv w:val="1"/>
      <w:marLeft w:val="0"/>
      <w:marRight w:val="0"/>
      <w:marTop w:val="0"/>
      <w:marBottom w:val="0"/>
      <w:divBdr>
        <w:top w:val="none" w:sz="0" w:space="0" w:color="auto"/>
        <w:left w:val="none" w:sz="0" w:space="0" w:color="auto"/>
        <w:bottom w:val="none" w:sz="0" w:space="0" w:color="auto"/>
        <w:right w:val="none" w:sz="0" w:space="0" w:color="auto"/>
      </w:divBdr>
    </w:div>
    <w:div w:id="1411849106">
      <w:bodyDiv w:val="1"/>
      <w:marLeft w:val="0"/>
      <w:marRight w:val="0"/>
      <w:marTop w:val="0"/>
      <w:marBottom w:val="0"/>
      <w:divBdr>
        <w:top w:val="none" w:sz="0" w:space="0" w:color="auto"/>
        <w:left w:val="none" w:sz="0" w:space="0" w:color="auto"/>
        <w:bottom w:val="none" w:sz="0" w:space="0" w:color="auto"/>
        <w:right w:val="none" w:sz="0" w:space="0" w:color="auto"/>
      </w:divBdr>
    </w:div>
    <w:div w:id="1413745851">
      <w:bodyDiv w:val="1"/>
      <w:marLeft w:val="0"/>
      <w:marRight w:val="0"/>
      <w:marTop w:val="0"/>
      <w:marBottom w:val="0"/>
      <w:divBdr>
        <w:top w:val="none" w:sz="0" w:space="0" w:color="auto"/>
        <w:left w:val="none" w:sz="0" w:space="0" w:color="auto"/>
        <w:bottom w:val="none" w:sz="0" w:space="0" w:color="auto"/>
        <w:right w:val="none" w:sz="0" w:space="0" w:color="auto"/>
      </w:divBdr>
    </w:div>
    <w:div w:id="1431580388">
      <w:bodyDiv w:val="1"/>
      <w:marLeft w:val="0"/>
      <w:marRight w:val="0"/>
      <w:marTop w:val="0"/>
      <w:marBottom w:val="0"/>
      <w:divBdr>
        <w:top w:val="none" w:sz="0" w:space="0" w:color="auto"/>
        <w:left w:val="none" w:sz="0" w:space="0" w:color="auto"/>
        <w:bottom w:val="none" w:sz="0" w:space="0" w:color="auto"/>
        <w:right w:val="none" w:sz="0" w:space="0" w:color="auto"/>
      </w:divBdr>
    </w:div>
    <w:div w:id="1452629676">
      <w:bodyDiv w:val="1"/>
      <w:marLeft w:val="0"/>
      <w:marRight w:val="0"/>
      <w:marTop w:val="0"/>
      <w:marBottom w:val="0"/>
      <w:divBdr>
        <w:top w:val="none" w:sz="0" w:space="0" w:color="auto"/>
        <w:left w:val="none" w:sz="0" w:space="0" w:color="auto"/>
        <w:bottom w:val="none" w:sz="0" w:space="0" w:color="auto"/>
        <w:right w:val="none" w:sz="0" w:space="0" w:color="auto"/>
      </w:divBdr>
    </w:div>
    <w:div w:id="1454207151">
      <w:bodyDiv w:val="1"/>
      <w:marLeft w:val="0"/>
      <w:marRight w:val="0"/>
      <w:marTop w:val="0"/>
      <w:marBottom w:val="0"/>
      <w:divBdr>
        <w:top w:val="none" w:sz="0" w:space="0" w:color="auto"/>
        <w:left w:val="none" w:sz="0" w:space="0" w:color="auto"/>
        <w:bottom w:val="none" w:sz="0" w:space="0" w:color="auto"/>
        <w:right w:val="none" w:sz="0" w:space="0" w:color="auto"/>
      </w:divBdr>
    </w:div>
    <w:div w:id="1460491005">
      <w:bodyDiv w:val="1"/>
      <w:marLeft w:val="0"/>
      <w:marRight w:val="0"/>
      <w:marTop w:val="0"/>
      <w:marBottom w:val="0"/>
      <w:divBdr>
        <w:top w:val="none" w:sz="0" w:space="0" w:color="auto"/>
        <w:left w:val="none" w:sz="0" w:space="0" w:color="auto"/>
        <w:bottom w:val="none" w:sz="0" w:space="0" w:color="auto"/>
        <w:right w:val="none" w:sz="0" w:space="0" w:color="auto"/>
      </w:divBdr>
    </w:div>
    <w:div w:id="1460613048">
      <w:bodyDiv w:val="1"/>
      <w:marLeft w:val="0"/>
      <w:marRight w:val="0"/>
      <w:marTop w:val="0"/>
      <w:marBottom w:val="0"/>
      <w:divBdr>
        <w:top w:val="none" w:sz="0" w:space="0" w:color="auto"/>
        <w:left w:val="none" w:sz="0" w:space="0" w:color="auto"/>
        <w:bottom w:val="none" w:sz="0" w:space="0" w:color="auto"/>
        <w:right w:val="none" w:sz="0" w:space="0" w:color="auto"/>
      </w:divBdr>
    </w:div>
    <w:div w:id="1467507366">
      <w:bodyDiv w:val="1"/>
      <w:marLeft w:val="0"/>
      <w:marRight w:val="0"/>
      <w:marTop w:val="0"/>
      <w:marBottom w:val="0"/>
      <w:divBdr>
        <w:top w:val="none" w:sz="0" w:space="0" w:color="auto"/>
        <w:left w:val="none" w:sz="0" w:space="0" w:color="auto"/>
        <w:bottom w:val="none" w:sz="0" w:space="0" w:color="auto"/>
        <w:right w:val="none" w:sz="0" w:space="0" w:color="auto"/>
      </w:divBdr>
    </w:div>
    <w:div w:id="1472284135">
      <w:bodyDiv w:val="1"/>
      <w:marLeft w:val="0"/>
      <w:marRight w:val="0"/>
      <w:marTop w:val="0"/>
      <w:marBottom w:val="0"/>
      <w:divBdr>
        <w:top w:val="none" w:sz="0" w:space="0" w:color="auto"/>
        <w:left w:val="none" w:sz="0" w:space="0" w:color="auto"/>
        <w:bottom w:val="none" w:sz="0" w:space="0" w:color="auto"/>
        <w:right w:val="none" w:sz="0" w:space="0" w:color="auto"/>
      </w:divBdr>
    </w:div>
    <w:div w:id="1498880074">
      <w:bodyDiv w:val="1"/>
      <w:marLeft w:val="0"/>
      <w:marRight w:val="0"/>
      <w:marTop w:val="0"/>
      <w:marBottom w:val="0"/>
      <w:divBdr>
        <w:top w:val="none" w:sz="0" w:space="0" w:color="auto"/>
        <w:left w:val="none" w:sz="0" w:space="0" w:color="auto"/>
        <w:bottom w:val="none" w:sz="0" w:space="0" w:color="auto"/>
        <w:right w:val="none" w:sz="0" w:space="0" w:color="auto"/>
      </w:divBdr>
    </w:div>
    <w:div w:id="1504515639">
      <w:bodyDiv w:val="1"/>
      <w:marLeft w:val="0"/>
      <w:marRight w:val="0"/>
      <w:marTop w:val="0"/>
      <w:marBottom w:val="0"/>
      <w:divBdr>
        <w:top w:val="none" w:sz="0" w:space="0" w:color="auto"/>
        <w:left w:val="none" w:sz="0" w:space="0" w:color="auto"/>
        <w:bottom w:val="none" w:sz="0" w:space="0" w:color="auto"/>
        <w:right w:val="none" w:sz="0" w:space="0" w:color="auto"/>
      </w:divBdr>
    </w:div>
    <w:div w:id="1508784503">
      <w:bodyDiv w:val="1"/>
      <w:marLeft w:val="0"/>
      <w:marRight w:val="0"/>
      <w:marTop w:val="0"/>
      <w:marBottom w:val="0"/>
      <w:divBdr>
        <w:top w:val="none" w:sz="0" w:space="0" w:color="auto"/>
        <w:left w:val="none" w:sz="0" w:space="0" w:color="auto"/>
        <w:bottom w:val="none" w:sz="0" w:space="0" w:color="auto"/>
        <w:right w:val="none" w:sz="0" w:space="0" w:color="auto"/>
      </w:divBdr>
    </w:div>
    <w:div w:id="1509563104">
      <w:bodyDiv w:val="1"/>
      <w:marLeft w:val="0"/>
      <w:marRight w:val="0"/>
      <w:marTop w:val="0"/>
      <w:marBottom w:val="0"/>
      <w:divBdr>
        <w:top w:val="none" w:sz="0" w:space="0" w:color="auto"/>
        <w:left w:val="none" w:sz="0" w:space="0" w:color="auto"/>
        <w:bottom w:val="none" w:sz="0" w:space="0" w:color="auto"/>
        <w:right w:val="none" w:sz="0" w:space="0" w:color="auto"/>
      </w:divBdr>
    </w:div>
    <w:div w:id="1523204308">
      <w:bodyDiv w:val="1"/>
      <w:marLeft w:val="0"/>
      <w:marRight w:val="0"/>
      <w:marTop w:val="0"/>
      <w:marBottom w:val="0"/>
      <w:divBdr>
        <w:top w:val="none" w:sz="0" w:space="0" w:color="auto"/>
        <w:left w:val="none" w:sz="0" w:space="0" w:color="auto"/>
        <w:bottom w:val="none" w:sz="0" w:space="0" w:color="auto"/>
        <w:right w:val="none" w:sz="0" w:space="0" w:color="auto"/>
      </w:divBdr>
    </w:div>
    <w:div w:id="1528636458">
      <w:bodyDiv w:val="1"/>
      <w:marLeft w:val="0"/>
      <w:marRight w:val="0"/>
      <w:marTop w:val="0"/>
      <w:marBottom w:val="0"/>
      <w:divBdr>
        <w:top w:val="none" w:sz="0" w:space="0" w:color="auto"/>
        <w:left w:val="none" w:sz="0" w:space="0" w:color="auto"/>
        <w:bottom w:val="none" w:sz="0" w:space="0" w:color="auto"/>
        <w:right w:val="none" w:sz="0" w:space="0" w:color="auto"/>
      </w:divBdr>
    </w:div>
    <w:div w:id="1538393259">
      <w:bodyDiv w:val="1"/>
      <w:marLeft w:val="0"/>
      <w:marRight w:val="0"/>
      <w:marTop w:val="0"/>
      <w:marBottom w:val="0"/>
      <w:divBdr>
        <w:top w:val="none" w:sz="0" w:space="0" w:color="auto"/>
        <w:left w:val="none" w:sz="0" w:space="0" w:color="auto"/>
        <w:bottom w:val="none" w:sz="0" w:space="0" w:color="auto"/>
        <w:right w:val="none" w:sz="0" w:space="0" w:color="auto"/>
      </w:divBdr>
    </w:div>
    <w:div w:id="1544169847">
      <w:bodyDiv w:val="1"/>
      <w:marLeft w:val="0"/>
      <w:marRight w:val="0"/>
      <w:marTop w:val="0"/>
      <w:marBottom w:val="0"/>
      <w:divBdr>
        <w:top w:val="none" w:sz="0" w:space="0" w:color="auto"/>
        <w:left w:val="none" w:sz="0" w:space="0" w:color="auto"/>
        <w:bottom w:val="none" w:sz="0" w:space="0" w:color="auto"/>
        <w:right w:val="none" w:sz="0" w:space="0" w:color="auto"/>
      </w:divBdr>
    </w:div>
    <w:div w:id="1552227211">
      <w:bodyDiv w:val="1"/>
      <w:marLeft w:val="0"/>
      <w:marRight w:val="0"/>
      <w:marTop w:val="0"/>
      <w:marBottom w:val="0"/>
      <w:divBdr>
        <w:top w:val="none" w:sz="0" w:space="0" w:color="auto"/>
        <w:left w:val="none" w:sz="0" w:space="0" w:color="auto"/>
        <w:bottom w:val="none" w:sz="0" w:space="0" w:color="auto"/>
        <w:right w:val="none" w:sz="0" w:space="0" w:color="auto"/>
      </w:divBdr>
    </w:div>
    <w:div w:id="1558201447">
      <w:bodyDiv w:val="1"/>
      <w:marLeft w:val="0"/>
      <w:marRight w:val="0"/>
      <w:marTop w:val="0"/>
      <w:marBottom w:val="0"/>
      <w:divBdr>
        <w:top w:val="none" w:sz="0" w:space="0" w:color="auto"/>
        <w:left w:val="none" w:sz="0" w:space="0" w:color="auto"/>
        <w:bottom w:val="none" w:sz="0" w:space="0" w:color="auto"/>
        <w:right w:val="none" w:sz="0" w:space="0" w:color="auto"/>
      </w:divBdr>
    </w:div>
    <w:div w:id="1561750562">
      <w:bodyDiv w:val="1"/>
      <w:marLeft w:val="0"/>
      <w:marRight w:val="0"/>
      <w:marTop w:val="0"/>
      <w:marBottom w:val="0"/>
      <w:divBdr>
        <w:top w:val="none" w:sz="0" w:space="0" w:color="auto"/>
        <w:left w:val="none" w:sz="0" w:space="0" w:color="auto"/>
        <w:bottom w:val="none" w:sz="0" w:space="0" w:color="auto"/>
        <w:right w:val="none" w:sz="0" w:space="0" w:color="auto"/>
      </w:divBdr>
    </w:div>
    <w:div w:id="1563061037">
      <w:bodyDiv w:val="1"/>
      <w:marLeft w:val="0"/>
      <w:marRight w:val="0"/>
      <w:marTop w:val="0"/>
      <w:marBottom w:val="0"/>
      <w:divBdr>
        <w:top w:val="none" w:sz="0" w:space="0" w:color="auto"/>
        <w:left w:val="none" w:sz="0" w:space="0" w:color="auto"/>
        <w:bottom w:val="none" w:sz="0" w:space="0" w:color="auto"/>
        <w:right w:val="none" w:sz="0" w:space="0" w:color="auto"/>
      </w:divBdr>
    </w:div>
    <w:div w:id="1570380529">
      <w:bodyDiv w:val="1"/>
      <w:marLeft w:val="0"/>
      <w:marRight w:val="0"/>
      <w:marTop w:val="0"/>
      <w:marBottom w:val="0"/>
      <w:divBdr>
        <w:top w:val="none" w:sz="0" w:space="0" w:color="auto"/>
        <w:left w:val="none" w:sz="0" w:space="0" w:color="auto"/>
        <w:bottom w:val="none" w:sz="0" w:space="0" w:color="auto"/>
        <w:right w:val="none" w:sz="0" w:space="0" w:color="auto"/>
      </w:divBdr>
    </w:div>
    <w:div w:id="1578249714">
      <w:bodyDiv w:val="1"/>
      <w:marLeft w:val="0"/>
      <w:marRight w:val="0"/>
      <w:marTop w:val="0"/>
      <w:marBottom w:val="0"/>
      <w:divBdr>
        <w:top w:val="none" w:sz="0" w:space="0" w:color="auto"/>
        <w:left w:val="none" w:sz="0" w:space="0" w:color="auto"/>
        <w:bottom w:val="none" w:sz="0" w:space="0" w:color="auto"/>
        <w:right w:val="none" w:sz="0" w:space="0" w:color="auto"/>
      </w:divBdr>
    </w:div>
    <w:div w:id="1578592033">
      <w:bodyDiv w:val="1"/>
      <w:marLeft w:val="0"/>
      <w:marRight w:val="0"/>
      <w:marTop w:val="0"/>
      <w:marBottom w:val="0"/>
      <w:divBdr>
        <w:top w:val="none" w:sz="0" w:space="0" w:color="auto"/>
        <w:left w:val="none" w:sz="0" w:space="0" w:color="auto"/>
        <w:bottom w:val="none" w:sz="0" w:space="0" w:color="auto"/>
        <w:right w:val="none" w:sz="0" w:space="0" w:color="auto"/>
      </w:divBdr>
    </w:div>
    <w:div w:id="1589271847">
      <w:bodyDiv w:val="1"/>
      <w:marLeft w:val="0"/>
      <w:marRight w:val="0"/>
      <w:marTop w:val="0"/>
      <w:marBottom w:val="0"/>
      <w:divBdr>
        <w:top w:val="none" w:sz="0" w:space="0" w:color="auto"/>
        <w:left w:val="none" w:sz="0" w:space="0" w:color="auto"/>
        <w:bottom w:val="none" w:sz="0" w:space="0" w:color="auto"/>
        <w:right w:val="none" w:sz="0" w:space="0" w:color="auto"/>
      </w:divBdr>
    </w:div>
    <w:div w:id="1591307360">
      <w:bodyDiv w:val="1"/>
      <w:marLeft w:val="0"/>
      <w:marRight w:val="0"/>
      <w:marTop w:val="0"/>
      <w:marBottom w:val="0"/>
      <w:divBdr>
        <w:top w:val="none" w:sz="0" w:space="0" w:color="auto"/>
        <w:left w:val="none" w:sz="0" w:space="0" w:color="auto"/>
        <w:bottom w:val="none" w:sz="0" w:space="0" w:color="auto"/>
        <w:right w:val="none" w:sz="0" w:space="0" w:color="auto"/>
      </w:divBdr>
    </w:div>
    <w:div w:id="1603952080">
      <w:bodyDiv w:val="1"/>
      <w:marLeft w:val="0"/>
      <w:marRight w:val="0"/>
      <w:marTop w:val="0"/>
      <w:marBottom w:val="0"/>
      <w:divBdr>
        <w:top w:val="none" w:sz="0" w:space="0" w:color="auto"/>
        <w:left w:val="none" w:sz="0" w:space="0" w:color="auto"/>
        <w:bottom w:val="none" w:sz="0" w:space="0" w:color="auto"/>
        <w:right w:val="none" w:sz="0" w:space="0" w:color="auto"/>
      </w:divBdr>
    </w:div>
    <w:div w:id="1617981816">
      <w:bodyDiv w:val="1"/>
      <w:marLeft w:val="0"/>
      <w:marRight w:val="0"/>
      <w:marTop w:val="0"/>
      <w:marBottom w:val="0"/>
      <w:divBdr>
        <w:top w:val="none" w:sz="0" w:space="0" w:color="auto"/>
        <w:left w:val="none" w:sz="0" w:space="0" w:color="auto"/>
        <w:bottom w:val="none" w:sz="0" w:space="0" w:color="auto"/>
        <w:right w:val="none" w:sz="0" w:space="0" w:color="auto"/>
      </w:divBdr>
    </w:div>
    <w:div w:id="1619800148">
      <w:bodyDiv w:val="1"/>
      <w:marLeft w:val="0"/>
      <w:marRight w:val="0"/>
      <w:marTop w:val="0"/>
      <w:marBottom w:val="0"/>
      <w:divBdr>
        <w:top w:val="none" w:sz="0" w:space="0" w:color="auto"/>
        <w:left w:val="none" w:sz="0" w:space="0" w:color="auto"/>
        <w:bottom w:val="none" w:sz="0" w:space="0" w:color="auto"/>
        <w:right w:val="none" w:sz="0" w:space="0" w:color="auto"/>
      </w:divBdr>
    </w:div>
    <w:div w:id="1620407091">
      <w:bodyDiv w:val="1"/>
      <w:marLeft w:val="0"/>
      <w:marRight w:val="0"/>
      <w:marTop w:val="0"/>
      <w:marBottom w:val="0"/>
      <w:divBdr>
        <w:top w:val="none" w:sz="0" w:space="0" w:color="auto"/>
        <w:left w:val="none" w:sz="0" w:space="0" w:color="auto"/>
        <w:bottom w:val="none" w:sz="0" w:space="0" w:color="auto"/>
        <w:right w:val="none" w:sz="0" w:space="0" w:color="auto"/>
      </w:divBdr>
    </w:div>
    <w:div w:id="1638754171">
      <w:bodyDiv w:val="1"/>
      <w:marLeft w:val="0"/>
      <w:marRight w:val="0"/>
      <w:marTop w:val="0"/>
      <w:marBottom w:val="0"/>
      <w:divBdr>
        <w:top w:val="none" w:sz="0" w:space="0" w:color="auto"/>
        <w:left w:val="none" w:sz="0" w:space="0" w:color="auto"/>
        <w:bottom w:val="none" w:sz="0" w:space="0" w:color="auto"/>
        <w:right w:val="none" w:sz="0" w:space="0" w:color="auto"/>
      </w:divBdr>
    </w:div>
    <w:div w:id="1645619185">
      <w:bodyDiv w:val="1"/>
      <w:marLeft w:val="0"/>
      <w:marRight w:val="0"/>
      <w:marTop w:val="0"/>
      <w:marBottom w:val="0"/>
      <w:divBdr>
        <w:top w:val="none" w:sz="0" w:space="0" w:color="auto"/>
        <w:left w:val="none" w:sz="0" w:space="0" w:color="auto"/>
        <w:bottom w:val="none" w:sz="0" w:space="0" w:color="auto"/>
        <w:right w:val="none" w:sz="0" w:space="0" w:color="auto"/>
      </w:divBdr>
    </w:div>
    <w:div w:id="1664775012">
      <w:bodyDiv w:val="1"/>
      <w:marLeft w:val="0"/>
      <w:marRight w:val="0"/>
      <w:marTop w:val="0"/>
      <w:marBottom w:val="0"/>
      <w:divBdr>
        <w:top w:val="none" w:sz="0" w:space="0" w:color="auto"/>
        <w:left w:val="none" w:sz="0" w:space="0" w:color="auto"/>
        <w:bottom w:val="none" w:sz="0" w:space="0" w:color="auto"/>
        <w:right w:val="none" w:sz="0" w:space="0" w:color="auto"/>
      </w:divBdr>
    </w:div>
    <w:div w:id="1678582684">
      <w:bodyDiv w:val="1"/>
      <w:marLeft w:val="0"/>
      <w:marRight w:val="0"/>
      <w:marTop w:val="0"/>
      <w:marBottom w:val="0"/>
      <w:divBdr>
        <w:top w:val="none" w:sz="0" w:space="0" w:color="auto"/>
        <w:left w:val="none" w:sz="0" w:space="0" w:color="auto"/>
        <w:bottom w:val="none" w:sz="0" w:space="0" w:color="auto"/>
        <w:right w:val="none" w:sz="0" w:space="0" w:color="auto"/>
      </w:divBdr>
    </w:div>
    <w:div w:id="1683824056">
      <w:bodyDiv w:val="1"/>
      <w:marLeft w:val="0"/>
      <w:marRight w:val="0"/>
      <w:marTop w:val="0"/>
      <w:marBottom w:val="0"/>
      <w:divBdr>
        <w:top w:val="none" w:sz="0" w:space="0" w:color="auto"/>
        <w:left w:val="none" w:sz="0" w:space="0" w:color="auto"/>
        <w:bottom w:val="none" w:sz="0" w:space="0" w:color="auto"/>
        <w:right w:val="none" w:sz="0" w:space="0" w:color="auto"/>
      </w:divBdr>
    </w:div>
    <w:div w:id="1689063770">
      <w:bodyDiv w:val="1"/>
      <w:marLeft w:val="0"/>
      <w:marRight w:val="0"/>
      <w:marTop w:val="0"/>
      <w:marBottom w:val="0"/>
      <w:divBdr>
        <w:top w:val="none" w:sz="0" w:space="0" w:color="auto"/>
        <w:left w:val="none" w:sz="0" w:space="0" w:color="auto"/>
        <w:bottom w:val="none" w:sz="0" w:space="0" w:color="auto"/>
        <w:right w:val="none" w:sz="0" w:space="0" w:color="auto"/>
      </w:divBdr>
    </w:div>
    <w:div w:id="1694963565">
      <w:bodyDiv w:val="1"/>
      <w:marLeft w:val="0"/>
      <w:marRight w:val="0"/>
      <w:marTop w:val="0"/>
      <w:marBottom w:val="0"/>
      <w:divBdr>
        <w:top w:val="none" w:sz="0" w:space="0" w:color="auto"/>
        <w:left w:val="none" w:sz="0" w:space="0" w:color="auto"/>
        <w:bottom w:val="none" w:sz="0" w:space="0" w:color="auto"/>
        <w:right w:val="none" w:sz="0" w:space="0" w:color="auto"/>
      </w:divBdr>
    </w:div>
    <w:div w:id="1695421649">
      <w:bodyDiv w:val="1"/>
      <w:marLeft w:val="0"/>
      <w:marRight w:val="0"/>
      <w:marTop w:val="0"/>
      <w:marBottom w:val="0"/>
      <w:divBdr>
        <w:top w:val="none" w:sz="0" w:space="0" w:color="auto"/>
        <w:left w:val="none" w:sz="0" w:space="0" w:color="auto"/>
        <w:bottom w:val="none" w:sz="0" w:space="0" w:color="auto"/>
        <w:right w:val="none" w:sz="0" w:space="0" w:color="auto"/>
      </w:divBdr>
    </w:div>
    <w:div w:id="1696998861">
      <w:bodyDiv w:val="1"/>
      <w:marLeft w:val="0"/>
      <w:marRight w:val="0"/>
      <w:marTop w:val="0"/>
      <w:marBottom w:val="0"/>
      <w:divBdr>
        <w:top w:val="none" w:sz="0" w:space="0" w:color="auto"/>
        <w:left w:val="none" w:sz="0" w:space="0" w:color="auto"/>
        <w:bottom w:val="none" w:sz="0" w:space="0" w:color="auto"/>
        <w:right w:val="none" w:sz="0" w:space="0" w:color="auto"/>
      </w:divBdr>
    </w:div>
    <w:div w:id="1703284200">
      <w:bodyDiv w:val="1"/>
      <w:marLeft w:val="0"/>
      <w:marRight w:val="0"/>
      <w:marTop w:val="0"/>
      <w:marBottom w:val="0"/>
      <w:divBdr>
        <w:top w:val="none" w:sz="0" w:space="0" w:color="auto"/>
        <w:left w:val="none" w:sz="0" w:space="0" w:color="auto"/>
        <w:bottom w:val="none" w:sz="0" w:space="0" w:color="auto"/>
        <w:right w:val="none" w:sz="0" w:space="0" w:color="auto"/>
      </w:divBdr>
    </w:div>
    <w:div w:id="1712073107">
      <w:bodyDiv w:val="1"/>
      <w:marLeft w:val="0"/>
      <w:marRight w:val="0"/>
      <w:marTop w:val="0"/>
      <w:marBottom w:val="0"/>
      <w:divBdr>
        <w:top w:val="none" w:sz="0" w:space="0" w:color="auto"/>
        <w:left w:val="none" w:sz="0" w:space="0" w:color="auto"/>
        <w:bottom w:val="none" w:sz="0" w:space="0" w:color="auto"/>
        <w:right w:val="none" w:sz="0" w:space="0" w:color="auto"/>
      </w:divBdr>
    </w:div>
    <w:div w:id="1714889607">
      <w:bodyDiv w:val="1"/>
      <w:marLeft w:val="0"/>
      <w:marRight w:val="0"/>
      <w:marTop w:val="0"/>
      <w:marBottom w:val="0"/>
      <w:divBdr>
        <w:top w:val="none" w:sz="0" w:space="0" w:color="auto"/>
        <w:left w:val="none" w:sz="0" w:space="0" w:color="auto"/>
        <w:bottom w:val="none" w:sz="0" w:space="0" w:color="auto"/>
        <w:right w:val="none" w:sz="0" w:space="0" w:color="auto"/>
      </w:divBdr>
    </w:div>
    <w:div w:id="1720931430">
      <w:bodyDiv w:val="1"/>
      <w:marLeft w:val="0"/>
      <w:marRight w:val="0"/>
      <w:marTop w:val="0"/>
      <w:marBottom w:val="0"/>
      <w:divBdr>
        <w:top w:val="none" w:sz="0" w:space="0" w:color="auto"/>
        <w:left w:val="none" w:sz="0" w:space="0" w:color="auto"/>
        <w:bottom w:val="none" w:sz="0" w:space="0" w:color="auto"/>
        <w:right w:val="none" w:sz="0" w:space="0" w:color="auto"/>
      </w:divBdr>
    </w:div>
    <w:div w:id="1729186900">
      <w:bodyDiv w:val="1"/>
      <w:marLeft w:val="0"/>
      <w:marRight w:val="0"/>
      <w:marTop w:val="0"/>
      <w:marBottom w:val="0"/>
      <w:divBdr>
        <w:top w:val="none" w:sz="0" w:space="0" w:color="auto"/>
        <w:left w:val="none" w:sz="0" w:space="0" w:color="auto"/>
        <w:bottom w:val="none" w:sz="0" w:space="0" w:color="auto"/>
        <w:right w:val="none" w:sz="0" w:space="0" w:color="auto"/>
      </w:divBdr>
    </w:div>
    <w:div w:id="1737045614">
      <w:bodyDiv w:val="1"/>
      <w:marLeft w:val="0"/>
      <w:marRight w:val="0"/>
      <w:marTop w:val="0"/>
      <w:marBottom w:val="0"/>
      <w:divBdr>
        <w:top w:val="none" w:sz="0" w:space="0" w:color="auto"/>
        <w:left w:val="none" w:sz="0" w:space="0" w:color="auto"/>
        <w:bottom w:val="none" w:sz="0" w:space="0" w:color="auto"/>
        <w:right w:val="none" w:sz="0" w:space="0" w:color="auto"/>
      </w:divBdr>
    </w:div>
    <w:div w:id="1740203756">
      <w:bodyDiv w:val="1"/>
      <w:marLeft w:val="0"/>
      <w:marRight w:val="0"/>
      <w:marTop w:val="0"/>
      <w:marBottom w:val="0"/>
      <w:divBdr>
        <w:top w:val="none" w:sz="0" w:space="0" w:color="auto"/>
        <w:left w:val="none" w:sz="0" w:space="0" w:color="auto"/>
        <w:bottom w:val="none" w:sz="0" w:space="0" w:color="auto"/>
        <w:right w:val="none" w:sz="0" w:space="0" w:color="auto"/>
      </w:divBdr>
    </w:div>
    <w:div w:id="1740865521">
      <w:bodyDiv w:val="1"/>
      <w:marLeft w:val="0"/>
      <w:marRight w:val="0"/>
      <w:marTop w:val="0"/>
      <w:marBottom w:val="0"/>
      <w:divBdr>
        <w:top w:val="none" w:sz="0" w:space="0" w:color="auto"/>
        <w:left w:val="none" w:sz="0" w:space="0" w:color="auto"/>
        <w:bottom w:val="none" w:sz="0" w:space="0" w:color="auto"/>
        <w:right w:val="none" w:sz="0" w:space="0" w:color="auto"/>
      </w:divBdr>
    </w:div>
    <w:div w:id="1746219454">
      <w:bodyDiv w:val="1"/>
      <w:marLeft w:val="0"/>
      <w:marRight w:val="0"/>
      <w:marTop w:val="0"/>
      <w:marBottom w:val="0"/>
      <w:divBdr>
        <w:top w:val="none" w:sz="0" w:space="0" w:color="auto"/>
        <w:left w:val="none" w:sz="0" w:space="0" w:color="auto"/>
        <w:bottom w:val="none" w:sz="0" w:space="0" w:color="auto"/>
        <w:right w:val="none" w:sz="0" w:space="0" w:color="auto"/>
      </w:divBdr>
    </w:div>
    <w:div w:id="1756628666">
      <w:bodyDiv w:val="1"/>
      <w:marLeft w:val="0"/>
      <w:marRight w:val="0"/>
      <w:marTop w:val="0"/>
      <w:marBottom w:val="0"/>
      <w:divBdr>
        <w:top w:val="none" w:sz="0" w:space="0" w:color="auto"/>
        <w:left w:val="none" w:sz="0" w:space="0" w:color="auto"/>
        <w:bottom w:val="none" w:sz="0" w:space="0" w:color="auto"/>
        <w:right w:val="none" w:sz="0" w:space="0" w:color="auto"/>
      </w:divBdr>
    </w:div>
    <w:div w:id="1762530575">
      <w:bodyDiv w:val="1"/>
      <w:marLeft w:val="0"/>
      <w:marRight w:val="0"/>
      <w:marTop w:val="0"/>
      <w:marBottom w:val="0"/>
      <w:divBdr>
        <w:top w:val="none" w:sz="0" w:space="0" w:color="auto"/>
        <w:left w:val="none" w:sz="0" w:space="0" w:color="auto"/>
        <w:bottom w:val="none" w:sz="0" w:space="0" w:color="auto"/>
        <w:right w:val="none" w:sz="0" w:space="0" w:color="auto"/>
      </w:divBdr>
    </w:div>
    <w:div w:id="1765109269">
      <w:bodyDiv w:val="1"/>
      <w:marLeft w:val="0"/>
      <w:marRight w:val="0"/>
      <w:marTop w:val="0"/>
      <w:marBottom w:val="0"/>
      <w:divBdr>
        <w:top w:val="none" w:sz="0" w:space="0" w:color="auto"/>
        <w:left w:val="none" w:sz="0" w:space="0" w:color="auto"/>
        <w:bottom w:val="none" w:sz="0" w:space="0" w:color="auto"/>
        <w:right w:val="none" w:sz="0" w:space="0" w:color="auto"/>
      </w:divBdr>
    </w:div>
    <w:div w:id="1793941949">
      <w:bodyDiv w:val="1"/>
      <w:marLeft w:val="0"/>
      <w:marRight w:val="0"/>
      <w:marTop w:val="0"/>
      <w:marBottom w:val="0"/>
      <w:divBdr>
        <w:top w:val="none" w:sz="0" w:space="0" w:color="auto"/>
        <w:left w:val="none" w:sz="0" w:space="0" w:color="auto"/>
        <w:bottom w:val="none" w:sz="0" w:space="0" w:color="auto"/>
        <w:right w:val="none" w:sz="0" w:space="0" w:color="auto"/>
      </w:divBdr>
    </w:div>
    <w:div w:id="1794514656">
      <w:bodyDiv w:val="1"/>
      <w:marLeft w:val="0"/>
      <w:marRight w:val="0"/>
      <w:marTop w:val="0"/>
      <w:marBottom w:val="0"/>
      <w:divBdr>
        <w:top w:val="none" w:sz="0" w:space="0" w:color="auto"/>
        <w:left w:val="none" w:sz="0" w:space="0" w:color="auto"/>
        <w:bottom w:val="none" w:sz="0" w:space="0" w:color="auto"/>
        <w:right w:val="none" w:sz="0" w:space="0" w:color="auto"/>
      </w:divBdr>
    </w:div>
    <w:div w:id="1805734531">
      <w:bodyDiv w:val="1"/>
      <w:marLeft w:val="0"/>
      <w:marRight w:val="0"/>
      <w:marTop w:val="0"/>
      <w:marBottom w:val="0"/>
      <w:divBdr>
        <w:top w:val="none" w:sz="0" w:space="0" w:color="auto"/>
        <w:left w:val="none" w:sz="0" w:space="0" w:color="auto"/>
        <w:bottom w:val="none" w:sz="0" w:space="0" w:color="auto"/>
        <w:right w:val="none" w:sz="0" w:space="0" w:color="auto"/>
      </w:divBdr>
    </w:div>
    <w:div w:id="1810510254">
      <w:bodyDiv w:val="1"/>
      <w:marLeft w:val="0"/>
      <w:marRight w:val="0"/>
      <w:marTop w:val="0"/>
      <w:marBottom w:val="0"/>
      <w:divBdr>
        <w:top w:val="none" w:sz="0" w:space="0" w:color="auto"/>
        <w:left w:val="none" w:sz="0" w:space="0" w:color="auto"/>
        <w:bottom w:val="none" w:sz="0" w:space="0" w:color="auto"/>
        <w:right w:val="none" w:sz="0" w:space="0" w:color="auto"/>
      </w:divBdr>
    </w:div>
    <w:div w:id="1810781981">
      <w:bodyDiv w:val="1"/>
      <w:marLeft w:val="0"/>
      <w:marRight w:val="0"/>
      <w:marTop w:val="0"/>
      <w:marBottom w:val="0"/>
      <w:divBdr>
        <w:top w:val="none" w:sz="0" w:space="0" w:color="auto"/>
        <w:left w:val="none" w:sz="0" w:space="0" w:color="auto"/>
        <w:bottom w:val="none" w:sz="0" w:space="0" w:color="auto"/>
        <w:right w:val="none" w:sz="0" w:space="0" w:color="auto"/>
      </w:divBdr>
    </w:div>
    <w:div w:id="1813250889">
      <w:bodyDiv w:val="1"/>
      <w:marLeft w:val="0"/>
      <w:marRight w:val="0"/>
      <w:marTop w:val="0"/>
      <w:marBottom w:val="0"/>
      <w:divBdr>
        <w:top w:val="none" w:sz="0" w:space="0" w:color="auto"/>
        <w:left w:val="none" w:sz="0" w:space="0" w:color="auto"/>
        <w:bottom w:val="none" w:sz="0" w:space="0" w:color="auto"/>
        <w:right w:val="none" w:sz="0" w:space="0" w:color="auto"/>
      </w:divBdr>
    </w:div>
    <w:div w:id="1816138795">
      <w:bodyDiv w:val="1"/>
      <w:marLeft w:val="0"/>
      <w:marRight w:val="0"/>
      <w:marTop w:val="0"/>
      <w:marBottom w:val="0"/>
      <w:divBdr>
        <w:top w:val="none" w:sz="0" w:space="0" w:color="auto"/>
        <w:left w:val="none" w:sz="0" w:space="0" w:color="auto"/>
        <w:bottom w:val="none" w:sz="0" w:space="0" w:color="auto"/>
        <w:right w:val="none" w:sz="0" w:space="0" w:color="auto"/>
      </w:divBdr>
    </w:div>
    <w:div w:id="1838812034">
      <w:bodyDiv w:val="1"/>
      <w:marLeft w:val="0"/>
      <w:marRight w:val="0"/>
      <w:marTop w:val="0"/>
      <w:marBottom w:val="0"/>
      <w:divBdr>
        <w:top w:val="none" w:sz="0" w:space="0" w:color="auto"/>
        <w:left w:val="none" w:sz="0" w:space="0" w:color="auto"/>
        <w:bottom w:val="none" w:sz="0" w:space="0" w:color="auto"/>
        <w:right w:val="none" w:sz="0" w:space="0" w:color="auto"/>
      </w:divBdr>
    </w:div>
    <w:div w:id="1843548855">
      <w:bodyDiv w:val="1"/>
      <w:marLeft w:val="0"/>
      <w:marRight w:val="0"/>
      <w:marTop w:val="0"/>
      <w:marBottom w:val="0"/>
      <w:divBdr>
        <w:top w:val="none" w:sz="0" w:space="0" w:color="auto"/>
        <w:left w:val="none" w:sz="0" w:space="0" w:color="auto"/>
        <w:bottom w:val="none" w:sz="0" w:space="0" w:color="auto"/>
        <w:right w:val="none" w:sz="0" w:space="0" w:color="auto"/>
      </w:divBdr>
    </w:div>
    <w:div w:id="1855612830">
      <w:bodyDiv w:val="1"/>
      <w:marLeft w:val="0"/>
      <w:marRight w:val="0"/>
      <w:marTop w:val="0"/>
      <w:marBottom w:val="0"/>
      <w:divBdr>
        <w:top w:val="none" w:sz="0" w:space="0" w:color="auto"/>
        <w:left w:val="none" w:sz="0" w:space="0" w:color="auto"/>
        <w:bottom w:val="none" w:sz="0" w:space="0" w:color="auto"/>
        <w:right w:val="none" w:sz="0" w:space="0" w:color="auto"/>
      </w:divBdr>
    </w:div>
    <w:div w:id="1856458082">
      <w:bodyDiv w:val="1"/>
      <w:marLeft w:val="0"/>
      <w:marRight w:val="0"/>
      <w:marTop w:val="0"/>
      <w:marBottom w:val="0"/>
      <w:divBdr>
        <w:top w:val="none" w:sz="0" w:space="0" w:color="auto"/>
        <w:left w:val="none" w:sz="0" w:space="0" w:color="auto"/>
        <w:bottom w:val="none" w:sz="0" w:space="0" w:color="auto"/>
        <w:right w:val="none" w:sz="0" w:space="0" w:color="auto"/>
      </w:divBdr>
    </w:div>
    <w:div w:id="1860462846">
      <w:bodyDiv w:val="1"/>
      <w:marLeft w:val="0"/>
      <w:marRight w:val="0"/>
      <w:marTop w:val="0"/>
      <w:marBottom w:val="0"/>
      <w:divBdr>
        <w:top w:val="none" w:sz="0" w:space="0" w:color="auto"/>
        <w:left w:val="none" w:sz="0" w:space="0" w:color="auto"/>
        <w:bottom w:val="none" w:sz="0" w:space="0" w:color="auto"/>
        <w:right w:val="none" w:sz="0" w:space="0" w:color="auto"/>
      </w:divBdr>
    </w:div>
    <w:div w:id="1860587311">
      <w:bodyDiv w:val="1"/>
      <w:marLeft w:val="0"/>
      <w:marRight w:val="0"/>
      <w:marTop w:val="0"/>
      <w:marBottom w:val="0"/>
      <w:divBdr>
        <w:top w:val="none" w:sz="0" w:space="0" w:color="auto"/>
        <w:left w:val="none" w:sz="0" w:space="0" w:color="auto"/>
        <w:bottom w:val="none" w:sz="0" w:space="0" w:color="auto"/>
        <w:right w:val="none" w:sz="0" w:space="0" w:color="auto"/>
      </w:divBdr>
    </w:div>
    <w:div w:id="1873374123">
      <w:bodyDiv w:val="1"/>
      <w:marLeft w:val="0"/>
      <w:marRight w:val="0"/>
      <w:marTop w:val="0"/>
      <w:marBottom w:val="0"/>
      <w:divBdr>
        <w:top w:val="none" w:sz="0" w:space="0" w:color="auto"/>
        <w:left w:val="none" w:sz="0" w:space="0" w:color="auto"/>
        <w:bottom w:val="none" w:sz="0" w:space="0" w:color="auto"/>
        <w:right w:val="none" w:sz="0" w:space="0" w:color="auto"/>
      </w:divBdr>
    </w:div>
    <w:div w:id="1873424271">
      <w:bodyDiv w:val="1"/>
      <w:marLeft w:val="0"/>
      <w:marRight w:val="0"/>
      <w:marTop w:val="0"/>
      <w:marBottom w:val="0"/>
      <w:divBdr>
        <w:top w:val="none" w:sz="0" w:space="0" w:color="auto"/>
        <w:left w:val="none" w:sz="0" w:space="0" w:color="auto"/>
        <w:bottom w:val="none" w:sz="0" w:space="0" w:color="auto"/>
        <w:right w:val="none" w:sz="0" w:space="0" w:color="auto"/>
      </w:divBdr>
    </w:div>
    <w:div w:id="1905338521">
      <w:bodyDiv w:val="1"/>
      <w:marLeft w:val="0"/>
      <w:marRight w:val="0"/>
      <w:marTop w:val="0"/>
      <w:marBottom w:val="0"/>
      <w:divBdr>
        <w:top w:val="none" w:sz="0" w:space="0" w:color="auto"/>
        <w:left w:val="none" w:sz="0" w:space="0" w:color="auto"/>
        <w:bottom w:val="none" w:sz="0" w:space="0" w:color="auto"/>
        <w:right w:val="none" w:sz="0" w:space="0" w:color="auto"/>
      </w:divBdr>
    </w:div>
    <w:div w:id="1912305342">
      <w:bodyDiv w:val="1"/>
      <w:marLeft w:val="0"/>
      <w:marRight w:val="0"/>
      <w:marTop w:val="0"/>
      <w:marBottom w:val="0"/>
      <w:divBdr>
        <w:top w:val="none" w:sz="0" w:space="0" w:color="auto"/>
        <w:left w:val="none" w:sz="0" w:space="0" w:color="auto"/>
        <w:bottom w:val="none" w:sz="0" w:space="0" w:color="auto"/>
        <w:right w:val="none" w:sz="0" w:space="0" w:color="auto"/>
      </w:divBdr>
    </w:div>
    <w:div w:id="1912999940">
      <w:bodyDiv w:val="1"/>
      <w:marLeft w:val="0"/>
      <w:marRight w:val="0"/>
      <w:marTop w:val="0"/>
      <w:marBottom w:val="0"/>
      <w:divBdr>
        <w:top w:val="none" w:sz="0" w:space="0" w:color="auto"/>
        <w:left w:val="none" w:sz="0" w:space="0" w:color="auto"/>
        <w:bottom w:val="none" w:sz="0" w:space="0" w:color="auto"/>
        <w:right w:val="none" w:sz="0" w:space="0" w:color="auto"/>
      </w:divBdr>
    </w:div>
    <w:div w:id="1927180777">
      <w:bodyDiv w:val="1"/>
      <w:marLeft w:val="0"/>
      <w:marRight w:val="0"/>
      <w:marTop w:val="0"/>
      <w:marBottom w:val="0"/>
      <w:divBdr>
        <w:top w:val="none" w:sz="0" w:space="0" w:color="auto"/>
        <w:left w:val="none" w:sz="0" w:space="0" w:color="auto"/>
        <w:bottom w:val="none" w:sz="0" w:space="0" w:color="auto"/>
        <w:right w:val="none" w:sz="0" w:space="0" w:color="auto"/>
      </w:divBdr>
    </w:div>
    <w:div w:id="1938561097">
      <w:bodyDiv w:val="1"/>
      <w:marLeft w:val="0"/>
      <w:marRight w:val="0"/>
      <w:marTop w:val="0"/>
      <w:marBottom w:val="0"/>
      <w:divBdr>
        <w:top w:val="none" w:sz="0" w:space="0" w:color="auto"/>
        <w:left w:val="none" w:sz="0" w:space="0" w:color="auto"/>
        <w:bottom w:val="none" w:sz="0" w:space="0" w:color="auto"/>
        <w:right w:val="none" w:sz="0" w:space="0" w:color="auto"/>
      </w:divBdr>
    </w:div>
    <w:div w:id="1952780127">
      <w:bodyDiv w:val="1"/>
      <w:marLeft w:val="0"/>
      <w:marRight w:val="0"/>
      <w:marTop w:val="0"/>
      <w:marBottom w:val="0"/>
      <w:divBdr>
        <w:top w:val="none" w:sz="0" w:space="0" w:color="auto"/>
        <w:left w:val="none" w:sz="0" w:space="0" w:color="auto"/>
        <w:bottom w:val="none" w:sz="0" w:space="0" w:color="auto"/>
        <w:right w:val="none" w:sz="0" w:space="0" w:color="auto"/>
      </w:divBdr>
    </w:div>
    <w:div w:id="1958563898">
      <w:bodyDiv w:val="1"/>
      <w:marLeft w:val="0"/>
      <w:marRight w:val="0"/>
      <w:marTop w:val="0"/>
      <w:marBottom w:val="0"/>
      <w:divBdr>
        <w:top w:val="none" w:sz="0" w:space="0" w:color="auto"/>
        <w:left w:val="none" w:sz="0" w:space="0" w:color="auto"/>
        <w:bottom w:val="none" w:sz="0" w:space="0" w:color="auto"/>
        <w:right w:val="none" w:sz="0" w:space="0" w:color="auto"/>
      </w:divBdr>
    </w:div>
    <w:div w:id="1960069370">
      <w:bodyDiv w:val="1"/>
      <w:marLeft w:val="0"/>
      <w:marRight w:val="0"/>
      <w:marTop w:val="0"/>
      <w:marBottom w:val="0"/>
      <w:divBdr>
        <w:top w:val="none" w:sz="0" w:space="0" w:color="auto"/>
        <w:left w:val="none" w:sz="0" w:space="0" w:color="auto"/>
        <w:bottom w:val="none" w:sz="0" w:space="0" w:color="auto"/>
        <w:right w:val="none" w:sz="0" w:space="0" w:color="auto"/>
      </w:divBdr>
    </w:div>
    <w:div w:id="1965305957">
      <w:bodyDiv w:val="1"/>
      <w:marLeft w:val="0"/>
      <w:marRight w:val="0"/>
      <w:marTop w:val="0"/>
      <w:marBottom w:val="0"/>
      <w:divBdr>
        <w:top w:val="none" w:sz="0" w:space="0" w:color="auto"/>
        <w:left w:val="none" w:sz="0" w:space="0" w:color="auto"/>
        <w:bottom w:val="none" w:sz="0" w:space="0" w:color="auto"/>
        <w:right w:val="none" w:sz="0" w:space="0" w:color="auto"/>
      </w:divBdr>
    </w:div>
    <w:div w:id="1969627566">
      <w:bodyDiv w:val="1"/>
      <w:marLeft w:val="0"/>
      <w:marRight w:val="0"/>
      <w:marTop w:val="0"/>
      <w:marBottom w:val="0"/>
      <w:divBdr>
        <w:top w:val="none" w:sz="0" w:space="0" w:color="auto"/>
        <w:left w:val="none" w:sz="0" w:space="0" w:color="auto"/>
        <w:bottom w:val="none" w:sz="0" w:space="0" w:color="auto"/>
        <w:right w:val="none" w:sz="0" w:space="0" w:color="auto"/>
      </w:divBdr>
    </w:div>
    <w:div w:id="1971469186">
      <w:bodyDiv w:val="1"/>
      <w:marLeft w:val="0"/>
      <w:marRight w:val="0"/>
      <w:marTop w:val="0"/>
      <w:marBottom w:val="0"/>
      <w:divBdr>
        <w:top w:val="none" w:sz="0" w:space="0" w:color="auto"/>
        <w:left w:val="none" w:sz="0" w:space="0" w:color="auto"/>
        <w:bottom w:val="none" w:sz="0" w:space="0" w:color="auto"/>
        <w:right w:val="none" w:sz="0" w:space="0" w:color="auto"/>
      </w:divBdr>
    </w:div>
    <w:div w:id="1972201576">
      <w:bodyDiv w:val="1"/>
      <w:marLeft w:val="0"/>
      <w:marRight w:val="0"/>
      <w:marTop w:val="0"/>
      <w:marBottom w:val="0"/>
      <w:divBdr>
        <w:top w:val="none" w:sz="0" w:space="0" w:color="auto"/>
        <w:left w:val="none" w:sz="0" w:space="0" w:color="auto"/>
        <w:bottom w:val="none" w:sz="0" w:space="0" w:color="auto"/>
        <w:right w:val="none" w:sz="0" w:space="0" w:color="auto"/>
      </w:divBdr>
    </w:div>
    <w:div w:id="1986618721">
      <w:bodyDiv w:val="1"/>
      <w:marLeft w:val="0"/>
      <w:marRight w:val="0"/>
      <w:marTop w:val="0"/>
      <w:marBottom w:val="0"/>
      <w:divBdr>
        <w:top w:val="none" w:sz="0" w:space="0" w:color="auto"/>
        <w:left w:val="none" w:sz="0" w:space="0" w:color="auto"/>
        <w:bottom w:val="none" w:sz="0" w:space="0" w:color="auto"/>
        <w:right w:val="none" w:sz="0" w:space="0" w:color="auto"/>
      </w:divBdr>
    </w:div>
    <w:div w:id="1993636140">
      <w:bodyDiv w:val="1"/>
      <w:marLeft w:val="0"/>
      <w:marRight w:val="0"/>
      <w:marTop w:val="0"/>
      <w:marBottom w:val="0"/>
      <w:divBdr>
        <w:top w:val="none" w:sz="0" w:space="0" w:color="auto"/>
        <w:left w:val="none" w:sz="0" w:space="0" w:color="auto"/>
        <w:bottom w:val="none" w:sz="0" w:space="0" w:color="auto"/>
        <w:right w:val="none" w:sz="0" w:space="0" w:color="auto"/>
      </w:divBdr>
    </w:div>
    <w:div w:id="1994523927">
      <w:bodyDiv w:val="1"/>
      <w:marLeft w:val="0"/>
      <w:marRight w:val="0"/>
      <w:marTop w:val="0"/>
      <w:marBottom w:val="0"/>
      <w:divBdr>
        <w:top w:val="none" w:sz="0" w:space="0" w:color="auto"/>
        <w:left w:val="none" w:sz="0" w:space="0" w:color="auto"/>
        <w:bottom w:val="none" w:sz="0" w:space="0" w:color="auto"/>
        <w:right w:val="none" w:sz="0" w:space="0" w:color="auto"/>
      </w:divBdr>
    </w:div>
    <w:div w:id="1998876294">
      <w:bodyDiv w:val="1"/>
      <w:marLeft w:val="0"/>
      <w:marRight w:val="0"/>
      <w:marTop w:val="0"/>
      <w:marBottom w:val="0"/>
      <w:divBdr>
        <w:top w:val="none" w:sz="0" w:space="0" w:color="auto"/>
        <w:left w:val="none" w:sz="0" w:space="0" w:color="auto"/>
        <w:bottom w:val="none" w:sz="0" w:space="0" w:color="auto"/>
        <w:right w:val="none" w:sz="0" w:space="0" w:color="auto"/>
      </w:divBdr>
    </w:div>
    <w:div w:id="2016608774">
      <w:bodyDiv w:val="1"/>
      <w:marLeft w:val="0"/>
      <w:marRight w:val="0"/>
      <w:marTop w:val="0"/>
      <w:marBottom w:val="0"/>
      <w:divBdr>
        <w:top w:val="none" w:sz="0" w:space="0" w:color="auto"/>
        <w:left w:val="none" w:sz="0" w:space="0" w:color="auto"/>
        <w:bottom w:val="none" w:sz="0" w:space="0" w:color="auto"/>
        <w:right w:val="none" w:sz="0" w:space="0" w:color="auto"/>
      </w:divBdr>
    </w:div>
    <w:div w:id="2016836319">
      <w:bodyDiv w:val="1"/>
      <w:marLeft w:val="0"/>
      <w:marRight w:val="0"/>
      <w:marTop w:val="0"/>
      <w:marBottom w:val="0"/>
      <w:divBdr>
        <w:top w:val="none" w:sz="0" w:space="0" w:color="auto"/>
        <w:left w:val="none" w:sz="0" w:space="0" w:color="auto"/>
        <w:bottom w:val="none" w:sz="0" w:space="0" w:color="auto"/>
        <w:right w:val="none" w:sz="0" w:space="0" w:color="auto"/>
      </w:divBdr>
    </w:div>
    <w:div w:id="2017413539">
      <w:bodyDiv w:val="1"/>
      <w:marLeft w:val="0"/>
      <w:marRight w:val="0"/>
      <w:marTop w:val="0"/>
      <w:marBottom w:val="0"/>
      <w:divBdr>
        <w:top w:val="none" w:sz="0" w:space="0" w:color="auto"/>
        <w:left w:val="none" w:sz="0" w:space="0" w:color="auto"/>
        <w:bottom w:val="none" w:sz="0" w:space="0" w:color="auto"/>
        <w:right w:val="none" w:sz="0" w:space="0" w:color="auto"/>
      </w:divBdr>
    </w:div>
    <w:div w:id="2021202337">
      <w:bodyDiv w:val="1"/>
      <w:marLeft w:val="0"/>
      <w:marRight w:val="0"/>
      <w:marTop w:val="0"/>
      <w:marBottom w:val="0"/>
      <w:divBdr>
        <w:top w:val="none" w:sz="0" w:space="0" w:color="auto"/>
        <w:left w:val="none" w:sz="0" w:space="0" w:color="auto"/>
        <w:bottom w:val="none" w:sz="0" w:space="0" w:color="auto"/>
        <w:right w:val="none" w:sz="0" w:space="0" w:color="auto"/>
      </w:divBdr>
    </w:div>
    <w:div w:id="2029914552">
      <w:bodyDiv w:val="1"/>
      <w:marLeft w:val="0"/>
      <w:marRight w:val="0"/>
      <w:marTop w:val="0"/>
      <w:marBottom w:val="0"/>
      <w:divBdr>
        <w:top w:val="none" w:sz="0" w:space="0" w:color="auto"/>
        <w:left w:val="none" w:sz="0" w:space="0" w:color="auto"/>
        <w:bottom w:val="none" w:sz="0" w:space="0" w:color="auto"/>
        <w:right w:val="none" w:sz="0" w:space="0" w:color="auto"/>
      </w:divBdr>
    </w:div>
    <w:div w:id="2051687437">
      <w:bodyDiv w:val="1"/>
      <w:marLeft w:val="0"/>
      <w:marRight w:val="0"/>
      <w:marTop w:val="0"/>
      <w:marBottom w:val="0"/>
      <w:divBdr>
        <w:top w:val="none" w:sz="0" w:space="0" w:color="auto"/>
        <w:left w:val="none" w:sz="0" w:space="0" w:color="auto"/>
        <w:bottom w:val="none" w:sz="0" w:space="0" w:color="auto"/>
        <w:right w:val="none" w:sz="0" w:space="0" w:color="auto"/>
      </w:divBdr>
    </w:div>
    <w:div w:id="2061705569">
      <w:bodyDiv w:val="1"/>
      <w:marLeft w:val="0"/>
      <w:marRight w:val="0"/>
      <w:marTop w:val="0"/>
      <w:marBottom w:val="0"/>
      <w:divBdr>
        <w:top w:val="none" w:sz="0" w:space="0" w:color="auto"/>
        <w:left w:val="none" w:sz="0" w:space="0" w:color="auto"/>
        <w:bottom w:val="none" w:sz="0" w:space="0" w:color="auto"/>
        <w:right w:val="none" w:sz="0" w:space="0" w:color="auto"/>
      </w:divBdr>
    </w:div>
    <w:div w:id="2070181745">
      <w:bodyDiv w:val="1"/>
      <w:marLeft w:val="0"/>
      <w:marRight w:val="0"/>
      <w:marTop w:val="0"/>
      <w:marBottom w:val="0"/>
      <w:divBdr>
        <w:top w:val="none" w:sz="0" w:space="0" w:color="auto"/>
        <w:left w:val="none" w:sz="0" w:space="0" w:color="auto"/>
        <w:bottom w:val="none" w:sz="0" w:space="0" w:color="auto"/>
        <w:right w:val="none" w:sz="0" w:space="0" w:color="auto"/>
      </w:divBdr>
    </w:div>
    <w:div w:id="2071878603">
      <w:bodyDiv w:val="1"/>
      <w:marLeft w:val="0"/>
      <w:marRight w:val="0"/>
      <w:marTop w:val="0"/>
      <w:marBottom w:val="0"/>
      <w:divBdr>
        <w:top w:val="none" w:sz="0" w:space="0" w:color="auto"/>
        <w:left w:val="none" w:sz="0" w:space="0" w:color="auto"/>
        <w:bottom w:val="none" w:sz="0" w:space="0" w:color="auto"/>
        <w:right w:val="none" w:sz="0" w:space="0" w:color="auto"/>
      </w:divBdr>
    </w:div>
    <w:div w:id="2074697940">
      <w:bodyDiv w:val="1"/>
      <w:marLeft w:val="0"/>
      <w:marRight w:val="0"/>
      <w:marTop w:val="0"/>
      <w:marBottom w:val="0"/>
      <w:divBdr>
        <w:top w:val="none" w:sz="0" w:space="0" w:color="auto"/>
        <w:left w:val="none" w:sz="0" w:space="0" w:color="auto"/>
        <w:bottom w:val="none" w:sz="0" w:space="0" w:color="auto"/>
        <w:right w:val="none" w:sz="0" w:space="0" w:color="auto"/>
      </w:divBdr>
    </w:div>
    <w:div w:id="2078622540">
      <w:bodyDiv w:val="1"/>
      <w:marLeft w:val="0"/>
      <w:marRight w:val="0"/>
      <w:marTop w:val="0"/>
      <w:marBottom w:val="0"/>
      <w:divBdr>
        <w:top w:val="none" w:sz="0" w:space="0" w:color="auto"/>
        <w:left w:val="none" w:sz="0" w:space="0" w:color="auto"/>
        <w:bottom w:val="none" w:sz="0" w:space="0" w:color="auto"/>
        <w:right w:val="none" w:sz="0" w:space="0" w:color="auto"/>
      </w:divBdr>
    </w:div>
    <w:div w:id="2084177040">
      <w:bodyDiv w:val="1"/>
      <w:marLeft w:val="0"/>
      <w:marRight w:val="0"/>
      <w:marTop w:val="0"/>
      <w:marBottom w:val="0"/>
      <w:divBdr>
        <w:top w:val="none" w:sz="0" w:space="0" w:color="auto"/>
        <w:left w:val="none" w:sz="0" w:space="0" w:color="auto"/>
        <w:bottom w:val="none" w:sz="0" w:space="0" w:color="auto"/>
        <w:right w:val="none" w:sz="0" w:space="0" w:color="auto"/>
      </w:divBdr>
    </w:div>
    <w:div w:id="2084910941">
      <w:bodyDiv w:val="1"/>
      <w:marLeft w:val="0"/>
      <w:marRight w:val="0"/>
      <w:marTop w:val="0"/>
      <w:marBottom w:val="0"/>
      <w:divBdr>
        <w:top w:val="none" w:sz="0" w:space="0" w:color="auto"/>
        <w:left w:val="none" w:sz="0" w:space="0" w:color="auto"/>
        <w:bottom w:val="none" w:sz="0" w:space="0" w:color="auto"/>
        <w:right w:val="none" w:sz="0" w:space="0" w:color="auto"/>
      </w:divBdr>
    </w:div>
    <w:div w:id="2085834387">
      <w:bodyDiv w:val="1"/>
      <w:marLeft w:val="0"/>
      <w:marRight w:val="0"/>
      <w:marTop w:val="0"/>
      <w:marBottom w:val="0"/>
      <w:divBdr>
        <w:top w:val="none" w:sz="0" w:space="0" w:color="auto"/>
        <w:left w:val="none" w:sz="0" w:space="0" w:color="auto"/>
        <w:bottom w:val="none" w:sz="0" w:space="0" w:color="auto"/>
        <w:right w:val="none" w:sz="0" w:space="0" w:color="auto"/>
      </w:divBdr>
    </w:div>
    <w:div w:id="2088653072">
      <w:bodyDiv w:val="1"/>
      <w:marLeft w:val="0"/>
      <w:marRight w:val="0"/>
      <w:marTop w:val="0"/>
      <w:marBottom w:val="0"/>
      <w:divBdr>
        <w:top w:val="none" w:sz="0" w:space="0" w:color="auto"/>
        <w:left w:val="none" w:sz="0" w:space="0" w:color="auto"/>
        <w:bottom w:val="none" w:sz="0" w:space="0" w:color="auto"/>
        <w:right w:val="none" w:sz="0" w:space="0" w:color="auto"/>
      </w:divBdr>
    </w:div>
    <w:div w:id="2109885866">
      <w:bodyDiv w:val="1"/>
      <w:marLeft w:val="0"/>
      <w:marRight w:val="0"/>
      <w:marTop w:val="0"/>
      <w:marBottom w:val="0"/>
      <w:divBdr>
        <w:top w:val="none" w:sz="0" w:space="0" w:color="auto"/>
        <w:left w:val="none" w:sz="0" w:space="0" w:color="auto"/>
        <w:bottom w:val="none" w:sz="0" w:space="0" w:color="auto"/>
        <w:right w:val="none" w:sz="0" w:space="0" w:color="auto"/>
      </w:divBdr>
    </w:div>
    <w:div w:id="2113041389">
      <w:bodyDiv w:val="1"/>
      <w:marLeft w:val="0"/>
      <w:marRight w:val="0"/>
      <w:marTop w:val="0"/>
      <w:marBottom w:val="0"/>
      <w:divBdr>
        <w:top w:val="none" w:sz="0" w:space="0" w:color="auto"/>
        <w:left w:val="none" w:sz="0" w:space="0" w:color="auto"/>
        <w:bottom w:val="none" w:sz="0" w:space="0" w:color="auto"/>
        <w:right w:val="none" w:sz="0" w:space="0" w:color="auto"/>
      </w:divBdr>
    </w:div>
    <w:div w:id="2118869710">
      <w:bodyDiv w:val="1"/>
      <w:marLeft w:val="0"/>
      <w:marRight w:val="0"/>
      <w:marTop w:val="0"/>
      <w:marBottom w:val="0"/>
      <w:divBdr>
        <w:top w:val="none" w:sz="0" w:space="0" w:color="auto"/>
        <w:left w:val="none" w:sz="0" w:space="0" w:color="auto"/>
        <w:bottom w:val="none" w:sz="0" w:space="0" w:color="auto"/>
        <w:right w:val="none" w:sz="0" w:space="0" w:color="auto"/>
      </w:divBdr>
    </w:div>
    <w:div w:id="2135512924">
      <w:bodyDiv w:val="1"/>
      <w:marLeft w:val="0"/>
      <w:marRight w:val="0"/>
      <w:marTop w:val="0"/>
      <w:marBottom w:val="0"/>
      <w:divBdr>
        <w:top w:val="none" w:sz="0" w:space="0" w:color="auto"/>
        <w:left w:val="none" w:sz="0" w:space="0" w:color="auto"/>
        <w:bottom w:val="none" w:sz="0" w:space="0" w:color="auto"/>
        <w:right w:val="none" w:sz="0" w:space="0" w:color="auto"/>
      </w:divBdr>
    </w:div>
    <w:div w:id="2142068801">
      <w:bodyDiv w:val="1"/>
      <w:marLeft w:val="0"/>
      <w:marRight w:val="0"/>
      <w:marTop w:val="0"/>
      <w:marBottom w:val="0"/>
      <w:divBdr>
        <w:top w:val="none" w:sz="0" w:space="0" w:color="auto"/>
        <w:left w:val="none" w:sz="0" w:space="0" w:color="auto"/>
        <w:bottom w:val="none" w:sz="0" w:space="0" w:color="auto"/>
        <w:right w:val="none" w:sz="0" w:space="0" w:color="auto"/>
      </w:divBdr>
    </w:div>
    <w:div w:id="2142728320">
      <w:bodyDiv w:val="1"/>
      <w:marLeft w:val="0"/>
      <w:marRight w:val="0"/>
      <w:marTop w:val="0"/>
      <w:marBottom w:val="0"/>
      <w:divBdr>
        <w:top w:val="none" w:sz="0" w:space="0" w:color="auto"/>
        <w:left w:val="none" w:sz="0" w:space="0" w:color="auto"/>
        <w:bottom w:val="none" w:sz="0" w:space="0" w:color="auto"/>
        <w:right w:val="none" w:sz="0" w:space="0" w:color="auto"/>
      </w:divBdr>
    </w:div>
    <w:div w:id="214284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education.vic.gov.au/about/department/legislation/Pages/statementofexpectation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cri.edu.au/research/projects/covid-schools-study"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ducation.vic.gov.au/training/providers/market/Pages/employersurve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ducation.vic.gov.au" TargetMode="External"/><Relationship Id="rId10" Type="http://schemas.openxmlformats.org/officeDocument/2006/relationships/endnotes" Target="endnotes.xml"/><Relationship Id="rId19" Type="http://schemas.openxmlformats.org/officeDocument/2006/relationships/hyperlink" Target="https://www.education.vic.gov.au/about/department/legislation/Pages/statementofexpectation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2019">
      <a:dk1>
        <a:srgbClr val="8A2A2F"/>
      </a:dk1>
      <a:lt1>
        <a:srgbClr val="FFFFFF"/>
      </a:lt1>
      <a:dk2>
        <a:srgbClr val="000000"/>
      </a:dk2>
      <a:lt2>
        <a:srgbClr val="E7E6E6"/>
      </a:lt2>
      <a:accent1>
        <a:srgbClr val="D9D9D6"/>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Annual Report 2020-21 Additional Information</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2A713-9725-42EB-B129-A25A24AC60E0}">
  <ds:schemaRefs>
    <ds:schemaRef ds:uri="http://schemas.microsoft.com/sharepoint/v3/contenttype/forms"/>
  </ds:schemaRefs>
</ds:datastoreItem>
</file>

<file path=customXml/itemProps2.xml><?xml version="1.0" encoding="utf-8"?>
<ds:datastoreItem xmlns:ds="http://schemas.openxmlformats.org/officeDocument/2006/customXml" ds:itemID="{F26168CD-61FB-4921-A9D0-CCF2C4D4D803}">
  <ds:schemaRefs>
    <ds:schemaRef ds:uri="http://schemas.microsoft.com/office/2006/documentManagement/type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5d56f8f0-4a2a-4da2-a75e-58bdf4767c1e"/>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ED8E90C0-05BD-41CB-8C37-68E5FAF8F940}">
  <ds:schemaRefs>
    <ds:schemaRef ds:uri="http://schemas.openxmlformats.org/officeDocument/2006/bibliography"/>
  </ds:schemaRefs>
</ds:datastoreItem>
</file>

<file path=customXml/itemProps4.xml><?xml version="1.0" encoding="utf-8"?>
<ds:datastoreItem xmlns:ds="http://schemas.openxmlformats.org/officeDocument/2006/customXml" ds:itemID="{0EFB8D23-FBBF-405D-B0B3-B28C9470DF9C}"/>
</file>

<file path=docProps/app.xml><?xml version="1.0" encoding="utf-8"?>
<Properties xmlns="http://schemas.openxmlformats.org/officeDocument/2006/extended-properties" xmlns:vt="http://schemas.openxmlformats.org/officeDocument/2006/docPropsVTypes">
  <Template>Normal.dotm</Template>
  <TotalTime>1421</TotalTime>
  <Pages>86</Pages>
  <Words>22908</Words>
  <Characters>130576</Characters>
  <Application>Microsoft Office Word</Application>
  <DocSecurity>0</DocSecurity>
  <Lines>1088</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Aaron Pinkus</cp:lastModifiedBy>
  <cp:revision>469</cp:revision>
  <cp:lastPrinted>2021-10-20T19:13:00Z</cp:lastPrinted>
  <dcterms:created xsi:type="dcterms:W3CDTF">2021-06-15T23:03:00Z</dcterms:created>
  <dcterms:modified xsi:type="dcterms:W3CDTF">2021-10-20T19:14:00Z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1;#16.3.1 Final Reports|808f4d2b-2607-4914-b911-b0ef6d2b9dfe</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{b7e47f3a-6be0-4bb9-a623-f6908f57e403}</vt:lpwstr>
  </property>
  <property fmtid="{D5CDD505-2E9C-101B-9397-08002B2CF9AE}" pid="8" name="RecordPoint_ActiveItemUniqueId">
    <vt:lpwstr>{f16632bf-5858-4b42-998e-779d9315270d}</vt:lpwstr>
  </property>
  <property fmtid="{D5CDD505-2E9C-101B-9397-08002B2CF9AE}" pid="9" name="RecordPoint_ActiveItemWebId">
    <vt:lpwstr>{5962f81e-9ba2-4bce-bf0d-45a50a2e0e41}</vt:lpwstr>
  </property>
  <property fmtid="{D5CDD505-2E9C-101B-9397-08002B2CF9AE}" pid="10" name="RecordPoint_ActiveItemSiteId">
    <vt:lpwstr>{7579aca2-9c40-4689-bd75-a939625dfa0b}</vt:lpwstr>
  </property>
  <property fmtid="{D5CDD505-2E9C-101B-9397-08002B2CF9AE}" pid="11" name="RecordPoint_RecordNumberSubmitted">
    <vt:lpwstr>R20211643667</vt:lpwstr>
  </property>
  <property fmtid="{D5CDD505-2E9C-101B-9397-08002B2CF9AE}" pid="12" name="DEECD_Author">
    <vt:lpwstr>94;#Education|5232e41c-5101-41fe-b638-7d41d1371531</vt:lpwstr>
  </property>
  <property fmtid="{D5CDD505-2E9C-101B-9397-08002B2CF9AE}" pid="13" name="DEECD_ItemType">
    <vt:lpwstr>101;#Page|eb523acf-a821-456c-a76b-7607578309d7</vt:lpwstr>
  </property>
  <property fmtid="{D5CDD505-2E9C-101B-9397-08002B2CF9AE}" pid="14" name="DEECD_SubjectCategory">
    <vt:lpwstr/>
  </property>
  <property fmtid="{D5CDD505-2E9C-101B-9397-08002B2CF9AE}" pid="15" name="DEECD_Audience">
    <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6300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DET_EDRMS_BusUnitTaxHTField0">
    <vt:lpwstr/>
  </property>
  <property fmtid="{D5CDD505-2E9C-101B-9397-08002B2CF9AE}" pid="25" name="RecordPoint_SubmissionCompleted">
    <vt:lpwstr>2021-09-20T13:12:40.7050601+10:00</vt:lpwstr>
  </property>
</Properties>
</file>