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0E81" w14:textId="77777777" w:rsidR="00355D7A" w:rsidRPr="00AF5334" w:rsidRDefault="00355D7A" w:rsidP="00355D7A">
      <w:pPr>
        <w:pStyle w:val="Title"/>
        <w:tabs>
          <w:tab w:val="left" w:pos="7655"/>
        </w:tabs>
        <w:ind w:right="987"/>
      </w:pPr>
      <w:r w:rsidRPr="00A474C0">
        <w:t xml:space="preserve">Compliance with Financial Reporting Direction </w:t>
      </w:r>
      <w:r w:rsidR="00924994">
        <w:t>(FRD) </w:t>
      </w:r>
      <w:r w:rsidR="00924994" w:rsidRPr="00AF5334">
        <w:t>22</w:t>
      </w:r>
    </w:p>
    <w:p w14:paraId="014D2084" w14:textId="77777777" w:rsidR="00355D7A" w:rsidRPr="00AF5334" w:rsidRDefault="00355D7A" w:rsidP="00355D7A">
      <w:pPr>
        <w:pStyle w:val="Heading1NoNum"/>
      </w:pPr>
      <w:r w:rsidRPr="00AF5334">
        <w:t>Additional information available on request</w:t>
      </w:r>
    </w:p>
    <w:p w14:paraId="06E51D88" w14:textId="77777777" w:rsidR="00EF4ABA" w:rsidRDefault="00355D7A" w:rsidP="00EF4ABA">
      <w:pPr>
        <w:spacing w:before="40" w:after="40"/>
        <w:rPr>
          <w:rFonts w:ascii="Calibri" w:hAnsi="Calibri"/>
          <w:sz w:val="22"/>
          <w:szCs w:val="22"/>
          <w:lang w:eastAsia="en-US"/>
        </w:rPr>
      </w:pPr>
      <w:r w:rsidRPr="00AF5334">
        <w:rPr>
          <w:rFonts w:ascii="Calibri" w:hAnsi="Calibri"/>
          <w:sz w:val="22"/>
          <w:szCs w:val="22"/>
          <w:lang w:eastAsia="en-US"/>
        </w:rPr>
        <w:t>F</w:t>
      </w:r>
      <w:r w:rsidR="00924994" w:rsidRPr="00AF5334">
        <w:rPr>
          <w:rFonts w:ascii="Calibri" w:hAnsi="Calibri"/>
          <w:sz w:val="22"/>
          <w:szCs w:val="22"/>
          <w:lang w:eastAsia="en-US"/>
        </w:rPr>
        <w:t>inancial Reporting Direction 22H</w:t>
      </w:r>
      <w:r w:rsidRPr="00355D7A">
        <w:rPr>
          <w:rFonts w:ascii="Calibri" w:hAnsi="Calibri"/>
          <w:sz w:val="22"/>
          <w:szCs w:val="22"/>
          <w:lang w:eastAsia="en-US"/>
        </w:rPr>
        <w:t xml:space="preserve"> requires that additional information, as specified in the Direction, must be retained by the Accountable Officer and made available on request to the relevant Ministers, Members of Parliament and the public, subject to the provisions of the </w:t>
      </w:r>
      <w:r w:rsidRPr="00355D7A">
        <w:rPr>
          <w:rFonts w:ascii="Calibri" w:hAnsi="Calibri"/>
          <w:i/>
          <w:sz w:val="22"/>
          <w:szCs w:val="22"/>
          <w:lang w:eastAsia="en-US"/>
        </w:rPr>
        <w:t>Freedom of Information Act 1982</w:t>
      </w:r>
      <w:r w:rsidRPr="00355D7A">
        <w:rPr>
          <w:rFonts w:ascii="Calibri" w:hAnsi="Calibri"/>
          <w:sz w:val="22"/>
          <w:szCs w:val="22"/>
          <w:lang w:eastAsia="en-US"/>
        </w:rPr>
        <w:t>.</w:t>
      </w:r>
    </w:p>
    <w:p w14:paraId="1EAA9904" w14:textId="77777777" w:rsidR="00A06976" w:rsidRPr="00A27E38" w:rsidRDefault="00A06976"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0" w:name="_Toc263774876"/>
      <w:bookmarkStart w:id="1" w:name="_Toc263777566"/>
      <w:bookmarkStart w:id="2" w:name="_Toc263781493"/>
      <w:bookmarkStart w:id="3" w:name="_Toc263863293"/>
      <w:r w:rsidRPr="00A27E38">
        <w:rPr>
          <w:rFonts w:ascii="Calibri" w:hAnsi="Calibri"/>
          <w:b/>
          <w:sz w:val="22"/>
          <w:szCs w:val="22"/>
        </w:rPr>
        <w:t>Statement that declarations of pecuniary interests have been duly com</w:t>
      </w:r>
      <w:r w:rsidR="00965E93">
        <w:rPr>
          <w:rFonts w:ascii="Calibri" w:hAnsi="Calibri"/>
          <w:b/>
          <w:sz w:val="22"/>
          <w:szCs w:val="22"/>
        </w:rPr>
        <w:t>pleted by all relevant officers</w:t>
      </w:r>
    </w:p>
    <w:p w14:paraId="11BCECAF" w14:textId="77777777" w:rsidR="00A06976" w:rsidRPr="00A27E38" w:rsidRDefault="003A0754" w:rsidP="00503F1E">
      <w:pPr>
        <w:autoSpaceDE w:val="0"/>
        <w:autoSpaceDN w:val="0"/>
        <w:adjustRightInd w:val="0"/>
        <w:spacing w:before="40" w:after="40"/>
        <w:ind w:left="284"/>
        <w:outlineLvl w:val="1"/>
        <w:rPr>
          <w:rFonts w:ascii="Calibri" w:hAnsi="Calibri"/>
          <w:sz w:val="22"/>
          <w:szCs w:val="22"/>
        </w:rPr>
      </w:pPr>
      <w:r w:rsidRPr="00BD6B85">
        <w:rPr>
          <w:rFonts w:ascii="Calibri" w:hAnsi="Calibri"/>
          <w:sz w:val="22"/>
          <w:szCs w:val="22"/>
        </w:rPr>
        <w:t>All declarations of pecuniary interests have been duly completed by all relevant officers.</w:t>
      </w:r>
    </w:p>
    <w:p w14:paraId="17D0B694" w14:textId="77777777" w:rsidR="00EF4ABA" w:rsidRPr="00A27E38" w:rsidRDefault="00EF4ABA"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r w:rsidRPr="00A27E38">
        <w:rPr>
          <w:rFonts w:ascii="Calibri" w:hAnsi="Calibri"/>
          <w:b/>
          <w:sz w:val="22"/>
          <w:szCs w:val="22"/>
        </w:rPr>
        <w:t>Shares held by a senior officer as nominee or held beneficially in a statutory authority or subsidiary</w:t>
      </w:r>
      <w:bookmarkEnd w:id="0"/>
      <w:bookmarkEnd w:id="1"/>
      <w:bookmarkEnd w:id="2"/>
      <w:bookmarkEnd w:id="3"/>
    </w:p>
    <w:p w14:paraId="3CF9020D" w14:textId="77777777" w:rsidR="00EF4ABA" w:rsidRPr="00A27E38" w:rsidRDefault="007806F8" w:rsidP="00503F1E">
      <w:pPr>
        <w:autoSpaceDE w:val="0"/>
        <w:autoSpaceDN w:val="0"/>
        <w:adjustRightInd w:val="0"/>
        <w:spacing w:before="40" w:after="40"/>
        <w:ind w:left="284"/>
        <w:rPr>
          <w:rFonts w:ascii="Calibri" w:hAnsi="Calibri" w:cs="Arial"/>
          <w:color w:val="000000"/>
          <w:sz w:val="22"/>
          <w:szCs w:val="22"/>
        </w:rPr>
      </w:pPr>
      <w:r w:rsidRPr="00A27E38">
        <w:rPr>
          <w:rFonts w:ascii="Calibri" w:hAnsi="Calibri" w:cs="Arial"/>
          <w:color w:val="000000"/>
          <w:sz w:val="22"/>
          <w:szCs w:val="22"/>
        </w:rPr>
        <w:t>No shares are held by a senior officer as nominee or held beneficially in a statutory authority or subsidiary.</w:t>
      </w:r>
    </w:p>
    <w:p w14:paraId="37D08A59" w14:textId="77777777" w:rsidR="00E4554B" w:rsidRPr="00A27E38" w:rsidRDefault="00EF4ABA"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4" w:name="_Toc263774877"/>
      <w:bookmarkStart w:id="5" w:name="_Toc263777567"/>
      <w:bookmarkStart w:id="6" w:name="_Toc263781494"/>
      <w:bookmarkStart w:id="7" w:name="_Toc263863294"/>
      <w:r w:rsidRPr="00A27E38">
        <w:rPr>
          <w:rFonts w:ascii="Calibri" w:hAnsi="Calibri"/>
          <w:b/>
          <w:sz w:val="22"/>
          <w:szCs w:val="22"/>
        </w:rPr>
        <w:t xml:space="preserve">Publications produced by the </w:t>
      </w:r>
      <w:r w:rsidR="00D6289C" w:rsidRPr="00A27E38">
        <w:rPr>
          <w:rFonts w:ascii="Calibri" w:hAnsi="Calibri"/>
          <w:b/>
          <w:sz w:val="22"/>
          <w:szCs w:val="22"/>
        </w:rPr>
        <w:t>A</w:t>
      </w:r>
      <w:r w:rsidR="00E1353D">
        <w:rPr>
          <w:rFonts w:ascii="Calibri" w:hAnsi="Calibri"/>
          <w:b/>
          <w:sz w:val="22"/>
          <w:szCs w:val="22"/>
        </w:rPr>
        <w:t>dult, Community and Further Education</w:t>
      </w:r>
      <w:r w:rsidR="00B42CFB">
        <w:rPr>
          <w:rFonts w:ascii="Calibri" w:hAnsi="Calibri"/>
          <w:b/>
          <w:sz w:val="22"/>
          <w:szCs w:val="22"/>
        </w:rPr>
        <w:t xml:space="preserve"> (ACFE)</w:t>
      </w:r>
      <w:r w:rsidR="00E1353D">
        <w:rPr>
          <w:rFonts w:ascii="Calibri" w:hAnsi="Calibri"/>
          <w:b/>
          <w:sz w:val="22"/>
          <w:szCs w:val="22"/>
        </w:rPr>
        <w:t xml:space="preserve"> </w:t>
      </w:r>
      <w:r w:rsidR="00D6289C" w:rsidRPr="00A27E38">
        <w:rPr>
          <w:rFonts w:ascii="Calibri" w:hAnsi="Calibri"/>
          <w:b/>
          <w:sz w:val="22"/>
          <w:szCs w:val="22"/>
        </w:rPr>
        <w:t>Board</w:t>
      </w:r>
      <w:r w:rsidR="00E1353D">
        <w:rPr>
          <w:rFonts w:ascii="Calibri" w:hAnsi="Calibri"/>
          <w:b/>
          <w:sz w:val="22"/>
          <w:szCs w:val="22"/>
        </w:rPr>
        <w:t xml:space="preserve"> </w:t>
      </w:r>
      <w:r w:rsidRPr="00A27E38">
        <w:rPr>
          <w:rFonts w:ascii="Calibri" w:hAnsi="Calibri"/>
          <w:b/>
          <w:sz w:val="22"/>
          <w:szCs w:val="22"/>
        </w:rPr>
        <w:t>about itself</w:t>
      </w:r>
      <w:bookmarkStart w:id="8" w:name="_Toc263774878"/>
      <w:bookmarkStart w:id="9" w:name="_Toc263777568"/>
      <w:bookmarkStart w:id="10" w:name="_Toc263781495"/>
      <w:bookmarkStart w:id="11" w:name="_Toc263863295"/>
      <w:bookmarkEnd w:id="4"/>
      <w:bookmarkEnd w:id="5"/>
      <w:bookmarkEnd w:id="6"/>
      <w:bookmarkEnd w:id="7"/>
    </w:p>
    <w:tbl>
      <w:tblPr>
        <w:tblW w:w="5000" w:type="pct"/>
        <w:tblInd w:w="284" w:type="dxa"/>
        <w:tblLayout w:type="fixed"/>
        <w:tblCellMar>
          <w:left w:w="57" w:type="dxa"/>
          <w:right w:w="57" w:type="dxa"/>
        </w:tblCellMar>
        <w:tblLook w:val="04A0" w:firstRow="1" w:lastRow="0" w:firstColumn="1" w:lastColumn="0" w:noHBand="0" w:noVBand="1"/>
      </w:tblPr>
      <w:tblGrid>
        <w:gridCol w:w="1272"/>
        <w:gridCol w:w="1139"/>
        <w:gridCol w:w="7227"/>
      </w:tblGrid>
      <w:tr w:rsidR="00E309C9" w:rsidRPr="00AD4CA1" w14:paraId="3ECA6E4B" w14:textId="77777777" w:rsidTr="00A22F1B">
        <w:trPr>
          <w:cantSplit/>
        </w:trPr>
        <w:tc>
          <w:tcPr>
            <w:tcW w:w="660" w:type="pct"/>
            <w:tcBorders>
              <w:top w:val="single" w:sz="4" w:space="0" w:color="auto"/>
              <w:bottom w:val="single" w:sz="4" w:space="0" w:color="auto"/>
            </w:tcBorders>
            <w:shd w:val="clear" w:color="auto" w:fill="A6A6A6"/>
          </w:tcPr>
          <w:p w14:paraId="56583D6A" w14:textId="77777777" w:rsidR="00355D7A" w:rsidRDefault="00355D7A" w:rsidP="006656DE">
            <w:pPr>
              <w:pStyle w:val="TableHeader"/>
            </w:pPr>
            <w:r>
              <w:t xml:space="preserve">Publication </w:t>
            </w:r>
          </w:p>
        </w:tc>
        <w:tc>
          <w:tcPr>
            <w:tcW w:w="591" w:type="pct"/>
            <w:tcBorders>
              <w:top w:val="single" w:sz="4" w:space="0" w:color="auto"/>
              <w:bottom w:val="single" w:sz="4" w:space="0" w:color="auto"/>
            </w:tcBorders>
            <w:shd w:val="clear" w:color="auto" w:fill="A6A6A6"/>
          </w:tcPr>
          <w:p w14:paraId="1238F77C" w14:textId="77777777" w:rsidR="00355D7A" w:rsidRDefault="00355D7A" w:rsidP="006656DE">
            <w:pPr>
              <w:pStyle w:val="TableHeader"/>
            </w:pPr>
            <w:r w:rsidRPr="005B637A">
              <w:t>Produced</w:t>
            </w:r>
          </w:p>
        </w:tc>
        <w:tc>
          <w:tcPr>
            <w:tcW w:w="3749" w:type="pct"/>
            <w:tcBorders>
              <w:top w:val="single" w:sz="4" w:space="0" w:color="auto"/>
              <w:bottom w:val="single" w:sz="4" w:space="0" w:color="auto"/>
            </w:tcBorders>
            <w:shd w:val="clear" w:color="auto" w:fill="A6A6A6"/>
          </w:tcPr>
          <w:p w14:paraId="2E7AF9B5" w14:textId="77777777" w:rsidR="00355D7A" w:rsidRDefault="00355D7A" w:rsidP="006656DE">
            <w:pPr>
              <w:pStyle w:val="TableHeader"/>
            </w:pPr>
            <w:r w:rsidRPr="005B637A">
              <w:t>How obtained</w:t>
            </w:r>
          </w:p>
        </w:tc>
      </w:tr>
      <w:tr w:rsidR="00E309C9" w:rsidRPr="00AD4CA1" w14:paraId="7364A4AC" w14:textId="77777777" w:rsidTr="00A22F1B">
        <w:trPr>
          <w:cantSplit/>
        </w:trPr>
        <w:tc>
          <w:tcPr>
            <w:tcW w:w="660" w:type="pct"/>
            <w:tcBorders>
              <w:top w:val="single" w:sz="4" w:space="0" w:color="auto"/>
              <w:bottom w:val="single" w:sz="4" w:space="0" w:color="auto"/>
            </w:tcBorders>
            <w:shd w:val="clear" w:color="auto" w:fill="auto"/>
          </w:tcPr>
          <w:p w14:paraId="76F60F68" w14:textId="77777777" w:rsidR="00854A7B" w:rsidRPr="00FA6EE0" w:rsidRDefault="00E1353D" w:rsidP="00924994">
            <w:pPr>
              <w:pStyle w:val="TableText"/>
              <w:rPr>
                <w:i/>
                <w:szCs w:val="20"/>
              </w:rPr>
            </w:pPr>
            <w:r w:rsidRPr="00FA6EE0">
              <w:rPr>
                <w:i/>
                <w:szCs w:val="20"/>
              </w:rPr>
              <w:t>ACFE</w:t>
            </w:r>
            <w:r w:rsidR="00B42CFB" w:rsidRPr="00FA6EE0">
              <w:rPr>
                <w:i/>
                <w:szCs w:val="20"/>
              </w:rPr>
              <w:t xml:space="preserve"> Board</w:t>
            </w:r>
            <w:r w:rsidR="00355D7A" w:rsidRPr="00FA6EE0">
              <w:rPr>
                <w:i/>
                <w:szCs w:val="20"/>
              </w:rPr>
              <w:t xml:space="preserve"> Annual Report </w:t>
            </w:r>
          </w:p>
          <w:p w14:paraId="58B9F2A7" w14:textId="77777777" w:rsidR="00355D7A" w:rsidRPr="00FA6EE0" w:rsidRDefault="00355D7A" w:rsidP="00D616CF">
            <w:pPr>
              <w:pStyle w:val="TableText"/>
              <w:rPr>
                <w:color w:val="4C4C4C"/>
                <w:lang w:eastAsia="en-US"/>
              </w:rPr>
            </w:pPr>
            <w:r w:rsidRPr="00FA6EE0">
              <w:rPr>
                <w:i/>
                <w:szCs w:val="20"/>
              </w:rPr>
              <w:t>20</w:t>
            </w:r>
            <w:r w:rsidR="00FA6EE0" w:rsidRPr="00FA6EE0">
              <w:rPr>
                <w:i/>
                <w:szCs w:val="20"/>
              </w:rPr>
              <w:t>19</w:t>
            </w:r>
            <w:r w:rsidR="00D616CF" w:rsidRPr="00FA6EE0">
              <w:rPr>
                <w:i/>
                <w:szCs w:val="20"/>
              </w:rPr>
              <w:t>–</w:t>
            </w:r>
            <w:r w:rsidR="00FA6EE0" w:rsidRPr="00FA6EE0">
              <w:rPr>
                <w:i/>
                <w:szCs w:val="20"/>
              </w:rPr>
              <w:t>20</w:t>
            </w:r>
          </w:p>
        </w:tc>
        <w:tc>
          <w:tcPr>
            <w:tcW w:w="591" w:type="pct"/>
            <w:tcBorders>
              <w:top w:val="single" w:sz="4" w:space="0" w:color="auto"/>
              <w:bottom w:val="single" w:sz="4" w:space="0" w:color="auto"/>
            </w:tcBorders>
            <w:shd w:val="clear" w:color="auto" w:fill="auto"/>
          </w:tcPr>
          <w:p w14:paraId="709EE3D5" w14:textId="77777777" w:rsidR="00355D7A" w:rsidRPr="00FA6EE0" w:rsidRDefault="00FA6EE0" w:rsidP="006656DE">
            <w:pPr>
              <w:pStyle w:val="TableText"/>
              <w:rPr>
                <w:i/>
                <w:lang w:eastAsia="en-US"/>
              </w:rPr>
            </w:pPr>
            <w:r w:rsidRPr="00FA6EE0">
              <w:rPr>
                <w:i/>
                <w:szCs w:val="20"/>
              </w:rPr>
              <w:t>December 2</w:t>
            </w:r>
            <w:r w:rsidR="00355D7A" w:rsidRPr="00FA6EE0">
              <w:rPr>
                <w:i/>
                <w:szCs w:val="20"/>
              </w:rPr>
              <w:t>0</w:t>
            </w:r>
            <w:r w:rsidRPr="00FA6EE0">
              <w:rPr>
                <w:i/>
                <w:szCs w:val="20"/>
              </w:rPr>
              <w:t>20</w:t>
            </w:r>
          </w:p>
        </w:tc>
        <w:tc>
          <w:tcPr>
            <w:tcW w:w="3749" w:type="pct"/>
            <w:tcBorders>
              <w:top w:val="single" w:sz="4" w:space="0" w:color="auto"/>
              <w:bottom w:val="single" w:sz="4" w:space="0" w:color="auto"/>
            </w:tcBorders>
            <w:shd w:val="clear" w:color="auto" w:fill="auto"/>
          </w:tcPr>
          <w:p w14:paraId="3A64A93F" w14:textId="77777777" w:rsidR="00E309C9" w:rsidRPr="00FA6EE0" w:rsidRDefault="00E309C9" w:rsidP="00E309C9">
            <w:pPr>
              <w:pStyle w:val="TableBullet"/>
              <w:rPr>
                <w:i/>
                <w:lang w:eastAsia="en-US"/>
              </w:rPr>
            </w:pPr>
            <w:r w:rsidRPr="00FA6EE0">
              <w:rPr>
                <w:i/>
                <w:lang w:eastAsia="en-US"/>
              </w:rPr>
              <w:t>Mr Sam Quinlan, 03 7022 0445</w:t>
            </w:r>
          </w:p>
          <w:p w14:paraId="37F955FD" w14:textId="42BDAB28" w:rsidR="00924994" w:rsidRPr="00FA6EE0" w:rsidRDefault="00E309C9" w:rsidP="00E309C9">
            <w:pPr>
              <w:pStyle w:val="TableBullet"/>
              <w:rPr>
                <w:i/>
                <w:lang w:eastAsia="en-US"/>
              </w:rPr>
            </w:pPr>
            <w:r w:rsidRPr="00FA6EE0">
              <w:rPr>
                <w:i/>
                <w:lang w:eastAsia="en-US"/>
              </w:rPr>
              <w:t>https://www.education.vic.gov.au/Documents/about/department/Adult_Community_and_Further_Education_Board_Annual_Report_2019-20.pdf</w:t>
            </w:r>
          </w:p>
        </w:tc>
      </w:tr>
    </w:tbl>
    <w:p w14:paraId="770E4B8C" w14:textId="77777777" w:rsidR="00EF4ABA" w:rsidRPr="00140F93" w:rsidRDefault="00EF4ABA"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r w:rsidRPr="00140F93">
        <w:rPr>
          <w:rFonts w:ascii="Calibri" w:hAnsi="Calibri"/>
          <w:b/>
          <w:sz w:val="22"/>
          <w:szCs w:val="22"/>
        </w:rPr>
        <w:t xml:space="preserve">Changes in prices, fees, charges, rates and levies charged by the </w:t>
      </w:r>
      <w:bookmarkEnd w:id="8"/>
      <w:bookmarkEnd w:id="9"/>
      <w:bookmarkEnd w:id="10"/>
      <w:bookmarkEnd w:id="11"/>
      <w:r w:rsidR="00B42CFB">
        <w:rPr>
          <w:rFonts w:ascii="Calibri" w:hAnsi="Calibri"/>
          <w:b/>
          <w:sz w:val="22"/>
          <w:szCs w:val="22"/>
        </w:rPr>
        <w:t>ACFE Board</w:t>
      </w:r>
    </w:p>
    <w:p w14:paraId="7A753DCE" w14:textId="77777777" w:rsidR="00EF4ABA" w:rsidRPr="00140F93" w:rsidRDefault="00B97CDC" w:rsidP="00503F1E">
      <w:pPr>
        <w:autoSpaceDE w:val="0"/>
        <w:autoSpaceDN w:val="0"/>
        <w:adjustRightInd w:val="0"/>
        <w:spacing w:before="40" w:after="40"/>
        <w:ind w:left="284"/>
        <w:rPr>
          <w:rFonts w:ascii="Calibri" w:hAnsi="Calibri"/>
          <w:sz w:val="22"/>
          <w:szCs w:val="22"/>
        </w:rPr>
      </w:pPr>
      <w:r w:rsidRPr="00140F93">
        <w:rPr>
          <w:rFonts w:ascii="Calibri" w:hAnsi="Calibri"/>
          <w:sz w:val="22"/>
          <w:szCs w:val="22"/>
        </w:rPr>
        <w:t>There were no changes during the 20</w:t>
      </w:r>
      <w:r w:rsidR="00FB10E3">
        <w:rPr>
          <w:rFonts w:ascii="Calibri" w:hAnsi="Calibri"/>
          <w:sz w:val="22"/>
          <w:szCs w:val="22"/>
        </w:rPr>
        <w:t>20–21</w:t>
      </w:r>
      <w:r w:rsidRPr="00140F93">
        <w:rPr>
          <w:rFonts w:ascii="Calibri" w:hAnsi="Calibri"/>
          <w:sz w:val="22"/>
          <w:szCs w:val="22"/>
        </w:rPr>
        <w:t xml:space="preserve"> financial </w:t>
      </w:r>
      <w:r w:rsidR="00B55C0D" w:rsidRPr="00140F93">
        <w:rPr>
          <w:rFonts w:ascii="Calibri" w:hAnsi="Calibri"/>
          <w:sz w:val="22"/>
          <w:szCs w:val="22"/>
        </w:rPr>
        <w:t>year</w:t>
      </w:r>
      <w:r w:rsidRPr="00140F93">
        <w:rPr>
          <w:rFonts w:ascii="Calibri" w:hAnsi="Calibri"/>
          <w:sz w:val="22"/>
          <w:szCs w:val="22"/>
        </w:rPr>
        <w:t xml:space="preserve"> in prices, fees, charges, rates and </w:t>
      </w:r>
      <w:r w:rsidR="00E1353D">
        <w:rPr>
          <w:rFonts w:ascii="Calibri" w:hAnsi="Calibri"/>
          <w:sz w:val="22"/>
          <w:szCs w:val="22"/>
        </w:rPr>
        <w:t xml:space="preserve">levies charged by </w:t>
      </w:r>
      <w:r w:rsidR="00B42CFB">
        <w:rPr>
          <w:rFonts w:ascii="Calibri" w:hAnsi="Calibri"/>
          <w:sz w:val="22"/>
          <w:szCs w:val="22"/>
        </w:rPr>
        <w:t>the ACFE Board</w:t>
      </w:r>
      <w:r w:rsidRPr="00140F93">
        <w:rPr>
          <w:rFonts w:ascii="Calibri" w:hAnsi="Calibri"/>
          <w:sz w:val="22"/>
          <w:szCs w:val="22"/>
        </w:rPr>
        <w:t>.</w:t>
      </w:r>
    </w:p>
    <w:p w14:paraId="7ED10317" w14:textId="77777777" w:rsidR="00EF4ABA" w:rsidRPr="00140F93" w:rsidRDefault="00EF4ABA"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12" w:name="_Toc263774879"/>
      <w:bookmarkStart w:id="13" w:name="_Toc263777569"/>
      <w:bookmarkStart w:id="14" w:name="_Toc263781496"/>
      <w:bookmarkStart w:id="15" w:name="_Toc263863296"/>
      <w:bookmarkStart w:id="16" w:name="_Hlk53489233"/>
      <w:r w:rsidRPr="00140F93">
        <w:rPr>
          <w:rFonts w:ascii="Calibri" w:hAnsi="Calibri"/>
          <w:b/>
          <w:sz w:val="22"/>
          <w:szCs w:val="22"/>
        </w:rPr>
        <w:t>Major external reviews carried out on</w:t>
      </w:r>
      <w:r w:rsidR="00B42CFB">
        <w:rPr>
          <w:rFonts w:ascii="Calibri" w:hAnsi="Calibri"/>
          <w:b/>
          <w:sz w:val="22"/>
          <w:szCs w:val="22"/>
        </w:rPr>
        <w:t xml:space="preserve"> the</w:t>
      </w:r>
      <w:r w:rsidRPr="00140F93">
        <w:rPr>
          <w:rFonts w:ascii="Calibri" w:hAnsi="Calibri"/>
          <w:b/>
          <w:sz w:val="22"/>
          <w:szCs w:val="22"/>
        </w:rPr>
        <w:t xml:space="preserve"> </w:t>
      </w:r>
      <w:bookmarkEnd w:id="12"/>
      <w:bookmarkEnd w:id="13"/>
      <w:bookmarkEnd w:id="14"/>
      <w:bookmarkEnd w:id="15"/>
      <w:r w:rsidR="00E1353D">
        <w:rPr>
          <w:rFonts w:ascii="Calibri" w:hAnsi="Calibri"/>
          <w:b/>
          <w:sz w:val="22"/>
          <w:szCs w:val="22"/>
        </w:rPr>
        <w:t>ACFE</w:t>
      </w:r>
      <w:r w:rsidR="00B42CFB">
        <w:rPr>
          <w:rFonts w:ascii="Calibri" w:hAnsi="Calibri"/>
          <w:b/>
          <w:sz w:val="22"/>
          <w:szCs w:val="22"/>
        </w:rPr>
        <w:t xml:space="preserve"> </w:t>
      </w:r>
      <w:r w:rsidR="00E1353D">
        <w:rPr>
          <w:rFonts w:ascii="Calibri" w:hAnsi="Calibri"/>
          <w:b/>
          <w:sz w:val="22"/>
          <w:szCs w:val="22"/>
        </w:rPr>
        <w:t>B</w:t>
      </w:r>
      <w:r w:rsidR="00B42CFB">
        <w:rPr>
          <w:rFonts w:ascii="Calibri" w:hAnsi="Calibri"/>
          <w:b/>
          <w:sz w:val="22"/>
          <w:szCs w:val="22"/>
        </w:rPr>
        <w:t>oard</w:t>
      </w:r>
    </w:p>
    <w:p w14:paraId="337081EB" w14:textId="77777777" w:rsidR="00303402" w:rsidRPr="00406F31" w:rsidRDefault="00B7189C" w:rsidP="00406F31">
      <w:pPr>
        <w:autoSpaceDE w:val="0"/>
        <w:autoSpaceDN w:val="0"/>
        <w:adjustRightInd w:val="0"/>
        <w:spacing w:before="40"/>
        <w:ind w:left="284"/>
        <w:outlineLvl w:val="1"/>
        <w:rPr>
          <w:rFonts w:ascii="Calibri" w:hAnsi="Calibri"/>
          <w:sz w:val="22"/>
          <w:szCs w:val="22"/>
        </w:rPr>
      </w:pPr>
      <w:r>
        <w:rPr>
          <w:rFonts w:ascii="Calibri" w:hAnsi="Calibri"/>
          <w:sz w:val="22"/>
          <w:szCs w:val="22"/>
        </w:rPr>
        <w:t>There w</w:t>
      </w:r>
      <w:r w:rsidR="002831E1">
        <w:rPr>
          <w:rFonts w:ascii="Calibri" w:hAnsi="Calibri"/>
          <w:sz w:val="22"/>
          <w:szCs w:val="22"/>
        </w:rPr>
        <w:t>ere</w:t>
      </w:r>
      <w:r>
        <w:rPr>
          <w:rFonts w:ascii="Calibri" w:hAnsi="Calibri"/>
          <w:sz w:val="22"/>
          <w:szCs w:val="22"/>
        </w:rPr>
        <w:t xml:space="preserve"> </w:t>
      </w:r>
      <w:r w:rsidR="000806CD">
        <w:rPr>
          <w:rFonts w:ascii="Calibri" w:hAnsi="Calibri"/>
          <w:sz w:val="22"/>
          <w:szCs w:val="22"/>
        </w:rPr>
        <w:t>two</w:t>
      </w:r>
      <w:r w:rsidR="00303402">
        <w:rPr>
          <w:rFonts w:ascii="Calibri" w:hAnsi="Calibri"/>
          <w:sz w:val="22"/>
          <w:szCs w:val="22"/>
        </w:rPr>
        <w:t xml:space="preserve"> </w:t>
      </w:r>
      <w:r>
        <w:rPr>
          <w:rFonts w:ascii="Calibri" w:hAnsi="Calibri"/>
          <w:sz w:val="22"/>
          <w:szCs w:val="22"/>
        </w:rPr>
        <w:t>major external review</w:t>
      </w:r>
      <w:r w:rsidR="002831E1">
        <w:rPr>
          <w:rFonts w:ascii="Calibri" w:hAnsi="Calibri"/>
          <w:sz w:val="22"/>
          <w:szCs w:val="22"/>
        </w:rPr>
        <w:t>s</w:t>
      </w:r>
      <w:r w:rsidR="00F62AAE">
        <w:rPr>
          <w:rFonts w:ascii="Calibri" w:hAnsi="Calibri"/>
          <w:sz w:val="22"/>
          <w:szCs w:val="22"/>
        </w:rPr>
        <w:t xml:space="preserve"> carried out on</w:t>
      </w:r>
      <w:r w:rsidR="00E1353D">
        <w:rPr>
          <w:rFonts w:ascii="Calibri" w:hAnsi="Calibri"/>
          <w:sz w:val="22"/>
          <w:szCs w:val="22"/>
        </w:rPr>
        <w:t xml:space="preserve"> </w:t>
      </w:r>
      <w:r w:rsidR="00B42CFB">
        <w:rPr>
          <w:rFonts w:ascii="Calibri" w:hAnsi="Calibri"/>
          <w:sz w:val="22"/>
          <w:szCs w:val="22"/>
        </w:rPr>
        <w:t xml:space="preserve">the </w:t>
      </w:r>
      <w:r w:rsidR="00E1353D">
        <w:rPr>
          <w:rFonts w:ascii="Calibri" w:hAnsi="Calibri"/>
          <w:sz w:val="22"/>
          <w:szCs w:val="22"/>
        </w:rPr>
        <w:t>ACFE</w:t>
      </w:r>
      <w:r w:rsidR="00B42CFB">
        <w:rPr>
          <w:rFonts w:ascii="Calibri" w:hAnsi="Calibri"/>
          <w:sz w:val="22"/>
          <w:szCs w:val="22"/>
        </w:rPr>
        <w:t xml:space="preserve"> </w:t>
      </w:r>
      <w:r w:rsidR="00E1353D">
        <w:rPr>
          <w:rFonts w:ascii="Calibri" w:hAnsi="Calibri"/>
          <w:sz w:val="22"/>
          <w:szCs w:val="22"/>
        </w:rPr>
        <w:t>B</w:t>
      </w:r>
      <w:r w:rsidR="00B42CFB">
        <w:rPr>
          <w:rFonts w:ascii="Calibri" w:hAnsi="Calibri"/>
          <w:sz w:val="22"/>
          <w:szCs w:val="22"/>
        </w:rPr>
        <w:t>oard</w:t>
      </w:r>
      <w:r w:rsidR="003A0754" w:rsidRPr="00140F93">
        <w:rPr>
          <w:rFonts w:ascii="Calibri" w:hAnsi="Calibri"/>
          <w:sz w:val="22"/>
          <w:szCs w:val="22"/>
        </w:rPr>
        <w:t xml:space="preserve"> during the 20</w:t>
      </w:r>
      <w:r w:rsidR="00FB10E3">
        <w:rPr>
          <w:rFonts w:ascii="Calibri" w:hAnsi="Calibri"/>
          <w:sz w:val="22"/>
          <w:szCs w:val="22"/>
        </w:rPr>
        <w:t>20</w:t>
      </w:r>
      <w:r w:rsidR="00854A7B">
        <w:rPr>
          <w:rFonts w:ascii="Calibri" w:hAnsi="Calibri"/>
          <w:sz w:val="22"/>
          <w:szCs w:val="22"/>
        </w:rPr>
        <w:t>–</w:t>
      </w:r>
      <w:r w:rsidR="009537FB">
        <w:rPr>
          <w:rFonts w:ascii="Calibri" w:hAnsi="Calibri"/>
          <w:sz w:val="22"/>
          <w:szCs w:val="22"/>
        </w:rPr>
        <w:t>2</w:t>
      </w:r>
      <w:r w:rsidR="00FB10E3">
        <w:rPr>
          <w:rFonts w:ascii="Calibri" w:hAnsi="Calibri"/>
          <w:sz w:val="22"/>
          <w:szCs w:val="22"/>
        </w:rPr>
        <w:t>1</w:t>
      </w:r>
      <w:r w:rsidR="003A0754" w:rsidRPr="00140F93">
        <w:rPr>
          <w:rFonts w:ascii="Calibri" w:hAnsi="Calibri"/>
          <w:sz w:val="22"/>
          <w:szCs w:val="22"/>
        </w:rPr>
        <w:t xml:space="preserve"> financial year.</w:t>
      </w:r>
      <w:bookmarkStart w:id="17" w:name="_Hlk81321114"/>
    </w:p>
    <w:tbl>
      <w:tblPr>
        <w:tblpPr w:leftFromText="180" w:rightFromText="180" w:vertAnchor="text" w:horzAnchor="page" w:tblpX="1410" w:tblpY="130"/>
        <w:tblW w:w="5000" w:type="pct"/>
        <w:tblBorders>
          <w:top w:val="single" w:sz="4" w:space="0" w:color="auto"/>
          <w:bottom w:val="single" w:sz="4" w:space="0" w:color="auto"/>
        </w:tblBorders>
        <w:tblLook w:val="04A0" w:firstRow="1" w:lastRow="0" w:firstColumn="1" w:lastColumn="0" w:noHBand="0" w:noVBand="1"/>
      </w:tblPr>
      <w:tblGrid>
        <w:gridCol w:w="2529"/>
        <w:gridCol w:w="2664"/>
        <w:gridCol w:w="2579"/>
        <w:gridCol w:w="1866"/>
      </w:tblGrid>
      <w:tr w:rsidR="00B7189C" w:rsidRPr="000F7D13" w14:paraId="1DA48175" w14:textId="77777777" w:rsidTr="00A22F1B">
        <w:tc>
          <w:tcPr>
            <w:tcW w:w="1312" w:type="pct"/>
            <w:tcBorders>
              <w:bottom w:val="single" w:sz="4" w:space="0" w:color="auto"/>
            </w:tcBorders>
            <w:shd w:val="clear" w:color="auto" w:fill="A6A6A6"/>
          </w:tcPr>
          <w:p w14:paraId="7E34D1E2" w14:textId="77777777" w:rsidR="00B7189C" w:rsidRPr="00B7189C" w:rsidRDefault="00B7189C" w:rsidP="00A22F1B">
            <w:pPr>
              <w:pStyle w:val="TableHeader"/>
              <w:ind w:left="-105" w:hanging="37"/>
            </w:pPr>
            <w:bookmarkStart w:id="18" w:name="_Hlk81321221"/>
            <w:bookmarkStart w:id="19" w:name="_Toc263774880"/>
            <w:bookmarkStart w:id="20" w:name="_Toc263777570"/>
            <w:bookmarkStart w:id="21" w:name="_Toc263781497"/>
            <w:bookmarkStart w:id="22" w:name="_Toc263863297"/>
            <w:bookmarkEnd w:id="17"/>
            <w:r w:rsidRPr="00B7189C">
              <w:t>Major review</w:t>
            </w:r>
          </w:p>
        </w:tc>
        <w:tc>
          <w:tcPr>
            <w:tcW w:w="1382" w:type="pct"/>
            <w:tcBorders>
              <w:bottom w:val="single" w:sz="4" w:space="0" w:color="auto"/>
            </w:tcBorders>
            <w:shd w:val="clear" w:color="auto" w:fill="A6A6A6"/>
          </w:tcPr>
          <w:p w14:paraId="4B64D02D" w14:textId="77777777" w:rsidR="00B7189C" w:rsidRPr="00B7189C" w:rsidRDefault="00B7189C" w:rsidP="00A22F1B">
            <w:pPr>
              <w:pStyle w:val="TableHeader"/>
            </w:pPr>
            <w:r w:rsidRPr="00B7189C">
              <w:t xml:space="preserve">Conducted by </w:t>
            </w:r>
          </w:p>
        </w:tc>
        <w:tc>
          <w:tcPr>
            <w:tcW w:w="1338" w:type="pct"/>
            <w:tcBorders>
              <w:bottom w:val="single" w:sz="4" w:space="0" w:color="auto"/>
            </w:tcBorders>
            <w:shd w:val="clear" w:color="auto" w:fill="A6A6A6"/>
          </w:tcPr>
          <w:p w14:paraId="75931899" w14:textId="77777777" w:rsidR="00B7189C" w:rsidRPr="00B7189C" w:rsidRDefault="00B7189C" w:rsidP="00A22F1B">
            <w:pPr>
              <w:pStyle w:val="TableHeader"/>
            </w:pPr>
            <w:r w:rsidRPr="00B7189C">
              <w:t>Purpose</w:t>
            </w:r>
          </w:p>
        </w:tc>
        <w:tc>
          <w:tcPr>
            <w:tcW w:w="968" w:type="pct"/>
            <w:tcBorders>
              <w:bottom w:val="single" w:sz="4" w:space="0" w:color="auto"/>
            </w:tcBorders>
            <w:shd w:val="clear" w:color="auto" w:fill="A6A6A6"/>
          </w:tcPr>
          <w:p w14:paraId="2723A603" w14:textId="77777777" w:rsidR="00B7189C" w:rsidRPr="00B7189C" w:rsidRDefault="00B7189C" w:rsidP="00A22F1B">
            <w:pPr>
              <w:pStyle w:val="TableHeader"/>
            </w:pPr>
            <w:r w:rsidRPr="00B7189C">
              <w:t>Completed</w:t>
            </w:r>
          </w:p>
        </w:tc>
      </w:tr>
      <w:tr w:rsidR="00B7189C" w:rsidRPr="000F7D13" w14:paraId="7CE134D7" w14:textId="77777777" w:rsidTr="00A22F1B">
        <w:tc>
          <w:tcPr>
            <w:tcW w:w="1312" w:type="pct"/>
            <w:tcBorders>
              <w:top w:val="single" w:sz="4" w:space="0" w:color="auto"/>
              <w:bottom w:val="single" w:sz="4" w:space="0" w:color="auto"/>
            </w:tcBorders>
            <w:shd w:val="clear" w:color="auto" w:fill="auto"/>
          </w:tcPr>
          <w:p w14:paraId="4B071A1A" w14:textId="77777777" w:rsidR="00854A7B" w:rsidRPr="00632E14" w:rsidRDefault="00DB4BD7" w:rsidP="00A22F1B">
            <w:pPr>
              <w:pStyle w:val="TableText"/>
              <w:rPr>
                <w:i/>
                <w:szCs w:val="20"/>
              </w:rPr>
            </w:pPr>
            <w:r w:rsidRPr="00632E14">
              <w:rPr>
                <w:i/>
                <w:szCs w:val="20"/>
              </w:rPr>
              <w:t>Audit of the Adult</w:t>
            </w:r>
            <w:r w:rsidR="00FC7B74" w:rsidRPr="00632E14">
              <w:rPr>
                <w:i/>
                <w:szCs w:val="20"/>
              </w:rPr>
              <w:t>,</w:t>
            </w:r>
            <w:r w:rsidRPr="00632E14">
              <w:rPr>
                <w:i/>
                <w:szCs w:val="20"/>
              </w:rPr>
              <w:t xml:space="preserve"> Community and</w:t>
            </w:r>
            <w:r w:rsidR="006952FB" w:rsidRPr="00632E14">
              <w:rPr>
                <w:i/>
                <w:szCs w:val="20"/>
              </w:rPr>
              <w:t xml:space="preserve"> Further Education Board’s</w:t>
            </w:r>
          </w:p>
          <w:p w14:paraId="6A8144EA" w14:textId="77777777" w:rsidR="00B7189C" w:rsidRPr="00632E14" w:rsidRDefault="006952FB" w:rsidP="00A22F1B">
            <w:pPr>
              <w:pStyle w:val="TableText"/>
              <w:rPr>
                <w:i/>
                <w:szCs w:val="20"/>
              </w:rPr>
            </w:pPr>
            <w:r w:rsidRPr="00632E14">
              <w:rPr>
                <w:i/>
                <w:szCs w:val="20"/>
              </w:rPr>
              <w:t>20</w:t>
            </w:r>
            <w:r w:rsidR="002831E1">
              <w:rPr>
                <w:i/>
                <w:szCs w:val="20"/>
              </w:rPr>
              <w:t>19</w:t>
            </w:r>
            <w:r w:rsidR="00854A7B" w:rsidRPr="00632E14">
              <w:rPr>
                <w:i/>
                <w:szCs w:val="20"/>
              </w:rPr>
              <w:t>–</w:t>
            </w:r>
            <w:r w:rsidR="00FB10E3" w:rsidRPr="00632E14">
              <w:rPr>
                <w:i/>
                <w:szCs w:val="20"/>
              </w:rPr>
              <w:t>2</w:t>
            </w:r>
            <w:r w:rsidR="002831E1">
              <w:rPr>
                <w:i/>
                <w:szCs w:val="20"/>
              </w:rPr>
              <w:t>0</w:t>
            </w:r>
            <w:r w:rsidR="00DB4BD7" w:rsidRPr="00632E14">
              <w:rPr>
                <w:i/>
                <w:szCs w:val="20"/>
              </w:rPr>
              <w:t xml:space="preserve"> Annual Financial Statements</w:t>
            </w:r>
          </w:p>
        </w:tc>
        <w:tc>
          <w:tcPr>
            <w:tcW w:w="1382" w:type="pct"/>
            <w:tcBorders>
              <w:top w:val="single" w:sz="4" w:space="0" w:color="auto"/>
              <w:bottom w:val="single" w:sz="4" w:space="0" w:color="auto"/>
            </w:tcBorders>
            <w:shd w:val="clear" w:color="auto" w:fill="auto"/>
          </w:tcPr>
          <w:p w14:paraId="7C3DAD4E" w14:textId="77777777" w:rsidR="00B7189C" w:rsidRPr="00632E14" w:rsidRDefault="00B7189C" w:rsidP="00A22F1B">
            <w:pPr>
              <w:pStyle w:val="TableText"/>
              <w:rPr>
                <w:i/>
                <w:szCs w:val="20"/>
              </w:rPr>
            </w:pPr>
            <w:r w:rsidRPr="00632E14">
              <w:rPr>
                <w:i/>
                <w:szCs w:val="20"/>
              </w:rPr>
              <w:t>Victorian Auditor-General’s Office</w:t>
            </w:r>
          </w:p>
        </w:tc>
        <w:tc>
          <w:tcPr>
            <w:tcW w:w="1338" w:type="pct"/>
            <w:tcBorders>
              <w:top w:val="single" w:sz="4" w:space="0" w:color="auto"/>
              <w:bottom w:val="single" w:sz="4" w:space="0" w:color="auto"/>
            </w:tcBorders>
            <w:shd w:val="clear" w:color="auto" w:fill="auto"/>
          </w:tcPr>
          <w:p w14:paraId="652E838B" w14:textId="77777777" w:rsidR="00B7189C" w:rsidRPr="00632E14" w:rsidRDefault="00DB4BD7" w:rsidP="00A22F1B">
            <w:pPr>
              <w:pStyle w:val="TableText"/>
              <w:rPr>
                <w:i/>
                <w:szCs w:val="20"/>
              </w:rPr>
            </w:pPr>
            <w:r w:rsidRPr="00632E14">
              <w:rPr>
                <w:i/>
                <w:szCs w:val="20"/>
              </w:rPr>
              <w:t xml:space="preserve">To fulfil legislative requirements for publishing the ACFEB </w:t>
            </w:r>
            <w:r w:rsidR="009537FB" w:rsidRPr="00632E14">
              <w:rPr>
                <w:i/>
                <w:szCs w:val="20"/>
              </w:rPr>
              <w:t>a</w:t>
            </w:r>
            <w:r w:rsidRPr="00632E14">
              <w:rPr>
                <w:i/>
                <w:szCs w:val="20"/>
              </w:rPr>
              <w:t xml:space="preserve">nnual </w:t>
            </w:r>
            <w:r w:rsidR="009537FB" w:rsidRPr="00632E14">
              <w:rPr>
                <w:i/>
                <w:szCs w:val="20"/>
              </w:rPr>
              <w:t>f</w:t>
            </w:r>
            <w:r w:rsidRPr="00632E14">
              <w:rPr>
                <w:i/>
                <w:szCs w:val="20"/>
              </w:rPr>
              <w:t xml:space="preserve">inancial </w:t>
            </w:r>
            <w:r w:rsidR="009537FB" w:rsidRPr="00632E14">
              <w:rPr>
                <w:i/>
                <w:szCs w:val="20"/>
              </w:rPr>
              <w:t>r</w:t>
            </w:r>
            <w:r w:rsidRPr="00632E14">
              <w:rPr>
                <w:i/>
                <w:szCs w:val="20"/>
              </w:rPr>
              <w:t>eport</w:t>
            </w:r>
          </w:p>
        </w:tc>
        <w:tc>
          <w:tcPr>
            <w:tcW w:w="968" w:type="pct"/>
            <w:tcBorders>
              <w:top w:val="single" w:sz="4" w:space="0" w:color="auto"/>
              <w:bottom w:val="single" w:sz="4" w:space="0" w:color="auto"/>
            </w:tcBorders>
            <w:shd w:val="clear" w:color="auto" w:fill="auto"/>
          </w:tcPr>
          <w:p w14:paraId="44794F3A" w14:textId="77777777" w:rsidR="00B7189C" w:rsidRPr="00632E14" w:rsidRDefault="002831E1" w:rsidP="00A22F1B">
            <w:pPr>
              <w:pStyle w:val="TableText"/>
              <w:rPr>
                <w:i/>
                <w:szCs w:val="20"/>
              </w:rPr>
            </w:pPr>
            <w:r>
              <w:rPr>
                <w:i/>
                <w:szCs w:val="20"/>
              </w:rPr>
              <w:t>October</w:t>
            </w:r>
            <w:r w:rsidR="00DB4BD7" w:rsidRPr="00632E14">
              <w:rPr>
                <w:i/>
                <w:szCs w:val="20"/>
              </w:rPr>
              <w:t xml:space="preserve"> 20</w:t>
            </w:r>
            <w:r w:rsidR="00FA6EE0" w:rsidRPr="00632E14">
              <w:rPr>
                <w:i/>
                <w:szCs w:val="20"/>
              </w:rPr>
              <w:t>2</w:t>
            </w:r>
            <w:r>
              <w:rPr>
                <w:i/>
                <w:szCs w:val="20"/>
              </w:rPr>
              <w:t>0</w:t>
            </w:r>
          </w:p>
        </w:tc>
      </w:tr>
      <w:tr w:rsidR="00632E14" w:rsidRPr="000F7D13" w14:paraId="381F4E73" w14:textId="77777777" w:rsidTr="00A22F1B">
        <w:tc>
          <w:tcPr>
            <w:tcW w:w="1312" w:type="pct"/>
            <w:tcBorders>
              <w:top w:val="single" w:sz="4" w:space="0" w:color="auto"/>
              <w:bottom w:val="single" w:sz="4" w:space="0" w:color="auto"/>
            </w:tcBorders>
            <w:shd w:val="clear" w:color="auto" w:fill="auto"/>
          </w:tcPr>
          <w:p w14:paraId="66B514F6" w14:textId="77777777" w:rsidR="00632E14" w:rsidRPr="002831E1" w:rsidRDefault="00632E14" w:rsidP="00A22F1B">
            <w:pPr>
              <w:pStyle w:val="TableText"/>
              <w:rPr>
                <w:i/>
                <w:szCs w:val="20"/>
              </w:rPr>
            </w:pPr>
            <w:r w:rsidRPr="002831E1">
              <w:rPr>
                <w:i/>
                <w:szCs w:val="20"/>
              </w:rPr>
              <w:t>ACFE Governance Review</w:t>
            </w:r>
          </w:p>
        </w:tc>
        <w:tc>
          <w:tcPr>
            <w:tcW w:w="1382" w:type="pct"/>
            <w:tcBorders>
              <w:top w:val="single" w:sz="4" w:space="0" w:color="auto"/>
              <w:bottom w:val="single" w:sz="4" w:space="0" w:color="auto"/>
            </w:tcBorders>
            <w:shd w:val="clear" w:color="auto" w:fill="auto"/>
          </w:tcPr>
          <w:p w14:paraId="4BF2211F" w14:textId="77777777" w:rsidR="00632E14" w:rsidRPr="002831E1" w:rsidRDefault="00632E14" w:rsidP="00A22F1B">
            <w:pPr>
              <w:pStyle w:val="TableText"/>
              <w:rPr>
                <w:i/>
                <w:szCs w:val="20"/>
              </w:rPr>
            </w:pPr>
            <w:r w:rsidRPr="002831E1">
              <w:rPr>
                <w:i/>
                <w:szCs w:val="20"/>
              </w:rPr>
              <w:t>Nous Group</w:t>
            </w:r>
          </w:p>
        </w:tc>
        <w:tc>
          <w:tcPr>
            <w:tcW w:w="1338" w:type="pct"/>
            <w:tcBorders>
              <w:top w:val="single" w:sz="4" w:space="0" w:color="auto"/>
              <w:bottom w:val="single" w:sz="4" w:space="0" w:color="auto"/>
            </w:tcBorders>
            <w:shd w:val="clear" w:color="auto" w:fill="auto"/>
          </w:tcPr>
          <w:p w14:paraId="22ED707D" w14:textId="77777777" w:rsidR="002831E1" w:rsidRDefault="002831E1" w:rsidP="00A22F1B">
            <w:pPr>
              <w:pStyle w:val="TableText"/>
              <w:rPr>
                <w:i/>
                <w:szCs w:val="20"/>
              </w:rPr>
            </w:pPr>
            <w:r>
              <w:rPr>
                <w:i/>
                <w:szCs w:val="20"/>
              </w:rPr>
              <w:t>Three areas of review:</w:t>
            </w:r>
          </w:p>
          <w:p w14:paraId="0A01372B" w14:textId="77777777" w:rsidR="002831E1" w:rsidRPr="002831E1" w:rsidRDefault="002831E1" w:rsidP="00A22F1B">
            <w:pPr>
              <w:pStyle w:val="TableText"/>
              <w:rPr>
                <w:i/>
                <w:szCs w:val="20"/>
              </w:rPr>
            </w:pPr>
            <w:r>
              <w:rPr>
                <w:i/>
                <w:szCs w:val="20"/>
              </w:rPr>
              <w:t xml:space="preserve">1. </w:t>
            </w:r>
            <w:r w:rsidRPr="002831E1">
              <w:rPr>
                <w:i/>
                <w:szCs w:val="20"/>
              </w:rPr>
              <w:t>The extent to which the current role, scope and structure of ACFE need to be strengthened to align with implementing the ACE Ministerial Statement.</w:t>
            </w:r>
          </w:p>
          <w:p w14:paraId="6BAE123C" w14:textId="77777777" w:rsidR="002831E1" w:rsidRPr="002831E1" w:rsidRDefault="002831E1" w:rsidP="00A22F1B">
            <w:pPr>
              <w:pStyle w:val="TableText"/>
              <w:rPr>
                <w:i/>
                <w:szCs w:val="20"/>
              </w:rPr>
            </w:pPr>
            <w:r w:rsidRPr="002831E1">
              <w:rPr>
                <w:i/>
                <w:szCs w:val="20"/>
              </w:rPr>
              <w:t>2.The extent to which the current legislation and administrative support arrangements align with the expectations of government for strengthened governance of the ACFE sector.</w:t>
            </w:r>
          </w:p>
          <w:p w14:paraId="0FFE68AF" w14:textId="77777777" w:rsidR="00632E14" w:rsidRPr="002831E1" w:rsidRDefault="002831E1" w:rsidP="00A22F1B">
            <w:pPr>
              <w:pStyle w:val="TableText"/>
              <w:rPr>
                <w:i/>
                <w:szCs w:val="20"/>
              </w:rPr>
            </w:pPr>
            <w:r w:rsidRPr="002831E1">
              <w:rPr>
                <w:i/>
                <w:szCs w:val="20"/>
              </w:rPr>
              <w:lastRenderedPageBreak/>
              <w:t xml:space="preserve">3.Opportunities to improve ACFE governance to ensure the arrangements best support the delivery of the Government’s policy objectives for ACFE and the Ministerial Statement. </w:t>
            </w:r>
          </w:p>
        </w:tc>
        <w:tc>
          <w:tcPr>
            <w:tcW w:w="968" w:type="pct"/>
            <w:tcBorders>
              <w:top w:val="single" w:sz="4" w:space="0" w:color="auto"/>
              <w:bottom w:val="single" w:sz="4" w:space="0" w:color="auto"/>
            </w:tcBorders>
            <w:shd w:val="clear" w:color="auto" w:fill="auto"/>
          </w:tcPr>
          <w:p w14:paraId="2E02AFCE" w14:textId="77777777" w:rsidR="00632E14" w:rsidRPr="00FB10E3" w:rsidRDefault="002831E1" w:rsidP="00A22F1B">
            <w:pPr>
              <w:pStyle w:val="TableText"/>
              <w:rPr>
                <w:i/>
                <w:szCs w:val="20"/>
                <w:highlight w:val="yellow"/>
              </w:rPr>
            </w:pPr>
            <w:r w:rsidRPr="002831E1">
              <w:rPr>
                <w:i/>
                <w:szCs w:val="20"/>
              </w:rPr>
              <w:lastRenderedPageBreak/>
              <w:t>October</w:t>
            </w:r>
            <w:r w:rsidR="00632E14" w:rsidRPr="002831E1">
              <w:rPr>
                <w:i/>
                <w:szCs w:val="20"/>
              </w:rPr>
              <w:t xml:space="preserve"> 2020</w:t>
            </w:r>
          </w:p>
        </w:tc>
      </w:tr>
    </w:tbl>
    <w:p w14:paraId="241158BD" w14:textId="77777777" w:rsidR="00EF4ABA" w:rsidRPr="00A27E38" w:rsidRDefault="00EF4ABA" w:rsidP="002D01B8">
      <w:pPr>
        <w:keepNext/>
        <w:numPr>
          <w:ilvl w:val="0"/>
          <w:numId w:val="11"/>
        </w:numPr>
        <w:autoSpaceDE w:val="0"/>
        <w:autoSpaceDN w:val="0"/>
        <w:adjustRightInd w:val="0"/>
        <w:spacing w:before="240" w:after="40"/>
        <w:ind w:left="284" w:hanging="284"/>
        <w:jc w:val="both"/>
        <w:outlineLvl w:val="1"/>
        <w:rPr>
          <w:rFonts w:ascii="Calibri" w:hAnsi="Calibri"/>
          <w:b/>
          <w:sz w:val="22"/>
          <w:szCs w:val="22"/>
        </w:rPr>
      </w:pPr>
      <w:bookmarkStart w:id="23" w:name="_Hlk53484185"/>
      <w:bookmarkEnd w:id="16"/>
      <w:bookmarkEnd w:id="18"/>
      <w:r w:rsidRPr="00A27E38">
        <w:rPr>
          <w:rFonts w:ascii="Calibri" w:hAnsi="Calibri"/>
          <w:b/>
          <w:sz w:val="22"/>
          <w:szCs w:val="22"/>
        </w:rPr>
        <w:t xml:space="preserve">Major research and development activities undertaken by </w:t>
      </w:r>
      <w:bookmarkEnd w:id="19"/>
      <w:bookmarkEnd w:id="20"/>
      <w:bookmarkEnd w:id="21"/>
      <w:bookmarkEnd w:id="22"/>
      <w:r w:rsidR="00B42CFB">
        <w:rPr>
          <w:rFonts w:ascii="Calibri" w:hAnsi="Calibri"/>
          <w:b/>
          <w:sz w:val="22"/>
          <w:szCs w:val="22"/>
        </w:rPr>
        <w:t xml:space="preserve">the </w:t>
      </w:r>
      <w:r w:rsidR="00E1353D">
        <w:rPr>
          <w:rFonts w:ascii="Calibri" w:hAnsi="Calibri"/>
          <w:b/>
          <w:sz w:val="22"/>
          <w:szCs w:val="22"/>
        </w:rPr>
        <w:t>ACFE</w:t>
      </w:r>
      <w:r w:rsidR="00B42CFB">
        <w:rPr>
          <w:rFonts w:ascii="Calibri" w:hAnsi="Calibri"/>
          <w:b/>
          <w:sz w:val="22"/>
          <w:szCs w:val="22"/>
        </w:rPr>
        <w:t xml:space="preserve"> Board</w:t>
      </w:r>
    </w:p>
    <w:p w14:paraId="4885FEA9" w14:textId="77777777" w:rsidR="00EF4ABA" w:rsidRDefault="00140F93" w:rsidP="002D01B8">
      <w:pPr>
        <w:autoSpaceDE w:val="0"/>
        <w:autoSpaceDN w:val="0"/>
        <w:adjustRightInd w:val="0"/>
        <w:spacing w:before="40" w:after="40"/>
        <w:ind w:left="284"/>
        <w:rPr>
          <w:rFonts w:ascii="Calibri" w:hAnsi="Calibri"/>
          <w:sz w:val="22"/>
          <w:szCs w:val="22"/>
        </w:rPr>
      </w:pPr>
      <w:r w:rsidRPr="00B42CFB">
        <w:rPr>
          <w:rFonts w:ascii="Calibri" w:hAnsi="Calibri"/>
          <w:sz w:val="22"/>
          <w:szCs w:val="22"/>
        </w:rPr>
        <w:t xml:space="preserve">There </w:t>
      </w:r>
      <w:r w:rsidR="00C356E1" w:rsidRPr="00B42CFB">
        <w:rPr>
          <w:rFonts w:ascii="Calibri" w:hAnsi="Calibri"/>
          <w:sz w:val="22"/>
          <w:szCs w:val="22"/>
        </w:rPr>
        <w:t>were</w:t>
      </w:r>
      <w:r w:rsidR="006700F3">
        <w:rPr>
          <w:rFonts w:ascii="Calibri" w:hAnsi="Calibri"/>
          <w:sz w:val="22"/>
          <w:szCs w:val="22"/>
        </w:rPr>
        <w:t xml:space="preserve"> two</w:t>
      </w:r>
      <w:r w:rsidR="001625F6" w:rsidRPr="00B42CFB">
        <w:rPr>
          <w:rFonts w:ascii="Calibri" w:hAnsi="Calibri"/>
          <w:sz w:val="22"/>
          <w:szCs w:val="22"/>
        </w:rPr>
        <w:t xml:space="preserve"> major re</w:t>
      </w:r>
      <w:r w:rsidRPr="00B42CFB">
        <w:rPr>
          <w:rFonts w:ascii="Calibri" w:hAnsi="Calibri"/>
          <w:sz w:val="22"/>
          <w:szCs w:val="22"/>
        </w:rPr>
        <w:t>search and development activity</w:t>
      </w:r>
      <w:r w:rsidR="00B7189C" w:rsidRPr="00B42CFB">
        <w:rPr>
          <w:rFonts w:ascii="Calibri" w:hAnsi="Calibri"/>
          <w:sz w:val="22"/>
          <w:szCs w:val="22"/>
        </w:rPr>
        <w:t xml:space="preserve"> carried out</w:t>
      </w:r>
      <w:r w:rsidR="00B7189C" w:rsidRPr="00F77C87">
        <w:rPr>
          <w:rFonts w:ascii="Calibri" w:hAnsi="Calibri"/>
          <w:sz w:val="22"/>
          <w:szCs w:val="22"/>
        </w:rPr>
        <w:t xml:space="preserve"> by</w:t>
      </w:r>
      <w:r w:rsidR="00B42CFB">
        <w:rPr>
          <w:rFonts w:ascii="Calibri" w:hAnsi="Calibri"/>
          <w:sz w:val="22"/>
          <w:szCs w:val="22"/>
        </w:rPr>
        <w:t xml:space="preserve"> the</w:t>
      </w:r>
      <w:r w:rsidR="00B7189C" w:rsidRPr="00F77C87">
        <w:rPr>
          <w:rFonts w:ascii="Calibri" w:hAnsi="Calibri"/>
          <w:sz w:val="22"/>
          <w:szCs w:val="22"/>
        </w:rPr>
        <w:t xml:space="preserve"> ACFE</w:t>
      </w:r>
      <w:r w:rsidR="00B42CFB">
        <w:rPr>
          <w:rFonts w:ascii="Calibri" w:hAnsi="Calibri"/>
          <w:sz w:val="22"/>
          <w:szCs w:val="22"/>
        </w:rPr>
        <w:t xml:space="preserve"> </w:t>
      </w:r>
      <w:r w:rsidR="001625F6" w:rsidRPr="00F77C87">
        <w:rPr>
          <w:rFonts w:ascii="Calibri" w:hAnsi="Calibri"/>
          <w:sz w:val="22"/>
          <w:szCs w:val="22"/>
        </w:rPr>
        <w:t>B</w:t>
      </w:r>
      <w:r w:rsidR="00B42CFB">
        <w:rPr>
          <w:rFonts w:ascii="Calibri" w:hAnsi="Calibri"/>
          <w:sz w:val="22"/>
          <w:szCs w:val="22"/>
        </w:rPr>
        <w:t>oard</w:t>
      </w:r>
      <w:r w:rsidR="001625F6" w:rsidRPr="00F77C87">
        <w:rPr>
          <w:rFonts w:ascii="Calibri" w:hAnsi="Calibri"/>
          <w:sz w:val="22"/>
          <w:szCs w:val="22"/>
        </w:rPr>
        <w:t xml:space="preserve"> during the </w:t>
      </w:r>
      <w:r w:rsidR="00FA6EE0">
        <w:rPr>
          <w:rFonts w:ascii="Calibri" w:hAnsi="Calibri"/>
          <w:sz w:val="22"/>
          <w:szCs w:val="22"/>
        </w:rPr>
        <w:br/>
      </w:r>
      <w:r w:rsidR="001625F6" w:rsidRPr="00F77C87">
        <w:rPr>
          <w:rFonts w:ascii="Calibri" w:hAnsi="Calibri"/>
          <w:sz w:val="22"/>
          <w:szCs w:val="22"/>
        </w:rPr>
        <w:t>20</w:t>
      </w:r>
      <w:r w:rsidR="00FB10E3">
        <w:rPr>
          <w:rFonts w:ascii="Calibri" w:hAnsi="Calibri"/>
          <w:sz w:val="22"/>
          <w:szCs w:val="22"/>
        </w:rPr>
        <w:t>20</w:t>
      </w:r>
      <w:r w:rsidR="00854A7B">
        <w:rPr>
          <w:rFonts w:ascii="Calibri" w:hAnsi="Calibri"/>
          <w:sz w:val="22"/>
          <w:szCs w:val="22"/>
        </w:rPr>
        <w:t>–</w:t>
      </w:r>
      <w:r w:rsidR="009537FB">
        <w:rPr>
          <w:rFonts w:ascii="Calibri" w:hAnsi="Calibri"/>
          <w:sz w:val="22"/>
          <w:szCs w:val="22"/>
        </w:rPr>
        <w:t>2</w:t>
      </w:r>
      <w:r w:rsidR="00FB10E3">
        <w:rPr>
          <w:rFonts w:ascii="Calibri" w:hAnsi="Calibri"/>
          <w:sz w:val="22"/>
          <w:szCs w:val="22"/>
        </w:rPr>
        <w:t>1</w:t>
      </w:r>
      <w:r w:rsidR="001625F6" w:rsidRPr="00F77C87">
        <w:rPr>
          <w:rFonts w:ascii="Calibri" w:hAnsi="Calibri"/>
          <w:sz w:val="22"/>
          <w:szCs w:val="22"/>
        </w:rPr>
        <w:t xml:space="preserve"> financial year.</w:t>
      </w:r>
    </w:p>
    <w:tbl>
      <w:tblPr>
        <w:tblpPr w:leftFromText="180" w:rightFromText="180" w:vertAnchor="text" w:horzAnchor="page" w:tblpX="1410" w:tblpY="130"/>
        <w:tblW w:w="5000" w:type="pct"/>
        <w:tblBorders>
          <w:top w:val="single" w:sz="4" w:space="0" w:color="auto"/>
          <w:bottom w:val="single" w:sz="4" w:space="0" w:color="auto"/>
        </w:tblBorders>
        <w:tblLook w:val="04A0" w:firstRow="1" w:lastRow="0" w:firstColumn="1" w:lastColumn="0" w:noHBand="0" w:noVBand="1"/>
      </w:tblPr>
      <w:tblGrid>
        <w:gridCol w:w="3136"/>
        <w:gridCol w:w="3302"/>
        <w:gridCol w:w="3200"/>
      </w:tblGrid>
      <w:tr w:rsidR="00D7176C" w:rsidRPr="000F7D13" w14:paraId="0B3EC1DC" w14:textId="77777777" w:rsidTr="00A22F1B">
        <w:tc>
          <w:tcPr>
            <w:tcW w:w="1627" w:type="pct"/>
            <w:tcBorders>
              <w:bottom w:val="single" w:sz="4" w:space="0" w:color="auto"/>
            </w:tcBorders>
            <w:shd w:val="clear" w:color="auto" w:fill="A6A6A6"/>
          </w:tcPr>
          <w:p w14:paraId="5787757B" w14:textId="77777777" w:rsidR="00D7176C" w:rsidRPr="00B7189C" w:rsidRDefault="00D7176C" w:rsidP="00A22F1B">
            <w:pPr>
              <w:pStyle w:val="TableHeader"/>
            </w:pPr>
            <w:bookmarkStart w:id="24" w:name="_Hlk81319863"/>
            <w:r w:rsidRPr="00B7189C">
              <w:t xml:space="preserve">Major </w:t>
            </w:r>
            <w:r>
              <w:t>research and development activities</w:t>
            </w:r>
          </w:p>
        </w:tc>
        <w:tc>
          <w:tcPr>
            <w:tcW w:w="1713" w:type="pct"/>
            <w:tcBorders>
              <w:bottom w:val="single" w:sz="4" w:space="0" w:color="auto"/>
            </w:tcBorders>
            <w:shd w:val="clear" w:color="auto" w:fill="A6A6A6"/>
          </w:tcPr>
          <w:p w14:paraId="02B2D298" w14:textId="77777777" w:rsidR="00D7176C" w:rsidRPr="00B7189C" w:rsidRDefault="00D7176C" w:rsidP="00A22F1B">
            <w:pPr>
              <w:pStyle w:val="TableHeader"/>
            </w:pPr>
            <w:r w:rsidRPr="00B7189C">
              <w:t xml:space="preserve">Conducted by </w:t>
            </w:r>
          </w:p>
        </w:tc>
        <w:tc>
          <w:tcPr>
            <w:tcW w:w="1660" w:type="pct"/>
            <w:tcBorders>
              <w:bottom w:val="single" w:sz="4" w:space="0" w:color="auto"/>
            </w:tcBorders>
            <w:shd w:val="clear" w:color="auto" w:fill="A6A6A6"/>
          </w:tcPr>
          <w:p w14:paraId="2145BBB5" w14:textId="77777777" w:rsidR="00D7176C" w:rsidRPr="00B7189C" w:rsidRDefault="00D7176C" w:rsidP="00A22F1B">
            <w:pPr>
              <w:pStyle w:val="TableHeader"/>
            </w:pPr>
            <w:r w:rsidRPr="00B7189C">
              <w:t>Purpose</w:t>
            </w:r>
          </w:p>
        </w:tc>
      </w:tr>
      <w:tr w:rsidR="002B35EB" w:rsidRPr="000F7D13" w14:paraId="4EF6A2CF" w14:textId="77777777" w:rsidTr="00A22F1B">
        <w:tc>
          <w:tcPr>
            <w:tcW w:w="1627" w:type="pct"/>
            <w:tcBorders>
              <w:top w:val="single" w:sz="4" w:space="0" w:color="auto"/>
              <w:bottom w:val="single" w:sz="4" w:space="0" w:color="auto"/>
            </w:tcBorders>
            <w:shd w:val="clear" w:color="auto" w:fill="auto"/>
          </w:tcPr>
          <w:p w14:paraId="019FDAC2" w14:textId="77777777" w:rsidR="002B35EB" w:rsidRPr="00632E14" w:rsidRDefault="002B35EB" w:rsidP="00A22F1B">
            <w:pPr>
              <w:pStyle w:val="TableText"/>
              <w:rPr>
                <w:i/>
                <w:szCs w:val="20"/>
              </w:rPr>
            </w:pPr>
            <w:r>
              <w:rPr>
                <w:i/>
                <w:iCs/>
              </w:rPr>
              <w:t>Pre-accredited Educator Workforce Mapping</w:t>
            </w:r>
          </w:p>
        </w:tc>
        <w:tc>
          <w:tcPr>
            <w:tcW w:w="1713" w:type="pct"/>
            <w:tcBorders>
              <w:top w:val="single" w:sz="4" w:space="0" w:color="auto"/>
              <w:bottom w:val="single" w:sz="4" w:space="0" w:color="auto"/>
            </w:tcBorders>
            <w:shd w:val="clear" w:color="auto" w:fill="auto"/>
          </w:tcPr>
          <w:p w14:paraId="6C98030A" w14:textId="77777777" w:rsidR="002B35EB" w:rsidRPr="00632E14" w:rsidRDefault="002B35EB" w:rsidP="00A22F1B">
            <w:pPr>
              <w:pStyle w:val="TableText"/>
              <w:rPr>
                <w:i/>
                <w:szCs w:val="20"/>
              </w:rPr>
            </w:pPr>
            <w:proofErr w:type="spellStart"/>
            <w:r>
              <w:rPr>
                <w:i/>
                <w:iCs/>
              </w:rPr>
              <w:t>Dandolo</w:t>
            </w:r>
            <w:proofErr w:type="spellEnd"/>
            <w:r>
              <w:rPr>
                <w:i/>
                <w:iCs/>
              </w:rPr>
              <w:t xml:space="preserve"> Partners</w:t>
            </w:r>
          </w:p>
        </w:tc>
        <w:tc>
          <w:tcPr>
            <w:tcW w:w="1660" w:type="pct"/>
            <w:tcBorders>
              <w:top w:val="single" w:sz="4" w:space="0" w:color="auto"/>
              <w:bottom w:val="single" w:sz="4" w:space="0" w:color="auto"/>
            </w:tcBorders>
            <w:shd w:val="clear" w:color="auto" w:fill="auto"/>
          </w:tcPr>
          <w:p w14:paraId="1EB98A2D" w14:textId="77777777" w:rsidR="002B35EB" w:rsidRPr="00632E14" w:rsidRDefault="002B35EB" w:rsidP="00A22F1B">
            <w:pPr>
              <w:pStyle w:val="TableText"/>
              <w:rPr>
                <w:i/>
                <w:szCs w:val="20"/>
              </w:rPr>
            </w:pPr>
            <w:r>
              <w:rPr>
                <w:i/>
                <w:iCs/>
              </w:rPr>
              <w:t>To identify the nature of the pre</w:t>
            </w:r>
            <w:r>
              <w:rPr>
                <w:i/>
                <w:iCs/>
              </w:rPr>
              <w:noBreakHyphen/>
              <w:t>accredited educator workforce including job roles, employment status, career trajectories, motivations and intentions</w:t>
            </w:r>
          </w:p>
        </w:tc>
      </w:tr>
      <w:tr w:rsidR="00264FC6" w:rsidRPr="000F7D13" w14:paraId="26A524C3" w14:textId="77777777" w:rsidTr="00A22F1B">
        <w:tc>
          <w:tcPr>
            <w:tcW w:w="1627" w:type="pct"/>
            <w:tcBorders>
              <w:top w:val="single" w:sz="4" w:space="0" w:color="auto"/>
              <w:bottom w:val="single" w:sz="4" w:space="0" w:color="auto"/>
            </w:tcBorders>
            <w:shd w:val="clear" w:color="auto" w:fill="auto"/>
          </w:tcPr>
          <w:p w14:paraId="66D0BD75" w14:textId="77777777" w:rsidR="00264FC6" w:rsidRPr="002831E1" w:rsidRDefault="00264FC6" w:rsidP="00A22F1B">
            <w:pPr>
              <w:pStyle w:val="TableText"/>
              <w:rPr>
                <w:i/>
                <w:szCs w:val="20"/>
              </w:rPr>
            </w:pPr>
            <w:r>
              <w:rPr>
                <w:i/>
                <w:iCs/>
              </w:rPr>
              <w:t>Casey Community Solutions</w:t>
            </w:r>
          </w:p>
        </w:tc>
        <w:tc>
          <w:tcPr>
            <w:tcW w:w="1713" w:type="pct"/>
            <w:tcBorders>
              <w:top w:val="single" w:sz="4" w:space="0" w:color="auto"/>
              <w:bottom w:val="single" w:sz="4" w:space="0" w:color="auto"/>
            </w:tcBorders>
            <w:shd w:val="clear" w:color="auto" w:fill="auto"/>
          </w:tcPr>
          <w:p w14:paraId="71011EAC" w14:textId="77777777" w:rsidR="00264FC6" w:rsidRPr="002831E1" w:rsidRDefault="00264FC6" w:rsidP="00A22F1B">
            <w:pPr>
              <w:pStyle w:val="TableText"/>
              <w:rPr>
                <w:i/>
                <w:szCs w:val="20"/>
              </w:rPr>
            </w:pPr>
            <w:r>
              <w:rPr>
                <w:i/>
                <w:iCs/>
              </w:rPr>
              <w:t>Foundation Learning Centre</w:t>
            </w:r>
          </w:p>
        </w:tc>
        <w:tc>
          <w:tcPr>
            <w:tcW w:w="1660" w:type="pct"/>
            <w:tcBorders>
              <w:top w:val="single" w:sz="4" w:space="0" w:color="auto"/>
              <w:bottom w:val="single" w:sz="4" w:space="0" w:color="auto"/>
            </w:tcBorders>
            <w:shd w:val="clear" w:color="auto" w:fill="auto"/>
          </w:tcPr>
          <w:p w14:paraId="53029F46" w14:textId="77777777" w:rsidR="00264FC6" w:rsidRPr="002831E1" w:rsidRDefault="00264FC6" w:rsidP="00A22F1B">
            <w:pPr>
              <w:pStyle w:val="TableText"/>
              <w:rPr>
                <w:i/>
                <w:szCs w:val="20"/>
              </w:rPr>
            </w:pPr>
            <w:r>
              <w:rPr>
                <w:i/>
                <w:iCs/>
              </w:rPr>
              <w:t>Project to support Learn Local</w:t>
            </w:r>
            <w:r w:rsidR="003C72C8">
              <w:rPr>
                <w:i/>
                <w:iCs/>
              </w:rPr>
              <w:t xml:space="preserve"> providers</w:t>
            </w:r>
            <w:r>
              <w:rPr>
                <w:i/>
                <w:iCs/>
              </w:rPr>
              <w:t xml:space="preserve"> in the City of Casey to improve quality and delivery of pre</w:t>
            </w:r>
            <w:r w:rsidR="003C72C8">
              <w:rPr>
                <w:i/>
                <w:iCs/>
              </w:rPr>
              <w:noBreakHyphen/>
            </w:r>
            <w:r>
              <w:rPr>
                <w:i/>
                <w:iCs/>
              </w:rPr>
              <w:t>accredited programs</w:t>
            </w:r>
          </w:p>
        </w:tc>
      </w:tr>
    </w:tbl>
    <w:p w14:paraId="288008A2" w14:textId="77777777" w:rsidR="00EF4ABA" w:rsidRPr="00A27E38" w:rsidRDefault="00EF4ABA" w:rsidP="002D01B8">
      <w:pPr>
        <w:keepNext/>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25" w:name="_Toc263774881"/>
      <w:bookmarkStart w:id="26" w:name="_Toc263777571"/>
      <w:bookmarkStart w:id="27" w:name="_Toc263781498"/>
      <w:bookmarkStart w:id="28" w:name="_Toc263863298"/>
      <w:bookmarkEnd w:id="23"/>
      <w:bookmarkEnd w:id="24"/>
      <w:r w:rsidRPr="00A27E38">
        <w:rPr>
          <w:rFonts w:ascii="Calibri" w:hAnsi="Calibri"/>
          <w:b/>
          <w:sz w:val="22"/>
          <w:szCs w:val="22"/>
        </w:rPr>
        <w:t>Overseas visits undertaken</w:t>
      </w:r>
      <w:bookmarkEnd w:id="25"/>
      <w:bookmarkEnd w:id="26"/>
      <w:bookmarkEnd w:id="27"/>
      <w:bookmarkEnd w:id="28"/>
      <w:r w:rsidR="00A06976" w:rsidRPr="00A27E38">
        <w:rPr>
          <w:rFonts w:ascii="Calibri" w:hAnsi="Calibri"/>
          <w:b/>
          <w:sz w:val="22"/>
          <w:szCs w:val="22"/>
        </w:rPr>
        <w:t xml:space="preserve"> </w:t>
      </w:r>
    </w:p>
    <w:p w14:paraId="52D806BE" w14:textId="77777777" w:rsidR="00EF4ABA" w:rsidRDefault="00FA6EE0" w:rsidP="002D01B8">
      <w:pPr>
        <w:keepNext/>
        <w:autoSpaceDE w:val="0"/>
        <w:autoSpaceDN w:val="0"/>
        <w:adjustRightInd w:val="0"/>
        <w:spacing w:before="40" w:after="120"/>
        <w:ind w:left="284"/>
        <w:rPr>
          <w:rFonts w:ascii="Calibri" w:hAnsi="Calibri"/>
          <w:sz w:val="22"/>
          <w:szCs w:val="22"/>
        </w:rPr>
      </w:pPr>
      <w:r>
        <w:rPr>
          <w:rFonts w:ascii="Calibri" w:hAnsi="Calibri"/>
          <w:sz w:val="22"/>
          <w:szCs w:val="22"/>
        </w:rPr>
        <w:t>No</w:t>
      </w:r>
      <w:r w:rsidR="00EA5169" w:rsidRPr="00503F1E">
        <w:rPr>
          <w:rFonts w:ascii="Calibri" w:hAnsi="Calibri"/>
          <w:sz w:val="22"/>
          <w:szCs w:val="22"/>
        </w:rPr>
        <w:t xml:space="preserve"> overseas visit w</w:t>
      </w:r>
      <w:r w:rsidR="00F71670" w:rsidRPr="00503F1E">
        <w:rPr>
          <w:rFonts w:ascii="Calibri" w:hAnsi="Calibri"/>
          <w:sz w:val="22"/>
          <w:szCs w:val="22"/>
        </w:rPr>
        <w:t>as</w:t>
      </w:r>
      <w:r w:rsidR="00EA5169" w:rsidRPr="00503F1E">
        <w:rPr>
          <w:rFonts w:ascii="Calibri" w:hAnsi="Calibri"/>
          <w:sz w:val="22"/>
          <w:szCs w:val="22"/>
        </w:rPr>
        <w:t xml:space="preserve"> undertaken during the reporting period.</w:t>
      </w:r>
    </w:p>
    <w:tbl>
      <w:tblPr>
        <w:tblW w:w="4897" w:type="pct"/>
        <w:tblInd w:w="341" w:type="dxa"/>
        <w:tblCellMar>
          <w:left w:w="57" w:type="dxa"/>
          <w:right w:w="57" w:type="dxa"/>
        </w:tblCellMar>
        <w:tblLook w:val="04A0" w:firstRow="1" w:lastRow="0" w:firstColumn="1" w:lastColumn="0" w:noHBand="0" w:noVBand="1"/>
      </w:tblPr>
      <w:tblGrid>
        <w:gridCol w:w="1451"/>
        <w:gridCol w:w="1454"/>
        <w:gridCol w:w="3338"/>
        <w:gridCol w:w="3196"/>
      </w:tblGrid>
      <w:tr w:rsidR="00F71670" w:rsidRPr="00AD4CA1" w14:paraId="34A9314D" w14:textId="77777777" w:rsidTr="00A22F1B">
        <w:trPr>
          <w:cantSplit/>
        </w:trPr>
        <w:tc>
          <w:tcPr>
            <w:tcW w:w="769" w:type="pct"/>
            <w:tcBorders>
              <w:top w:val="single" w:sz="4" w:space="0" w:color="auto"/>
              <w:bottom w:val="single" w:sz="4" w:space="0" w:color="auto"/>
            </w:tcBorders>
            <w:shd w:val="clear" w:color="auto" w:fill="A6A6A6"/>
          </w:tcPr>
          <w:p w14:paraId="44878356" w14:textId="77777777" w:rsidR="00AF5334" w:rsidRDefault="00AF5334" w:rsidP="00B804CE">
            <w:pPr>
              <w:pStyle w:val="TableHeader"/>
            </w:pPr>
            <w:r>
              <w:t>Officer</w:t>
            </w:r>
          </w:p>
        </w:tc>
        <w:tc>
          <w:tcPr>
            <w:tcW w:w="770" w:type="pct"/>
            <w:tcBorders>
              <w:top w:val="single" w:sz="4" w:space="0" w:color="auto"/>
              <w:bottom w:val="single" w:sz="4" w:space="0" w:color="auto"/>
            </w:tcBorders>
            <w:shd w:val="clear" w:color="auto" w:fill="A6A6A6"/>
          </w:tcPr>
          <w:p w14:paraId="1DC64BB1" w14:textId="77777777" w:rsidR="00AF5334" w:rsidRPr="00F52C6D" w:rsidRDefault="00AF5334" w:rsidP="00B804CE">
            <w:pPr>
              <w:pStyle w:val="TableHeader"/>
            </w:pPr>
            <w:r>
              <w:t>Destination</w:t>
            </w:r>
          </w:p>
        </w:tc>
        <w:tc>
          <w:tcPr>
            <w:tcW w:w="1768" w:type="pct"/>
            <w:tcBorders>
              <w:top w:val="single" w:sz="4" w:space="0" w:color="auto"/>
              <w:bottom w:val="single" w:sz="4" w:space="0" w:color="auto"/>
            </w:tcBorders>
            <w:shd w:val="clear" w:color="auto" w:fill="A6A6A6"/>
          </w:tcPr>
          <w:p w14:paraId="5B5289C9" w14:textId="77777777" w:rsidR="00AF5334" w:rsidRDefault="00AF5334" w:rsidP="00B804CE">
            <w:pPr>
              <w:pStyle w:val="TableHeader"/>
            </w:pPr>
            <w:r>
              <w:t>Objective</w:t>
            </w:r>
          </w:p>
        </w:tc>
        <w:tc>
          <w:tcPr>
            <w:tcW w:w="1694" w:type="pct"/>
            <w:tcBorders>
              <w:top w:val="single" w:sz="4" w:space="0" w:color="auto"/>
              <w:bottom w:val="single" w:sz="4" w:space="0" w:color="auto"/>
            </w:tcBorders>
            <w:shd w:val="clear" w:color="auto" w:fill="A6A6A6"/>
          </w:tcPr>
          <w:p w14:paraId="087CBE9D" w14:textId="77777777" w:rsidR="00AF5334" w:rsidRDefault="00AF5334" w:rsidP="00B804CE">
            <w:pPr>
              <w:pStyle w:val="TableHeader"/>
            </w:pPr>
            <w:r>
              <w:t>Outcome</w:t>
            </w:r>
          </w:p>
        </w:tc>
      </w:tr>
      <w:tr w:rsidR="00F71670" w:rsidRPr="00AD4CA1" w14:paraId="1C5FD447" w14:textId="77777777" w:rsidTr="00A22F1B">
        <w:trPr>
          <w:cantSplit/>
        </w:trPr>
        <w:tc>
          <w:tcPr>
            <w:tcW w:w="769" w:type="pct"/>
            <w:tcBorders>
              <w:top w:val="single" w:sz="4" w:space="0" w:color="auto"/>
              <w:bottom w:val="single" w:sz="4" w:space="0" w:color="auto"/>
            </w:tcBorders>
            <w:shd w:val="clear" w:color="auto" w:fill="auto"/>
          </w:tcPr>
          <w:p w14:paraId="59D52D83" w14:textId="77777777" w:rsidR="00AF5334" w:rsidRPr="00AD4CA1" w:rsidRDefault="00FA6EE0" w:rsidP="00B804CE">
            <w:pPr>
              <w:pStyle w:val="TableText"/>
              <w:rPr>
                <w:i/>
                <w:color w:val="4C4C4C"/>
                <w:lang w:eastAsia="en-US"/>
              </w:rPr>
            </w:pPr>
            <w:r>
              <w:rPr>
                <w:i/>
                <w:color w:val="4C4C4C"/>
                <w:lang w:eastAsia="en-US"/>
              </w:rPr>
              <w:t>Nil</w:t>
            </w:r>
          </w:p>
        </w:tc>
        <w:tc>
          <w:tcPr>
            <w:tcW w:w="770" w:type="pct"/>
            <w:tcBorders>
              <w:top w:val="single" w:sz="4" w:space="0" w:color="auto"/>
              <w:bottom w:val="single" w:sz="4" w:space="0" w:color="auto"/>
            </w:tcBorders>
          </w:tcPr>
          <w:p w14:paraId="623FF2EC" w14:textId="77777777" w:rsidR="00AF5334" w:rsidRPr="008B6E29" w:rsidRDefault="00AF5334" w:rsidP="00B804CE">
            <w:pPr>
              <w:pStyle w:val="TableText"/>
              <w:rPr>
                <w:i/>
                <w:szCs w:val="20"/>
              </w:rPr>
            </w:pPr>
          </w:p>
        </w:tc>
        <w:tc>
          <w:tcPr>
            <w:tcW w:w="1768" w:type="pct"/>
            <w:tcBorders>
              <w:top w:val="single" w:sz="4" w:space="0" w:color="auto"/>
              <w:bottom w:val="single" w:sz="4" w:space="0" w:color="auto"/>
            </w:tcBorders>
            <w:shd w:val="clear" w:color="auto" w:fill="auto"/>
          </w:tcPr>
          <w:p w14:paraId="4A573CFF" w14:textId="77777777" w:rsidR="00F71670" w:rsidRPr="004D2CAC" w:rsidRDefault="00F71670" w:rsidP="00FA6EE0">
            <w:pPr>
              <w:pStyle w:val="ListParagraph"/>
              <w:spacing w:after="60"/>
              <w:ind w:left="0"/>
              <w:rPr>
                <w:rFonts w:ascii="Calibri" w:hAnsi="Calibri" w:cs="Calibri"/>
                <w:i/>
                <w:sz w:val="20"/>
                <w:szCs w:val="20"/>
              </w:rPr>
            </w:pPr>
          </w:p>
        </w:tc>
        <w:tc>
          <w:tcPr>
            <w:tcW w:w="1694" w:type="pct"/>
            <w:tcBorders>
              <w:top w:val="single" w:sz="4" w:space="0" w:color="auto"/>
              <w:bottom w:val="single" w:sz="4" w:space="0" w:color="auto"/>
            </w:tcBorders>
            <w:shd w:val="clear" w:color="auto" w:fill="auto"/>
          </w:tcPr>
          <w:p w14:paraId="0FCBE6BF" w14:textId="77777777" w:rsidR="00AF5334" w:rsidRPr="00F71670" w:rsidRDefault="00AF5334" w:rsidP="00B804CE">
            <w:pPr>
              <w:pStyle w:val="TableText"/>
              <w:rPr>
                <w:i/>
                <w:szCs w:val="20"/>
              </w:rPr>
            </w:pPr>
          </w:p>
        </w:tc>
      </w:tr>
    </w:tbl>
    <w:p w14:paraId="235F65B0" w14:textId="77777777" w:rsidR="00303402" w:rsidRPr="00E43907" w:rsidRDefault="00EF4ABA" w:rsidP="00E43907">
      <w:pPr>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29" w:name="_Toc263774882"/>
      <w:bookmarkStart w:id="30" w:name="_Toc263777572"/>
      <w:bookmarkStart w:id="31" w:name="_Toc263781499"/>
      <w:bookmarkStart w:id="32" w:name="_Toc263863299"/>
      <w:bookmarkStart w:id="33" w:name="_Hlk53484055"/>
      <w:r w:rsidRPr="00A27E38">
        <w:rPr>
          <w:rFonts w:ascii="Calibri" w:hAnsi="Calibri"/>
          <w:b/>
          <w:sz w:val="22"/>
          <w:szCs w:val="22"/>
        </w:rPr>
        <w:t>Major promotional, public relations and marketing activities</w:t>
      </w:r>
      <w:bookmarkEnd w:id="29"/>
      <w:bookmarkEnd w:id="30"/>
      <w:bookmarkEnd w:id="31"/>
      <w:bookmarkEnd w:id="32"/>
      <w:r w:rsidR="002C2C8F" w:rsidRPr="00A27E38">
        <w:rPr>
          <w:rFonts w:ascii="Calibri" w:hAnsi="Calibri"/>
          <w:b/>
          <w:sz w:val="22"/>
          <w:szCs w:val="22"/>
        </w:rPr>
        <w:t xml:space="preserve"> undertaken by the entity to develop community awareness of the entity and its services</w:t>
      </w:r>
    </w:p>
    <w:tbl>
      <w:tblPr>
        <w:tblW w:w="5000" w:type="pct"/>
        <w:tblInd w:w="284" w:type="dxa"/>
        <w:tblCellMar>
          <w:left w:w="57" w:type="dxa"/>
          <w:right w:w="57" w:type="dxa"/>
        </w:tblCellMar>
        <w:tblLook w:val="04A0" w:firstRow="1" w:lastRow="0" w:firstColumn="1" w:lastColumn="0" w:noHBand="0" w:noVBand="1"/>
      </w:tblPr>
      <w:tblGrid>
        <w:gridCol w:w="3192"/>
        <w:gridCol w:w="3202"/>
        <w:gridCol w:w="3244"/>
      </w:tblGrid>
      <w:tr w:rsidR="00A2283E" w:rsidRPr="00AD4CA1" w14:paraId="7B5B8551" w14:textId="77777777" w:rsidTr="00A22F1B">
        <w:trPr>
          <w:cantSplit/>
        </w:trPr>
        <w:tc>
          <w:tcPr>
            <w:tcW w:w="1656" w:type="pct"/>
            <w:tcBorders>
              <w:top w:val="single" w:sz="4" w:space="0" w:color="auto"/>
              <w:bottom w:val="single" w:sz="4" w:space="0" w:color="auto"/>
            </w:tcBorders>
            <w:shd w:val="clear" w:color="auto" w:fill="A6A6A6"/>
          </w:tcPr>
          <w:p w14:paraId="1DCCC5C4" w14:textId="77777777" w:rsidR="00A2283E" w:rsidRDefault="00A2283E" w:rsidP="006656DE">
            <w:pPr>
              <w:pStyle w:val="TableHeader"/>
            </w:pPr>
            <w:r w:rsidRPr="00F52C6D">
              <w:t xml:space="preserve">Major promotional, public </w:t>
            </w:r>
            <w:r>
              <w:t>relations or marketing activity</w:t>
            </w:r>
          </w:p>
        </w:tc>
        <w:tc>
          <w:tcPr>
            <w:tcW w:w="1661" w:type="pct"/>
            <w:tcBorders>
              <w:top w:val="single" w:sz="4" w:space="0" w:color="auto"/>
              <w:bottom w:val="single" w:sz="4" w:space="0" w:color="auto"/>
            </w:tcBorders>
            <w:shd w:val="clear" w:color="auto" w:fill="A6A6A6"/>
          </w:tcPr>
          <w:p w14:paraId="53CBA5DA" w14:textId="77777777" w:rsidR="00A2283E" w:rsidRDefault="00A2283E" w:rsidP="006656DE">
            <w:pPr>
              <w:pStyle w:val="TableHeader"/>
            </w:pPr>
            <w:r w:rsidRPr="00F52C6D">
              <w:t>Purpose</w:t>
            </w:r>
          </w:p>
        </w:tc>
        <w:tc>
          <w:tcPr>
            <w:tcW w:w="1683" w:type="pct"/>
            <w:tcBorders>
              <w:top w:val="single" w:sz="4" w:space="0" w:color="auto"/>
              <w:bottom w:val="single" w:sz="4" w:space="0" w:color="auto"/>
            </w:tcBorders>
            <w:shd w:val="clear" w:color="auto" w:fill="A6A6A6"/>
          </w:tcPr>
          <w:p w14:paraId="46A67822" w14:textId="77777777" w:rsidR="00A2283E" w:rsidRDefault="00A2283E" w:rsidP="006656DE">
            <w:pPr>
              <w:pStyle w:val="TableHeader"/>
            </w:pPr>
            <w:r w:rsidRPr="00F52C6D">
              <w:t>Total cost</w:t>
            </w:r>
          </w:p>
        </w:tc>
      </w:tr>
      <w:tr w:rsidR="00A2283E" w:rsidRPr="00AD4CA1" w14:paraId="60B99E12" w14:textId="77777777" w:rsidTr="00A22F1B">
        <w:trPr>
          <w:cantSplit/>
        </w:trPr>
        <w:tc>
          <w:tcPr>
            <w:tcW w:w="1656" w:type="pct"/>
            <w:tcBorders>
              <w:top w:val="single" w:sz="4" w:space="0" w:color="auto"/>
              <w:bottom w:val="single" w:sz="4" w:space="0" w:color="auto"/>
            </w:tcBorders>
            <w:shd w:val="clear" w:color="auto" w:fill="auto"/>
          </w:tcPr>
          <w:p w14:paraId="011673E2" w14:textId="77777777" w:rsidR="00A2283E" w:rsidRPr="00AB720C" w:rsidRDefault="00A2283E" w:rsidP="006656DE">
            <w:pPr>
              <w:pStyle w:val="TableText"/>
              <w:rPr>
                <w:i/>
                <w:color w:val="4C4C4C"/>
                <w:lang w:eastAsia="en-US"/>
              </w:rPr>
            </w:pPr>
            <w:r w:rsidRPr="00AB720C">
              <w:rPr>
                <w:i/>
                <w:szCs w:val="20"/>
              </w:rPr>
              <w:t>Victorian Learn Local Awards</w:t>
            </w:r>
          </w:p>
        </w:tc>
        <w:tc>
          <w:tcPr>
            <w:tcW w:w="1661" w:type="pct"/>
            <w:tcBorders>
              <w:top w:val="single" w:sz="4" w:space="0" w:color="auto"/>
              <w:bottom w:val="single" w:sz="4" w:space="0" w:color="auto"/>
            </w:tcBorders>
            <w:shd w:val="clear" w:color="auto" w:fill="auto"/>
          </w:tcPr>
          <w:p w14:paraId="55685787" w14:textId="77777777" w:rsidR="00A2283E" w:rsidRPr="00AB720C" w:rsidRDefault="00A2283E" w:rsidP="006656DE">
            <w:pPr>
              <w:pStyle w:val="TableText"/>
              <w:rPr>
                <w:i/>
                <w:lang w:eastAsia="en-US"/>
              </w:rPr>
            </w:pPr>
            <w:r w:rsidRPr="00AB720C">
              <w:rPr>
                <w:i/>
                <w:szCs w:val="20"/>
              </w:rPr>
              <w:t xml:space="preserve">To showcase the achievements of Learn Local learners, practitioners and </w:t>
            </w:r>
            <w:r w:rsidR="00AF5334" w:rsidRPr="00AB720C">
              <w:rPr>
                <w:i/>
                <w:szCs w:val="20"/>
              </w:rPr>
              <w:t>provider</w:t>
            </w:r>
            <w:r w:rsidRPr="00AB720C">
              <w:rPr>
                <w:i/>
                <w:szCs w:val="20"/>
              </w:rPr>
              <w:t>s.</w:t>
            </w:r>
          </w:p>
        </w:tc>
        <w:tc>
          <w:tcPr>
            <w:tcW w:w="1683" w:type="pct"/>
            <w:tcBorders>
              <w:top w:val="single" w:sz="4" w:space="0" w:color="auto"/>
              <w:bottom w:val="single" w:sz="4" w:space="0" w:color="auto"/>
            </w:tcBorders>
            <w:shd w:val="clear" w:color="auto" w:fill="auto"/>
          </w:tcPr>
          <w:p w14:paraId="1EF2B940" w14:textId="77777777" w:rsidR="00A2283E" w:rsidRPr="00AB720C" w:rsidRDefault="008B6E29" w:rsidP="006656DE">
            <w:pPr>
              <w:pStyle w:val="TableText"/>
              <w:rPr>
                <w:i/>
                <w:lang w:eastAsia="en-US"/>
              </w:rPr>
            </w:pPr>
            <w:r w:rsidRPr="00F30A81">
              <w:rPr>
                <w:i/>
                <w:lang w:eastAsia="en-US"/>
              </w:rPr>
              <w:t>$</w:t>
            </w:r>
            <w:r w:rsidR="000850D4" w:rsidRPr="00F30A81">
              <w:rPr>
                <w:i/>
                <w:lang w:eastAsia="en-US"/>
              </w:rPr>
              <w:t>225,000</w:t>
            </w:r>
          </w:p>
        </w:tc>
      </w:tr>
      <w:tr w:rsidR="00F30A81" w:rsidRPr="00AD4CA1" w14:paraId="7ADE23FD" w14:textId="77777777" w:rsidTr="00A22F1B">
        <w:trPr>
          <w:cantSplit/>
        </w:trPr>
        <w:tc>
          <w:tcPr>
            <w:tcW w:w="1656" w:type="pct"/>
            <w:tcBorders>
              <w:top w:val="single" w:sz="4" w:space="0" w:color="auto"/>
              <w:bottom w:val="single" w:sz="4" w:space="0" w:color="auto"/>
            </w:tcBorders>
            <w:shd w:val="clear" w:color="auto" w:fill="auto"/>
          </w:tcPr>
          <w:p w14:paraId="4BF1FFDD" w14:textId="77777777" w:rsidR="00F30A81" w:rsidRPr="00AB720C" w:rsidRDefault="001023FB" w:rsidP="006656DE">
            <w:pPr>
              <w:pStyle w:val="TableText"/>
              <w:rPr>
                <w:i/>
                <w:szCs w:val="20"/>
              </w:rPr>
            </w:pPr>
            <w:r w:rsidRPr="00613B0B">
              <w:rPr>
                <w:i/>
                <w:szCs w:val="20"/>
              </w:rPr>
              <w:t>Core Skills Campaign</w:t>
            </w:r>
          </w:p>
        </w:tc>
        <w:tc>
          <w:tcPr>
            <w:tcW w:w="1661" w:type="pct"/>
            <w:tcBorders>
              <w:top w:val="single" w:sz="4" w:space="0" w:color="auto"/>
              <w:bottom w:val="single" w:sz="4" w:space="0" w:color="auto"/>
            </w:tcBorders>
            <w:shd w:val="clear" w:color="auto" w:fill="auto"/>
          </w:tcPr>
          <w:p w14:paraId="1DF1ADA2" w14:textId="77777777" w:rsidR="00F30A81" w:rsidRPr="00AB720C" w:rsidRDefault="00613B0B" w:rsidP="006656DE">
            <w:pPr>
              <w:pStyle w:val="TableText"/>
              <w:rPr>
                <w:i/>
                <w:szCs w:val="20"/>
              </w:rPr>
            </w:pPr>
            <w:r>
              <w:rPr>
                <w:i/>
                <w:iCs/>
              </w:rPr>
              <w:t>The Core Skills Campaign promoted the role pre-accredited training can play as a pathway to employment and further training for regional and culturally and linguistically disadvantaged Victorians</w:t>
            </w:r>
          </w:p>
        </w:tc>
        <w:tc>
          <w:tcPr>
            <w:tcW w:w="1683" w:type="pct"/>
            <w:tcBorders>
              <w:top w:val="single" w:sz="4" w:space="0" w:color="auto"/>
              <w:bottom w:val="single" w:sz="4" w:space="0" w:color="auto"/>
            </w:tcBorders>
            <w:shd w:val="clear" w:color="auto" w:fill="auto"/>
          </w:tcPr>
          <w:p w14:paraId="5B9EEC5A" w14:textId="77777777" w:rsidR="00F30A81" w:rsidRPr="00F30A81" w:rsidRDefault="00613B0B" w:rsidP="006656DE">
            <w:pPr>
              <w:pStyle w:val="TableText"/>
              <w:rPr>
                <w:i/>
                <w:lang w:eastAsia="en-US"/>
              </w:rPr>
            </w:pPr>
            <w:r>
              <w:rPr>
                <w:i/>
                <w:lang w:eastAsia="en-US"/>
              </w:rPr>
              <w:t>$300,000</w:t>
            </w:r>
          </w:p>
        </w:tc>
      </w:tr>
    </w:tbl>
    <w:p w14:paraId="3717A54F" w14:textId="77777777" w:rsidR="007C0C69" w:rsidRPr="00A27E38" w:rsidRDefault="007C0C69" w:rsidP="008D2601">
      <w:pPr>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34" w:name="_Toc335125766"/>
      <w:bookmarkEnd w:id="33"/>
      <w:r w:rsidRPr="00A27E38">
        <w:rPr>
          <w:rFonts w:ascii="Calibri" w:hAnsi="Calibri"/>
          <w:b/>
          <w:sz w:val="22"/>
          <w:szCs w:val="22"/>
        </w:rPr>
        <w:t>Occupational health and safety</w:t>
      </w:r>
      <w:bookmarkEnd w:id="34"/>
      <w:r w:rsidRPr="00A27E38">
        <w:rPr>
          <w:rFonts w:ascii="Calibri" w:hAnsi="Calibri"/>
          <w:b/>
          <w:sz w:val="22"/>
          <w:szCs w:val="22"/>
        </w:rPr>
        <w:t xml:space="preserve"> </w:t>
      </w:r>
    </w:p>
    <w:p w14:paraId="212DA00B" w14:textId="77777777" w:rsidR="007C0C69" w:rsidRPr="00A27E38" w:rsidRDefault="007C0C69" w:rsidP="008D2601">
      <w:pPr>
        <w:autoSpaceDE w:val="0"/>
        <w:autoSpaceDN w:val="0"/>
        <w:adjustRightInd w:val="0"/>
        <w:spacing w:before="40" w:after="40"/>
        <w:ind w:left="284"/>
        <w:rPr>
          <w:rFonts w:ascii="Calibri" w:hAnsi="Calibri" w:cs="Arial"/>
          <w:color w:val="000000"/>
          <w:sz w:val="22"/>
          <w:szCs w:val="22"/>
        </w:rPr>
      </w:pPr>
      <w:r w:rsidRPr="00A27E38">
        <w:rPr>
          <w:rFonts w:ascii="Calibri" w:hAnsi="Calibri" w:cs="Arial"/>
          <w:color w:val="000000"/>
          <w:sz w:val="22"/>
          <w:szCs w:val="22"/>
        </w:rPr>
        <w:t>The material included in the 20</w:t>
      </w:r>
      <w:r w:rsidR="00FB10E3">
        <w:rPr>
          <w:rFonts w:ascii="Calibri" w:hAnsi="Calibri" w:cs="Arial"/>
          <w:color w:val="000000"/>
          <w:sz w:val="22"/>
          <w:szCs w:val="22"/>
        </w:rPr>
        <w:t>20</w:t>
      </w:r>
      <w:r w:rsidR="00854A7B">
        <w:rPr>
          <w:rFonts w:ascii="Calibri" w:hAnsi="Calibri" w:cs="Arial"/>
          <w:color w:val="000000"/>
          <w:sz w:val="22"/>
          <w:szCs w:val="22"/>
        </w:rPr>
        <w:t>–</w:t>
      </w:r>
      <w:r w:rsidR="009537FB">
        <w:rPr>
          <w:rFonts w:ascii="Calibri" w:hAnsi="Calibri" w:cs="Arial"/>
          <w:color w:val="000000"/>
          <w:sz w:val="22"/>
          <w:szCs w:val="22"/>
        </w:rPr>
        <w:t>2</w:t>
      </w:r>
      <w:r w:rsidR="00FB10E3">
        <w:rPr>
          <w:rFonts w:ascii="Calibri" w:hAnsi="Calibri" w:cs="Arial"/>
          <w:color w:val="000000"/>
          <w:sz w:val="22"/>
          <w:szCs w:val="22"/>
        </w:rPr>
        <w:t>1</w:t>
      </w:r>
      <w:r w:rsidRPr="00A27E38">
        <w:rPr>
          <w:rFonts w:ascii="Calibri" w:hAnsi="Calibri" w:cs="Arial"/>
          <w:color w:val="000000"/>
          <w:sz w:val="22"/>
          <w:szCs w:val="22"/>
        </w:rPr>
        <w:t xml:space="preserve"> Department of Education and </w:t>
      </w:r>
      <w:r w:rsidR="00C8270D" w:rsidRPr="00A27E38">
        <w:rPr>
          <w:rFonts w:ascii="Calibri" w:hAnsi="Calibri" w:cs="Arial"/>
          <w:color w:val="000000"/>
          <w:sz w:val="22"/>
          <w:szCs w:val="22"/>
        </w:rPr>
        <w:t>Training</w:t>
      </w:r>
      <w:r w:rsidRPr="00A27E38">
        <w:rPr>
          <w:rFonts w:ascii="Calibri" w:hAnsi="Calibri" w:cs="Arial"/>
          <w:color w:val="000000"/>
          <w:sz w:val="22"/>
          <w:szCs w:val="22"/>
        </w:rPr>
        <w:t xml:space="preserve"> Annual Report comprehensively covers the </w:t>
      </w:r>
      <w:r w:rsidRPr="00A27E38">
        <w:rPr>
          <w:rFonts w:ascii="Calibri" w:hAnsi="Calibri" w:cs="Arial"/>
          <w:i/>
          <w:color w:val="000000"/>
          <w:sz w:val="22"/>
          <w:szCs w:val="22"/>
        </w:rPr>
        <w:t>Financial Management Act 1994</w:t>
      </w:r>
      <w:r w:rsidRPr="00A27E38">
        <w:rPr>
          <w:rFonts w:ascii="Calibri" w:hAnsi="Calibri" w:cs="Arial"/>
          <w:color w:val="000000"/>
          <w:sz w:val="22"/>
          <w:szCs w:val="22"/>
        </w:rPr>
        <w:t xml:space="preserve"> reporting requirements in relation to occupational health and safety assessments and measures and safety of employees related to </w:t>
      </w:r>
      <w:r w:rsidR="009537FB">
        <w:rPr>
          <w:rFonts w:ascii="Calibri" w:hAnsi="Calibri" w:cs="Arial"/>
          <w:color w:val="000000"/>
          <w:sz w:val="22"/>
          <w:szCs w:val="22"/>
        </w:rPr>
        <w:t xml:space="preserve">the </w:t>
      </w:r>
      <w:r w:rsidRPr="00A27E38">
        <w:rPr>
          <w:rFonts w:ascii="Calibri" w:hAnsi="Calibri" w:cs="Arial"/>
          <w:color w:val="000000"/>
          <w:sz w:val="22"/>
          <w:szCs w:val="22"/>
        </w:rPr>
        <w:t>ACFE</w:t>
      </w:r>
      <w:r w:rsidR="009537FB">
        <w:rPr>
          <w:rFonts w:ascii="Calibri" w:hAnsi="Calibri" w:cs="Arial"/>
          <w:color w:val="000000"/>
          <w:sz w:val="22"/>
          <w:szCs w:val="22"/>
        </w:rPr>
        <w:t xml:space="preserve"> </w:t>
      </w:r>
      <w:r w:rsidR="00E1353D">
        <w:rPr>
          <w:rFonts w:ascii="Calibri" w:hAnsi="Calibri" w:cs="Arial"/>
          <w:color w:val="000000"/>
          <w:sz w:val="22"/>
          <w:szCs w:val="22"/>
        </w:rPr>
        <w:t>B</w:t>
      </w:r>
      <w:r w:rsidR="009537FB">
        <w:rPr>
          <w:rFonts w:ascii="Calibri" w:hAnsi="Calibri" w:cs="Arial"/>
          <w:color w:val="000000"/>
          <w:sz w:val="22"/>
          <w:szCs w:val="22"/>
        </w:rPr>
        <w:t>oard</w:t>
      </w:r>
      <w:r w:rsidRPr="00A27E38">
        <w:rPr>
          <w:rFonts w:ascii="Calibri" w:hAnsi="Calibri" w:cs="Arial"/>
          <w:color w:val="000000"/>
          <w:sz w:val="22"/>
          <w:szCs w:val="22"/>
        </w:rPr>
        <w:t>.</w:t>
      </w:r>
    </w:p>
    <w:p w14:paraId="6E617F63" w14:textId="77777777" w:rsidR="007C0C69" w:rsidRPr="00B804CE" w:rsidRDefault="007C0C69" w:rsidP="007726D1">
      <w:pPr>
        <w:keepNext/>
        <w:numPr>
          <w:ilvl w:val="0"/>
          <w:numId w:val="11"/>
        </w:numPr>
        <w:autoSpaceDE w:val="0"/>
        <w:autoSpaceDN w:val="0"/>
        <w:adjustRightInd w:val="0"/>
        <w:spacing w:before="240" w:after="40"/>
        <w:ind w:left="284" w:hanging="284"/>
        <w:jc w:val="both"/>
        <w:outlineLvl w:val="1"/>
        <w:rPr>
          <w:rFonts w:ascii="Calibri" w:hAnsi="Calibri"/>
          <w:color w:val="000000"/>
          <w:sz w:val="22"/>
          <w:szCs w:val="22"/>
        </w:rPr>
      </w:pPr>
      <w:bookmarkStart w:id="35" w:name="_Toc269380940"/>
      <w:bookmarkStart w:id="36" w:name="_Toc270342679"/>
      <w:bookmarkStart w:id="37" w:name="_Toc299968515"/>
      <w:bookmarkStart w:id="38" w:name="_Toc335125767"/>
      <w:r w:rsidRPr="00A27E38">
        <w:rPr>
          <w:rFonts w:ascii="Calibri" w:hAnsi="Calibri"/>
          <w:b/>
          <w:sz w:val="22"/>
          <w:szCs w:val="22"/>
        </w:rPr>
        <w:lastRenderedPageBreak/>
        <w:t>Industrial relations</w:t>
      </w:r>
      <w:bookmarkEnd w:id="35"/>
      <w:bookmarkEnd w:id="36"/>
      <w:bookmarkEnd w:id="37"/>
      <w:bookmarkEnd w:id="38"/>
      <w:r w:rsidRPr="00B804CE">
        <w:rPr>
          <w:rFonts w:ascii="Calibri" w:hAnsi="Calibri"/>
          <w:color w:val="000000"/>
          <w:sz w:val="22"/>
          <w:szCs w:val="22"/>
        </w:rPr>
        <w:t xml:space="preserve"> </w:t>
      </w:r>
    </w:p>
    <w:p w14:paraId="2D60FE6A" w14:textId="77777777" w:rsidR="007C0C69" w:rsidRPr="00A27E38" w:rsidRDefault="00FC7B74" w:rsidP="00503F1E">
      <w:pPr>
        <w:autoSpaceDE w:val="0"/>
        <w:autoSpaceDN w:val="0"/>
        <w:adjustRightInd w:val="0"/>
        <w:spacing w:before="40" w:after="40"/>
        <w:ind w:left="284"/>
        <w:rPr>
          <w:rFonts w:ascii="Calibri" w:hAnsi="Calibri" w:cs="Arial"/>
          <w:color w:val="000000"/>
          <w:sz w:val="22"/>
          <w:szCs w:val="22"/>
        </w:rPr>
      </w:pPr>
      <w:r>
        <w:rPr>
          <w:rFonts w:ascii="Calibri" w:hAnsi="Calibri" w:cs="Arial"/>
          <w:color w:val="000000"/>
          <w:sz w:val="22"/>
          <w:szCs w:val="22"/>
        </w:rPr>
        <w:t>M</w:t>
      </w:r>
      <w:r w:rsidR="007C0C69" w:rsidRPr="00A27E38">
        <w:rPr>
          <w:rFonts w:ascii="Calibri" w:hAnsi="Calibri" w:cs="Arial"/>
          <w:color w:val="000000"/>
          <w:sz w:val="22"/>
          <w:szCs w:val="22"/>
        </w:rPr>
        <w:t>aterial included in the 20</w:t>
      </w:r>
      <w:r w:rsidR="00FB10E3">
        <w:rPr>
          <w:rFonts w:ascii="Calibri" w:hAnsi="Calibri" w:cs="Arial"/>
          <w:color w:val="000000"/>
          <w:sz w:val="22"/>
          <w:szCs w:val="22"/>
        </w:rPr>
        <w:t>20</w:t>
      </w:r>
      <w:r w:rsidR="00854A7B">
        <w:rPr>
          <w:rFonts w:ascii="Calibri" w:hAnsi="Calibri" w:cs="Arial"/>
          <w:color w:val="000000"/>
          <w:sz w:val="22"/>
          <w:szCs w:val="22"/>
        </w:rPr>
        <w:t>–</w:t>
      </w:r>
      <w:r w:rsidR="009537FB">
        <w:rPr>
          <w:rFonts w:ascii="Calibri" w:hAnsi="Calibri" w:cs="Arial"/>
          <w:color w:val="000000"/>
          <w:sz w:val="22"/>
          <w:szCs w:val="22"/>
        </w:rPr>
        <w:t>2</w:t>
      </w:r>
      <w:r w:rsidR="00FB10E3">
        <w:rPr>
          <w:rFonts w:ascii="Calibri" w:hAnsi="Calibri" w:cs="Arial"/>
          <w:color w:val="000000"/>
          <w:sz w:val="22"/>
          <w:szCs w:val="22"/>
        </w:rPr>
        <w:t>1</w:t>
      </w:r>
      <w:r w:rsidR="007C0C69" w:rsidRPr="00A27E38">
        <w:rPr>
          <w:rFonts w:ascii="Calibri" w:hAnsi="Calibri" w:cs="Arial"/>
          <w:color w:val="000000"/>
          <w:sz w:val="22"/>
          <w:szCs w:val="22"/>
        </w:rPr>
        <w:t xml:space="preserve"> Department of Education and </w:t>
      </w:r>
      <w:r w:rsidR="00C8270D" w:rsidRPr="00A27E38">
        <w:rPr>
          <w:rFonts w:ascii="Calibri" w:hAnsi="Calibri" w:cs="Arial"/>
          <w:color w:val="000000"/>
          <w:sz w:val="22"/>
          <w:szCs w:val="22"/>
        </w:rPr>
        <w:t xml:space="preserve">Training </w:t>
      </w:r>
      <w:r w:rsidR="007C0C69" w:rsidRPr="00A27E38">
        <w:rPr>
          <w:rFonts w:ascii="Calibri" w:hAnsi="Calibri" w:cs="Arial"/>
          <w:color w:val="000000"/>
          <w:sz w:val="22"/>
          <w:szCs w:val="22"/>
        </w:rPr>
        <w:t xml:space="preserve">Annual Report comprehensively covers the </w:t>
      </w:r>
      <w:r w:rsidR="007C0C69" w:rsidRPr="00CB39D7">
        <w:rPr>
          <w:rFonts w:ascii="Calibri" w:hAnsi="Calibri" w:cs="Arial"/>
          <w:color w:val="000000"/>
          <w:sz w:val="22"/>
          <w:szCs w:val="22"/>
        </w:rPr>
        <w:t>Financial Management Act</w:t>
      </w:r>
      <w:r w:rsidR="007C0C69" w:rsidRPr="00503F1E">
        <w:rPr>
          <w:rFonts w:ascii="Calibri" w:hAnsi="Calibri" w:cs="Arial"/>
          <w:color w:val="000000"/>
          <w:sz w:val="22"/>
          <w:szCs w:val="22"/>
        </w:rPr>
        <w:t xml:space="preserve"> </w:t>
      </w:r>
      <w:r w:rsidR="007C0C69" w:rsidRPr="00A27E38">
        <w:rPr>
          <w:rFonts w:ascii="Calibri" w:hAnsi="Calibri" w:cs="Arial"/>
          <w:color w:val="000000"/>
          <w:sz w:val="22"/>
          <w:szCs w:val="22"/>
        </w:rPr>
        <w:t xml:space="preserve">reporting requirements in relation to industrial relations related to </w:t>
      </w:r>
      <w:r w:rsidR="009537FB">
        <w:rPr>
          <w:rFonts w:ascii="Calibri" w:hAnsi="Calibri" w:cs="Arial"/>
          <w:color w:val="000000"/>
          <w:sz w:val="22"/>
          <w:szCs w:val="22"/>
        </w:rPr>
        <w:t xml:space="preserve">the </w:t>
      </w:r>
      <w:r w:rsidR="007C0C69" w:rsidRPr="00A27E38">
        <w:rPr>
          <w:rFonts w:ascii="Calibri" w:hAnsi="Calibri" w:cs="Arial"/>
          <w:color w:val="000000"/>
          <w:sz w:val="22"/>
          <w:szCs w:val="22"/>
        </w:rPr>
        <w:t>ACFE</w:t>
      </w:r>
      <w:r w:rsidR="009537FB">
        <w:rPr>
          <w:rFonts w:ascii="Calibri" w:hAnsi="Calibri" w:cs="Arial"/>
          <w:color w:val="000000"/>
          <w:sz w:val="22"/>
          <w:szCs w:val="22"/>
        </w:rPr>
        <w:t xml:space="preserve"> </w:t>
      </w:r>
      <w:r w:rsidR="00E1353D">
        <w:rPr>
          <w:rFonts w:ascii="Calibri" w:hAnsi="Calibri" w:cs="Arial"/>
          <w:color w:val="000000"/>
          <w:sz w:val="22"/>
          <w:szCs w:val="22"/>
        </w:rPr>
        <w:t>B</w:t>
      </w:r>
      <w:r w:rsidR="009537FB">
        <w:rPr>
          <w:rFonts w:ascii="Calibri" w:hAnsi="Calibri" w:cs="Arial"/>
          <w:color w:val="000000"/>
          <w:sz w:val="22"/>
          <w:szCs w:val="22"/>
        </w:rPr>
        <w:t>oard</w:t>
      </w:r>
      <w:r w:rsidR="007C0C69" w:rsidRPr="00A27E38">
        <w:rPr>
          <w:rFonts w:ascii="Calibri" w:hAnsi="Calibri" w:cs="Arial"/>
          <w:color w:val="000000"/>
          <w:sz w:val="22"/>
          <w:szCs w:val="22"/>
        </w:rPr>
        <w:t>.</w:t>
      </w:r>
    </w:p>
    <w:p w14:paraId="7D0CEF50" w14:textId="77777777" w:rsidR="00303402" w:rsidRPr="00501676" w:rsidRDefault="00EF4ABA" w:rsidP="00501676">
      <w:pPr>
        <w:keepNext/>
        <w:numPr>
          <w:ilvl w:val="0"/>
          <w:numId w:val="11"/>
        </w:numPr>
        <w:autoSpaceDE w:val="0"/>
        <w:autoSpaceDN w:val="0"/>
        <w:adjustRightInd w:val="0"/>
        <w:spacing w:before="240" w:after="120"/>
        <w:ind w:left="284" w:hanging="284"/>
        <w:jc w:val="both"/>
        <w:outlineLvl w:val="1"/>
        <w:rPr>
          <w:rFonts w:ascii="Calibri" w:hAnsi="Calibri"/>
          <w:b/>
          <w:sz w:val="22"/>
          <w:szCs w:val="22"/>
        </w:rPr>
      </w:pPr>
      <w:bookmarkStart w:id="39" w:name="_Toc263774884"/>
      <w:bookmarkStart w:id="40" w:name="_Toc263777574"/>
      <w:bookmarkStart w:id="41" w:name="_Toc263781501"/>
      <w:bookmarkStart w:id="42" w:name="_Toc263863301"/>
      <w:r w:rsidRPr="00A27E38">
        <w:rPr>
          <w:rFonts w:ascii="Calibri" w:hAnsi="Calibri"/>
          <w:b/>
          <w:sz w:val="22"/>
          <w:szCs w:val="22"/>
        </w:rPr>
        <w:t>Major committees sponsored by</w:t>
      </w:r>
      <w:bookmarkEnd w:id="39"/>
      <w:bookmarkEnd w:id="40"/>
      <w:bookmarkEnd w:id="41"/>
      <w:bookmarkEnd w:id="42"/>
      <w:r w:rsidR="00E1353D">
        <w:rPr>
          <w:rFonts w:ascii="Calibri" w:hAnsi="Calibri"/>
          <w:b/>
          <w:sz w:val="22"/>
          <w:szCs w:val="22"/>
        </w:rPr>
        <w:t xml:space="preserve"> </w:t>
      </w:r>
      <w:r w:rsidR="00BB2E68">
        <w:rPr>
          <w:rFonts w:ascii="Calibri" w:hAnsi="Calibri"/>
          <w:b/>
          <w:sz w:val="22"/>
          <w:szCs w:val="22"/>
        </w:rPr>
        <w:t xml:space="preserve">the </w:t>
      </w:r>
      <w:r w:rsidR="00E1353D">
        <w:rPr>
          <w:rFonts w:ascii="Calibri" w:hAnsi="Calibri"/>
          <w:b/>
          <w:sz w:val="22"/>
          <w:szCs w:val="22"/>
        </w:rPr>
        <w:t>ACFE</w:t>
      </w:r>
      <w:r w:rsidR="00BB2E68">
        <w:rPr>
          <w:rFonts w:ascii="Calibri" w:hAnsi="Calibri"/>
          <w:b/>
          <w:sz w:val="22"/>
          <w:szCs w:val="22"/>
        </w:rPr>
        <w:t xml:space="preserve"> </w:t>
      </w:r>
      <w:r w:rsidR="00E1353D">
        <w:rPr>
          <w:rFonts w:ascii="Calibri" w:hAnsi="Calibri"/>
          <w:b/>
          <w:sz w:val="22"/>
          <w:szCs w:val="22"/>
        </w:rPr>
        <w:t>B</w:t>
      </w:r>
      <w:r w:rsidR="00BB2E68">
        <w:rPr>
          <w:rFonts w:ascii="Calibri" w:hAnsi="Calibri"/>
          <w:b/>
          <w:sz w:val="22"/>
          <w:szCs w:val="22"/>
        </w:rPr>
        <w:t>oard</w:t>
      </w:r>
    </w:p>
    <w:tbl>
      <w:tblPr>
        <w:tblW w:w="5000" w:type="pct"/>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3309"/>
        <w:gridCol w:w="3042"/>
        <w:gridCol w:w="3287"/>
      </w:tblGrid>
      <w:tr w:rsidR="00A2283E" w:rsidRPr="00AD4CA1" w14:paraId="2FF23881" w14:textId="77777777" w:rsidTr="00A22F1B">
        <w:trPr>
          <w:cantSplit/>
        </w:trPr>
        <w:tc>
          <w:tcPr>
            <w:tcW w:w="1717" w:type="pct"/>
            <w:shd w:val="clear" w:color="auto" w:fill="A6A6A6"/>
          </w:tcPr>
          <w:p w14:paraId="7445C2DA" w14:textId="77777777" w:rsidR="00A2283E" w:rsidRDefault="00A2283E" w:rsidP="006656DE">
            <w:pPr>
              <w:pStyle w:val="TableHeader"/>
            </w:pPr>
            <w:r>
              <w:t>Major committee</w:t>
            </w:r>
          </w:p>
        </w:tc>
        <w:tc>
          <w:tcPr>
            <w:tcW w:w="1578" w:type="pct"/>
            <w:shd w:val="clear" w:color="auto" w:fill="A6A6A6"/>
          </w:tcPr>
          <w:p w14:paraId="33510987" w14:textId="77777777" w:rsidR="00A2283E" w:rsidRDefault="00A2283E" w:rsidP="006656DE">
            <w:pPr>
              <w:pStyle w:val="TableHeader"/>
            </w:pPr>
            <w:r w:rsidRPr="00F52C6D">
              <w:t>Purpose</w:t>
            </w:r>
          </w:p>
        </w:tc>
        <w:tc>
          <w:tcPr>
            <w:tcW w:w="1705" w:type="pct"/>
            <w:shd w:val="clear" w:color="auto" w:fill="A6A6A6"/>
          </w:tcPr>
          <w:p w14:paraId="46E73BE9" w14:textId="77777777" w:rsidR="00A2283E" w:rsidRDefault="00A2283E" w:rsidP="006656DE">
            <w:pPr>
              <w:pStyle w:val="TableHeader"/>
            </w:pPr>
            <w:r w:rsidRPr="00F52C6D">
              <w:t>Extent of purpose achieved</w:t>
            </w:r>
          </w:p>
        </w:tc>
      </w:tr>
      <w:tr w:rsidR="00A2283E" w:rsidRPr="00AD4CA1" w14:paraId="415F98BB" w14:textId="77777777" w:rsidTr="00A22F1B">
        <w:trPr>
          <w:cantSplit/>
        </w:trPr>
        <w:tc>
          <w:tcPr>
            <w:tcW w:w="1717" w:type="pct"/>
            <w:shd w:val="clear" w:color="auto" w:fill="auto"/>
          </w:tcPr>
          <w:p w14:paraId="7A6E850D" w14:textId="77777777" w:rsidR="00A2283E" w:rsidRPr="00AD4CA1" w:rsidRDefault="00E1353D" w:rsidP="00E1353D">
            <w:pPr>
              <w:pStyle w:val="TableText"/>
              <w:rPr>
                <w:i/>
                <w:color w:val="4C4C4C"/>
                <w:lang w:eastAsia="en-US"/>
              </w:rPr>
            </w:pPr>
            <w:r>
              <w:rPr>
                <w:i/>
                <w:szCs w:val="20"/>
              </w:rPr>
              <w:t>ACFE</w:t>
            </w:r>
            <w:r w:rsidR="00B42CFB">
              <w:rPr>
                <w:i/>
                <w:szCs w:val="20"/>
              </w:rPr>
              <w:t xml:space="preserve"> </w:t>
            </w:r>
            <w:r w:rsidR="00A2283E" w:rsidRPr="00A2283E">
              <w:rPr>
                <w:i/>
                <w:szCs w:val="20"/>
              </w:rPr>
              <w:t>B</w:t>
            </w:r>
            <w:r w:rsidR="00B42CFB">
              <w:rPr>
                <w:i/>
                <w:szCs w:val="20"/>
              </w:rPr>
              <w:t>oard</w:t>
            </w:r>
            <w:r w:rsidR="00A2283E" w:rsidRPr="00A2283E">
              <w:rPr>
                <w:i/>
                <w:szCs w:val="20"/>
              </w:rPr>
              <w:t xml:space="preserve"> Audit and Risk Committee</w:t>
            </w:r>
          </w:p>
        </w:tc>
        <w:tc>
          <w:tcPr>
            <w:tcW w:w="1578" w:type="pct"/>
            <w:shd w:val="clear" w:color="auto" w:fill="auto"/>
          </w:tcPr>
          <w:p w14:paraId="7CF33BE7" w14:textId="77777777" w:rsidR="00A2283E" w:rsidRPr="00A2283E" w:rsidRDefault="00A2283E" w:rsidP="00F62AAE">
            <w:pPr>
              <w:pStyle w:val="TableText"/>
              <w:rPr>
                <w:i/>
                <w:lang w:eastAsia="en-US"/>
              </w:rPr>
            </w:pPr>
            <w:r w:rsidRPr="00A2283E">
              <w:rPr>
                <w:rFonts w:cs="Arial"/>
                <w:i/>
                <w:color w:val="000000"/>
                <w:szCs w:val="20"/>
              </w:rPr>
              <w:t>This committee is established as required under s</w:t>
            </w:r>
            <w:r>
              <w:rPr>
                <w:rFonts w:cs="Arial"/>
                <w:i/>
                <w:color w:val="000000"/>
                <w:szCs w:val="20"/>
              </w:rPr>
              <w:t xml:space="preserve">ection </w:t>
            </w:r>
            <w:r w:rsidRPr="00A2283E">
              <w:rPr>
                <w:rFonts w:cs="Arial"/>
                <w:i/>
                <w:color w:val="000000"/>
                <w:szCs w:val="20"/>
              </w:rPr>
              <w:t xml:space="preserve">3.3.12 of the </w:t>
            </w:r>
            <w:r w:rsidRPr="00A2283E">
              <w:rPr>
                <w:rFonts w:cs="Arial"/>
                <w:i/>
                <w:iCs/>
                <w:color w:val="000000"/>
                <w:szCs w:val="20"/>
              </w:rPr>
              <w:t>Education and Training Reform Act 2006.</w:t>
            </w:r>
            <w:r w:rsidR="00F62AAE">
              <w:rPr>
                <w:rFonts w:cs="Arial"/>
                <w:i/>
                <w:color w:val="000000"/>
                <w:szCs w:val="20"/>
              </w:rPr>
              <w:t xml:space="preserve"> Its role is to oversee</w:t>
            </w:r>
            <w:r w:rsidRPr="00A2283E">
              <w:rPr>
                <w:rFonts w:cs="Arial"/>
                <w:i/>
                <w:color w:val="000000"/>
                <w:szCs w:val="20"/>
              </w:rPr>
              <w:t xml:space="preserve"> the financial, risk management and compliance requirements of the Board.</w:t>
            </w:r>
          </w:p>
        </w:tc>
        <w:tc>
          <w:tcPr>
            <w:tcW w:w="1705" w:type="pct"/>
            <w:shd w:val="clear" w:color="auto" w:fill="auto"/>
          </w:tcPr>
          <w:p w14:paraId="1A4E1A9C" w14:textId="77777777" w:rsidR="00A2283E" w:rsidRPr="00A2283E" w:rsidRDefault="00810F41" w:rsidP="00810F41">
            <w:pPr>
              <w:pStyle w:val="TableText"/>
              <w:rPr>
                <w:i/>
                <w:lang w:eastAsia="en-US"/>
              </w:rPr>
            </w:pPr>
            <w:r>
              <w:rPr>
                <w:rFonts w:cs="Arial"/>
                <w:i/>
                <w:color w:val="000000"/>
                <w:szCs w:val="20"/>
              </w:rPr>
              <w:t>The ACFE</w:t>
            </w:r>
            <w:r w:rsidR="00B42CFB">
              <w:rPr>
                <w:rFonts w:cs="Arial"/>
                <w:i/>
                <w:color w:val="000000"/>
                <w:szCs w:val="20"/>
              </w:rPr>
              <w:t xml:space="preserve"> </w:t>
            </w:r>
            <w:r w:rsidR="00A2283E" w:rsidRPr="00A2283E">
              <w:rPr>
                <w:rFonts w:cs="Arial"/>
                <w:i/>
                <w:color w:val="000000"/>
                <w:szCs w:val="20"/>
              </w:rPr>
              <w:t>B</w:t>
            </w:r>
            <w:r w:rsidR="00B42CFB">
              <w:rPr>
                <w:rFonts w:cs="Arial"/>
                <w:i/>
                <w:color w:val="000000"/>
                <w:szCs w:val="20"/>
              </w:rPr>
              <w:t>oard</w:t>
            </w:r>
            <w:r w:rsidR="00A2283E" w:rsidRPr="00A2283E">
              <w:rPr>
                <w:rFonts w:cs="Arial"/>
                <w:i/>
                <w:color w:val="000000"/>
                <w:szCs w:val="20"/>
              </w:rPr>
              <w:t xml:space="preserve"> Audit and Risk Committee </w:t>
            </w:r>
            <w:r w:rsidR="00A2283E" w:rsidRPr="00AB720C">
              <w:rPr>
                <w:rFonts w:cs="Arial"/>
                <w:i/>
                <w:color w:val="000000"/>
                <w:szCs w:val="20"/>
              </w:rPr>
              <w:t xml:space="preserve">met </w:t>
            </w:r>
            <w:r w:rsidR="00F71670" w:rsidRPr="00AB720C">
              <w:rPr>
                <w:rFonts w:cs="Arial"/>
                <w:i/>
                <w:color w:val="000000"/>
                <w:szCs w:val="20"/>
              </w:rPr>
              <w:t>f</w:t>
            </w:r>
            <w:r w:rsidR="00AB720C" w:rsidRPr="00AB720C">
              <w:rPr>
                <w:rFonts w:cs="Arial"/>
                <w:i/>
                <w:color w:val="000000"/>
                <w:szCs w:val="20"/>
              </w:rPr>
              <w:t>our</w:t>
            </w:r>
            <w:r w:rsidR="00A2283E" w:rsidRPr="00AB720C">
              <w:rPr>
                <w:rFonts w:cs="Arial"/>
                <w:i/>
                <w:color w:val="000000"/>
                <w:szCs w:val="20"/>
              </w:rPr>
              <w:t xml:space="preserve"> times during the reporting period.</w:t>
            </w:r>
          </w:p>
        </w:tc>
      </w:tr>
      <w:tr w:rsidR="00FB10E3" w:rsidRPr="00AD4CA1" w14:paraId="66A1624D" w14:textId="77777777" w:rsidTr="00A22F1B">
        <w:trPr>
          <w:cantSplit/>
        </w:trPr>
        <w:tc>
          <w:tcPr>
            <w:tcW w:w="1717" w:type="pct"/>
            <w:shd w:val="clear" w:color="auto" w:fill="auto"/>
          </w:tcPr>
          <w:p w14:paraId="0B731168" w14:textId="77777777" w:rsidR="00FB10E3" w:rsidRDefault="00FB10E3" w:rsidP="00E1353D">
            <w:pPr>
              <w:pStyle w:val="TableText"/>
              <w:rPr>
                <w:i/>
                <w:szCs w:val="20"/>
              </w:rPr>
            </w:pPr>
            <w:r>
              <w:rPr>
                <w:i/>
                <w:szCs w:val="20"/>
              </w:rPr>
              <w:t>ACFE Board Finance Committee</w:t>
            </w:r>
          </w:p>
        </w:tc>
        <w:tc>
          <w:tcPr>
            <w:tcW w:w="1578" w:type="pct"/>
            <w:shd w:val="clear" w:color="auto" w:fill="auto"/>
          </w:tcPr>
          <w:p w14:paraId="586F8398" w14:textId="77777777" w:rsidR="00BC06B8" w:rsidRPr="00BC06B8" w:rsidRDefault="00BC06B8" w:rsidP="00BC06B8">
            <w:pPr>
              <w:pStyle w:val="TableText"/>
              <w:rPr>
                <w:rFonts w:cs="Arial"/>
                <w:i/>
                <w:color w:val="000000"/>
                <w:szCs w:val="20"/>
              </w:rPr>
            </w:pPr>
            <w:r w:rsidRPr="00BC06B8">
              <w:rPr>
                <w:rFonts w:cs="Arial"/>
                <w:i/>
                <w:color w:val="000000"/>
                <w:szCs w:val="20"/>
              </w:rPr>
              <w:t>T</w:t>
            </w:r>
            <w:r>
              <w:rPr>
                <w:rFonts w:cs="Arial"/>
                <w:i/>
                <w:color w:val="000000"/>
                <w:szCs w:val="20"/>
              </w:rPr>
              <w:t>he</w:t>
            </w:r>
            <w:r w:rsidRPr="00BC06B8">
              <w:rPr>
                <w:rFonts w:cs="Arial"/>
                <w:i/>
                <w:color w:val="000000"/>
                <w:szCs w:val="20"/>
              </w:rPr>
              <w:t xml:space="preserve"> Finance Committee</w:t>
            </w:r>
            <w:r>
              <w:rPr>
                <w:rFonts w:cs="Arial"/>
                <w:i/>
                <w:color w:val="000000"/>
                <w:szCs w:val="20"/>
              </w:rPr>
              <w:t>:</w:t>
            </w:r>
          </w:p>
          <w:p w14:paraId="49183CA1" w14:textId="77777777" w:rsidR="00BC06B8" w:rsidRPr="00BC06B8" w:rsidRDefault="00BC06B8" w:rsidP="00BC06B8">
            <w:pPr>
              <w:pStyle w:val="TableText"/>
              <w:numPr>
                <w:ilvl w:val="0"/>
                <w:numId w:val="31"/>
              </w:numPr>
              <w:ind w:left="138" w:hanging="138"/>
              <w:rPr>
                <w:rFonts w:cs="Arial"/>
                <w:i/>
                <w:color w:val="000000"/>
                <w:szCs w:val="20"/>
              </w:rPr>
            </w:pPr>
            <w:r>
              <w:rPr>
                <w:rFonts w:cs="Arial"/>
                <w:i/>
                <w:color w:val="000000"/>
                <w:szCs w:val="20"/>
              </w:rPr>
              <w:t>a</w:t>
            </w:r>
            <w:r w:rsidRPr="00BC06B8">
              <w:rPr>
                <w:rFonts w:cs="Arial"/>
                <w:i/>
                <w:color w:val="000000"/>
                <w:szCs w:val="20"/>
              </w:rPr>
              <w:t>dvise</w:t>
            </w:r>
            <w:r>
              <w:rPr>
                <w:rFonts w:cs="Arial"/>
                <w:i/>
                <w:color w:val="000000"/>
                <w:szCs w:val="20"/>
              </w:rPr>
              <w:t>s on</w:t>
            </w:r>
            <w:r w:rsidRPr="00BC06B8">
              <w:rPr>
                <w:rFonts w:cs="Arial"/>
                <w:i/>
                <w:color w:val="000000"/>
                <w:szCs w:val="20"/>
              </w:rPr>
              <w:t xml:space="preserve"> funding allocation</w:t>
            </w:r>
          </w:p>
          <w:p w14:paraId="41DAC13B" w14:textId="77777777" w:rsidR="00BC06B8" w:rsidRPr="00BC06B8" w:rsidRDefault="00BC06B8" w:rsidP="00BC06B8">
            <w:pPr>
              <w:pStyle w:val="TableText"/>
              <w:numPr>
                <w:ilvl w:val="0"/>
                <w:numId w:val="31"/>
              </w:numPr>
              <w:ind w:left="138" w:hanging="138"/>
              <w:rPr>
                <w:rFonts w:cs="Arial"/>
                <w:i/>
                <w:color w:val="000000"/>
                <w:szCs w:val="20"/>
              </w:rPr>
            </w:pPr>
            <w:r w:rsidRPr="00BC06B8">
              <w:rPr>
                <w:rFonts w:cs="Arial"/>
                <w:i/>
                <w:color w:val="000000"/>
                <w:szCs w:val="20"/>
              </w:rPr>
              <w:t>monitor</w:t>
            </w:r>
            <w:r>
              <w:rPr>
                <w:rFonts w:cs="Arial"/>
                <w:i/>
                <w:color w:val="000000"/>
                <w:szCs w:val="20"/>
              </w:rPr>
              <w:t>s</w:t>
            </w:r>
            <w:r w:rsidRPr="00BC06B8">
              <w:rPr>
                <w:rFonts w:cs="Arial"/>
                <w:i/>
                <w:color w:val="000000"/>
                <w:szCs w:val="20"/>
              </w:rPr>
              <w:t xml:space="preserve"> financial performance against </w:t>
            </w:r>
            <w:r>
              <w:rPr>
                <w:rFonts w:cs="Arial"/>
                <w:i/>
                <w:color w:val="000000"/>
                <w:szCs w:val="20"/>
              </w:rPr>
              <w:t xml:space="preserve">Board </w:t>
            </w:r>
            <w:r w:rsidRPr="00BC06B8">
              <w:rPr>
                <w:rFonts w:cs="Arial"/>
                <w:i/>
                <w:color w:val="000000"/>
                <w:szCs w:val="20"/>
              </w:rPr>
              <w:t>funding allocations</w:t>
            </w:r>
          </w:p>
          <w:p w14:paraId="0033DEFC" w14:textId="77777777" w:rsidR="00BC06B8" w:rsidRPr="00BC06B8" w:rsidRDefault="00BC06B8" w:rsidP="00BC06B8">
            <w:pPr>
              <w:pStyle w:val="TableText"/>
              <w:numPr>
                <w:ilvl w:val="0"/>
                <w:numId w:val="31"/>
              </w:numPr>
              <w:ind w:left="138" w:hanging="138"/>
              <w:rPr>
                <w:rFonts w:cs="Arial"/>
                <w:i/>
                <w:color w:val="000000"/>
                <w:szCs w:val="20"/>
              </w:rPr>
            </w:pPr>
            <w:r w:rsidRPr="00BC06B8">
              <w:rPr>
                <w:rFonts w:cs="Arial"/>
                <w:i/>
                <w:color w:val="000000"/>
                <w:szCs w:val="20"/>
              </w:rPr>
              <w:t>advise</w:t>
            </w:r>
            <w:r>
              <w:rPr>
                <w:rFonts w:cs="Arial"/>
                <w:i/>
                <w:color w:val="000000"/>
                <w:szCs w:val="20"/>
              </w:rPr>
              <w:t>s the Board</w:t>
            </w:r>
            <w:r w:rsidRPr="00BC06B8">
              <w:rPr>
                <w:rFonts w:cs="Arial"/>
                <w:i/>
                <w:color w:val="000000"/>
                <w:szCs w:val="20"/>
              </w:rPr>
              <w:t xml:space="preserve"> regarding treatment of unrecoverable debts</w:t>
            </w:r>
          </w:p>
          <w:p w14:paraId="60FE2843" w14:textId="77777777" w:rsidR="00BC06B8" w:rsidRPr="00BC06B8" w:rsidRDefault="00BC06B8" w:rsidP="00BC06B8">
            <w:pPr>
              <w:pStyle w:val="TableText"/>
              <w:numPr>
                <w:ilvl w:val="0"/>
                <w:numId w:val="31"/>
              </w:numPr>
              <w:ind w:left="138" w:hanging="138"/>
              <w:rPr>
                <w:rFonts w:cs="Arial"/>
                <w:i/>
                <w:color w:val="000000"/>
                <w:szCs w:val="20"/>
              </w:rPr>
            </w:pPr>
            <w:r w:rsidRPr="00BC06B8">
              <w:rPr>
                <w:rFonts w:cs="Arial"/>
                <w:i/>
                <w:color w:val="000000"/>
                <w:szCs w:val="20"/>
              </w:rPr>
              <w:t>ensure</w:t>
            </w:r>
            <w:r>
              <w:rPr>
                <w:rFonts w:cs="Arial"/>
                <w:i/>
                <w:color w:val="000000"/>
                <w:szCs w:val="20"/>
              </w:rPr>
              <w:t>s</w:t>
            </w:r>
            <w:r w:rsidRPr="00BC06B8">
              <w:rPr>
                <w:rFonts w:cs="Arial"/>
                <w:i/>
                <w:color w:val="000000"/>
                <w:szCs w:val="20"/>
              </w:rPr>
              <w:t xml:space="preserve"> effective oversight of financial resources in alignment with </w:t>
            </w:r>
            <w:r>
              <w:rPr>
                <w:rFonts w:cs="Arial"/>
                <w:i/>
                <w:color w:val="000000"/>
                <w:szCs w:val="20"/>
              </w:rPr>
              <w:t>Board</w:t>
            </w:r>
            <w:r w:rsidRPr="00BC06B8">
              <w:rPr>
                <w:rFonts w:cs="Arial"/>
                <w:i/>
                <w:color w:val="000000"/>
                <w:szCs w:val="20"/>
              </w:rPr>
              <w:t xml:space="preserve"> objectives</w:t>
            </w:r>
          </w:p>
          <w:p w14:paraId="115B6D75" w14:textId="77777777" w:rsidR="00FB10E3" w:rsidRPr="00BC06B8" w:rsidRDefault="00BC06B8" w:rsidP="00BC06B8">
            <w:pPr>
              <w:pStyle w:val="TableText"/>
              <w:numPr>
                <w:ilvl w:val="0"/>
                <w:numId w:val="31"/>
              </w:numPr>
              <w:ind w:left="138" w:hanging="138"/>
              <w:rPr>
                <w:rFonts w:cs="Arial"/>
                <w:i/>
                <w:color w:val="000000"/>
                <w:szCs w:val="20"/>
              </w:rPr>
            </w:pPr>
            <w:r w:rsidRPr="00BC06B8">
              <w:rPr>
                <w:rFonts w:cs="Arial"/>
                <w:i/>
                <w:color w:val="000000"/>
                <w:szCs w:val="20"/>
              </w:rPr>
              <w:t>lead</w:t>
            </w:r>
            <w:r>
              <w:rPr>
                <w:rFonts w:cs="Arial"/>
                <w:i/>
                <w:color w:val="000000"/>
                <w:szCs w:val="20"/>
              </w:rPr>
              <w:t>s</w:t>
            </w:r>
            <w:r w:rsidRPr="00BC06B8">
              <w:rPr>
                <w:rFonts w:cs="Arial"/>
                <w:i/>
                <w:color w:val="000000"/>
                <w:szCs w:val="20"/>
              </w:rPr>
              <w:t xml:space="preserve"> improvements to </w:t>
            </w:r>
            <w:r>
              <w:rPr>
                <w:rFonts w:cs="Arial"/>
                <w:i/>
                <w:color w:val="000000"/>
                <w:szCs w:val="20"/>
              </w:rPr>
              <w:t>Board</w:t>
            </w:r>
            <w:r w:rsidRPr="00BC06B8">
              <w:rPr>
                <w:rFonts w:cs="Arial"/>
                <w:i/>
                <w:color w:val="000000"/>
                <w:szCs w:val="20"/>
              </w:rPr>
              <w:t xml:space="preserve"> financial efficiency and sustainability.</w:t>
            </w:r>
          </w:p>
        </w:tc>
        <w:tc>
          <w:tcPr>
            <w:tcW w:w="1705" w:type="pct"/>
            <w:shd w:val="clear" w:color="auto" w:fill="auto"/>
          </w:tcPr>
          <w:p w14:paraId="7B82DE91" w14:textId="77777777" w:rsidR="00FB10E3" w:rsidRDefault="00F30A81" w:rsidP="00810F41">
            <w:pPr>
              <w:pStyle w:val="TableText"/>
              <w:rPr>
                <w:rFonts w:cs="Arial"/>
                <w:i/>
                <w:color w:val="000000"/>
                <w:szCs w:val="20"/>
              </w:rPr>
            </w:pPr>
            <w:r>
              <w:rPr>
                <w:rFonts w:cs="Arial"/>
                <w:i/>
                <w:color w:val="000000"/>
                <w:szCs w:val="20"/>
              </w:rPr>
              <w:t xml:space="preserve">The ACFE </w:t>
            </w:r>
            <w:r>
              <w:rPr>
                <w:i/>
                <w:szCs w:val="20"/>
              </w:rPr>
              <w:t xml:space="preserve">Board Finance Committee met </w:t>
            </w:r>
            <w:r w:rsidR="00943681">
              <w:rPr>
                <w:i/>
                <w:szCs w:val="20"/>
              </w:rPr>
              <w:t xml:space="preserve">three times </w:t>
            </w:r>
            <w:r w:rsidR="00943681" w:rsidRPr="00AB720C">
              <w:rPr>
                <w:rFonts w:cs="Arial"/>
                <w:i/>
                <w:color w:val="000000"/>
                <w:szCs w:val="20"/>
              </w:rPr>
              <w:t>during the reporting period.</w:t>
            </w:r>
          </w:p>
        </w:tc>
      </w:tr>
      <w:tr w:rsidR="00FB10E3" w:rsidRPr="00AD4CA1" w14:paraId="2A8021F3" w14:textId="77777777" w:rsidTr="00A22F1B">
        <w:trPr>
          <w:cantSplit/>
        </w:trPr>
        <w:tc>
          <w:tcPr>
            <w:tcW w:w="1717" w:type="pct"/>
            <w:shd w:val="clear" w:color="auto" w:fill="auto"/>
          </w:tcPr>
          <w:p w14:paraId="5845071A" w14:textId="77777777" w:rsidR="00FB10E3" w:rsidRDefault="00FB10E3" w:rsidP="00E1353D">
            <w:pPr>
              <w:pStyle w:val="TableText"/>
              <w:rPr>
                <w:i/>
                <w:szCs w:val="20"/>
              </w:rPr>
            </w:pPr>
            <w:r>
              <w:rPr>
                <w:i/>
                <w:szCs w:val="20"/>
              </w:rPr>
              <w:t>ACFE Board Planning, Prioritisation and Performance Committee</w:t>
            </w:r>
          </w:p>
        </w:tc>
        <w:tc>
          <w:tcPr>
            <w:tcW w:w="1578" w:type="pct"/>
            <w:shd w:val="clear" w:color="auto" w:fill="auto"/>
          </w:tcPr>
          <w:p w14:paraId="6B2E5632" w14:textId="77777777" w:rsidR="002529C3" w:rsidRPr="002529C3" w:rsidRDefault="005F398C" w:rsidP="002529C3">
            <w:pPr>
              <w:pStyle w:val="TableText"/>
              <w:rPr>
                <w:rFonts w:cs="Arial"/>
                <w:i/>
                <w:color w:val="000000"/>
                <w:szCs w:val="20"/>
              </w:rPr>
            </w:pPr>
            <w:r>
              <w:rPr>
                <w:rFonts w:cs="Arial"/>
                <w:i/>
                <w:color w:val="000000"/>
                <w:szCs w:val="20"/>
              </w:rPr>
              <w:t xml:space="preserve">The </w:t>
            </w:r>
            <w:r>
              <w:rPr>
                <w:i/>
                <w:szCs w:val="20"/>
              </w:rPr>
              <w:t>Planning, Prioritisation and Performance Committee:</w:t>
            </w:r>
          </w:p>
          <w:p w14:paraId="6BADAFA0" w14:textId="77777777" w:rsidR="00F65C71" w:rsidRPr="00F65C71" w:rsidRDefault="002529C3" w:rsidP="00F65C71">
            <w:pPr>
              <w:pStyle w:val="TableText"/>
              <w:numPr>
                <w:ilvl w:val="0"/>
                <w:numId w:val="31"/>
              </w:numPr>
              <w:ind w:left="138" w:hanging="138"/>
              <w:rPr>
                <w:rFonts w:cs="Arial"/>
                <w:i/>
                <w:color w:val="000000"/>
                <w:szCs w:val="20"/>
              </w:rPr>
            </w:pPr>
            <w:r w:rsidRPr="002529C3">
              <w:rPr>
                <w:rFonts w:cs="Arial"/>
                <w:i/>
                <w:color w:val="000000"/>
                <w:szCs w:val="20"/>
              </w:rPr>
              <w:t>evaluate</w:t>
            </w:r>
            <w:r>
              <w:rPr>
                <w:rFonts w:cs="Arial"/>
                <w:i/>
                <w:color w:val="000000"/>
                <w:szCs w:val="20"/>
              </w:rPr>
              <w:t>s</w:t>
            </w:r>
            <w:r w:rsidRPr="002529C3">
              <w:rPr>
                <w:rFonts w:cs="Arial"/>
                <w:i/>
                <w:color w:val="000000"/>
                <w:szCs w:val="20"/>
              </w:rPr>
              <w:t xml:space="preserve"> </w:t>
            </w:r>
            <w:r w:rsidR="00F65C71">
              <w:rPr>
                <w:rFonts w:cs="Arial"/>
                <w:i/>
                <w:color w:val="000000"/>
                <w:szCs w:val="20"/>
              </w:rPr>
              <w:t>potential Board</w:t>
            </w:r>
            <w:r w:rsidRPr="002529C3">
              <w:rPr>
                <w:rFonts w:cs="Arial"/>
                <w:i/>
                <w:color w:val="000000"/>
                <w:szCs w:val="20"/>
              </w:rPr>
              <w:t xml:space="preserve"> projects</w:t>
            </w:r>
            <w:r>
              <w:rPr>
                <w:rFonts w:cs="Arial"/>
                <w:i/>
                <w:color w:val="000000"/>
                <w:szCs w:val="20"/>
              </w:rPr>
              <w:t>/work</w:t>
            </w:r>
          </w:p>
          <w:p w14:paraId="013789E3" w14:textId="77777777" w:rsidR="002529C3" w:rsidRPr="002529C3" w:rsidRDefault="002529C3" w:rsidP="002529C3">
            <w:pPr>
              <w:pStyle w:val="TableText"/>
              <w:numPr>
                <w:ilvl w:val="0"/>
                <w:numId w:val="31"/>
              </w:numPr>
              <w:ind w:left="138" w:hanging="138"/>
              <w:rPr>
                <w:rFonts w:cs="Arial"/>
                <w:i/>
                <w:color w:val="000000"/>
                <w:szCs w:val="20"/>
              </w:rPr>
            </w:pPr>
            <w:r w:rsidRPr="002529C3">
              <w:rPr>
                <w:rFonts w:cs="Arial"/>
                <w:i/>
                <w:color w:val="000000"/>
                <w:szCs w:val="20"/>
              </w:rPr>
              <w:t>monitor</w:t>
            </w:r>
            <w:r>
              <w:rPr>
                <w:rFonts w:cs="Arial"/>
                <w:i/>
                <w:color w:val="000000"/>
                <w:szCs w:val="20"/>
              </w:rPr>
              <w:t>s</w:t>
            </w:r>
            <w:r w:rsidRPr="002529C3">
              <w:rPr>
                <w:rFonts w:cs="Arial"/>
                <w:i/>
                <w:color w:val="000000"/>
                <w:szCs w:val="20"/>
              </w:rPr>
              <w:t xml:space="preserve"> and receive</w:t>
            </w:r>
            <w:r>
              <w:rPr>
                <w:rFonts w:cs="Arial"/>
                <w:i/>
                <w:color w:val="000000"/>
                <w:szCs w:val="20"/>
              </w:rPr>
              <w:t>s</w:t>
            </w:r>
            <w:r w:rsidRPr="002529C3">
              <w:rPr>
                <w:rFonts w:cs="Arial"/>
                <w:i/>
                <w:color w:val="000000"/>
                <w:szCs w:val="20"/>
              </w:rPr>
              <w:t xml:space="preserve"> reports on </w:t>
            </w:r>
            <w:r>
              <w:rPr>
                <w:rFonts w:cs="Arial"/>
                <w:i/>
                <w:color w:val="000000"/>
                <w:szCs w:val="20"/>
              </w:rPr>
              <w:t>Board</w:t>
            </w:r>
            <w:r w:rsidRPr="002529C3">
              <w:rPr>
                <w:rFonts w:cs="Arial"/>
                <w:i/>
                <w:color w:val="000000"/>
                <w:szCs w:val="20"/>
              </w:rPr>
              <w:t xml:space="preserve"> </w:t>
            </w:r>
            <w:r w:rsidR="00F65C71">
              <w:rPr>
                <w:rFonts w:cs="Arial"/>
                <w:i/>
                <w:color w:val="000000"/>
                <w:szCs w:val="20"/>
              </w:rPr>
              <w:t xml:space="preserve">project </w:t>
            </w:r>
            <w:r w:rsidRPr="002529C3">
              <w:rPr>
                <w:rFonts w:cs="Arial"/>
                <w:i/>
                <w:color w:val="000000"/>
                <w:szCs w:val="20"/>
              </w:rPr>
              <w:t>work</w:t>
            </w:r>
          </w:p>
          <w:p w14:paraId="4AB16736" w14:textId="77777777" w:rsidR="002529C3" w:rsidRPr="002529C3" w:rsidRDefault="002529C3" w:rsidP="002529C3">
            <w:pPr>
              <w:pStyle w:val="TableText"/>
              <w:numPr>
                <w:ilvl w:val="0"/>
                <w:numId w:val="31"/>
              </w:numPr>
              <w:ind w:left="138" w:hanging="138"/>
              <w:rPr>
                <w:rFonts w:cs="Arial"/>
                <w:i/>
                <w:color w:val="000000"/>
                <w:szCs w:val="20"/>
              </w:rPr>
            </w:pPr>
            <w:r w:rsidRPr="002529C3">
              <w:rPr>
                <w:rFonts w:cs="Arial"/>
                <w:i/>
                <w:color w:val="000000"/>
                <w:szCs w:val="20"/>
              </w:rPr>
              <w:t>identif</w:t>
            </w:r>
            <w:r>
              <w:rPr>
                <w:rFonts w:cs="Arial"/>
                <w:i/>
                <w:color w:val="000000"/>
                <w:szCs w:val="20"/>
              </w:rPr>
              <w:t>ies</w:t>
            </w:r>
            <w:r w:rsidRPr="002529C3">
              <w:rPr>
                <w:rFonts w:cs="Arial"/>
                <w:i/>
                <w:color w:val="000000"/>
                <w:szCs w:val="20"/>
              </w:rPr>
              <w:t xml:space="preserve"> interdependencies and connections across work streams, and advise</w:t>
            </w:r>
            <w:r>
              <w:rPr>
                <w:rFonts w:cs="Arial"/>
                <w:i/>
                <w:color w:val="000000"/>
                <w:szCs w:val="20"/>
              </w:rPr>
              <w:t xml:space="preserve">s </w:t>
            </w:r>
            <w:r w:rsidRPr="002529C3">
              <w:rPr>
                <w:rFonts w:cs="Arial"/>
                <w:i/>
                <w:color w:val="000000"/>
                <w:szCs w:val="20"/>
              </w:rPr>
              <w:t>on opportunities to pursue synergies and collaboration</w:t>
            </w:r>
          </w:p>
          <w:p w14:paraId="12D160BB" w14:textId="77777777" w:rsidR="002529C3" w:rsidRPr="002529C3" w:rsidRDefault="002529C3" w:rsidP="002529C3">
            <w:pPr>
              <w:pStyle w:val="TableText"/>
              <w:numPr>
                <w:ilvl w:val="0"/>
                <w:numId w:val="31"/>
              </w:numPr>
              <w:ind w:left="138" w:hanging="138"/>
              <w:rPr>
                <w:rFonts w:cs="Arial"/>
                <w:i/>
                <w:color w:val="000000"/>
                <w:szCs w:val="20"/>
              </w:rPr>
            </w:pPr>
            <w:r w:rsidRPr="002529C3">
              <w:rPr>
                <w:rFonts w:cs="Arial"/>
                <w:i/>
                <w:color w:val="000000"/>
                <w:szCs w:val="20"/>
              </w:rPr>
              <w:t>consider</w:t>
            </w:r>
            <w:r>
              <w:rPr>
                <w:rFonts w:cs="Arial"/>
                <w:i/>
                <w:color w:val="000000"/>
                <w:szCs w:val="20"/>
              </w:rPr>
              <w:t>s</w:t>
            </w:r>
            <w:r w:rsidRPr="002529C3">
              <w:rPr>
                <w:rFonts w:cs="Arial"/>
                <w:i/>
                <w:color w:val="000000"/>
                <w:szCs w:val="20"/>
              </w:rPr>
              <w:t xml:space="preserve"> changes in the approach and scope of </w:t>
            </w:r>
            <w:r>
              <w:rPr>
                <w:rFonts w:cs="Arial"/>
                <w:i/>
                <w:color w:val="000000"/>
                <w:szCs w:val="20"/>
              </w:rPr>
              <w:t>Board</w:t>
            </w:r>
            <w:r w:rsidRPr="002529C3">
              <w:rPr>
                <w:rFonts w:cs="Arial"/>
                <w:i/>
                <w:color w:val="000000"/>
                <w:szCs w:val="20"/>
              </w:rPr>
              <w:t xml:space="preserve"> work</w:t>
            </w:r>
          </w:p>
          <w:p w14:paraId="0578AA46" w14:textId="77777777" w:rsidR="002529C3" w:rsidRPr="002529C3" w:rsidRDefault="002529C3" w:rsidP="002529C3">
            <w:pPr>
              <w:pStyle w:val="TableText"/>
              <w:numPr>
                <w:ilvl w:val="0"/>
                <w:numId w:val="31"/>
              </w:numPr>
              <w:ind w:left="138" w:hanging="138"/>
              <w:rPr>
                <w:rFonts w:cs="Arial"/>
                <w:i/>
                <w:color w:val="000000"/>
                <w:szCs w:val="20"/>
              </w:rPr>
            </w:pPr>
            <w:r w:rsidRPr="002529C3">
              <w:rPr>
                <w:rFonts w:cs="Arial"/>
                <w:i/>
                <w:color w:val="000000"/>
                <w:szCs w:val="20"/>
              </w:rPr>
              <w:t>ensu</w:t>
            </w:r>
            <w:r>
              <w:rPr>
                <w:rFonts w:cs="Arial"/>
                <w:i/>
                <w:color w:val="000000"/>
                <w:szCs w:val="20"/>
              </w:rPr>
              <w:t>res</w:t>
            </w:r>
            <w:r w:rsidRPr="002529C3">
              <w:rPr>
                <w:rFonts w:cs="Arial"/>
                <w:i/>
                <w:color w:val="000000"/>
                <w:szCs w:val="20"/>
              </w:rPr>
              <w:t xml:space="preserve"> lessons learnt from previous projects and other work are captured and used as an evidence-base to help inform the development of future actions</w:t>
            </w:r>
          </w:p>
          <w:p w14:paraId="0128E5B9" w14:textId="77777777" w:rsidR="00F65C71" w:rsidRPr="002529C3" w:rsidRDefault="00F65C71" w:rsidP="00F65C71">
            <w:pPr>
              <w:pStyle w:val="TableText"/>
              <w:numPr>
                <w:ilvl w:val="0"/>
                <w:numId w:val="31"/>
              </w:numPr>
              <w:ind w:left="138" w:hanging="138"/>
              <w:rPr>
                <w:rFonts w:cs="Arial"/>
                <w:i/>
                <w:color w:val="000000"/>
                <w:szCs w:val="20"/>
              </w:rPr>
            </w:pPr>
            <w:r w:rsidRPr="002529C3">
              <w:rPr>
                <w:rFonts w:cs="Arial"/>
                <w:i/>
                <w:color w:val="000000"/>
                <w:szCs w:val="20"/>
              </w:rPr>
              <w:t>report</w:t>
            </w:r>
            <w:r>
              <w:rPr>
                <w:rFonts w:cs="Arial"/>
                <w:i/>
                <w:color w:val="000000"/>
                <w:szCs w:val="20"/>
              </w:rPr>
              <w:t>s</w:t>
            </w:r>
            <w:r w:rsidRPr="002529C3">
              <w:rPr>
                <w:rFonts w:cs="Arial"/>
                <w:i/>
                <w:color w:val="000000"/>
                <w:szCs w:val="20"/>
              </w:rPr>
              <w:t xml:space="preserve"> to</w:t>
            </w:r>
            <w:r>
              <w:rPr>
                <w:rFonts w:cs="Arial"/>
                <w:i/>
                <w:color w:val="000000"/>
                <w:szCs w:val="20"/>
              </w:rPr>
              <w:t xml:space="preserve"> the Board </w:t>
            </w:r>
          </w:p>
          <w:p w14:paraId="190196B8" w14:textId="77777777" w:rsidR="00FB10E3" w:rsidRPr="00A2283E" w:rsidRDefault="002529C3" w:rsidP="002529C3">
            <w:pPr>
              <w:pStyle w:val="TableText"/>
              <w:numPr>
                <w:ilvl w:val="0"/>
                <w:numId w:val="31"/>
              </w:numPr>
              <w:ind w:left="138" w:hanging="138"/>
              <w:rPr>
                <w:rFonts w:cs="Arial"/>
                <w:i/>
                <w:color w:val="000000"/>
                <w:szCs w:val="20"/>
              </w:rPr>
            </w:pPr>
            <w:r w:rsidRPr="002529C3">
              <w:rPr>
                <w:rFonts w:cs="Arial"/>
                <w:i/>
                <w:color w:val="000000"/>
                <w:szCs w:val="20"/>
              </w:rPr>
              <w:t>otherwise support</w:t>
            </w:r>
            <w:r>
              <w:rPr>
                <w:rFonts w:cs="Arial"/>
                <w:i/>
                <w:color w:val="000000"/>
                <w:szCs w:val="20"/>
              </w:rPr>
              <w:t>s</w:t>
            </w:r>
            <w:r w:rsidRPr="002529C3">
              <w:rPr>
                <w:rFonts w:cs="Arial"/>
                <w:i/>
                <w:color w:val="000000"/>
                <w:szCs w:val="20"/>
              </w:rPr>
              <w:t xml:space="preserve"> </w:t>
            </w:r>
            <w:r w:rsidR="005F398C">
              <w:rPr>
                <w:rFonts w:cs="Arial"/>
                <w:i/>
                <w:color w:val="000000"/>
                <w:szCs w:val="20"/>
              </w:rPr>
              <w:t xml:space="preserve">the </w:t>
            </w:r>
            <w:r w:rsidRPr="002529C3">
              <w:rPr>
                <w:rFonts w:cs="Arial"/>
                <w:i/>
                <w:color w:val="000000"/>
                <w:szCs w:val="20"/>
              </w:rPr>
              <w:t>ACFE</w:t>
            </w:r>
            <w:r w:rsidR="005F398C">
              <w:rPr>
                <w:rFonts w:cs="Arial"/>
                <w:i/>
                <w:color w:val="000000"/>
                <w:szCs w:val="20"/>
              </w:rPr>
              <w:t xml:space="preserve"> Board</w:t>
            </w:r>
            <w:r w:rsidRPr="002529C3">
              <w:rPr>
                <w:rFonts w:cs="Arial"/>
                <w:i/>
                <w:color w:val="000000"/>
                <w:szCs w:val="20"/>
              </w:rPr>
              <w:t>’s strategic thinking.</w:t>
            </w:r>
          </w:p>
        </w:tc>
        <w:tc>
          <w:tcPr>
            <w:tcW w:w="1705" w:type="pct"/>
            <w:shd w:val="clear" w:color="auto" w:fill="auto"/>
          </w:tcPr>
          <w:p w14:paraId="6CFFC046" w14:textId="3871C09D" w:rsidR="00FB10E3" w:rsidRDefault="00943681" w:rsidP="00810F41">
            <w:pPr>
              <w:pStyle w:val="TableText"/>
              <w:rPr>
                <w:rFonts w:cs="Arial"/>
                <w:i/>
                <w:color w:val="000000"/>
                <w:szCs w:val="20"/>
              </w:rPr>
            </w:pPr>
            <w:r>
              <w:rPr>
                <w:rFonts w:cs="Arial"/>
                <w:i/>
                <w:color w:val="000000"/>
                <w:szCs w:val="20"/>
              </w:rPr>
              <w:t xml:space="preserve">The ACFE Board </w:t>
            </w:r>
            <w:r w:rsidR="00EC4D9D">
              <w:rPr>
                <w:i/>
                <w:szCs w:val="20"/>
              </w:rPr>
              <w:t>Planning, Prioritisation and Performance Committee</w:t>
            </w:r>
            <w:r w:rsidR="00EC4D9D">
              <w:rPr>
                <w:i/>
                <w:szCs w:val="20"/>
              </w:rPr>
              <w:t xml:space="preserve"> </w:t>
            </w:r>
            <w:r>
              <w:rPr>
                <w:i/>
                <w:szCs w:val="20"/>
              </w:rPr>
              <w:t xml:space="preserve">met </w:t>
            </w:r>
            <w:r w:rsidR="00611601">
              <w:rPr>
                <w:i/>
                <w:szCs w:val="20"/>
              </w:rPr>
              <w:t>nine</w:t>
            </w:r>
            <w:r>
              <w:rPr>
                <w:i/>
                <w:szCs w:val="20"/>
              </w:rPr>
              <w:t xml:space="preserve"> times </w:t>
            </w:r>
            <w:r w:rsidRPr="00AB720C">
              <w:rPr>
                <w:rFonts w:cs="Arial"/>
                <w:i/>
                <w:color w:val="000000"/>
                <w:szCs w:val="20"/>
              </w:rPr>
              <w:t>during the reporting period.</w:t>
            </w:r>
          </w:p>
        </w:tc>
      </w:tr>
    </w:tbl>
    <w:p w14:paraId="10A3215A" w14:textId="77777777" w:rsidR="007C0C69" w:rsidRPr="00804A45" w:rsidRDefault="007C0C69" w:rsidP="00A22F1B">
      <w:pPr>
        <w:keepNext/>
        <w:pageBreakBefore/>
        <w:numPr>
          <w:ilvl w:val="0"/>
          <w:numId w:val="11"/>
        </w:numPr>
        <w:autoSpaceDE w:val="0"/>
        <w:autoSpaceDN w:val="0"/>
        <w:adjustRightInd w:val="0"/>
        <w:spacing w:before="240" w:after="40"/>
        <w:ind w:left="284" w:hanging="284"/>
        <w:jc w:val="both"/>
        <w:outlineLvl w:val="1"/>
        <w:rPr>
          <w:rFonts w:ascii="Calibri" w:hAnsi="Calibri"/>
          <w:b/>
          <w:sz w:val="22"/>
          <w:szCs w:val="22"/>
        </w:rPr>
      </w:pPr>
      <w:bookmarkStart w:id="43" w:name="_Toc335125769"/>
      <w:r w:rsidRPr="00804A45">
        <w:rPr>
          <w:rFonts w:ascii="Calibri" w:hAnsi="Calibri"/>
          <w:b/>
          <w:sz w:val="22"/>
          <w:szCs w:val="22"/>
        </w:rPr>
        <w:lastRenderedPageBreak/>
        <w:t>Consultancies and contractors</w:t>
      </w:r>
      <w:bookmarkEnd w:id="43"/>
    </w:p>
    <w:p w14:paraId="5D432467" w14:textId="77777777" w:rsidR="002C2C8F" w:rsidRPr="00804A45" w:rsidRDefault="002E3373" w:rsidP="007726D1">
      <w:pPr>
        <w:keepNext/>
        <w:autoSpaceDE w:val="0"/>
        <w:autoSpaceDN w:val="0"/>
        <w:adjustRightInd w:val="0"/>
        <w:spacing w:before="40" w:after="120"/>
        <w:ind w:firstLine="284"/>
        <w:jc w:val="both"/>
        <w:rPr>
          <w:rFonts w:ascii="Calibri" w:hAnsi="Calibri"/>
          <w:sz w:val="22"/>
          <w:szCs w:val="22"/>
        </w:rPr>
      </w:pPr>
      <w:bookmarkStart w:id="44" w:name="_Hlk83056312"/>
      <w:r>
        <w:rPr>
          <w:rFonts w:ascii="Calibri" w:hAnsi="Calibri"/>
          <w:sz w:val="22"/>
          <w:szCs w:val="22"/>
        </w:rPr>
        <w:t>Two</w:t>
      </w:r>
      <w:r w:rsidR="00E1353D" w:rsidRPr="00804A45">
        <w:rPr>
          <w:rFonts w:ascii="Calibri" w:hAnsi="Calibri"/>
          <w:sz w:val="22"/>
          <w:szCs w:val="22"/>
        </w:rPr>
        <w:t xml:space="preserve"> </w:t>
      </w:r>
      <w:r w:rsidR="008B6E29" w:rsidRPr="00804A45">
        <w:rPr>
          <w:rFonts w:ascii="Calibri" w:hAnsi="Calibri"/>
          <w:sz w:val="22"/>
          <w:szCs w:val="22"/>
        </w:rPr>
        <w:t>consultancies</w:t>
      </w:r>
      <w:r>
        <w:rPr>
          <w:rFonts w:ascii="Calibri" w:hAnsi="Calibri"/>
          <w:sz w:val="22"/>
          <w:szCs w:val="22"/>
        </w:rPr>
        <w:t xml:space="preserve"> and six c</w:t>
      </w:r>
      <w:r w:rsidR="008B6E29" w:rsidRPr="00804A45">
        <w:rPr>
          <w:rFonts w:ascii="Calibri" w:hAnsi="Calibri"/>
          <w:sz w:val="22"/>
          <w:szCs w:val="22"/>
        </w:rPr>
        <w:t xml:space="preserve">ontractors </w:t>
      </w:r>
      <w:r w:rsidR="0035437B" w:rsidRPr="00804A45">
        <w:rPr>
          <w:rFonts w:ascii="Calibri" w:hAnsi="Calibri"/>
          <w:sz w:val="22"/>
          <w:szCs w:val="22"/>
        </w:rPr>
        <w:t>were engaged during the reporting period.</w:t>
      </w:r>
    </w:p>
    <w:tbl>
      <w:tblPr>
        <w:tblW w:w="5000" w:type="pct"/>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3418"/>
        <w:gridCol w:w="2972"/>
        <w:gridCol w:w="3248"/>
      </w:tblGrid>
      <w:tr w:rsidR="00A2283E" w:rsidRPr="00804A45" w14:paraId="1F567573" w14:textId="77777777" w:rsidTr="00A22F1B">
        <w:trPr>
          <w:cantSplit/>
        </w:trPr>
        <w:tc>
          <w:tcPr>
            <w:tcW w:w="1773" w:type="pct"/>
            <w:shd w:val="clear" w:color="auto" w:fill="A6A6A6"/>
          </w:tcPr>
          <w:p w14:paraId="73D871C9" w14:textId="77777777" w:rsidR="00A2283E" w:rsidRPr="00804A45" w:rsidRDefault="00A2283E" w:rsidP="006656DE">
            <w:pPr>
              <w:pStyle w:val="TableHeader"/>
            </w:pPr>
            <w:bookmarkStart w:id="45" w:name="_Hlk53488561"/>
            <w:r w:rsidRPr="00804A45">
              <w:t>Consultant/contractor engaged</w:t>
            </w:r>
          </w:p>
        </w:tc>
        <w:tc>
          <w:tcPr>
            <w:tcW w:w="1542" w:type="pct"/>
            <w:shd w:val="clear" w:color="auto" w:fill="A6A6A6"/>
          </w:tcPr>
          <w:p w14:paraId="51921B36" w14:textId="77777777" w:rsidR="00A2283E" w:rsidRPr="00804A45" w:rsidRDefault="00A2283E" w:rsidP="006656DE">
            <w:pPr>
              <w:pStyle w:val="TableHeader"/>
            </w:pPr>
            <w:r w:rsidRPr="00804A45">
              <w:t>Services provided</w:t>
            </w:r>
          </w:p>
        </w:tc>
        <w:tc>
          <w:tcPr>
            <w:tcW w:w="1685" w:type="pct"/>
            <w:shd w:val="clear" w:color="auto" w:fill="A6A6A6"/>
          </w:tcPr>
          <w:p w14:paraId="6D2AD5BC" w14:textId="77777777" w:rsidR="00A2283E" w:rsidRPr="00804A45" w:rsidRDefault="00A2283E" w:rsidP="006656DE">
            <w:pPr>
              <w:pStyle w:val="TableHeader"/>
            </w:pPr>
            <w:r w:rsidRPr="00804A45">
              <w:t>Expenditure committed</w:t>
            </w:r>
          </w:p>
        </w:tc>
      </w:tr>
      <w:tr w:rsidR="001A0C2C" w:rsidRPr="00804A45" w14:paraId="2FD6E728" w14:textId="77777777" w:rsidTr="00A22F1B">
        <w:trPr>
          <w:cantSplit/>
        </w:trPr>
        <w:tc>
          <w:tcPr>
            <w:tcW w:w="1773" w:type="pct"/>
            <w:shd w:val="clear" w:color="auto" w:fill="auto"/>
            <w:vAlign w:val="center"/>
          </w:tcPr>
          <w:p w14:paraId="52E482D6" w14:textId="77777777" w:rsidR="001A0C2C" w:rsidRPr="006700F3" w:rsidRDefault="001A0C2C" w:rsidP="001A0C2C">
            <w:pPr>
              <w:pStyle w:val="TableText"/>
              <w:rPr>
                <w:i/>
                <w:iCs/>
                <w:szCs w:val="20"/>
                <w:highlight w:val="yellow"/>
              </w:rPr>
            </w:pPr>
            <w:r w:rsidRPr="006700F3">
              <w:rPr>
                <w:i/>
                <w:iCs/>
                <w:noProof/>
              </w:rPr>
              <w:t>SenateSHJ</w:t>
            </w:r>
          </w:p>
        </w:tc>
        <w:tc>
          <w:tcPr>
            <w:tcW w:w="1542" w:type="pct"/>
            <w:shd w:val="clear" w:color="auto" w:fill="auto"/>
            <w:vAlign w:val="center"/>
          </w:tcPr>
          <w:p w14:paraId="237C1F37" w14:textId="77777777" w:rsidR="001A0C2C" w:rsidRPr="006700F3" w:rsidRDefault="001A0C2C" w:rsidP="001A0C2C">
            <w:pPr>
              <w:pStyle w:val="TableText"/>
              <w:rPr>
                <w:i/>
                <w:iCs/>
                <w:szCs w:val="20"/>
                <w:highlight w:val="yellow"/>
              </w:rPr>
            </w:pPr>
            <w:r w:rsidRPr="006700F3">
              <w:rPr>
                <w:i/>
                <w:iCs/>
                <w:noProof/>
              </w:rPr>
              <w:t>Implementation of Brand and value proposition project</w:t>
            </w:r>
          </w:p>
        </w:tc>
        <w:tc>
          <w:tcPr>
            <w:tcW w:w="1685" w:type="pct"/>
            <w:shd w:val="clear" w:color="auto" w:fill="auto"/>
            <w:vAlign w:val="bottom"/>
          </w:tcPr>
          <w:p w14:paraId="6BC641CB" w14:textId="77777777" w:rsidR="001A0C2C" w:rsidRPr="006700F3" w:rsidRDefault="001A0C2C" w:rsidP="001A0C2C">
            <w:pPr>
              <w:pStyle w:val="TableText"/>
              <w:rPr>
                <w:i/>
                <w:iCs/>
                <w:szCs w:val="20"/>
              </w:rPr>
            </w:pPr>
            <w:r w:rsidRPr="006700F3">
              <w:rPr>
                <w:i/>
                <w:iCs/>
              </w:rPr>
              <w:t>$57,430</w:t>
            </w:r>
          </w:p>
        </w:tc>
      </w:tr>
      <w:tr w:rsidR="006700F3" w:rsidRPr="00804A45" w14:paraId="6600F6AA" w14:textId="77777777" w:rsidTr="00A22F1B">
        <w:trPr>
          <w:cantSplit/>
        </w:trPr>
        <w:tc>
          <w:tcPr>
            <w:tcW w:w="1773" w:type="pct"/>
            <w:shd w:val="clear" w:color="auto" w:fill="auto"/>
            <w:vAlign w:val="center"/>
          </w:tcPr>
          <w:p w14:paraId="626EBE46" w14:textId="77777777" w:rsidR="006700F3" w:rsidRPr="006700F3" w:rsidRDefault="006700F3" w:rsidP="006700F3">
            <w:pPr>
              <w:pStyle w:val="TableText"/>
              <w:rPr>
                <w:i/>
                <w:iCs/>
                <w:szCs w:val="20"/>
                <w:highlight w:val="yellow"/>
              </w:rPr>
            </w:pPr>
            <w:r w:rsidRPr="006700F3">
              <w:rPr>
                <w:i/>
                <w:iCs/>
              </w:rPr>
              <w:t>Grosvenor Performance Group Pty Ltd</w:t>
            </w:r>
          </w:p>
        </w:tc>
        <w:tc>
          <w:tcPr>
            <w:tcW w:w="1542" w:type="pct"/>
            <w:shd w:val="clear" w:color="auto" w:fill="auto"/>
            <w:vAlign w:val="center"/>
          </w:tcPr>
          <w:p w14:paraId="4D866DFA" w14:textId="77777777" w:rsidR="006700F3" w:rsidRPr="006700F3" w:rsidRDefault="006700F3" w:rsidP="006700F3">
            <w:pPr>
              <w:pStyle w:val="TableText"/>
              <w:rPr>
                <w:i/>
                <w:iCs/>
                <w:szCs w:val="20"/>
                <w:highlight w:val="yellow"/>
              </w:rPr>
            </w:pPr>
            <w:r w:rsidRPr="006700F3">
              <w:rPr>
                <w:i/>
                <w:iCs/>
              </w:rPr>
              <w:t>ACFE–TAFE Partnership Evaluation Project</w:t>
            </w:r>
          </w:p>
        </w:tc>
        <w:tc>
          <w:tcPr>
            <w:tcW w:w="1685" w:type="pct"/>
            <w:shd w:val="clear" w:color="auto" w:fill="auto"/>
            <w:vAlign w:val="bottom"/>
          </w:tcPr>
          <w:p w14:paraId="3935F4E6" w14:textId="77777777" w:rsidR="006700F3" w:rsidRPr="006700F3" w:rsidRDefault="006700F3" w:rsidP="006700F3">
            <w:pPr>
              <w:pStyle w:val="TableText"/>
              <w:rPr>
                <w:i/>
                <w:iCs/>
                <w:szCs w:val="20"/>
              </w:rPr>
            </w:pPr>
            <w:r w:rsidRPr="006700F3">
              <w:rPr>
                <w:i/>
                <w:iCs/>
                <w:noProof/>
              </w:rPr>
              <w:t>$70,875</w:t>
            </w:r>
          </w:p>
        </w:tc>
      </w:tr>
      <w:tr w:rsidR="001F28B4" w:rsidRPr="00804A45" w14:paraId="11A6966E" w14:textId="77777777" w:rsidTr="00A22F1B">
        <w:trPr>
          <w:cantSplit/>
        </w:trPr>
        <w:tc>
          <w:tcPr>
            <w:tcW w:w="1773" w:type="pct"/>
            <w:shd w:val="clear" w:color="auto" w:fill="auto"/>
            <w:vAlign w:val="center"/>
          </w:tcPr>
          <w:p w14:paraId="4E03D32A" w14:textId="77777777" w:rsidR="001F28B4" w:rsidRPr="006700F3" w:rsidRDefault="001F28B4" w:rsidP="006700F3">
            <w:pPr>
              <w:pStyle w:val="TableText"/>
              <w:rPr>
                <w:i/>
                <w:iCs/>
              </w:rPr>
            </w:pPr>
            <w:r>
              <w:rPr>
                <w:i/>
                <w:iCs/>
              </w:rPr>
              <w:t>Adult and Community Education Inc.</w:t>
            </w:r>
          </w:p>
        </w:tc>
        <w:tc>
          <w:tcPr>
            <w:tcW w:w="1542" w:type="pct"/>
            <w:shd w:val="clear" w:color="auto" w:fill="auto"/>
            <w:vAlign w:val="center"/>
          </w:tcPr>
          <w:p w14:paraId="03C8D252" w14:textId="77777777" w:rsidR="001F28B4" w:rsidRPr="006700F3" w:rsidRDefault="001F28B4" w:rsidP="006700F3">
            <w:pPr>
              <w:pStyle w:val="TableText"/>
              <w:rPr>
                <w:i/>
                <w:iCs/>
                <w:noProof/>
              </w:rPr>
            </w:pPr>
            <w:r>
              <w:rPr>
                <w:i/>
                <w:iCs/>
                <w:noProof/>
              </w:rPr>
              <w:t>Skills for Work and Study information sessions</w:t>
            </w:r>
          </w:p>
        </w:tc>
        <w:tc>
          <w:tcPr>
            <w:tcW w:w="1685" w:type="pct"/>
            <w:shd w:val="clear" w:color="auto" w:fill="auto"/>
            <w:vAlign w:val="bottom"/>
          </w:tcPr>
          <w:p w14:paraId="4A394205" w14:textId="77777777" w:rsidR="001F28B4" w:rsidRPr="006700F3" w:rsidRDefault="001F28B4" w:rsidP="006700F3">
            <w:pPr>
              <w:pStyle w:val="TableText"/>
              <w:rPr>
                <w:i/>
                <w:iCs/>
                <w:noProof/>
              </w:rPr>
            </w:pPr>
            <w:r>
              <w:rPr>
                <w:i/>
                <w:iCs/>
                <w:noProof/>
              </w:rPr>
              <w:t>$</w:t>
            </w:r>
            <w:r w:rsidRPr="001F28B4">
              <w:rPr>
                <w:i/>
                <w:iCs/>
                <w:noProof/>
              </w:rPr>
              <w:t>9,580</w:t>
            </w:r>
          </w:p>
        </w:tc>
      </w:tr>
      <w:tr w:rsidR="001F28B4" w:rsidRPr="00804A45" w14:paraId="0CFA9383" w14:textId="77777777" w:rsidTr="00A22F1B">
        <w:trPr>
          <w:cantSplit/>
        </w:trPr>
        <w:tc>
          <w:tcPr>
            <w:tcW w:w="1773" w:type="pct"/>
            <w:shd w:val="clear" w:color="auto" w:fill="auto"/>
            <w:vAlign w:val="center"/>
          </w:tcPr>
          <w:p w14:paraId="3EE5C0EB" w14:textId="77777777" w:rsidR="001F28B4" w:rsidRDefault="001F28B4" w:rsidP="006700F3">
            <w:pPr>
              <w:pStyle w:val="TableText"/>
              <w:rPr>
                <w:i/>
                <w:iCs/>
              </w:rPr>
            </w:pPr>
            <w:r>
              <w:rPr>
                <w:i/>
                <w:iCs/>
              </w:rPr>
              <w:t xml:space="preserve">Adult Learning Australia </w:t>
            </w:r>
          </w:p>
        </w:tc>
        <w:tc>
          <w:tcPr>
            <w:tcW w:w="1542" w:type="pct"/>
            <w:shd w:val="clear" w:color="auto" w:fill="auto"/>
            <w:vAlign w:val="center"/>
          </w:tcPr>
          <w:p w14:paraId="0F26D1BD" w14:textId="77777777" w:rsidR="001F28B4" w:rsidRDefault="001F28B4" w:rsidP="006700F3">
            <w:pPr>
              <w:pStyle w:val="TableText"/>
              <w:rPr>
                <w:i/>
                <w:iCs/>
                <w:noProof/>
              </w:rPr>
            </w:pPr>
            <w:r>
              <w:rPr>
                <w:i/>
                <w:iCs/>
                <w:noProof/>
              </w:rPr>
              <w:t>Production of Skills for Work and Study flyers</w:t>
            </w:r>
          </w:p>
        </w:tc>
        <w:tc>
          <w:tcPr>
            <w:tcW w:w="1685" w:type="pct"/>
            <w:shd w:val="clear" w:color="auto" w:fill="auto"/>
            <w:vAlign w:val="bottom"/>
          </w:tcPr>
          <w:p w14:paraId="5F48F562" w14:textId="77777777" w:rsidR="001F28B4" w:rsidRDefault="001F28B4" w:rsidP="006700F3">
            <w:pPr>
              <w:pStyle w:val="TableText"/>
              <w:rPr>
                <w:i/>
                <w:iCs/>
                <w:noProof/>
              </w:rPr>
            </w:pPr>
            <w:r>
              <w:rPr>
                <w:i/>
                <w:iCs/>
                <w:noProof/>
              </w:rPr>
              <w:t>$</w:t>
            </w:r>
            <w:r w:rsidRPr="001F28B4">
              <w:rPr>
                <w:i/>
                <w:iCs/>
                <w:noProof/>
              </w:rPr>
              <w:t>1,120</w:t>
            </w:r>
          </w:p>
        </w:tc>
      </w:tr>
      <w:tr w:rsidR="006700F3" w:rsidRPr="00804A45" w14:paraId="4738979A" w14:textId="77777777" w:rsidTr="00A22F1B">
        <w:trPr>
          <w:cantSplit/>
        </w:trPr>
        <w:tc>
          <w:tcPr>
            <w:tcW w:w="1773" w:type="pct"/>
            <w:shd w:val="clear" w:color="auto" w:fill="auto"/>
          </w:tcPr>
          <w:p w14:paraId="03F9B314" w14:textId="77777777" w:rsidR="006700F3" w:rsidRPr="008D2601" w:rsidRDefault="006700F3" w:rsidP="006700F3">
            <w:pPr>
              <w:pStyle w:val="TableText"/>
              <w:rPr>
                <w:i/>
                <w:iCs/>
              </w:rPr>
            </w:pPr>
            <w:proofErr w:type="spellStart"/>
            <w:r w:rsidRPr="006700F3">
              <w:rPr>
                <w:i/>
                <w:iCs/>
              </w:rPr>
              <w:t>B</w:t>
            </w:r>
            <w:r>
              <w:rPr>
                <w:i/>
                <w:iCs/>
              </w:rPr>
              <w:t>riarose</w:t>
            </w:r>
            <w:proofErr w:type="spellEnd"/>
            <w:r w:rsidRPr="006700F3">
              <w:rPr>
                <w:i/>
                <w:iCs/>
              </w:rPr>
              <w:t xml:space="preserve"> P</w:t>
            </w:r>
            <w:r>
              <w:rPr>
                <w:i/>
                <w:iCs/>
              </w:rPr>
              <w:t>ty</w:t>
            </w:r>
            <w:r w:rsidRPr="006700F3">
              <w:rPr>
                <w:i/>
                <w:iCs/>
              </w:rPr>
              <w:t xml:space="preserve"> L</w:t>
            </w:r>
            <w:r w:rsidR="001F28B4">
              <w:rPr>
                <w:i/>
                <w:iCs/>
              </w:rPr>
              <w:t>td</w:t>
            </w:r>
          </w:p>
        </w:tc>
        <w:tc>
          <w:tcPr>
            <w:tcW w:w="1542" w:type="pct"/>
            <w:shd w:val="clear" w:color="auto" w:fill="auto"/>
          </w:tcPr>
          <w:p w14:paraId="1D57B95F" w14:textId="77777777" w:rsidR="006700F3" w:rsidRPr="008D2601" w:rsidRDefault="006700F3" w:rsidP="006700F3">
            <w:pPr>
              <w:pStyle w:val="TableText"/>
              <w:rPr>
                <w:i/>
                <w:iCs/>
              </w:rPr>
            </w:pPr>
            <w:r w:rsidRPr="006700F3">
              <w:rPr>
                <w:i/>
                <w:iCs/>
              </w:rPr>
              <w:t>Moderation</w:t>
            </w:r>
            <w:r w:rsidR="00843BD6">
              <w:rPr>
                <w:i/>
                <w:iCs/>
              </w:rPr>
              <w:t xml:space="preserve"> of</w:t>
            </w:r>
            <w:r w:rsidRPr="006700F3">
              <w:rPr>
                <w:i/>
                <w:iCs/>
              </w:rPr>
              <w:t xml:space="preserve"> </w:t>
            </w:r>
            <w:r w:rsidR="00843BD6">
              <w:rPr>
                <w:i/>
                <w:iCs/>
              </w:rPr>
              <w:t>Skills for Work and Study</w:t>
            </w:r>
          </w:p>
        </w:tc>
        <w:tc>
          <w:tcPr>
            <w:tcW w:w="1685" w:type="pct"/>
            <w:shd w:val="clear" w:color="auto" w:fill="auto"/>
          </w:tcPr>
          <w:p w14:paraId="496F2057" w14:textId="77777777" w:rsidR="006700F3" w:rsidRPr="002D01B8" w:rsidRDefault="006700F3" w:rsidP="006700F3">
            <w:pPr>
              <w:pStyle w:val="TableText"/>
              <w:rPr>
                <w:i/>
                <w:iCs/>
              </w:rPr>
            </w:pPr>
            <w:r w:rsidRPr="006700F3">
              <w:rPr>
                <w:i/>
                <w:iCs/>
              </w:rPr>
              <w:t>$15,384</w:t>
            </w:r>
          </w:p>
        </w:tc>
      </w:tr>
      <w:tr w:rsidR="001F28B4" w:rsidRPr="00804A45" w14:paraId="509CCB07" w14:textId="77777777" w:rsidTr="00A22F1B">
        <w:trPr>
          <w:cantSplit/>
        </w:trPr>
        <w:tc>
          <w:tcPr>
            <w:tcW w:w="1773" w:type="pct"/>
            <w:shd w:val="clear" w:color="auto" w:fill="auto"/>
          </w:tcPr>
          <w:p w14:paraId="611CBB4C" w14:textId="77777777" w:rsidR="001F28B4" w:rsidRPr="006700F3" w:rsidRDefault="001F28B4" w:rsidP="006700F3">
            <w:pPr>
              <w:pStyle w:val="TableText"/>
              <w:rPr>
                <w:i/>
                <w:iCs/>
              </w:rPr>
            </w:pPr>
            <w:proofErr w:type="spellStart"/>
            <w:r>
              <w:rPr>
                <w:i/>
                <w:iCs/>
              </w:rPr>
              <w:t>Briarose</w:t>
            </w:r>
            <w:proofErr w:type="spellEnd"/>
            <w:r>
              <w:rPr>
                <w:i/>
                <w:iCs/>
              </w:rPr>
              <w:t xml:space="preserve"> Pty Ltd</w:t>
            </w:r>
          </w:p>
        </w:tc>
        <w:tc>
          <w:tcPr>
            <w:tcW w:w="1542" w:type="pct"/>
            <w:shd w:val="clear" w:color="auto" w:fill="auto"/>
          </w:tcPr>
          <w:p w14:paraId="264A2FF9" w14:textId="77777777" w:rsidR="001F28B4" w:rsidRPr="007524EB" w:rsidRDefault="007524EB" w:rsidP="006700F3">
            <w:pPr>
              <w:pStyle w:val="TableText"/>
              <w:rPr>
                <w:i/>
                <w:iCs/>
              </w:rPr>
            </w:pPr>
            <w:r w:rsidRPr="007524EB">
              <w:rPr>
                <w:i/>
                <w:iCs/>
              </w:rPr>
              <w:t>Industry Contextualised Literacy and Numeracy Pre-Accredited Programs</w:t>
            </w:r>
            <w:r w:rsidR="001F28B4" w:rsidRPr="007524EB">
              <w:rPr>
                <w:i/>
                <w:iCs/>
              </w:rPr>
              <w:t xml:space="preserve"> </w:t>
            </w:r>
            <w:r w:rsidRPr="007524EB">
              <w:rPr>
                <w:i/>
                <w:iCs/>
              </w:rPr>
              <w:t>project</w:t>
            </w:r>
          </w:p>
        </w:tc>
        <w:tc>
          <w:tcPr>
            <w:tcW w:w="1685" w:type="pct"/>
            <w:shd w:val="clear" w:color="auto" w:fill="auto"/>
          </w:tcPr>
          <w:p w14:paraId="071F2360" w14:textId="77777777" w:rsidR="001F28B4" w:rsidRPr="006700F3" w:rsidRDefault="001F28B4" w:rsidP="006700F3">
            <w:pPr>
              <w:pStyle w:val="TableText"/>
              <w:rPr>
                <w:i/>
                <w:iCs/>
              </w:rPr>
            </w:pPr>
            <w:r>
              <w:rPr>
                <w:i/>
                <w:iCs/>
              </w:rPr>
              <w:t>$67,5</w:t>
            </w:r>
            <w:r w:rsidR="006C7FDA">
              <w:rPr>
                <w:i/>
                <w:iCs/>
              </w:rPr>
              <w:t>6</w:t>
            </w:r>
            <w:r w:rsidR="00610E62">
              <w:rPr>
                <w:i/>
                <w:iCs/>
              </w:rPr>
              <w:t>9</w:t>
            </w:r>
          </w:p>
        </w:tc>
      </w:tr>
      <w:tr w:rsidR="001F28B4" w:rsidRPr="00804A45" w14:paraId="01BD16BE" w14:textId="77777777" w:rsidTr="00A22F1B">
        <w:trPr>
          <w:cantSplit/>
        </w:trPr>
        <w:tc>
          <w:tcPr>
            <w:tcW w:w="1773" w:type="pct"/>
            <w:shd w:val="clear" w:color="auto" w:fill="auto"/>
          </w:tcPr>
          <w:p w14:paraId="2A25AB61" w14:textId="77777777" w:rsidR="001F28B4" w:rsidRDefault="001F28B4" w:rsidP="006700F3">
            <w:pPr>
              <w:pStyle w:val="TableText"/>
              <w:rPr>
                <w:i/>
                <w:iCs/>
              </w:rPr>
            </w:pPr>
            <w:r>
              <w:rPr>
                <w:i/>
                <w:iCs/>
              </w:rPr>
              <w:t xml:space="preserve">Dale </w:t>
            </w:r>
            <w:proofErr w:type="spellStart"/>
            <w:r>
              <w:rPr>
                <w:i/>
                <w:iCs/>
              </w:rPr>
              <w:t>Pobega</w:t>
            </w:r>
            <w:proofErr w:type="spellEnd"/>
          </w:p>
        </w:tc>
        <w:tc>
          <w:tcPr>
            <w:tcW w:w="1542" w:type="pct"/>
            <w:shd w:val="clear" w:color="auto" w:fill="auto"/>
          </w:tcPr>
          <w:p w14:paraId="022C67EE" w14:textId="77777777" w:rsidR="001F28B4" w:rsidRPr="007524EB" w:rsidRDefault="007524EB" w:rsidP="006700F3">
            <w:pPr>
              <w:pStyle w:val="TableText"/>
              <w:rPr>
                <w:i/>
                <w:iCs/>
              </w:rPr>
            </w:pPr>
            <w:r w:rsidRPr="007524EB">
              <w:rPr>
                <w:i/>
                <w:iCs/>
              </w:rPr>
              <w:t>Industry Contextualised Literacy and Numeracy Pre-Accredited Programs</w:t>
            </w:r>
            <w:r w:rsidR="001F28B4" w:rsidRPr="007524EB">
              <w:rPr>
                <w:i/>
                <w:iCs/>
              </w:rPr>
              <w:t xml:space="preserve"> program webinar</w:t>
            </w:r>
          </w:p>
        </w:tc>
        <w:tc>
          <w:tcPr>
            <w:tcW w:w="1685" w:type="pct"/>
            <w:shd w:val="clear" w:color="auto" w:fill="auto"/>
          </w:tcPr>
          <w:p w14:paraId="7C9BD812" w14:textId="77777777" w:rsidR="001F28B4" w:rsidRDefault="001F28B4" w:rsidP="006700F3">
            <w:pPr>
              <w:pStyle w:val="TableText"/>
              <w:rPr>
                <w:i/>
                <w:iCs/>
              </w:rPr>
            </w:pPr>
            <w:r>
              <w:rPr>
                <w:i/>
                <w:iCs/>
              </w:rPr>
              <w:t>$455</w:t>
            </w:r>
          </w:p>
        </w:tc>
      </w:tr>
      <w:tr w:rsidR="00843BD6" w:rsidRPr="00804A45" w14:paraId="4038FD0B" w14:textId="77777777" w:rsidTr="00A22F1B">
        <w:trPr>
          <w:cantSplit/>
        </w:trPr>
        <w:tc>
          <w:tcPr>
            <w:tcW w:w="1773" w:type="pct"/>
            <w:shd w:val="clear" w:color="auto" w:fill="auto"/>
          </w:tcPr>
          <w:p w14:paraId="4E1E264D" w14:textId="77777777" w:rsidR="00843BD6" w:rsidRPr="008D2601" w:rsidRDefault="00843BD6" w:rsidP="00843BD6">
            <w:pPr>
              <w:pStyle w:val="TableText"/>
              <w:rPr>
                <w:i/>
                <w:iCs/>
              </w:rPr>
            </w:pPr>
            <w:r>
              <w:rPr>
                <w:i/>
                <w:iCs/>
              </w:rPr>
              <w:t>Diane Carson Consulting</w:t>
            </w:r>
          </w:p>
        </w:tc>
        <w:tc>
          <w:tcPr>
            <w:tcW w:w="1542" w:type="pct"/>
            <w:shd w:val="clear" w:color="auto" w:fill="auto"/>
          </w:tcPr>
          <w:p w14:paraId="75B0496A" w14:textId="77777777" w:rsidR="00843BD6" w:rsidRPr="008D2601" w:rsidRDefault="00843BD6" w:rsidP="00843BD6">
            <w:pPr>
              <w:pStyle w:val="TableText"/>
              <w:rPr>
                <w:i/>
                <w:iCs/>
              </w:rPr>
            </w:pPr>
            <w:r w:rsidRPr="00843BD6">
              <w:rPr>
                <w:i/>
                <w:iCs/>
              </w:rPr>
              <w:t>Instructional design for Employable Me Moving On</w:t>
            </w:r>
          </w:p>
        </w:tc>
        <w:tc>
          <w:tcPr>
            <w:tcW w:w="1685" w:type="pct"/>
            <w:shd w:val="clear" w:color="auto" w:fill="auto"/>
          </w:tcPr>
          <w:p w14:paraId="06FD5881" w14:textId="77777777" w:rsidR="00843BD6" w:rsidRPr="002D01B8" w:rsidRDefault="00843BD6" w:rsidP="00843BD6">
            <w:pPr>
              <w:pStyle w:val="TableText"/>
              <w:rPr>
                <w:i/>
                <w:iCs/>
              </w:rPr>
            </w:pPr>
            <w:r>
              <w:rPr>
                <w:i/>
                <w:iCs/>
              </w:rPr>
              <w:t>$</w:t>
            </w:r>
            <w:r w:rsidRPr="00843BD6">
              <w:rPr>
                <w:i/>
                <w:iCs/>
              </w:rPr>
              <w:t>12,750</w:t>
            </w:r>
          </w:p>
        </w:tc>
      </w:tr>
      <w:tr w:rsidR="00843BD6" w:rsidRPr="00804A45" w14:paraId="38BB927D" w14:textId="77777777" w:rsidTr="00A22F1B">
        <w:trPr>
          <w:cantSplit/>
        </w:trPr>
        <w:tc>
          <w:tcPr>
            <w:tcW w:w="1773" w:type="pct"/>
            <w:shd w:val="clear" w:color="auto" w:fill="auto"/>
          </w:tcPr>
          <w:p w14:paraId="655060F7" w14:textId="77777777" w:rsidR="00843BD6" w:rsidRPr="008D2601" w:rsidRDefault="00843BD6" w:rsidP="00843BD6">
            <w:pPr>
              <w:pStyle w:val="TableText"/>
              <w:rPr>
                <w:i/>
                <w:iCs/>
              </w:rPr>
            </w:pPr>
            <w:r w:rsidRPr="002E3373">
              <w:rPr>
                <w:i/>
                <w:iCs/>
              </w:rPr>
              <w:t>Megan</w:t>
            </w:r>
            <w:r w:rsidR="002E3373">
              <w:rPr>
                <w:i/>
                <w:iCs/>
              </w:rPr>
              <w:t>-</w:t>
            </w:r>
            <w:r w:rsidRPr="002E3373">
              <w:rPr>
                <w:i/>
                <w:iCs/>
              </w:rPr>
              <w:t>Jane Cotter</w:t>
            </w:r>
          </w:p>
        </w:tc>
        <w:tc>
          <w:tcPr>
            <w:tcW w:w="1542" w:type="pct"/>
            <w:shd w:val="clear" w:color="auto" w:fill="auto"/>
          </w:tcPr>
          <w:p w14:paraId="57A4D8FE" w14:textId="77777777" w:rsidR="00843BD6" w:rsidRPr="008D2601" w:rsidRDefault="00843BD6" w:rsidP="00843BD6">
            <w:pPr>
              <w:pStyle w:val="TableText"/>
              <w:rPr>
                <w:i/>
                <w:iCs/>
              </w:rPr>
            </w:pPr>
            <w:r w:rsidRPr="002E3373">
              <w:rPr>
                <w:i/>
                <w:iCs/>
              </w:rPr>
              <w:t>ACFE–TAFE pre-accredited product review and development</w:t>
            </w:r>
          </w:p>
        </w:tc>
        <w:tc>
          <w:tcPr>
            <w:tcW w:w="1685" w:type="pct"/>
            <w:shd w:val="clear" w:color="auto" w:fill="auto"/>
          </w:tcPr>
          <w:p w14:paraId="6A256C60" w14:textId="77777777" w:rsidR="00843BD6" w:rsidRPr="002E3373" w:rsidRDefault="00843BD6" w:rsidP="00843BD6">
            <w:pPr>
              <w:pStyle w:val="TableText"/>
              <w:rPr>
                <w:i/>
                <w:iCs/>
              </w:rPr>
            </w:pPr>
            <w:r w:rsidRPr="002E3373">
              <w:rPr>
                <w:i/>
                <w:iCs/>
              </w:rPr>
              <w:t>$8,408</w:t>
            </w:r>
          </w:p>
        </w:tc>
      </w:tr>
      <w:tr w:rsidR="00843BD6" w:rsidRPr="00804A45" w14:paraId="6174E408" w14:textId="77777777" w:rsidTr="00A22F1B">
        <w:trPr>
          <w:cantSplit/>
        </w:trPr>
        <w:tc>
          <w:tcPr>
            <w:tcW w:w="1773" w:type="pct"/>
            <w:shd w:val="clear" w:color="auto" w:fill="auto"/>
            <w:vAlign w:val="center"/>
          </w:tcPr>
          <w:p w14:paraId="0EEFA9AB" w14:textId="77777777" w:rsidR="00843BD6" w:rsidRPr="008D2601" w:rsidRDefault="00843BD6" w:rsidP="00843BD6">
            <w:pPr>
              <w:pStyle w:val="TableText"/>
              <w:rPr>
                <w:i/>
                <w:iCs/>
              </w:rPr>
            </w:pPr>
            <w:r>
              <w:rPr>
                <w:i/>
                <w:iCs/>
              </w:rPr>
              <w:t>Shane Patrick Wales</w:t>
            </w:r>
          </w:p>
        </w:tc>
        <w:tc>
          <w:tcPr>
            <w:tcW w:w="1542" w:type="pct"/>
            <w:shd w:val="clear" w:color="auto" w:fill="auto"/>
            <w:vAlign w:val="center"/>
          </w:tcPr>
          <w:p w14:paraId="1B4CB9F3" w14:textId="77777777" w:rsidR="00843BD6" w:rsidRPr="008D2601" w:rsidRDefault="00843BD6" w:rsidP="00843BD6">
            <w:pPr>
              <w:pStyle w:val="TableText"/>
              <w:rPr>
                <w:i/>
                <w:iCs/>
              </w:rPr>
            </w:pPr>
            <w:r w:rsidRPr="002E3373">
              <w:rPr>
                <w:i/>
                <w:iCs/>
              </w:rPr>
              <w:t>Gaining the Edge and Learn Local Study Support products</w:t>
            </w:r>
          </w:p>
        </w:tc>
        <w:tc>
          <w:tcPr>
            <w:tcW w:w="1685" w:type="pct"/>
            <w:shd w:val="clear" w:color="auto" w:fill="auto"/>
          </w:tcPr>
          <w:p w14:paraId="698654EC" w14:textId="77777777" w:rsidR="00843BD6" w:rsidRPr="002E3373" w:rsidRDefault="00843BD6" w:rsidP="00843BD6">
            <w:pPr>
              <w:pStyle w:val="TableText"/>
              <w:rPr>
                <w:i/>
                <w:iCs/>
              </w:rPr>
            </w:pPr>
            <w:r w:rsidRPr="002E3373">
              <w:rPr>
                <w:i/>
                <w:iCs/>
              </w:rPr>
              <w:t>$11,615</w:t>
            </w:r>
          </w:p>
        </w:tc>
      </w:tr>
      <w:tr w:rsidR="00843BD6" w:rsidRPr="00804A45" w14:paraId="273FE1F8" w14:textId="77777777" w:rsidTr="00A22F1B">
        <w:trPr>
          <w:cantSplit/>
        </w:trPr>
        <w:tc>
          <w:tcPr>
            <w:tcW w:w="1773" w:type="pct"/>
            <w:shd w:val="clear" w:color="auto" w:fill="auto"/>
          </w:tcPr>
          <w:p w14:paraId="5C5D023D" w14:textId="77777777" w:rsidR="00843BD6" w:rsidRPr="008D2601" w:rsidRDefault="00843BD6" w:rsidP="00843BD6">
            <w:pPr>
              <w:pStyle w:val="TableText"/>
              <w:rPr>
                <w:i/>
                <w:iCs/>
              </w:rPr>
            </w:pPr>
            <w:r w:rsidRPr="002E3373">
              <w:rPr>
                <w:i/>
                <w:iCs/>
              </w:rPr>
              <w:t>The Trustee for The VLG Trust</w:t>
            </w:r>
          </w:p>
        </w:tc>
        <w:tc>
          <w:tcPr>
            <w:tcW w:w="1542" w:type="pct"/>
            <w:shd w:val="clear" w:color="auto" w:fill="auto"/>
          </w:tcPr>
          <w:p w14:paraId="772BB73F" w14:textId="77777777" w:rsidR="00843BD6" w:rsidRPr="008D2601" w:rsidRDefault="00843BD6" w:rsidP="00843BD6">
            <w:pPr>
              <w:pStyle w:val="TableText"/>
              <w:rPr>
                <w:i/>
                <w:iCs/>
              </w:rPr>
            </w:pPr>
            <w:r w:rsidRPr="002E3373">
              <w:rPr>
                <w:i/>
                <w:iCs/>
              </w:rPr>
              <w:t xml:space="preserve">VELG instructional design </w:t>
            </w:r>
          </w:p>
        </w:tc>
        <w:tc>
          <w:tcPr>
            <w:tcW w:w="1685" w:type="pct"/>
            <w:shd w:val="clear" w:color="auto" w:fill="auto"/>
          </w:tcPr>
          <w:p w14:paraId="6321EAF7" w14:textId="77777777" w:rsidR="00843BD6" w:rsidRPr="002E3373" w:rsidRDefault="002E3373" w:rsidP="00843BD6">
            <w:pPr>
              <w:pStyle w:val="TableText"/>
              <w:rPr>
                <w:i/>
                <w:iCs/>
              </w:rPr>
            </w:pPr>
            <w:r w:rsidRPr="002E3373">
              <w:rPr>
                <w:i/>
                <w:iCs/>
              </w:rPr>
              <w:t>$</w:t>
            </w:r>
            <w:r w:rsidR="00843BD6" w:rsidRPr="002E3373">
              <w:rPr>
                <w:i/>
                <w:iCs/>
              </w:rPr>
              <w:t>17,84</w:t>
            </w:r>
            <w:r w:rsidRPr="002E3373">
              <w:rPr>
                <w:i/>
                <w:iCs/>
              </w:rPr>
              <w:t>3</w:t>
            </w:r>
          </w:p>
        </w:tc>
      </w:tr>
      <w:tr w:rsidR="00843BD6" w:rsidRPr="00804A45" w14:paraId="1DC87EB4" w14:textId="77777777" w:rsidTr="00A22F1B">
        <w:trPr>
          <w:cantSplit/>
        </w:trPr>
        <w:tc>
          <w:tcPr>
            <w:tcW w:w="1773" w:type="pct"/>
            <w:shd w:val="clear" w:color="auto" w:fill="auto"/>
          </w:tcPr>
          <w:p w14:paraId="58CCB192" w14:textId="77777777" w:rsidR="00843BD6" w:rsidRPr="008D2601" w:rsidRDefault="00843BD6" w:rsidP="00843BD6">
            <w:pPr>
              <w:pStyle w:val="TableText"/>
              <w:rPr>
                <w:i/>
                <w:iCs/>
              </w:rPr>
            </w:pPr>
            <w:r w:rsidRPr="002E3373">
              <w:rPr>
                <w:i/>
                <w:iCs/>
              </w:rPr>
              <w:t>Vanessa May Watson</w:t>
            </w:r>
          </w:p>
        </w:tc>
        <w:tc>
          <w:tcPr>
            <w:tcW w:w="1542" w:type="pct"/>
            <w:shd w:val="clear" w:color="auto" w:fill="auto"/>
          </w:tcPr>
          <w:p w14:paraId="3FC51D02" w14:textId="77777777" w:rsidR="00843BD6" w:rsidRPr="008D2601" w:rsidRDefault="00843BD6" w:rsidP="00843BD6">
            <w:pPr>
              <w:pStyle w:val="TableText"/>
              <w:rPr>
                <w:i/>
                <w:iCs/>
              </w:rPr>
            </w:pPr>
            <w:r w:rsidRPr="002E3373">
              <w:rPr>
                <w:i/>
                <w:iCs/>
              </w:rPr>
              <w:t xml:space="preserve">Instructional </w:t>
            </w:r>
            <w:r w:rsidR="002E3373">
              <w:rPr>
                <w:i/>
                <w:iCs/>
              </w:rPr>
              <w:t>d</w:t>
            </w:r>
            <w:r w:rsidRPr="002E3373">
              <w:rPr>
                <w:i/>
                <w:iCs/>
              </w:rPr>
              <w:t>esign</w:t>
            </w:r>
          </w:p>
        </w:tc>
        <w:tc>
          <w:tcPr>
            <w:tcW w:w="1685" w:type="pct"/>
            <w:shd w:val="clear" w:color="auto" w:fill="auto"/>
          </w:tcPr>
          <w:p w14:paraId="07F6AFF2" w14:textId="77777777" w:rsidR="00843BD6" w:rsidRPr="002E3373" w:rsidRDefault="002E3373" w:rsidP="00843BD6">
            <w:pPr>
              <w:pStyle w:val="TableText"/>
              <w:rPr>
                <w:i/>
                <w:iCs/>
              </w:rPr>
            </w:pPr>
            <w:r w:rsidRPr="002E3373">
              <w:rPr>
                <w:i/>
                <w:iCs/>
              </w:rPr>
              <w:t>$</w:t>
            </w:r>
            <w:r w:rsidR="00843BD6" w:rsidRPr="002E3373">
              <w:rPr>
                <w:i/>
                <w:iCs/>
              </w:rPr>
              <w:t>8,640</w:t>
            </w:r>
          </w:p>
        </w:tc>
      </w:tr>
      <w:tr w:rsidR="001F28B4" w:rsidRPr="00804A45" w14:paraId="753848C6" w14:textId="77777777" w:rsidTr="00A22F1B">
        <w:trPr>
          <w:cantSplit/>
        </w:trPr>
        <w:tc>
          <w:tcPr>
            <w:tcW w:w="1773" w:type="pct"/>
            <w:shd w:val="clear" w:color="auto" w:fill="auto"/>
          </w:tcPr>
          <w:p w14:paraId="2FB1842D" w14:textId="77777777" w:rsidR="001F28B4" w:rsidRPr="002E3373" w:rsidRDefault="001F28B4" w:rsidP="001F28B4">
            <w:pPr>
              <w:pStyle w:val="TableText"/>
              <w:rPr>
                <w:i/>
                <w:iCs/>
              </w:rPr>
            </w:pPr>
            <w:r>
              <w:rPr>
                <w:i/>
                <w:iCs/>
              </w:rPr>
              <w:t>Wynd</w:t>
            </w:r>
            <w:r w:rsidR="006C7FDA">
              <w:rPr>
                <w:i/>
                <w:iCs/>
              </w:rPr>
              <w:t>h</w:t>
            </w:r>
            <w:r>
              <w:rPr>
                <w:i/>
                <w:iCs/>
              </w:rPr>
              <w:t>am Community and Education Centre Inc</w:t>
            </w:r>
          </w:p>
        </w:tc>
        <w:tc>
          <w:tcPr>
            <w:tcW w:w="1542" w:type="pct"/>
            <w:shd w:val="clear" w:color="auto" w:fill="auto"/>
          </w:tcPr>
          <w:p w14:paraId="48288272" w14:textId="77777777" w:rsidR="001F28B4" w:rsidRPr="002E3373" w:rsidRDefault="001F28B4" w:rsidP="001F28B4">
            <w:pPr>
              <w:pStyle w:val="TableText"/>
              <w:rPr>
                <w:i/>
                <w:iCs/>
              </w:rPr>
            </w:pPr>
            <w:r w:rsidRPr="002E3373">
              <w:rPr>
                <w:i/>
                <w:iCs/>
              </w:rPr>
              <w:t xml:space="preserve">Instructional </w:t>
            </w:r>
            <w:r>
              <w:rPr>
                <w:i/>
                <w:iCs/>
              </w:rPr>
              <w:t>d</w:t>
            </w:r>
            <w:r w:rsidRPr="002E3373">
              <w:rPr>
                <w:i/>
                <w:iCs/>
              </w:rPr>
              <w:t>esign</w:t>
            </w:r>
            <w:r>
              <w:rPr>
                <w:i/>
                <w:iCs/>
              </w:rPr>
              <w:t xml:space="preserve"> presentation</w:t>
            </w:r>
          </w:p>
        </w:tc>
        <w:tc>
          <w:tcPr>
            <w:tcW w:w="1685" w:type="pct"/>
            <w:shd w:val="clear" w:color="auto" w:fill="auto"/>
          </w:tcPr>
          <w:p w14:paraId="55212FEC" w14:textId="77777777" w:rsidR="001F28B4" w:rsidRPr="002E3373" w:rsidRDefault="001F28B4" w:rsidP="001F28B4">
            <w:pPr>
              <w:pStyle w:val="TableText"/>
              <w:rPr>
                <w:i/>
                <w:iCs/>
              </w:rPr>
            </w:pPr>
            <w:r>
              <w:rPr>
                <w:i/>
                <w:iCs/>
              </w:rPr>
              <w:t>$450</w:t>
            </w:r>
          </w:p>
        </w:tc>
      </w:tr>
      <w:bookmarkEnd w:id="44"/>
      <w:bookmarkEnd w:id="45"/>
    </w:tbl>
    <w:p w14:paraId="0B4CBE2E" w14:textId="77777777" w:rsidR="00A2283E" w:rsidRPr="00A27E38" w:rsidRDefault="00A2283E" w:rsidP="00684D6D">
      <w:pPr>
        <w:rPr>
          <w:rFonts w:ascii="Calibri" w:hAnsi="Calibri"/>
          <w:b/>
        </w:rPr>
      </w:pPr>
    </w:p>
    <w:sectPr w:rsidR="00A2283E" w:rsidRPr="00A27E38" w:rsidSect="00E309C9">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9EC7" w14:textId="77777777" w:rsidR="000C6DE3" w:rsidRDefault="000C6DE3">
      <w:r>
        <w:separator/>
      </w:r>
    </w:p>
  </w:endnote>
  <w:endnote w:type="continuationSeparator" w:id="0">
    <w:p w14:paraId="1F46244E" w14:textId="77777777" w:rsidR="000C6DE3" w:rsidRDefault="000C6DE3">
      <w:r>
        <w:continuationSeparator/>
      </w:r>
    </w:p>
  </w:endnote>
  <w:endnote w:type="continuationNotice" w:id="1">
    <w:p w14:paraId="4662C116" w14:textId="77777777" w:rsidR="000C6DE3" w:rsidRDefault="000C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w:altName w:val="Courier New"/>
    <w:panose1 w:val="00000000000000000000"/>
    <w:charset w:val="00"/>
    <w:family w:val="modern"/>
    <w:notTrueType/>
    <w:pitch w:val="variable"/>
    <w:sig w:usb0="00000007" w:usb1="00000000" w:usb2="00000000" w:usb3="00000000" w:csb0="00000093" w:csb1="00000000"/>
  </w:font>
  <w:font w:name="VIC-Light">
    <w:panose1 w:val="00000000000000000000"/>
    <w:charset w:val="00"/>
    <w:family w:val="auto"/>
    <w:notTrueType/>
    <w:pitch w:val="default"/>
    <w:sig w:usb0="00000003" w:usb1="00000000" w:usb2="00000000" w:usb3="00000000" w:csb0="00000001" w:csb1="00000000"/>
  </w:font>
  <w:font w:name="VIC Light">
    <w:altName w:val="Calibri"/>
    <w:panose1 w:val="00000000000000000000"/>
    <w:charset w:val="00"/>
    <w:family w:val="modern"/>
    <w:notTrueType/>
    <w:pitch w:val="variable"/>
    <w:sig w:usb0="00000001" w:usb1="00000000" w:usb2="00000000" w:usb3="00000000" w:csb0="00000093"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68F8" w14:textId="77777777" w:rsidR="006656DE" w:rsidRPr="00BB5A30" w:rsidRDefault="006656DE" w:rsidP="00006CC5">
    <w:pPr>
      <w:pStyle w:val="Footer"/>
      <w:jc w:val="right"/>
      <w:rPr>
        <w:rFonts w:ascii="Arial" w:hAnsi="Arial" w:cs="Arial"/>
        <w:sz w:val="16"/>
        <w:szCs w:val="16"/>
      </w:rPr>
    </w:pPr>
    <w:r w:rsidRPr="00BB5A30">
      <w:rPr>
        <w:rFonts w:ascii="Arial" w:hAnsi="Arial" w:cs="Arial"/>
        <w:sz w:val="16"/>
        <w:szCs w:val="16"/>
      </w:rPr>
      <w:tab/>
    </w:r>
    <w:r w:rsidRPr="00BB5A30">
      <w:rPr>
        <w:rStyle w:val="PageNumber"/>
        <w:rFonts w:ascii="Arial" w:hAnsi="Arial" w:cs="Arial"/>
        <w:sz w:val="16"/>
        <w:szCs w:val="16"/>
      </w:rPr>
      <w:fldChar w:fldCharType="begin"/>
    </w:r>
    <w:r w:rsidRPr="00BB5A30">
      <w:rPr>
        <w:rStyle w:val="PageNumber"/>
        <w:rFonts w:ascii="Arial" w:hAnsi="Arial" w:cs="Arial"/>
        <w:sz w:val="16"/>
        <w:szCs w:val="16"/>
      </w:rPr>
      <w:instrText xml:space="preserve"> PAGE </w:instrText>
    </w:r>
    <w:r w:rsidRPr="00BB5A30">
      <w:rPr>
        <w:rStyle w:val="PageNumber"/>
        <w:rFonts w:ascii="Arial" w:hAnsi="Arial" w:cs="Arial"/>
        <w:sz w:val="16"/>
        <w:szCs w:val="16"/>
      </w:rPr>
      <w:fldChar w:fldCharType="separate"/>
    </w:r>
    <w:r w:rsidR="00D90A93">
      <w:rPr>
        <w:rStyle w:val="PageNumber"/>
        <w:rFonts w:ascii="Arial" w:hAnsi="Arial" w:cs="Arial"/>
        <w:noProof/>
        <w:sz w:val="16"/>
        <w:szCs w:val="16"/>
      </w:rPr>
      <w:t>2</w:t>
    </w:r>
    <w:r w:rsidRPr="00BB5A30">
      <w:rPr>
        <w:rStyle w:val="PageNumber"/>
        <w:rFonts w:ascii="Arial" w:hAnsi="Arial" w:cs="Arial"/>
        <w:sz w:val="16"/>
        <w:szCs w:val="16"/>
      </w:rPr>
      <w:fldChar w:fldCharType="end"/>
    </w:r>
    <w:r w:rsidRPr="00BB5A30">
      <w:rPr>
        <w:rStyle w:val="PageNumber"/>
        <w:rFonts w:ascii="Arial" w:hAnsi="Arial" w:cs="Arial"/>
        <w:sz w:val="16"/>
        <w:szCs w:val="16"/>
      </w:rPr>
      <w:t xml:space="preserve"> of </w:t>
    </w:r>
    <w:r w:rsidRPr="00BB5A30">
      <w:rPr>
        <w:rStyle w:val="PageNumber"/>
        <w:rFonts w:ascii="Arial" w:hAnsi="Arial" w:cs="Arial"/>
        <w:sz w:val="16"/>
        <w:szCs w:val="16"/>
      </w:rPr>
      <w:fldChar w:fldCharType="begin"/>
    </w:r>
    <w:r w:rsidRPr="00BB5A30">
      <w:rPr>
        <w:rStyle w:val="PageNumber"/>
        <w:rFonts w:ascii="Arial" w:hAnsi="Arial" w:cs="Arial"/>
        <w:sz w:val="16"/>
        <w:szCs w:val="16"/>
      </w:rPr>
      <w:instrText xml:space="preserve"> NUMPAGES </w:instrText>
    </w:r>
    <w:r w:rsidRPr="00BB5A30">
      <w:rPr>
        <w:rStyle w:val="PageNumber"/>
        <w:rFonts w:ascii="Arial" w:hAnsi="Arial" w:cs="Arial"/>
        <w:sz w:val="16"/>
        <w:szCs w:val="16"/>
      </w:rPr>
      <w:fldChar w:fldCharType="separate"/>
    </w:r>
    <w:r w:rsidR="00D90A93">
      <w:rPr>
        <w:rStyle w:val="PageNumber"/>
        <w:rFonts w:ascii="Arial" w:hAnsi="Arial" w:cs="Arial"/>
        <w:noProof/>
        <w:sz w:val="16"/>
        <w:szCs w:val="16"/>
      </w:rPr>
      <w:t>4</w:t>
    </w:r>
    <w:r w:rsidRPr="00BB5A3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359" w14:textId="77777777" w:rsidR="000C6DE3" w:rsidRDefault="000C6DE3">
      <w:r>
        <w:separator/>
      </w:r>
    </w:p>
  </w:footnote>
  <w:footnote w:type="continuationSeparator" w:id="0">
    <w:p w14:paraId="79294DBE" w14:textId="77777777" w:rsidR="000C6DE3" w:rsidRDefault="000C6DE3">
      <w:r>
        <w:continuationSeparator/>
      </w:r>
    </w:p>
  </w:footnote>
  <w:footnote w:type="continuationNotice" w:id="1">
    <w:p w14:paraId="3265F833" w14:textId="77777777" w:rsidR="000C6DE3" w:rsidRDefault="000C6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26F4" w14:textId="77777777" w:rsidR="006656DE" w:rsidRPr="00931AD6" w:rsidRDefault="006656DE" w:rsidP="00AB3A2A">
    <w:pPr>
      <w:pStyle w:val="Header"/>
      <w:jc w:val="right"/>
      <w:rPr>
        <w:rFonts w:ascii="Calibri" w:hAnsi="Calibri" w:cs="Arial"/>
        <w:b/>
      </w:rPr>
    </w:pPr>
    <w:r w:rsidRPr="00931AD6">
      <w:rPr>
        <w:rFonts w:ascii="Calibri" w:hAnsi="Calibri" w:cs="Arial"/>
        <w:b/>
      </w:rPr>
      <w:t>A</w:t>
    </w:r>
    <w:r w:rsidR="00D616CF">
      <w:rPr>
        <w:rFonts w:ascii="Calibri" w:hAnsi="Calibri" w:cs="Arial"/>
        <w:b/>
      </w:rPr>
      <w:t>DULT, COMMUNITY AND FURTHER EDUCATION</w:t>
    </w:r>
    <w:r w:rsidRPr="00931AD6">
      <w:rPr>
        <w:rFonts w:ascii="Calibri" w:hAnsi="Calibri" w:cs="Arial"/>
        <w:b/>
      </w:rPr>
      <w:t xml:space="preserve"> BOARD ANNUAL REPORT 20</w:t>
    </w:r>
    <w:r w:rsidR="00FB10E3">
      <w:rPr>
        <w:rFonts w:ascii="Calibri" w:hAnsi="Calibri" w:cs="Arial"/>
        <w:b/>
      </w:rPr>
      <w:t>20</w:t>
    </w:r>
    <w:r w:rsidR="009537FB">
      <w:rPr>
        <w:rFonts w:ascii="Calibri" w:hAnsi="Calibri" w:cs="Arial"/>
        <w:b/>
      </w:rPr>
      <w:t>–2</w:t>
    </w:r>
    <w:r w:rsidR="00FB10E3">
      <w:rPr>
        <w:rFonts w:ascii="Calibri" w:hAnsi="Calibri"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320BE8"/>
    <w:lvl w:ilvl="0">
      <w:numFmt w:val="bullet"/>
      <w:lvlText w:val="*"/>
      <w:lvlJc w:val="left"/>
    </w:lvl>
  </w:abstractNum>
  <w:abstractNum w:abstractNumId="1" w15:restartNumberingAfterBreak="0">
    <w:nsid w:val="035D3B17"/>
    <w:multiLevelType w:val="hybridMultilevel"/>
    <w:tmpl w:val="D3584EB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A1A03"/>
    <w:multiLevelType w:val="hybridMultilevel"/>
    <w:tmpl w:val="1E6EA9D0"/>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C5D7323"/>
    <w:multiLevelType w:val="hybridMultilevel"/>
    <w:tmpl w:val="A942B8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85E58"/>
    <w:multiLevelType w:val="hybridMultilevel"/>
    <w:tmpl w:val="2B1E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A68BB"/>
    <w:multiLevelType w:val="hybridMultilevel"/>
    <w:tmpl w:val="C3AAC4B0"/>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C356069"/>
    <w:multiLevelType w:val="hybridMultilevel"/>
    <w:tmpl w:val="B1CEC07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CB867F0"/>
    <w:multiLevelType w:val="hybridMultilevel"/>
    <w:tmpl w:val="4420077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C6863"/>
    <w:multiLevelType w:val="hybridMultilevel"/>
    <w:tmpl w:val="D6B0BCDA"/>
    <w:lvl w:ilvl="0" w:tplc="5E2653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583E11"/>
    <w:multiLevelType w:val="multilevel"/>
    <w:tmpl w:val="A664CB4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Symbol" w:hAnsi="Symbo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2F237D6A"/>
    <w:multiLevelType w:val="hybridMultilevel"/>
    <w:tmpl w:val="25FE0E52"/>
    <w:lvl w:ilvl="0" w:tplc="D5DE5454">
      <w:start w:val="1"/>
      <w:numFmt w:val="upperLetter"/>
      <w:lvlText w:val="%1."/>
      <w:lvlJc w:val="left"/>
      <w:pPr>
        <w:ind w:left="720" w:hanging="360"/>
      </w:pPr>
      <w:rPr>
        <w:rFonts w:ascii="Calibri" w:hAnsi="Calibri" w:cs="Arial"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63B6D"/>
    <w:multiLevelType w:val="hybridMultilevel"/>
    <w:tmpl w:val="EE024BA6"/>
    <w:lvl w:ilvl="0" w:tplc="C7F222BC">
      <w:start w:val="1"/>
      <w:numFmt w:val="bullet"/>
      <w:lvlText w:val=""/>
      <w:lvlJc w:val="left"/>
      <w:pPr>
        <w:tabs>
          <w:tab w:val="num" w:pos="420"/>
        </w:tabs>
        <w:ind w:left="4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1CC12B7"/>
    <w:multiLevelType w:val="hybridMultilevel"/>
    <w:tmpl w:val="C21E7E84"/>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45FAB"/>
    <w:multiLevelType w:val="hybridMultilevel"/>
    <w:tmpl w:val="F2AA1A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AF2CA1"/>
    <w:multiLevelType w:val="hybridMultilevel"/>
    <w:tmpl w:val="B742EB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554C1965"/>
    <w:multiLevelType w:val="hybridMultilevel"/>
    <w:tmpl w:val="5F3A9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1044C"/>
    <w:multiLevelType w:val="hybridMultilevel"/>
    <w:tmpl w:val="11F8C574"/>
    <w:lvl w:ilvl="0" w:tplc="8CC008A6">
      <w:start w:val="1"/>
      <w:numFmt w:val="bullet"/>
      <w:lvlText w:val=""/>
      <w:lvlJc w:val="left"/>
      <w:pPr>
        <w:tabs>
          <w:tab w:val="num" w:pos="717"/>
        </w:tabs>
        <w:ind w:left="717" w:hanging="360"/>
      </w:pPr>
      <w:rPr>
        <w:rFonts w:ascii="Symbol" w:hAnsi="Symbol" w:hint="default"/>
        <w:sz w:val="22"/>
      </w:rPr>
    </w:lvl>
    <w:lvl w:ilvl="1" w:tplc="0C090019">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18" w15:restartNumberingAfterBreak="0">
    <w:nsid w:val="5A541DB6"/>
    <w:multiLevelType w:val="hybridMultilevel"/>
    <w:tmpl w:val="1310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B4F6C"/>
    <w:multiLevelType w:val="hybridMultilevel"/>
    <w:tmpl w:val="03B4837C"/>
    <w:lvl w:ilvl="0" w:tplc="BC86EBE2">
      <w:start w:val="1"/>
      <w:numFmt w:val="bullet"/>
      <w:pStyle w:val="Bulletedlist"/>
      <w:lvlText w:val=""/>
      <w:lvlJc w:val="left"/>
      <w:pPr>
        <w:ind w:left="27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38C745E">
      <w:numFmt w:val="bullet"/>
      <w:lvlText w:val="•"/>
      <w:lvlJc w:val="left"/>
      <w:pPr>
        <w:ind w:left="2444" w:hanging="644"/>
      </w:pPr>
      <w:rPr>
        <w:rFonts w:ascii="Calibri" w:eastAsia="Calibri"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BB02EC"/>
    <w:multiLevelType w:val="hybridMultilevel"/>
    <w:tmpl w:val="7EFA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15:restartNumberingAfterBreak="0">
    <w:nsid w:val="6CE5631D"/>
    <w:multiLevelType w:val="hybridMultilevel"/>
    <w:tmpl w:val="1BB4159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3" w15:restartNumberingAfterBreak="0">
    <w:nsid w:val="6F486BA4"/>
    <w:multiLevelType w:val="hybridMultilevel"/>
    <w:tmpl w:val="851050D8"/>
    <w:lvl w:ilvl="0" w:tplc="2580FE68">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C69C1"/>
    <w:multiLevelType w:val="hybridMultilevel"/>
    <w:tmpl w:val="C62AAD34"/>
    <w:lvl w:ilvl="0" w:tplc="0C090017">
      <w:start w:val="1"/>
      <w:numFmt w:val="lowerLetter"/>
      <w:lvlText w:val="%1)"/>
      <w:lvlJc w:val="left"/>
      <w:pPr>
        <w:ind w:left="720" w:hanging="360"/>
      </w:pPr>
    </w:lvl>
    <w:lvl w:ilvl="1" w:tplc="41F0267A">
      <w:start w:val="1"/>
      <w:numFmt w:val="lowerRoman"/>
      <w:lvlText w:val="(%2)"/>
      <w:lvlJc w:val="right"/>
      <w:pPr>
        <w:ind w:left="786" w:hanging="360"/>
      </w:pPr>
      <w:rPr>
        <w:rFonts w:hint="default"/>
        <w:color w:val="80808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0063C2"/>
    <w:multiLevelType w:val="hybridMultilevel"/>
    <w:tmpl w:val="F33A8924"/>
    <w:lvl w:ilvl="0" w:tplc="19681C88">
      <w:start w:val="1"/>
      <w:numFmt w:val="decimal"/>
      <w:pStyle w:val="Parah0number"/>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F024467"/>
    <w:multiLevelType w:val="hybridMultilevel"/>
    <w:tmpl w:val="B0D0BD2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7" w15:restartNumberingAfterBreak="0">
    <w:nsid w:val="7F3F6468"/>
    <w:multiLevelType w:val="hybridMultilevel"/>
    <w:tmpl w:val="2528C6B4"/>
    <w:lvl w:ilvl="0" w:tplc="7F2096C0">
      <w:start w:val="1"/>
      <w:numFmt w:val="bullet"/>
      <w:pStyle w:val="Bulletedtext"/>
      <w:lvlText w:val=""/>
      <w:lvlJc w:val="left"/>
      <w:pPr>
        <w:ind w:left="4330"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2"/>
  </w:num>
  <w:num w:numId="4">
    <w:abstractNumId w:val="13"/>
  </w:num>
  <w:num w:numId="5">
    <w:abstractNumId w:val="3"/>
  </w:num>
  <w:num w:numId="6">
    <w:abstractNumId w:val="14"/>
  </w:num>
  <w:num w:numId="7">
    <w:abstractNumId w:val="0"/>
    <w:lvlOverride w:ilvl="0">
      <w:lvl w:ilvl="0">
        <w:numFmt w:val="bullet"/>
        <w:lvlText w:val="•"/>
        <w:legacy w:legacy="1" w:legacySpace="0" w:legacyIndent="0"/>
        <w:lvlJc w:val="left"/>
        <w:rPr>
          <w:rFonts w:ascii="Helv" w:hAnsi="Helv" w:hint="default"/>
        </w:rPr>
      </w:lvl>
    </w:lvlOverride>
  </w:num>
  <w:num w:numId="8">
    <w:abstractNumId w:val="23"/>
  </w:num>
  <w:num w:numId="9">
    <w:abstractNumId w:val="7"/>
  </w:num>
  <w:num w:numId="10">
    <w:abstractNumId w:val="17"/>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21"/>
  </w:num>
  <w:num w:numId="16">
    <w:abstractNumId w:val="12"/>
  </w:num>
  <w:num w:numId="17">
    <w:abstractNumId w:val="20"/>
  </w:num>
  <w:num w:numId="18">
    <w:abstractNumId w:val="26"/>
  </w:num>
  <w:num w:numId="19">
    <w:abstractNumId w:val="18"/>
  </w:num>
  <w:num w:numId="20">
    <w:abstractNumId w:val="16"/>
  </w:num>
  <w:num w:numId="21">
    <w:abstractNumId w:val="1"/>
  </w:num>
  <w:num w:numId="22">
    <w:abstractNumId w:val="8"/>
  </w:num>
  <w:num w:numId="23">
    <w:abstractNumId w:val="15"/>
  </w:num>
  <w:num w:numId="24">
    <w:abstractNumId w:val="15"/>
  </w:num>
  <w:num w:numId="25">
    <w:abstractNumId w:val="22"/>
  </w:num>
  <w:num w:numId="26">
    <w:abstractNumId w:val="15"/>
  </w:num>
  <w:num w:numId="27">
    <w:abstractNumId w:val="15"/>
  </w:num>
  <w:num w:numId="28">
    <w:abstractNumId w:val="9"/>
  </w:num>
  <w:num w:numId="29">
    <w:abstractNumId w:val="27"/>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78"/>
    <w:rsid w:val="00004035"/>
    <w:rsid w:val="00005919"/>
    <w:rsid w:val="00006CC5"/>
    <w:rsid w:val="000439AE"/>
    <w:rsid w:val="00047A1E"/>
    <w:rsid w:val="000806CD"/>
    <w:rsid w:val="00083218"/>
    <w:rsid w:val="000850D4"/>
    <w:rsid w:val="000B3C1D"/>
    <w:rsid w:val="000B5F3F"/>
    <w:rsid w:val="000C4DB7"/>
    <w:rsid w:val="000C6DE3"/>
    <w:rsid w:val="000C7B73"/>
    <w:rsid w:val="000D0A81"/>
    <w:rsid w:val="000E3F0F"/>
    <w:rsid w:val="000F7D13"/>
    <w:rsid w:val="001023FB"/>
    <w:rsid w:val="001227B8"/>
    <w:rsid w:val="001315F2"/>
    <w:rsid w:val="00134D58"/>
    <w:rsid w:val="0013660C"/>
    <w:rsid w:val="00140F93"/>
    <w:rsid w:val="00157297"/>
    <w:rsid w:val="00160BEC"/>
    <w:rsid w:val="001625F6"/>
    <w:rsid w:val="001865AC"/>
    <w:rsid w:val="001A0C2C"/>
    <w:rsid w:val="001A3162"/>
    <w:rsid w:val="001C11FB"/>
    <w:rsid w:val="001D00B1"/>
    <w:rsid w:val="001D6985"/>
    <w:rsid w:val="001E3D34"/>
    <w:rsid w:val="001F28B4"/>
    <w:rsid w:val="001F4528"/>
    <w:rsid w:val="00200134"/>
    <w:rsid w:val="00207CF7"/>
    <w:rsid w:val="00216239"/>
    <w:rsid w:val="00242C14"/>
    <w:rsid w:val="002529C3"/>
    <w:rsid w:val="00263B38"/>
    <w:rsid w:val="00264FC6"/>
    <w:rsid w:val="0026600A"/>
    <w:rsid w:val="0027368E"/>
    <w:rsid w:val="002831E1"/>
    <w:rsid w:val="00290029"/>
    <w:rsid w:val="002936D5"/>
    <w:rsid w:val="002941F2"/>
    <w:rsid w:val="002A20BF"/>
    <w:rsid w:val="002A2B2C"/>
    <w:rsid w:val="002B2F38"/>
    <w:rsid w:val="002B35EB"/>
    <w:rsid w:val="002C2C8F"/>
    <w:rsid w:val="002D01B8"/>
    <w:rsid w:val="002E1A01"/>
    <w:rsid w:val="002E2F42"/>
    <w:rsid w:val="002E3373"/>
    <w:rsid w:val="002F7223"/>
    <w:rsid w:val="00303402"/>
    <w:rsid w:val="00315111"/>
    <w:rsid w:val="00327DF7"/>
    <w:rsid w:val="0033479D"/>
    <w:rsid w:val="0033572F"/>
    <w:rsid w:val="00351828"/>
    <w:rsid w:val="0035437B"/>
    <w:rsid w:val="00355D7A"/>
    <w:rsid w:val="00372E18"/>
    <w:rsid w:val="003748D9"/>
    <w:rsid w:val="00380115"/>
    <w:rsid w:val="00383572"/>
    <w:rsid w:val="00394928"/>
    <w:rsid w:val="003A0754"/>
    <w:rsid w:val="003B7879"/>
    <w:rsid w:val="003C72C8"/>
    <w:rsid w:val="003E135C"/>
    <w:rsid w:val="003E3E2C"/>
    <w:rsid w:val="003F77E5"/>
    <w:rsid w:val="0040636A"/>
    <w:rsid w:val="00406F31"/>
    <w:rsid w:val="004122ED"/>
    <w:rsid w:val="00450101"/>
    <w:rsid w:val="00467934"/>
    <w:rsid w:val="004864ED"/>
    <w:rsid w:val="00490A2D"/>
    <w:rsid w:val="004A0910"/>
    <w:rsid w:val="004A433C"/>
    <w:rsid w:val="004A7E45"/>
    <w:rsid w:val="004B6CC1"/>
    <w:rsid w:val="004C3386"/>
    <w:rsid w:val="004D2A9A"/>
    <w:rsid w:val="004D2CAC"/>
    <w:rsid w:val="004E52DE"/>
    <w:rsid w:val="004F63FF"/>
    <w:rsid w:val="00501676"/>
    <w:rsid w:val="00503F1E"/>
    <w:rsid w:val="00510224"/>
    <w:rsid w:val="0051643E"/>
    <w:rsid w:val="0051693B"/>
    <w:rsid w:val="00520031"/>
    <w:rsid w:val="00524D20"/>
    <w:rsid w:val="00525E74"/>
    <w:rsid w:val="005276B2"/>
    <w:rsid w:val="005460F3"/>
    <w:rsid w:val="005840E3"/>
    <w:rsid w:val="0059064F"/>
    <w:rsid w:val="005920CE"/>
    <w:rsid w:val="005967D1"/>
    <w:rsid w:val="00597117"/>
    <w:rsid w:val="005A0255"/>
    <w:rsid w:val="005A1CB0"/>
    <w:rsid w:val="005B5D83"/>
    <w:rsid w:val="005B7981"/>
    <w:rsid w:val="005E1EE3"/>
    <w:rsid w:val="005E5CAA"/>
    <w:rsid w:val="005F398C"/>
    <w:rsid w:val="005F6E3B"/>
    <w:rsid w:val="0061050B"/>
    <w:rsid w:val="00610E62"/>
    <w:rsid w:val="00611601"/>
    <w:rsid w:val="00613B0B"/>
    <w:rsid w:val="00632E14"/>
    <w:rsid w:val="00640795"/>
    <w:rsid w:val="006656DE"/>
    <w:rsid w:val="006700F3"/>
    <w:rsid w:val="00684D6D"/>
    <w:rsid w:val="006952FB"/>
    <w:rsid w:val="006B1424"/>
    <w:rsid w:val="006B24C3"/>
    <w:rsid w:val="006C7FDA"/>
    <w:rsid w:val="006D1C55"/>
    <w:rsid w:val="006E248E"/>
    <w:rsid w:val="006F1164"/>
    <w:rsid w:val="006F3389"/>
    <w:rsid w:val="0072592A"/>
    <w:rsid w:val="00732D66"/>
    <w:rsid w:val="00744734"/>
    <w:rsid w:val="007524EB"/>
    <w:rsid w:val="007615F8"/>
    <w:rsid w:val="007726D1"/>
    <w:rsid w:val="007806F8"/>
    <w:rsid w:val="0079605C"/>
    <w:rsid w:val="007A68D6"/>
    <w:rsid w:val="007B1B08"/>
    <w:rsid w:val="007B2DE3"/>
    <w:rsid w:val="007C0C69"/>
    <w:rsid w:val="007D27BC"/>
    <w:rsid w:val="007D34A4"/>
    <w:rsid w:val="00804A45"/>
    <w:rsid w:val="00810F41"/>
    <w:rsid w:val="00816C1F"/>
    <w:rsid w:val="00824B5D"/>
    <w:rsid w:val="00826487"/>
    <w:rsid w:val="00830260"/>
    <w:rsid w:val="008335DA"/>
    <w:rsid w:val="00843BD6"/>
    <w:rsid w:val="00851FA3"/>
    <w:rsid w:val="00854A7B"/>
    <w:rsid w:val="008978BF"/>
    <w:rsid w:val="008A7DBE"/>
    <w:rsid w:val="008B1D01"/>
    <w:rsid w:val="008B1DF2"/>
    <w:rsid w:val="008B6E29"/>
    <w:rsid w:val="008D2601"/>
    <w:rsid w:val="008F2FD5"/>
    <w:rsid w:val="008F3539"/>
    <w:rsid w:val="00902E7C"/>
    <w:rsid w:val="00923371"/>
    <w:rsid w:val="00924994"/>
    <w:rsid w:val="00931AD6"/>
    <w:rsid w:val="00936C03"/>
    <w:rsid w:val="00943681"/>
    <w:rsid w:val="009537FB"/>
    <w:rsid w:val="00965E93"/>
    <w:rsid w:val="009723F0"/>
    <w:rsid w:val="00983553"/>
    <w:rsid w:val="009B7A92"/>
    <w:rsid w:val="009C1064"/>
    <w:rsid w:val="009D77A2"/>
    <w:rsid w:val="009E187F"/>
    <w:rsid w:val="00A05802"/>
    <w:rsid w:val="00A06976"/>
    <w:rsid w:val="00A20BC7"/>
    <w:rsid w:val="00A2283E"/>
    <w:rsid w:val="00A22F1B"/>
    <w:rsid w:val="00A27E38"/>
    <w:rsid w:val="00A31BE3"/>
    <w:rsid w:val="00A33636"/>
    <w:rsid w:val="00A37371"/>
    <w:rsid w:val="00A72270"/>
    <w:rsid w:val="00A76C27"/>
    <w:rsid w:val="00A8204A"/>
    <w:rsid w:val="00AA2D53"/>
    <w:rsid w:val="00AA4EDC"/>
    <w:rsid w:val="00AA5C2A"/>
    <w:rsid w:val="00AB2CCA"/>
    <w:rsid w:val="00AB3A2A"/>
    <w:rsid w:val="00AB5534"/>
    <w:rsid w:val="00AB720C"/>
    <w:rsid w:val="00AC00B1"/>
    <w:rsid w:val="00AD5D55"/>
    <w:rsid w:val="00AE671A"/>
    <w:rsid w:val="00AF5334"/>
    <w:rsid w:val="00B141B9"/>
    <w:rsid w:val="00B42CFB"/>
    <w:rsid w:val="00B55C0D"/>
    <w:rsid w:val="00B66543"/>
    <w:rsid w:val="00B7189C"/>
    <w:rsid w:val="00B804CE"/>
    <w:rsid w:val="00B94AE2"/>
    <w:rsid w:val="00B97CDC"/>
    <w:rsid w:val="00BA515E"/>
    <w:rsid w:val="00BA601D"/>
    <w:rsid w:val="00BB2E68"/>
    <w:rsid w:val="00BB5A30"/>
    <w:rsid w:val="00BC051A"/>
    <w:rsid w:val="00BC06B8"/>
    <w:rsid w:val="00BD6B85"/>
    <w:rsid w:val="00C22053"/>
    <w:rsid w:val="00C34078"/>
    <w:rsid w:val="00C356E1"/>
    <w:rsid w:val="00C37D7E"/>
    <w:rsid w:val="00C473B5"/>
    <w:rsid w:val="00C571DF"/>
    <w:rsid w:val="00C8270D"/>
    <w:rsid w:val="00C94CAF"/>
    <w:rsid w:val="00CA45AC"/>
    <w:rsid w:val="00CB39D7"/>
    <w:rsid w:val="00CB6A05"/>
    <w:rsid w:val="00CB76EA"/>
    <w:rsid w:val="00D102F7"/>
    <w:rsid w:val="00D17578"/>
    <w:rsid w:val="00D4201C"/>
    <w:rsid w:val="00D51302"/>
    <w:rsid w:val="00D6110C"/>
    <w:rsid w:val="00D616CF"/>
    <w:rsid w:val="00D6289C"/>
    <w:rsid w:val="00D6425E"/>
    <w:rsid w:val="00D7176C"/>
    <w:rsid w:val="00D84AEC"/>
    <w:rsid w:val="00D90A93"/>
    <w:rsid w:val="00D975F1"/>
    <w:rsid w:val="00DB4BD7"/>
    <w:rsid w:val="00DD6F00"/>
    <w:rsid w:val="00DE1527"/>
    <w:rsid w:val="00DE6025"/>
    <w:rsid w:val="00E069F0"/>
    <w:rsid w:val="00E1353D"/>
    <w:rsid w:val="00E20E18"/>
    <w:rsid w:val="00E309C9"/>
    <w:rsid w:val="00E43907"/>
    <w:rsid w:val="00E4554B"/>
    <w:rsid w:val="00E65BE0"/>
    <w:rsid w:val="00E76BD8"/>
    <w:rsid w:val="00E82517"/>
    <w:rsid w:val="00EA5169"/>
    <w:rsid w:val="00EB76D3"/>
    <w:rsid w:val="00EC4D9D"/>
    <w:rsid w:val="00EF4ABA"/>
    <w:rsid w:val="00F00E89"/>
    <w:rsid w:val="00F0725D"/>
    <w:rsid w:val="00F15D12"/>
    <w:rsid w:val="00F22ACA"/>
    <w:rsid w:val="00F30A81"/>
    <w:rsid w:val="00F33A8A"/>
    <w:rsid w:val="00F33FBA"/>
    <w:rsid w:val="00F42352"/>
    <w:rsid w:val="00F51657"/>
    <w:rsid w:val="00F62AAE"/>
    <w:rsid w:val="00F65337"/>
    <w:rsid w:val="00F65C71"/>
    <w:rsid w:val="00F71670"/>
    <w:rsid w:val="00F77C87"/>
    <w:rsid w:val="00F9054E"/>
    <w:rsid w:val="00FA6EE0"/>
    <w:rsid w:val="00FB10E3"/>
    <w:rsid w:val="00FC7B74"/>
    <w:rsid w:val="00FC7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E1082"/>
  <w15:chartTrackingRefBased/>
  <w15:docId w15:val="{9F7F0FC6-E6C0-422A-9C5A-DD661900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caption" w:semiHidden="1" w:unhideWhenUsed="1" w:qFormat="1"/>
    <w:lsdException w:name="Title" w:uiPriority="28"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078"/>
    <w:rPr>
      <w:sz w:val="24"/>
      <w:szCs w:val="24"/>
    </w:rPr>
  </w:style>
  <w:style w:type="paragraph" w:styleId="Heading1">
    <w:name w:val="heading 1"/>
    <w:basedOn w:val="Normal"/>
    <w:next w:val="Normal"/>
    <w:link w:val="Heading1Char"/>
    <w:qFormat/>
    <w:rsid w:val="00355D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C0C69"/>
    <w:pPr>
      <w:keepNext/>
      <w:spacing w:before="430" w:after="60"/>
      <w:outlineLvl w:val="1"/>
    </w:pPr>
    <w:rPr>
      <w:rFonts w:ascii="Arial" w:hAnsi="Arial" w:cs="Arial"/>
      <w:bCs/>
      <w:iCs/>
      <w:color w:val="286EB4"/>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E6025"/>
    <w:pPr>
      <w:spacing w:before="120" w:after="120"/>
    </w:pPr>
    <w:rPr>
      <w:b/>
      <w:bCs/>
      <w:caps/>
      <w:sz w:val="20"/>
      <w:szCs w:val="20"/>
    </w:rPr>
  </w:style>
  <w:style w:type="paragraph" w:styleId="TOC2">
    <w:name w:val="toc 2"/>
    <w:basedOn w:val="Normal"/>
    <w:next w:val="Normal"/>
    <w:autoRedefine/>
    <w:semiHidden/>
    <w:rsid w:val="00DE6025"/>
    <w:pPr>
      <w:ind w:left="240"/>
    </w:pPr>
    <w:rPr>
      <w:smallCaps/>
      <w:sz w:val="20"/>
      <w:szCs w:val="20"/>
    </w:rPr>
  </w:style>
  <w:style w:type="paragraph" w:styleId="TOC3">
    <w:name w:val="toc 3"/>
    <w:basedOn w:val="Normal"/>
    <w:next w:val="Normal"/>
    <w:autoRedefine/>
    <w:semiHidden/>
    <w:rsid w:val="00DE6025"/>
    <w:pPr>
      <w:ind w:left="480"/>
    </w:pPr>
    <w:rPr>
      <w:i/>
      <w:iCs/>
      <w:sz w:val="20"/>
      <w:szCs w:val="20"/>
    </w:rPr>
  </w:style>
  <w:style w:type="paragraph" w:styleId="TOC4">
    <w:name w:val="toc 4"/>
    <w:basedOn w:val="Normal"/>
    <w:next w:val="Normal"/>
    <w:autoRedefine/>
    <w:uiPriority w:val="39"/>
    <w:rsid w:val="00DE6025"/>
    <w:pPr>
      <w:ind w:left="720"/>
    </w:pPr>
    <w:rPr>
      <w:sz w:val="18"/>
      <w:szCs w:val="18"/>
    </w:rPr>
  </w:style>
  <w:style w:type="paragraph" w:styleId="TOC5">
    <w:name w:val="toc 5"/>
    <w:basedOn w:val="Normal"/>
    <w:next w:val="Normal"/>
    <w:autoRedefine/>
    <w:semiHidden/>
    <w:rsid w:val="00DE6025"/>
    <w:pPr>
      <w:ind w:left="960"/>
    </w:pPr>
    <w:rPr>
      <w:sz w:val="18"/>
      <w:szCs w:val="18"/>
    </w:rPr>
  </w:style>
  <w:style w:type="paragraph" w:styleId="TOC6">
    <w:name w:val="toc 6"/>
    <w:basedOn w:val="Normal"/>
    <w:next w:val="Normal"/>
    <w:autoRedefine/>
    <w:semiHidden/>
    <w:rsid w:val="00DE6025"/>
    <w:pPr>
      <w:ind w:left="1200"/>
    </w:pPr>
    <w:rPr>
      <w:sz w:val="18"/>
      <w:szCs w:val="18"/>
    </w:rPr>
  </w:style>
  <w:style w:type="paragraph" w:styleId="TOC7">
    <w:name w:val="toc 7"/>
    <w:basedOn w:val="Normal"/>
    <w:next w:val="Normal"/>
    <w:autoRedefine/>
    <w:semiHidden/>
    <w:rsid w:val="00DE6025"/>
    <w:pPr>
      <w:ind w:left="1440"/>
    </w:pPr>
    <w:rPr>
      <w:sz w:val="18"/>
      <w:szCs w:val="18"/>
    </w:rPr>
  </w:style>
  <w:style w:type="paragraph" w:styleId="TOC8">
    <w:name w:val="toc 8"/>
    <w:basedOn w:val="Normal"/>
    <w:next w:val="Normal"/>
    <w:autoRedefine/>
    <w:semiHidden/>
    <w:rsid w:val="00DE6025"/>
    <w:pPr>
      <w:ind w:left="1680"/>
    </w:pPr>
    <w:rPr>
      <w:sz w:val="18"/>
      <w:szCs w:val="18"/>
    </w:rPr>
  </w:style>
  <w:style w:type="paragraph" w:styleId="TOC9">
    <w:name w:val="toc 9"/>
    <w:basedOn w:val="Normal"/>
    <w:next w:val="Normal"/>
    <w:autoRedefine/>
    <w:semiHidden/>
    <w:rsid w:val="00DE6025"/>
    <w:pPr>
      <w:ind w:left="1920"/>
    </w:pPr>
    <w:rPr>
      <w:sz w:val="18"/>
      <w:szCs w:val="18"/>
    </w:rPr>
  </w:style>
  <w:style w:type="character" w:styleId="Hyperlink">
    <w:name w:val="Hyperlink"/>
    <w:rsid w:val="00DE6025"/>
    <w:rPr>
      <w:color w:val="0000FF"/>
      <w:u w:val="single"/>
    </w:rPr>
  </w:style>
  <w:style w:type="paragraph" w:styleId="Header">
    <w:name w:val="header"/>
    <w:basedOn w:val="Normal"/>
    <w:rsid w:val="00BB5A30"/>
    <w:pPr>
      <w:tabs>
        <w:tab w:val="center" w:pos="4153"/>
        <w:tab w:val="right" w:pos="8306"/>
      </w:tabs>
    </w:pPr>
  </w:style>
  <w:style w:type="paragraph" w:styleId="Footer">
    <w:name w:val="footer"/>
    <w:basedOn w:val="Normal"/>
    <w:rsid w:val="00BB5A30"/>
    <w:pPr>
      <w:tabs>
        <w:tab w:val="center" w:pos="4153"/>
        <w:tab w:val="right" w:pos="8306"/>
      </w:tabs>
    </w:pPr>
  </w:style>
  <w:style w:type="character" w:styleId="PageNumber">
    <w:name w:val="page number"/>
    <w:basedOn w:val="DefaultParagraphFont"/>
    <w:rsid w:val="00BB5A30"/>
  </w:style>
  <w:style w:type="paragraph" w:styleId="ListParagraph">
    <w:name w:val="List Paragraph"/>
    <w:aliases w:val="List Paragraph11,Bullet point,L,List Paragraph1,Recommendation,DDM Gen Text,List Paragraph - bullets,NFP GP Bulleted List,bullet point list,Bullet points,Content descriptions,Bullet Point,2. List Bullet 2,F5 List Paragraph,Dot pt,CV text"/>
    <w:basedOn w:val="Normal"/>
    <w:link w:val="ListParagraphChar"/>
    <w:uiPriority w:val="34"/>
    <w:qFormat/>
    <w:rsid w:val="002A20BF"/>
    <w:pPr>
      <w:ind w:left="720"/>
    </w:pPr>
  </w:style>
  <w:style w:type="paragraph" w:customStyle="1" w:styleId="Parah0number">
    <w:name w:val="Parah 0 number"/>
    <w:basedOn w:val="Normal"/>
    <w:rsid w:val="005B7981"/>
    <w:pPr>
      <w:numPr>
        <w:numId w:val="13"/>
      </w:numPr>
      <w:spacing w:after="60"/>
    </w:pPr>
    <w:rPr>
      <w:rFonts w:ascii="Arial" w:hAnsi="Arial"/>
      <w:sz w:val="22"/>
      <w:szCs w:val="20"/>
    </w:rPr>
  </w:style>
  <w:style w:type="paragraph" w:styleId="BalloonText">
    <w:name w:val="Balloon Text"/>
    <w:basedOn w:val="Normal"/>
    <w:link w:val="BalloonTextChar"/>
    <w:rsid w:val="001C11FB"/>
    <w:rPr>
      <w:rFonts w:ascii="Tahoma" w:hAnsi="Tahoma" w:cs="Tahoma"/>
      <w:sz w:val="16"/>
      <w:szCs w:val="16"/>
    </w:rPr>
  </w:style>
  <w:style w:type="character" w:customStyle="1" w:styleId="BalloonTextChar">
    <w:name w:val="Balloon Text Char"/>
    <w:link w:val="BalloonText"/>
    <w:rsid w:val="001C11FB"/>
    <w:rPr>
      <w:rFonts w:ascii="Tahoma" w:hAnsi="Tahoma" w:cs="Tahoma"/>
      <w:sz w:val="16"/>
      <w:szCs w:val="16"/>
    </w:rPr>
  </w:style>
  <w:style w:type="character" w:styleId="FollowedHyperlink">
    <w:name w:val="FollowedHyperlink"/>
    <w:rsid w:val="0033479D"/>
    <w:rPr>
      <w:color w:val="800080"/>
      <w:u w:val="single"/>
    </w:rPr>
  </w:style>
  <w:style w:type="character" w:customStyle="1" w:styleId="Heading2Char">
    <w:name w:val="Heading 2 Char"/>
    <w:link w:val="Heading2"/>
    <w:rsid w:val="007C0C69"/>
    <w:rPr>
      <w:rFonts w:ascii="Arial" w:hAnsi="Arial" w:cs="Arial"/>
      <w:bCs/>
      <w:iCs/>
      <w:color w:val="286EB4"/>
      <w:sz w:val="28"/>
      <w:szCs w:val="28"/>
      <w:lang w:eastAsia="en-US"/>
    </w:rPr>
  </w:style>
  <w:style w:type="paragraph" w:customStyle="1" w:styleId="Bullet2grey">
    <w:name w:val="Bullet 2 grey"/>
    <w:basedOn w:val="Normal"/>
    <w:uiPriority w:val="1"/>
    <w:qFormat/>
    <w:rsid w:val="002C2C8F"/>
    <w:pPr>
      <w:tabs>
        <w:tab w:val="left" w:pos="360"/>
        <w:tab w:val="left" w:pos="720"/>
      </w:tabs>
      <w:spacing w:before="20" w:after="20"/>
    </w:pPr>
    <w:rPr>
      <w:rFonts w:ascii="Calibri" w:eastAsia="Calibri" w:hAnsi="Calibri"/>
      <w:color w:val="6E6E64"/>
      <w:sz w:val="22"/>
      <w:szCs w:val="22"/>
      <w:lang w:eastAsia="en-US"/>
    </w:rPr>
  </w:style>
  <w:style w:type="paragraph" w:customStyle="1" w:styleId="TableText">
    <w:name w:val="Table Text"/>
    <w:basedOn w:val="Normal"/>
    <w:uiPriority w:val="15"/>
    <w:qFormat/>
    <w:rsid w:val="00355D7A"/>
    <w:pPr>
      <w:spacing w:before="20" w:after="20"/>
    </w:pPr>
    <w:rPr>
      <w:rFonts w:ascii="Calibri" w:hAnsi="Calibri" w:cs="Calibri"/>
      <w:sz w:val="20"/>
      <w:szCs w:val="22"/>
    </w:rPr>
  </w:style>
  <w:style w:type="paragraph" w:customStyle="1" w:styleId="TableHeader">
    <w:name w:val="Table Header"/>
    <w:basedOn w:val="TableText"/>
    <w:uiPriority w:val="15"/>
    <w:qFormat/>
    <w:rsid w:val="00355D7A"/>
    <w:pPr>
      <w:keepNext/>
      <w:spacing w:before="40" w:after="40"/>
    </w:pPr>
    <w:rPr>
      <w:color w:val="FFFFFF"/>
      <w:sz w:val="24"/>
      <w:lang w:eastAsia="en-US"/>
    </w:rPr>
  </w:style>
  <w:style w:type="paragraph" w:styleId="Title">
    <w:name w:val="Title"/>
    <w:basedOn w:val="Normal"/>
    <w:link w:val="TitleChar"/>
    <w:uiPriority w:val="28"/>
    <w:qFormat/>
    <w:rsid w:val="00355D7A"/>
    <w:pPr>
      <w:spacing w:after="120"/>
      <w:ind w:right="4536"/>
    </w:pPr>
    <w:rPr>
      <w:rFonts w:ascii="Calibri" w:hAnsi="Calibri" w:cs="Calibri"/>
      <w:color w:val="1665A1"/>
      <w:kern w:val="28"/>
      <w:sz w:val="40"/>
      <w:szCs w:val="22"/>
    </w:rPr>
  </w:style>
  <w:style w:type="character" w:customStyle="1" w:styleId="TitleChar">
    <w:name w:val="Title Char"/>
    <w:link w:val="Title"/>
    <w:uiPriority w:val="28"/>
    <w:rsid w:val="00355D7A"/>
    <w:rPr>
      <w:rFonts w:ascii="Calibri" w:hAnsi="Calibri" w:cs="Calibri"/>
      <w:color w:val="1665A1"/>
      <w:kern w:val="28"/>
      <w:sz w:val="40"/>
      <w:szCs w:val="22"/>
    </w:rPr>
  </w:style>
  <w:style w:type="paragraph" w:customStyle="1" w:styleId="Heading1NoNum">
    <w:name w:val="Heading 1 NoNum"/>
    <w:basedOn w:val="Heading1"/>
    <w:next w:val="Normal"/>
    <w:uiPriority w:val="4"/>
    <w:qFormat/>
    <w:rsid w:val="00355D7A"/>
    <w:pPr>
      <w:keepLines/>
      <w:spacing w:before="200" w:after="80"/>
    </w:pPr>
    <w:rPr>
      <w:rFonts w:ascii="Calibri" w:hAnsi="Calibri" w:cs="Calibri"/>
      <w:b w:val="0"/>
      <w:bCs w:val="0"/>
      <w:color w:val="4D4D4D"/>
      <w:kern w:val="28"/>
      <w:sz w:val="30"/>
      <w:szCs w:val="22"/>
      <w:lang w:eastAsia="en-US"/>
    </w:rPr>
  </w:style>
  <w:style w:type="character" w:customStyle="1" w:styleId="Heading1Char">
    <w:name w:val="Heading 1 Char"/>
    <w:link w:val="Heading1"/>
    <w:rsid w:val="00355D7A"/>
    <w:rPr>
      <w:rFonts w:ascii="Cambria" w:eastAsia="Times New Roman" w:hAnsi="Cambria" w:cs="Times New Roman"/>
      <w:b/>
      <w:bCs/>
      <w:kern w:val="32"/>
      <w:sz w:val="32"/>
      <w:szCs w:val="32"/>
    </w:rPr>
  </w:style>
  <w:style w:type="paragraph" w:customStyle="1" w:styleId="TableBullet">
    <w:name w:val="Table Bullet"/>
    <w:basedOn w:val="TableText"/>
    <w:uiPriority w:val="10"/>
    <w:semiHidden/>
    <w:qFormat/>
    <w:rsid w:val="00355D7A"/>
    <w:pPr>
      <w:numPr>
        <w:numId w:val="15"/>
      </w:numPr>
      <w:spacing w:before="0" w:after="0"/>
    </w:pPr>
  </w:style>
  <w:style w:type="paragraph" w:customStyle="1" w:styleId="TableBulletDash">
    <w:name w:val="Table Bullet Dash"/>
    <w:basedOn w:val="Normal"/>
    <w:uiPriority w:val="10"/>
    <w:semiHidden/>
    <w:rsid w:val="00355D7A"/>
    <w:pPr>
      <w:numPr>
        <w:ilvl w:val="1"/>
        <w:numId w:val="15"/>
      </w:numPr>
      <w:spacing w:line="260" w:lineRule="atLeast"/>
    </w:pPr>
    <w:rPr>
      <w:rFonts w:ascii="Calibri" w:hAnsi="Calibri" w:cs="Calibri"/>
      <w:sz w:val="22"/>
      <w:szCs w:val="22"/>
    </w:rPr>
  </w:style>
  <w:style w:type="paragraph" w:customStyle="1" w:styleId="Pa3">
    <w:name w:val="Pa3"/>
    <w:basedOn w:val="Normal"/>
    <w:next w:val="Normal"/>
    <w:uiPriority w:val="99"/>
    <w:rsid w:val="00A2283E"/>
    <w:pPr>
      <w:autoSpaceDE w:val="0"/>
      <w:autoSpaceDN w:val="0"/>
      <w:adjustRightInd w:val="0"/>
      <w:spacing w:line="181" w:lineRule="atLeast"/>
    </w:pPr>
    <w:rPr>
      <w:rFonts w:ascii="VIC" w:hAnsi="VIC"/>
    </w:rPr>
  </w:style>
  <w:style w:type="character" w:customStyle="1" w:styleId="A0">
    <w:name w:val="A0"/>
    <w:uiPriority w:val="99"/>
    <w:rsid w:val="00A2283E"/>
    <w:rPr>
      <w:rFonts w:cs="VIC"/>
      <w:color w:val="000000"/>
      <w:sz w:val="16"/>
      <w:szCs w:val="16"/>
    </w:rPr>
  </w:style>
  <w:style w:type="paragraph" w:customStyle="1" w:styleId="tablelighttext">
    <w:name w:val="table light text"/>
    <w:basedOn w:val="Normal"/>
    <w:uiPriority w:val="99"/>
    <w:rsid w:val="00140F93"/>
    <w:pPr>
      <w:suppressAutoHyphens/>
      <w:autoSpaceDE w:val="0"/>
      <w:autoSpaceDN w:val="0"/>
      <w:adjustRightInd w:val="0"/>
      <w:spacing w:after="28" w:line="220" w:lineRule="atLeast"/>
      <w:textAlignment w:val="center"/>
    </w:pPr>
    <w:rPr>
      <w:rFonts w:ascii="VIC-Light" w:hAnsi="VIC-Light"/>
      <w:color w:val="000000"/>
      <w:sz w:val="18"/>
      <w:szCs w:val="18"/>
      <w:lang w:val="en-US"/>
    </w:rPr>
  </w:style>
  <w:style w:type="character" w:styleId="CommentReference">
    <w:name w:val="annotation reference"/>
    <w:rsid w:val="00B7189C"/>
    <w:rPr>
      <w:sz w:val="16"/>
      <w:szCs w:val="16"/>
    </w:rPr>
  </w:style>
  <w:style w:type="paragraph" w:styleId="CommentText">
    <w:name w:val="annotation text"/>
    <w:basedOn w:val="Normal"/>
    <w:link w:val="CommentTextChar"/>
    <w:rsid w:val="00B7189C"/>
    <w:rPr>
      <w:sz w:val="20"/>
      <w:szCs w:val="20"/>
    </w:rPr>
  </w:style>
  <w:style w:type="character" w:customStyle="1" w:styleId="CommentTextChar">
    <w:name w:val="Comment Text Char"/>
    <w:basedOn w:val="DefaultParagraphFont"/>
    <w:link w:val="CommentText"/>
    <w:rsid w:val="00B7189C"/>
  </w:style>
  <w:style w:type="paragraph" w:styleId="CommentSubject">
    <w:name w:val="annotation subject"/>
    <w:basedOn w:val="CommentText"/>
    <w:next w:val="CommentText"/>
    <w:link w:val="CommentSubjectChar"/>
    <w:rsid w:val="00B7189C"/>
    <w:rPr>
      <w:b/>
      <w:bCs/>
    </w:rPr>
  </w:style>
  <w:style w:type="character" w:customStyle="1" w:styleId="CommentSubjectChar">
    <w:name w:val="Comment Subject Char"/>
    <w:link w:val="CommentSubject"/>
    <w:rsid w:val="00B7189C"/>
    <w:rPr>
      <w:b/>
      <w:bCs/>
    </w:rPr>
  </w:style>
  <w:style w:type="paragraph" w:styleId="BodyText">
    <w:name w:val="Body Text"/>
    <w:basedOn w:val="Normal"/>
    <w:link w:val="BodyTextChar"/>
    <w:uiPriority w:val="1"/>
    <w:qFormat/>
    <w:rsid w:val="00E1353D"/>
    <w:pPr>
      <w:autoSpaceDE w:val="0"/>
      <w:autoSpaceDN w:val="0"/>
      <w:spacing w:before="120" w:after="120" w:line="280" w:lineRule="exact"/>
      <w:ind w:right="550"/>
    </w:pPr>
    <w:rPr>
      <w:rFonts w:ascii="Arial" w:eastAsia="VIC Light" w:hAnsi="Arial" w:cs="Arial"/>
      <w:sz w:val="20"/>
      <w:szCs w:val="20"/>
      <w:lang w:eastAsia="en-US" w:bidi="en-US"/>
    </w:rPr>
  </w:style>
  <w:style w:type="character" w:customStyle="1" w:styleId="BodyTextChar">
    <w:name w:val="Body Text Char"/>
    <w:link w:val="BodyText"/>
    <w:uiPriority w:val="1"/>
    <w:rsid w:val="00E1353D"/>
    <w:rPr>
      <w:rFonts w:ascii="Arial" w:eastAsia="VIC Light" w:hAnsi="Arial" w:cs="Arial"/>
      <w:lang w:eastAsia="en-US" w:bidi="en-US"/>
    </w:rPr>
  </w:style>
  <w:style w:type="paragraph" w:customStyle="1" w:styleId="Bullets">
    <w:name w:val="Bullets"/>
    <w:basedOn w:val="BodyText"/>
    <w:uiPriority w:val="1"/>
    <w:qFormat/>
    <w:rsid w:val="00810F41"/>
    <w:pPr>
      <w:numPr>
        <w:numId w:val="16"/>
      </w:numPr>
    </w:pPr>
  </w:style>
  <w:style w:type="paragraph" w:styleId="NormalWeb">
    <w:name w:val="Normal (Web)"/>
    <w:basedOn w:val="Normal"/>
    <w:uiPriority w:val="99"/>
    <w:unhideWhenUsed/>
    <w:rsid w:val="00157297"/>
    <w:rPr>
      <w:rFonts w:ascii="inherit" w:hAnsi="inherit"/>
    </w:rPr>
  </w:style>
  <w:style w:type="character" w:customStyle="1" w:styleId="ListParagraphChar">
    <w:name w:val="List Paragraph Char"/>
    <w:aliases w:val="List Paragraph11 Char,Bullet point Char,L Char,List Paragraph1 Char,Recommendation Char,DDM Gen Text Char,List Paragraph - bullets Char,NFP GP Bulleted List Char,bullet point list Char,Bullet points Char,Content descriptions Char"/>
    <w:link w:val="ListParagraph"/>
    <w:uiPriority w:val="34"/>
    <w:qFormat/>
    <w:locked/>
    <w:rsid w:val="00F71670"/>
    <w:rPr>
      <w:sz w:val="24"/>
      <w:szCs w:val="24"/>
    </w:rPr>
  </w:style>
  <w:style w:type="character" w:styleId="UnresolvedMention">
    <w:name w:val="Unresolved Mention"/>
    <w:uiPriority w:val="99"/>
    <w:semiHidden/>
    <w:unhideWhenUsed/>
    <w:rsid w:val="00503F1E"/>
    <w:rPr>
      <w:color w:val="605E5C"/>
      <w:shd w:val="clear" w:color="auto" w:fill="E1DFDD"/>
    </w:rPr>
  </w:style>
  <w:style w:type="paragraph" w:customStyle="1" w:styleId="Bullet1">
    <w:name w:val="Bullet 1"/>
    <w:uiPriority w:val="11"/>
    <w:qFormat/>
    <w:rsid w:val="00303402"/>
    <w:pPr>
      <w:numPr>
        <w:numId w:val="23"/>
      </w:numPr>
      <w:spacing w:before="100" w:after="100"/>
      <w:contextualSpacing/>
    </w:pPr>
    <w:rPr>
      <w:rFonts w:ascii="Arial" w:hAnsi="Arial" w:cs="Calibri"/>
      <w:spacing w:val="2"/>
    </w:rPr>
  </w:style>
  <w:style w:type="paragraph" w:customStyle="1" w:styleId="Bullet2">
    <w:name w:val="Bullet 2"/>
    <w:basedOn w:val="Bullet1"/>
    <w:uiPriority w:val="11"/>
    <w:qFormat/>
    <w:rsid w:val="00303402"/>
    <w:pPr>
      <w:numPr>
        <w:ilvl w:val="1"/>
      </w:numPr>
    </w:pPr>
  </w:style>
  <w:style w:type="paragraph" w:customStyle="1" w:styleId="Bulletindent">
    <w:name w:val="Bullet indent"/>
    <w:basedOn w:val="Bullet2"/>
    <w:uiPriority w:val="9"/>
    <w:qFormat/>
    <w:rsid w:val="00303402"/>
    <w:pPr>
      <w:numPr>
        <w:ilvl w:val="2"/>
      </w:numPr>
      <w:tabs>
        <w:tab w:val="clear" w:pos="1152"/>
        <w:tab w:val="num" w:pos="1800"/>
      </w:tabs>
      <w:ind w:left="1800" w:hanging="180"/>
    </w:pPr>
  </w:style>
  <w:style w:type="paragraph" w:customStyle="1" w:styleId="Bulletindent2">
    <w:name w:val="Bullet indent 2"/>
    <w:basedOn w:val="Normal"/>
    <w:uiPriority w:val="9"/>
    <w:qFormat/>
    <w:rsid w:val="00303402"/>
    <w:pPr>
      <w:numPr>
        <w:ilvl w:val="3"/>
        <w:numId w:val="23"/>
      </w:numPr>
      <w:tabs>
        <w:tab w:val="clear" w:pos="1512"/>
        <w:tab w:val="num" w:pos="2520"/>
      </w:tabs>
      <w:spacing w:before="100" w:after="100" w:line="276" w:lineRule="auto"/>
      <w:ind w:left="2520"/>
      <w:contextualSpacing/>
    </w:pPr>
    <w:rPr>
      <w:rFonts w:ascii="Arial" w:hAnsi="Arial"/>
      <w:spacing w:val="2"/>
      <w:sz w:val="20"/>
      <w:szCs w:val="20"/>
    </w:rPr>
  </w:style>
  <w:style w:type="paragraph" w:customStyle="1" w:styleId="Default">
    <w:name w:val="Default"/>
    <w:rsid w:val="002831E1"/>
    <w:pPr>
      <w:autoSpaceDE w:val="0"/>
      <w:autoSpaceDN w:val="0"/>
      <w:adjustRightInd w:val="0"/>
    </w:pPr>
    <w:rPr>
      <w:rFonts w:ascii="Segoe UI" w:hAnsi="Segoe UI" w:cs="Segoe UI"/>
      <w:color w:val="000000"/>
      <w:sz w:val="24"/>
      <w:szCs w:val="24"/>
    </w:rPr>
  </w:style>
  <w:style w:type="paragraph" w:customStyle="1" w:styleId="Bulletedtext">
    <w:name w:val="Bulleted text"/>
    <w:basedOn w:val="Normal"/>
    <w:rsid w:val="002529C3"/>
    <w:pPr>
      <w:numPr>
        <w:numId w:val="29"/>
      </w:numPr>
      <w:tabs>
        <w:tab w:val="num" w:pos="360"/>
      </w:tabs>
      <w:autoSpaceDE w:val="0"/>
      <w:autoSpaceDN w:val="0"/>
      <w:adjustRightInd w:val="0"/>
      <w:spacing w:after="60" w:line="259" w:lineRule="auto"/>
      <w:ind w:left="7165"/>
      <w:textAlignment w:val="center"/>
    </w:pPr>
    <w:rPr>
      <w:rFonts w:ascii="Calibri" w:hAnsi="Calibri" w:cs="Tahoma"/>
      <w:spacing w:val="4"/>
      <w:sz w:val="22"/>
      <w:szCs w:val="22"/>
      <w:lang w:val="en-GB" w:eastAsia="en-US"/>
    </w:rPr>
  </w:style>
  <w:style w:type="paragraph" w:customStyle="1" w:styleId="Bulletedlist">
    <w:name w:val="Bulleted list"/>
    <w:basedOn w:val="Normal"/>
    <w:qFormat/>
    <w:rsid w:val="002529C3"/>
    <w:pPr>
      <w:numPr>
        <w:numId w:val="30"/>
      </w:numPr>
      <w:spacing w:after="120" w:line="259" w:lineRule="auto"/>
      <w:ind w:left="720"/>
      <w:contextualSpacing/>
    </w:pPr>
    <w:rPr>
      <w:rFonts w:ascii="Calibri" w:eastAsia="Batang" w:hAnsi="Calibri" w:cs="Arial"/>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9030">
      <w:bodyDiv w:val="1"/>
      <w:marLeft w:val="0"/>
      <w:marRight w:val="0"/>
      <w:marTop w:val="0"/>
      <w:marBottom w:val="0"/>
      <w:divBdr>
        <w:top w:val="none" w:sz="0" w:space="0" w:color="auto"/>
        <w:left w:val="none" w:sz="0" w:space="0" w:color="auto"/>
        <w:bottom w:val="none" w:sz="0" w:space="0" w:color="auto"/>
        <w:right w:val="none" w:sz="0" w:space="0" w:color="auto"/>
      </w:divBdr>
    </w:div>
    <w:div w:id="474761027">
      <w:bodyDiv w:val="1"/>
      <w:marLeft w:val="0"/>
      <w:marRight w:val="0"/>
      <w:marTop w:val="0"/>
      <w:marBottom w:val="0"/>
      <w:divBdr>
        <w:top w:val="none" w:sz="0" w:space="0" w:color="auto"/>
        <w:left w:val="none" w:sz="0" w:space="0" w:color="auto"/>
        <w:bottom w:val="none" w:sz="0" w:space="0" w:color="auto"/>
        <w:right w:val="none" w:sz="0" w:space="0" w:color="auto"/>
      </w:divBdr>
      <w:divsChild>
        <w:div w:id="634484238">
          <w:marLeft w:val="0"/>
          <w:marRight w:val="0"/>
          <w:marTop w:val="0"/>
          <w:marBottom w:val="0"/>
          <w:divBdr>
            <w:top w:val="none" w:sz="0" w:space="0" w:color="auto"/>
            <w:left w:val="none" w:sz="0" w:space="0" w:color="auto"/>
            <w:bottom w:val="none" w:sz="0" w:space="0" w:color="auto"/>
            <w:right w:val="none" w:sz="0" w:space="0" w:color="auto"/>
          </w:divBdr>
          <w:divsChild>
            <w:div w:id="710346640">
              <w:marLeft w:val="0"/>
              <w:marRight w:val="0"/>
              <w:marTop w:val="0"/>
              <w:marBottom w:val="0"/>
              <w:divBdr>
                <w:top w:val="none" w:sz="0" w:space="0" w:color="auto"/>
                <w:left w:val="none" w:sz="0" w:space="0" w:color="auto"/>
                <w:bottom w:val="none" w:sz="0" w:space="0" w:color="auto"/>
                <w:right w:val="none" w:sz="0" w:space="0" w:color="auto"/>
              </w:divBdr>
              <w:divsChild>
                <w:div w:id="1621954549">
                  <w:marLeft w:val="0"/>
                  <w:marRight w:val="0"/>
                  <w:marTop w:val="0"/>
                  <w:marBottom w:val="0"/>
                  <w:divBdr>
                    <w:top w:val="none" w:sz="0" w:space="0" w:color="auto"/>
                    <w:left w:val="none" w:sz="0" w:space="0" w:color="auto"/>
                    <w:bottom w:val="none" w:sz="0" w:space="0" w:color="auto"/>
                    <w:right w:val="none" w:sz="0" w:space="0" w:color="auto"/>
                  </w:divBdr>
                  <w:divsChild>
                    <w:div w:id="1813407103">
                      <w:marLeft w:val="0"/>
                      <w:marRight w:val="0"/>
                      <w:marTop w:val="0"/>
                      <w:marBottom w:val="0"/>
                      <w:divBdr>
                        <w:top w:val="none" w:sz="0" w:space="0" w:color="auto"/>
                        <w:left w:val="none" w:sz="0" w:space="0" w:color="auto"/>
                        <w:bottom w:val="none" w:sz="0" w:space="0" w:color="auto"/>
                        <w:right w:val="none" w:sz="0" w:space="0" w:color="auto"/>
                      </w:divBdr>
                      <w:divsChild>
                        <w:div w:id="1503275094">
                          <w:marLeft w:val="0"/>
                          <w:marRight w:val="0"/>
                          <w:marTop w:val="0"/>
                          <w:marBottom w:val="0"/>
                          <w:divBdr>
                            <w:top w:val="none" w:sz="0" w:space="0" w:color="auto"/>
                            <w:left w:val="none" w:sz="0" w:space="0" w:color="auto"/>
                            <w:bottom w:val="none" w:sz="0" w:space="0" w:color="auto"/>
                            <w:right w:val="none" w:sz="0" w:space="0" w:color="auto"/>
                          </w:divBdr>
                          <w:divsChild>
                            <w:div w:id="948044869">
                              <w:marLeft w:val="0"/>
                              <w:marRight w:val="0"/>
                              <w:marTop w:val="0"/>
                              <w:marBottom w:val="0"/>
                              <w:divBdr>
                                <w:top w:val="none" w:sz="0" w:space="0" w:color="auto"/>
                                <w:left w:val="none" w:sz="0" w:space="0" w:color="auto"/>
                                <w:bottom w:val="none" w:sz="0" w:space="0" w:color="auto"/>
                                <w:right w:val="none" w:sz="0" w:space="0" w:color="auto"/>
                              </w:divBdr>
                              <w:divsChild>
                                <w:div w:id="1171994195">
                                  <w:marLeft w:val="0"/>
                                  <w:marRight w:val="0"/>
                                  <w:marTop w:val="0"/>
                                  <w:marBottom w:val="0"/>
                                  <w:divBdr>
                                    <w:top w:val="none" w:sz="0" w:space="0" w:color="auto"/>
                                    <w:left w:val="none" w:sz="0" w:space="0" w:color="auto"/>
                                    <w:bottom w:val="none" w:sz="0" w:space="0" w:color="auto"/>
                                    <w:right w:val="none" w:sz="0" w:space="0" w:color="auto"/>
                                  </w:divBdr>
                                  <w:divsChild>
                                    <w:div w:id="234555357">
                                      <w:marLeft w:val="0"/>
                                      <w:marRight w:val="0"/>
                                      <w:marTop w:val="0"/>
                                      <w:marBottom w:val="0"/>
                                      <w:divBdr>
                                        <w:top w:val="none" w:sz="0" w:space="0" w:color="auto"/>
                                        <w:left w:val="none" w:sz="0" w:space="0" w:color="auto"/>
                                        <w:bottom w:val="none" w:sz="0" w:space="0" w:color="auto"/>
                                        <w:right w:val="none" w:sz="0" w:space="0" w:color="auto"/>
                                      </w:divBdr>
                                      <w:divsChild>
                                        <w:div w:id="909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352622">
      <w:bodyDiv w:val="1"/>
      <w:marLeft w:val="0"/>
      <w:marRight w:val="0"/>
      <w:marTop w:val="0"/>
      <w:marBottom w:val="0"/>
      <w:divBdr>
        <w:top w:val="none" w:sz="0" w:space="0" w:color="auto"/>
        <w:left w:val="none" w:sz="0" w:space="0" w:color="auto"/>
        <w:bottom w:val="none" w:sz="0" w:space="0" w:color="auto"/>
        <w:right w:val="none" w:sz="0" w:space="0" w:color="auto"/>
      </w:divBdr>
    </w:div>
    <w:div w:id="545727753">
      <w:bodyDiv w:val="1"/>
      <w:marLeft w:val="0"/>
      <w:marRight w:val="0"/>
      <w:marTop w:val="0"/>
      <w:marBottom w:val="0"/>
      <w:divBdr>
        <w:top w:val="none" w:sz="0" w:space="0" w:color="auto"/>
        <w:left w:val="none" w:sz="0" w:space="0" w:color="auto"/>
        <w:bottom w:val="none" w:sz="0" w:space="0" w:color="auto"/>
        <w:right w:val="none" w:sz="0" w:space="0" w:color="auto"/>
      </w:divBdr>
    </w:div>
    <w:div w:id="704523569">
      <w:bodyDiv w:val="1"/>
      <w:marLeft w:val="0"/>
      <w:marRight w:val="0"/>
      <w:marTop w:val="0"/>
      <w:marBottom w:val="0"/>
      <w:divBdr>
        <w:top w:val="none" w:sz="0" w:space="0" w:color="auto"/>
        <w:left w:val="none" w:sz="0" w:space="0" w:color="auto"/>
        <w:bottom w:val="none" w:sz="0" w:space="0" w:color="auto"/>
        <w:right w:val="none" w:sz="0" w:space="0" w:color="auto"/>
      </w:divBdr>
    </w:div>
    <w:div w:id="10595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Adult_Community_and_Further_Education_Board_Annual_Report_2020-21_Additional_information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C944FE9-468D-44B2-B299-566918A0584F}"/>
</file>

<file path=customXml/itemProps2.xml><?xml version="1.0" encoding="utf-8"?>
<ds:datastoreItem xmlns:ds="http://schemas.openxmlformats.org/officeDocument/2006/customXml" ds:itemID="{73A5DA2F-926D-4EF4-83B3-1907604EBF57}">
  <ds:schemaRefs>
    <ds:schemaRef ds:uri="http://schemas.microsoft.com/office/2006/metadata/longProperties"/>
  </ds:schemaRefs>
</ds:datastoreItem>
</file>

<file path=customXml/itemProps3.xml><?xml version="1.0" encoding="utf-8"?>
<ds:datastoreItem xmlns:ds="http://schemas.openxmlformats.org/officeDocument/2006/customXml" ds:itemID="{C8DF3AAB-EAFB-48DB-A934-6A9EA3766E74}">
  <ds:schemaRefs>
    <ds:schemaRef ds:uri="http://schemas.microsoft.com/sharepoint/v3/contenttype/forms"/>
  </ds:schemaRefs>
</ds:datastoreItem>
</file>

<file path=customXml/itemProps4.xml><?xml version="1.0" encoding="utf-8"?>
<ds:datastoreItem xmlns:ds="http://schemas.openxmlformats.org/officeDocument/2006/customXml" ds:itemID="{AA7305B9-3CC2-4E55-988B-0FC39950AA9E}">
  <ds:schemaRefs>
    <ds:schemaRef ds:uri="http://schemas.microsoft.com/sharepoint/events"/>
  </ds:schemaRefs>
</ds:datastoreItem>
</file>

<file path=customXml/itemProps5.xml><?xml version="1.0" encoding="utf-8"?>
<ds:datastoreItem xmlns:ds="http://schemas.openxmlformats.org/officeDocument/2006/customXml" ds:itemID="{4AE8675D-ADCA-4C41-81B6-29AD92055D38}">
  <ds:schemaRefs>
    <ds:schemaRef ds:uri="http://www.w3.org/XML/1998/namespace"/>
    <ds:schemaRef ds:uri="http://schemas.microsoft.com/office/2006/documentManagement/types"/>
    <ds:schemaRef ds:uri="http://schemas.microsoft.com/office/infopath/2007/PartnerControls"/>
    <ds:schemaRef ds:uri="8340ccf1-19cc-436c-918b-8d6c0cc500c3"/>
    <ds:schemaRef ds:uri="http://schemas.openxmlformats.org/package/2006/metadata/core-properties"/>
    <ds:schemaRef ds:uri="http://schemas.microsoft.com/sharepoint/v4"/>
    <ds:schemaRef ds:uri="b9b6958c-a0f4-40a7-b90a-e7c1c55dcca5"/>
    <ds:schemaRef ds:uri="http://purl.org/dc/dcmitype/"/>
    <ds:schemaRef ds:uri="http://schemas.microsoft.com/Sharepoint/v3"/>
    <ds:schemaRef ds:uri="http://schemas.microsoft.com/sharepoint/v3"/>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993</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TanakaM</dc:creator>
  <cp:keywords/>
  <cp:lastModifiedBy>Aimee Nelkner</cp:lastModifiedBy>
  <cp:revision>4</cp:revision>
  <cp:lastPrinted>2019-10-16T01:07:00Z</cp:lastPrinted>
  <dcterms:created xsi:type="dcterms:W3CDTF">2021-10-12T23:03:00Z</dcterms:created>
  <dcterms:modified xsi:type="dcterms:W3CDTF">2021-10-24T23:57:00Z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Date">
    <vt:lpwstr/>
  </property>
  <property fmtid="{D5CDD505-2E9C-101B-9397-08002B2CF9AE}" pid="4" name="DET_EDRMS_Author">
    <vt:lpwstr/>
  </property>
  <property fmtid="{D5CDD505-2E9C-101B-9397-08002B2CF9AE}" pid="5" name="DET_EDRMS_Category">
    <vt:lpwstr>Annual Report</vt:lpwstr>
  </property>
  <property fmtid="{D5CDD505-2E9C-101B-9397-08002B2CF9AE}" pid="6" name="DET_EDRMS_SecClassTaxHTField0">
    <vt:lpwstr/>
  </property>
  <property fmtid="{D5CDD505-2E9C-101B-9397-08002B2CF9AE}" pid="7" name="Document Type">
    <vt:lpwstr/>
  </property>
  <property fmtid="{D5CDD505-2E9C-101B-9397-08002B2CF9AE}" pid="8" name="DET_EDRMS_BusUnitTaxHTField0">
    <vt:lpwstr/>
  </property>
  <property fmtid="{D5CDD505-2E9C-101B-9397-08002B2CF9AE}" pid="9" name="Provider Name">
    <vt:lpwstr/>
  </property>
  <property fmtid="{D5CDD505-2E9C-101B-9397-08002B2CF9AE}" pid="10" name="Project Name">
    <vt:lpwstr/>
  </property>
  <property fmtid="{D5CDD505-2E9C-101B-9397-08002B2CF9AE}" pid="11" name="Program Name">
    <vt:lpwstr>ACFE programs</vt:lpwstr>
  </property>
  <property fmtid="{D5CDD505-2E9C-101B-9397-08002B2CF9AE}" pid="12" name="Sector">
    <vt:lpwstr/>
  </property>
  <property fmtid="{D5CDD505-2E9C-101B-9397-08002B2CF9AE}" pid="13" name="DET_EDRMS_RCSTaxHTField0">
    <vt:lpwstr>12.12.2 Performance Agreements|4760a261-a2d0-4d07-b028-d4f6ab895f3e</vt:lpwstr>
  </property>
  <property fmtid="{D5CDD505-2E9C-101B-9397-08002B2CF9AE}" pid="14" name="DET_EDRMS_RCS">
    <vt:lpwstr>54;#12.12.2 Performance Agreements|4760a261-a2d0-4d07-b028-d4f6ab895f3e</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SiteId">
    <vt:lpwstr>{702d8416-5cfb-418e-b259-4c75e5c77461}</vt:lpwstr>
  </property>
  <property fmtid="{D5CDD505-2E9C-101B-9397-08002B2CF9AE}" pid="19" name="RecordPoint_ActiveItemListId">
    <vt:lpwstr>{b9b6958c-a0f4-40a7-b90a-e7c1c55dcca5}</vt:lpwstr>
  </property>
  <property fmtid="{D5CDD505-2E9C-101B-9397-08002B2CF9AE}" pid="20" name="RecordPoint_ActiveItemUniqueId">
    <vt:lpwstr>{4b529e9e-d6d5-422c-9ad1-485d04bc014f}</vt:lpwstr>
  </property>
  <property fmtid="{D5CDD505-2E9C-101B-9397-08002B2CF9AE}" pid="21" name="RecordPoint_ActiveItemWebId">
    <vt:lpwstr>{3ed742c5-94af-4432-8895-d50f327830af}</vt:lpwstr>
  </property>
  <property fmtid="{D5CDD505-2E9C-101B-9397-08002B2CF9AE}" pid="22" name="RecordPoint_RecordNumberSubmitted">
    <vt:lpwstr/>
  </property>
  <property fmtid="{D5CDD505-2E9C-101B-9397-08002B2CF9AE}" pid="23" name="RecordPoint_SubmissionCompleted">
    <vt:lpwstr/>
  </property>
  <property fmtid="{D5CDD505-2E9C-101B-9397-08002B2CF9AE}" pid="24" name="_docset_NoMedatataSyncRequired">
    <vt:lpwstr>False</vt:lpwstr>
  </property>
  <property fmtid="{D5CDD505-2E9C-101B-9397-08002B2CF9AE}" pid="25" name="Year">
    <vt:lpwstr>2016</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y fmtid="{D5CDD505-2E9C-101B-9397-08002B2CF9AE}" pid="29" name="DEECD_Author">
    <vt:lpwstr>94;#Education|5232e41c-5101-41fe-b638-7d41d1371531</vt:lpwstr>
  </property>
  <property fmtid="{D5CDD505-2E9C-101B-9397-08002B2CF9AE}" pid="30" name="ofbb8b9a280a423a91cf717fb81349cd">
    <vt:lpwstr>Education|5232e41c-5101-41fe-b638-7d41d1371531</vt:lpwstr>
  </property>
  <property fmtid="{D5CDD505-2E9C-101B-9397-08002B2CF9AE}" pid="31" name="a319977fc8504e09982f090ae1d7c602">
    <vt:lpwstr>Page|eb523acf-a821-456c-a76b-7607578309d7</vt:lpwstr>
  </property>
  <property fmtid="{D5CDD505-2E9C-101B-9397-08002B2CF9AE}" pid="32" name="DEECD_ItemType">
    <vt:lpwstr>101;#Page|eb523acf-a821-456c-a76b-7607578309d7</vt:lpwstr>
  </property>
  <property fmtid="{D5CDD505-2E9C-101B-9397-08002B2CF9AE}" pid="33" name="DEECD_Description">
    <vt:lpwstr>Annual reports 2018-2019</vt:lpwstr>
  </property>
  <property fmtid="{D5CDD505-2E9C-101B-9397-08002B2CF9AE}" pid="34" name="DEECD_Publisher">
    <vt:lpwstr>Department of Education and Training</vt:lpwstr>
  </property>
  <property fmtid="{D5CDD505-2E9C-101B-9397-08002B2CF9AE}" pid="35" name="DEECD_Expired">
    <vt:lpwstr>0</vt:lpwstr>
  </property>
  <property fmtid="{D5CDD505-2E9C-101B-9397-08002B2CF9AE}" pid="36" name="DEECD_Keywords">
    <vt:lpwstr/>
  </property>
  <property fmtid="{D5CDD505-2E9C-101B-9397-08002B2CF9AE}" pid="37" name="PublishingExpirationDate">
    <vt:lpwstr/>
  </property>
  <property fmtid="{D5CDD505-2E9C-101B-9397-08002B2CF9AE}" pid="38" name="b1688cb4a3a940449dc8286705012a42">
    <vt:lpwstr/>
  </property>
  <property fmtid="{D5CDD505-2E9C-101B-9397-08002B2CF9AE}" pid="39" name="PublishingStartDate">
    <vt:lpwstr/>
  </property>
  <property fmtid="{D5CDD505-2E9C-101B-9397-08002B2CF9AE}" pid="40" name="pfad5814e62747ed9f131defefc62dac">
    <vt:lpwstr/>
  </property>
  <property fmtid="{D5CDD505-2E9C-101B-9397-08002B2CF9AE}" pid="41" name="DEECD_SubjectCategory">
    <vt:lpwstr/>
  </property>
  <property fmtid="{D5CDD505-2E9C-101B-9397-08002B2CF9AE}" pid="42" name="DEECD_Audience">
    <vt:lpwstr/>
  </property>
</Properties>
</file>