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F5CAF" w14:textId="739AC369" w:rsidR="00A61FF5" w:rsidRPr="004B6C01" w:rsidRDefault="00A61FF5" w:rsidP="00A61FF5">
      <w:pPr>
        <w:pStyle w:val="ESHeading1"/>
        <w:rPr>
          <w:lang w:val="en-AU"/>
        </w:rPr>
      </w:pPr>
      <w:bookmarkStart w:id="0" w:name="_Toc488410093"/>
      <w:bookmarkStart w:id="1" w:name="_Toc488767565"/>
      <w:bookmarkStart w:id="2" w:name="_Toc488768977"/>
      <w:bookmarkStart w:id="3" w:name="_Toc489526692"/>
      <w:bookmarkStart w:id="4" w:name="_Toc491070291"/>
      <w:bookmarkStart w:id="5" w:name="_Toc491409517"/>
      <w:bookmarkStart w:id="6" w:name="_Toc491410373"/>
      <w:bookmarkStart w:id="7" w:name="_Toc491410752"/>
      <w:bookmarkStart w:id="8" w:name="_Toc491414646"/>
      <w:bookmarkStart w:id="9" w:name="_Toc455499267"/>
      <w:bookmarkStart w:id="10" w:name="_Toc455499461"/>
      <w:bookmarkStart w:id="11" w:name="s_ReportOfOps"/>
      <w:bookmarkStart w:id="12" w:name="_GoBack"/>
      <w:bookmarkEnd w:id="12"/>
      <w:r w:rsidRPr="004B6C01">
        <w:rPr>
          <w:lang w:val="en-AU"/>
        </w:rPr>
        <w:t xml:space="preserve">Secretary’s </w:t>
      </w:r>
      <w:r w:rsidR="009E38B7" w:rsidRPr="004B6C01">
        <w:rPr>
          <w:lang w:val="en-AU"/>
        </w:rPr>
        <w:t>r</w:t>
      </w:r>
      <w:r w:rsidRPr="004B6C01">
        <w:rPr>
          <w:lang w:val="en-AU"/>
        </w:rPr>
        <w:t>eport</w:t>
      </w:r>
      <w:bookmarkEnd w:id="0"/>
      <w:bookmarkEnd w:id="1"/>
      <w:bookmarkEnd w:id="2"/>
      <w:bookmarkEnd w:id="3"/>
      <w:bookmarkEnd w:id="4"/>
      <w:bookmarkEnd w:id="5"/>
      <w:bookmarkEnd w:id="6"/>
      <w:bookmarkEnd w:id="7"/>
      <w:bookmarkEnd w:id="8"/>
    </w:p>
    <w:p w14:paraId="052C216C" w14:textId="77777777" w:rsidR="006C5213" w:rsidRDefault="006C5213" w:rsidP="006C5213">
      <w:pPr>
        <w:pStyle w:val="ESBodyText"/>
      </w:pPr>
      <w:r>
        <w:t xml:space="preserve">Second only to support from our family, education represents the single biggest opportunity each of us has to realise our aspirations and ambitions for a good life. It underpins our social and economic fabric and contributes to both social cohesion and our future economic innovation and success. </w:t>
      </w:r>
    </w:p>
    <w:p w14:paraId="090ADAFE" w14:textId="77777777" w:rsidR="006C5213" w:rsidRDefault="006C5213" w:rsidP="006C5213">
      <w:pPr>
        <w:pStyle w:val="ESBodyText"/>
      </w:pPr>
      <w:r>
        <w:t xml:space="preserve">As the workforce rapidly changes, so too must our education system. Our children’s skills and knowledge needs are evolving. </w:t>
      </w:r>
    </w:p>
    <w:p w14:paraId="008002F1" w14:textId="77777777" w:rsidR="006C5213" w:rsidRDefault="006C5213" w:rsidP="006C5213">
      <w:pPr>
        <w:pStyle w:val="ESBodyText"/>
      </w:pPr>
      <w:r>
        <w:t xml:space="preserve">As adults, many of us change careers and also retrain as the employment market demands new skills. </w:t>
      </w:r>
    </w:p>
    <w:p w14:paraId="49FD81A9" w14:textId="77777777" w:rsidR="006C5213" w:rsidRPr="00140DF2" w:rsidRDefault="006C5213" w:rsidP="006C5213">
      <w:pPr>
        <w:pStyle w:val="ESBodyText"/>
      </w:pPr>
      <w:r>
        <w:t xml:space="preserve">It is our job, as system stewards, to help equip Victorian children and young people with the skills they need to succeed in a </w:t>
      </w:r>
      <w:r w:rsidRPr="00140DF2">
        <w:t>world that is increasingly digital, mobile and global.</w:t>
      </w:r>
    </w:p>
    <w:p w14:paraId="1D640D62" w14:textId="77777777" w:rsidR="006C5213" w:rsidRPr="00B32CE6" w:rsidRDefault="006C5213" w:rsidP="006C5213">
      <w:pPr>
        <w:pStyle w:val="ESBodyText"/>
      </w:pPr>
      <w:r w:rsidRPr="00140DF2">
        <w:t xml:space="preserve">In recognition of the pivotal role that high quality education plays in our Victorian </w:t>
      </w:r>
      <w:r w:rsidRPr="00B32CE6">
        <w:t xml:space="preserve">community, significant reform across each education sector has been underway for several years. </w:t>
      </w:r>
    </w:p>
    <w:p w14:paraId="6E5DF31D" w14:textId="77777777" w:rsidR="00771220" w:rsidRPr="00B32CE6" w:rsidRDefault="006C5213" w:rsidP="006C5213">
      <w:pPr>
        <w:pStyle w:val="ESBodyText"/>
      </w:pPr>
      <w:r w:rsidRPr="00B32CE6">
        <w:t>In particular, our significant Education State reforms are working to build a world class education system that strives for and achieves excellence, and creates opportunity for every Victorian. These reforms have been underpinned by best evidence and supported by significan</w:t>
      </w:r>
      <w:r w:rsidR="00771220" w:rsidRPr="00B32CE6">
        <w:t>t funding.</w:t>
      </w:r>
    </w:p>
    <w:p w14:paraId="22623781" w14:textId="78664B7D" w:rsidR="006C5213" w:rsidRPr="00B32CE6" w:rsidRDefault="006C5213" w:rsidP="006C5213">
      <w:pPr>
        <w:pStyle w:val="ESBodyText"/>
      </w:pPr>
      <w:r w:rsidRPr="00B32CE6">
        <w:t xml:space="preserve">While the concept of lifelong learning is becoming a reality, early childhood is where we can make the biggest gains in preparing children for this. </w:t>
      </w:r>
    </w:p>
    <w:p w14:paraId="2CF80D9B" w14:textId="3E536218" w:rsidR="006C5213" w:rsidRPr="00B32CE6" w:rsidRDefault="006C5213" w:rsidP="006C5213">
      <w:pPr>
        <w:pStyle w:val="ESBodyText"/>
      </w:pPr>
      <w:r w:rsidRPr="00B32CE6">
        <w:t xml:space="preserve">The highly anticipated Education State Early Childhood Reform Plan was released in May 2017. This landmark reform agenda for early childhood outlines the government’s long-term vision to support children and families in their crucial early years of development. This plan recognises that the first years of life are vital to lifelong learning, wellbeing and success and seeks to create more opportunities for </w:t>
      </w:r>
      <w:r w:rsidR="00732599" w:rsidRPr="00B32CE6">
        <w:t>high-</w:t>
      </w:r>
      <w:r w:rsidRPr="00B32CE6">
        <w:t xml:space="preserve">quality early years education regardless of background or circumstance. By supporting our children and their families, including by providing enhanced maternal and child health services and by offering additional support to vulnerable or disadvantaged families, we can make a significant difference to a child’s lifelong development. The plan includes significant funding to strengthen the Maternal and Child Health Service and supported playgroups that give children the best start in life from birth. </w:t>
      </w:r>
    </w:p>
    <w:p w14:paraId="432EC08F" w14:textId="7909B207" w:rsidR="006C5213" w:rsidRPr="00B32CE6" w:rsidRDefault="006C5213" w:rsidP="006C5213">
      <w:pPr>
        <w:pStyle w:val="ESBodyText"/>
      </w:pPr>
      <w:r w:rsidRPr="00B32CE6">
        <w:t xml:space="preserve">In 2016–17, our focus in the school and vocational education sectors moved from policy design and development </w:t>
      </w:r>
      <w:r w:rsidR="00B32CE6">
        <w:t>to implementation. This involved</w:t>
      </w:r>
      <w:r w:rsidRPr="00B32CE6">
        <w:t xml:space="preserve"> a deep and sustained support to ensure that principals, teachers and support staff where education services are delivered, are supported with the right tools, knowledge and data to lift outcomes for every student – regardless of their background or circumstances.</w:t>
      </w:r>
    </w:p>
    <w:p w14:paraId="739E1233" w14:textId="77777777" w:rsidR="006C5213" w:rsidRPr="00140DF2" w:rsidRDefault="006C5213" w:rsidP="006C5213">
      <w:pPr>
        <w:pStyle w:val="ESBodyText"/>
      </w:pPr>
      <w:r w:rsidRPr="00B32CE6">
        <w:t>The introduction of the Framework for Improving Student Outcomes (FISO) has guided schools with the best evidence and ways to use additional school funding to get the best results and lift student achievement across the state as we strive for excellence. We began engaging with education expert Dr Mary Jean Gallagher, who oversaw a major system lift in Ontario, Canada. Dr Gallagher has been working as the Department’s critical friend to provide advice on implementing the Education State in Victoria. In June 2017, we released version</w:t>
      </w:r>
      <w:r w:rsidRPr="00140DF2">
        <w:t xml:space="preserve"> one of a literacy and numeracy strategy, which gathers all the evidence and best practice and is designed to aid the work already underway in many schools to lift literacy and numeracy capability, which we know are foundational skills. </w:t>
      </w:r>
    </w:p>
    <w:p w14:paraId="122D3015" w14:textId="77777777" w:rsidR="006C5213" w:rsidRPr="00140DF2" w:rsidRDefault="006C5213" w:rsidP="006C5213">
      <w:pPr>
        <w:pStyle w:val="ESBodyText"/>
      </w:pPr>
      <w:r w:rsidRPr="00140DF2">
        <w:t xml:space="preserve">The Department’s newly-developed Regional Performance Framework has helped support understanding, measurement and monitoring of the performance of many Education State Initiatives through a place-based approach and has helped build a culture of evaluation within the Department. </w:t>
      </w:r>
    </w:p>
    <w:p w14:paraId="6A9A4B5A" w14:textId="4D3BEFEC" w:rsidR="006C5213" w:rsidRPr="00B32CE6" w:rsidRDefault="006C5213" w:rsidP="006C5213">
      <w:pPr>
        <w:pStyle w:val="ESBodyText"/>
      </w:pPr>
      <w:r w:rsidRPr="00B32CE6">
        <w:lastRenderedPageBreak/>
        <w:t xml:space="preserve">This year, we have also made significant progress on reducing the impact of disadvantage on learning outcomes by creating more opportunities for vulnerable children to receive a high-quality education. </w:t>
      </w:r>
      <w:r w:rsidR="00B32CE6">
        <w:t>This included implementing the G</w:t>
      </w:r>
      <w:r w:rsidRPr="00B32CE6">
        <w:t>overnment’s Special Needs Plan, reviewing the Department’s Program for Students with Disabilities, and releasing Marrung: Aboriginal Education Plan 2016–2026 to improve outcomes for Koorie learners. Our Navigator and LOOKOUT programs have also continued to keep more vulnerable students engaged in education and support those who have disengaged to re-connect.</w:t>
      </w:r>
    </w:p>
    <w:p w14:paraId="3C499E9A" w14:textId="0187D777" w:rsidR="006C5213" w:rsidRPr="00B32CE6" w:rsidRDefault="006C5213" w:rsidP="006C5213">
      <w:pPr>
        <w:pStyle w:val="ESBodyText"/>
      </w:pPr>
      <w:r w:rsidRPr="00B32CE6">
        <w:t>In 2016–17, we saw the opening of the first of 10 Tech Schools being built</w:t>
      </w:r>
      <w:r w:rsidR="00732599" w:rsidRPr="00B32CE6">
        <w:t>—</w:t>
      </w:r>
      <w:r w:rsidRPr="00B32CE6">
        <w:t>such a promising example of secondary schools and TAFEs working together to provide education opportunities for Victorian young people. Following the establishment of the Victorian School Building Authority (VSBA), a number of projects have commenced that will transform communities. With $2.5 billion invested, the VSBA is delivering 56 new schools, more than 1000 school building projects and more than 30 early childhood projects</w:t>
      </w:r>
      <w:r w:rsidR="00732599" w:rsidRPr="00B32CE6">
        <w:t>—</w:t>
      </w:r>
      <w:r w:rsidRPr="00B32CE6">
        <w:t xml:space="preserve"> all with a focus on direct community engagement. </w:t>
      </w:r>
    </w:p>
    <w:p w14:paraId="6F564ACA" w14:textId="77777777" w:rsidR="006C5213" w:rsidRPr="00B32CE6" w:rsidRDefault="006C5213" w:rsidP="006C5213">
      <w:pPr>
        <w:pStyle w:val="ESBodyText"/>
      </w:pPr>
      <w:r w:rsidRPr="00B32CE6">
        <w:t>Further to our efforts in the schools sector, 2016–17 has been a significant year for our vocational education and training sector. This year, we provided a platform for overhauling the existing TAFE system and released Skills First, raising the benchmark for training quality and supporting students to achieve excellence. This initiative, launched in August 2016, will better manage Victoria’s training and TAFE system and deliver the current and future qualification needs of Victorians. From January 2017, we have progressively implemented Skills First across the state to build the quality of training providers and restore public confidence in the vocational education and training sector, and we have launched a TAFE campaign to drive enrolments.</w:t>
      </w:r>
    </w:p>
    <w:p w14:paraId="5C802736" w14:textId="77777777" w:rsidR="006C5213" w:rsidRPr="00B32CE6" w:rsidRDefault="006C5213" w:rsidP="006C5213">
      <w:pPr>
        <w:pStyle w:val="ESBodyText"/>
      </w:pPr>
      <w:r w:rsidRPr="00B32CE6">
        <w:t>All of this important work was underpinned by the Department’s values of responsiveness, integrity, impartiality, accountability, respect, leadership and human rights. Throughout 2016–17, we continued to embed our values in every aspect of our work including various initiatives encouraging all staff to consider how the values contribute to the important work we do.</w:t>
      </w:r>
    </w:p>
    <w:p w14:paraId="3B6D17F6" w14:textId="77777777" w:rsidR="006C5213" w:rsidRPr="00B32CE6" w:rsidRDefault="006C5213" w:rsidP="006C5213">
      <w:pPr>
        <w:pStyle w:val="ESBodyText"/>
      </w:pPr>
      <w:r w:rsidRPr="00B32CE6">
        <w:t>It has been a big year and of course, none of this could have been achieved without the continuing efforts, energy and dedication of all the staff involved in providing our excellent education services. My thanks go out to all staff across the Department: principals, teachers, school support staff, TAFE and VET providers, maternal and child health providers and early childhood educators across the state. I’d also like to thank our many stakeholders for their support and collaboration.</w:t>
      </w:r>
    </w:p>
    <w:p w14:paraId="633D0DEF" w14:textId="77777777" w:rsidR="006C5213" w:rsidRPr="00B32CE6" w:rsidRDefault="006C5213" w:rsidP="006C5213">
      <w:pPr>
        <w:pStyle w:val="ESBodyText"/>
      </w:pPr>
      <w:r w:rsidRPr="00B32CE6">
        <w:t xml:space="preserve">Victoria is changing rapidly. As a state, our shifting demographic profile, growing population, changing economy and evolving workforce are presenting new challenges to the Department and education providers. I think we are well-placed to meet them. </w:t>
      </w:r>
    </w:p>
    <w:p w14:paraId="384C744C" w14:textId="149AFA52" w:rsidR="006C5213" w:rsidRPr="00140DF2" w:rsidRDefault="006C5213" w:rsidP="006C5213">
      <w:pPr>
        <w:pStyle w:val="ESBodyText"/>
      </w:pPr>
      <w:r w:rsidRPr="00B32CE6">
        <w:t>We have put in place much of the architecture that will enable us to start seeing a system lift. Our challenge is to continue implementing all of these reforms so they start to land at the point of delivery</w:t>
      </w:r>
      <w:r w:rsidR="00732599" w:rsidRPr="00B32CE6">
        <w:t>—</w:t>
      </w:r>
      <w:r w:rsidRPr="00B32CE6">
        <w:t>in kindergartens, classrooms, and in vocational education and training settings.</w:t>
      </w:r>
    </w:p>
    <w:p w14:paraId="681665B8" w14:textId="77777777" w:rsidR="006C5213" w:rsidRDefault="006C5213" w:rsidP="006C5213">
      <w:pPr>
        <w:pStyle w:val="ESBodyText"/>
      </w:pPr>
      <w:r w:rsidRPr="00140DF2">
        <w:t>I look forward to continuing to lead the Department as we build on the important work already underway.</w:t>
      </w:r>
      <w:r>
        <w:t xml:space="preserve"> </w:t>
      </w:r>
    </w:p>
    <w:p w14:paraId="3F03CCD5" w14:textId="59994590" w:rsidR="00A61FF5" w:rsidRDefault="00A61FF5" w:rsidP="00A61FF5">
      <w:pPr>
        <w:pStyle w:val="ESBodyText"/>
        <w:rPr>
          <w:lang w:val="en-AU"/>
        </w:rPr>
      </w:pPr>
    </w:p>
    <w:p w14:paraId="25DD6160" w14:textId="0B5EFE96" w:rsidR="002E0898" w:rsidRPr="004B6C01" w:rsidRDefault="002E0898" w:rsidP="00A61FF5">
      <w:pPr>
        <w:pStyle w:val="ESBodyText"/>
        <w:rPr>
          <w:lang w:val="en-AU"/>
        </w:rPr>
      </w:pPr>
      <w:r>
        <w:rPr>
          <w:noProof/>
          <w:lang w:val="en-AU" w:eastAsia="en-AU"/>
        </w:rPr>
        <w:drawing>
          <wp:inline distT="0" distB="0" distL="0" distR="0" wp14:anchorId="7314896D" wp14:editId="0C3C964F">
            <wp:extent cx="1487805" cy="3232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7805" cy="323215"/>
                    </a:xfrm>
                    <a:prstGeom prst="rect">
                      <a:avLst/>
                    </a:prstGeom>
                    <a:noFill/>
                  </pic:spPr>
                </pic:pic>
              </a:graphicData>
            </a:graphic>
          </wp:inline>
        </w:drawing>
      </w:r>
    </w:p>
    <w:p w14:paraId="0FD5E9D7" w14:textId="77777777" w:rsidR="00A61FF5" w:rsidRPr="004B6C01" w:rsidRDefault="00A61FF5" w:rsidP="00A61FF5">
      <w:pPr>
        <w:pStyle w:val="ESBodyText"/>
        <w:rPr>
          <w:lang w:val="en-AU"/>
        </w:rPr>
      </w:pPr>
    </w:p>
    <w:p w14:paraId="56724B45" w14:textId="086E71E8" w:rsidR="00A61FF5" w:rsidRPr="004B6C01" w:rsidRDefault="00A61FF5" w:rsidP="00A61FF5">
      <w:pPr>
        <w:pStyle w:val="ESBodyText"/>
        <w:rPr>
          <w:lang w:val="en-AU"/>
        </w:rPr>
      </w:pPr>
      <w:r w:rsidRPr="004B6C01">
        <w:rPr>
          <w:lang w:val="en-AU"/>
        </w:rPr>
        <w:t>Gill Callister</w:t>
      </w:r>
      <w:r w:rsidR="00CA0CAF" w:rsidRPr="004B6C01">
        <w:rPr>
          <w:lang w:val="en-AU"/>
        </w:rPr>
        <w:br/>
      </w:r>
      <w:r w:rsidRPr="004B6C01">
        <w:rPr>
          <w:lang w:val="en-AU"/>
        </w:rPr>
        <w:t>Secretary</w:t>
      </w:r>
    </w:p>
    <w:p w14:paraId="79BE6902" w14:textId="1B02CA19" w:rsidR="00A61FF5" w:rsidRPr="004B6C01" w:rsidRDefault="00A61FF5" w:rsidP="00A61FF5">
      <w:pPr>
        <w:pStyle w:val="ESHeading1"/>
        <w:rPr>
          <w:lang w:val="en-AU"/>
        </w:rPr>
      </w:pPr>
      <w:bookmarkStart w:id="13" w:name="_Toc488410094"/>
      <w:bookmarkStart w:id="14" w:name="_Toc488767566"/>
      <w:bookmarkStart w:id="15" w:name="_Toc488768978"/>
      <w:bookmarkStart w:id="16" w:name="_Toc489526693"/>
      <w:bookmarkStart w:id="17" w:name="_Toc491070292"/>
      <w:bookmarkStart w:id="18" w:name="_Toc491409518"/>
      <w:bookmarkStart w:id="19" w:name="_Toc491410374"/>
      <w:bookmarkStart w:id="20" w:name="_Toc491410753"/>
      <w:bookmarkStart w:id="21" w:name="_Toc491414647"/>
      <w:bookmarkEnd w:id="9"/>
      <w:bookmarkEnd w:id="10"/>
      <w:r w:rsidRPr="004B6C01">
        <w:rPr>
          <w:lang w:val="en-AU"/>
        </w:rPr>
        <w:t>Year in review</w:t>
      </w:r>
      <w:bookmarkEnd w:id="13"/>
      <w:bookmarkEnd w:id="14"/>
      <w:bookmarkEnd w:id="15"/>
      <w:bookmarkEnd w:id="16"/>
      <w:bookmarkEnd w:id="17"/>
      <w:bookmarkEnd w:id="18"/>
      <w:bookmarkEnd w:id="19"/>
      <w:bookmarkEnd w:id="20"/>
      <w:bookmarkEnd w:id="21"/>
    </w:p>
    <w:p w14:paraId="18CF74DB" w14:textId="77777777" w:rsidR="00A61FF5" w:rsidRPr="004B6C01" w:rsidRDefault="00A61FF5" w:rsidP="00A61FF5">
      <w:pPr>
        <w:pStyle w:val="ESBodyText"/>
        <w:rPr>
          <w:lang w:val="en-AU"/>
        </w:rPr>
      </w:pPr>
      <w:r w:rsidRPr="004B6C01">
        <w:rPr>
          <w:lang w:val="en-AU"/>
        </w:rPr>
        <w:t>The Department of Education and Training is committed to supporting the Victorian Government to make Victoria the Education State, where all Victorians have the best learning and development experience, regardless of their background, postcode or circumstances. Education remains a cornerstone for ensuring all Victorians have the skills and knowledge they need to actively participate in and contribute to our rapidly-changing economy and society.</w:t>
      </w:r>
    </w:p>
    <w:p w14:paraId="69C2A43D" w14:textId="1FA8A942" w:rsidR="00A61FF5" w:rsidRPr="004B6C01" w:rsidRDefault="00A61FF5" w:rsidP="00A61FF5">
      <w:pPr>
        <w:pStyle w:val="ESBodyText"/>
        <w:rPr>
          <w:lang w:val="en-AU"/>
        </w:rPr>
      </w:pPr>
      <w:r w:rsidRPr="004B6C01">
        <w:rPr>
          <w:lang w:val="en-AU"/>
        </w:rPr>
        <w:t>The Statement of Strategic Intent, as outlined in the Department’s Strategic Plan</w:t>
      </w:r>
      <w:r w:rsidR="00F51FCE">
        <w:rPr>
          <w:lang w:val="en-AU"/>
        </w:rPr>
        <w:t xml:space="preserve"> </w:t>
      </w:r>
      <w:r w:rsidRPr="004B6C01">
        <w:rPr>
          <w:lang w:val="en-AU"/>
        </w:rPr>
        <w:t xml:space="preserve"> 2016–20, guides the provision of </w:t>
      </w:r>
      <w:r w:rsidR="00BB15EE" w:rsidRPr="004B6C01">
        <w:rPr>
          <w:lang w:val="en-AU"/>
        </w:rPr>
        <w:t>high-</w:t>
      </w:r>
      <w:r w:rsidRPr="004B6C01">
        <w:rPr>
          <w:lang w:val="en-AU"/>
        </w:rPr>
        <w:t>quality education, training, development, wellbeing and child health services. By following this plan</w:t>
      </w:r>
      <w:r w:rsidR="00B32CE6">
        <w:rPr>
          <w:lang w:val="en-AU"/>
        </w:rPr>
        <w:t>, the Department, seeks to meet</w:t>
      </w:r>
      <w:r w:rsidRPr="004B6C01">
        <w:rPr>
          <w:lang w:val="en-AU"/>
        </w:rPr>
        <w:t xml:space="preserve"> its objectives and the Victorian Government’s ambitious Education State targets.</w:t>
      </w:r>
    </w:p>
    <w:p w14:paraId="6B239837" w14:textId="5F3D6CB2" w:rsidR="00A61FF5" w:rsidRPr="004B6C01" w:rsidRDefault="00A61FF5" w:rsidP="00D2232D">
      <w:pPr>
        <w:pStyle w:val="ESHeading2"/>
      </w:pPr>
      <w:bookmarkStart w:id="22" w:name="_Toc488410095"/>
      <w:bookmarkStart w:id="23" w:name="_Toc488767567"/>
      <w:bookmarkStart w:id="24" w:name="_Toc488768979"/>
      <w:bookmarkStart w:id="25" w:name="_Toc489526694"/>
      <w:bookmarkStart w:id="26" w:name="_Toc491070293"/>
      <w:bookmarkStart w:id="27" w:name="_Toc491409519"/>
      <w:bookmarkStart w:id="28" w:name="_Toc491414648"/>
      <w:r w:rsidRPr="004B6C01">
        <w:t>Statement of Strategic Intent</w:t>
      </w:r>
      <w:bookmarkEnd w:id="22"/>
      <w:bookmarkEnd w:id="23"/>
      <w:bookmarkEnd w:id="24"/>
      <w:bookmarkEnd w:id="25"/>
      <w:bookmarkEnd w:id="26"/>
      <w:bookmarkEnd w:id="27"/>
      <w:bookmarkEnd w:id="28"/>
    </w:p>
    <w:p w14:paraId="4F9370F0" w14:textId="77777777" w:rsidR="00A61FF5" w:rsidRPr="004B6C01" w:rsidRDefault="00A61FF5" w:rsidP="00A61FF5">
      <w:pPr>
        <w:pStyle w:val="ESBodyText"/>
        <w:rPr>
          <w:lang w:val="en-AU"/>
        </w:rPr>
      </w:pPr>
      <w:r w:rsidRPr="004B6C01">
        <w:rPr>
          <w:lang w:val="en-AU"/>
        </w:rPr>
        <w:t>The Department’s Statement of Strategic Intent supports the objectives and delivery of the government’s Education State agenda:</w:t>
      </w:r>
    </w:p>
    <w:p w14:paraId="666083DF" w14:textId="77777777" w:rsidR="00A61FF5" w:rsidRPr="004B6C01" w:rsidRDefault="00A61FF5" w:rsidP="00A61FF5">
      <w:pPr>
        <w:pStyle w:val="ESBodyText"/>
        <w:rPr>
          <w:lang w:val="en-AU"/>
        </w:rPr>
      </w:pPr>
      <w:r w:rsidRPr="004B6C01">
        <w:rPr>
          <w:i/>
          <w:lang w:val="en-AU"/>
        </w:rPr>
        <w:t>Together we give every Victorian the best learning and development experience, making our state a smarter, fairer and more prosperous place</w:t>
      </w:r>
      <w:r w:rsidRPr="004B6C01">
        <w:rPr>
          <w:lang w:val="en-AU"/>
        </w:rPr>
        <w:t>.</w:t>
      </w:r>
    </w:p>
    <w:p w14:paraId="1FAFF64D" w14:textId="77777777" w:rsidR="00A61FF5" w:rsidRPr="004B6C01" w:rsidRDefault="00A61FF5" w:rsidP="00A61FF5">
      <w:pPr>
        <w:pStyle w:val="ESBodyText"/>
        <w:rPr>
          <w:lang w:val="en-AU"/>
        </w:rPr>
      </w:pPr>
      <w:r w:rsidRPr="004B6C01">
        <w:rPr>
          <w:lang w:val="en-AU"/>
        </w:rPr>
        <w:t>As part of this vision:</w:t>
      </w:r>
    </w:p>
    <w:p w14:paraId="3C88BE37" w14:textId="77777777" w:rsidR="00A61FF5" w:rsidRPr="004B6C01" w:rsidRDefault="00A61FF5" w:rsidP="00A61FF5">
      <w:pPr>
        <w:pStyle w:val="ESBullet1indent"/>
        <w:rPr>
          <w:lang w:val="en-AU"/>
        </w:rPr>
      </w:pPr>
      <w:r w:rsidRPr="004B6C01">
        <w:rPr>
          <w:lang w:val="en-AU"/>
        </w:rPr>
        <w:t>children and young people are confident, optimistic, healthy and resilient</w:t>
      </w:r>
    </w:p>
    <w:p w14:paraId="64F62071" w14:textId="77777777" w:rsidR="00A61FF5" w:rsidRPr="004B6C01" w:rsidRDefault="00A61FF5" w:rsidP="00A61FF5">
      <w:pPr>
        <w:pStyle w:val="ESBullet1indent"/>
        <w:rPr>
          <w:lang w:val="en-AU"/>
        </w:rPr>
      </w:pPr>
      <w:r w:rsidRPr="004B6C01">
        <w:rPr>
          <w:lang w:val="en-AU"/>
        </w:rPr>
        <w:t>students reach their potential, regardless of background, place, circumstance or abilities</w:t>
      </w:r>
    </w:p>
    <w:p w14:paraId="51476E6F" w14:textId="77777777" w:rsidR="00A61FF5" w:rsidRPr="004B6C01" w:rsidRDefault="00A61FF5" w:rsidP="00A61FF5">
      <w:pPr>
        <w:pStyle w:val="ESBullet1indent"/>
        <w:rPr>
          <w:lang w:val="en-AU"/>
        </w:rPr>
      </w:pPr>
      <w:r w:rsidRPr="004B6C01">
        <w:rPr>
          <w:lang w:val="en-AU"/>
        </w:rPr>
        <w:t>Victorians develop knowledge, skills and attributes needed now and for the jobs of the future</w:t>
      </w:r>
    </w:p>
    <w:p w14:paraId="3C647AEE" w14:textId="77777777" w:rsidR="00A61FF5" w:rsidRPr="004B6C01" w:rsidRDefault="00A61FF5" w:rsidP="00A61FF5">
      <w:pPr>
        <w:pStyle w:val="ESBullet1indent"/>
        <w:rPr>
          <w:lang w:val="en-AU"/>
        </w:rPr>
      </w:pPr>
      <w:r w:rsidRPr="004B6C01">
        <w:rPr>
          <w:lang w:val="en-AU"/>
        </w:rPr>
        <w:t>the Department’s workforce is high-performing, empowered, valued and supported.</w:t>
      </w:r>
    </w:p>
    <w:p w14:paraId="75CCD7CC" w14:textId="77777777" w:rsidR="00A61FF5" w:rsidRPr="004B6C01" w:rsidRDefault="00A61FF5" w:rsidP="00A61FF5">
      <w:pPr>
        <w:pStyle w:val="ESBodyText"/>
        <w:rPr>
          <w:lang w:val="en-AU"/>
        </w:rPr>
      </w:pPr>
      <w:r w:rsidRPr="004B6C01">
        <w:rPr>
          <w:lang w:val="en-AU"/>
        </w:rPr>
        <w:t>Our objectives in achieving this vision are to:</w:t>
      </w:r>
    </w:p>
    <w:p w14:paraId="4E7F970F" w14:textId="77777777" w:rsidR="00A61FF5" w:rsidRPr="004B6C01" w:rsidRDefault="00A61FF5" w:rsidP="00A61FF5">
      <w:pPr>
        <w:pStyle w:val="ESBullet1indent"/>
        <w:rPr>
          <w:lang w:val="en-AU"/>
        </w:rPr>
      </w:pPr>
      <w:r w:rsidRPr="004B6C01">
        <w:rPr>
          <w:lang w:val="en-AU"/>
        </w:rPr>
        <w:t>ensure Victorians have equitable access to quality education and training</w:t>
      </w:r>
    </w:p>
    <w:p w14:paraId="0FD2EE4C" w14:textId="77777777" w:rsidR="00A61FF5" w:rsidRPr="004B6C01" w:rsidRDefault="00A61FF5" w:rsidP="00A61FF5">
      <w:pPr>
        <w:pStyle w:val="ESBullet1indent"/>
        <w:rPr>
          <w:lang w:val="en-AU"/>
        </w:rPr>
      </w:pPr>
      <w:r w:rsidRPr="004B6C01">
        <w:rPr>
          <w:lang w:val="en-AU"/>
        </w:rPr>
        <w:t>work with providers and partners to build an integrated birth-to-adulthood education and development system</w:t>
      </w:r>
    </w:p>
    <w:p w14:paraId="2A0C96E7" w14:textId="77777777" w:rsidR="00A61FF5" w:rsidRPr="004B6C01" w:rsidRDefault="00A61FF5" w:rsidP="00A61FF5">
      <w:pPr>
        <w:pStyle w:val="ESBullet1indent"/>
        <w:rPr>
          <w:lang w:val="en-AU"/>
        </w:rPr>
      </w:pPr>
      <w:r w:rsidRPr="004B6C01">
        <w:rPr>
          <w:lang w:val="en-AU"/>
        </w:rPr>
        <w:t>support children, young people and adults with well-coordinated universal and targeted services close to where they live</w:t>
      </w:r>
    </w:p>
    <w:p w14:paraId="4005E5B9" w14:textId="77777777" w:rsidR="00A61FF5" w:rsidRPr="004B6C01" w:rsidRDefault="00A61FF5" w:rsidP="00A61FF5">
      <w:pPr>
        <w:pStyle w:val="ESBullet1indent"/>
        <w:rPr>
          <w:lang w:val="en-AU"/>
        </w:rPr>
      </w:pPr>
      <w:r w:rsidRPr="004B6C01">
        <w:rPr>
          <w:lang w:val="en-AU"/>
        </w:rPr>
        <w:t>activate excellence, innovation and economic growth.</w:t>
      </w:r>
    </w:p>
    <w:p w14:paraId="3D4AC0D3" w14:textId="77777777" w:rsidR="00A61FF5" w:rsidRPr="004B6C01" w:rsidRDefault="00A61FF5" w:rsidP="00A61FF5">
      <w:pPr>
        <w:pStyle w:val="ESBodyText"/>
        <w:rPr>
          <w:lang w:val="en-AU"/>
        </w:rPr>
      </w:pPr>
      <w:r w:rsidRPr="004B6C01">
        <w:rPr>
          <w:lang w:val="en-AU"/>
        </w:rPr>
        <w:t>In pursuing these objectives, the Department is committed to the Victorian public sector values of:</w:t>
      </w:r>
    </w:p>
    <w:p w14:paraId="77D43797" w14:textId="77777777" w:rsidR="00A61FF5" w:rsidRPr="004B6C01" w:rsidRDefault="00A61FF5" w:rsidP="00A61FF5">
      <w:pPr>
        <w:pStyle w:val="ESBullet1indent"/>
        <w:rPr>
          <w:lang w:val="en-AU"/>
        </w:rPr>
      </w:pPr>
      <w:r w:rsidRPr="004B6C01">
        <w:rPr>
          <w:lang w:val="en-AU"/>
        </w:rPr>
        <w:t>responsiveness</w:t>
      </w:r>
    </w:p>
    <w:p w14:paraId="23658D00" w14:textId="77777777" w:rsidR="00A61FF5" w:rsidRPr="004B6C01" w:rsidRDefault="00A61FF5" w:rsidP="00A61FF5">
      <w:pPr>
        <w:pStyle w:val="ESBullet1indent"/>
        <w:rPr>
          <w:lang w:val="en-AU"/>
        </w:rPr>
      </w:pPr>
      <w:r w:rsidRPr="004B6C01">
        <w:rPr>
          <w:lang w:val="en-AU"/>
        </w:rPr>
        <w:t>integrity</w:t>
      </w:r>
    </w:p>
    <w:p w14:paraId="09DEF745" w14:textId="77777777" w:rsidR="00A61FF5" w:rsidRPr="004B6C01" w:rsidRDefault="00A61FF5" w:rsidP="00A61FF5">
      <w:pPr>
        <w:pStyle w:val="ESBullet1indent"/>
        <w:rPr>
          <w:lang w:val="en-AU"/>
        </w:rPr>
      </w:pPr>
      <w:r w:rsidRPr="004B6C01">
        <w:rPr>
          <w:lang w:val="en-AU"/>
        </w:rPr>
        <w:t>impartiality</w:t>
      </w:r>
    </w:p>
    <w:p w14:paraId="49C0C35E" w14:textId="77777777" w:rsidR="00A61FF5" w:rsidRPr="004B6C01" w:rsidRDefault="00A61FF5" w:rsidP="00A61FF5">
      <w:pPr>
        <w:pStyle w:val="ESBullet1indent"/>
        <w:rPr>
          <w:lang w:val="en-AU"/>
        </w:rPr>
      </w:pPr>
      <w:r w:rsidRPr="004B6C01">
        <w:rPr>
          <w:lang w:val="en-AU"/>
        </w:rPr>
        <w:t>accountability</w:t>
      </w:r>
    </w:p>
    <w:p w14:paraId="0313DAEC" w14:textId="77777777" w:rsidR="00A61FF5" w:rsidRPr="004B6C01" w:rsidRDefault="00A61FF5" w:rsidP="00A61FF5">
      <w:pPr>
        <w:pStyle w:val="ESBullet1indent"/>
        <w:rPr>
          <w:lang w:val="en-AU"/>
        </w:rPr>
      </w:pPr>
      <w:r w:rsidRPr="004B6C01">
        <w:rPr>
          <w:lang w:val="en-AU"/>
        </w:rPr>
        <w:t>respect</w:t>
      </w:r>
    </w:p>
    <w:p w14:paraId="2BC2472F" w14:textId="77777777" w:rsidR="00A61FF5" w:rsidRPr="004B6C01" w:rsidRDefault="00A61FF5" w:rsidP="00A61FF5">
      <w:pPr>
        <w:pStyle w:val="ESBullet1indent"/>
        <w:rPr>
          <w:lang w:val="en-AU"/>
        </w:rPr>
      </w:pPr>
      <w:r w:rsidRPr="004B6C01">
        <w:rPr>
          <w:lang w:val="en-AU"/>
        </w:rPr>
        <w:t>leadership</w:t>
      </w:r>
    </w:p>
    <w:p w14:paraId="57319970" w14:textId="77777777" w:rsidR="00A61FF5" w:rsidRPr="004B6C01" w:rsidRDefault="00A61FF5" w:rsidP="00A61FF5">
      <w:pPr>
        <w:pStyle w:val="ESBullet1indent"/>
        <w:rPr>
          <w:lang w:val="en-AU"/>
        </w:rPr>
      </w:pPr>
      <w:r w:rsidRPr="004B6C01">
        <w:rPr>
          <w:lang w:val="en-AU"/>
        </w:rPr>
        <w:t>human rights.</w:t>
      </w:r>
    </w:p>
    <w:p w14:paraId="24D8337B" w14:textId="77777777" w:rsidR="00A61FF5" w:rsidRPr="004B6C01" w:rsidRDefault="00A61FF5" w:rsidP="00A61FF5">
      <w:pPr>
        <w:pStyle w:val="ESBodyText"/>
        <w:rPr>
          <w:lang w:val="en-AU"/>
        </w:rPr>
      </w:pPr>
      <w:r w:rsidRPr="004B6C01">
        <w:rPr>
          <w:lang w:val="en-AU"/>
        </w:rPr>
        <w:t>The public sector values underpin the behaviours that the government and community rightly expect of all public sector employees. Acting consistently with the public sector values also strengthens the capacity of our organisation to operate effectively and achieve its objectives.</w:t>
      </w:r>
    </w:p>
    <w:p w14:paraId="153BCEB4" w14:textId="77777777" w:rsidR="00A61FF5" w:rsidRPr="004B6C01" w:rsidRDefault="00A61FF5" w:rsidP="00A61FF5">
      <w:pPr>
        <w:pStyle w:val="ESBodyText"/>
        <w:rPr>
          <w:lang w:val="en-AU"/>
        </w:rPr>
        <w:sectPr w:rsidR="00A61FF5" w:rsidRPr="004B6C01" w:rsidSect="00457C10">
          <w:footerReference w:type="even" r:id="rId14"/>
          <w:footerReference w:type="default" r:id="rId15"/>
          <w:footnotePr>
            <w:numRestart w:val="eachSect"/>
          </w:footnotePr>
          <w:pgSz w:w="11906" w:h="16838" w:code="9"/>
          <w:pgMar w:top="1440" w:right="1701" w:bottom="1440" w:left="2835" w:header="851" w:footer="567" w:gutter="0"/>
          <w:pgNumType w:start="2"/>
          <w:cols w:space="567"/>
          <w:docGrid w:linePitch="360"/>
        </w:sectPr>
      </w:pPr>
    </w:p>
    <w:p w14:paraId="32757AC6" w14:textId="77777777" w:rsidR="00A61FF5" w:rsidRPr="004B6C01" w:rsidRDefault="00A61FF5" w:rsidP="00A61FF5">
      <w:pPr>
        <w:pStyle w:val="ESTableBody"/>
        <w:rPr>
          <w:lang w:val="en-AU"/>
        </w:rPr>
        <w:sectPr w:rsidR="00A61FF5" w:rsidRPr="004B6C01" w:rsidSect="00EF761B">
          <w:footnotePr>
            <w:numRestart w:val="eachSect"/>
          </w:footnotePr>
          <w:pgSz w:w="16838" w:h="11906" w:orient="landscape" w:code="9"/>
          <w:pgMar w:top="2835" w:right="1440" w:bottom="1701" w:left="1440" w:header="851" w:footer="567" w:gutter="0"/>
          <w:cols w:space="567"/>
          <w:docGrid w:linePitch="360"/>
        </w:sectPr>
      </w:pPr>
      <w:r w:rsidRPr="00D16877">
        <w:rPr>
          <w:noProof/>
          <w:lang w:val="en-AU" w:eastAsia="en-AU"/>
        </w:rPr>
        <w:drawing>
          <wp:anchor distT="0" distB="0" distL="114300" distR="114300" simplePos="0" relativeHeight="251658240" behindDoc="0" locked="0" layoutInCell="1" allowOverlap="1" wp14:anchorId="3C5610A9" wp14:editId="4CC9FF8E">
            <wp:simplePos x="0" y="0"/>
            <wp:positionH relativeFrom="page">
              <wp:posOffset>1247775</wp:posOffset>
            </wp:positionH>
            <wp:positionV relativeFrom="margin">
              <wp:posOffset>-714375</wp:posOffset>
            </wp:positionV>
            <wp:extent cx="7839075" cy="5715000"/>
            <wp:effectExtent l="0" t="0" r="9525"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6">
                      <a:extLst>
                        <a:ext uri="{28A0092B-C50C-407E-A947-70E740481C1C}">
                          <a14:useLocalDpi xmlns:a14="http://schemas.microsoft.com/office/drawing/2010/main" val="0"/>
                        </a:ext>
                      </a:extLst>
                    </a:blip>
                    <a:stretch>
                      <a:fillRect/>
                    </a:stretch>
                  </pic:blipFill>
                  <pic:spPr>
                    <a:xfrm>
                      <a:off x="0" y="0"/>
                      <a:ext cx="7839075" cy="5715000"/>
                    </a:xfrm>
                    <a:prstGeom prst="rect">
                      <a:avLst/>
                    </a:prstGeom>
                  </pic:spPr>
                </pic:pic>
              </a:graphicData>
            </a:graphic>
            <wp14:sizeRelH relativeFrom="margin">
              <wp14:pctWidth>0</wp14:pctWidth>
            </wp14:sizeRelH>
            <wp14:sizeRelV relativeFrom="margin">
              <wp14:pctHeight>0</wp14:pctHeight>
            </wp14:sizeRelV>
          </wp:anchor>
        </w:drawing>
      </w:r>
      <w:r w:rsidRPr="004B6C01">
        <w:rPr>
          <w:lang w:val="en-AU"/>
        </w:rPr>
        <w:br w:type="page"/>
      </w:r>
    </w:p>
    <w:p w14:paraId="5FF3DE49" w14:textId="60467095" w:rsidR="00A61FF5" w:rsidRPr="004B6C01" w:rsidRDefault="00A61FF5" w:rsidP="00D2232D">
      <w:pPr>
        <w:pStyle w:val="ESHeading2"/>
      </w:pPr>
      <w:bookmarkStart w:id="29" w:name="_Toc488410096"/>
      <w:bookmarkStart w:id="30" w:name="_Toc488767568"/>
      <w:bookmarkStart w:id="31" w:name="_Toc488768980"/>
      <w:bookmarkStart w:id="32" w:name="_Toc489526695"/>
      <w:bookmarkStart w:id="33" w:name="_Toc491070294"/>
      <w:bookmarkStart w:id="34" w:name="_Toc491409520"/>
      <w:bookmarkStart w:id="35" w:name="_Toc491414649"/>
      <w:r w:rsidRPr="004B6C01">
        <w:t>Purpose and functions</w:t>
      </w:r>
      <w:bookmarkEnd w:id="29"/>
      <w:bookmarkEnd w:id="30"/>
      <w:bookmarkEnd w:id="31"/>
      <w:bookmarkEnd w:id="32"/>
      <w:bookmarkEnd w:id="33"/>
      <w:bookmarkEnd w:id="34"/>
      <w:bookmarkEnd w:id="35"/>
    </w:p>
    <w:p w14:paraId="29A386FD" w14:textId="77777777" w:rsidR="00A61FF5" w:rsidRPr="004B6C01" w:rsidRDefault="00A61FF5" w:rsidP="00A61FF5">
      <w:pPr>
        <w:pStyle w:val="ESBodyText"/>
        <w:rPr>
          <w:lang w:val="en-AU"/>
        </w:rPr>
      </w:pPr>
      <w:r w:rsidRPr="004B6C01">
        <w:rPr>
          <w:lang w:val="en-AU"/>
        </w:rPr>
        <w:t>The Department is responsible for delivering and regulating statewide learning and development services to at least one-third of all Victorians every year across the early childhood, school education and training and skills sectors.</w:t>
      </w:r>
    </w:p>
    <w:p w14:paraId="017E640B" w14:textId="77777777" w:rsidR="00A61FF5" w:rsidRPr="004B6C01" w:rsidRDefault="00A61FF5" w:rsidP="00A61FF5">
      <w:pPr>
        <w:pStyle w:val="ESBodyText"/>
        <w:rPr>
          <w:lang w:val="en-AU"/>
        </w:rPr>
      </w:pPr>
      <w:r w:rsidRPr="004B6C01">
        <w:rPr>
          <w:lang w:val="en-AU"/>
        </w:rPr>
        <w:t>The Department’s services, as at June 2017, are outlined in the table below:</w:t>
      </w:r>
    </w:p>
    <w:p w14:paraId="68D09C16" w14:textId="02A10901" w:rsidR="00A61FF5" w:rsidRPr="004B6C01" w:rsidRDefault="00A61FF5" w:rsidP="009A0BAD">
      <w:pPr>
        <w:pStyle w:val="ESTableintroheading"/>
        <w:rPr>
          <w:lang w:val="en-AU"/>
        </w:rPr>
      </w:pPr>
      <w:r w:rsidRPr="004B6C01">
        <w:rPr>
          <w:lang w:val="en-AU"/>
        </w:rPr>
        <w:t>Table</w:t>
      </w:r>
      <w:r w:rsidR="000D2DAE" w:rsidRPr="004B6C01">
        <w:rPr>
          <w:lang w:val="en-AU"/>
        </w:rPr>
        <w:t xml:space="preserve"> </w:t>
      </w:r>
      <w:r w:rsidR="000D2DAE" w:rsidRPr="004B6C01">
        <w:rPr>
          <w:lang w:val="en-AU"/>
        </w:rPr>
        <w:fldChar w:fldCharType="begin"/>
      </w:r>
      <w:r w:rsidR="000D2DAE" w:rsidRPr="004B6C01">
        <w:rPr>
          <w:lang w:val="en-AU"/>
        </w:rPr>
        <w:instrText xml:space="preserve"> SEQ Table </w:instrText>
      </w:r>
      <w:r w:rsidR="000D2DAE" w:rsidRPr="004B6C01">
        <w:rPr>
          <w:lang w:val="en-AU"/>
        </w:rPr>
        <w:fldChar w:fldCharType="separate"/>
      </w:r>
      <w:r w:rsidR="00F36F52">
        <w:rPr>
          <w:noProof/>
          <w:lang w:val="en-AU"/>
        </w:rPr>
        <w:t>1</w:t>
      </w:r>
      <w:r w:rsidR="000D2DAE" w:rsidRPr="004B6C01">
        <w:rPr>
          <w:lang w:val="en-AU"/>
        </w:rPr>
        <w:fldChar w:fldCharType="end"/>
      </w:r>
      <w:r w:rsidRPr="004B6C01">
        <w:rPr>
          <w:lang w:val="en-AU"/>
        </w:rPr>
        <w:t xml:space="preserve"> – The Department’s services as at June 2017</w:t>
      </w:r>
    </w:p>
    <w:tbl>
      <w:tblPr>
        <w:tblW w:w="0" w:type="auto"/>
        <w:tblLook w:val="04A0" w:firstRow="1" w:lastRow="0" w:firstColumn="1" w:lastColumn="0" w:noHBand="0" w:noVBand="1"/>
      </w:tblPr>
      <w:tblGrid>
        <w:gridCol w:w="2478"/>
        <w:gridCol w:w="2439"/>
        <w:gridCol w:w="2447"/>
      </w:tblGrid>
      <w:tr w:rsidR="00A61FF5" w:rsidRPr="00932A90" w14:paraId="526FB926" w14:textId="77777777" w:rsidTr="00D07480">
        <w:trPr>
          <w:tblHeader/>
        </w:trPr>
        <w:tc>
          <w:tcPr>
            <w:tcW w:w="2515" w:type="dxa"/>
            <w:tcBorders>
              <w:top w:val="nil"/>
              <w:left w:val="nil"/>
              <w:bottom w:val="nil"/>
              <w:right w:val="nil"/>
            </w:tcBorders>
            <w:shd w:val="clear" w:color="auto" w:fill="7F7F7F" w:themeFill="text1" w:themeFillTint="80"/>
          </w:tcPr>
          <w:p w14:paraId="2600EAA3" w14:textId="77777777" w:rsidR="00A61FF5" w:rsidRPr="004B6C01" w:rsidRDefault="00A61FF5" w:rsidP="00D07480">
            <w:pPr>
              <w:pStyle w:val="ESTableheadingwhite"/>
              <w:rPr>
                <w:lang w:val="en-AU"/>
              </w:rPr>
            </w:pPr>
            <w:r w:rsidRPr="004B6C01">
              <w:rPr>
                <w:lang w:val="en-AU"/>
              </w:rPr>
              <w:t>Early childhood</w:t>
            </w:r>
          </w:p>
        </w:tc>
        <w:tc>
          <w:tcPr>
            <w:tcW w:w="2479" w:type="dxa"/>
            <w:tcBorders>
              <w:top w:val="nil"/>
              <w:left w:val="nil"/>
              <w:bottom w:val="nil"/>
              <w:right w:val="nil"/>
            </w:tcBorders>
            <w:shd w:val="clear" w:color="auto" w:fill="7F7F7F" w:themeFill="text1" w:themeFillTint="80"/>
          </w:tcPr>
          <w:p w14:paraId="0C362AB6" w14:textId="77777777" w:rsidR="00A61FF5" w:rsidRPr="004B6C01" w:rsidRDefault="00A61FF5" w:rsidP="00D07480">
            <w:pPr>
              <w:pStyle w:val="ESTableheadingwhite"/>
              <w:rPr>
                <w:lang w:val="en-AU"/>
              </w:rPr>
            </w:pPr>
            <w:r w:rsidRPr="004B6C01">
              <w:rPr>
                <w:lang w:val="en-AU"/>
              </w:rPr>
              <w:t>School education</w:t>
            </w:r>
          </w:p>
        </w:tc>
        <w:tc>
          <w:tcPr>
            <w:tcW w:w="2485" w:type="dxa"/>
            <w:tcBorders>
              <w:top w:val="nil"/>
              <w:left w:val="nil"/>
              <w:bottom w:val="nil"/>
              <w:right w:val="nil"/>
            </w:tcBorders>
            <w:shd w:val="clear" w:color="auto" w:fill="7F7F7F" w:themeFill="text1" w:themeFillTint="80"/>
          </w:tcPr>
          <w:p w14:paraId="15114423" w14:textId="77777777" w:rsidR="00A61FF5" w:rsidRPr="004B6C01" w:rsidRDefault="00A61FF5" w:rsidP="00D07480">
            <w:pPr>
              <w:pStyle w:val="ESTableheadingwhite"/>
              <w:rPr>
                <w:lang w:val="en-AU"/>
              </w:rPr>
            </w:pPr>
            <w:r w:rsidRPr="004B6C01">
              <w:rPr>
                <w:lang w:val="en-AU"/>
              </w:rPr>
              <w:t>Training and skills</w:t>
            </w:r>
          </w:p>
        </w:tc>
      </w:tr>
      <w:tr w:rsidR="00A61FF5" w:rsidRPr="00932A90" w14:paraId="34AC242D" w14:textId="77777777" w:rsidTr="00D07480">
        <w:tc>
          <w:tcPr>
            <w:tcW w:w="2515" w:type="dxa"/>
            <w:tcBorders>
              <w:top w:val="nil"/>
              <w:left w:val="nil"/>
              <w:bottom w:val="single" w:sz="4" w:space="0" w:color="auto"/>
              <w:right w:val="nil"/>
            </w:tcBorders>
            <w:shd w:val="clear" w:color="auto" w:fill="auto"/>
            <w:tcMar>
              <w:top w:w="57" w:type="dxa"/>
            </w:tcMar>
          </w:tcPr>
          <w:p w14:paraId="231EB6C1" w14:textId="77777777" w:rsidR="00A61FF5" w:rsidRPr="004B6C01" w:rsidRDefault="00A61FF5" w:rsidP="00D07480">
            <w:pPr>
              <w:pStyle w:val="ESTableBody"/>
              <w:rPr>
                <w:i/>
                <w:lang w:val="en-AU"/>
              </w:rPr>
            </w:pPr>
            <w:r w:rsidRPr="004B6C01">
              <w:rPr>
                <w:i/>
                <w:lang w:val="en-AU"/>
              </w:rPr>
              <w:t>Birth to 8</w:t>
            </w:r>
          </w:p>
          <w:p w14:paraId="6C55DCAF" w14:textId="77777777" w:rsidR="00A61FF5" w:rsidRPr="004B6C01" w:rsidRDefault="00A61FF5" w:rsidP="00D07480">
            <w:pPr>
              <w:pStyle w:val="ESTableBody"/>
              <w:rPr>
                <w:i/>
                <w:lang w:val="en-AU"/>
              </w:rPr>
            </w:pPr>
            <w:r w:rsidRPr="004B6C01">
              <w:rPr>
                <w:i/>
                <w:lang w:val="en-AU"/>
              </w:rPr>
              <w:t>More than 400,000 children and families</w:t>
            </w:r>
          </w:p>
        </w:tc>
        <w:tc>
          <w:tcPr>
            <w:tcW w:w="2479" w:type="dxa"/>
            <w:tcBorders>
              <w:top w:val="nil"/>
              <w:left w:val="nil"/>
              <w:bottom w:val="single" w:sz="4" w:space="0" w:color="auto"/>
              <w:right w:val="nil"/>
            </w:tcBorders>
            <w:shd w:val="clear" w:color="auto" w:fill="auto"/>
            <w:tcMar>
              <w:top w:w="57" w:type="dxa"/>
            </w:tcMar>
          </w:tcPr>
          <w:p w14:paraId="350005DC" w14:textId="77777777" w:rsidR="00A61FF5" w:rsidRPr="004B6C01" w:rsidRDefault="00A61FF5" w:rsidP="00D07480">
            <w:pPr>
              <w:pStyle w:val="ESTableBody"/>
              <w:rPr>
                <w:i/>
                <w:lang w:val="en-AU"/>
              </w:rPr>
            </w:pPr>
            <w:r w:rsidRPr="004B6C01">
              <w:rPr>
                <w:i/>
                <w:lang w:val="en-AU"/>
              </w:rPr>
              <w:t>5 to 18</w:t>
            </w:r>
          </w:p>
          <w:p w14:paraId="5CED8C22" w14:textId="77777777" w:rsidR="00A61FF5" w:rsidRPr="004B6C01" w:rsidRDefault="00A61FF5" w:rsidP="00D07480">
            <w:pPr>
              <w:pStyle w:val="ESTableBody"/>
              <w:rPr>
                <w:i/>
                <w:lang w:val="en-AU"/>
              </w:rPr>
            </w:pPr>
            <w:r w:rsidRPr="004B6C01">
              <w:rPr>
                <w:i/>
                <w:lang w:val="en-AU"/>
              </w:rPr>
              <w:t>More than 950,000 students</w:t>
            </w:r>
          </w:p>
        </w:tc>
        <w:tc>
          <w:tcPr>
            <w:tcW w:w="2485" w:type="dxa"/>
            <w:tcBorders>
              <w:top w:val="nil"/>
              <w:left w:val="nil"/>
              <w:bottom w:val="single" w:sz="4" w:space="0" w:color="auto"/>
              <w:right w:val="nil"/>
            </w:tcBorders>
            <w:shd w:val="clear" w:color="auto" w:fill="auto"/>
            <w:tcMar>
              <w:top w:w="57" w:type="dxa"/>
            </w:tcMar>
          </w:tcPr>
          <w:p w14:paraId="2025CB92" w14:textId="77777777" w:rsidR="00A61FF5" w:rsidRPr="004B6C01" w:rsidRDefault="00A61FF5" w:rsidP="00D07480">
            <w:pPr>
              <w:pStyle w:val="ESTableBody"/>
              <w:rPr>
                <w:i/>
                <w:lang w:val="en-AU"/>
              </w:rPr>
            </w:pPr>
            <w:r w:rsidRPr="004B6C01">
              <w:rPr>
                <w:i/>
                <w:lang w:val="en-AU"/>
              </w:rPr>
              <w:t>15 to 65+</w:t>
            </w:r>
          </w:p>
          <w:p w14:paraId="64FF63FF" w14:textId="77777777" w:rsidR="00A61FF5" w:rsidRPr="004B6C01" w:rsidRDefault="00A61FF5" w:rsidP="00D07480">
            <w:pPr>
              <w:pStyle w:val="ESTableBody"/>
              <w:rPr>
                <w:i/>
                <w:lang w:val="en-AU"/>
              </w:rPr>
            </w:pPr>
            <w:r w:rsidRPr="004B6C01">
              <w:rPr>
                <w:i/>
                <w:lang w:val="en-AU"/>
              </w:rPr>
              <w:t>More than 463,000 participants in government-subsidised vocational education and training</w:t>
            </w:r>
          </w:p>
        </w:tc>
      </w:tr>
      <w:tr w:rsidR="00A61FF5" w:rsidRPr="00932A90" w14:paraId="2AF3BF73" w14:textId="77777777" w:rsidTr="00D07480">
        <w:tc>
          <w:tcPr>
            <w:tcW w:w="2515" w:type="dxa"/>
            <w:tcBorders>
              <w:top w:val="single" w:sz="4" w:space="0" w:color="auto"/>
              <w:left w:val="nil"/>
              <w:right w:val="nil"/>
            </w:tcBorders>
          </w:tcPr>
          <w:p w14:paraId="4AF49376" w14:textId="77777777" w:rsidR="00A61FF5" w:rsidRPr="004B6C01" w:rsidRDefault="00A61FF5" w:rsidP="00D07480">
            <w:pPr>
              <w:pStyle w:val="ESTablebullet1"/>
              <w:rPr>
                <w:lang w:val="en-AU"/>
              </w:rPr>
            </w:pPr>
            <w:r w:rsidRPr="004B6C01">
              <w:rPr>
                <w:lang w:val="en-AU"/>
              </w:rPr>
              <w:t>Maternal and child health services</w:t>
            </w:r>
          </w:p>
          <w:p w14:paraId="23C9E9CA" w14:textId="77777777" w:rsidR="00A61FF5" w:rsidRPr="004B6C01" w:rsidRDefault="00A61FF5" w:rsidP="00D07480">
            <w:pPr>
              <w:pStyle w:val="ESTablebullet1"/>
              <w:rPr>
                <w:lang w:val="en-AU"/>
              </w:rPr>
            </w:pPr>
            <w:r w:rsidRPr="004B6C01">
              <w:rPr>
                <w:lang w:val="en-AU"/>
              </w:rPr>
              <w:t>Early years learning and development including early childhood education and care services</w:t>
            </w:r>
          </w:p>
          <w:p w14:paraId="141AAEA5" w14:textId="77777777" w:rsidR="00A61FF5" w:rsidRPr="004B6C01" w:rsidRDefault="00A61FF5" w:rsidP="00D07480">
            <w:pPr>
              <w:pStyle w:val="ESTablebullet1"/>
              <w:rPr>
                <w:lang w:val="en-AU"/>
              </w:rPr>
            </w:pPr>
            <w:r w:rsidRPr="004B6C01">
              <w:rPr>
                <w:lang w:val="en-AU"/>
              </w:rPr>
              <w:t>Early Childhood Intervention Services (ECIS)</w:t>
            </w:r>
          </w:p>
          <w:p w14:paraId="5EAAB5A0" w14:textId="77777777" w:rsidR="00A61FF5" w:rsidRPr="004B6C01" w:rsidRDefault="00A61FF5" w:rsidP="00D07480">
            <w:pPr>
              <w:pStyle w:val="ESTablebullet1"/>
              <w:rPr>
                <w:lang w:val="en-AU"/>
              </w:rPr>
            </w:pPr>
            <w:r w:rsidRPr="004B6C01">
              <w:rPr>
                <w:lang w:val="en-AU"/>
              </w:rPr>
              <w:t>Supported playgroups and parenting supports</w:t>
            </w:r>
          </w:p>
        </w:tc>
        <w:tc>
          <w:tcPr>
            <w:tcW w:w="2479" w:type="dxa"/>
            <w:tcBorders>
              <w:top w:val="single" w:sz="4" w:space="0" w:color="auto"/>
              <w:left w:val="nil"/>
              <w:right w:val="nil"/>
            </w:tcBorders>
          </w:tcPr>
          <w:p w14:paraId="5606921E" w14:textId="77777777" w:rsidR="00A61FF5" w:rsidRPr="004B6C01" w:rsidRDefault="00A61FF5" w:rsidP="00D07480">
            <w:pPr>
              <w:pStyle w:val="ESTablebullet1"/>
              <w:rPr>
                <w:lang w:val="en-AU"/>
              </w:rPr>
            </w:pPr>
            <w:r w:rsidRPr="004B6C01">
              <w:rPr>
                <w:lang w:val="en-AU"/>
              </w:rPr>
              <w:t>Primary education</w:t>
            </w:r>
          </w:p>
          <w:p w14:paraId="55205E51" w14:textId="77777777" w:rsidR="00A61FF5" w:rsidRPr="004B6C01" w:rsidRDefault="00A61FF5" w:rsidP="00D07480">
            <w:pPr>
              <w:pStyle w:val="ESTablebullet1"/>
              <w:rPr>
                <w:lang w:val="en-AU"/>
              </w:rPr>
            </w:pPr>
            <w:r w:rsidRPr="004B6C01">
              <w:rPr>
                <w:lang w:val="en-AU"/>
              </w:rPr>
              <w:t>Secondary education</w:t>
            </w:r>
          </w:p>
          <w:p w14:paraId="55CF25F6" w14:textId="77777777" w:rsidR="00A61FF5" w:rsidRPr="004B6C01" w:rsidRDefault="00A61FF5" w:rsidP="00D07480">
            <w:pPr>
              <w:pStyle w:val="ESTablebullet1"/>
              <w:rPr>
                <w:lang w:val="en-AU"/>
              </w:rPr>
            </w:pPr>
            <w:r w:rsidRPr="004B6C01">
              <w:rPr>
                <w:lang w:val="en-AU"/>
              </w:rPr>
              <w:t>Special education</w:t>
            </w:r>
          </w:p>
          <w:p w14:paraId="06F034B9" w14:textId="77777777" w:rsidR="00A61FF5" w:rsidRPr="004B6C01" w:rsidRDefault="00A61FF5" w:rsidP="00D07480">
            <w:pPr>
              <w:pStyle w:val="ESTablebullet1"/>
              <w:rPr>
                <w:lang w:val="en-AU"/>
              </w:rPr>
            </w:pPr>
            <w:r w:rsidRPr="004B6C01">
              <w:rPr>
                <w:lang w:val="en-AU"/>
              </w:rPr>
              <w:t>Health and wellbeing</w:t>
            </w:r>
          </w:p>
        </w:tc>
        <w:tc>
          <w:tcPr>
            <w:tcW w:w="2485" w:type="dxa"/>
            <w:tcBorders>
              <w:top w:val="single" w:sz="4" w:space="0" w:color="auto"/>
              <w:left w:val="nil"/>
              <w:right w:val="nil"/>
            </w:tcBorders>
          </w:tcPr>
          <w:p w14:paraId="48235554" w14:textId="77777777" w:rsidR="00A61FF5" w:rsidRPr="004B6C01" w:rsidRDefault="00A61FF5" w:rsidP="00D07480">
            <w:pPr>
              <w:pStyle w:val="ESTablebullet1"/>
              <w:rPr>
                <w:lang w:val="en-AU"/>
              </w:rPr>
            </w:pPr>
            <w:r w:rsidRPr="004B6C01">
              <w:rPr>
                <w:lang w:val="en-AU"/>
              </w:rPr>
              <w:t>Technical and Further Education (TAFEs)</w:t>
            </w:r>
          </w:p>
          <w:p w14:paraId="0E8D533B" w14:textId="77777777" w:rsidR="00A61FF5" w:rsidRPr="004B6C01" w:rsidRDefault="00A61FF5" w:rsidP="00D07480">
            <w:pPr>
              <w:pStyle w:val="ESTablebullet1"/>
              <w:rPr>
                <w:lang w:val="en-AU"/>
              </w:rPr>
            </w:pPr>
            <w:r w:rsidRPr="004B6C01">
              <w:rPr>
                <w:lang w:val="en-AU"/>
              </w:rPr>
              <w:t>Universities</w:t>
            </w:r>
          </w:p>
          <w:p w14:paraId="5EBEBE7F" w14:textId="77777777" w:rsidR="00A61FF5" w:rsidRPr="004B6C01" w:rsidRDefault="00A61FF5" w:rsidP="00D07480">
            <w:pPr>
              <w:pStyle w:val="ESTablebullet1"/>
              <w:rPr>
                <w:lang w:val="en-AU"/>
              </w:rPr>
            </w:pPr>
            <w:r w:rsidRPr="004B6C01">
              <w:rPr>
                <w:lang w:val="en-AU"/>
              </w:rPr>
              <w:t>Private registered training providers</w:t>
            </w:r>
          </w:p>
          <w:p w14:paraId="569EF397" w14:textId="77777777" w:rsidR="00A61FF5" w:rsidRPr="004B6C01" w:rsidRDefault="00A61FF5" w:rsidP="00D07480">
            <w:pPr>
              <w:pStyle w:val="ESTablebullet1"/>
              <w:rPr>
                <w:lang w:val="en-AU"/>
              </w:rPr>
            </w:pPr>
            <w:r w:rsidRPr="004B6C01">
              <w:rPr>
                <w:lang w:val="en-AU"/>
              </w:rPr>
              <w:t>Learn Locals</w:t>
            </w:r>
          </w:p>
        </w:tc>
      </w:tr>
      <w:tr w:rsidR="00A61FF5" w:rsidRPr="00932A90" w14:paraId="16C5A2EA" w14:textId="77777777" w:rsidTr="00D07480">
        <w:tc>
          <w:tcPr>
            <w:tcW w:w="7479" w:type="dxa"/>
            <w:gridSpan w:val="3"/>
            <w:tcBorders>
              <w:left w:val="nil"/>
              <w:right w:val="nil"/>
            </w:tcBorders>
            <w:tcMar>
              <w:top w:w="57" w:type="dxa"/>
            </w:tcMar>
            <w:vAlign w:val="center"/>
          </w:tcPr>
          <w:p w14:paraId="64045F37" w14:textId="77777777" w:rsidR="00A61FF5" w:rsidRPr="004B6C01" w:rsidRDefault="00A61FF5" w:rsidP="00D07480">
            <w:pPr>
              <w:pStyle w:val="ESTableBody"/>
              <w:rPr>
                <w:i/>
                <w:lang w:val="en-AU"/>
              </w:rPr>
            </w:pPr>
            <w:r w:rsidRPr="004B6C01">
              <w:rPr>
                <w:i/>
                <w:lang w:val="en-AU"/>
              </w:rPr>
              <w:t>We have a diverse range of public, private and not-for-profit providers serving Victorians of all ages:</w:t>
            </w:r>
          </w:p>
        </w:tc>
      </w:tr>
      <w:tr w:rsidR="00A61FF5" w:rsidRPr="00932A90" w14:paraId="52A0347B" w14:textId="77777777" w:rsidTr="00D07480">
        <w:tc>
          <w:tcPr>
            <w:tcW w:w="2515" w:type="dxa"/>
            <w:tcBorders>
              <w:left w:val="nil"/>
              <w:bottom w:val="single" w:sz="4" w:space="0" w:color="auto"/>
              <w:right w:val="nil"/>
            </w:tcBorders>
          </w:tcPr>
          <w:p w14:paraId="3707ADFF" w14:textId="77777777" w:rsidR="00A61FF5" w:rsidRPr="004B6C01" w:rsidRDefault="00A61FF5" w:rsidP="00D07480">
            <w:pPr>
              <w:pStyle w:val="ESTablebullet1"/>
              <w:rPr>
                <w:lang w:val="en-AU"/>
              </w:rPr>
            </w:pPr>
            <w:r w:rsidRPr="004B6C01">
              <w:rPr>
                <w:lang w:val="en-AU"/>
              </w:rPr>
              <w:t>More than 4100 approved education and care services providing long day care, kindergarten, outside-school-hours care, and family day care</w:t>
            </w:r>
          </w:p>
          <w:p w14:paraId="3CAAD1F3" w14:textId="77777777" w:rsidR="00A61FF5" w:rsidRPr="004B6C01" w:rsidRDefault="00A61FF5" w:rsidP="00D07480">
            <w:pPr>
              <w:pStyle w:val="ESTablebullet1"/>
              <w:rPr>
                <w:lang w:val="en-AU"/>
              </w:rPr>
            </w:pPr>
            <w:r w:rsidRPr="004B6C01">
              <w:rPr>
                <w:lang w:val="en-AU"/>
              </w:rPr>
              <w:t>Approximately 400 licensed children’s services providing limited-hour services such as occasional care</w:t>
            </w:r>
          </w:p>
          <w:p w14:paraId="0045279B" w14:textId="77777777" w:rsidR="00A61FF5" w:rsidRPr="004B6C01" w:rsidRDefault="00A61FF5" w:rsidP="00D07480">
            <w:pPr>
              <w:pStyle w:val="ESTablebullet1"/>
              <w:rPr>
                <w:lang w:val="en-AU"/>
              </w:rPr>
            </w:pPr>
            <w:r w:rsidRPr="004B6C01">
              <w:rPr>
                <w:lang w:val="en-AU"/>
              </w:rPr>
              <w:t>664 maternal and child health service locations</w:t>
            </w:r>
          </w:p>
        </w:tc>
        <w:tc>
          <w:tcPr>
            <w:tcW w:w="2479" w:type="dxa"/>
            <w:tcBorders>
              <w:left w:val="nil"/>
              <w:bottom w:val="single" w:sz="4" w:space="0" w:color="auto"/>
              <w:right w:val="nil"/>
            </w:tcBorders>
          </w:tcPr>
          <w:p w14:paraId="780D0DFE" w14:textId="77777777" w:rsidR="00A61FF5" w:rsidRPr="004B6C01" w:rsidRDefault="00A61FF5" w:rsidP="00D07480">
            <w:pPr>
              <w:pStyle w:val="ESTablebullet1"/>
              <w:rPr>
                <w:lang w:val="en-AU"/>
              </w:rPr>
            </w:pPr>
            <w:r w:rsidRPr="004B6C01">
              <w:rPr>
                <w:lang w:val="en-AU"/>
              </w:rPr>
              <w:t>1528 government schools</w:t>
            </w:r>
          </w:p>
          <w:p w14:paraId="27DEBB51" w14:textId="77777777" w:rsidR="00A61FF5" w:rsidRPr="004B6C01" w:rsidRDefault="00A61FF5" w:rsidP="00D07480">
            <w:pPr>
              <w:pStyle w:val="ESTablebullet1"/>
              <w:rPr>
                <w:lang w:val="en-AU"/>
              </w:rPr>
            </w:pPr>
            <w:r w:rsidRPr="004B6C01">
              <w:rPr>
                <w:lang w:val="en-AU"/>
              </w:rPr>
              <w:t>711 non-government schools (492 Catholic schools and 219 independent schools)</w:t>
            </w:r>
          </w:p>
        </w:tc>
        <w:tc>
          <w:tcPr>
            <w:tcW w:w="2485" w:type="dxa"/>
            <w:tcBorders>
              <w:left w:val="nil"/>
              <w:bottom w:val="single" w:sz="4" w:space="0" w:color="auto"/>
              <w:right w:val="nil"/>
            </w:tcBorders>
          </w:tcPr>
          <w:p w14:paraId="26C4E5D3" w14:textId="77777777" w:rsidR="00A61FF5" w:rsidRPr="004B6C01" w:rsidRDefault="00A61FF5" w:rsidP="00D07480">
            <w:pPr>
              <w:pStyle w:val="ESTablebullet1"/>
              <w:rPr>
                <w:lang w:val="en-AU"/>
              </w:rPr>
            </w:pPr>
            <w:r w:rsidRPr="004B6C01">
              <w:rPr>
                <w:lang w:val="en-AU"/>
              </w:rPr>
              <w:t>12 TAFE institutes</w:t>
            </w:r>
          </w:p>
          <w:p w14:paraId="6AB1897F" w14:textId="77777777" w:rsidR="00A61FF5" w:rsidRPr="004B6C01" w:rsidRDefault="00A61FF5" w:rsidP="00D07480">
            <w:pPr>
              <w:pStyle w:val="ESTablebullet1"/>
              <w:rPr>
                <w:lang w:val="en-AU"/>
              </w:rPr>
            </w:pPr>
            <w:r w:rsidRPr="004B6C01">
              <w:rPr>
                <w:lang w:val="en-AU"/>
              </w:rPr>
              <w:t>8 public universities (four of which also provide vocational training), one specialised university, and campuses of the multi-state Australian Catholic University</w:t>
            </w:r>
          </w:p>
          <w:p w14:paraId="37F4AFAB" w14:textId="77777777" w:rsidR="00A61FF5" w:rsidRPr="004B6C01" w:rsidRDefault="00A61FF5" w:rsidP="00D07480">
            <w:pPr>
              <w:pStyle w:val="ESTablebullet1"/>
              <w:rPr>
                <w:lang w:val="en-AU"/>
              </w:rPr>
            </w:pPr>
            <w:r w:rsidRPr="004B6C01">
              <w:rPr>
                <w:lang w:val="en-AU"/>
              </w:rPr>
              <w:t>318 community-owned and managed not-for- profit organisations registered with the Adult Community and Further Education Board as Learn Local organisations eligible to deliver pre-accredited training</w:t>
            </w:r>
          </w:p>
          <w:p w14:paraId="4104077E" w14:textId="77777777" w:rsidR="00A61FF5" w:rsidRPr="004B6C01" w:rsidRDefault="00A61FF5" w:rsidP="00D07480">
            <w:pPr>
              <w:pStyle w:val="ESTablebullet1"/>
              <w:rPr>
                <w:lang w:val="en-AU"/>
              </w:rPr>
            </w:pPr>
            <w:r w:rsidRPr="004B6C01">
              <w:rPr>
                <w:lang w:val="en-AU"/>
              </w:rPr>
              <w:t>346 government-contracted private registered training organisations</w:t>
            </w:r>
          </w:p>
        </w:tc>
      </w:tr>
    </w:tbl>
    <w:p w14:paraId="670A2600" w14:textId="77777777" w:rsidR="00A61FF5" w:rsidRPr="004B6C01" w:rsidRDefault="00A61FF5" w:rsidP="00A61FF5">
      <w:pPr>
        <w:pStyle w:val="ESTableBody"/>
        <w:rPr>
          <w:rFonts w:eastAsiaTheme="majorEastAsia" w:cstheme="majorBidi"/>
          <w:color w:val="000000" w:themeColor="text1"/>
          <w:spacing w:val="5"/>
          <w:kern w:val="28"/>
          <w:sz w:val="28"/>
          <w:szCs w:val="20"/>
          <w:lang w:val="en-AU"/>
        </w:rPr>
      </w:pPr>
      <w:bookmarkStart w:id="36" w:name="_Toc488410097"/>
      <w:r w:rsidRPr="004B6C01">
        <w:rPr>
          <w:lang w:val="en-AU"/>
        </w:rPr>
        <w:br w:type="page"/>
      </w:r>
    </w:p>
    <w:p w14:paraId="0B60CD9B" w14:textId="3F0935B2" w:rsidR="00A61FF5" w:rsidRPr="004B6C01" w:rsidRDefault="00A61FF5" w:rsidP="00D2232D">
      <w:pPr>
        <w:pStyle w:val="ESHeading2"/>
      </w:pPr>
      <w:bookmarkStart w:id="37" w:name="_Toc488767569"/>
      <w:bookmarkStart w:id="38" w:name="_Toc488768981"/>
      <w:bookmarkStart w:id="39" w:name="_Toc489526696"/>
      <w:bookmarkStart w:id="40" w:name="_Toc491070295"/>
      <w:bookmarkStart w:id="41" w:name="_Toc491409521"/>
      <w:bookmarkStart w:id="42" w:name="_Toc491414650"/>
      <w:r w:rsidRPr="004B6C01">
        <w:t>Changes to the Department during 2016–17</w:t>
      </w:r>
      <w:bookmarkEnd w:id="36"/>
      <w:bookmarkEnd w:id="37"/>
      <w:bookmarkEnd w:id="38"/>
      <w:bookmarkEnd w:id="39"/>
      <w:bookmarkEnd w:id="40"/>
      <w:bookmarkEnd w:id="41"/>
      <w:bookmarkEnd w:id="42"/>
    </w:p>
    <w:p w14:paraId="1BBC739A" w14:textId="77777777" w:rsidR="00A61FF5" w:rsidRPr="004B6C01" w:rsidRDefault="00A61FF5" w:rsidP="00A61FF5">
      <w:pPr>
        <w:pStyle w:val="ESBodyText"/>
        <w:rPr>
          <w:lang w:val="en-AU"/>
        </w:rPr>
      </w:pPr>
      <w:r w:rsidRPr="004B6C01">
        <w:rPr>
          <w:lang w:val="en-AU"/>
        </w:rPr>
        <w:t>During 2016–17, there were no changes to the Department’s objectives and output structure as a result of internal reviews or machinery-of-government changes.</w:t>
      </w:r>
    </w:p>
    <w:p w14:paraId="27AB8894" w14:textId="77777777" w:rsidR="00A61FF5" w:rsidRPr="004B6C01" w:rsidRDefault="00A61FF5" w:rsidP="00A61FF5">
      <w:pPr>
        <w:pStyle w:val="ESHeading3"/>
        <w:rPr>
          <w:lang w:val="en-AU"/>
        </w:rPr>
      </w:pPr>
      <w:r w:rsidRPr="004B6C01">
        <w:rPr>
          <w:lang w:val="en-AU"/>
        </w:rPr>
        <w:t>Discontinued operations</w:t>
      </w:r>
    </w:p>
    <w:p w14:paraId="7AA360FE" w14:textId="77777777" w:rsidR="00A61FF5" w:rsidRPr="004B6C01" w:rsidRDefault="00A61FF5" w:rsidP="00A61FF5">
      <w:pPr>
        <w:pStyle w:val="ESBodyText"/>
        <w:rPr>
          <w:lang w:val="en-AU"/>
        </w:rPr>
      </w:pPr>
      <w:r w:rsidRPr="004B6C01">
        <w:rPr>
          <w:lang w:val="en-AU"/>
        </w:rPr>
        <w:t>There were no discontinued operations under the Department’s output structure.</w:t>
      </w:r>
    </w:p>
    <w:p w14:paraId="68CCD832" w14:textId="77777777" w:rsidR="00A61FF5" w:rsidRPr="004B6C01" w:rsidRDefault="00A61FF5" w:rsidP="00A61FF5">
      <w:pPr>
        <w:pStyle w:val="ESHeading3"/>
        <w:rPr>
          <w:lang w:val="en-AU"/>
        </w:rPr>
      </w:pPr>
      <w:r w:rsidRPr="004B6C01">
        <w:rPr>
          <w:lang w:val="en-AU"/>
        </w:rPr>
        <w:t>Direct costs attributable to machinery-of-government changes</w:t>
      </w:r>
    </w:p>
    <w:p w14:paraId="158EF3F9" w14:textId="77777777" w:rsidR="00A61FF5" w:rsidRPr="004B6C01" w:rsidRDefault="00A61FF5" w:rsidP="00A61FF5">
      <w:pPr>
        <w:pStyle w:val="ESBodyText"/>
        <w:rPr>
          <w:lang w:val="en-AU"/>
        </w:rPr>
      </w:pPr>
      <w:r w:rsidRPr="004B6C01">
        <w:rPr>
          <w:lang w:val="en-AU"/>
        </w:rPr>
        <w:t xml:space="preserve">During 2016–17, neither the Department nor its entities consolidated into the Department’s annual report pursuant to section 53(1)(b) of the </w:t>
      </w:r>
      <w:r w:rsidRPr="004B6C01">
        <w:rPr>
          <w:i/>
          <w:lang w:val="en-AU"/>
        </w:rPr>
        <w:t xml:space="preserve">Financial Management Act 1994, </w:t>
      </w:r>
      <w:r w:rsidRPr="004B6C01">
        <w:rPr>
          <w:lang w:val="en-AU"/>
        </w:rPr>
        <w:t>incurred direct costs attributable to machinery-of-government changes.</w:t>
      </w:r>
    </w:p>
    <w:p w14:paraId="283249F6" w14:textId="5FB905C9" w:rsidR="00A61FF5" w:rsidRPr="004B6C01" w:rsidRDefault="00A61FF5" w:rsidP="00D2232D">
      <w:pPr>
        <w:pStyle w:val="ESHeading2"/>
      </w:pPr>
      <w:bookmarkStart w:id="43" w:name="_Toc488410098"/>
      <w:bookmarkStart w:id="44" w:name="_Toc488767570"/>
      <w:bookmarkStart w:id="45" w:name="_Toc488768982"/>
      <w:bookmarkStart w:id="46" w:name="_Toc491070296"/>
      <w:bookmarkStart w:id="47" w:name="_Toc491409522"/>
      <w:bookmarkStart w:id="48" w:name="_Toc491414651"/>
      <w:r w:rsidRPr="004B6C01">
        <w:t>Achievements</w:t>
      </w:r>
      <w:bookmarkEnd w:id="43"/>
      <w:bookmarkEnd w:id="44"/>
      <w:bookmarkEnd w:id="45"/>
      <w:bookmarkEnd w:id="46"/>
      <w:bookmarkEnd w:id="47"/>
      <w:bookmarkEnd w:id="48"/>
    </w:p>
    <w:p w14:paraId="2C4C262E" w14:textId="77777777" w:rsidR="00A61FF5" w:rsidRPr="004B6C01" w:rsidRDefault="00A61FF5" w:rsidP="00A61FF5">
      <w:pPr>
        <w:pStyle w:val="ESBodyText"/>
        <w:rPr>
          <w:lang w:val="en-AU"/>
        </w:rPr>
      </w:pPr>
      <w:r w:rsidRPr="004B6C01">
        <w:rPr>
          <w:lang w:val="en-AU"/>
        </w:rPr>
        <w:t>The Education State is building a system that provides every student with the knowledge, capabilities and attributes that will see them thrive throughout their lives, to have the skills that industry needs, and that employers expect. During 2016–17, the Department continued implementing reforms announced in the government’s statewide Education State initiatives across three areas of focus:, early childhood development, schools development and training and skills.</w:t>
      </w:r>
    </w:p>
    <w:p w14:paraId="006174F4" w14:textId="77777777" w:rsidR="00A61FF5" w:rsidRPr="004B6C01" w:rsidRDefault="00A61FF5" w:rsidP="00A61FF5">
      <w:pPr>
        <w:pStyle w:val="ESHeading3"/>
        <w:rPr>
          <w:lang w:val="en-AU"/>
        </w:rPr>
      </w:pPr>
      <w:r w:rsidRPr="004B6C01">
        <w:rPr>
          <w:lang w:val="en-AU"/>
        </w:rPr>
        <w:t>Early childhood development</w:t>
      </w:r>
    </w:p>
    <w:p w14:paraId="35D057A2" w14:textId="48206980" w:rsidR="00A61FF5" w:rsidRPr="004B6C01" w:rsidRDefault="00A61FF5" w:rsidP="00A61FF5">
      <w:pPr>
        <w:pStyle w:val="ESBodyText"/>
        <w:rPr>
          <w:lang w:val="en-AU"/>
        </w:rPr>
      </w:pPr>
      <w:bookmarkStart w:id="49" w:name="_Toc488410099"/>
      <w:bookmarkStart w:id="50" w:name="_Toc488767571"/>
      <w:bookmarkStart w:id="51" w:name="_Toc488768983"/>
      <w:r w:rsidRPr="004B6C01">
        <w:rPr>
          <w:lang w:val="en-AU"/>
        </w:rPr>
        <w:t>Early childhood development is at the heart of the Victorian Government’s vision for the Education State as the first years of life are crucial to lifelong learning, wellbeing and success. In May 2017, the Education State Early Childhood Reform Plan was released. This plan represents a landmark reform agenda for the early childhood sector and</w:t>
      </w:r>
      <w:r w:rsidR="00366F71" w:rsidRPr="004B6C01">
        <w:rPr>
          <w:lang w:val="en-AU"/>
        </w:rPr>
        <w:t xml:space="preserve"> </w:t>
      </w:r>
      <w:r w:rsidRPr="004B6C01">
        <w:rPr>
          <w:lang w:val="en-AU"/>
        </w:rPr>
        <w:t>outlines the long-term vision that will:</w:t>
      </w:r>
    </w:p>
    <w:p w14:paraId="14BEB507" w14:textId="77777777" w:rsidR="00A61FF5" w:rsidRPr="004B6C01" w:rsidRDefault="00A61FF5" w:rsidP="00A61FF5">
      <w:pPr>
        <w:pStyle w:val="ESBullet1indent"/>
        <w:numPr>
          <w:ilvl w:val="0"/>
          <w:numId w:val="16"/>
        </w:numPr>
        <w:rPr>
          <w:lang w:val="en-AU"/>
        </w:rPr>
      </w:pPr>
      <w:r w:rsidRPr="004B6C01">
        <w:rPr>
          <w:lang w:val="en-AU"/>
        </w:rPr>
        <w:t>support higher quality services and reduce disadvantage in early education:</w:t>
      </w:r>
      <w:r w:rsidRPr="004B6C01">
        <w:rPr>
          <w:b/>
          <w:lang w:val="en-AU"/>
        </w:rPr>
        <w:t xml:space="preserve"> </w:t>
      </w:r>
      <w:r w:rsidRPr="004B6C01">
        <w:rPr>
          <w:lang w:val="en-AU"/>
        </w:rPr>
        <w:t>including introducing an Australian first, school readiness funding for kindergarten services and significantly increasing the amount of support we provide to kindergartens to continue to improve their quality</w:t>
      </w:r>
    </w:p>
    <w:p w14:paraId="733380DE" w14:textId="77777777" w:rsidR="00A61FF5" w:rsidRPr="004B6C01" w:rsidRDefault="00A61FF5" w:rsidP="00A61FF5">
      <w:pPr>
        <w:pStyle w:val="ESBullet1indent"/>
        <w:numPr>
          <w:ilvl w:val="0"/>
          <w:numId w:val="16"/>
        </w:numPr>
        <w:rPr>
          <w:lang w:val="en-AU"/>
        </w:rPr>
      </w:pPr>
      <w:r w:rsidRPr="004B6C01">
        <w:rPr>
          <w:lang w:val="en-AU"/>
        </w:rPr>
        <w:t>provide more support for parenting: including expanding the Enhanced Maternal and Child Health (MCH) Service and supported playgroups and, for the first time in Australia, providing an additional family violence visit for women and children at risk of, or experiencing, family violence</w:t>
      </w:r>
    </w:p>
    <w:p w14:paraId="19E3AEC0" w14:textId="77777777" w:rsidR="00A61FF5" w:rsidRPr="004B6C01" w:rsidRDefault="00A61FF5" w:rsidP="00A61FF5">
      <w:pPr>
        <w:pStyle w:val="ESBullet1indent"/>
        <w:numPr>
          <w:ilvl w:val="0"/>
          <w:numId w:val="16"/>
        </w:numPr>
        <w:rPr>
          <w:lang w:val="en-AU"/>
        </w:rPr>
      </w:pPr>
      <w:r w:rsidRPr="004B6C01">
        <w:rPr>
          <w:lang w:val="en-AU"/>
        </w:rPr>
        <w:t>make early childhood services more accessible and inclusive: including initiatives to improve kindergarten participation among children experiencing disadvantage or vulnerability, and providing more support for children with a disability</w:t>
      </w:r>
    </w:p>
    <w:p w14:paraId="4EB3B705" w14:textId="77777777" w:rsidR="00A61FF5" w:rsidRPr="004B6C01" w:rsidRDefault="00A61FF5" w:rsidP="00A61FF5">
      <w:pPr>
        <w:pStyle w:val="ESBullet1indent"/>
        <w:numPr>
          <w:ilvl w:val="0"/>
          <w:numId w:val="16"/>
        </w:numPr>
        <w:rPr>
          <w:lang w:val="en-AU"/>
        </w:rPr>
      </w:pPr>
      <w:r w:rsidRPr="004B6C01">
        <w:rPr>
          <w:lang w:val="en-AU"/>
        </w:rPr>
        <w:t>build a better system: including a commitment to take on a greater system leadership role, strengthen our relationship with local government and work with the Commonwealth to secure longer term early childhood funding arrangements.</w:t>
      </w:r>
    </w:p>
    <w:p w14:paraId="5F81084A" w14:textId="77777777" w:rsidR="00A61FF5" w:rsidRPr="004B6C01" w:rsidRDefault="00A61FF5" w:rsidP="00A61FF5">
      <w:pPr>
        <w:pStyle w:val="ESBodyText"/>
        <w:rPr>
          <w:lang w:val="en-AU"/>
        </w:rPr>
      </w:pPr>
      <w:r w:rsidRPr="004B6C01">
        <w:rPr>
          <w:lang w:val="en-AU"/>
        </w:rPr>
        <w:t>Throughout the year, the Department also continued to implement and deliver a range of early childhood and development reforms and programs. We:</w:t>
      </w:r>
    </w:p>
    <w:p w14:paraId="7427F80A" w14:textId="77777777" w:rsidR="00A61FF5" w:rsidRPr="004B6C01" w:rsidRDefault="00A61FF5" w:rsidP="00A61FF5">
      <w:pPr>
        <w:pStyle w:val="ESBullet1indent"/>
        <w:numPr>
          <w:ilvl w:val="0"/>
          <w:numId w:val="16"/>
        </w:numPr>
        <w:rPr>
          <w:lang w:val="en-AU"/>
        </w:rPr>
      </w:pPr>
      <w:r w:rsidRPr="004B6C01">
        <w:rPr>
          <w:lang w:val="en-AU"/>
        </w:rPr>
        <w:t>supported Victoria’s 96 per cent high kindergarten participation rate and increased participation rates for Aboriginal children from 82.2 per cent in 2015 to 90.5 per cent in 2016. This increase was supported by continuing the Koorie Kids Shine campaign, which engaged local community members in developing new resources to promote the benefits of kindergarten for Koorie children</w:t>
      </w:r>
    </w:p>
    <w:p w14:paraId="3C638CD2" w14:textId="77777777" w:rsidR="00A61FF5" w:rsidRPr="004B6C01" w:rsidRDefault="00A61FF5" w:rsidP="00A61FF5">
      <w:pPr>
        <w:pStyle w:val="ESBullet1indent"/>
        <w:rPr>
          <w:lang w:val="en-AU"/>
        </w:rPr>
      </w:pPr>
      <w:r w:rsidRPr="004B6C01">
        <w:rPr>
          <w:lang w:val="en-AU"/>
        </w:rPr>
        <w:t>increased the number of children receiving a free, 15-hour kindergarten program through the Early Start Kindergarten (ESK) initiative. In 2016, nearly 1200 three-year-old children experiencing vulnerability accessed ESK, an increase in enrolments of 18 per cent since 2015 and 50 per cent since 2014</w:t>
      </w:r>
    </w:p>
    <w:p w14:paraId="504E78C0" w14:textId="77777777" w:rsidR="00A9593E" w:rsidRPr="004B6C01" w:rsidRDefault="00A61FF5" w:rsidP="00A61FF5">
      <w:pPr>
        <w:pStyle w:val="ESBullet1indent"/>
        <w:rPr>
          <w:lang w:val="en-AU"/>
        </w:rPr>
      </w:pPr>
      <w:r w:rsidRPr="004B6C01">
        <w:rPr>
          <w:lang w:val="en-AU"/>
        </w:rPr>
        <w:t>reserved 569 kindergarten places across the state through the 2016 pre-purchased places pilot aimed at vulnerable and disadvantaged children who may present at services outside normal enrolment periods</w:t>
      </w:r>
    </w:p>
    <w:p w14:paraId="2E015EB8" w14:textId="4C83590C" w:rsidR="00CC0F10" w:rsidRPr="00B32CE6" w:rsidRDefault="00CC0F10" w:rsidP="00A61FF5">
      <w:pPr>
        <w:pStyle w:val="ESBullet1indent"/>
        <w:rPr>
          <w:lang w:val="en-AU"/>
        </w:rPr>
      </w:pPr>
      <w:r w:rsidRPr="00B32CE6">
        <w:rPr>
          <w:lang w:val="en-AU"/>
        </w:rPr>
        <w:t>provided $13.7 million through the Children’s Facilities Capital P</w:t>
      </w:r>
      <w:r w:rsidR="00B32CE6" w:rsidRPr="00B32CE6">
        <w:rPr>
          <w:lang w:val="en-AU"/>
        </w:rPr>
        <w:t>rogram to upgrade existing, and</w:t>
      </w:r>
      <w:r w:rsidRPr="00B32CE6">
        <w:rPr>
          <w:lang w:val="en-AU"/>
        </w:rPr>
        <w:t xml:space="preserve"> build new, integrated children’s centres and early learning facilities. An additional $1.2 million was provided to over 300 successful applicants for minor expansions, refurbishments and information technology purchases</w:t>
      </w:r>
    </w:p>
    <w:p w14:paraId="6B5AF3F8" w14:textId="7323585A" w:rsidR="00A61FF5" w:rsidRPr="004B6C01" w:rsidRDefault="00A61FF5" w:rsidP="00A61FF5">
      <w:pPr>
        <w:pStyle w:val="ESBullet1indent"/>
        <w:rPr>
          <w:lang w:val="en-AU"/>
        </w:rPr>
      </w:pPr>
      <w:r w:rsidRPr="004B6C01">
        <w:rPr>
          <w:lang w:val="en-AU"/>
        </w:rPr>
        <w:t>improved the coherence, sustainability and quality of kindergarten program delivery through the Early Years Management Policy Framework. The framework was well received by the sector and is on track for full implementation by July 2018</w:t>
      </w:r>
    </w:p>
    <w:p w14:paraId="1B4E54FA" w14:textId="77777777" w:rsidR="00A61FF5" w:rsidRPr="004B6C01" w:rsidRDefault="00A61FF5" w:rsidP="00A61FF5">
      <w:pPr>
        <w:pStyle w:val="ESBullet1indent"/>
        <w:rPr>
          <w:lang w:val="en-AU"/>
        </w:rPr>
      </w:pPr>
      <w:r w:rsidRPr="004B6C01">
        <w:rPr>
          <w:lang w:val="en-AU"/>
        </w:rPr>
        <w:t xml:space="preserve">continued work in the national arena under the auspices of the Council of Australian Governments (COAG). Victoria played a lead role in reviewing the National Partnership for the National Quality Agenda for Early Childhood Education and Care (ECEC). The review found that the National Quality Framework is a significant achievement and considerable progress has been made implementing ambitious and ground-breaking reforms. Amendments to the </w:t>
      </w:r>
      <w:r w:rsidRPr="004B6C01">
        <w:rPr>
          <w:i/>
          <w:lang w:val="en-AU"/>
        </w:rPr>
        <w:t>Education and Care Services National Law Act 2010</w:t>
      </w:r>
      <w:r w:rsidRPr="004B6C01">
        <w:rPr>
          <w:lang w:val="en-AU"/>
        </w:rPr>
        <w:t>, recommended as part of the review, passed the Victorian parliament in March 2017</w:t>
      </w:r>
    </w:p>
    <w:p w14:paraId="271EB33E" w14:textId="77777777" w:rsidR="00A61FF5" w:rsidRPr="004B6C01" w:rsidRDefault="00A61FF5" w:rsidP="00A61FF5">
      <w:pPr>
        <w:pStyle w:val="ESBullet1indent"/>
        <w:rPr>
          <w:lang w:val="en-AU"/>
        </w:rPr>
      </w:pPr>
      <w:r w:rsidRPr="004B6C01">
        <w:rPr>
          <w:lang w:val="en-AU"/>
        </w:rPr>
        <w:t>advanced the quality of ECEC services by assessing and rating 91 per cent by 30 June 2017. Of these, 35 per cent exceeded, and 49 per cent met, the National Quality Standards</w:t>
      </w:r>
    </w:p>
    <w:p w14:paraId="5FCF22BE" w14:textId="25EC8CA9" w:rsidR="00A61FF5" w:rsidRPr="004B6C01" w:rsidRDefault="00A61FF5" w:rsidP="00B32CE6">
      <w:pPr>
        <w:pStyle w:val="ESBullet1indent"/>
        <w:rPr>
          <w:lang w:val="en-AU"/>
        </w:rPr>
      </w:pPr>
      <w:r w:rsidRPr="004B6C01">
        <w:rPr>
          <w:lang w:val="en-AU"/>
        </w:rPr>
        <w:t>progressed early childhood actions in Marrung: Aboriginal Education Plan 2016–2026, including developing targeted initiatives in the Early Childhood Reform Plan (Koorie Families as First Educato</w:t>
      </w:r>
      <w:r w:rsidR="00B32CE6">
        <w:rPr>
          <w:lang w:val="en-AU"/>
        </w:rPr>
        <w:t>rs; Koorie Supported Playgroups</w:t>
      </w:r>
      <w:r w:rsidRPr="004B6C01">
        <w:rPr>
          <w:lang w:val="en-AU"/>
        </w:rPr>
        <w:t>). We worked with Aboriginal organisations, the MCH sector, and local governments to co-design strategies that ensure we provide a high</w:t>
      </w:r>
      <w:r w:rsidRPr="004B6C01">
        <w:rPr>
          <w:lang w:val="en-AU"/>
        </w:rPr>
        <w:noBreakHyphen/>
        <w:t>quality, culturally</w:t>
      </w:r>
      <w:r w:rsidRPr="004B6C01">
        <w:rPr>
          <w:lang w:val="en-AU"/>
        </w:rPr>
        <w:noBreakHyphen/>
        <w:t>safe and responsive universal MCH for all Aboriginal families across Victoria.</w:t>
      </w:r>
    </w:p>
    <w:p w14:paraId="2874CF55" w14:textId="77777777" w:rsidR="00A61FF5" w:rsidRPr="004B6C01" w:rsidRDefault="00A61FF5" w:rsidP="00A61FF5">
      <w:pPr>
        <w:pStyle w:val="ESHeading3"/>
        <w:rPr>
          <w:lang w:val="en-AU"/>
        </w:rPr>
      </w:pPr>
      <w:r w:rsidRPr="004B6C01">
        <w:rPr>
          <w:lang w:val="en-AU"/>
        </w:rPr>
        <w:t>School education</w:t>
      </w:r>
    </w:p>
    <w:p w14:paraId="2442B078" w14:textId="77777777" w:rsidR="00A61FF5" w:rsidRPr="004B6C01" w:rsidRDefault="00A61FF5" w:rsidP="00A61FF5">
      <w:pPr>
        <w:pStyle w:val="ESBodyText"/>
        <w:rPr>
          <w:lang w:val="en-AU"/>
        </w:rPr>
      </w:pPr>
      <w:r w:rsidRPr="004B6C01">
        <w:rPr>
          <w:lang w:val="en-AU"/>
        </w:rPr>
        <w:t>The Education State: Schools agenda supports builds on the outcomes for every student, in every classroom, and for every community. To progress implementation and delivery of these reforms, the Department:</w:t>
      </w:r>
    </w:p>
    <w:p w14:paraId="2D78B51A" w14:textId="77777777" w:rsidR="00A61FF5" w:rsidRPr="004B6C01" w:rsidRDefault="00A61FF5" w:rsidP="00A61FF5">
      <w:pPr>
        <w:pStyle w:val="ESBullet1indent"/>
        <w:rPr>
          <w:lang w:val="en-AU"/>
        </w:rPr>
      </w:pPr>
      <w:r w:rsidRPr="004B6C01">
        <w:rPr>
          <w:lang w:val="en-AU"/>
        </w:rPr>
        <w:t>embedded the Framework for Improving Student Outcomes (FISO) to guide schools in ways to use school funding to get the best results and lift student achievement across the state. FISO supports schools to work through an improvement cycle that includes undertaking a School Review every four years, complete quality strategic and annual planning, select evidence-based interventions and monitor these interventions to understand their impact on improving student outcomes</w:t>
      </w:r>
    </w:p>
    <w:p w14:paraId="0AC86131" w14:textId="3C62E8A2" w:rsidR="00A61FF5" w:rsidRPr="004B6C01" w:rsidRDefault="00A61FF5" w:rsidP="00A61FF5">
      <w:pPr>
        <w:pStyle w:val="ESBullet1indent"/>
        <w:rPr>
          <w:lang w:val="en-AU"/>
        </w:rPr>
      </w:pPr>
      <w:r w:rsidRPr="004B6C01">
        <w:rPr>
          <w:lang w:val="en-AU"/>
        </w:rPr>
        <w:t>implemented equity funding reforms throughout 2016 and 2017 to provide targeted funding support for students in greates</w:t>
      </w:r>
      <w:r w:rsidR="00B32CE6">
        <w:rPr>
          <w:lang w:val="en-AU"/>
        </w:rPr>
        <w:t xml:space="preserve">t need, including through the </w:t>
      </w:r>
      <w:r w:rsidRPr="004B6C01">
        <w:rPr>
          <w:lang w:val="en-AU"/>
        </w:rPr>
        <w:t xml:space="preserve"> use of the new Student Family Occupation and Education Index (SFOE) to determine the amount of equity funding schools will receive</w:t>
      </w:r>
    </w:p>
    <w:p w14:paraId="444557DD" w14:textId="77777777" w:rsidR="00A61FF5" w:rsidRPr="004B6C01" w:rsidRDefault="00A61FF5" w:rsidP="00A61FF5">
      <w:pPr>
        <w:pStyle w:val="ESBullet1indent"/>
        <w:rPr>
          <w:lang w:val="en-AU"/>
        </w:rPr>
      </w:pPr>
      <w:r w:rsidRPr="004B6C01">
        <w:rPr>
          <w:lang w:val="en-AU"/>
        </w:rPr>
        <w:t>delivered the new Victorian Curriculum F–10, which specifies the skills children and young people need for success in work and life: literacy, numeracy, scientific knowledge and skills, resilience, respectful relationships, the use of digital technologies, and the capacity for critical and creative thinking and expression</w:t>
      </w:r>
    </w:p>
    <w:p w14:paraId="2D6C125F" w14:textId="77777777" w:rsidR="00A9593E" w:rsidRPr="004B6C01" w:rsidRDefault="00A61FF5" w:rsidP="00A61FF5">
      <w:pPr>
        <w:pStyle w:val="ESBullet1indent"/>
        <w:rPr>
          <w:lang w:val="en-AU"/>
        </w:rPr>
      </w:pPr>
      <w:r w:rsidRPr="004B6C01">
        <w:rPr>
          <w:lang w:val="en-AU"/>
        </w:rPr>
        <w:t>re-designed the Bastow Institute of Educational Leadership’s suite of professional learning to directly support and implement the Victorian Government’s Education State agenda. In 2016–17, there was an 18.6 per cent increase in the number of schools engaged in Bastow’s professional learning suite, with 4507 participants from 993 schools attending learning events (of whom 934 participated in regionally-delivered courses)</w:t>
      </w:r>
    </w:p>
    <w:p w14:paraId="7FC5C0E0" w14:textId="49064BAF" w:rsidR="00A61FF5" w:rsidRPr="004B6C01" w:rsidRDefault="002E5215" w:rsidP="00A61FF5">
      <w:pPr>
        <w:pStyle w:val="ESBullet1indent"/>
        <w:rPr>
          <w:lang w:val="en-AU"/>
        </w:rPr>
      </w:pPr>
      <w:r>
        <w:rPr>
          <w:lang w:val="en-AU"/>
        </w:rPr>
        <w:t>delivered</w:t>
      </w:r>
      <w:r w:rsidR="00A61FF5" w:rsidRPr="004B6C01">
        <w:rPr>
          <w:lang w:val="en-AU"/>
        </w:rPr>
        <w:t xml:space="preserve"> three Education State funded programs through Bastow including, the Wise – System Leaders program for network chairs, the Inspire – Local Leaders facilitator and training program for emerging leaders, and the Unlocking Potential program for aspirant principals. This represents over 1,200 educators involved in new leadership development opportunities to drive improvement across Victoria</w:t>
      </w:r>
    </w:p>
    <w:p w14:paraId="60854729" w14:textId="77777777" w:rsidR="00A61FF5" w:rsidRPr="004B6C01" w:rsidRDefault="00A61FF5" w:rsidP="00A61FF5">
      <w:pPr>
        <w:pStyle w:val="ESBullet1indent"/>
        <w:rPr>
          <w:lang w:val="en-AU"/>
        </w:rPr>
      </w:pPr>
      <w:r w:rsidRPr="004B6C01">
        <w:rPr>
          <w:lang w:val="en-AU"/>
        </w:rPr>
        <w:t>established Professional Learning Communities (PLCs) that provide the culture and structure teachers need to effectively collaborate, reflect on and evaluate the impact of their teaching on student learning, and determine whatways they can improve their professional practice. The PLC pilot program trained 200 instructional leaders and 130 school leaders in 2016, with hundreds more participating in 2017</w:t>
      </w:r>
    </w:p>
    <w:p w14:paraId="7407DE69" w14:textId="77777777" w:rsidR="00A61FF5" w:rsidRPr="004B6C01" w:rsidRDefault="00A61FF5" w:rsidP="00A61FF5">
      <w:pPr>
        <w:pStyle w:val="ESBullet1indent"/>
        <w:rPr>
          <w:lang w:val="en-AU"/>
        </w:rPr>
      </w:pPr>
      <w:r w:rsidRPr="004B6C01">
        <w:rPr>
          <w:lang w:val="en-AU"/>
        </w:rPr>
        <w:t>introduced the Insight Assessment platform in January 2017 to provide teachers, students and school assessment administrators with a range of quality online assessment tools across several learning areas. Insight captures data on students’ progress and achievement to help with analysis and interpretation to improve learning. Since January 2017, more than 188,000 assessments have been completed on the platform</w:t>
      </w:r>
    </w:p>
    <w:p w14:paraId="6CEC5F46" w14:textId="77777777" w:rsidR="00A61FF5" w:rsidRPr="004B6C01" w:rsidRDefault="00A61FF5" w:rsidP="00A61FF5">
      <w:pPr>
        <w:pStyle w:val="ESBullet1indent"/>
        <w:rPr>
          <w:lang w:val="en-AU"/>
        </w:rPr>
      </w:pPr>
      <w:r w:rsidRPr="004B6C01">
        <w:rPr>
          <w:lang w:val="en-AU"/>
        </w:rPr>
        <w:t>continued to implement the place-based approach to regional operations (Learning Places) by recruiting more than 150 additional staff to 17 area teams to provide multi-disciplinary support to schools, students and local communities. Since January 2017, around 800 school support services staff have been aligned with area teams</w:t>
      </w:r>
    </w:p>
    <w:p w14:paraId="430FE775" w14:textId="77777777" w:rsidR="00A61FF5" w:rsidRPr="004B6C01" w:rsidRDefault="00A61FF5" w:rsidP="00A61FF5">
      <w:pPr>
        <w:pStyle w:val="ESBullet1indent"/>
        <w:rPr>
          <w:lang w:val="en-AU"/>
        </w:rPr>
      </w:pPr>
      <w:r w:rsidRPr="004B6C01">
        <w:rPr>
          <w:lang w:val="en-AU"/>
        </w:rPr>
        <w:t>introduced the Literacy and Numeracy Strategy: Version 1 at the June 2017 Regional Principal Forums, along with the first in a suite of detailed school leadership and teaching resources for improving literacy and numeracy</w:t>
      </w:r>
    </w:p>
    <w:p w14:paraId="542F440D" w14:textId="77777777" w:rsidR="00A61FF5" w:rsidRPr="004B6C01" w:rsidRDefault="00A61FF5" w:rsidP="00A61FF5">
      <w:pPr>
        <w:pStyle w:val="ESBullet1indent"/>
        <w:rPr>
          <w:lang w:val="en-AU"/>
        </w:rPr>
      </w:pPr>
      <w:r w:rsidRPr="004B6C01">
        <w:rPr>
          <w:lang w:val="en-AU"/>
        </w:rPr>
        <w:t>delivered all nine initiatives of the Special Needs Plan for Victorian Government schools, including: building teachers’ capability for inclusive education, establishing a new Independent Office for School Dispute Resolution, and reviewing the Program for Students with Disabilities (PSD)</w:t>
      </w:r>
    </w:p>
    <w:p w14:paraId="34528AAE" w14:textId="2A1044BF" w:rsidR="00A61FF5" w:rsidRPr="004B6C01" w:rsidRDefault="00A61FF5" w:rsidP="00A61FF5">
      <w:pPr>
        <w:pStyle w:val="ESBullet1indent"/>
        <w:rPr>
          <w:lang w:val="en-AU"/>
        </w:rPr>
      </w:pPr>
      <w:r w:rsidRPr="004B6C01">
        <w:rPr>
          <w:lang w:val="en-AU"/>
        </w:rPr>
        <w:t>implemented a number of PSD review recommendations and committed to deliver, by the end of 2018, all 21 accepted recommendations under the Government’s inclusive education agenda. Reforms delivered since the PSD review in April 2016 include interim funding for students transitioning from Year</w:t>
      </w:r>
      <w:r w:rsidR="00932A90" w:rsidRPr="004B6C01">
        <w:rPr>
          <w:lang w:val="en-AU"/>
        </w:rPr>
        <w:t> </w:t>
      </w:r>
      <w:r w:rsidRPr="004B6C01">
        <w:rPr>
          <w:lang w:val="en-AU"/>
        </w:rPr>
        <w:t xml:space="preserve">6 to Year 7 who are no longer eligible for targeted PSD funding, a </w:t>
      </w:r>
      <w:r w:rsidRPr="004B6C01">
        <w:rPr>
          <w:color w:val="202020"/>
          <w:lang w:val="en-AU"/>
        </w:rPr>
        <w:t>funding boost to support students with autism, dyslexia and learning difficulties who are not eligible for PSD funding and the rollout of the Inclusive Schools Fund</w:t>
      </w:r>
    </w:p>
    <w:p w14:paraId="5D9EF486" w14:textId="77777777" w:rsidR="00A61FF5" w:rsidRPr="004B6C01" w:rsidRDefault="00A61FF5" w:rsidP="00A61FF5">
      <w:pPr>
        <w:pStyle w:val="ESBullet1indent"/>
        <w:rPr>
          <w:lang w:val="en-AU"/>
        </w:rPr>
      </w:pPr>
      <w:r w:rsidRPr="004B6C01">
        <w:rPr>
          <w:lang w:val="en-AU"/>
        </w:rPr>
        <w:t>finalised and released Marrung: Aboriginal Education Plan 2016–2026 to support improved outcomes for Koorie learners. Since the plan’s July 2016 release, more than 1200 people have participated in 15 Marrung forums co-hosted by the Department and the Victorian Aboriginal Education Association Incorporated (VAEAI). Work has also started on the 2016–17 Marrung budget initiatives including Children’s Koori Court Liaison Officers and the Extended Koorie Literacy and Numeracy Program</w:t>
      </w:r>
    </w:p>
    <w:p w14:paraId="3617A52D" w14:textId="77777777" w:rsidR="00A61FF5" w:rsidRPr="004B6C01" w:rsidRDefault="00A61FF5" w:rsidP="00A61FF5">
      <w:pPr>
        <w:pStyle w:val="ESBullet1indent"/>
        <w:rPr>
          <w:lang w:val="en-AU"/>
        </w:rPr>
      </w:pPr>
      <w:r w:rsidRPr="004B6C01">
        <w:rPr>
          <w:lang w:val="en-AU"/>
        </w:rPr>
        <w:t>opened the first of Victoria’s state-of-the-art Tech Schools, as part of the government’s $128 million commitment to build 10 Tech Schools across Victoria. The Yarra Ranges Tech School opened in April 2017 and is now delivering innovative Science Technology Engineering and Mathematics (STEM) learning programs to students from partner schools. The Monash Tech School will also open in 2017. Each Tech School is an innovative STEM community hub, owned and operated by a Victorian tertiary provider and governed in partnership by local schools, industry and other stakeholders. The remaining Tech Schools will open during 2018</w:t>
      </w:r>
    </w:p>
    <w:p w14:paraId="291F93B7" w14:textId="2E2FE2A7" w:rsidR="0055746F" w:rsidRPr="00B32CE6" w:rsidRDefault="0055746F" w:rsidP="00A61FF5">
      <w:pPr>
        <w:pStyle w:val="ESBullet1indent"/>
        <w:rPr>
          <w:lang w:val="en-AU"/>
        </w:rPr>
      </w:pPr>
      <w:r w:rsidRPr="00B32CE6">
        <w:rPr>
          <w:lang w:val="en-AU"/>
        </w:rPr>
        <w:t>built five new schools to meet Victoria’s growing demand, completed a further 29 modernisation and upgrade projects for existing schools</w:t>
      </w:r>
      <w:r w:rsidR="00525544" w:rsidRPr="00B32CE6">
        <w:rPr>
          <w:lang w:val="en-AU"/>
        </w:rPr>
        <w:t xml:space="preserve">, and </w:t>
      </w:r>
      <w:r w:rsidR="00B93F6D" w:rsidRPr="00B32CE6">
        <w:rPr>
          <w:lang w:val="en-AU"/>
        </w:rPr>
        <w:t>acquired five sites for new schools and site extensions</w:t>
      </w:r>
      <w:r w:rsidRPr="00B32CE6">
        <w:rPr>
          <w:lang w:val="en-AU"/>
        </w:rPr>
        <w:t xml:space="preserve"> </w:t>
      </w:r>
    </w:p>
    <w:p w14:paraId="442889C9" w14:textId="28F06356" w:rsidR="00A61FF5" w:rsidRPr="004B6C01" w:rsidRDefault="00A61FF5" w:rsidP="00A61FF5">
      <w:pPr>
        <w:pStyle w:val="ESBullet1indent"/>
        <w:rPr>
          <w:lang w:val="en-AU"/>
        </w:rPr>
      </w:pPr>
      <w:r w:rsidRPr="00B32CE6">
        <w:rPr>
          <w:lang w:val="en-AU"/>
        </w:rPr>
        <w:t>established four LOOKOUT Education Support Centres across Victoria to support the educational achievements of children and young people in out-of-home care. LOOKOUT centres trained more than 800 staff from government and Catholic schools to help them advocate for,</w:t>
      </w:r>
      <w:r w:rsidRPr="004B6C01">
        <w:rPr>
          <w:lang w:val="en-AU"/>
        </w:rPr>
        <w:t xml:space="preserve"> and support, students in out-of-home care so they can achieve educational success</w:t>
      </w:r>
    </w:p>
    <w:p w14:paraId="623AC713" w14:textId="77777777" w:rsidR="00A61FF5" w:rsidRPr="004B6C01" w:rsidRDefault="00A61FF5" w:rsidP="00A61FF5">
      <w:pPr>
        <w:pStyle w:val="ESBullet1indent"/>
        <w:rPr>
          <w:lang w:val="en-AU"/>
        </w:rPr>
      </w:pPr>
      <w:r w:rsidRPr="004B6C01">
        <w:rPr>
          <w:lang w:val="en-AU"/>
        </w:rPr>
        <w:t>established the Navigator pilot program that funds community sector organisations to provide intensive support for disengaged young people aged 12–17 to re-engage in education. Less than a year into operation, Navigator is supporting nearly 500 young people, 270 of whom have already returned to education.</w:t>
      </w:r>
    </w:p>
    <w:p w14:paraId="03F402B1" w14:textId="77777777" w:rsidR="00A61FF5" w:rsidRPr="004B6C01" w:rsidRDefault="00A61FF5" w:rsidP="00A61FF5">
      <w:pPr>
        <w:pStyle w:val="ESHeading3"/>
        <w:rPr>
          <w:lang w:val="en-AU"/>
        </w:rPr>
      </w:pPr>
      <w:r w:rsidRPr="004B6C01">
        <w:rPr>
          <w:lang w:val="en-AU"/>
        </w:rPr>
        <w:t>Training and skills</w:t>
      </w:r>
    </w:p>
    <w:p w14:paraId="4317EB29" w14:textId="77777777" w:rsidR="00A61FF5" w:rsidRPr="004B6C01" w:rsidRDefault="00A61FF5" w:rsidP="00A61FF5">
      <w:pPr>
        <w:pStyle w:val="ESBodyText"/>
        <w:rPr>
          <w:lang w:val="en-AU"/>
        </w:rPr>
      </w:pPr>
      <w:r w:rsidRPr="004B6C01">
        <w:rPr>
          <w:lang w:val="en-AU"/>
        </w:rPr>
        <w:t>To support the Education State system where every student receives the support they need to gain the skills industry needs, and employers expect, the Department has taken great steps to overhaul the TAFE system and set a high benchmark for training quality.</w:t>
      </w:r>
    </w:p>
    <w:p w14:paraId="07A559D7" w14:textId="77777777" w:rsidR="00A61FF5" w:rsidRPr="004B6C01" w:rsidRDefault="00A61FF5" w:rsidP="00A61FF5">
      <w:pPr>
        <w:pStyle w:val="ESBodyText"/>
        <w:rPr>
          <w:lang w:val="en-AU"/>
        </w:rPr>
      </w:pPr>
      <w:r w:rsidRPr="004B6C01">
        <w:rPr>
          <w:lang w:val="en-AU"/>
        </w:rPr>
        <w:t>In August 2016, the Department launched the Skills First reform agenda to ensure Victoria’s training and TAFE system offers high-quality training that is most likely to lead to employment. To progress Skills First reform implementation, the Department:</w:t>
      </w:r>
    </w:p>
    <w:p w14:paraId="6D744DB1" w14:textId="747207A4" w:rsidR="00A61FF5" w:rsidRPr="004B6C01" w:rsidRDefault="00A61FF5" w:rsidP="00A61FF5">
      <w:pPr>
        <w:pStyle w:val="ESBullet1indent"/>
        <w:rPr>
          <w:lang w:val="en-AU"/>
        </w:rPr>
      </w:pPr>
      <w:r w:rsidRPr="004B6C01">
        <w:rPr>
          <w:lang w:val="en-AU"/>
        </w:rPr>
        <w:t>developed a new, targeted Funded Course List to ensure that Victorian training subsidies target the skills industry needs to grow and meet future demands. The Department worked closely with industry and the Victorian Skills Commissioner to reduce the number of government-funded courses from 1</w:t>
      </w:r>
      <w:r w:rsidR="00C41000" w:rsidRPr="004B6C01">
        <w:rPr>
          <w:lang w:val="en-AU"/>
        </w:rPr>
        <w:t>,</w:t>
      </w:r>
      <w:r w:rsidRPr="004B6C01">
        <w:rPr>
          <w:lang w:val="en-AU"/>
        </w:rPr>
        <w:t>500 to just over 1</w:t>
      </w:r>
      <w:r w:rsidR="00C41000" w:rsidRPr="004B6C01">
        <w:rPr>
          <w:lang w:val="en-AU"/>
        </w:rPr>
        <w:t>,</w:t>
      </w:r>
      <w:r w:rsidRPr="004B6C01">
        <w:rPr>
          <w:lang w:val="en-AU"/>
        </w:rPr>
        <w:t>000</w:t>
      </w:r>
    </w:p>
    <w:p w14:paraId="21D56F2C" w14:textId="59A55514" w:rsidR="00A61FF5" w:rsidRPr="004B6C01" w:rsidRDefault="00A61FF5" w:rsidP="00A61FF5">
      <w:pPr>
        <w:pStyle w:val="ESBullet1indent"/>
        <w:rPr>
          <w:lang w:val="en-AU"/>
        </w:rPr>
      </w:pPr>
      <w:r w:rsidRPr="004B6C01">
        <w:rPr>
          <w:lang w:val="en-AU"/>
        </w:rPr>
        <w:t xml:space="preserve">introduced new subsidies that both support the delivery of </w:t>
      </w:r>
      <w:r w:rsidR="00BB15EE" w:rsidRPr="004B6C01">
        <w:rPr>
          <w:lang w:val="en-AU"/>
        </w:rPr>
        <w:t>high-</w:t>
      </w:r>
      <w:r w:rsidRPr="004B6C01">
        <w:rPr>
          <w:lang w:val="en-AU"/>
        </w:rPr>
        <w:t>quality training and reflect the true cost of training delivery</w:t>
      </w:r>
    </w:p>
    <w:p w14:paraId="1416A5CE" w14:textId="77777777" w:rsidR="00A61FF5" w:rsidRPr="004B6C01" w:rsidRDefault="00A61FF5" w:rsidP="00A61FF5">
      <w:pPr>
        <w:pStyle w:val="ESBullet1indent"/>
        <w:rPr>
          <w:lang w:val="en-AU"/>
        </w:rPr>
      </w:pPr>
      <w:r w:rsidRPr="004B6C01">
        <w:rPr>
          <w:lang w:val="en-AU"/>
        </w:rPr>
        <w:t>selected Skills First training providers through a rigorous selection process that reviewed expressions of interest against stringent criteria. As a result, only the highest quality training providers delivering industry-relevant courses were contracted to deliver government</w:t>
      </w:r>
      <w:r w:rsidRPr="004B6C01">
        <w:rPr>
          <w:lang w:val="en-AU"/>
        </w:rPr>
        <w:noBreakHyphen/>
        <w:t>subsidised training</w:t>
      </w:r>
    </w:p>
    <w:p w14:paraId="43E399DD" w14:textId="77777777" w:rsidR="00A61FF5" w:rsidRPr="004B6C01" w:rsidRDefault="00A61FF5" w:rsidP="00A61FF5">
      <w:pPr>
        <w:pStyle w:val="ESBullet1indent"/>
        <w:rPr>
          <w:lang w:val="en-AU"/>
        </w:rPr>
      </w:pPr>
      <w:r w:rsidRPr="004B6C01">
        <w:rPr>
          <w:lang w:val="en-AU"/>
        </w:rPr>
        <w:t>added targeted funding streams to subsidised training funding to: encourage businesses and training providers to work together to find new ways to train for new types of work; support high needs learners to access training and succeed; and extend training provision into specialised areas experiencing shortages</w:t>
      </w:r>
    </w:p>
    <w:p w14:paraId="57121421" w14:textId="5491A2ED" w:rsidR="00A9593E" w:rsidRPr="004B6C01" w:rsidRDefault="00A61FF5" w:rsidP="00A61FF5">
      <w:pPr>
        <w:pStyle w:val="ESBullet1indent"/>
        <w:rPr>
          <w:lang w:val="en-AU"/>
        </w:rPr>
      </w:pPr>
      <w:r w:rsidRPr="004B6C01">
        <w:rPr>
          <w:lang w:val="en-AU"/>
        </w:rPr>
        <w:t>provided additional funding to restore the reputation, position and financial viability of TAFEs as providers of genuinely valuable educational experiences and outcomes. Between 2</w:t>
      </w:r>
      <w:r w:rsidR="00B32CE6">
        <w:rPr>
          <w:lang w:val="en-AU"/>
        </w:rPr>
        <w:t>015 and 2016, the TAFE and dual</w:t>
      </w:r>
      <w:r w:rsidRPr="004B6C01">
        <w:rPr>
          <w:lang w:val="en-AU"/>
        </w:rPr>
        <w:noBreakHyphen/>
        <w:t>sector market share of government-funded students increased from 31 per cent to 37 per cent. Preliminary data at 30 June 2017 shows an increase to 45 per cent of market share the introduction of since reforms were introduced</w:t>
      </w:r>
    </w:p>
    <w:p w14:paraId="4CE337C7" w14:textId="26098A79" w:rsidR="00A61FF5" w:rsidRPr="004B6C01" w:rsidRDefault="00A61FF5" w:rsidP="00A61FF5">
      <w:pPr>
        <w:pStyle w:val="ESBullet1indent"/>
        <w:rPr>
          <w:lang w:val="en-AU"/>
        </w:rPr>
      </w:pPr>
      <w:r w:rsidRPr="004B6C01">
        <w:rPr>
          <w:lang w:val="en-AU"/>
        </w:rPr>
        <w:t>improved the apprenticeship retention rate by providing apprentices with the support they need to finish their training and get the jobs they want. A new Apprenticeship and Traineeship Taskforce was established in May 2017. The taskforce, chaired by the Victorian Skills Commissioner with members drawn from industry, employers, training organisations and unions, will look at what stops employers from hiring apprentices or trainees.</w:t>
      </w:r>
    </w:p>
    <w:p w14:paraId="43DF9932" w14:textId="0A287801" w:rsidR="00A61FF5" w:rsidRPr="004B6C01" w:rsidRDefault="00A61FF5" w:rsidP="00A61FF5">
      <w:pPr>
        <w:rPr>
          <w:color w:val="000000" w:themeColor="text1"/>
          <w:spacing w:val="5"/>
          <w:kern w:val="28"/>
          <w:sz w:val="28"/>
          <w:lang w:val="en-AU"/>
        </w:rPr>
      </w:pPr>
      <w:r w:rsidRPr="004B6C01">
        <w:rPr>
          <w:rFonts w:ascii="Arial" w:eastAsiaTheme="minorEastAsia" w:hAnsi="Arial" w:cs="Arial"/>
          <w:sz w:val="19"/>
          <w:szCs w:val="18"/>
          <w:lang w:val="en-AU"/>
        </w:rPr>
        <w:t>It has been a successful year of reform and implementation across the broad range of services and sectors the Department drives and supports. Underpinned by a set of ambitious, yet achievable system-wide targets, the Department continues to position Victoria to become the Education State.</w:t>
      </w:r>
      <w:r w:rsidRPr="004B6C01">
        <w:rPr>
          <w:lang w:val="en-AU"/>
        </w:rPr>
        <w:br w:type="page"/>
      </w:r>
    </w:p>
    <w:p w14:paraId="7404ED13" w14:textId="1A563078" w:rsidR="00A61FF5" w:rsidRPr="004B6C01" w:rsidRDefault="00A61FF5" w:rsidP="00D2232D">
      <w:pPr>
        <w:pStyle w:val="ESHeading2"/>
      </w:pPr>
      <w:bookmarkStart w:id="52" w:name="_Toc489526698"/>
      <w:bookmarkStart w:id="53" w:name="_Toc491070297"/>
      <w:bookmarkStart w:id="54" w:name="_Toc491409523"/>
      <w:bookmarkStart w:id="55" w:name="_Toc491414652"/>
      <w:r w:rsidRPr="004B6C01">
        <w:t>Objectives, indicators and outputs</w:t>
      </w:r>
      <w:bookmarkEnd w:id="49"/>
      <w:bookmarkEnd w:id="50"/>
      <w:bookmarkEnd w:id="51"/>
      <w:bookmarkEnd w:id="52"/>
      <w:bookmarkEnd w:id="53"/>
      <w:bookmarkEnd w:id="54"/>
      <w:bookmarkEnd w:id="55"/>
    </w:p>
    <w:p w14:paraId="7C07F0E7" w14:textId="77777777" w:rsidR="00A61FF5" w:rsidRPr="004B6C01" w:rsidRDefault="00A61FF5" w:rsidP="00A61FF5">
      <w:pPr>
        <w:pStyle w:val="ESBodyText"/>
        <w:rPr>
          <w:lang w:val="en-AU"/>
        </w:rPr>
      </w:pPr>
      <w:r w:rsidRPr="004B6C01">
        <w:rPr>
          <w:lang w:val="en-AU"/>
        </w:rPr>
        <w:t>The Department’s progress is reported under the objectives, outputs and indicators set out in the 2016–17 State Budget Paper No. 3 Service Delivery (BP3). These are shown in the table below.</w:t>
      </w:r>
    </w:p>
    <w:p w14:paraId="57B1C9A0" w14:textId="77777777" w:rsidR="00A61FF5" w:rsidRPr="004B6C01" w:rsidRDefault="00A61FF5" w:rsidP="00A61FF5">
      <w:pPr>
        <w:pStyle w:val="ESHeading3"/>
        <w:rPr>
          <w:lang w:val="en-AU"/>
        </w:rPr>
      </w:pPr>
      <w:r w:rsidRPr="004B6C01">
        <w:rPr>
          <w:lang w:val="en-AU"/>
        </w:rPr>
        <w:t>Progress and performance reporting</w:t>
      </w:r>
    </w:p>
    <w:p w14:paraId="5A90D4C4" w14:textId="05AEF62C" w:rsidR="00A61FF5" w:rsidRPr="004B6C01" w:rsidRDefault="00A61FF5" w:rsidP="0071036F">
      <w:pPr>
        <w:pStyle w:val="ESBodyText"/>
        <w:rPr>
          <w:lang w:val="en-AU"/>
        </w:rPr>
      </w:pPr>
      <w:r w:rsidRPr="004B6C01">
        <w:rPr>
          <w:lang w:val="en-AU"/>
        </w:rPr>
        <w:t xml:space="preserve">The Department’s progress towards the BP3 objectives and indicators is reported on pages </w:t>
      </w:r>
      <w:r w:rsidR="00096460" w:rsidRPr="004B6C01">
        <w:rPr>
          <w:lang w:val="en-AU"/>
        </w:rPr>
        <w:fldChar w:fldCharType="begin"/>
      </w:r>
      <w:r w:rsidR="00096460" w:rsidRPr="004B6C01">
        <w:rPr>
          <w:lang w:val="en-AU"/>
        </w:rPr>
        <w:instrText xml:space="preserve"> PAGEREF BP3_start </w:instrText>
      </w:r>
      <w:r w:rsidR="00096460" w:rsidRPr="004B6C01">
        <w:rPr>
          <w:lang w:val="en-AU"/>
        </w:rPr>
        <w:fldChar w:fldCharType="separate"/>
      </w:r>
      <w:r w:rsidR="002F40DB">
        <w:rPr>
          <w:noProof/>
          <w:lang w:val="en-AU"/>
        </w:rPr>
        <w:t>14</w:t>
      </w:r>
      <w:r w:rsidR="00096460" w:rsidRPr="004B6C01">
        <w:rPr>
          <w:lang w:val="en-AU"/>
        </w:rPr>
        <w:fldChar w:fldCharType="end"/>
      </w:r>
      <w:r w:rsidR="00031BCF" w:rsidRPr="004B6C01">
        <w:rPr>
          <w:lang w:val="en-AU"/>
        </w:rPr>
        <w:t>–</w:t>
      </w:r>
      <w:r w:rsidR="0071036F" w:rsidRPr="004B6C01">
        <w:rPr>
          <w:lang w:val="en-AU"/>
        </w:rPr>
        <w:fldChar w:fldCharType="begin"/>
      </w:r>
      <w:r w:rsidR="0071036F" w:rsidRPr="004B6C01">
        <w:rPr>
          <w:lang w:val="en-AU"/>
        </w:rPr>
        <w:instrText xml:space="preserve"> PAGEREF BP3_end </w:instrText>
      </w:r>
      <w:r w:rsidR="0071036F" w:rsidRPr="004B6C01">
        <w:rPr>
          <w:lang w:val="en-AU"/>
        </w:rPr>
        <w:fldChar w:fldCharType="separate"/>
      </w:r>
      <w:r w:rsidR="002F40DB">
        <w:rPr>
          <w:noProof/>
          <w:lang w:val="en-AU"/>
        </w:rPr>
        <w:t>24</w:t>
      </w:r>
      <w:r w:rsidR="0071036F" w:rsidRPr="004B6C01">
        <w:rPr>
          <w:lang w:val="en-AU"/>
        </w:rPr>
        <w:fldChar w:fldCharType="end"/>
      </w:r>
      <w:r w:rsidRPr="004B6C01">
        <w:rPr>
          <w:lang w:val="en-AU"/>
        </w:rPr>
        <w:t>.</w:t>
      </w:r>
    </w:p>
    <w:p w14:paraId="013F54A6" w14:textId="797C6E54" w:rsidR="00A61FF5" w:rsidRPr="004B6C01" w:rsidRDefault="00A61FF5" w:rsidP="00A61FF5">
      <w:pPr>
        <w:pStyle w:val="ESBodyText"/>
        <w:rPr>
          <w:lang w:val="en-AU"/>
        </w:rPr>
      </w:pPr>
      <w:r w:rsidRPr="004B6C01">
        <w:rPr>
          <w:lang w:val="en-AU"/>
        </w:rPr>
        <w:t xml:space="preserve">There is a range of performance measures for each output. The Department’s performance against the output performance measures is reported on pages </w:t>
      </w:r>
      <w:r w:rsidR="0071036F" w:rsidRPr="004B6C01">
        <w:rPr>
          <w:lang w:val="en-AU"/>
        </w:rPr>
        <w:fldChar w:fldCharType="begin"/>
      </w:r>
      <w:r w:rsidR="0071036F" w:rsidRPr="004B6C01">
        <w:rPr>
          <w:lang w:val="en-AU"/>
        </w:rPr>
        <w:instrText xml:space="preserve"> PAGEREF Outputs_start </w:instrText>
      </w:r>
      <w:r w:rsidR="0071036F" w:rsidRPr="004B6C01">
        <w:rPr>
          <w:lang w:val="en-AU"/>
        </w:rPr>
        <w:fldChar w:fldCharType="separate"/>
      </w:r>
      <w:r w:rsidR="002F40DB">
        <w:rPr>
          <w:noProof/>
          <w:lang w:val="en-AU"/>
        </w:rPr>
        <w:t>25</w:t>
      </w:r>
      <w:r w:rsidR="0071036F" w:rsidRPr="004B6C01">
        <w:rPr>
          <w:lang w:val="en-AU"/>
        </w:rPr>
        <w:fldChar w:fldCharType="end"/>
      </w:r>
      <w:r w:rsidRPr="004B6C01">
        <w:rPr>
          <w:lang w:val="en-AU"/>
        </w:rPr>
        <w:t>.</w:t>
      </w:r>
    </w:p>
    <w:p w14:paraId="33BD6026" w14:textId="7FF548DE" w:rsidR="007A19CB" w:rsidRPr="004B6C01" w:rsidRDefault="009A0DF2"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2</w:t>
      </w:r>
      <w:r w:rsidR="00D93BA2" w:rsidRPr="004B6C01">
        <w:rPr>
          <w:noProof/>
          <w:lang w:val="en-AU"/>
        </w:rPr>
        <w:fldChar w:fldCharType="end"/>
      </w:r>
      <w:r w:rsidRPr="004B6C01">
        <w:rPr>
          <w:lang w:val="en-AU"/>
        </w:rPr>
        <w:t xml:space="preserve"> – Departmental objectives, indicators and linked outputs (BP3)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454"/>
        <w:gridCol w:w="2455"/>
        <w:gridCol w:w="2455"/>
      </w:tblGrid>
      <w:tr w:rsidR="00A61FF5" w:rsidRPr="00932A90" w14:paraId="2A6872C0" w14:textId="77777777" w:rsidTr="00003796">
        <w:trPr>
          <w:tblHeader/>
        </w:trPr>
        <w:tc>
          <w:tcPr>
            <w:tcW w:w="1666" w:type="pct"/>
            <w:tcBorders>
              <w:top w:val="nil"/>
              <w:left w:val="nil"/>
              <w:bottom w:val="nil"/>
              <w:right w:val="nil"/>
            </w:tcBorders>
            <w:shd w:val="clear" w:color="auto" w:fill="7F7F7F" w:themeFill="text1" w:themeFillTint="80"/>
            <w:vAlign w:val="center"/>
          </w:tcPr>
          <w:p w14:paraId="7365E511" w14:textId="77777777" w:rsidR="00A61FF5" w:rsidRPr="004B6C01" w:rsidRDefault="00A61FF5" w:rsidP="00CA0CAF">
            <w:pPr>
              <w:pStyle w:val="ESTableheadingwhite"/>
              <w:rPr>
                <w:lang w:val="en-AU"/>
              </w:rPr>
            </w:pPr>
            <w:r w:rsidRPr="004B6C01">
              <w:rPr>
                <w:lang w:val="en-AU"/>
              </w:rPr>
              <w:t>Objectives</w:t>
            </w:r>
          </w:p>
        </w:tc>
        <w:tc>
          <w:tcPr>
            <w:tcW w:w="1667" w:type="pct"/>
            <w:tcBorders>
              <w:top w:val="nil"/>
              <w:left w:val="nil"/>
              <w:bottom w:val="nil"/>
              <w:right w:val="nil"/>
            </w:tcBorders>
            <w:shd w:val="clear" w:color="auto" w:fill="7F7F7F" w:themeFill="text1" w:themeFillTint="80"/>
          </w:tcPr>
          <w:p w14:paraId="2711C03A" w14:textId="77777777" w:rsidR="00A61FF5" w:rsidRPr="004B6C01" w:rsidRDefault="00A61FF5" w:rsidP="00CA0CAF">
            <w:pPr>
              <w:pStyle w:val="ESTableheadingwhite"/>
              <w:rPr>
                <w:lang w:val="en-AU"/>
              </w:rPr>
            </w:pPr>
            <w:r w:rsidRPr="004B6C01">
              <w:rPr>
                <w:lang w:val="en-AU"/>
              </w:rPr>
              <w:t>Indicators</w:t>
            </w:r>
          </w:p>
        </w:tc>
        <w:tc>
          <w:tcPr>
            <w:tcW w:w="1667" w:type="pct"/>
            <w:tcBorders>
              <w:top w:val="nil"/>
              <w:left w:val="nil"/>
              <w:bottom w:val="nil"/>
              <w:right w:val="nil"/>
            </w:tcBorders>
            <w:shd w:val="clear" w:color="auto" w:fill="7F7F7F" w:themeFill="text1" w:themeFillTint="80"/>
          </w:tcPr>
          <w:p w14:paraId="6F083F11" w14:textId="77777777" w:rsidR="00A61FF5" w:rsidRPr="004B6C01" w:rsidRDefault="00A61FF5" w:rsidP="00CA0CAF">
            <w:pPr>
              <w:pStyle w:val="ESTableheadingwhite"/>
              <w:rPr>
                <w:lang w:val="en-AU"/>
              </w:rPr>
            </w:pPr>
            <w:r w:rsidRPr="004B6C01">
              <w:rPr>
                <w:lang w:val="en-AU"/>
              </w:rPr>
              <w:t>Outputs</w:t>
            </w:r>
          </w:p>
        </w:tc>
      </w:tr>
      <w:tr w:rsidR="00A61FF5" w:rsidRPr="00932A90" w14:paraId="4D5D6EDA" w14:textId="77777777" w:rsidTr="00003796">
        <w:tc>
          <w:tcPr>
            <w:tcW w:w="1666" w:type="pct"/>
            <w:tcBorders>
              <w:top w:val="nil"/>
              <w:left w:val="nil"/>
              <w:bottom w:val="single" w:sz="4" w:space="0" w:color="auto"/>
              <w:right w:val="nil"/>
            </w:tcBorders>
          </w:tcPr>
          <w:p w14:paraId="04070818" w14:textId="77777777" w:rsidR="00A61FF5" w:rsidRPr="004B6C01" w:rsidRDefault="00A61FF5" w:rsidP="00CA0CAF">
            <w:pPr>
              <w:pStyle w:val="ESTableheading"/>
              <w:keepNext w:val="0"/>
              <w:rPr>
                <w:lang w:val="en-AU"/>
              </w:rPr>
            </w:pPr>
            <w:r w:rsidRPr="004B6C01">
              <w:rPr>
                <w:lang w:val="en-AU"/>
              </w:rPr>
              <w:t>Achievement</w:t>
            </w:r>
          </w:p>
          <w:p w14:paraId="1CCE3A1E" w14:textId="77777777" w:rsidR="00A61FF5" w:rsidRPr="004B6C01" w:rsidRDefault="00A61FF5" w:rsidP="00CA0CAF">
            <w:pPr>
              <w:pStyle w:val="ESTableBody"/>
              <w:rPr>
                <w:lang w:val="en-AU"/>
              </w:rPr>
            </w:pPr>
            <w:r w:rsidRPr="004B6C01">
              <w:rPr>
                <w:lang w:val="en-AU"/>
              </w:rPr>
              <w:t>Raise standards of learning and development achieved by Victorians using education, training, development and child health services.</w:t>
            </w:r>
          </w:p>
        </w:tc>
        <w:tc>
          <w:tcPr>
            <w:tcW w:w="1667" w:type="pct"/>
            <w:tcBorders>
              <w:top w:val="nil"/>
              <w:left w:val="nil"/>
              <w:bottom w:val="single" w:sz="4" w:space="0" w:color="auto"/>
              <w:right w:val="nil"/>
            </w:tcBorders>
          </w:tcPr>
          <w:p w14:paraId="2E98499F" w14:textId="77777777" w:rsidR="00A61FF5" w:rsidRPr="004B6C01" w:rsidRDefault="00A61FF5" w:rsidP="00CA0CAF">
            <w:pPr>
              <w:pStyle w:val="ESTablebullet1"/>
              <w:rPr>
                <w:lang w:val="en-AU"/>
              </w:rPr>
            </w:pPr>
            <w:r w:rsidRPr="004B6C01">
              <w:rPr>
                <w:lang w:val="en-AU"/>
              </w:rPr>
              <w:t>Children developmentally ‘on track’ on the Australian Early Development Census (AEDC) in the language and cognitive skills domains</w:t>
            </w:r>
          </w:p>
          <w:p w14:paraId="234D1F7F" w14:textId="10FAF6C8" w:rsidR="00A61FF5" w:rsidRPr="004B6C01" w:rsidRDefault="00A61FF5" w:rsidP="00CA0CAF">
            <w:pPr>
              <w:pStyle w:val="ESTablebullet1"/>
              <w:rPr>
                <w:lang w:val="en-AU"/>
              </w:rPr>
            </w:pPr>
            <w:r w:rsidRPr="004B6C01">
              <w:rPr>
                <w:lang w:val="en-AU"/>
              </w:rPr>
              <w:t>Proportion of early childhood services meeting or exceeding National Quality Standard Area 1 (NQSA1</w:t>
            </w:r>
            <w:r w:rsidR="003761CC" w:rsidRPr="004B6C01">
              <w:rPr>
                <w:lang w:val="en-AU"/>
              </w:rPr>
              <w:t>—</w:t>
            </w:r>
            <w:r w:rsidRPr="004B6C01">
              <w:rPr>
                <w:lang w:val="en-AU"/>
              </w:rPr>
              <w:t>Education program and practice)</w:t>
            </w:r>
          </w:p>
          <w:p w14:paraId="60BE1098" w14:textId="77777777" w:rsidR="00A61FF5" w:rsidRPr="004B6C01" w:rsidRDefault="00A61FF5" w:rsidP="00CA0CAF">
            <w:pPr>
              <w:pStyle w:val="ESTablebullet1"/>
              <w:rPr>
                <w:lang w:val="en-AU"/>
              </w:rPr>
            </w:pPr>
            <w:r w:rsidRPr="004B6C01">
              <w:rPr>
                <w:lang w:val="en-AU"/>
              </w:rPr>
              <w:t>Students meeting the expected standard in national and international literacy and numeracy assessment</w:t>
            </w:r>
          </w:p>
          <w:p w14:paraId="768F7FAA" w14:textId="77777777" w:rsidR="00A61FF5" w:rsidRPr="004B6C01" w:rsidRDefault="00A61FF5" w:rsidP="00CA0CAF">
            <w:pPr>
              <w:pStyle w:val="ESTablebullet1"/>
              <w:rPr>
                <w:lang w:val="en-AU"/>
              </w:rPr>
            </w:pPr>
            <w:r w:rsidRPr="004B6C01">
              <w:rPr>
                <w:lang w:val="en-AU"/>
              </w:rPr>
              <w:t>Average score in Science (PISA 15</w:t>
            </w:r>
            <w:r w:rsidRPr="004B6C01">
              <w:rPr>
                <w:lang w:val="en-AU"/>
              </w:rPr>
              <w:noBreakHyphen/>
              <w:t>year-olds) in Victoria compared to global top performers</w:t>
            </w:r>
          </w:p>
          <w:p w14:paraId="7A21A4E6" w14:textId="77777777" w:rsidR="00A61FF5" w:rsidRPr="004B6C01" w:rsidRDefault="00A61FF5" w:rsidP="00CA0CAF">
            <w:pPr>
              <w:pStyle w:val="ESTablebullet1"/>
              <w:rPr>
                <w:lang w:val="en-AU"/>
              </w:rPr>
            </w:pPr>
            <w:r w:rsidRPr="004B6C01">
              <w:rPr>
                <w:lang w:val="en-AU"/>
              </w:rPr>
              <w:t>Percentage of positive responses to teacher collaboration within school</w:t>
            </w:r>
          </w:p>
          <w:p w14:paraId="77C00D67" w14:textId="77777777" w:rsidR="00A61FF5" w:rsidRPr="004B6C01" w:rsidRDefault="00A61FF5" w:rsidP="00CA0CAF">
            <w:pPr>
              <w:pStyle w:val="ESTablebullet1"/>
              <w:rPr>
                <w:lang w:val="en-AU"/>
              </w:rPr>
            </w:pPr>
            <w:r w:rsidRPr="004B6C01">
              <w:rPr>
                <w:lang w:val="en-AU"/>
              </w:rPr>
              <w:t>Year 12 or equivalent completion rates of young people</w:t>
            </w:r>
          </w:p>
          <w:p w14:paraId="1DCF2061" w14:textId="77777777" w:rsidR="00A61FF5" w:rsidRPr="004B6C01" w:rsidRDefault="00A61FF5" w:rsidP="00CA0CAF">
            <w:pPr>
              <w:pStyle w:val="ESTablebullet1"/>
              <w:rPr>
                <w:lang w:val="en-AU"/>
              </w:rPr>
            </w:pPr>
            <w:r w:rsidRPr="004B6C01">
              <w:rPr>
                <w:lang w:val="en-AU"/>
              </w:rPr>
              <w:t>Vocational Education and Training (VET) course completions</w:t>
            </w:r>
          </w:p>
          <w:p w14:paraId="2E19FBBC" w14:textId="77777777" w:rsidR="00A61FF5" w:rsidRPr="004B6C01" w:rsidRDefault="00A61FF5" w:rsidP="00CA0CAF">
            <w:pPr>
              <w:pStyle w:val="ESTablebullet1"/>
              <w:rPr>
                <w:lang w:val="en-AU"/>
              </w:rPr>
            </w:pPr>
            <w:r w:rsidRPr="004B6C01">
              <w:rPr>
                <w:lang w:val="en-AU"/>
              </w:rPr>
              <w:t>Certificate III or above course completions</w:t>
            </w:r>
          </w:p>
          <w:p w14:paraId="35DB349D" w14:textId="77777777" w:rsidR="00A61FF5" w:rsidRPr="004B6C01" w:rsidRDefault="00A61FF5" w:rsidP="00CA0CAF">
            <w:pPr>
              <w:pStyle w:val="ESTablebullet1"/>
              <w:rPr>
                <w:lang w:val="en-AU"/>
              </w:rPr>
            </w:pPr>
            <w:r w:rsidRPr="004B6C01">
              <w:rPr>
                <w:lang w:val="en-AU"/>
              </w:rPr>
              <w:t>Proportions of graduates with improved employment status after training.</w:t>
            </w:r>
          </w:p>
        </w:tc>
        <w:tc>
          <w:tcPr>
            <w:tcW w:w="1667" w:type="pct"/>
            <w:tcBorders>
              <w:top w:val="nil"/>
              <w:left w:val="nil"/>
              <w:bottom w:val="single" w:sz="4" w:space="0" w:color="auto"/>
              <w:right w:val="nil"/>
            </w:tcBorders>
          </w:tcPr>
          <w:p w14:paraId="357E324B" w14:textId="77777777" w:rsidR="00A61FF5" w:rsidRPr="004B6C01" w:rsidRDefault="00A61FF5" w:rsidP="00CA0CAF">
            <w:pPr>
              <w:pStyle w:val="ESTablebullet1"/>
              <w:rPr>
                <w:lang w:val="en-AU"/>
              </w:rPr>
            </w:pPr>
            <w:r w:rsidRPr="004B6C01">
              <w:rPr>
                <w:lang w:val="en-AU"/>
              </w:rPr>
              <w:t>Strategy, Review and Regulation</w:t>
            </w:r>
          </w:p>
          <w:p w14:paraId="455C371F" w14:textId="77777777" w:rsidR="00A61FF5" w:rsidRPr="004B6C01" w:rsidRDefault="00A61FF5" w:rsidP="00CA0CAF">
            <w:pPr>
              <w:pStyle w:val="ESTablebullet1"/>
              <w:rPr>
                <w:lang w:val="en-AU"/>
              </w:rPr>
            </w:pPr>
            <w:r w:rsidRPr="004B6C01">
              <w:rPr>
                <w:lang w:val="en-AU"/>
              </w:rPr>
              <w:t>Early Childhood Development</w:t>
            </w:r>
          </w:p>
          <w:p w14:paraId="7DBB6BDC" w14:textId="77777777" w:rsidR="00A61FF5" w:rsidRPr="004B6C01" w:rsidRDefault="00A61FF5" w:rsidP="00CA0CAF">
            <w:pPr>
              <w:pStyle w:val="ESTablebullet1"/>
              <w:rPr>
                <w:lang w:val="en-AU"/>
              </w:rPr>
            </w:pPr>
            <w:r w:rsidRPr="004B6C01">
              <w:rPr>
                <w:lang w:val="en-AU"/>
              </w:rPr>
              <w:t>School Education—Primary</w:t>
            </w:r>
          </w:p>
          <w:p w14:paraId="1A25E1B1" w14:textId="77777777" w:rsidR="00A61FF5" w:rsidRPr="004B6C01" w:rsidRDefault="00A61FF5" w:rsidP="00CA0CAF">
            <w:pPr>
              <w:pStyle w:val="ESTablebullet1"/>
              <w:rPr>
                <w:lang w:val="en-AU"/>
              </w:rPr>
            </w:pPr>
            <w:r w:rsidRPr="004B6C01">
              <w:rPr>
                <w:lang w:val="en-AU"/>
              </w:rPr>
              <w:t>School Education—Secondary</w:t>
            </w:r>
          </w:p>
          <w:p w14:paraId="3A500610" w14:textId="77777777" w:rsidR="00A61FF5" w:rsidRPr="004B6C01" w:rsidRDefault="00A61FF5" w:rsidP="00CA0CAF">
            <w:pPr>
              <w:pStyle w:val="ESTablebullet1"/>
              <w:rPr>
                <w:lang w:val="en-AU"/>
              </w:rPr>
            </w:pPr>
            <w:r w:rsidRPr="004B6C01">
              <w:rPr>
                <w:lang w:val="en-AU"/>
              </w:rPr>
              <w:t>Training, Higher Education, Workforce Development and Skills</w:t>
            </w:r>
          </w:p>
          <w:p w14:paraId="2B056795" w14:textId="77777777" w:rsidR="00A61FF5" w:rsidRPr="004B6C01" w:rsidRDefault="00A61FF5" w:rsidP="00CA0CAF">
            <w:pPr>
              <w:pStyle w:val="ESTablebullet1"/>
              <w:rPr>
                <w:lang w:val="en-AU"/>
              </w:rPr>
            </w:pPr>
            <w:r w:rsidRPr="004B6C01">
              <w:rPr>
                <w:lang w:val="en-AU"/>
              </w:rPr>
              <w:t>Support Services Delivery</w:t>
            </w:r>
          </w:p>
          <w:p w14:paraId="09639BD2" w14:textId="77777777" w:rsidR="00A61FF5" w:rsidRPr="004B6C01" w:rsidRDefault="00A61FF5" w:rsidP="00CA0CAF">
            <w:pPr>
              <w:pStyle w:val="ESTablebullet1"/>
              <w:rPr>
                <w:lang w:val="en-AU"/>
              </w:rPr>
            </w:pPr>
            <w:r w:rsidRPr="004B6C01">
              <w:rPr>
                <w:lang w:val="en-AU"/>
              </w:rPr>
              <w:t>Support for Students with Disabilities.</w:t>
            </w:r>
          </w:p>
        </w:tc>
      </w:tr>
      <w:tr w:rsidR="00A61FF5" w:rsidRPr="00932A90" w14:paraId="3E0C78AA" w14:textId="77777777" w:rsidTr="00003796">
        <w:tc>
          <w:tcPr>
            <w:tcW w:w="1666" w:type="pct"/>
            <w:tcBorders>
              <w:top w:val="single" w:sz="4" w:space="0" w:color="auto"/>
              <w:left w:val="nil"/>
              <w:bottom w:val="single" w:sz="4" w:space="0" w:color="auto"/>
              <w:right w:val="nil"/>
            </w:tcBorders>
          </w:tcPr>
          <w:p w14:paraId="14727771" w14:textId="77777777" w:rsidR="00A61FF5" w:rsidRPr="004B6C01" w:rsidRDefault="00A61FF5" w:rsidP="00CA0CAF">
            <w:pPr>
              <w:pStyle w:val="ESTableheading"/>
              <w:rPr>
                <w:lang w:val="en-AU"/>
              </w:rPr>
            </w:pPr>
            <w:r w:rsidRPr="004B6C01">
              <w:rPr>
                <w:lang w:val="en-AU"/>
              </w:rPr>
              <w:t>Engagement</w:t>
            </w:r>
          </w:p>
          <w:p w14:paraId="065CE027" w14:textId="77777777" w:rsidR="00A61FF5" w:rsidRPr="004B6C01" w:rsidRDefault="00A61FF5" w:rsidP="00CA0CAF">
            <w:pPr>
              <w:pStyle w:val="ESTableBody"/>
              <w:keepNext/>
              <w:keepLines/>
              <w:rPr>
                <w:lang w:val="en-AU"/>
              </w:rPr>
            </w:pPr>
            <w:r w:rsidRPr="004B6C01">
              <w:rPr>
                <w:lang w:val="en-AU"/>
              </w:rPr>
              <w:t>Increase the number of Victorians actively participating in education, training, development and child health services.</w:t>
            </w:r>
          </w:p>
        </w:tc>
        <w:tc>
          <w:tcPr>
            <w:tcW w:w="1667" w:type="pct"/>
            <w:tcBorders>
              <w:top w:val="single" w:sz="4" w:space="0" w:color="auto"/>
              <w:left w:val="nil"/>
              <w:bottom w:val="single" w:sz="4" w:space="0" w:color="auto"/>
              <w:right w:val="nil"/>
            </w:tcBorders>
          </w:tcPr>
          <w:p w14:paraId="340FF131" w14:textId="77777777" w:rsidR="00A61FF5" w:rsidRPr="004B6C01" w:rsidRDefault="00A61FF5" w:rsidP="00CA0CAF">
            <w:pPr>
              <w:pStyle w:val="ESTablebullet1"/>
              <w:keepNext/>
              <w:keepLines/>
              <w:rPr>
                <w:lang w:val="en-AU"/>
              </w:rPr>
            </w:pPr>
            <w:r w:rsidRPr="004B6C01">
              <w:rPr>
                <w:lang w:val="en-AU"/>
              </w:rPr>
              <w:t>Participation in a kindergarten service in the year before school</w:t>
            </w:r>
          </w:p>
          <w:p w14:paraId="62A4A10B" w14:textId="77777777" w:rsidR="00A61FF5" w:rsidRPr="004B6C01" w:rsidRDefault="00A61FF5" w:rsidP="00CA0CAF">
            <w:pPr>
              <w:pStyle w:val="ESTablebullet1"/>
              <w:keepNext/>
              <w:keepLines/>
              <w:rPr>
                <w:lang w:val="en-AU"/>
              </w:rPr>
            </w:pPr>
            <w:r w:rsidRPr="004B6C01">
              <w:rPr>
                <w:lang w:val="en-AU"/>
              </w:rPr>
              <w:t>Participation in maternal and child health services</w:t>
            </w:r>
          </w:p>
          <w:p w14:paraId="60C2FE55" w14:textId="040A80E5" w:rsidR="00A61FF5" w:rsidRPr="004B6C01" w:rsidRDefault="00A61FF5" w:rsidP="00CA0CAF">
            <w:pPr>
              <w:pStyle w:val="ESTablebullet1"/>
              <w:keepNext/>
              <w:keepLines/>
              <w:rPr>
                <w:lang w:val="en-AU"/>
              </w:rPr>
            </w:pPr>
            <w:r w:rsidRPr="004B6C01">
              <w:rPr>
                <w:lang w:val="en-AU"/>
              </w:rPr>
              <w:t>Proportion of ECEC services meeting or exceeding National Quality Standard Area 6 (NQSA6</w:t>
            </w:r>
            <w:r w:rsidR="003761CC" w:rsidRPr="004B6C01">
              <w:rPr>
                <w:lang w:val="en-AU"/>
              </w:rPr>
              <w:t>—</w:t>
            </w:r>
            <w:r w:rsidRPr="004B6C01">
              <w:rPr>
                <w:lang w:val="en-AU"/>
              </w:rPr>
              <w:t>Collaborative partnerships with families and communities)</w:t>
            </w:r>
          </w:p>
          <w:p w14:paraId="33A3ECD4" w14:textId="77777777" w:rsidR="00A61FF5" w:rsidRPr="004B6C01" w:rsidRDefault="00A61FF5" w:rsidP="00CA0CAF">
            <w:pPr>
              <w:pStyle w:val="ESTablebullet1"/>
              <w:keepNext/>
              <w:keepLines/>
              <w:rPr>
                <w:lang w:val="en-AU"/>
              </w:rPr>
            </w:pPr>
            <w:r w:rsidRPr="004B6C01">
              <w:rPr>
                <w:lang w:val="en-AU"/>
              </w:rPr>
              <w:t>Mean number of students absent days per full</w:t>
            </w:r>
            <w:r w:rsidRPr="004B6C01">
              <w:rPr>
                <w:lang w:val="en-AU"/>
              </w:rPr>
              <w:noBreakHyphen/>
              <w:t>time equivalent (FTE) a year</w:t>
            </w:r>
          </w:p>
          <w:p w14:paraId="32C154B6" w14:textId="77777777" w:rsidR="00A61FF5" w:rsidRPr="004B6C01" w:rsidRDefault="00A61FF5" w:rsidP="00CA0CAF">
            <w:pPr>
              <w:pStyle w:val="ESTablebullet1"/>
              <w:keepNext/>
              <w:keepLines/>
              <w:rPr>
                <w:lang w:val="en-AU"/>
              </w:rPr>
            </w:pPr>
            <w:r w:rsidRPr="004B6C01">
              <w:rPr>
                <w:lang w:val="en-AU"/>
              </w:rPr>
              <w:t>Mean number of unapproved student absence days per FTE per year in secondary schools</w:t>
            </w:r>
          </w:p>
          <w:p w14:paraId="3DDB9FD6" w14:textId="77777777" w:rsidR="00A61FF5" w:rsidRPr="004B6C01" w:rsidRDefault="00A61FF5" w:rsidP="00CA0CAF">
            <w:pPr>
              <w:pStyle w:val="ESTablebullet1"/>
              <w:keepNext/>
              <w:keepLines/>
              <w:rPr>
                <w:lang w:val="en-AU"/>
              </w:rPr>
            </w:pPr>
            <w:r w:rsidRPr="004B6C01">
              <w:rPr>
                <w:lang w:val="en-AU"/>
              </w:rPr>
              <w:t>Students with a positive opinion about their school providing a stimulating learning environment</w:t>
            </w:r>
          </w:p>
          <w:p w14:paraId="2D8FA6CA" w14:textId="77777777" w:rsidR="00A61FF5" w:rsidRPr="004B6C01" w:rsidRDefault="00A61FF5" w:rsidP="00CA0CAF">
            <w:pPr>
              <w:pStyle w:val="ESTablebullet1"/>
              <w:keepNext/>
              <w:keepLines/>
              <w:rPr>
                <w:lang w:val="en-AU"/>
              </w:rPr>
            </w:pPr>
            <w:r w:rsidRPr="004B6C01">
              <w:rPr>
                <w:lang w:val="en-AU"/>
              </w:rPr>
              <w:t>VET enrolments by age and gender</w:t>
            </w:r>
          </w:p>
          <w:p w14:paraId="7AFE693F" w14:textId="77777777" w:rsidR="00A61FF5" w:rsidRPr="004B6C01" w:rsidRDefault="00A61FF5" w:rsidP="00CA0CAF">
            <w:pPr>
              <w:pStyle w:val="ESTablebullet1"/>
              <w:keepNext/>
              <w:keepLines/>
              <w:rPr>
                <w:lang w:val="en-AU"/>
              </w:rPr>
            </w:pPr>
            <w:r w:rsidRPr="004B6C01">
              <w:rPr>
                <w:lang w:val="en-AU"/>
              </w:rPr>
              <w:t>VET enrolments by administrative regions</w:t>
            </w:r>
          </w:p>
          <w:p w14:paraId="0D189C3D" w14:textId="77777777" w:rsidR="00A61FF5" w:rsidRPr="004B6C01" w:rsidRDefault="00A61FF5" w:rsidP="00CA0CAF">
            <w:pPr>
              <w:pStyle w:val="ESTablebullet1"/>
              <w:keepNext/>
              <w:keepLines/>
              <w:rPr>
                <w:lang w:val="en-AU"/>
              </w:rPr>
            </w:pPr>
            <w:r w:rsidRPr="004B6C01">
              <w:rPr>
                <w:lang w:val="en-AU"/>
              </w:rPr>
              <w:t>VET enrolments by skills shortage category courses</w:t>
            </w:r>
          </w:p>
          <w:p w14:paraId="042E7780" w14:textId="77777777" w:rsidR="00A61FF5" w:rsidRPr="004B6C01" w:rsidRDefault="00A61FF5" w:rsidP="00CA0CAF">
            <w:pPr>
              <w:pStyle w:val="ESTablebullet1"/>
              <w:keepNext/>
              <w:keepLines/>
              <w:rPr>
                <w:lang w:val="en-AU"/>
              </w:rPr>
            </w:pPr>
            <w:r w:rsidRPr="004B6C01">
              <w:rPr>
                <w:lang w:val="en-AU"/>
              </w:rPr>
              <w:t>VET enrolments by specialised category courses</w:t>
            </w:r>
          </w:p>
          <w:p w14:paraId="05AB2AD7" w14:textId="77777777" w:rsidR="00A61FF5" w:rsidRPr="004B6C01" w:rsidRDefault="00A61FF5" w:rsidP="00CA0CAF">
            <w:pPr>
              <w:pStyle w:val="ESTablebullet1"/>
              <w:keepNext/>
              <w:keepLines/>
              <w:rPr>
                <w:lang w:val="en-AU"/>
              </w:rPr>
            </w:pPr>
            <w:r w:rsidRPr="004B6C01">
              <w:rPr>
                <w:lang w:val="en-AU"/>
              </w:rPr>
              <w:t>VET participation by learners facing barriers</w:t>
            </w:r>
          </w:p>
          <w:p w14:paraId="12973C92" w14:textId="77777777" w:rsidR="00A61FF5" w:rsidRPr="004B6C01" w:rsidRDefault="00A61FF5" w:rsidP="00CA0CAF">
            <w:pPr>
              <w:pStyle w:val="ESTablebullet1"/>
              <w:keepNext/>
              <w:keepLines/>
              <w:rPr>
                <w:lang w:val="en-AU"/>
              </w:rPr>
            </w:pPr>
            <w:r w:rsidRPr="004B6C01">
              <w:rPr>
                <w:lang w:val="en-AU"/>
              </w:rPr>
              <w:t>VET participation by unemployed learners</w:t>
            </w:r>
          </w:p>
          <w:p w14:paraId="4EFB64EF" w14:textId="77777777" w:rsidR="00A61FF5" w:rsidRPr="004B6C01" w:rsidRDefault="00A61FF5" w:rsidP="00CA0CAF">
            <w:pPr>
              <w:pStyle w:val="ESTablebullet1"/>
              <w:keepNext/>
              <w:keepLines/>
              <w:rPr>
                <w:lang w:val="en-AU"/>
              </w:rPr>
            </w:pPr>
            <w:r w:rsidRPr="004B6C01">
              <w:rPr>
                <w:lang w:val="en-AU"/>
              </w:rPr>
              <w:t>Proportion of VET students satisfied with the teaching in their course.</w:t>
            </w:r>
          </w:p>
        </w:tc>
        <w:tc>
          <w:tcPr>
            <w:tcW w:w="1667" w:type="pct"/>
            <w:tcBorders>
              <w:top w:val="single" w:sz="4" w:space="0" w:color="auto"/>
              <w:left w:val="nil"/>
              <w:bottom w:val="single" w:sz="4" w:space="0" w:color="auto"/>
              <w:right w:val="nil"/>
            </w:tcBorders>
          </w:tcPr>
          <w:p w14:paraId="1D5C11FF" w14:textId="77777777" w:rsidR="00A61FF5" w:rsidRPr="004B6C01" w:rsidRDefault="00A61FF5" w:rsidP="00CA0CAF">
            <w:pPr>
              <w:pStyle w:val="ESTablebullet1"/>
              <w:keepNext/>
              <w:keepLines/>
              <w:rPr>
                <w:lang w:val="en-AU"/>
              </w:rPr>
            </w:pPr>
            <w:r w:rsidRPr="004B6C01">
              <w:rPr>
                <w:lang w:val="en-AU"/>
              </w:rPr>
              <w:t>Strategy, Review and Regulation</w:t>
            </w:r>
          </w:p>
          <w:p w14:paraId="702B3010" w14:textId="77777777" w:rsidR="00A61FF5" w:rsidRPr="004B6C01" w:rsidRDefault="00A61FF5" w:rsidP="00CA0CAF">
            <w:pPr>
              <w:pStyle w:val="ESTablebullet1"/>
              <w:keepNext/>
              <w:keepLines/>
              <w:rPr>
                <w:lang w:val="en-AU"/>
              </w:rPr>
            </w:pPr>
            <w:r w:rsidRPr="004B6C01">
              <w:rPr>
                <w:lang w:val="en-AU"/>
              </w:rPr>
              <w:t>Early Childhood Development</w:t>
            </w:r>
          </w:p>
          <w:p w14:paraId="43DFBA24" w14:textId="77777777" w:rsidR="00A61FF5" w:rsidRPr="004B6C01" w:rsidRDefault="00A61FF5" w:rsidP="00CA0CAF">
            <w:pPr>
              <w:pStyle w:val="ESTablebullet1"/>
              <w:keepNext/>
              <w:keepLines/>
              <w:rPr>
                <w:lang w:val="en-AU"/>
              </w:rPr>
            </w:pPr>
            <w:r w:rsidRPr="004B6C01">
              <w:rPr>
                <w:lang w:val="en-AU"/>
              </w:rPr>
              <w:t>School Education—Primary</w:t>
            </w:r>
          </w:p>
          <w:p w14:paraId="78F4D94E" w14:textId="77777777" w:rsidR="00A61FF5" w:rsidRPr="004B6C01" w:rsidRDefault="00A61FF5" w:rsidP="00CA0CAF">
            <w:pPr>
              <w:pStyle w:val="ESTablebullet1"/>
              <w:keepNext/>
              <w:keepLines/>
              <w:rPr>
                <w:lang w:val="en-AU"/>
              </w:rPr>
            </w:pPr>
            <w:r w:rsidRPr="004B6C01">
              <w:rPr>
                <w:lang w:val="en-AU"/>
              </w:rPr>
              <w:t>School Education—Secondary</w:t>
            </w:r>
          </w:p>
          <w:p w14:paraId="64418A8E" w14:textId="77777777" w:rsidR="00A61FF5" w:rsidRPr="004B6C01" w:rsidRDefault="00A61FF5" w:rsidP="00CA0CAF">
            <w:pPr>
              <w:pStyle w:val="ESTablebullet1"/>
              <w:keepNext/>
              <w:keepLines/>
              <w:rPr>
                <w:lang w:val="en-AU"/>
              </w:rPr>
            </w:pPr>
            <w:r w:rsidRPr="004B6C01">
              <w:rPr>
                <w:lang w:val="en-AU"/>
              </w:rPr>
              <w:t>Training, Higher Education, Workforce Development and Skills</w:t>
            </w:r>
          </w:p>
          <w:p w14:paraId="416D684A" w14:textId="77777777" w:rsidR="00A61FF5" w:rsidRPr="004B6C01" w:rsidRDefault="00A61FF5" w:rsidP="00CA0CAF">
            <w:pPr>
              <w:pStyle w:val="ESTablebullet1"/>
              <w:keepNext/>
              <w:keepLines/>
              <w:rPr>
                <w:lang w:val="en-AU"/>
              </w:rPr>
            </w:pPr>
            <w:r w:rsidRPr="004B6C01">
              <w:rPr>
                <w:lang w:val="en-AU"/>
              </w:rPr>
              <w:t>Support Services Delivery</w:t>
            </w:r>
          </w:p>
          <w:p w14:paraId="1D46BEA5" w14:textId="77777777" w:rsidR="00A61FF5" w:rsidRPr="004B6C01" w:rsidRDefault="00A61FF5" w:rsidP="00CA0CAF">
            <w:pPr>
              <w:pStyle w:val="ESTablebullet1"/>
              <w:keepNext/>
              <w:keepLines/>
              <w:rPr>
                <w:lang w:val="en-AU"/>
              </w:rPr>
            </w:pPr>
            <w:r w:rsidRPr="004B6C01">
              <w:rPr>
                <w:lang w:val="en-AU"/>
              </w:rPr>
              <w:t>Support for Students with Disabilities.</w:t>
            </w:r>
          </w:p>
        </w:tc>
      </w:tr>
      <w:tr w:rsidR="00A61FF5" w:rsidRPr="00932A90" w14:paraId="1BA08250" w14:textId="77777777" w:rsidTr="00003796">
        <w:tc>
          <w:tcPr>
            <w:tcW w:w="1666" w:type="pct"/>
            <w:tcBorders>
              <w:top w:val="single" w:sz="4" w:space="0" w:color="auto"/>
              <w:left w:val="nil"/>
              <w:bottom w:val="single" w:sz="4" w:space="0" w:color="auto"/>
              <w:right w:val="nil"/>
            </w:tcBorders>
            <w:shd w:val="clear" w:color="auto" w:fill="auto"/>
          </w:tcPr>
          <w:p w14:paraId="7F7DD87D" w14:textId="77777777" w:rsidR="00A61FF5" w:rsidRPr="004B6C01" w:rsidRDefault="00A61FF5" w:rsidP="00CA0CAF">
            <w:pPr>
              <w:pStyle w:val="ESTableheading"/>
              <w:keepNext w:val="0"/>
              <w:rPr>
                <w:lang w:val="en-AU"/>
              </w:rPr>
            </w:pPr>
            <w:r w:rsidRPr="004B6C01">
              <w:rPr>
                <w:lang w:val="en-AU"/>
              </w:rPr>
              <w:t>Wellbeing</w:t>
            </w:r>
          </w:p>
          <w:p w14:paraId="19E71F3C" w14:textId="77777777" w:rsidR="00A61FF5" w:rsidRPr="004B6C01" w:rsidRDefault="00A61FF5" w:rsidP="00CA0CAF">
            <w:pPr>
              <w:pStyle w:val="ESTableBody"/>
              <w:rPr>
                <w:lang w:val="en-AU"/>
              </w:rPr>
            </w:pPr>
            <w:r w:rsidRPr="004B6C01">
              <w:rPr>
                <w:lang w:val="en-AU"/>
              </w:rPr>
              <w:t>Increase the contribution education, training, development and child health services make to good health and quality of life for all Victorians, particularly children and young people.</w:t>
            </w:r>
          </w:p>
        </w:tc>
        <w:tc>
          <w:tcPr>
            <w:tcW w:w="1667" w:type="pct"/>
            <w:tcBorders>
              <w:top w:val="single" w:sz="4" w:space="0" w:color="auto"/>
              <w:left w:val="nil"/>
              <w:bottom w:val="single" w:sz="4" w:space="0" w:color="auto"/>
              <w:right w:val="nil"/>
            </w:tcBorders>
            <w:shd w:val="clear" w:color="auto" w:fill="auto"/>
          </w:tcPr>
          <w:p w14:paraId="52A602F5" w14:textId="77777777" w:rsidR="00A61FF5" w:rsidRPr="004B6C01" w:rsidRDefault="00A61FF5" w:rsidP="00CA0CAF">
            <w:pPr>
              <w:pStyle w:val="ESTablebullet1"/>
              <w:rPr>
                <w:lang w:val="en-AU"/>
              </w:rPr>
            </w:pPr>
            <w:r w:rsidRPr="004B6C01">
              <w:rPr>
                <w:lang w:val="en-AU"/>
              </w:rPr>
              <w:t>Proportion of infants fully or partially breastfed at three and six months</w:t>
            </w:r>
          </w:p>
          <w:p w14:paraId="45CC59C1" w14:textId="77777777" w:rsidR="00A61FF5" w:rsidRPr="004B6C01" w:rsidRDefault="00A61FF5" w:rsidP="00CA0CAF">
            <w:pPr>
              <w:pStyle w:val="ESTablebullet1"/>
              <w:rPr>
                <w:lang w:val="en-AU"/>
              </w:rPr>
            </w:pPr>
            <w:r w:rsidRPr="004B6C01">
              <w:rPr>
                <w:lang w:val="en-AU"/>
              </w:rPr>
              <w:t>Proportion of children who have no behavioural issues on entry into Prep</w:t>
            </w:r>
          </w:p>
          <w:p w14:paraId="4B9C1868" w14:textId="77777777" w:rsidR="00A61FF5" w:rsidRPr="004B6C01" w:rsidRDefault="00A61FF5" w:rsidP="00CA0CAF">
            <w:pPr>
              <w:pStyle w:val="ESTablebullet1"/>
              <w:rPr>
                <w:lang w:val="en-AU"/>
              </w:rPr>
            </w:pPr>
            <w:r w:rsidRPr="004B6C01">
              <w:rPr>
                <w:lang w:val="en-AU"/>
              </w:rPr>
              <w:t>Proportion of children who have no general development issues on entry into Prep</w:t>
            </w:r>
          </w:p>
          <w:p w14:paraId="3E6118B6" w14:textId="77777777" w:rsidR="00A61FF5" w:rsidRPr="004B6C01" w:rsidRDefault="00A61FF5" w:rsidP="00CA0CAF">
            <w:pPr>
              <w:pStyle w:val="ESTablebullet1"/>
              <w:rPr>
                <w:lang w:val="en-AU"/>
              </w:rPr>
            </w:pPr>
            <w:r w:rsidRPr="004B6C01">
              <w:rPr>
                <w:lang w:val="en-AU"/>
              </w:rPr>
              <w:t>Children developmentally ‘on track’ on the AEDC social competence and emotional maturity domains</w:t>
            </w:r>
          </w:p>
          <w:p w14:paraId="2DFDCA2C" w14:textId="77777777" w:rsidR="00A61FF5" w:rsidRPr="004B6C01" w:rsidRDefault="00A61FF5" w:rsidP="00CA0CAF">
            <w:pPr>
              <w:pStyle w:val="ESTablebullet1"/>
              <w:rPr>
                <w:lang w:val="en-AU"/>
              </w:rPr>
            </w:pPr>
            <w:r w:rsidRPr="004B6C01">
              <w:rPr>
                <w:lang w:val="en-AU"/>
              </w:rPr>
              <w:t>Students feeling connected to their school</w:t>
            </w:r>
          </w:p>
          <w:p w14:paraId="7C41BB78" w14:textId="77777777" w:rsidR="00A61FF5" w:rsidRPr="004B6C01" w:rsidRDefault="00A61FF5" w:rsidP="00CA0CAF">
            <w:pPr>
              <w:pStyle w:val="ESTablebullet1"/>
              <w:rPr>
                <w:lang w:val="en-AU"/>
              </w:rPr>
            </w:pPr>
            <w:r w:rsidRPr="004B6C01">
              <w:rPr>
                <w:lang w:val="en-AU"/>
              </w:rPr>
              <w:t>Students with a positive opinion about their school providing a safe and orderly environment for learning</w:t>
            </w:r>
          </w:p>
          <w:p w14:paraId="00C1E15C" w14:textId="77777777" w:rsidR="00A61FF5" w:rsidRPr="004B6C01" w:rsidRDefault="00A61FF5" w:rsidP="00CA0CAF">
            <w:pPr>
              <w:pStyle w:val="ESTablebullet1"/>
              <w:rPr>
                <w:lang w:val="en-AU"/>
              </w:rPr>
            </w:pPr>
            <w:r w:rsidRPr="004B6C01">
              <w:rPr>
                <w:lang w:val="en-AU"/>
              </w:rPr>
              <w:t>Level of student satisfaction with VET.</w:t>
            </w:r>
          </w:p>
        </w:tc>
        <w:tc>
          <w:tcPr>
            <w:tcW w:w="1667" w:type="pct"/>
            <w:tcBorders>
              <w:top w:val="single" w:sz="4" w:space="0" w:color="auto"/>
              <w:left w:val="nil"/>
              <w:bottom w:val="single" w:sz="4" w:space="0" w:color="auto"/>
              <w:right w:val="nil"/>
            </w:tcBorders>
            <w:shd w:val="clear" w:color="auto" w:fill="auto"/>
          </w:tcPr>
          <w:p w14:paraId="28EF3627" w14:textId="77777777" w:rsidR="00A61FF5" w:rsidRPr="004B6C01" w:rsidRDefault="00A61FF5" w:rsidP="00CA0CAF">
            <w:pPr>
              <w:pStyle w:val="ESTablebullet1"/>
              <w:rPr>
                <w:lang w:val="en-AU"/>
              </w:rPr>
            </w:pPr>
            <w:r w:rsidRPr="004B6C01">
              <w:rPr>
                <w:lang w:val="en-AU"/>
              </w:rPr>
              <w:t>Strategy, Review and Regulation</w:t>
            </w:r>
          </w:p>
          <w:p w14:paraId="7BFD44B1" w14:textId="77777777" w:rsidR="00A61FF5" w:rsidRPr="004B6C01" w:rsidRDefault="00A61FF5" w:rsidP="00CA0CAF">
            <w:pPr>
              <w:pStyle w:val="ESTablebullet1"/>
              <w:rPr>
                <w:lang w:val="en-AU"/>
              </w:rPr>
            </w:pPr>
            <w:r w:rsidRPr="004B6C01">
              <w:rPr>
                <w:lang w:val="en-AU"/>
              </w:rPr>
              <w:t>Early Childhood Development</w:t>
            </w:r>
          </w:p>
          <w:p w14:paraId="3E412D6E" w14:textId="77777777" w:rsidR="00A61FF5" w:rsidRPr="004B6C01" w:rsidRDefault="00A61FF5" w:rsidP="00CA0CAF">
            <w:pPr>
              <w:pStyle w:val="ESTablebullet1"/>
              <w:rPr>
                <w:lang w:val="en-AU"/>
              </w:rPr>
            </w:pPr>
            <w:r w:rsidRPr="004B6C01">
              <w:rPr>
                <w:lang w:val="en-AU"/>
              </w:rPr>
              <w:t>School Education—Primary</w:t>
            </w:r>
          </w:p>
          <w:p w14:paraId="65789F37" w14:textId="77777777" w:rsidR="00A61FF5" w:rsidRPr="004B6C01" w:rsidRDefault="00A61FF5" w:rsidP="00CA0CAF">
            <w:pPr>
              <w:pStyle w:val="ESTablebullet1"/>
              <w:rPr>
                <w:lang w:val="en-AU"/>
              </w:rPr>
            </w:pPr>
            <w:r w:rsidRPr="004B6C01">
              <w:rPr>
                <w:lang w:val="en-AU"/>
              </w:rPr>
              <w:t>School Education—Secondary</w:t>
            </w:r>
          </w:p>
          <w:p w14:paraId="5F80DB0B" w14:textId="77777777" w:rsidR="00A61FF5" w:rsidRPr="004B6C01" w:rsidRDefault="00A61FF5" w:rsidP="00CA0CAF">
            <w:pPr>
              <w:pStyle w:val="ESTablebullet1"/>
              <w:rPr>
                <w:lang w:val="en-AU"/>
              </w:rPr>
            </w:pPr>
            <w:r w:rsidRPr="004B6C01">
              <w:rPr>
                <w:lang w:val="en-AU"/>
              </w:rPr>
              <w:t>Training, Higher Education, Workforce Development and Skills</w:t>
            </w:r>
          </w:p>
          <w:p w14:paraId="6D601B92" w14:textId="77777777" w:rsidR="00A61FF5" w:rsidRPr="004B6C01" w:rsidRDefault="00A61FF5" w:rsidP="00CA0CAF">
            <w:pPr>
              <w:pStyle w:val="ESTablebullet1"/>
              <w:rPr>
                <w:lang w:val="en-AU"/>
              </w:rPr>
            </w:pPr>
            <w:r w:rsidRPr="004B6C01">
              <w:rPr>
                <w:lang w:val="en-AU"/>
              </w:rPr>
              <w:t>Support Services Delivery</w:t>
            </w:r>
          </w:p>
          <w:p w14:paraId="1B0EA36E" w14:textId="77777777" w:rsidR="00A61FF5" w:rsidRPr="004B6C01" w:rsidRDefault="00A61FF5" w:rsidP="00CA0CAF">
            <w:pPr>
              <w:pStyle w:val="ESTablebullet1"/>
              <w:rPr>
                <w:lang w:val="en-AU"/>
              </w:rPr>
            </w:pPr>
            <w:r w:rsidRPr="004B6C01">
              <w:rPr>
                <w:lang w:val="en-AU"/>
              </w:rPr>
              <w:t>Support for Students with Disabilities.</w:t>
            </w:r>
          </w:p>
        </w:tc>
      </w:tr>
      <w:tr w:rsidR="00A61FF5" w:rsidRPr="00932A90" w14:paraId="6BA67BFA" w14:textId="77777777" w:rsidTr="00003796">
        <w:tc>
          <w:tcPr>
            <w:tcW w:w="1666" w:type="pct"/>
            <w:tcBorders>
              <w:top w:val="single" w:sz="4" w:space="0" w:color="auto"/>
              <w:left w:val="nil"/>
              <w:right w:val="nil"/>
            </w:tcBorders>
          </w:tcPr>
          <w:p w14:paraId="77B3F83F" w14:textId="77777777" w:rsidR="00A61FF5" w:rsidRPr="004B6C01" w:rsidRDefault="00A61FF5" w:rsidP="00CA0CAF">
            <w:pPr>
              <w:pStyle w:val="ESTableheading"/>
              <w:rPr>
                <w:lang w:val="en-AU"/>
              </w:rPr>
            </w:pPr>
            <w:r w:rsidRPr="004B6C01">
              <w:rPr>
                <w:lang w:val="en-AU"/>
              </w:rPr>
              <w:t>Productivity</w:t>
            </w:r>
          </w:p>
          <w:p w14:paraId="4E478A23" w14:textId="77777777" w:rsidR="00A61FF5" w:rsidRPr="004B6C01" w:rsidRDefault="00A61FF5" w:rsidP="00CA0CAF">
            <w:pPr>
              <w:pStyle w:val="ESTableBody"/>
              <w:keepNext/>
              <w:keepLines/>
              <w:rPr>
                <w:lang w:val="en-AU"/>
              </w:rPr>
            </w:pPr>
            <w:r w:rsidRPr="004B6C01">
              <w:rPr>
                <w:lang w:val="en-AU"/>
              </w:rPr>
              <w:t>Increase the productivity of our services.</w:t>
            </w:r>
          </w:p>
        </w:tc>
        <w:tc>
          <w:tcPr>
            <w:tcW w:w="1667" w:type="pct"/>
            <w:tcBorders>
              <w:top w:val="single" w:sz="4" w:space="0" w:color="auto"/>
              <w:left w:val="nil"/>
              <w:right w:val="nil"/>
            </w:tcBorders>
          </w:tcPr>
          <w:p w14:paraId="298B474B" w14:textId="77777777" w:rsidR="00A61FF5" w:rsidRPr="004B6C01" w:rsidRDefault="00A61FF5" w:rsidP="00CA0CAF">
            <w:pPr>
              <w:pStyle w:val="ESTablebullet1"/>
              <w:keepNext/>
              <w:keepLines/>
              <w:rPr>
                <w:lang w:val="en-AU"/>
              </w:rPr>
            </w:pPr>
            <w:r w:rsidRPr="004B6C01">
              <w:rPr>
                <w:lang w:val="en-AU"/>
              </w:rPr>
              <w:t>$ per kindergarten student per year (or ECIS or MCH)</w:t>
            </w:r>
          </w:p>
          <w:p w14:paraId="5F3AD545" w14:textId="77777777" w:rsidR="00A61FF5" w:rsidRPr="004B6C01" w:rsidRDefault="00A61FF5" w:rsidP="00CA0CAF">
            <w:pPr>
              <w:pStyle w:val="ESTablebullet1"/>
              <w:keepNext/>
              <w:keepLines/>
              <w:rPr>
                <w:lang w:val="en-AU"/>
              </w:rPr>
            </w:pPr>
            <w:r w:rsidRPr="004B6C01">
              <w:rPr>
                <w:lang w:val="en-AU"/>
              </w:rPr>
              <w:t>$ per primary school student per year</w:t>
            </w:r>
          </w:p>
          <w:p w14:paraId="6F14ADC7" w14:textId="77777777" w:rsidR="00A61FF5" w:rsidRPr="004B6C01" w:rsidRDefault="00A61FF5" w:rsidP="00CA0CAF">
            <w:pPr>
              <w:pStyle w:val="ESTablebullet1"/>
              <w:keepNext/>
              <w:keepLines/>
              <w:rPr>
                <w:lang w:val="en-AU"/>
              </w:rPr>
            </w:pPr>
            <w:r w:rsidRPr="004B6C01">
              <w:rPr>
                <w:lang w:val="en-AU"/>
              </w:rPr>
              <w:t>$ per secondary school student per year</w:t>
            </w:r>
          </w:p>
          <w:p w14:paraId="075B92D9" w14:textId="77777777" w:rsidR="00A61FF5" w:rsidRPr="004B6C01" w:rsidRDefault="00A61FF5" w:rsidP="00CA0CAF">
            <w:pPr>
              <w:pStyle w:val="ESTablebullet1"/>
              <w:keepNext/>
              <w:keepLines/>
              <w:rPr>
                <w:lang w:val="en-AU"/>
              </w:rPr>
            </w:pPr>
            <w:r w:rsidRPr="004B6C01">
              <w:rPr>
                <w:lang w:val="en-AU"/>
              </w:rPr>
              <w:t>$ per VET student contact hour.</w:t>
            </w:r>
          </w:p>
        </w:tc>
        <w:tc>
          <w:tcPr>
            <w:tcW w:w="1667" w:type="pct"/>
            <w:tcBorders>
              <w:top w:val="single" w:sz="4" w:space="0" w:color="auto"/>
              <w:left w:val="nil"/>
              <w:right w:val="nil"/>
            </w:tcBorders>
          </w:tcPr>
          <w:p w14:paraId="5F1D4381" w14:textId="77777777" w:rsidR="00A61FF5" w:rsidRPr="004B6C01" w:rsidRDefault="00A61FF5" w:rsidP="00CA0CAF">
            <w:pPr>
              <w:pStyle w:val="ESTablebullet1"/>
              <w:keepNext/>
              <w:keepLines/>
              <w:rPr>
                <w:lang w:val="en-AU"/>
              </w:rPr>
            </w:pPr>
            <w:r w:rsidRPr="004B6C01">
              <w:rPr>
                <w:lang w:val="en-AU"/>
              </w:rPr>
              <w:t>Strategy, Review and Regulation</w:t>
            </w:r>
          </w:p>
          <w:p w14:paraId="00B3A04E" w14:textId="77777777" w:rsidR="00A61FF5" w:rsidRPr="004B6C01" w:rsidRDefault="00A61FF5" w:rsidP="00CA0CAF">
            <w:pPr>
              <w:pStyle w:val="ESTablebullet1"/>
              <w:keepNext/>
              <w:keepLines/>
              <w:rPr>
                <w:lang w:val="en-AU"/>
              </w:rPr>
            </w:pPr>
            <w:r w:rsidRPr="004B6C01">
              <w:rPr>
                <w:lang w:val="en-AU"/>
              </w:rPr>
              <w:t>Early Childhood Development</w:t>
            </w:r>
          </w:p>
          <w:p w14:paraId="06198E28" w14:textId="77777777" w:rsidR="00A61FF5" w:rsidRPr="004B6C01" w:rsidRDefault="00A61FF5" w:rsidP="00CA0CAF">
            <w:pPr>
              <w:pStyle w:val="ESTablebullet1"/>
              <w:keepNext/>
              <w:keepLines/>
              <w:rPr>
                <w:lang w:val="en-AU"/>
              </w:rPr>
            </w:pPr>
            <w:r w:rsidRPr="004B6C01">
              <w:rPr>
                <w:lang w:val="en-AU"/>
              </w:rPr>
              <w:t>School Education—Primary</w:t>
            </w:r>
          </w:p>
          <w:p w14:paraId="1D6F4264" w14:textId="77777777" w:rsidR="00A61FF5" w:rsidRPr="004B6C01" w:rsidRDefault="00A61FF5" w:rsidP="00CA0CAF">
            <w:pPr>
              <w:pStyle w:val="ESTablebullet1"/>
              <w:keepNext/>
              <w:keepLines/>
              <w:rPr>
                <w:lang w:val="en-AU"/>
              </w:rPr>
            </w:pPr>
            <w:r w:rsidRPr="004B6C01">
              <w:rPr>
                <w:lang w:val="en-AU"/>
              </w:rPr>
              <w:t>School Education—Secondary</w:t>
            </w:r>
          </w:p>
          <w:p w14:paraId="5052BB98" w14:textId="77777777" w:rsidR="00A61FF5" w:rsidRPr="004B6C01" w:rsidRDefault="00A61FF5" w:rsidP="00CA0CAF">
            <w:pPr>
              <w:pStyle w:val="ESTablebullet1"/>
              <w:keepNext/>
              <w:keepLines/>
              <w:rPr>
                <w:lang w:val="en-AU"/>
              </w:rPr>
            </w:pPr>
            <w:r w:rsidRPr="004B6C01">
              <w:rPr>
                <w:lang w:val="en-AU"/>
              </w:rPr>
              <w:t>Training, Higher Education, Workforce Development and Skills</w:t>
            </w:r>
          </w:p>
          <w:p w14:paraId="10F398CA" w14:textId="77777777" w:rsidR="00A61FF5" w:rsidRPr="004B6C01" w:rsidRDefault="00A61FF5" w:rsidP="00CA0CAF">
            <w:pPr>
              <w:pStyle w:val="ESTablebullet1"/>
              <w:keepNext/>
              <w:keepLines/>
              <w:rPr>
                <w:lang w:val="en-AU"/>
              </w:rPr>
            </w:pPr>
            <w:r w:rsidRPr="004B6C01">
              <w:rPr>
                <w:lang w:val="en-AU"/>
              </w:rPr>
              <w:t>Support Services Delivery</w:t>
            </w:r>
          </w:p>
          <w:p w14:paraId="6C394204" w14:textId="77777777" w:rsidR="00A61FF5" w:rsidRPr="004B6C01" w:rsidRDefault="00A61FF5" w:rsidP="00CA0CAF">
            <w:pPr>
              <w:pStyle w:val="ESTablebullet1"/>
              <w:keepNext/>
              <w:keepLines/>
              <w:rPr>
                <w:lang w:val="en-AU"/>
              </w:rPr>
            </w:pPr>
            <w:r w:rsidRPr="004B6C01">
              <w:rPr>
                <w:lang w:val="en-AU"/>
              </w:rPr>
              <w:t>Support for Students with Disabilities.</w:t>
            </w:r>
          </w:p>
        </w:tc>
      </w:tr>
    </w:tbl>
    <w:p w14:paraId="6CEF0EA5" w14:textId="77777777" w:rsidR="00A61FF5" w:rsidRPr="004B6C01" w:rsidRDefault="00A61FF5" w:rsidP="00A61FF5">
      <w:pPr>
        <w:rPr>
          <w:rFonts w:ascii="Arial" w:eastAsiaTheme="majorEastAsia" w:hAnsi="Arial" w:cstheme="majorBidi"/>
          <w:bCs/>
          <w:color w:val="000000" w:themeColor="text1"/>
          <w:spacing w:val="5"/>
          <w:kern w:val="28"/>
          <w:sz w:val="28"/>
          <w:szCs w:val="20"/>
          <w:lang w:val="en-AU"/>
        </w:rPr>
      </w:pPr>
      <w:bookmarkStart w:id="56" w:name="_Toc488410100"/>
      <w:bookmarkStart w:id="57" w:name="_Toc488767572"/>
      <w:bookmarkStart w:id="58" w:name="_Toc488768984"/>
      <w:r w:rsidRPr="004B6C01">
        <w:rPr>
          <w:lang w:val="en-AU"/>
        </w:rPr>
        <w:br w:type="page"/>
      </w:r>
    </w:p>
    <w:p w14:paraId="2A11AE47" w14:textId="6C17E274" w:rsidR="00A61FF5" w:rsidRPr="00932A90" w:rsidRDefault="00A61FF5" w:rsidP="00D2232D">
      <w:pPr>
        <w:pStyle w:val="ESHeading2"/>
      </w:pPr>
      <w:bookmarkStart w:id="59" w:name="_Toc489526699"/>
      <w:bookmarkStart w:id="60" w:name="_Toc491070298"/>
      <w:bookmarkStart w:id="61" w:name="BP3_start"/>
      <w:bookmarkStart w:id="62" w:name="_Toc491409524"/>
      <w:bookmarkStart w:id="63" w:name="_Toc491414653"/>
      <w:r w:rsidRPr="004B6C01">
        <w:t>Progress towards achieving departmental objectives</w:t>
      </w:r>
      <w:bookmarkEnd w:id="56"/>
      <w:bookmarkEnd w:id="57"/>
      <w:bookmarkEnd w:id="58"/>
      <w:bookmarkEnd w:id="59"/>
      <w:bookmarkEnd w:id="60"/>
      <w:bookmarkEnd w:id="61"/>
      <w:bookmarkEnd w:id="62"/>
      <w:bookmarkEnd w:id="63"/>
    </w:p>
    <w:p w14:paraId="0357A7A6" w14:textId="77777777" w:rsidR="00A61FF5" w:rsidRPr="004B6C01" w:rsidRDefault="00A61FF5" w:rsidP="00A61FF5">
      <w:pPr>
        <w:pStyle w:val="ESBodyText"/>
        <w:rPr>
          <w:lang w:val="en-AU"/>
        </w:rPr>
      </w:pPr>
      <w:r w:rsidRPr="004B6C01">
        <w:rPr>
          <w:lang w:val="en-AU"/>
        </w:rPr>
        <w:t>The Department seeks to measure the progress of children and young people as they move from early childhood into their school years and then into further education and work. This section reports on the Department’s progress against its four objectives that sit across this life cycle: achievement, engagement, wellbeing and productivity.</w:t>
      </w:r>
    </w:p>
    <w:p w14:paraId="54C73437" w14:textId="77777777" w:rsidR="00A61FF5" w:rsidRPr="004B6C01" w:rsidRDefault="00A61FF5" w:rsidP="00A61FF5">
      <w:pPr>
        <w:pStyle w:val="ESBodyText"/>
        <w:rPr>
          <w:lang w:val="en-AU"/>
        </w:rPr>
      </w:pPr>
      <w:r w:rsidRPr="004B6C01">
        <w:rPr>
          <w:lang w:val="en-AU"/>
        </w:rPr>
        <w:t>A range of indicators are used to demonstrate current performance and trends. Data against these indicators shows that the Department’s performance against its objectives remains strong. The majority of Victorian children are engaging with early childhood services, and the quality of these services is high. Victorian students are regularly top performers in national testing of literacy and numeracy, and have maintained results in international testing, at a time when Australia’s performance in international tests has plateaued or declined.</w:t>
      </w:r>
    </w:p>
    <w:p w14:paraId="792B028F" w14:textId="77777777" w:rsidR="00A61FF5" w:rsidRPr="004B6C01" w:rsidRDefault="00A61FF5" w:rsidP="00A61FF5">
      <w:pPr>
        <w:pStyle w:val="ESBodyText"/>
        <w:rPr>
          <w:lang w:val="en-AU"/>
        </w:rPr>
      </w:pPr>
      <w:r w:rsidRPr="004B6C01">
        <w:rPr>
          <w:lang w:val="en-AU"/>
        </w:rPr>
        <w:t>There are, however, areas where achievement, wellbeing, engagement and productivity outcomes could improve. Hence, the Victorian Government is committed to making Victoria the Education State by providing excellence and equity in education, from early childhood through school education and the training and skills sectors.</w:t>
      </w:r>
    </w:p>
    <w:p w14:paraId="020E2D53" w14:textId="77777777" w:rsidR="00A61FF5" w:rsidRPr="004B6C01" w:rsidRDefault="00A61FF5" w:rsidP="00A61FF5">
      <w:pPr>
        <w:pStyle w:val="ESBodyText"/>
        <w:rPr>
          <w:lang w:val="en-AU"/>
        </w:rPr>
      </w:pPr>
      <w:r w:rsidRPr="004B6C01">
        <w:rPr>
          <w:lang w:val="en-AU"/>
        </w:rPr>
        <w:t>Education State reforms are designed to bring Victoria in line with the highest levels of quality learning and achievement. In the Education State’s first year, the Department focused on setting up the foundations for success by investing record funding into systems and resources to ensure every Victorian can access an excellent education. These reforms will help Victoria keep pace with rapid global change.</w:t>
      </w:r>
    </w:p>
    <w:p w14:paraId="74ED88EA" w14:textId="77777777" w:rsidR="00A61FF5" w:rsidRPr="004B6C01" w:rsidRDefault="00A61FF5" w:rsidP="00A61FF5">
      <w:pPr>
        <w:pStyle w:val="ESHeading3"/>
        <w:rPr>
          <w:lang w:val="en-AU"/>
        </w:rPr>
      </w:pPr>
      <w:r w:rsidRPr="004B6C01">
        <w:rPr>
          <w:lang w:val="en-AU"/>
        </w:rPr>
        <w:t>Objective 1: Achievement</w:t>
      </w:r>
    </w:p>
    <w:p w14:paraId="57AA68F4" w14:textId="77777777" w:rsidR="00A61FF5" w:rsidRPr="004B6C01" w:rsidRDefault="00A61FF5" w:rsidP="00A61FF5">
      <w:pPr>
        <w:pStyle w:val="ESQuotetext"/>
        <w:rPr>
          <w:lang w:val="en-AU"/>
        </w:rPr>
      </w:pPr>
      <w:r w:rsidRPr="004B6C01">
        <w:rPr>
          <w:lang w:val="en-AU"/>
        </w:rPr>
        <w:t>Raise standards of learning and development achieved by Victorians using education, development and child health services.</w:t>
      </w:r>
    </w:p>
    <w:p w14:paraId="3F89316E" w14:textId="18DEE1A8" w:rsidR="00A61FF5" w:rsidRPr="004B6C01" w:rsidRDefault="00A61FF5" w:rsidP="00A61FF5">
      <w:pPr>
        <w:pStyle w:val="ESBodyText"/>
        <w:rPr>
          <w:lang w:val="en-AU"/>
        </w:rPr>
      </w:pPr>
      <w:r w:rsidRPr="004B6C01">
        <w:rPr>
          <w:lang w:val="en-AU"/>
        </w:rPr>
        <w:t xml:space="preserve">Providing </w:t>
      </w:r>
      <w:r w:rsidR="00BB15EE" w:rsidRPr="004B6C01">
        <w:rPr>
          <w:lang w:val="en-AU"/>
        </w:rPr>
        <w:t>high-</w:t>
      </w:r>
      <w:r w:rsidRPr="004B6C01">
        <w:rPr>
          <w:lang w:val="en-AU"/>
        </w:rPr>
        <w:t>quality ECEC services is an important starting point for child development, setting children up for future educational achievement. The majority of Victoria’s ECEC services continue to meet or exceed National Quality Standard 1 (educational program and practice). Newly</w:t>
      </w:r>
      <w:r w:rsidRPr="004B6C01">
        <w:rPr>
          <w:lang w:val="en-AU"/>
        </w:rPr>
        <w:noBreakHyphen/>
        <w:t>announced reforms and investments to early childhood services will further improve Victorian children’s achievement by creating a higher</w:t>
      </w:r>
      <w:r w:rsidRPr="004B6C01">
        <w:rPr>
          <w:lang w:val="en-AU"/>
        </w:rPr>
        <w:noBreakHyphen/>
        <w:t>quality, more equitable and inclusive early childhood system.</w:t>
      </w:r>
    </w:p>
    <w:p w14:paraId="0D3A2C2B" w14:textId="77777777" w:rsidR="00A61FF5" w:rsidRPr="004B6C01" w:rsidRDefault="00A61FF5" w:rsidP="00A61FF5">
      <w:pPr>
        <w:pStyle w:val="ESBodyText"/>
        <w:rPr>
          <w:lang w:val="en-AU"/>
        </w:rPr>
      </w:pPr>
      <w:r w:rsidRPr="004B6C01">
        <w:rPr>
          <w:lang w:val="en-AU"/>
        </w:rPr>
        <w:t>On entry to school, the majority of Victorian children perform well in their development as measured by the Australian Early Development Census (AEDC). In 2015, Prep teachers assessed nearly 85 per cent of Victorian children as ‘on track’ in their language and cognitive development, a marginal increase on the 2012 results.</w:t>
      </w:r>
    </w:p>
    <w:p w14:paraId="0BBD33FB" w14:textId="77777777" w:rsidR="00A61FF5" w:rsidRPr="004B6C01" w:rsidRDefault="00A61FF5" w:rsidP="00A61FF5">
      <w:pPr>
        <w:pStyle w:val="ESBodyText"/>
        <w:rPr>
          <w:lang w:val="en-AU"/>
        </w:rPr>
      </w:pPr>
      <w:r w:rsidRPr="004B6C01">
        <w:rPr>
          <w:lang w:val="en-AU"/>
        </w:rPr>
        <w:t>Education State reforms are making sure Victoria has a world-leading school system that goes from 'good' to 'great'. This includes new funding to support students who need more classroom assistance. In combination with FISO, the extra funds will provide the resources schools need to make better</w:t>
      </w:r>
      <w:r w:rsidRPr="004B6C01">
        <w:rPr>
          <w:lang w:val="en-AU"/>
        </w:rPr>
        <w:noBreakHyphen/>
        <w:t>targeted improvements, based on the needs of their students, their school and the local community.</w:t>
      </w:r>
    </w:p>
    <w:p w14:paraId="747FED29" w14:textId="77777777" w:rsidR="00A61FF5" w:rsidRPr="004B6C01" w:rsidRDefault="00A61FF5" w:rsidP="00A61FF5">
      <w:pPr>
        <w:pStyle w:val="ESBodyText"/>
        <w:rPr>
          <w:lang w:val="en-AU"/>
        </w:rPr>
      </w:pPr>
      <w:r w:rsidRPr="004B6C01">
        <w:rPr>
          <w:lang w:val="en-AU"/>
        </w:rPr>
        <w:t>Victoria’s performance in national testing remains strong. National Assessment Program for Literacy and Numeracy (NAPLAN) results show that Victoria remains one of Australia’s three leading jurisdictions. Since 2012, Victoria’s performance above the bottom three NAPLAN bands improved for all year levels except Year 7 Literacy, and performance in the top two bands has also trended upwards across most year levels.</w:t>
      </w:r>
    </w:p>
    <w:p w14:paraId="6ABA3AF3" w14:textId="77777777" w:rsidR="00A61FF5" w:rsidRPr="004B6C01" w:rsidRDefault="00A61FF5" w:rsidP="00A61FF5">
      <w:pPr>
        <w:pStyle w:val="ESBodyText"/>
        <w:rPr>
          <w:lang w:val="en-AU"/>
        </w:rPr>
      </w:pPr>
      <w:r w:rsidRPr="004B6C01">
        <w:rPr>
          <w:lang w:val="en-AU"/>
        </w:rPr>
        <w:t>Newly</w:t>
      </w:r>
      <w:r w:rsidRPr="004B6C01">
        <w:rPr>
          <w:lang w:val="en-AU"/>
        </w:rPr>
        <w:noBreakHyphen/>
        <w:t>released data for international testing shows that Victoria is a consistent performer at a time when national performance has declined. In the most recent Trends in International Mathematics and Science Study (TIMSS), the proportion of Victorian students achieving international benchmarks increased for Year 8 students and remained stable for Year 4 students.</w:t>
      </w:r>
    </w:p>
    <w:p w14:paraId="05745C44" w14:textId="77777777" w:rsidR="00A61FF5" w:rsidRPr="004B6C01" w:rsidRDefault="00A61FF5" w:rsidP="00A61FF5">
      <w:pPr>
        <w:pStyle w:val="ESBodyText"/>
        <w:rPr>
          <w:lang w:val="en-AU"/>
        </w:rPr>
      </w:pPr>
      <w:r w:rsidRPr="004B6C01">
        <w:rPr>
          <w:lang w:val="en-AU"/>
        </w:rPr>
        <w:t>Results from the Programme for International Student Assessment (PISA) of 15</w:t>
      </w:r>
      <w:r w:rsidRPr="004B6C01">
        <w:rPr>
          <w:lang w:val="en-AU"/>
        </w:rPr>
        <w:noBreakHyphen/>
        <w:t>year</w:t>
      </w:r>
      <w:r w:rsidRPr="004B6C01">
        <w:rPr>
          <w:lang w:val="en-AU"/>
        </w:rPr>
        <w:noBreakHyphen/>
        <w:t>olds showed mixed results: the proportion of students achieving at or above the nationally</w:t>
      </w:r>
      <w:r w:rsidRPr="004B6C01">
        <w:rPr>
          <w:lang w:val="en-AU"/>
        </w:rPr>
        <w:noBreakHyphen/>
        <w:t>agreed proficiency standard remained stable for Mathematics but decreased for Reading. In PISA Science, Victoria’s mean score improved relative to the top 25 per cent of jurisdictions. In 2015, Victoria performed above the Australian and international testing averages in both TIMSS and PISA testing.</w:t>
      </w:r>
    </w:p>
    <w:p w14:paraId="5C0443F7" w14:textId="77777777" w:rsidR="00A61FF5" w:rsidRPr="004B6C01" w:rsidRDefault="00A61FF5" w:rsidP="00A61FF5">
      <w:pPr>
        <w:pStyle w:val="ESBodyText"/>
        <w:rPr>
          <w:lang w:val="en-AU"/>
        </w:rPr>
      </w:pPr>
      <w:r w:rsidRPr="004B6C01">
        <w:rPr>
          <w:lang w:val="en-AU"/>
        </w:rPr>
        <w:t>Improving student achievement, particularly in Mathematics and Science, will be supported by the newly released STEM plan in the Education State. This plan invests in STEM programs and initiatives, providing schools with access to leading-edge resources and excellent teaching. This will help equip Victorian learners of all ages and backgrounds with the STEM skills they need now, and for the future.</w:t>
      </w:r>
    </w:p>
    <w:p w14:paraId="2AB03B77" w14:textId="77777777" w:rsidR="00A61FF5" w:rsidRPr="004B6C01" w:rsidRDefault="00A61FF5" w:rsidP="00A61FF5">
      <w:pPr>
        <w:pStyle w:val="ESBodyText"/>
        <w:rPr>
          <w:lang w:val="en-AU"/>
        </w:rPr>
      </w:pPr>
      <w:r w:rsidRPr="004B6C01">
        <w:rPr>
          <w:lang w:val="en-AU"/>
        </w:rPr>
        <w:t>Teachers play a pivotal role in building the Education State, with positive teacher collaboration being a key success factor. The School Staff Survey’s 2016 results (government school teachers) show that teachers’ perceptions of collaboration within their school decreased marginally from 2014, with three-in-five teachers responding positively. A key Education State reform, Professional Learning Communities, supports practice change across the education system, providing the culture and structure Victorian teachers need to more effectively collaborate and improve professional practice.</w:t>
      </w:r>
    </w:p>
    <w:p w14:paraId="45E60AD0" w14:textId="77777777" w:rsidR="00A61FF5" w:rsidRPr="004B6C01" w:rsidRDefault="00A61FF5" w:rsidP="00A61FF5">
      <w:pPr>
        <w:pStyle w:val="ESBodyText"/>
        <w:rPr>
          <w:lang w:val="en-AU"/>
        </w:rPr>
      </w:pPr>
      <w:r w:rsidRPr="004B6C01">
        <w:rPr>
          <w:lang w:val="en-AU"/>
        </w:rPr>
        <w:t>Keeping students engaged and in school is a key platform of the Education State reforms in schools. Completing Year 12 (or equivalent) has a range of economic, social, emotional and health benefits. The educational attainment of young people increased slightly between 2015 and 2016 with just over nine-in-ten young people aged 20–24 years attaining a Year 12 or non-school qualification at or above Certificate II level.</w:t>
      </w:r>
    </w:p>
    <w:p w14:paraId="0B9FC2BC" w14:textId="441DC3B2" w:rsidR="002C7ABD" w:rsidRPr="003A0F4F" w:rsidRDefault="002C7ABD" w:rsidP="002C7ABD">
      <w:pPr>
        <w:pStyle w:val="ESBodyText"/>
        <w:rPr>
          <w:lang w:val="en-AU"/>
        </w:rPr>
      </w:pPr>
      <w:r w:rsidRPr="003A0F4F">
        <w:rPr>
          <w:lang w:val="en-AU"/>
        </w:rPr>
        <w:t>Overall, government funded Vocational Education and Training (VET) activity in Victoria in 2016 continues to decline, a decline that has been observed every year since the record highs of 2012, demonstrating clearly that training activity in previous years was over-inflated.</w:t>
      </w:r>
    </w:p>
    <w:p w14:paraId="0AFE5EDF" w14:textId="77777777" w:rsidR="002C7ABD" w:rsidRPr="002C7ABD" w:rsidRDefault="002C7ABD" w:rsidP="002C7ABD">
      <w:pPr>
        <w:pStyle w:val="ESBodyText"/>
        <w:rPr>
          <w:lang w:val="en-AU"/>
        </w:rPr>
      </w:pPr>
      <w:r w:rsidRPr="003A0F4F">
        <w:rPr>
          <w:lang w:val="en-AU"/>
        </w:rPr>
        <w:t>Initiatives, such as the Quality Assurance Review Blitz that started in July 2015, have made considerable progress addressing previous quality issues and helped restore certainty and stability in Victoria’s training system. As a result of the quality blitz, a number of low-quality private training providers offering poor-quality courses and poor student outcomes have been removed from the Victorian training system, in turn reducing training activity numbers.</w:t>
      </w:r>
    </w:p>
    <w:p w14:paraId="4C635DD7" w14:textId="1B8A5EB5" w:rsidR="00A61FF5" w:rsidRPr="004B6C01" w:rsidRDefault="00A61FF5"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3</w:t>
      </w:r>
      <w:r w:rsidR="00D93BA2" w:rsidRPr="004B6C01">
        <w:rPr>
          <w:noProof/>
          <w:lang w:val="en-AU"/>
        </w:rPr>
        <w:fldChar w:fldCharType="end"/>
      </w:r>
      <w:r w:rsidRPr="004B6C01">
        <w:rPr>
          <w:lang w:val="en-AU"/>
        </w:rPr>
        <w:t xml:space="preserve"> – Departmental indicators against achievement</w:t>
      </w:r>
    </w:p>
    <w:tbl>
      <w:tblPr>
        <w:tblW w:w="5000" w:type="pct"/>
        <w:tblBorders>
          <w:top w:val="single" w:sz="6" w:space="0" w:color="777777"/>
          <w:bottom w:val="single" w:sz="12" w:space="0" w:color="777777"/>
        </w:tblBorders>
        <w:tblLayout w:type="fixed"/>
        <w:tblCellMar>
          <w:left w:w="45" w:type="dxa"/>
          <w:right w:w="45" w:type="dxa"/>
        </w:tblCellMar>
        <w:tblLook w:val="0000" w:firstRow="0" w:lastRow="0" w:firstColumn="0" w:lastColumn="0" w:noHBand="0" w:noVBand="0"/>
      </w:tblPr>
      <w:tblGrid>
        <w:gridCol w:w="41"/>
        <w:gridCol w:w="2946"/>
        <w:gridCol w:w="736"/>
        <w:gridCol w:w="736"/>
        <w:gridCol w:w="736"/>
        <w:gridCol w:w="736"/>
        <w:gridCol w:w="736"/>
        <w:gridCol w:w="697"/>
      </w:tblGrid>
      <w:tr w:rsidR="00A61FF5" w:rsidRPr="00932A90" w14:paraId="262C7F6B" w14:textId="77777777" w:rsidTr="009A0BAD">
        <w:trPr>
          <w:trHeight w:val="283"/>
          <w:tblHeader/>
        </w:trPr>
        <w:tc>
          <w:tcPr>
            <w:tcW w:w="2000" w:type="pct"/>
            <w:gridSpan w:val="2"/>
            <w:tcBorders>
              <w:top w:val="nil"/>
              <w:bottom w:val="nil"/>
            </w:tcBorders>
            <w:shd w:val="clear" w:color="auto" w:fill="7F7F7F" w:themeFill="text1" w:themeFillTint="80"/>
          </w:tcPr>
          <w:p w14:paraId="1B13E390" w14:textId="77777777" w:rsidR="00A61FF5" w:rsidRPr="004B6C01" w:rsidRDefault="00A61FF5" w:rsidP="00D07480">
            <w:pPr>
              <w:pStyle w:val="ESTableheadingwhite"/>
              <w:rPr>
                <w:lang w:val="en-AU"/>
              </w:rPr>
            </w:pPr>
            <w:r w:rsidRPr="004B6C01">
              <w:rPr>
                <w:lang w:val="en-AU"/>
              </w:rPr>
              <w:t>Indicators</w:t>
            </w:r>
          </w:p>
        </w:tc>
        <w:tc>
          <w:tcPr>
            <w:tcW w:w="500" w:type="pct"/>
            <w:tcBorders>
              <w:top w:val="nil"/>
              <w:bottom w:val="nil"/>
            </w:tcBorders>
            <w:shd w:val="clear" w:color="auto" w:fill="7F7F7F" w:themeFill="text1" w:themeFillTint="80"/>
          </w:tcPr>
          <w:p w14:paraId="650DD8B6" w14:textId="77777777" w:rsidR="00A61FF5" w:rsidRPr="004B6C01" w:rsidRDefault="00A61FF5" w:rsidP="00D07480">
            <w:pPr>
              <w:pStyle w:val="ESTableheadingwhite"/>
              <w:rPr>
                <w:lang w:val="en-AU"/>
              </w:rPr>
            </w:pPr>
            <w:r w:rsidRPr="004B6C01">
              <w:rPr>
                <w:lang w:val="en-AU"/>
              </w:rPr>
              <w:t>Unit</w:t>
            </w:r>
          </w:p>
        </w:tc>
        <w:tc>
          <w:tcPr>
            <w:tcW w:w="500" w:type="pct"/>
            <w:tcBorders>
              <w:top w:val="nil"/>
              <w:bottom w:val="nil"/>
            </w:tcBorders>
            <w:shd w:val="clear" w:color="auto" w:fill="7F7F7F" w:themeFill="text1" w:themeFillTint="80"/>
          </w:tcPr>
          <w:p w14:paraId="5F3FB04E" w14:textId="77777777" w:rsidR="00A61FF5" w:rsidRPr="004B6C01" w:rsidRDefault="00A61FF5" w:rsidP="00D07480">
            <w:pPr>
              <w:pStyle w:val="ESTableheadingwhite"/>
              <w:jc w:val="right"/>
              <w:rPr>
                <w:lang w:val="en-AU"/>
              </w:rPr>
            </w:pPr>
            <w:r w:rsidRPr="004B6C01">
              <w:rPr>
                <w:lang w:val="en-AU"/>
              </w:rPr>
              <w:t>2012</w:t>
            </w:r>
          </w:p>
        </w:tc>
        <w:tc>
          <w:tcPr>
            <w:tcW w:w="500" w:type="pct"/>
            <w:tcBorders>
              <w:top w:val="nil"/>
              <w:bottom w:val="nil"/>
            </w:tcBorders>
            <w:shd w:val="clear" w:color="auto" w:fill="7F7F7F" w:themeFill="text1" w:themeFillTint="80"/>
          </w:tcPr>
          <w:p w14:paraId="295B99A6" w14:textId="77777777" w:rsidR="00A61FF5" w:rsidRPr="004B6C01" w:rsidRDefault="00A61FF5" w:rsidP="00D07480">
            <w:pPr>
              <w:pStyle w:val="ESTableheadingwhite"/>
              <w:jc w:val="right"/>
              <w:rPr>
                <w:lang w:val="en-AU"/>
              </w:rPr>
            </w:pPr>
            <w:r w:rsidRPr="004B6C01">
              <w:rPr>
                <w:lang w:val="en-AU"/>
              </w:rPr>
              <w:t>2013</w:t>
            </w:r>
          </w:p>
        </w:tc>
        <w:tc>
          <w:tcPr>
            <w:tcW w:w="500" w:type="pct"/>
            <w:tcBorders>
              <w:top w:val="nil"/>
              <w:bottom w:val="nil"/>
            </w:tcBorders>
            <w:shd w:val="clear" w:color="auto" w:fill="7F7F7F" w:themeFill="text1" w:themeFillTint="80"/>
          </w:tcPr>
          <w:p w14:paraId="3A222BB4" w14:textId="77777777" w:rsidR="00A61FF5" w:rsidRPr="004B6C01" w:rsidRDefault="00A61FF5" w:rsidP="00D07480">
            <w:pPr>
              <w:pStyle w:val="ESTableheadingwhite"/>
              <w:jc w:val="right"/>
              <w:rPr>
                <w:lang w:val="en-AU"/>
              </w:rPr>
            </w:pPr>
            <w:r w:rsidRPr="004B6C01">
              <w:rPr>
                <w:lang w:val="en-AU"/>
              </w:rPr>
              <w:t>2014</w:t>
            </w:r>
          </w:p>
        </w:tc>
        <w:tc>
          <w:tcPr>
            <w:tcW w:w="500" w:type="pct"/>
            <w:tcBorders>
              <w:top w:val="nil"/>
              <w:bottom w:val="nil"/>
            </w:tcBorders>
            <w:shd w:val="clear" w:color="auto" w:fill="7F7F7F" w:themeFill="text1" w:themeFillTint="80"/>
          </w:tcPr>
          <w:p w14:paraId="4BF36D49" w14:textId="77777777" w:rsidR="00A61FF5" w:rsidRPr="004B6C01" w:rsidRDefault="00A61FF5" w:rsidP="00D07480">
            <w:pPr>
              <w:pStyle w:val="ESTableheadingwhite"/>
              <w:jc w:val="right"/>
              <w:rPr>
                <w:lang w:val="en-AU"/>
              </w:rPr>
            </w:pPr>
            <w:r w:rsidRPr="004B6C01">
              <w:rPr>
                <w:lang w:val="en-AU"/>
              </w:rPr>
              <w:t>2015</w:t>
            </w:r>
          </w:p>
        </w:tc>
        <w:tc>
          <w:tcPr>
            <w:tcW w:w="500" w:type="pct"/>
            <w:tcBorders>
              <w:top w:val="nil"/>
              <w:bottom w:val="nil"/>
            </w:tcBorders>
            <w:shd w:val="clear" w:color="auto" w:fill="7F7F7F" w:themeFill="text1" w:themeFillTint="80"/>
          </w:tcPr>
          <w:p w14:paraId="54B45BA4" w14:textId="77777777" w:rsidR="00A61FF5" w:rsidRPr="004B6C01" w:rsidRDefault="00A61FF5" w:rsidP="00D07480">
            <w:pPr>
              <w:pStyle w:val="ESTableheadingwhite"/>
              <w:jc w:val="right"/>
              <w:rPr>
                <w:lang w:val="en-AU"/>
              </w:rPr>
            </w:pPr>
            <w:r w:rsidRPr="004B6C01">
              <w:rPr>
                <w:lang w:val="en-AU"/>
              </w:rPr>
              <w:t>2016</w:t>
            </w:r>
          </w:p>
        </w:tc>
      </w:tr>
      <w:tr w:rsidR="00A61FF5" w:rsidRPr="00932A90" w14:paraId="4C72C783" w14:textId="77777777" w:rsidTr="009A0BAD">
        <w:trPr>
          <w:trHeight w:val="283"/>
        </w:trPr>
        <w:tc>
          <w:tcPr>
            <w:tcW w:w="2000" w:type="pct"/>
            <w:gridSpan w:val="8"/>
            <w:tcBorders>
              <w:top w:val="nil"/>
            </w:tcBorders>
            <w:shd w:val="clear" w:color="auto" w:fill="D9D9D9" w:themeFill="background1" w:themeFillShade="D9"/>
          </w:tcPr>
          <w:p w14:paraId="1420E15F" w14:textId="77777777" w:rsidR="00A61FF5" w:rsidRPr="004B6C01" w:rsidRDefault="00A61FF5" w:rsidP="009A0BAD">
            <w:pPr>
              <w:pStyle w:val="ESTableheading"/>
              <w:rPr>
                <w:lang w:val="en-AU"/>
              </w:rPr>
            </w:pPr>
            <w:r w:rsidRPr="004B6C01">
              <w:rPr>
                <w:lang w:val="en-AU"/>
              </w:rPr>
              <w:t>Early childhood development</w:t>
            </w:r>
          </w:p>
        </w:tc>
      </w:tr>
      <w:tr w:rsidR="00A61FF5" w:rsidRPr="00932A90" w14:paraId="04B695D1" w14:textId="77777777" w:rsidTr="004576EA">
        <w:trPr>
          <w:trHeight w:val="283"/>
        </w:trPr>
        <w:tc>
          <w:tcPr>
            <w:tcW w:w="2000" w:type="pct"/>
            <w:gridSpan w:val="8"/>
            <w:shd w:val="clear" w:color="auto" w:fill="auto"/>
          </w:tcPr>
          <w:p w14:paraId="6A5CC9CC" w14:textId="77777777" w:rsidR="00A61FF5" w:rsidRPr="004B6C01" w:rsidRDefault="00A61FF5" w:rsidP="009A0BAD">
            <w:pPr>
              <w:pStyle w:val="ESTableheading"/>
              <w:rPr>
                <w:lang w:val="en-AU"/>
              </w:rPr>
            </w:pPr>
            <w:r w:rsidRPr="004B6C01">
              <w:rPr>
                <w:lang w:val="en-AU"/>
              </w:rPr>
              <w:t>Children developmentally ‘on track’ on the Australian Early Development Census language and cognitive skills domains</w:t>
            </w:r>
          </w:p>
        </w:tc>
      </w:tr>
      <w:tr w:rsidR="00A61FF5" w:rsidRPr="00932A90" w14:paraId="0EC62695" w14:textId="77777777" w:rsidTr="004576EA">
        <w:trPr>
          <w:trHeight w:val="283"/>
        </w:trPr>
        <w:tc>
          <w:tcPr>
            <w:tcW w:w="2000" w:type="pct"/>
            <w:gridSpan w:val="2"/>
            <w:shd w:val="clear" w:color="auto" w:fill="auto"/>
          </w:tcPr>
          <w:p w14:paraId="6B9E2C52" w14:textId="77777777" w:rsidR="00A61FF5" w:rsidRPr="004B6C01" w:rsidRDefault="00A61FF5" w:rsidP="00D07480">
            <w:pPr>
              <w:pStyle w:val="ESTableBody"/>
              <w:rPr>
                <w:sz w:val="19"/>
                <w:lang w:val="en-AU"/>
              </w:rPr>
            </w:pPr>
            <w:r w:rsidRPr="004B6C01">
              <w:rPr>
                <w:lang w:val="en-AU"/>
              </w:rPr>
              <w:t>Proportion of children developmentally ‘on track’ on the Australian Early Development Census language and cognitive skills domains</w:t>
            </w:r>
          </w:p>
        </w:tc>
        <w:tc>
          <w:tcPr>
            <w:tcW w:w="500" w:type="pct"/>
            <w:shd w:val="clear" w:color="auto" w:fill="auto"/>
          </w:tcPr>
          <w:p w14:paraId="2E1724E0" w14:textId="77777777" w:rsidR="00A61FF5" w:rsidRPr="004B6C01" w:rsidRDefault="00A61FF5" w:rsidP="00D07480">
            <w:pPr>
              <w:pStyle w:val="ESTableBody"/>
              <w:rPr>
                <w:lang w:val="en-AU"/>
              </w:rPr>
            </w:pPr>
            <w:r w:rsidRPr="004B6C01">
              <w:rPr>
                <w:lang w:val="en-AU"/>
              </w:rPr>
              <w:t>per cent</w:t>
            </w:r>
          </w:p>
        </w:tc>
        <w:tc>
          <w:tcPr>
            <w:tcW w:w="500" w:type="pct"/>
            <w:shd w:val="clear" w:color="auto" w:fill="auto"/>
          </w:tcPr>
          <w:p w14:paraId="48EE6C2F" w14:textId="77777777" w:rsidR="00A61FF5" w:rsidRPr="004B6C01" w:rsidRDefault="00A61FF5" w:rsidP="00D07480">
            <w:pPr>
              <w:pStyle w:val="ESTableBody"/>
              <w:jc w:val="right"/>
              <w:rPr>
                <w:lang w:val="en-AU"/>
              </w:rPr>
            </w:pPr>
            <w:r w:rsidRPr="004B6C01">
              <w:rPr>
                <w:lang w:val="en-AU"/>
              </w:rPr>
              <w:t>84.0</w:t>
            </w:r>
          </w:p>
        </w:tc>
        <w:tc>
          <w:tcPr>
            <w:tcW w:w="500" w:type="pct"/>
            <w:shd w:val="clear" w:color="auto" w:fill="auto"/>
          </w:tcPr>
          <w:p w14:paraId="7DB9137F" w14:textId="77777777" w:rsidR="00A61FF5" w:rsidRPr="004B6C01" w:rsidRDefault="00A61FF5" w:rsidP="00D07480">
            <w:pPr>
              <w:pStyle w:val="ESTableBody"/>
              <w:jc w:val="right"/>
              <w:rPr>
                <w:lang w:val="en-AU"/>
              </w:rPr>
            </w:pPr>
            <w:r w:rsidRPr="004B6C01">
              <w:rPr>
                <w:lang w:val="en-AU"/>
              </w:rPr>
              <w:t>–</w:t>
            </w:r>
          </w:p>
        </w:tc>
        <w:tc>
          <w:tcPr>
            <w:tcW w:w="500" w:type="pct"/>
            <w:shd w:val="clear" w:color="auto" w:fill="auto"/>
          </w:tcPr>
          <w:p w14:paraId="402DF9D4" w14:textId="77777777" w:rsidR="00A61FF5" w:rsidRPr="004B6C01" w:rsidRDefault="00A61FF5" w:rsidP="00D07480">
            <w:pPr>
              <w:pStyle w:val="ESTableBody"/>
              <w:jc w:val="right"/>
              <w:rPr>
                <w:lang w:val="en-AU"/>
              </w:rPr>
            </w:pPr>
            <w:r w:rsidRPr="004B6C01">
              <w:rPr>
                <w:lang w:val="en-AU"/>
              </w:rPr>
              <w:t>–</w:t>
            </w:r>
          </w:p>
        </w:tc>
        <w:tc>
          <w:tcPr>
            <w:tcW w:w="500" w:type="pct"/>
            <w:shd w:val="clear" w:color="auto" w:fill="auto"/>
          </w:tcPr>
          <w:p w14:paraId="3ED61C3F" w14:textId="77777777" w:rsidR="00A61FF5" w:rsidRPr="004B6C01" w:rsidRDefault="00A61FF5" w:rsidP="00D07480">
            <w:pPr>
              <w:pStyle w:val="ESTableBody"/>
              <w:jc w:val="right"/>
              <w:rPr>
                <w:lang w:val="en-AU"/>
              </w:rPr>
            </w:pPr>
            <w:r w:rsidRPr="004B6C01">
              <w:rPr>
                <w:lang w:val="en-AU"/>
              </w:rPr>
              <w:t>84.7</w:t>
            </w:r>
          </w:p>
        </w:tc>
        <w:tc>
          <w:tcPr>
            <w:tcW w:w="500" w:type="pct"/>
          </w:tcPr>
          <w:p w14:paraId="37067BBF" w14:textId="77777777" w:rsidR="00A61FF5" w:rsidRPr="004B6C01" w:rsidRDefault="00A61FF5" w:rsidP="00D07480">
            <w:pPr>
              <w:pStyle w:val="ESTableBody"/>
              <w:jc w:val="right"/>
              <w:rPr>
                <w:lang w:val="en-AU"/>
              </w:rPr>
            </w:pPr>
            <w:r w:rsidRPr="004B6C01">
              <w:rPr>
                <w:lang w:val="en-AU"/>
              </w:rPr>
              <w:t>–</w:t>
            </w:r>
          </w:p>
        </w:tc>
      </w:tr>
      <w:tr w:rsidR="00A61FF5" w:rsidRPr="00932A90" w14:paraId="6655DAD1" w14:textId="77777777" w:rsidTr="004576EA">
        <w:trPr>
          <w:trHeight w:val="283"/>
        </w:trPr>
        <w:tc>
          <w:tcPr>
            <w:tcW w:w="2000" w:type="pct"/>
            <w:gridSpan w:val="8"/>
            <w:shd w:val="clear" w:color="auto" w:fill="auto"/>
          </w:tcPr>
          <w:p w14:paraId="62C2CD96" w14:textId="447BBCB8" w:rsidR="00A61FF5" w:rsidRPr="004B6C01" w:rsidRDefault="00A61FF5" w:rsidP="003761CC">
            <w:pPr>
              <w:pStyle w:val="ESTableheading"/>
              <w:rPr>
                <w:lang w:val="en-AU"/>
              </w:rPr>
            </w:pPr>
            <w:r w:rsidRPr="004B6C01">
              <w:rPr>
                <w:lang w:val="en-AU"/>
              </w:rPr>
              <w:t>Proportion of early childhood services meeting or exceeding National Quality Standard Area 1 (NQSA1</w:t>
            </w:r>
            <w:r w:rsidR="003761CC" w:rsidRPr="004B6C01">
              <w:rPr>
                <w:lang w:val="en-AU"/>
              </w:rPr>
              <w:t>—</w:t>
            </w:r>
            <w:r w:rsidRPr="004B6C01">
              <w:rPr>
                <w:lang w:val="en-AU"/>
              </w:rPr>
              <w:t>Educational program and practice)</w:t>
            </w:r>
          </w:p>
        </w:tc>
      </w:tr>
      <w:tr w:rsidR="00A61FF5" w:rsidRPr="00932A90" w14:paraId="7E1F327D" w14:textId="77777777" w:rsidTr="004576EA">
        <w:trPr>
          <w:trHeight w:val="283"/>
        </w:trPr>
        <w:tc>
          <w:tcPr>
            <w:tcW w:w="2000" w:type="pct"/>
            <w:gridSpan w:val="2"/>
            <w:shd w:val="clear" w:color="auto" w:fill="auto"/>
          </w:tcPr>
          <w:p w14:paraId="06B87047" w14:textId="77777777" w:rsidR="00A61FF5" w:rsidRPr="004B6C01" w:rsidRDefault="00A61FF5" w:rsidP="00D07480">
            <w:pPr>
              <w:pStyle w:val="ESTableBody"/>
              <w:rPr>
                <w:lang w:val="en-AU"/>
              </w:rPr>
            </w:pPr>
            <w:r w:rsidRPr="004B6C01">
              <w:rPr>
                <w:lang w:val="en-AU"/>
              </w:rPr>
              <w:t>Proportion of early childhood services meeting or exceeding National Quality Standard Area 1</w:t>
            </w:r>
          </w:p>
        </w:tc>
        <w:tc>
          <w:tcPr>
            <w:tcW w:w="500" w:type="pct"/>
            <w:shd w:val="clear" w:color="auto" w:fill="auto"/>
          </w:tcPr>
          <w:p w14:paraId="6CB7F9EE" w14:textId="77777777" w:rsidR="00A61FF5" w:rsidRPr="004B6C01" w:rsidRDefault="00A61FF5" w:rsidP="00D07480">
            <w:pPr>
              <w:pStyle w:val="ESTableBody"/>
              <w:rPr>
                <w:lang w:val="en-AU"/>
              </w:rPr>
            </w:pPr>
            <w:r w:rsidRPr="004B6C01">
              <w:rPr>
                <w:lang w:val="en-AU"/>
              </w:rPr>
              <w:t>per cent</w:t>
            </w:r>
          </w:p>
        </w:tc>
        <w:tc>
          <w:tcPr>
            <w:tcW w:w="500" w:type="pct"/>
            <w:shd w:val="clear" w:color="auto" w:fill="auto"/>
          </w:tcPr>
          <w:p w14:paraId="68FC0AC2" w14:textId="77777777" w:rsidR="00A61FF5" w:rsidRPr="004B6C01" w:rsidRDefault="00A61FF5" w:rsidP="004B6C01">
            <w:pPr>
              <w:pStyle w:val="ESTableBody"/>
              <w:jc w:val="right"/>
              <w:rPr>
                <w:lang w:val="en-AU"/>
              </w:rPr>
            </w:pPr>
            <w:r w:rsidRPr="004B6C01">
              <w:rPr>
                <w:lang w:val="en-AU"/>
              </w:rPr>
              <w:t>–</w:t>
            </w:r>
          </w:p>
        </w:tc>
        <w:tc>
          <w:tcPr>
            <w:tcW w:w="500" w:type="pct"/>
            <w:shd w:val="clear" w:color="auto" w:fill="auto"/>
          </w:tcPr>
          <w:p w14:paraId="28359283" w14:textId="77777777" w:rsidR="00A61FF5" w:rsidRPr="004B6C01" w:rsidRDefault="00A61FF5" w:rsidP="004B6C01">
            <w:pPr>
              <w:pStyle w:val="ESTableBody"/>
              <w:jc w:val="right"/>
              <w:rPr>
                <w:lang w:val="en-AU"/>
              </w:rPr>
            </w:pPr>
            <w:r w:rsidRPr="004B6C01">
              <w:rPr>
                <w:lang w:val="en-AU"/>
              </w:rPr>
              <w:t>82.7</w:t>
            </w:r>
          </w:p>
        </w:tc>
        <w:tc>
          <w:tcPr>
            <w:tcW w:w="500" w:type="pct"/>
            <w:shd w:val="clear" w:color="auto" w:fill="auto"/>
          </w:tcPr>
          <w:p w14:paraId="2A4283DB" w14:textId="77777777" w:rsidR="00A61FF5" w:rsidRPr="004B6C01" w:rsidRDefault="00A61FF5" w:rsidP="004B6C01">
            <w:pPr>
              <w:pStyle w:val="ESTableBody"/>
              <w:jc w:val="right"/>
              <w:rPr>
                <w:lang w:val="en-AU"/>
              </w:rPr>
            </w:pPr>
            <w:r w:rsidRPr="004B6C01">
              <w:rPr>
                <w:lang w:val="en-AU"/>
              </w:rPr>
              <w:t>85.4</w:t>
            </w:r>
          </w:p>
        </w:tc>
        <w:tc>
          <w:tcPr>
            <w:tcW w:w="500" w:type="pct"/>
            <w:shd w:val="clear" w:color="auto" w:fill="auto"/>
          </w:tcPr>
          <w:p w14:paraId="54C94159" w14:textId="77777777" w:rsidR="00A61FF5" w:rsidRPr="004B6C01" w:rsidRDefault="00A61FF5" w:rsidP="004B6C01">
            <w:pPr>
              <w:pStyle w:val="ESTableBody"/>
              <w:jc w:val="right"/>
              <w:rPr>
                <w:lang w:val="en-AU"/>
              </w:rPr>
            </w:pPr>
            <w:r w:rsidRPr="004B6C01">
              <w:rPr>
                <w:lang w:val="en-AU"/>
              </w:rPr>
              <w:t>87.0</w:t>
            </w:r>
          </w:p>
        </w:tc>
        <w:tc>
          <w:tcPr>
            <w:tcW w:w="500" w:type="pct"/>
          </w:tcPr>
          <w:p w14:paraId="47DCD689" w14:textId="77777777" w:rsidR="00A61FF5" w:rsidRPr="004B6C01" w:rsidRDefault="00A61FF5" w:rsidP="004B6C01">
            <w:pPr>
              <w:pStyle w:val="ESTableBody"/>
              <w:jc w:val="right"/>
              <w:rPr>
                <w:lang w:val="en-AU"/>
              </w:rPr>
            </w:pPr>
            <w:r w:rsidRPr="004B6C01">
              <w:rPr>
                <w:lang w:val="en-AU"/>
              </w:rPr>
              <w:t>87.5</w:t>
            </w:r>
          </w:p>
        </w:tc>
      </w:tr>
      <w:tr w:rsidR="00A61FF5" w:rsidRPr="00932A90" w14:paraId="34C1160A" w14:textId="77777777" w:rsidTr="009A0BAD">
        <w:trPr>
          <w:trHeight w:val="283"/>
        </w:trPr>
        <w:tc>
          <w:tcPr>
            <w:tcW w:w="2000" w:type="pct"/>
            <w:gridSpan w:val="8"/>
            <w:shd w:val="clear" w:color="auto" w:fill="D9D9D9" w:themeFill="background1" w:themeFillShade="D9"/>
          </w:tcPr>
          <w:p w14:paraId="6DAD8480" w14:textId="77777777" w:rsidR="00A61FF5" w:rsidRPr="004B6C01" w:rsidRDefault="00A61FF5" w:rsidP="009A0BAD">
            <w:pPr>
              <w:pStyle w:val="ESTableheading"/>
              <w:rPr>
                <w:lang w:val="en-AU"/>
              </w:rPr>
            </w:pPr>
            <w:r w:rsidRPr="004B6C01">
              <w:rPr>
                <w:lang w:val="en-AU"/>
              </w:rPr>
              <w:t>School education</w:t>
            </w:r>
          </w:p>
        </w:tc>
      </w:tr>
      <w:tr w:rsidR="00A61FF5" w:rsidRPr="00932A90" w14:paraId="73ED886B" w14:textId="77777777" w:rsidTr="004576EA">
        <w:trPr>
          <w:trHeight w:val="283"/>
        </w:trPr>
        <w:tc>
          <w:tcPr>
            <w:tcW w:w="2000" w:type="pct"/>
            <w:gridSpan w:val="8"/>
            <w:shd w:val="clear" w:color="auto" w:fill="auto"/>
          </w:tcPr>
          <w:p w14:paraId="6E775B11" w14:textId="77777777" w:rsidR="00A61FF5" w:rsidRPr="006E49EE" w:rsidRDefault="00A61FF5" w:rsidP="009A0BAD">
            <w:pPr>
              <w:pStyle w:val="ESTableheading"/>
              <w:rPr>
                <w:lang w:val="en-AU"/>
              </w:rPr>
            </w:pPr>
            <w:r w:rsidRPr="004B6C01">
              <w:rPr>
                <w:lang w:val="en-AU"/>
              </w:rPr>
              <w:t>Students meeting the expected standard in national and international literacy and numeracy assessments</w:t>
            </w:r>
            <w:r w:rsidRPr="006E49EE">
              <w:rPr>
                <w:rStyle w:val="FootnoteReference"/>
                <w:lang w:val="en-AU"/>
              </w:rPr>
              <w:footnoteReference w:id="2"/>
            </w:r>
          </w:p>
        </w:tc>
      </w:tr>
      <w:tr w:rsidR="00A61FF5" w:rsidRPr="00932A90" w14:paraId="1DE84284" w14:textId="77777777" w:rsidTr="004576EA">
        <w:trPr>
          <w:trHeight w:val="283"/>
        </w:trPr>
        <w:tc>
          <w:tcPr>
            <w:tcW w:w="2000" w:type="pct"/>
            <w:gridSpan w:val="8"/>
            <w:shd w:val="clear" w:color="auto" w:fill="auto"/>
          </w:tcPr>
          <w:p w14:paraId="7A976AC7" w14:textId="77777777" w:rsidR="00A61FF5" w:rsidRPr="006E49EE" w:rsidRDefault="00A61FF5" w:rsidP="00D07480">
            <w:pPr>
              <w:pStyle w:val="ESTableBody"/>
              <w:rPr>
                <w:lang w:val="en-AU"/>
              </w:rPr>
            </w:pPr>
            <w:r w:rsidRPr="006E49EE">
              <w:rPr>
                <w:lang w:val="en-AU"/>
              </w:rPr>
              <w:t>NAPLAN Proportion of students above the bottom three bands:</w:t>
            </w:r>
          </w:p>
        </w:tc>
      </w:tr>
      <w:tr w:rsidR="00A61FF5" w:rsidRPr="00932A90" w14:paraId="10FFAAED" w14:textId="77777777" w:rsidTr="004576EA">
        <w:trPr>
          <w:gridBefore w:val="1"/>
          <w:wBefore w:w="27" w:type="pct"/>
          <w:trHeight w:val="283"/>
        </w:trPr>
        <w:tc>
          <w:tcPr>
            <w:tcW w:w="2000" w:type="pct"/>
            <w:shd w:val="clear" w:color="auto" w:fill="auto"/>
          </w:tcPr>
          <w:p w14:paraId="724C7CEB" w14:textId="77777777" w:rsidR="00A61FF5" w:rsidRPr="006E49EE" w:rsidRDefault="00A61FF5" w:rsidP="00D07480">
            <w:pPr>
              <w:pStyle w:val="ESTableBody"/>
              <w:rPr>
                <w:lang w:val="en-AU"/>
              </w:rPr>
            </w:pPr>
            <w:r w:rsidRPr="006E49EE">
              <w:rPr>
                <w:lang w:val="en-AU"/>
              </w:rPr>
              <w:tab/>
              <w:t>Year 3—Literacy</w:t>
            </w:r>
          </w:p>
        </w:tc>
        <w:tc>
          <w:tcPr>
            <w:tcW w:w="500" w:type="pct"/>
            <w:shd w:val="clear" w:color="auto" w:fill="auto"/>
          </w:tcPr>
          <w:p w14:paraId="7B6141B2"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5D225375" w14:textId="77777777" w:rsidR="00A61FF5" w:rsidRPr="006E49EE" w:rsidRDefault="00A61FF5" w:rsidP="00D07480">
            <w:pPr>
              <w:pStyle w:val="ESTableBody"/>
              <w:jc w:val="right"/>
              <w:rPr>
                <w:lang w:val="en-AU"/>
              </w:rPr>
            </w:pPr>
            <w:r w:rsidRPr="006E49EE">
              <w:rPr>
                <w:lang w:val="en-AU"/>
              </w:rPr>
              <w:t>73.3</w:t>
            </w:r>
          </w:p>
        </w:tc>
        <w:tc>
          <w:tcPr>
            <w:tcW w:w="500" w:type="pct"/>
            <w:shd w:val="clear" w:color="auto" w:fill="auto"/>
          </w:tcPr>
          <w:p w14:paraId="08E88AD8" w14:textId="77777777" w:rsidR="00A61FF5" w:rsidRPr="006E49EE" w:rsidRDefault="00A61FF5" w:rsidP="00D07480">
            <w:pPr>
              <w:pStyle w:val="ESTableBody"/>
              <w:jc w:val="right"/>
              <w:rPr>
                <w:lang w:val="en-AU"/>
              </w:rPr>
            </w:pPr>
            <w:r w:rsidRPr="006E49EE">
              <w:rPr>
                <w:lang w:val="en-AU"/>
              </w:rPr>
              <w:t>75.3</w:t>
            </w:r>
          </w:p>
        </w:tc>
        <w:tc>
          <w:tcPr>
            <w:tcW w:w="500" w:type="pct"/>
            <w:shd w:val="clear" w:color="auto" w:fill="auto"/>
          </w:tcPr>
          <w:p w14:paraId="5C23440D" w14:textId="77777777" w:rsidR="00A61FF5" w:rsidRPr="006E49EE" w:rsidRDefault="00A61FF5" w:rsidP="00D07480">
            <w:pPr>
              <w:pStyle w:val="ESTableBody"/>
              <w:jc w:val="right"/>
              <w:rPr>
                <w:lang w:val="en-AU"/>
              </w:rPr>
            </w:pPr>
            <w:r w:rsidRPr="006E49EE">
              <w:rPr>
                <w:lang w:val="en-AU"/>
              </w:rPr>
              <w:t>73.7</w:t>
            </w:r>
          </w:p>
        </w:tc>
        <w:tc>
          <w:tcPr>
            <w:tcW w:w="500" w:type="pct"/>
            <w:shd w:val="clear" w:color="auto" w:fill="auto"/>
          </w:tcPr>
          <w:p w14:paraId="4FF6A0C8" w14:textId="77777777" w:rsidR="00A61FF5" w:rsidRPr="006E49EE" w:rsidRDefault="00A61FF5" w:rsidP="00D07480">
            <w:pPr>
              <w:pStyle w:val="ESTableBody"/>
              <w:jc w:val="right"/>
              <w:rPr>
                <w:lang w:val="en-AU"/>
              </w:rPr>
            </w:pPr>
            <w:r w:rsidRPr="006E49EE">
              <w:rPr>
                <w:lang w:val="en-AU"/>
              </w:rPr>
              <w:t>76.2</w:t>
            </w:r>
          </w:p>
        </w:tc>
        <w:tc>
          <w:tcPr>
            <w:tcW w:w="500" w:type="pct"/>
          </w:tcPr>
          <w:p w14:paraId="4382EE60" w14:textId="77777777" w:rsidR="00A61FF5" w:rsidRPr="006E49EE" w:rsidRDefault="00A61FF5" w:rsidP="00D07480">
            <w:pPr>
              <w:pStyle w:val="ESTableBody"/>
              <w:jc w:val="right"/>
              <w:rPr>
                <w:lang w:val="en-AU"/>
              </w:rPr>
            </w:pPr>
            <w:r w:rsidRPr="006E49EE">
              <w:rPr>
                <w:lang w:val="en-AU"/>
              </w:rPr>
              <w:t>75.6</w:t>
            </w:r>
          </w:p>
        </w:tc>
      </w:tr>
      <w:tr w:rsidR="00A61FF5" w:rsidRPr="00932A90" w14:paraId="45D286BE" w14:textId="77777777" w:rsidTr="004576EA">
        <w:trPr>
          <w:gridBefore w:val="1"/>
          <w:wBefore w:w="27" w:type="pct"/>
          <w:trHeight w:val="283"/>
        </w:trPr>
        <w:tc>
          <w:tcPr>
            <w:tcW w:w="2000" w:type="pct"/>
            <w:shd w:val="clear" w:color="auto" w:fill="auto"/>
          </w:tcPr>
          <w:p w14:paraId="3B4CF59A" w14:textId="77777777" w:rsidR="00A61FF5" w:rsidRPr="006E49EE" w:rsidRDefault="00A61FF5" w:rsidP="00D07480">
            <w:pPr>
              <w:pStyle w:val="ESTableBody"/>
              <w:rPr>
                <w:lang w:val="en-AU"/>
              </w:rPr>
            </w:pPr>
            <w:r w:rsidRPr="006E49EE">
              <w:rPr>
                <w:lang w:val="en-AU"/>
              </w:rPr>
              <w:tab/>
              <w:t>Year 3—Numeracy</w:t>
            </w:r>
          </w:p>
        </w:tc>
        <w:tc>
          <w:tcPr>
            <w:tcW w:w="500" w:type="pct"/>
            <w:shd w:val="clear" w:color="auto" w:fill="auto"/>
          </w:tcPr>
          <w:p w14:paraId="1276F4EE"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789F1C15" w14:textId="77777777" w:rsidR="00A61FF5" w:rsidRPr="006E49EE" w:rsidRDefault="00A61FF5" w:rsidP="00D07480">
            <w:pPr>
              <w:pStyle w:val="ESTableBody"/>
              <w:jc w:val="right"/>
              <w:rPr>
                <w:lang w:val="en-AU"/>
              </w:rPr>
            </w:pPr>
            <w:r w:rsidRPr="006E49EE">
              <w:rPr>
                <w:lang w:val="en-AU"/>
              </w:rPr>
              <w:t>67.3</w:t>
            </w:r>
          </w:p>
        </w:tc>
        <w:tc>
          <w:tcPr>
            <w:tcW w:w="500" w:type="pct"/>
            <w:shd w:val="clear" w:color="auto" w:fill="auto"/>
          </w:tcPr>
          <w:p w14:paraId="0B0558BA" w14:textId="77777777" w:rsidR="00A61FF5" w:rsidRPr="006E49EE" w:rsidRDefault="00A61FF5" w:rsidP="00D07480">
            <w:pPr>
              <w:pStyle w:val="ESTableBody"/>
              <w:jc w:val="right"/>
              <w:rPr>
                <w:lang w:val="en-AU"/>
              </w:rPr>
            </w:pPr>
            <w:r w:rsidRPr="006E49EE">
              <w:rPr>
                <w:lang w:val="en-AU"/>
              </w:rPr>
              <w:t>68.9</w:t>
            </w:r>
          </w:p>
        </w:tc>
        <w:tc>
          <w:tcPr>
            <w:tcW w:w="500" w:type="pct"/>
            <w:shd w:val="clear" w:color="auto" w:fill="auto"/>
          </w:tcPr>
          <w:p w14:paraId="67299E3A" w14:textId="77777777" w:rsidR="00A61FF5" w:rsidRPr="006E49EE" w:rsidRDefault="00A61FF5" w:rsidP="00D07480">
            <w:pPr>
              <w:pStyle w:val="ESTableBody"/>
              <w:jc w:val="right"/>
              <w:rPr>
                <w:lang w:val="en-AU"/>
              </w:rPr>
            </w:pPr>
            <w:r w:rsidRPr="006E49EE">
              <w:rPr>
                <w:lang w:val="en-AU"/>
              </w:rPr>
              <w:t>69.1</w:t>
            </w:r>
          </w:p>
        </w:tc>
        <w:tc>
          <w:tcPr>
            <w:tcW w:w="500" w:type="pct"/>
            <w:shd w:val="clear" w:color="auto" w:fill="auto"/>
          </w:tcPr>
          <w:p w14:paraId="42A7FBED" w14:textId="77777777" w:rsidR="00A61FF5" w:rsidRPr="006E49EE" w:rsidRDefault="00A61FF5" w:rsidP="00D07480">
            <w:pPr>
              <w:pStyle w:val="ESTableBody"/>
              <w:jc w:val="right"/>
              <w:rPr>
                <w:lang w:val="en-AU"/>
              </w:rPr>
            </w:pPr>
            <w:r w:rsidRPr="006E49EE">
              <w:rPr>
                <w:lang w:val="en-AU"/>
              </w:rPr>
              <w:t>66.4</w:t>
            </w:r>
          </w:p>
        </w:tc>
        <w:tc>
          <w:tcPr>
            <w:tcW w:w="500" w:type="pct"/>
          </w:tcPr>
          <w:p w14:paraId="4178794E" w14:textId="77777777" w:rsidR="00A61FF5" w:rsidRPr="006E49EE" w:rsidRDefault="00A61FF5" w:rsidP="00D07480">
            <w:pPr>
              <w:pStyle w:val="ESTableBody"/>
              <w:jc w:val="right"/>
              <w:rPr>
                <w:lang w:val="en-AU"/>
              </w:rPr>
            </w:pPr>
            <w:r w:rsidRPr="006E49EE">
              <w:rPr>
                <w:lang w:val="en-AU"/>
              </w:rPr>
              <w:t>67.8</w:t>
            </w:r>
          </w:p>
        </w:tc>
      </w:tr>
      <w:tr w:rsidR="00A61FF5" w:rsidRPr="00932A90" w14:paraId="3906614F" w14:textId="77777777" w:rsidTr="004576EA">
        <w:trPr>
          <w:gridBefore w:val="1"/>
          <w:wBefore w:w="27" w:type="pct"/>
          <w:trHeight w:val="283"/>
        </w:trPr>
        <w:tc>
          <w:tcPr>
            <w:tcW w:w="2000" w:type="pct"/>
            <w:shd w:val="clear" w:color="auto" w:fill="auto"/>
          </w:tcPr>
          <w:p w14:paraId="388805F5" w14:textId="77777777" w:rsidR="00A61FF5" w:rsidRPr="006E49EE" w:rsidRDefault="00A61FF5" w:rsidP="00D07480">
            <w:pPr>
              <w:pStyle w:val="ESTableBody"/>
              <w:rPr>
                <w:lang w:val="en-AU"/>
              </w:rPr>
            </w:pPr>
            <w:r w:rsidRPr="006E49EE">
              <w:rPr>
                <w:lang w:val="en-AU"/>
              </w:rPr>
              <w:tab/>
              <w:t>Year 5—Literacy</w:t>
            </w:r>
          </w:p>
        </w:tc>
        <w:tc>
          <w:tcPr>
            <w:tcW w:w="500" w:type="pct"/>
            <w:shd w:val="clear" w:color="auto" w:fill="auto"/>
          </w:tcPr>
          <w:p w14:paraId="55596729"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61D783F5" w14:textId="77777777" w:rsidR="00A61FF5" w:rsidRPr="006E49EE" w:rsidRDefault="00A61FF5" w:rsidP="00D07480">
            <w:pPr>
              <w:pStyle w:val="ESTableBody"/>
              <w:jc w:val="right"/>
              <w:rPr>
                <w:lang w:val="en-AU"/>
              </w:rPr>
            </w:pPr>
            <w:r w:rsidRPr="006E49EE">
              <w:rPr>
                <w:lang w:val="en-AU"/>
              </w:rPr>
              <w:t>62.8</w:t>
            </w:r>
          </w:p>
        </w:tc>
        <w:tc>
          <w:tcPr>
            <w:tcW w:w="500" w:type="pct"/>
            <w:shd w:val="clear" w:color="auto" w:fill="auto"/>
          </w:tcPr>
          <w:p w14:paraId="23EE35B5" w14:textId="77777777" w:rsidR="00A61FF5" w:rsidRPr="006E49EE" w:rsidRDefault="00A61FF5" w:rsidP="00D07480">
            <w:pPr>
              <w:pStyle w:val="ESTableBody"/>
              <w:jc w:val="right"/>
              <w:rPr>
                <w:lang w:val="en-AU"/>
              </w:rPr>
            </w:pPr>
            <w:r w:rsidRPr="006E49EE">
              <w:rPr>
                <w:lang w:val="en-AU"/>
              </w:rPr>
              <w:t>66.9</w:t>
            </w:r>
          </w:p>
        </w:tc>
        <w:tc>
          <w:tcPr>
            <w:tcW w:w="500" w:type="pct"/>
            <w:shd w:val="clear" w:color="auto" w:fill="auto"/>
          </w:tcPr>
          <w:p w14:paraId="048F2338" w14:textId="77777777" w:rsidR="00A61FF5" w:rsidRPr="006E49EE" w:rsidRDefault="00A61FF5" w:rsidP="00D07480">
            <w:pPr>
              <w:pStyle w:val="ESTableBody"/>
              <w:jc w:val="right"/>
              <w:rPr>
                <w:lang w:val="en-AU"/>
              </w:rPr>
            </w:pPr>
            <w:r w:rsidRPr="006E49EE">
              <w:rPr>
                <w:lang w:val="en-AU"/>
              </w:rPr>
              <w:t>64.1</w:t>
            </w:r>
          </w:p>
        </w:tc>
        <w:tc>
          <w:tcPr>
            <w:tcW w:w="500" w:type="pct"/>
            <w:shd w:val="clear" w:color="auto" w:fill="auto"/>
          </w:tcPr>
          <w:p w14:paraId="0246D33F" w14:textId="77777777" w:rsidR="00A61FF5" w:rsidRPr="006E49EE" w:rsidRDefault="00A61FF5" w:rsidP="00D07480">
            <w:pPr>
              <w:pStyle w:val="ESTableBody"/>
              <w:jc w:val="right"/>
              <w:rPr>
                <w:lang w:val="en-AU"/>
              </w:rPr>
            </w:pPr>
            <w:r w:rsidRPr="006E49EE">
              <w:rPr>
                <w:lang w:val="en-AU"/>
              </w:rPr>
              <w:t>62.2</w:t>
            </w:r>
          </w:p>
        </w:tc>
        <w:tc>
          <w:tcPr>
            <w:tcW w:w="500" w:type="pct"/>
          </w:tcPr>
          <w:p w14:paraId="7222B854" w14:textId="77777777" w:rsidR="00A61FF5" w:rsidRPr="006E49EE" w:rsidRDefault="00A61FF5" w:rsidP="00D07480">
            <w:pPr>
              <w:pStyle w:val="ESTableBody"/>
              <w:jc w:val="right"/>
              <w:rPr>
                <w:lang w:val="en-AU"/>
              </w:rPr>
            </w:pPr>
            <w:r w:rsidRPr="006E49EE">
              <w:rPr>
                <w:lang w:val="en-AU"/>
              </w:rPr>
              <w:t>66.2</w:t>
            </w:r>
          </w:p>
        </w:tc>
      </w:tr>
      <w:tr w:rsidR="00A61FF5" w:rsidRPr="00932A90" w14:paraId="4B01DC04" w14:textId="77777777" w:rsidTr="004576EA">
        <w:trPr>
          <w:gridBefore w:val="1"/>
          <w:wBefore w:w="27" w:type="pct"/>
          <w:trHeight w:val="283"/>
        </w:trPr>
        <w:tc>
          <w:tcPr>
            <w:tcW w:w="2000" w:type="pct"/>
            <w:shd w:val="clear" w:color="auto" w:fill="auto"/>
          </w:tcPr>
          <w:p w14:paraId="44CFE8BE" w14:textId="77777777" w:rsidR="00A61FF5" w:rsidRPr="006E49EE" w:rsidRDefault="00A61FF5" w:rsidP="00D07480">
            <w:pPr>
              <w:pStyle w:val="ESTableBody"/>
              <w:rPr>
                <w:lang w:val="en-AU"/>
              </w:rPr>
            </w:pPr>
            <w:r w:rsidRPr="006E49EE">
              <w:rPr>
                <w:lang w:val="en-AU"/>
              </w:rPr>
              <w:tab/>
              <w:t>Year 5—Numeracy</w:t>
            </w:r>
          </w:p>
        </w:tc>
        <w:tc>
          <w:tcPr>
            <w:tcW w:w="500" w:type="pct"/>
            <w:shd w:val="clear" w:color="auto" w:fill="auto"/>
          </w:tcPr>
          <w:p w14:paraId="7720A114"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39D07739" w14:textId="77777777" w:rsidR="00A61FF5" w:rsidRPr="006E49EE" w:rsidRDefault="00A61FF5" w:rsidP="00D07480">
            <w:pPr>
              <w:pStyle w:val="ESTableBody"/>
              <w:jc w:val="right"/>
              <w:rPr>
                <w:lang w:val="en-AU"/>
              </w:rPr>
            </w:pPr>
            <w:r w:rsidRPr="006E49EE">
              <w:rPr>
                <w:lang w:val="en-AU"/>
              </w:rPr>
              <w:t>58.9</w:t>
            </w:r>
          </w:p>
        </w:tc>
        <w:tc>
          <w:tcPr>
            <w:tcW w:w="500" w:type="pct"/>
            <w:shd w:val="clear" w:color="auto" w:fill="auto"/>
          </w:tcPr>
          <w:p w14:paraId="0D7AA266" w14:textId="77777777" w:rsidR="00A61FF5" w:rsidRPr="006E49EE" w:rsidRDefault="00A61FF5" w:rsidP="00D07480">
            <w:pPr>
              <w:pStyle w:val="ESTableBody"/>
              <w:jc w:val="right"/>
              <w:rPr>
                <w:lang w:val="en-AU"/>
              </w:rPr>
            </w:pPr>
            <w:r w:rsidRPr="006E49EE">
              <w:rPr>
                <w:lang w:val="en-AU"/>
              </w:rPr>
              <w:t>55.5</w:t>
            </w:r>
          </w:p>
        </w:tc>
        <w:tc>
          <w:tcPr>
            <w:tcW w:w="500" w:type="pct"/>
            <w:shd w:val="clear" w:color="auto" w:fill="auto"/>
          </w:tcPr>
          <w:p w14:paraId="34B4CA9E" w14:textId="77777777" w:rsidR="00A61FF5" w:rsidRPr="006E49EE" w:rsidRDefault="00A61FF5" w:rsidP="00D07480">
            <w:pPr>
              <w:pStyle w:val="ESTableBody"/>
              <w:jc w:val="right"/>
              <w:rPr>
                <w:lang w:val="en-AU"/>
              </w:rPr>
            </w:pPr>
            <w:r w:rsidRPr="006E49EE">
              <w:rPr>
                <w:lang w:val="en-AU"/>
              </w:rPr>
              <w:t>57.6</w:t>
            </w:r>
          </w:p>
        </w:tc>
        <w:tc>
          <w:tcPr>
            <w:tcW w:w="500" w:type="pct"/>
            <w:shd w:val="clear" w:color="auto" w:fill="auto"/>
          </w:tcPr>
          <w:p w14:paraId="16CDE5A5" w14:textId="77777777" w:rsidR="00A61FF5" w:rsidRPr="006E49EE" w:rsidRDefault="00A61FF5" w:rsidP="00D07480">
            <w:pPr>
              <w:pStyle w:val="ESTableBody"/>
              <w:jc w:val="right"/>
              <w:rPr>
                <w:lang w:val="en-AU"/>
              </w:rPr>
            </w:pPr>
            <w:r w:rsidRPr="006E49EE">
              <w:rPr>
                <w:lang w:val="en-AU"/>
              </w:rPr>
              <w:t>61.2</w:t>
            </w:r>
          </w:p>
        </w:tc>
        <w:tc>
          <w:tcPr>
            <w:tcW w:w="500" w:type="pct"/>
          </w:tcPr>
          <w:p w14:paraId="73EFA109" w14:textId="77777777" w:rsidR="00A61FF5" w:rsidRPr="006E49EE" w:rsidRDefault="00A61FF5" w:rsidP="00D07480">
            <w:pPr>
              <w:pStyle w:val="ESTableBody"/>
              <w:jc w:val="right"/>
              <w:rPr>
                <w:lang w:val="en-AU"/>
              </w:rPr>
            </w:pPr>
            <w:r w:rsidRPr="006E49EE">
              <w:rPr>
                <w:lang w:val="en-AU"/>
              </w:rPr>
              <w:t>61.0</w:t>
            </w:r>
          </w:p>
        </w:tc>
      </w:tr>
      <w:tr w:rsidR="00A61FF5" w:rsidRPr="00932A90" w14:paraId="226A4261" w14:textId="77777777" w:rsidTr="004576EA">
        <w:trPr>
          <w:gridBefore w:val="1"/>
          <w:wBefore w:w="27" w:type="pct"/>
          <w:trHeight w:val="283"/>
        </w:trPr>
        <w:tc>
          <w:tcPr>
            <w:tcW w:w="2000" w:type="pct"/>
            <w:shd w:val="clear" w:color="auto" w:fill="auto"/>
          </w:tcPr>
          <w:p w14:paraId="21626823" w14:textId="77777777" w:rsidR="00A61FF5" w:rsidRPr="006E49EE" w:rsidRDefault="00A61FF5" w:rsidP="00D07480">
            <w:pPr>
              <w:pStyle w:val="ESTableBody"/>
              <w:rPr>
                <w:lang w:val="en-AU"/>
              </w:rPr>
            </w:pPr>
            <w:r w:rsidRPr="006E49EE">
              <w:rPr>
                <w:lang w:val="en-AU"/>
              </w:rPr>
              <w:tab/>
              <w:t>Year 7—Literacy</w:t>
            </w:r>
          </w:p>
        </w:tc>
        <w:tc>
          <w:tcPr>
            <w:tcW w:w="500" w:type="pct"/>
            <w:shd w:val="clear" w:color="auto" w:fill="auto"/>
          </w:tcPr>
          <w:p w14:paraId="5741C2A8"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10D58CDD" w14:textId="77777777" w:rsidR="00A61FF5" w:rsidRPr="006E49EE" w:rsidRDefault="00A61FF5" w:rsidP="00D07480">
            <w:pPr>
              <w:pStyle w:val="ESTableBody"/>
              <w:jc w:val="right"/>
              <w:rPr>
                <w:lang w:val="en-AU"/>
              </w:rPr>
            </w:pPr>
            <w:r w:rsidRPr="006E49EE">
              <w:rPr>
                <w:lang w:val="en-AU"/>
              </w:rPr>
              <w:t>59.8</w:t>
            </w:r>
          </w:p>
        </w:tc>
        <w:tc>
          <w:tcPr>
            <w:tcW w:w="500" w:type="pct"/>
            <w:shd w:val="clear" w:color="auto" w:fill="auto"/>
          </w:tcPr>
          <w:p w14:paraId="6B89A7FD" w14:textId="77777777" w:rsidR="00A61FF5" w:rsidRPr="006E49EE" w:rsidRDefault="00A61FF5" w:rsidP="00D07480">
            <w:pPr>
              <w:pStyle w:val="ESTableBody"/>
              <w:jc w:val="right"/>
              <w:rPr>
                <w:lang w:val="en-AU"/>
              </w:rPr>
            </w:pPr>
            <w:r w:rsidRPr="006E49EE">
              <w:rPr>
                <w:lang w:val="en-AU"/>
              </w:rPr>
              <w:t>59.7</w:t>
            </w:r>
          </w:p>
        </w:tc>
        <w:tc>
          <w:tcPr>
            <w:tcW w:w="500" w:type="pct"/>
            <w:shd w:val="clear" w:color="auto" w:fill="auto"/>
          </w:tcPr>
          <w:p w14:paraId="1AFE8D79" w14:textId="77777777" w:rsidR="00A61FF5" w:rsidRPr="006E49EE" w:rsidRDefault="00A61FF5" w:rsidP="00D07480">
            <w:pPr>
              <w:pStyle w:val="ESTableBody"/>
              <w:jc w:val="right"/>
              <w:rPr>
                <w:lang w:val="en-AU"/>
              </w:rPr>
            </w:pPr>
            <w:r w:rsidRPr="006E49EE">
              <w:rPr>
                <w:lang w:val="en-AU"/>
              </w:rPr>
              <w:t>59.2</w:t>
            </w:r>
          </w:p>
        </w:tc>
        <w:tc>
          <w:tcPr>
            <w:tcW w:w="500" w:type="pct"/>
            <w:shd w:val="clear" w:color="auto" w:fill="auto"/>
          </w:tcPr>
          <w:p w14:paraId="32861879" w14:textId="77777777" w:rsidR="00A61FF5" w:rsidRPr="006E49EE" w:rsidRDefault="00A61FF5" w:rsidP="00D07480">
            <w:pPr>
              <w:pStyle w:val="ESTableBody"/>
              <w:jc w:val="right"/>
              <w:rPr>
                <w:lang w:val="en-AU"/>
              </w:rPr>
            </w:pPr>
            <w:r w:rsidRPr="006E49EE">
              <w:rPr>
                <w:lang w:val="en-AU"/>
              </w:rPr>
              <w:t>59.5</w:t>
            </w:r>
          </w:p>
        </w:tc>
        <w:tc>
          <w:tcPr>
            <w:tcW w:w="500" w:type="pct"/>
          </w:tcPr>
          <w:p w14:paraId="5D65B8AA" w14:textId="77777777" w:rsidR="00A61FF5" w:rsidRPr="006E49EE" w:rsidRDefault="00A61FF5" w:rsidP="00D07480">
            <w:pPr>
              <w:pStyle w:val="ESTableBody"/>
              <w:jc w:val="right"/>
              <w:rPr>
                <w:lang w:val="en-AU"/>
              </w:rPr>
            </w:pPr>
            <w:r w:rsidRPr="006E49EE">
              <w:rPr>
                <w:lang w:val="en-AU"/>
              </w:rPr>
              <w:t>56.9</w:t>
            </w:r>
          </w:p>
        </w:tc>
      </w:tr>
      <w:tr w:rsidR="00A61FF5" w:rsidRPr="00932A90" w14:paraId="48677A64" w14:textId="77777777" w:rsidTr="004576EA">
        <w:trPr>
          <w:gridBefore w:val="1"/>
          <w:wBefore w:w="27" w:type="pct"/>
          <w:trHeight w:val="283"/>
        </w:trPr>
        <w:tc>
          <w:tcPr>
            <w:tcW w:w="2000" w:type="pct"/>
            <w:shd w:val="clear" w:color="auto" w:fill="auto"/>
          </w:tcPr>
          <w:p w14:paraId="618136F0" w14:textId="77777777" w:rsidR="00A61FF5" w:rsidRPr="006E49EE" w:rsidRDefault="00A61FF5" w:rsidP="00D07480">
            <w:pPr>
              <w:pStyle w:val="ESTableBody"/>
              <w:rPr>
                <w:lang w:val="en-AU"/>
              </w:rPr>
            </w:pPr>
            <w:r w:rsidRPr="006E49EE">
              <w:rPr>
                <w:lang w:val="en-AU"/>
              </w:rPr>
              <w:tab/>
              <w:t>Year 7—Numeracy</w:t>
            </w:r>
          </w:p>
        </w:tc>
        <w:tc>
          <w:tcPr>
            <w:tcW w:w="500" w:type="pct"/>
            <w:shd w:val="clear" w:color="auto" w:fill="auto"/>
          </w:tcPr>
          <w:p w14:paraId="35257BC4"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7A09DB3A" w14:textId="77777777" w:rsidR="00A61FF5" w:rsidRPr="006E49EE" w:rsidRDefault="00A61FF5" w:rsidP="00D07480">
            <w:pPr>
              <w:pStyle w:val="ESTableBody"/>
              <w:jc w:val="right"/>
              <w:rPr>
                <w:lang w:val="en-AU"/>
              </w:rPr>
            </w:pPr>
            <w:r w:rsidRPr="006E49EE">
              <w:rPr>
                <w:lang w:val="en-AU"/>
              </w:rPr>
              <w:t>54.2</w:t>
            </w:r>
          </w:p>
        </w:tc>
        <w:tc>
          <w:tcPr>
            <w:tcW w:w="500" w:type="pct"/>
            <w:shd w:val="clear" w:color="auto" w:fill="auto"/>
          </w:tcPr>
          <w:p w14:paraId="672C35C8" w14:textId="77777777" w:rsidR="00A61FF5" w:rsidRPr="006E49EE" w:rsidRDefault="00A61FF5" w:rsidP="00D07480">
            <w:pPr>
              <w:pStyle w:val="ESTableBody"/>
              <w:jc w:val="right"/>
              <w:rPr>
                <w:lang w:val="en-AU"/>
              </w:rPr>
            </w:pPr>
            <w:r w:rsidRPr="006E49EE">
              <w:rPr>
                <w:lang w:val="en-AU"/>
              </w:rPr>
              <w:t>54.7</w:t>
            </w:r>
          </w:p>
        </w:tc>
        <w:tc>
          <w:tcPr>
            <w:tcW w:w="500" w:type="pct"/>
            <w:shd w:val="clear" w:color="auto" w:fill="auto"/>
          </w:tcPr>
          <w:p w14:paraId="26182149" w14:textId="77777777" w:rsidR="00A61FF5" w:rsidRPr="006E49EE" w:rsidRDefault="00A61FF5" w:rsidP="00D07480">
            <w:pPr>
              <w:pStyle w:val="ESTableBody"/>
              <w:jc w:val="right"/>
              <w:rPr>
                <w:lang w:val="en-AU"/>
              </w:rPr>
            </w:pPr>
            <w:r w:rsidRPr="006E49EE">
              <w:rPr>
                <w:lang w:val="en-AU"/>
              </w:rPr>
              <w:t>56.4</w:t>
            </w:r>
          </w:p>
        </w:tc>
        <w:tc>
          <w:tcPr>
            <w:tcW w:w="500" w:type="pct"/>
            <w:shd w:val="clear" w:color="auto" w:fill="auto"/>
          </w:tcPr>
          <w:p w14:paraId="06C1A904" w14:textId="77777777" w:rsidR="00A61FF5" w:rsidRPr="006E49EE" w:rsidRDefault="00A61FF5" w:rsidP="00D07480">
            <w:pPr>
              <w:pStyle w:val="ESTableBody"/>
              <w:jc w:val="right"/>
              <w:rPr>
                <w:lang w:val="en-AU"/>
              </w:rPr>
            </w:pPr>
            <w:r w:rsidRPr="006E49EE">
              <w:rPr>
                <w:lang w:val="en-AU"/>
              </w:rPr>
              <w:t>56.4</w:t>
            </w:r>
          </w:p>
        </w:tc>
        <w:tc>
          <w:tcPr>
            <w:tcW w:w="500" w:type="pct"/>
          </w:tcPr>
          <w:p w14:paraId="4E7DBA78" w14:textId="77777777" w:rsidR="00A61FF5" w:rsidRPr="006E49EE" w:rsidRDefault="00A61FF5" w:rsidP="00D07480">
            <w:pPr>
              <w:pStyle w:val="ESTableBody"/>
              <w:jc w:val="right"/>
              <w:rPr>
                <w:lang w:val="en-AU"/>
              </w:rPr>
            </w:pPr>
            <w:r w:rsidRPr="006E49EE">
              <w:rPr>
                <w:lang w:val="en-AU"/>
              </w:rPr>
              <w:t>62.1</w:t>
            </w:r>
          </w:p>
        </w:tc>
      </w:tr>
      <w:tr w:rsidR="00A61FF5" w:rsidRPr="00932A90" w14:paraId="1F04FDFA" w14:textId="77777777" w:rsidTr="004576EA">
        <w:trPr>
          <w:gridBefore w:val="1"/>
          <w:wBefore w:w="27" w:type="pct"/>
          <w:trHeight w:val="283"/>
        </w:trPr>
        <w:tc>
          <w:tcPr>
            <w:tcW w:w="2000" w:type="pct"/>
            <w:shd w:val="clear" w:color="auto" w:fill="auto"/>
          </w:tcPr>
          <w:p w14:paraId="44CF1E47" w14:textId="77777777" w:rsidR="00A61FF5" w:rsidRPr="006E49EE" w:rsidRDefault="00A61FF5" w:rsidP="00D07480">
            <w:pPr>
              <w:pStyle w:val="ESTableBody"/>
              <w:rPr>
                <w:lang w:val="en-AU"/>
              </w:rPr>
            </w:pPr>
            <w:r w:rsidRPr="006E49EE">
              <w:rPr>
                <w:lang w:val="en-AU"/>
              </w:rPr>
              <w:tab/>
              <w:t>Year 9—Literacy</w:t>
            </w:r>
          </w:p>
        </w:tc>
        <w:tc>
          <w:tcPr>
            <w:tcW w:w="500" w:type="pct"/>
            <w:shd w:val="clear" w:color="auto" w:fill="auto"/>
          </w:tcPr>
          <w:p w14:paraId="58C95C5D"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3FE93C11" w14:textId="77777777" w:rsidR="00A61FF5" w:rsidRPr="006E49EE" w:rsidRDefault="00A61FF5" w:rsidP="00D07480">
            <w:pPr>
              <w:pStyle w:val="ESTableBody"/>
              <w:jc w:val="right"/>
              <w:rPr>
                <w:lang w:val="en-AU"/>
              </w:rPr>
            </w:pPr>
            <w:r w:rsidRPr="006E49EE">
              <w:rPr>
                <w:lang w:val="en-AU"/>
              </w:rPr>
              <w:t>48.3</w:t>
            </w:r>
          </w:p>
        </w:tc>
        <w:tc>
          <w:tcPr>
            <w:tcW w:w="500" w:type="pct"/>
            <w:shd w:val="clear" w:color="auto" w:fill="auto"/>
          </w:tcPr>
          <w:p w14:paraId="71B241AC" w14:textId="77777777" w:rsidR="00A61FF5" w:rsidRPr="006E49EE" w:rsidRDefault="00A61FF5" w:rsidP="00D07480">
            <w:pPr>
              <w:pStyle w:val="ESTableBody"/>
              <w:jc w:val="right"/>
              <w:rPr>
                <w:lang w:val="en-AU"/>
              </w:rPr>
            </w:pPr>
            <w:r w:rsidRPr="006E49EE">
              <w:rPr>
                <w:lang w:val="en-AU"/>
              </w:rPr>
              <w:t>50.5</w:t>
            </w:r>
          </w:p>
        </w:tc>
        <w:tc>
          <w:tcPr>
            <w:tcW w:w="500" w:type="pct"/>
            <w:shd w:val="clear" w:color="auto" w:fill="auto"/>
          </w:tcPr>
          <w:p w14:paraId="5E8E5A18" w14:textId="77777777" w:rsidR="00A61FF5" w:rsidRPr="006E49EE" w:rsidRDefault="00A61FF5" w:rsidP="00D07480">
            <w:pPr>
              <w:pStyle w:val="ESTableBody"/>
              <w:jc w:val="right"/>
              <w:rPr>
                <w:lang w:val="en-AU"/>
              </w:rPr>
            </w:pPr>
            <w:r w:rsidRPr="006E49EE">
              <w:rPr>
                <w:lang w:val="en-AU"/>
              </w:rPr>
              <w:t>50.6</w:t>
            </w:r>
          </w:p>
        </w:tc>
        <w:tc>
          <w:tcPr>
            <w:tcW w:w="500" w:type="pct"/>
            <w:shd w:val="clear" w:color="auto" w:fill="auto"/>
          </w:tcPr>
          <w:p w14:paraId="1623393E" w14:textId="77777777" w:rsidR="00A61FF5" w:rsidRPr="006E49EE" w:rsidRDefault="00A61FF5" w:rsidP="00D07480">
            <w:pPr>
              <w:pStyle w:val="ESTableBody"/>
              <w:jc w:val="right"/>
              <w:rPr>
                <w:lang w:val="en-AU"/>
              </w:rPr>
            </w:pPr>
            <w:r w:rsidRPr="006E49EE">
              <w:rPr>
                <w:lang w:val="en-AU"/>
              </w:rPr>
              <w:t>50.2</w:t>
            </w:r>
          </w:p>
        </w:tc>
        <w:tc>
          <w:tcPr>
            <w:tcW w:w="500" w:type="pct"/>
          </w:tcPr>
          <w:p w14:paraId="6057AFED" w14:textId="77777777" w:rsidR="00A61FF5" w:rsidRPr="006E49EE" w:rsidRDefault="00A61FF5" w:rsidP="00D07480">
            <w:pPr>
              <w:pStyle w:val="ESTableBody"/>
              <w:jc w:val="right"/>
              <w:rPr>
                <w:lang w:val="en-AU"/>
              </w:rPr>
            </w:pPr>
            <w:r w:rsidRPr="006E49EE">
              <w:rPr>
                <w:lang w:val="en-AU"/>
              </w:rPr>
              <w:t>48.9</w:t>
            </w:r>
          </w:p>
        </w:tc>
      </w:tr>
      <w:tr w:rsidR="00A61FF5" w:rsidRPr="00932A90" w14:paraId="7E04FC2E" w14:textId="77777777" w:rsidTr="004576EA">
        <w:trPr>
          <w:gridBefore w:val="1"/>
          <w:wBefore w:w="27" w:type="pct"/>
          <w:trHeight w:val="283"/>
        </w:trPr>
        <w:tc>
          <w:tcPr>
            <w:tcW w:w="2000" w:type="pct"/>
            <w:shd w:val="clear" w:color="auto" w:fill="auto"/>
          </w:tcPr>
          <w:p w14:paraId="1D90225C" w14:textId="77777777" w:rsidR="00A61FF5" w:rsidRPr="006E49EE" w:rsidRDefault="00A61FF5" w:rsidP="00D07480">
            <w:pPr>
              <w:pStyle w:val="ESTableBody"/>
              <w:rPr>
                <w:lang w:val="en-AU"/>
              </w:rPr>
            </w:pPr>
            <w:r w:rsidRPr="006E49EE">
              <w:rPr>
                <w:lang w:val="en-AU"/>
              </w:rPr>
              <w:tab/>
              <w:t>Year 9—Numeracy</w:t>
            </w:r>
          </w:p>
        </w:tc>
        <w:tc>
          <w:tcPr>
            <w:tcW w:w="500" w:type="pct"/>
            <w:shd w:val="clear" w:color="auto" w:fill="auto"/>
          </w:tcPr>
          <w:p w14:paraId="3D82E24A"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612FF391" w14:textId="77777777" w:rsidR="00A61FF5" w:rsidRPr="006E49EE" w:rsidRDefault="00A61FF5" w:rsidP="00D07480">
            <w:pPr>
              <w:pStyle w:val="ESTableBody"/>
              <w:jc w:val="right"/>
              <w:rPr>
                <w:lang w:val="en-AU"/>
              </w:rPr>
            </w:pPr>
            <w:r w:rsidRPr="006E49EE">
              <w:rPr>
                <w:lang w:val="en-AU"/>
              </w:rPr>
              <w:t>50.3</w:t>
            </w:r>
          </w:p>
        </w:tc>
        <w:tc>
          <w:tcPr>
            <w:tcW w:w="500" w:type="pct"/>
            <w:shd w:val="clear" w:color="auto" w:fill="auto"/>
          </w:tcPr>
          <w:p w14:paraId="079FF4D8" w14:textId="77777777" w:rsidR="00A61FF5" w:rsidRPr="006E49EE" w:rsidRDefault="00A61FF5" w:rsidP="00D07480">
            <w:pPr>
              <w:pStyle w:val="ESTableBody"/>
              <w:jc w:val="right"/>
              <w:rPr>
                <w:lang w:val="en-AU"/>
              </w:rPr>
            </w:pPr>
            <w:r w:rsidRPr="006E49EE">
              <w:rPr>
                <w:lang w:val="en-AU"/>
              </w:rPr>
              <w:t>49.1</w:t>
            </w:r>
          </w:p>
        </w:tc>
        <w:tc>
          <w:tcPr>
            <w:tcW w:w="500" w:type="pct"/>
            <w:shd w:val="clear" w:color="auto" w:fill="auto"/>
          </w:tcPr>
          <w:p w14:paraId="1E80BCEA" w14:textId="77777777" w:rsidR="00A61FF5" w:rsidRPr="006E49EE" w:rsidRDefault="00A61FF5" w:rsidP="00D07480">
            <w:pPr>
              <w:pStyle w:val="ESTableBody"/>
              <w:jc w:val="right"/>
              <w:rPr>
                <w:lang w:val="en-AU"/>
              </w:rPr>
            </w:pPr>
            <w:r w:rsidRPr="006E49EE">
              <w:rPr>
                <w:lang w:val="en-AU"/>
              </w:rPr>
              <w:t>51.5</w:t>
            </w:r>
          </w:p>
        </w:tc>
        <w:tc>
          <w:tcPr>
            <w:tcW w:w="500" w:type="pct"/>
            <w:shd w:val="clear" w:color="auto" w:fill="auto"/>
          </w:tcPr>
          <w:p w14:paraId="4BDC2A8F" w14:textId="77777777" w:rsidR="00A61FF5" w:rsidRPr="006E49EE" w:rsidRDefault="00A61FF5" w:rsidP="00D07480">
            <w:pPr>
              <w:pStyle w:val="ESTableBody"/>
              <w:jc w:val="right"/>
              <w:rPr>
                <w:lang w:val="en-AU"/>
              </w:rPr>
            </w:pPr>
            <w:r w:rsidRPr="006E49EE">
              <w:rPr>
                <w:lang w:val="en-AU"/>
              </w:rPr>
              <w:t>54.0</w:t>
            </w:r>
          </w:p>
        </w:tc>
        <w:tc>
          <w:tcPr>
            <w:tcW w:w="500" w:type="pct"/>
          </w:tcPr>
          <w:p w14:paraId="585989B6" w14:textId="77777777" w:rsidR="00A61FF5" w:rsidRPr="006E49EE" w:rsidRDefault="00A61FF5" w:rsidP="00D07480">
            <w:pPr>
              <w:pStyle w:val="ESTableBody"/>
              <w:jc w:val="right"/>
              <w:rPr>
                <w:lang w:val="en-AU"/>
              </w:rPr>
            </w:pPr>
            <w:r w:rsidRPr="006E49EE">
              <w:rPr>
                <w:lang w:val="en-AU"/>
              </w:rPr>
              <w:t>51.5</w:t>
            </w:r>
          </w:p>
        </w:tc>
      </w:tr>
      <w:tr w:rsidR="00A61FF5" w:rsidRPr="00932A90" w14:paraId="09C46C59" w14:textId="77777777" w:rsidTr="004576EA">
        <w:trPr>
          <w:gridBefore w:val="1"/>
          <w:wBefore w:w="27" w:type="pct"/>
          <w:trHeight w:val="283"/>
        </w:trPr>
        <w:tc>
          <w:tcPr>
            <w:tcW w:w="2000" w:type="pct"/>
            <w:gridSpan w:val="7"/>
            <w:shd w:val="clear" w:color="auto" w:fill="auto"/>
          </w:tcPr>
          <w:p w14:paraId="204B7496" w14:textId="77777777" w:rsidR="00A61FF5" w:rsidRPr="006E49EE" w:rsidRDefault="00A61FF5" w:rsidP="00D07480">
            <w:pPr>
              <w:pStyle w:val="ESTableBody"/>
              <w:rPr>
                <w:lang w:val="en-AU"/>
              </w:rPr>
            </w:pPr>
            <w:r w:rsidRPr="006E49EE">
              <w:rPr>
                <w:lang w:val="en-AU"/>
              </w:rPr>
              <w:t>NAPLAN Proportion of students in the top two bands:</w:t>
            </w:r>
          </w:p>
        </w:tc>
      </w:tr>
      <w:tr w:rsidR="00A61FF5" w:rsidRPr="00932A90" w14:paraId="3E9F8A3B" w14:textId="77777777" w:rsidTr="004576EA">
        <w:trPr>
          <w:gridBefore w:val="1"/>
          <w:wBefore w:w="27" w:type="pct"/>
          <w:trHeight w:val="283"/>
        </w:trPr>
        <w:tc>
          <w:tcPr>
            <w:tcW w:w="2000" w:type="pct"/>
            <w:shd w:val="clear" w:color="auto" w:fill="auto"/>
          </w:tcPr>
          <w:p w14:paraId="4F7D3B3E" w14:textId="77777777" w:rsidR="00A61FF5" w:rsidRPr="006E49EE" w:rsidRDefault="00A61FF5" w:rsidP="00D07480">
            <w:pPr>
              <w:pStyle w:val="ESTableBody"/>
              <w:rPr>
                <w:lang w:val="en-AU"/>
              </w:rPr>
            </w:pPr>
            <w:r w:rsidRPr="006E49EE">
              <w:rPr>
                <w:lang w:val="en-AU"/>
              </w:rPr>
              <w:tab/>
              <w:t>Year 3—Literacy</w:t>
            </w:r>
          </w:p>
        </w:tc>
        <w:tc>
          <w:tcPr>
            <w:tcW w:w="500" w:type="pct"/>
            <w:shd w:val="clear" w:color="auto" w:fill="auto"/>
          </w:tcPr>
          <w:p w14:paraId="12569A1C"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1F62DCD2" w14:textId="77777777" w:rsidR="00A61FF5" w:rsidRPr="006E49EE" w:rsidRDefault="00A61FF5" w:rsidP="00D07480">
            <w:pPr>
              <w:pStyle w:val="ESTableBody"/>
              <w:jc w:val="right"/>
              <w:rPr>
                <w:lang w:val="en-AU"/>
              </w:rPr>
            </w:pPr>
            <w:r w:rsidRPr="006E49EE">
              <w:rPr>
                <w:lang w:val="en-AU"/>
              </w:rPr>
              <w:t>51.1</w:t>
            </w:r>
          </w:p>
        </w:tc>
        <w:tc>
          <w:tcPr>
            <w:tcW w:w="500" w:type="pct"/>
            <w:shd w:val="clear" w:color="auto" w:fill="auto"/>
          </w:tcPr>
          <w:p w14:paraId="2EBE240E" w14:textId="77777777" w:rsidR="00A61FF5" w:rsidRPr="006E49EE" w:rsidRDefault="00A61FF5" w:rsidP="00D07480">
            <w:pPr>
              <w:pStyle w:val="ESTableBody"/>
              <w:jc w:val="right"/>
              <w:rPr>
                <w:lang w:val="en-AU"/>
              </w:rPr>
            </w:pPr>
            <w:r w:rsidRPr="006E49EE">
              <w:rPr>
                <w:lang w:val="en-AU"/>
              </w:rPr>
              <w:t>52.2</w:t>
            </w:r>
          </w:p>
        </w:tc>
        <w:tc>
          <w:tcPr>
            <w:tcW w:w="500" w:type="pct"/>
            <w:shd w:val="clear" w:color="auto" w:fill="auto"/>
          </w:tcPr>
          <w:p w14:paraId="4F79F6AA" w14:textId="77777777" w:rsidR="00A61FF5" w:rsidRPr="006E49EE" w:rsidRDefault="00A61FF5" w:rsidP="00D07480">
            <w:pPr>
              <w:pStyle w:val="ESTableBody"/>
              <w:jc w:val="right"/>
              <w:rPr>
                <w:lang w:val="en-AU"/>
              </w:rPr>
            </w:pPr>
            <w:r w:rsidRPr="006E49EE">
              <w:rPr>
                <w:lang w:val="en-AU"/>
              </w:rPr>
              <w:t>51.2</w:t>
            </w:r>
          </w:p>
        </w:tc>
        <w:tc>
          <w:tcPr>
            <w:tcW w:w="500" w:type="pct"/>
            <w:shd w:val="clear" w:color="auto" w:fill="auto"/>
          </w:tcPr>
          <w:p w14:paraId="14F8BFD6" w14:textId="77777777" w:rsidR="00A61FF5" w:rsidRPr="006E49EE" w:rsidRDefault="00A61FF5" w:rsidP="00D07480">
            <w:pPr>
              <w:pStyle w:val="ESTableBody"/>
              <w:jc w:val="right"/>
              <w:rPr>
                <w:lang w:val="en-AU"/>
              </w:rPr>
            </w:pPr>
            <w:r w:rsidRPr="006E49EE">
              <w:rPr>
                <w:lang w:val="en-AU"/>
              </w:rPr>
              <w:t>53.6</w:t>
            </w:r>
          </w:p>
        </w:tc>
        <w:tc>
          <w:tcPr>
            <w:tcW w:w="500" w:type="pct"/>
          </w:tcPr>
          <w:p w14:paraId="25E433AF" w14:textId="77777777" w:rsidR="00A61FF5" w:rsidRPr="006E49EE" w:rsidRDefault="00A61FF5" w:rsidP="00D07480">
            <w:pPr>
              <w:pStyle w:val="ESTableBody"/>
              <w:jc w:val="right"/>
              <w:rPr>
                <w:lang w:val="en-AU"/>
              </w:rPr>
            </w:pPr>
            <w:r w:rsidRPr="006E49EE">
              <w:rPr>
                <w:lang w:val="en-AU"/>
              </w:rPr>
              <w:t>54.1</w:t>
            </w:r>
          </w:p>
        </w:tc>
      </w:tr>
      <w:tr w:rsidR="00A61FF5" w:rsidRPr="00932A90" w14:paraId="712C6CC1" w14:textId="77777777" w:rsidTr="004576EA">
        <w:trPr>
          <w:gridBefore w:val="1"/>
          <w:wBefore w:w="27" w:type="pct"/>
          <w:trHeight w:val="283"/>
        </w:trPr>
        <w:tc>
          <w:tcPr>
            <w:tcW w:w="2000" w:type="pct"/>
            <w:shd w:val="clear" w:color="auto" w:fill="auto"/>
          </w:tcPr>
          <w:p w14:paraId="0986C21E" w14:textId="77777777" w:rsidR="00A61FF5" w:rsidRPr="006E49EE" w:rsidRDefault="00A61FF5" w:rsidP="00D07480">
            <w:pPr>
              <w:pStyle w:val="ESTableBody"/>
              <w:rPr>
                <w:lang w:val="en-AU"/>
              </w:rPr>
            </w:pPr>
            <w:r w:rsidRPr="006E49EE">
              <w:rPr>
                <w:lang w:val="en-AU"/>
              </w:rPr>
              <w:tab/>
              <w:t>Year 3—Numeracy</w:t>
            </w:r>
          </w:p>
        </w:tc>
        <w:tc>
          <w:tcPr>
            <w:tcW w:w="500" w:type="pct"/>
            <w:shd w:val="clear" w:color="auto" w:fill="auto"/>
          </w:tcPr>
          <w:p w14:paraId="11D1B3B8"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34E863E0" w14:textId="77777777" w:rsidR="00A61FF5" w:rsidRPr="006E49EE" w:rsidRDefault="00A61FF5" w:rsidP="00D07480">
            <w:pPr>
              <w:pStyle w:val="ESTableBody"/>
              <w:jc w:val="right"/>
              <w:rPr>
                <w:lang w:val="en-AU"/>
              </w:rPr>
            </w:pPr>
            <w:r w:rsidRPr="006E49EE">
              <w:rPr>
                <w:lang w:val="en-AU"/>
              </w:rPr>
              <w:t>38.8</w:t>
            </w:r>
          </w:p>
        </w:tc>
        <w:tc>
          <w:tcPr>
            <w:tcW w:w="500" w:type="pct"/>
            <w:shd w:val="clear" w:color="auto" w:fill="auto"/>
          </w:tcPr>
          <w:p w14:paraId="524C4D88" w14:textId="77777777" w:rsidR="00A61FF5" w:rsidRPr="006E49EE" w:rsidRDefault="00A61FF5" w:rsidP="00D07480">
            <w:pPr>
              <w:pStyle w:val="ESTableBody"/>
              <w:jc w:val="right"/>
              <w:rPr>
                <w:lang w:val="en-AU"/>
              </w:rPr>
            </w:pPr>
            <w:r w:rsidRPr="006E49EE">
              <w:rPr>
                <w:lang w:val="en-AU"/>
              </w:rPr>
              <w:t>37.5</w:t>
            </w:r>
          </w:p>
        </w:tc>
        <w:tc>
          <w:tcPr>
            <w:tcW w:w="500" w:type="pct"/>
            <w:shd w:val="clear" w:color="auto" w:fill="auto"/>
          </w:tcPr>
          <w:p w14:paraId="54474D58" w14:textId="77777777" w:rsidR="00A61FF5" w:rsidRPr="006E49EE" w:rsidRDefault="00A61FF5" w:rsidP="00D07480">
            <w:pPr>
              <w:pStyle w:val="ESTableBody"/>
              <w:jc w:val="right"/>
              <w:rPr>
                <w:lang w:val="en-AU"/>
              </w:rPr>
            </w:pPr>
            <w:r w:rsidRPr="006E49EE">
              <w:rPr>
                <w:lang w:val="en-AU"/>
              </w:rPr>
              <w:t>41.1</w:t>
            </w:r>
          </w:p>
        </w:tc>
        <w:tc>
          <w:tcPr>
            <w:tcW w:w="500" w:type="pct"/>
            <w:shd w:val="clear" w:color="auto" w:fill="auto"/>
          </w:tcPr>
          <w:p w14:paraId="4E6F1B3C" w14:textId="77777777" w:rsidR="00A61FF5" w:rsidRPr="006E49EE" w:rsidRDefault="00A61FF5" w:rsidP="00D07480">
            <w:pPr>
              <w:pStyle w:val="ESTableBody"/>
              <w:jc w:val="right"/>
              <w:rPr>
                <w:lang w:val="en-AU"/>
              </w:rPr>
            </w:pPr>
            <w:r w:rsidRPr="006E49EE">
              <w:rPr>
                <w:lang w:val="en-AU"/>
              </w:rPr>
              <w:t>38.4</w:t>
            </w:r>
          </w:p>
        </w:tc>
        <w:tc>
          <w:tcPr>
            <w:tcW w:w="500" w:type="pct"/>
          </w:tcPr>
          <w:p w14:paraId="1774A6B7" w14:textId="77777777" w:rsidR="00A61FF5" w:rsidRPr="006E49EE" w:rsidRDefault="00A61FF5" w:rsidP="00D07480">
            <w:pPr>
              <w:pStyle w:val="ESTableBody"/>
              <w:jc w:val="right"/>
              <w:rPr>
                <w:lang w:val="en-AU"/>
              </w:rPr>
            </w:pPr>
            <w:r w:rsidRPr="006E49EE">
              <w:rPr>
                <w:lang w:val="en-AU"/>
              </w:rPr>
              <w:t>40.7</w:t>
            </w:r>
          </w:p>
        </w:tc>
      </w:tr>
      <w:tr w:rsidR="00A61FF5" w:rsidRPr="00932A90" w14:paraId="7A8C75C9" w14:textId="77777777" w:rsidTr="004576EA">
        <w:trPr>
          <w:gridBefore w:val="1"/>
          <w:wBefore w:w="27" w:type="pct"/>
          <w:trHeight w:val="283"/>
        </w:trPr>
        <w:tc>
          <w:tcPr>
            <w:tcW w:w="2000" w:type="pct"/>
            <w:shd w:val="clear" w:color="auto" w:fill="auto"/>
          </w:tcPr>
          <w:p w14:paraId="505523BF" w14:textId="77777777" w:rsidR="00A61FF5" w:rsidRPr="006E49EE" w:rsidRDefault="00A61FF5" w:rsidP="00D07480">
            <w:pPr>
              <w:pStyle w:val="ESTableBody"/>
              <w:rPr>
                <w:lang w:val="en-AU"/>
              </w:rPr>
            </w:pPr>
            <w:r w:rsidRPr="006E49EE">
              <w:rPr>
                <w:lang w:val="en-AU"/>
              </w:rPr>
              <w:tab/>
              <w:t>Year 5—Literacy</w:t>
            </w:r>
          </w:p>
        </w:tc>
        <w:tc>
          <w:tcPr>
            <w:tcW w:w="500" w:type="pct"/>
            <w:shd w:val="clear" w:color="auto" w:fill="auto"/>
          </w:tcPr>
          <w:p w14:paraId="6D492522"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2A2285E2" w14:textId="77777777" w:rsidR="00A61FF5" w:rsidRPr="006E49EE" w:rsidRDefault="00A61FF5" w:rsidP="00D07480">
            <w:pPr>
              <w:pStyle w:val="ESTableBody"/>
              <w:jc w:val="right"/>
              <w:rPr>
                <w:lang w:val="en-AU"/>
              </w:rPr>
            </w:pPr>
            <w:r w:rsidRPr="006E49EE">
              <w:rPr>
                <w:lang w:val="en-AU"/>
              </w:rPr>
              <w:t>34.4</w:t>
            </w:r>
          </w:p>
        </w:tc>
        <w:tc>
          <w:tcPr>
            <w:tcW w:w="500" w:type="pct"/>
            <w:shd w:val="clear" w:color="auto" w:fill="auto"/>
          </w:tcPr>
          <w:p w14:paraId="097704C0" w14:textId="77777777" w:rsidR="00A61FF5" w:rsidRPr="006E49EE" w:rsidRDefault="00A61FF5" w:rsidP="00D07480">
            <w:pPr>
              <w:pStyle w:val="ESTableBody"/>
              <w:jc w:val="right"/>
              <w:rPr>
                <w:lang w:val="en-AU"/>
              </w:rPr>
            </w:pPr>
            <w:r w:rsidRPr="006E49EE">
              <w:rPr>
                <w:lang w:val="en-AU"/>
              </w:rPr>
              <w:t>35.6</w:t>
            </w:r>
          </w:p>
        </w:tc>
        <w:tc>
          <w:tcPr>
            <w:tcW w:w="500" w:type="pct"/>
            <w:shd w:val="clear" w:color="auto" w:fill="auto"/>
          </w:tcPr>
          <w:p w14:paraId="35FDDE77" w14:textId="77777777" w:rsidR="00A61FF5" w:rsidRPr="006E49EE" w:rsidRDefault="00A61FF5" w:rsidP="00D07480">
            <w:pPr>
              <w:pStyle w:val="ESTableBody"/>
              <w:jc w:val="right"/>
              <w:rPr>
                <w:lang w:val="en-AU"/>
              </w:rPr>
            </w:pPr>
            <w:r w:rsidRPr="006E49EE">
              <w:rPr>
                <w:lang w:val="en-AU"/>
              </w:rPr>
              <w:t>37.3</w:t>
            </w:r>
          </w:p>
        </w:tc>
        <w:tc>
          <w:tcPr>
            <w:tcW w:w="500" w:type="pct"/>
            <w:shd w:val="clear" w:color="auto" w:fill="auto"/>
          </w:tcPr>
          <w:p w14:paraId="674C5538" w14:textId="77777777" w:rsidR="00A61FF5" w:rsidRPr="006E49EE" w:rsidRDefault="00A61FF5" w:rsidP="00D07480">
            <w:pPr>
              <w:pStyle w:val="ESTableBody"/>
              <w:jc w:val="right"/>
              <w:rPr>
                <w:lang w:val="en-AU"/>
              </w:rPr>
            </w:pPr>
            <w:r w:rsidRPr="006E49EE">
              <w:rPr>
                <w:lang w:val="en-AU"/>
              </w:rPr>
              <w:t>36.9</w:t>
            </w:r>
          </w:p>
        </w:tc>
        <w:tc>
          <w:tcPr>
            <w:tcW w:w="500" w:type="pct"/>
          </w:tcPr>
          <w:p w14:paraId="766E24F3" w14:textId="77777777" w:rsidR="00A61FF5" w:rsidRPr="006E49EE" w:rsidRDefault="00A61FF5" w:rsidP="00D07480">
            <w:pPr>
              <w:pStyle w:val="ESTableBody"/>
              <w:jc w:val="right"/>
              <w:rPr>
                <w:lang w:val="en-AU"/>
              </w:rPr>
            </w:pPr>
            <w:r w:rsidRPr="006E49EE">
              <w:rPr>
                <w:lang w:val="en-AU"/>
              </w:rPr>
              <w:t>38.3</w:t>
            </w:r>
          </w:p>
        </w:tc>
      </w:tr>
      <w:tr w:rsidR="00A61FF5" w:rsidRPr="00932A90" w14:paraId="73EC479E" w14:textId="77777777" w:rsidTr="004576EA">
        <w:trPr>
          <w:gridBefore w:val="1"/>
          <w:wBefore w:w="27" w:type="pct"/>
          <w:trHeight w:val="283"/>
        </w:trPr>
        <w:tc>
          <w:tcPr>
            <w:tcW w:w="2000" w:type="pct"/>
            <w:shd w:val="clear" w:color="auto" w:fill="auto"/>
          </w:tcPr>
          <w:p w14:paraId="798F956E" w14:textId="77777777" w:rsidR="00A61FF5" w:rsidRPr="006E49EE" w:rsidRDefault="00A61FF5" w:rsidP="00D07480">
            <w:pPr>
              <w:pStyle w:val="ESTableBody"/>
              <w:rPr>
                <w:lang w:val="en-AU"/>
              </w:rPr>
            </w:pPr>
            <w:r w:rsidRPr="006E49EE">
              <w:rPr>
                <w:lang w:val="en-AU"/>
              </w:rPr>
              <w:tab/>
              <w:t>Year 5—Numeracy</w:t>
            </w:r>
          </w:p>
        </w:tc>
        <w:tc>
          <w:tcPr>
            <w:tcW w:w="500" w:type="pct"/>
            <w:shd w:val="clear" w:color="auto" w:fill="auto"/>
          </w:tcPr>
          <w:p w14:paraId="14648F14"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70D1BE51" w14:textId="77777777" w:rsidR="00A61FF5" w:rsidRPr="006E49EE" w:rsidRDefault="00A61FF5" w:rsidP="00D07480">
            <w:pPr>
              <w:pStyle w:val="ESTableBody"/>
              <w:jc w:val="right"/>
              <w:rPr>
                <w:lang w:val="en-AU"/>
              </w:rPr>
            </w:pPr>
            <w:r w:rsidRPr="006E49EE">
              <w:rPr>
                <w:lang w:val="en-AU"/>
              </w:rPr>
              <w:t>29.5</w:t>
            </w:r>
          </w:p>
        </w:tc>
        <w:tc>
          <w:tcPr>
            <w:tcW w:w="500" w:type="pct"/>
            <w:shd w:val="clear" w:color="auto" w:fill="auto"/>
          </w:tcPr>
          <w:p w14:paraId="397F1147" w14:textId="77777777" w:rsidR="00A61FF5" w:rsidRPr="006E49EE" w:rsidRDefault="00A61FF5" w:rsidP="00D07480">
            <w:pPr>
              <w:pStyle w:val="ESTableBody"/>
              <w:jc w:val="right"/>
              <w:rPr>
                <w:lang w:val="en-AU"/>
              </w:rPr>
            </w:pPr>
            <w:r w:rsidRPr="006E49EE">
              <w:rPr>
                <w:lang w:val="en-AU"/>
              </w:rPr>
              <w:t>27.3</w:t>
            </w:r>
          </w:p>
        </w:tc>
        <w:tc>
          <w:tcPr>
            <w:tcW w:w="500" w:type="pct"/>
            <w:shd w:val="clear" w:color="auto" w:fill="auto"/>
          </w:tcPr>
          <w:p w14:paraId="5AC6A157" w14:textId="77777777" w:rsidR="00A61FF5" w:rsidRPr="006E49EE" w:rsidRDefault="00A61FF5" w:rsidP="00D07480">
            <w:pPr>
              <w:pStyle w:val="ESTableBody"/>
              <w:jc w:val="right"/>
              <w:rPr>
                <w:lang w:val="en-AU"/>
              </w:rPr>
            </w:pPr>
            <w:r w:rsidRPr="006E49EE">
              <w:rPr>
                <w:lang w:val="en-AU"/>
              </w:rPr>
              <w:t>28.7</w:t>
            </w:r>
          </w:p>
        </w:tc>
        <w:tc>
          <w:tcPr>
            <w:tcW w:w="500" w:type="pct"/>
            <w:shd w:val="clear" w:color="auto" w:fill="auto"/>
          </w:tcPr>
          <w:p w14:paraId="11286A90" w14:textId="77777777" w:rsidR="00A61FF5" w:rsidRPr="006E49EE" w:rsidRDefault="00A61FF5" w:rsidP="00D07480">
            <w:pPr>
              <w:pStyle w:val="ESTableBody"/>
              <w:jc w:val="right"/>
              <w:rPr>
                <w:lang w:val="en-AU"/>
              </w:rPr>
            </w:pPr>
            <w:r w:rsidRPr="006E49EE">
              <w:rPr>
                <w:lang w:val="en-AU"/>
              </w:rPr>
              <w:t>31.9</w:t>
            </w:r>
          </w:p>
        </w:tc>
        <w:tc>
          <w:tcPr>
            <w:tcW w:w="500" w:type="pct"/>
          </w:tcPr>
          <w:p w14:paraId="568CD5A0" w14:textId="77777777" w:rsidR="00A61FF5" w:rsidRPr="006E49EE" w:rsidRDefault="00A61FF5" w:rsidP="00D07480">
            <w:pPr>
              <w:pStyle w:val="ESTableBody"/>
              <w:jc w:val="right"/>
              <w:rPr>
                <w:lang w:val="en-AU"/>
              </w:rPr>
            </w:pPr>
            <w:r w:rsidRPr="006E49EE">
              <w:rPr>
                <w:lang w:val="en-AU"/>
              </w:rPr>
              <w:t>31.7</w:t>
            </w:r>
          </w:p>
        </w:tc>
      </w:tr>
      <w:tr w:rsidR="00A61FF5" w:rsidRPr="00932A90" w14:paraId="2297BFBB" w14:textId="77777777" w:rsidTr="004576EA">
        <w:trPr>
          <w:gridBefore w:val="1"/>
          <w:wBefore w:w="27" w:type="pct"/>
          <w:trHeight w:val="283"/>
        </w:trPr>
        <w:tc>
          <w:tcPr>
            <w:tcW w:w="2000" w:type="pct"/>
            <w:shd w:val="clear" w:color="auto" w:fill="auto"/>
          </w:tcPr>
          <w:p w14:paraId="4A847933" w14:textId="77777777" w:rsidR="00A61FF5" w:rsidRPr="006E49EE" w:rsidRDefault="00A61FF5" w:rsidP="00D07480">
            <w:pPr>
              <w:pStyle w:val="ESTableBody"/>
              <w:rPr>
                <w:lang w:val="en-AU"/>
              </w:rPr>
            </w:pPr>
            <w:r w:rsidRPr="006E49EE">
              <w:rPr>
                <w:lang w:val="en-AU"/>
              </w:rPr>
              <w:tab/>
              <w:t>Year 7—Literacy</w:t>
            </w:r>
          </w:p>
        </w:tc>
        <w:tc>
          <w:tcPr>
            <w:tcW w:w="500" w:type="pct"/>
            <w:shd w:val="clear" w:color="auto" w:fill="auto"/>
          </w:tcPr>
          <w:p w14:paraId="572A7CA8"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13FD1EC9" w14:textId="77777777" w:rsidR="00A61FF5" w:rsidRPr="006E49EE" w:rsidRDefault="00A61FF5" w:rsidP="00D07480">
            <w:pPr>
              <w:pStyle w:val="ESTableBody"/>
              <w:jc w:val="right"/>
              <w:rPr>
                <w:lang w:val="en-AU"/>
              </w:rPr>
            </w:pPr>
            <w:r w:rsidRPr="006E49EE">
              <w:rPr>
                <w:lang w:val="en-AU"/>
              </w:rPr>
              <w:t>29.9</w:t>
            </w:r>
          </w:p>
        </w:tc>
        <w:tc>
          <w:tcPr>
            <w:tcW w:w="500" w:type="pct"/>
            <w:shd w:val="clear" w:color="auto" w:fill="auto"/>
          </w:tcPr>
          <w:p w14:paraId="7092D21E" w14:textId="77777777" w:rsidR="00A61FF5" w:rsidRPr="006E49EE" w:rsidRDefault="00A61FF5" w:rsidP="00D07480">
            <w:pPr>
              <w:pStyle w:val="ESTableBody"/>
              <w:jc w:val="right"/>
              <w:rPr>
                <w:lang w:val="en-AU"/>
              </w:rPr>
            </w:pPr>
            <w:r w:rsidRPr="006E49EE">
              <w:rPr>
                <w:lang w:val="en-AU"/>
              </w:rPr>
              <w:t>27.6</w:t>
            </w:r>
          </w:p>
        </w:tc>
        <w:tc>
          <w:tcPr>
            <w:tcW w:w="500" w:type="pct"/>
            <w:shd w:val="clear" w:color="auto" w:fill="auto"/>
          </w:tcPr>
          <w:p w14:paraId="4B93C594" w14:textId="77777777" w:rsidR="00A61FF5" w:rsidRPr="006E49EE" w:rsidRDefault="00A61FF5" w:rsidP="00D07480">
            <w:pPr>
              <w:pStyle w:val="ESTableBody"/>
              <w:jc w:val="right"/>
              <w:rPr>
                <w:lang w:val="en-AU"/>
              </w:rPr>
            </w:pPr>
            <w:r w:rsidRPr="006E49EE">
              <w:rPr>
                <w:lang w:val="en-AU"/>
              </w:rPr>
              <w:t>29.8</w:t>
            </w:r>
          </w:p>
        </w:tc>
        <w:tc>
          <w:tcPr>
            <w:tcW w:w="500" w:type="pct"/>
            <w:shd w:val="clear" w:color="auto" w:fill="auto"/>
          </w:tcPr>
          <w:p w14:paraId="7F0FA231" w14:textId="77777777" w:rsidR="00A61FF5" w:rsidRPr="006E49EE" w:rsidRDefault="00A61FF5" w:rsidP="00D07480">
            <w:pPr>
              <w:pStyle w:val="ESTableBody"/>
              <w:jc w:val="right"/>
              <w:rPr>
                <w:lang w:val="en-AU"/>
              </w:rPr>
            </w:pPr>
            <w:r w:rsidRPr="006E49EE">
              <w:rPr>
                <w:lang w:val="en-AU"/>
              </w:rPr>
              <w:t>30.1</w:t>
            </w:r>
          </w:p>
        </w:tc>
        <w:tc>
          <w:tcPr>
            <w:tcW w:w="500" w:type="pct"/>
          </w:tcPr>
          <w:p w14:paraId="15CE336E" w14:textId="77777777" w:rsidR="00A61FF5" w:rsidRPr="006E49EE" w:rsidRDefault="00A61FF5" w:rsidP="00D07480">
            <w:pPr>
              <w:pStyle w:val="ESTableBody"/>
              <w:jc w:val="right"/>
              <w:rPr>
                <w:lang w:val="en-AU"/>
              </w:rPr>
            </w:pPr>
            <w:r w:rsidRPr="006E49EE">
              <w:rPr>
                <w:lang w:val="en-AU"/>
              </w:rPr>
              <w:t>27.4</w:t>
            </w:r>
          </w:p>
        </w:tc>
      </w:tr>
      <w:tr w:rsidR="00A61FF5" w:rsidRPr="00932A90" w14:paraId="7B524FCA" w14:textId="77777777" w:rsidTr="004576EA">
        <w:trPr>
          <w:gridBefore w:val="1"/>
          <w:wBefore w:w="27" w:type="pct"/>
          <w:trHeight w:val="283"/>
        </w:trPr>
        <w:tc>
          <w:tcPr>
            <w:tcW w:w="2000" w:type="pct"/>
            <w:tcBorders>
              <w:bottom w:val="nil"/>
            </w:tcBorders>
            <w:shd w:val="clear" w:color="auto" w:fill="auto"/>
          </w:tcPr>
          <w:p w14:paraId="32A32853" w14:textId="77777777" w:rsidR="00A61FF5" w:rsidRPr="006E49EE" w:rsidRDefault="00A61FF5" w:rsidP="00D07480">
            <w:pPr>
              <w:pStyle w:val="ESTableBody"/>
              <w:rPr>
                <w:lang w:val="en-AU"/>
              </w:rPr>
            </w:pPr>
            <w:r w:rsidRPr="006E49EE">
              <w:rPr>
                <w:lang w:val="en-AU"/>
              </w:rPr>
              <w:tab/>
              <w:t>Year 7—Numeracy</w:t>
            </w:r>
          </w:p>
        </w:tc>
        <w:tc>
          <w:tcPr>
            <w:tcW w:w="500" w:type="pct"/>
            <w:tcBorders>
              <w:bottom w:val="nil"/>
            </w:tcBorders>
            <w:shd w:val="clear" w:color="auto" w:fill="auto"/>
          </w:tcPr>
          <w:p w14:paraId="384EC541" w14:textId="77777777" w:rsidR="00A61FF5" w:rsidRPr="006E49EE" w:rsidRDefault="00A61FF5" w:rsidP="00D07480">
            <w:pPr>
              <w:pStyle w:val="ESTableBody"/>
              <w:jc w:val="right"/>
              <w:rPr>
                <w:lang w:val="en-AU"/>
              </w:rPr>
            </w:pPr>
            <w:r w:rsidRPr="006E49EE">
              <w:rPr>
                <w:lang w:val="en-AU"/>
              </w:rPr>
              <w:t>per cent</w:t>
            </w:r>
          </w:p>
        </w:tc>
        <w:tc>
          <w:tcPr>
            <w:tcW w:w="500" w:type="pct"/>
            <w:tcBorders>
              <w:bottom w:val="nil"/>
            </w:tcBorders>
            <w:shd w:val="clear" w:color="auto" w:fill="auto"/>
          </w:tcPr>
          <w:p w14:paraId="40F224EE" w14:textId="77777777" w:rsidR="00A61FF5" w:rsidRPr="006E49EE" w:rsidRDefault="00A61FF5" w:rsidP="00D07480">
            <w:pPr>
              <w:pStyle w:val="ESTableBody"/>
              <w:jc w:val="right"/>
              <w:rPr>
                <w:lang w:val="en-AU"/>
              </w:rPr>
            </w:pPr>
            <w:r w:rsidRPr="006E49EE">
              <w:rPr>
                <w:lang w:val="en-AU"/>
              </w:rPr>
              <w:t>27.3</w:t>
            </w:r>
          </w:p>
        </w:tc>
        <w:tc>
          <w:tcPr>
            <w:tcW w:w="500" w:type="pct"/>
            <w:tcBorders>
              <w:bottom w:val="nil"/>
            </w:tcBorders>
            <w:shd w:val="clear" w:color="auto" w:fill="auto"/>
          </w:tcPr>
          <w:p w14:paraId="247FA1E5" w14:textId="77777777" w:rsidR="00A61FF5" w:rsidRPr="006E49EE" w:rsidRDefault="00A61FF5" w:rsidP="00D07480">
            <w:pPr>
              <w:pStyle w:val="ESTableBody"/>
              <w:jc w:val="right"/>
              <w:rPr>
                <w:lang w:val="en-AU"/>
              </w:rPr>
            </w:pPr>
            <w:r w:rsidRPr="006E49EE">
              <w:rPr>
                <w:lang w:val="en-AU"/>
              </w:rPr>
              <w:t>27.4</w:t>
            </w:r>
          </w:p>
        </w:tc>
        <w:tc>
          <w:tcPr>
            <w:tcW w:w="500" w:type="pct"/>
            <w:tcBorders>
              <w:bottom w:val="nil"/>
            </w:tcBorders>
            <w:shd w:val="clear" w:color="auto" w:fill="auto"/>
          </w:tcPr>
          <w:p w14:paraId="4F728317" w14:textId="77777777" w:rsidR="00A61FF5" w:rsidRPr="006E49EE" w:rsidRDefault="00A61FF5" w:rsidP="00D07480">
            <w:pPr>
              <w:pStyle w:val="ESTableBody"/>
              <w:jc w:val="right"/>
              <w:rPr>
                <w:lang w:val="en-AU"/>
              </w:rPr>
            </w:pPr>
            <w:r w:rsidRPr="006E49EE">
              <w:rPr>
                <w:lang w:val="en-AU"/>
              </w:rPr>
              <w:t>29.2</w:t>
            </w:r>
          </w:p>
        </w:tc>
        <w:tc>
          <w:tcPr>
            <w:tcW w:w="500" w:type="pct"/>
            <w:tcBorders>
              <w:bottom w:val="nil"/>
            </w:tcBorders>
            <w:shd w:val="clear" w:color="auto" w:fill="auto"/>
          </w:tcPr>
          <w:p w14:paraId="771BEC55" w14:textId="77777777" w:rsidR="00A61FF5" w:rsidRPr="006E49EE" w:rsidRDefault="00A61FF5" w:rsidP="00D07480">
            <w:pPr>
              <w:pStyle w:val="ESTableBody"/>
              <w:jc w:val="right"/>
              <w:rPr>
                <w:lang w:val="en-AU"/>
              </w:rPr>
            </w:pPr>
            <w:r w:rsidRPr="006E49EE">
              <w:rPr>
                <w:lang w:val="en-AU"/>
              </w:rPr>
              <w:t>27.8</w:t>
            </w:r>
          </w:p>
        </w:tc>
        <w:tc>
          <w:tcPr>
            <w:tcW w:w="500" w:type="pct"/>
            <w:tcBorders>
              <w:bottom w:val="nil"/>
            </w:tcBorders>
          </w:tcPr>
          <w:p w14:paraId="05467710" w14:textId="77777777" w:rsidR="00A61FF5" w:rsidRPr="006E49EE" w:rsidRDefault="00A61FF5" w:rsidP="00D07480">
            <w:pPr>
              <w:pStyle w:val="ESTableBody"/>
              <w:jc w:val="right"/>
              <w:rPr>
                <w:lang w:val="en-AU"/>
              </w:rPr>
            </w:pPr>
            <w:r w:rsidRPr="006E49EE">
              <w:rPr>
                <w:lang w:val="en-AU"/>
              </w:rPr>
              <w:t>32.4</w:t>
            </w:r>
          </w:p>
        </w:tc>
      </w:tr>
      <w:tr w:rsidR="00A61FF5" w:rsidRPr="00932A90" w14:paraId="054F8A25" w14:textId="77777777" w:rsidTr="004576EA">
        <w:trPr>
          <w:gridBefore w:val="1"/>
          <w:wBefore w:w="27" w:type="pct"/>
          <w:trHeight w:val="283"/>
        </w:trPr>
        <w:tc>
          <w:tcPr>
            <w:tcW w:w="2000" w:type="pct"/>
            <w:tcBorders>
              <w:top w:val="nil"/>
              <w:bottom w:val="nil"/>
            </w:tcBorders>
            <w:shd w:val="clear" w:color="auto" w:fill="auto"/>
          </w:tcPr>
          <w:p w14:paraId="1FCBF451" w14:textId="77777777" w:rsidR="00A61FF5" w:rsidRPr="006E49EE" w:rsidRDefault="00A61FF5" w:rsidP="00D07480">
            <w:pPr>
              <w:pStyle w:val="ESTableBody"/>
              <w:rPr>
                <w:lang w:val="en-AU"/>
              </w:rPr>
            </w:pPr>
            <w:r w:rsidRPr="006E49EE">
              <w:rPr>
                <w:lang w:val="en-AU"/>
              </w:rPr>
              <w:tab/>
              <w:t>Year 9—Literacy</w:t>
            </w:r>
          </w:p>
        </w:tc>
        <w:tc>
          <w:tcPr>
            <w:tcW w:w="500" w:type="pct"/>
            <w:tcBorders>
              <w:top w:val="nil"/>
              <w:bottom w:val="nil"/>
            </w:tcBorders>
            <w:shd w:val="clear" w:color="auto" w:fill="auto"/>
          </w:tcPr>
          <w:p w14:paraId="6E688BAF" w14:textId="77777777" w:rsidR="00A61FF5" w:rsidRPr="006E49EE" w:rsidRDefault="00A61FF5" w:rsidP="00D07480">
            <w:pPr>
              <w:pStyle w:val="ESTableBody"/>
              <w:jc w:val="right"/>
              <w:rPr>
                <w:lang w:val="en-AU"/>
              </w:rPr>
            </w:pPr>
            <w:r w:rsidRPr="006E49EE">
              <w:rPr>
                <w:lang w:val="en-AU"/>
              </w:rPr>
              <w:t>per cent</w:t>
            </w:r>
          </w:p>
        </w:tc>
        <w:tc>
          <w:tcPr>
            <w:tcW w:w="500" w:type="pct"/>
            <w:tcBorders>
              <w:top w:val="nil"/>
              <w:bottom w:val="nil"/>
            </w:tcBorders>
            <w:shd w:val="clear" w:color="auto" w:fill="auto"/>
          </w:tcPr>
          <w:p w14:paraId="3BC3A49F" w14:textId="77777777" w:rsidR="00A61FF5" w:rsidRPr="006E49EE" w:rsidRDefault="00A61FF5" w:rsidP="00D07480">
            <w:pPr>
              <w:pStyle w:val="ESTableBody"/>
              <w:jc w:val="right"/>
              <w:rPr>
                <w:lang w:val="en-AU"/>
              </w:rPr>
            </w:pPr>
            <w:r w:rsidRPr="006E49EE">
              <w:rPr>
                <w:lang w:val="en-AU"/>
              </w:rPr>
              <w:t>20.4</w:t>
            </w:r>
          </w:p>
        </w:tc>
        <w:tc>
          <w:tcPr>
            <w:tcW w:w="500" w:type="pct"/>
            <w:tcBorders>
              <w:top w:val="nil"/>
              <w:bottom w:val="nil"/>
            </w:tcBorders>
            <w:shd w:val="clear" w:color="auto" w:fill="auto"/>
          </w:tcPr>
          <w:p w14:paraId="5B8F3EE7" w14:textId="77777777" w:rsidR="00A61FF5" w:rsidRPr="006E49EE" w:rsidRDefault="00A61FF5" w:rsidP="00D07480">
            <w:pPr>
              <w:pStyle w:val="ESTableBody"/>
              <w:jc w:val="right"/>
              <w:rPr>
                <w:lang w:val="en-AU"/>
              </w:rPr>
            </w:pPr>
            <w:r w:rsidRPr="006E49EE">
              <w:rPr>
                <w:lang w:val="en-AU"/>
              </w:rPr>
              <w:t>20.7</w:t>
            </w:r>
          </w:p>
        </w:tc>
        <w:tc>
          <w:tcPr>
            <w:tcW w:w="500" w:type="pct"/>
            <w:tcBorders>
              <w:top w:val="nil"/>
              <w:bottom w:val="nil"/>
            </w:tcBorders>
            <w:shd w:val="clear" w:color="auto" w:fill="auto"/>
          </w:tcPr>
          <w:p w14:paraId="216D0746" w14:textId="77777777" w:rsidR="00A61FF5" w:rsidRPr="006E49EE" w:rsidRDefault="00A61FF5" w:rsidP="00D07480">
            <w:pPr>
              <w:pStyle w:val="ESTableBody"/>
              <w:jc w:val="right"/>
              <w:rPr>
                <w:lang w:val="en-AU"/>
              </w:rPr>
            </w:pPr>
            <w:r w:rsidRPr="006E49EE">
              <w:rPr>
                <w:lang w:val="en-AU"/>
              </w:rPr>
              <w:t>22.6</w:t>
            </w:r>
          </w:p>
        </w:tc>
        <w:tc>
          <w:tcPr>
            <w:tcW w:w="500" w:type="pct"/>
            <w:tcBorders>
              <w:top w:val="nil"/>
              <w:bottom w:val="nil"/>
            </w:tcBorders>
            <w:shd w:val="clear" w:color="auto" w:fill="auto"/>
          </w:tcPr>
          <w:p w14:paraId="6EBCDCB9" w14:textId="77777777" w:rsidR="00A61FF5" w:rsidRPr="006E49EE" w:rsidRDefault="00A61FF5" w:rsidP="00D07480">
            <w:pPr>
              <w:pStyle w:val="ESTableBody"/>
              <w:jc w:val="right"/>
              <w:rPr>
                <w:lang w:val="en-AU"/>
              </w:rPr>
            </w:pPr>
            <w:r w:rsidRPr="006E49EE">
              <w:rPr>
                <w:lang w:val="en-AU"/>
              </w:rPr>
              <w:t>22.8</w:t>
            </w:r>
          </w:p>
        </w:tc>
        <w:tc>
          <w:tcPr>
            <w:tcW w:w="500" w:type="pct"/>
            <w:tcBorders>
              <w:top w:val="nil"/>
              <w:bottom w:val="nil"/>
            </w:tcBorders>
          </w:tcPr>
          <w:p w14:paraId="5E6C8C4F" w14:textId="77777777" w:rsidR="00A61FF5" w:rsidRPr="006E49EE" w:rsidRDefault="00A61FF5" w:rsidP="00D07480">
            <w:pPr>
              <w:pStyle w:val="ESTableBody"/>
              <w:jc w:val="right"/>
              <w:rPr>
                <w:lang w:val="en-AU"/>
              </w:rPr>
            </w:pPr>
            <w:r w:rsidRPr="006E49EE">
              <w:rPr>
                <w:lang w:val="en-AU"/>
              </w:rPr>
              <w:t>20.7</w:t>
            </w:r>
          </w:p>
        </w:tc>
      </w:tr>
      <w:tr w:rsidR="00A61FF5" w:rsidRPr="00932A90" w14:paraId="668C54E4" w14:textId="77777777" w:rsidTr="004576EA">
        <w:trPr>
          <w:gridBefore w:val="1"/>
          <w:wBefore w:w="27" w:type="pct"/>
          <w:trHeight w:val="283"/>
        </w:trPr>
        <w:tc>
          <w:tcPr>
            <w:tcW w:w="2000" w:type="pct"/>
            <w:tcBorders>
              <w:top w:val="nil"/>
            </w:tcBorders>
            <w:shd w:val="clear" w:color="auto" w:fill="auto"/>
          </w:tcPr>
          <w:p w14:paraId="57735FF1" w14:textId="77777777" w:rsidR="00A61FF5" w:rsidRPr="006E49EE" w:rsidRDefault="00A61FF5" w:rsidP="00D07480">
            <w:pPr>
              <w:pStyle w:val="ESTableBody"/>
              <w:rPr>
                <w:lang w:val="en-AU"/>
              </w:rPr>
            </w:pPr>
            <w:r w:rsidRPr="006E49EE">
              <w:rPr>
                <w:lang w:val="en-AU"/>
              </w:rPr>
              <w:tab/>
              <w:t>Year 9—Numeracy</w:t>
            </w:r>
          </w:p>
        </w:tc>
        <w:tc>
          <w:tcPr>
            <w:tcW w:w="500" w:type="pct"/>
            <w:tcBorders>
              <w:top w:val="nil"/>
            </w:tcBorders>
            <w:shd w:val="clear" w:color="auto" w:fill="auto"/>
          </w:tcPr>
          <w:p w14:paraId="00348ABA" w14:textId="77777777" w:rsidR="00A61FF5" w:rsidRPr="006E49EE" w:rsidRDefault="00A61FF5" w:rsidP="00D07480">
            <w:pPr>
              <w:pStyle w:val="ESTableBody"/>
              <w:jc w:val="right"/>
              <w:rPr>
                <w:lang w:val="en-AU"/>
              </w:rPr>
            </w:pPr>
            <w:r w:rsidRPr="006E49EE">
              <w:rPr>
                <w:lang w:val="en-AU"/>
              </w:rPr>
              <w:t>per cent</w:t>
            </w:r>
          </w:p>
        </w:tc>
        <w:tc>
          <w:tcPr>
            <w:tcW w:w="500" w:type="pct"/>
            <w:tcBorders>
              <w:top w:val="nil"/>
            </w:tcBorders>
            <w:shd w:val="clear" w:color="auto" w:fill="auto"/>
          </w:tcPr>
          <w:p w14:paraId="7ABAC3CE" w14:textId="77777777" w:rsidR="00A61FF5" w:rsidRPr="006E49EE" w:rsidRDefault="00A61FF5" w:rsidP="00D07480">
            <w:pPr>
              <w:pStyle w:val="ESTableBody"/>
              <w:jc w:val="right"/>
              <w:rPr>
                <w:lang w:val="en-AU"/>
              </w:rPr>
            </w:pPr>
            <w:r w:rsidRPr="006E49EE">
              <w:rPr>
                <w:lang w:val="en-AU"/>
              </w:rPr>
              <w:t>24.7</w:t>
            </w:r>
          </w:p>
        </w:tc>
        <w:tc>
          <w:tcPr>
            <w:tcW w:w="500" w:type="pct"/>
            <w:tcBorders>
              <w:top w:val="nil"/>
            </w:tcBorders>
            <w:shd w:val="clear" w:color="auto" w:fill="auto"/>
          </w:tcPr>
          <w:p w14:paraId="69F6A58E" w14:textId="77777777" w:rsidR="00A61FF5" w:rsidRPr="006E49EE" w:rsidRDefault="00A61FF5" w:rsidP="00D07480">
            <w:pPr>
              <w:pStyle w:val="ESTableBody"/>
              <w:jc w:val="right"/>
              <w:rPr>
                <w:lang w:val="en-AU"/>
              </w:rPr>
            </w:pPr>
            <w:r w:rsidRPr="006E49EE">
              <w:rPr>
                <w:lang w:val="en-AU"/>
              </w:rPr>
              <w:t>25.2</w:t>
            </w:r>
          </w:p>
        </w:tc>
        <w:tc>
          <w:tcPr>
            <w:tcW w:w="500" w:type="pct"/>
            <w:tcBorders>
              <w:top w:val="nil"/>
            </w:tcBorders>
            <w:shd w:val="clear" w:color="auto" w:fill="auto"/>
          </w:tcPr>
          <w:p w14:paraId="363A1A38" w14:textId="77777777" w:rsidR="00A61FF5" w:rsidRPr="006E49EE" w:rsidRDefault="00A61FF5" w:rsidP="00D07480">
            <w:pPr>
              <w:pStyle w:val="ESTableBody"/>
              <w:jc w:val="right"/>
              <w:rPr>
                <w:lang w:val="en-AU"/>
              </w:rPr>
            </w:pPr>
            <w:r w:rsidRPr="006E49EE">
              <w:rPr>
                <w:lang w:val="en-AU"/>
              </w:rPr>
              <w:t>25.3</w:t>
            </w:r>
          </w:p>
        </w:tc>
        <w:tc>
          <w:tcPr>
            <w:tcW w:w="500" w:type="pct"/>
            <w:tcBorders>
              <w:top w:val="nil"/>
            </w:tcBorders>
            <w:shd w:val="clear" w:color="auto" w:fill="auto"/>
          </w:tcPr>
          <w:p w14:paraId="6E0CA3D1" w14:textId="77777777" w:rsidR="00A61FF5" w:rsidRPr="006E49EE" w:rsidRDefault="00A61FF5" w:rsidP="00D07480">
            <w:pPr>
              <w:pStyle w:val="ESTableBody"/>
              <w:jc w:val="right"/>
              <w:rPr>
                <w:lang w:val="en-AU"/>
              </w:rPr>
            </w:pPr>
            <w:r w:rsidRPr="006E49EE">
              <w:rPr>
                <w:lang w:val="en-AU"/>
              </w:rPr>
              <w:t>26.1</w:t>
            </w:r>
          </w:p>
        </w:tc>
        <w:tc>
          <w:tcPr>
            <w:tcW w:w="500" w:type="pct"/>
            <w:tcBorders>
              <w:top w:val="nil"/>
            </w:tcBorders>
          </w:tcPr>
          <w:p w14:paraId="75F58215" w14:textId="77777777" w:rsidR="00A61FF5" w:rsidRPr="006E49EE" w:rsidRDefault="00A61FF5" w:rsidP="00D07480">
            <w:pPr>
              <w:pStyle w:val="ESTableBody"/>
              <w:jc w:val="right"/>
              <w:rPr>
                <w:lang w:val="en-AU"/>
              </w:rPr>
            </w:pPr>
            <w:r w:rsidRPr="006E49EE">
              <w:rPr>
                <w:lang w:val="en-AU"/>
              </w:rPr>
              <w:t>23.3</w:t>
            </w:r>
          </w:p>
        </w:tc>
      </w:tr>
      <w:tr w:rsidR="00A61FF5" w:rsidRPr="00932A90" w14:paraId="4D96C9B6" w14:textId="77777777" w:rsidTr="004576EA">
        <w:trPr>
          <w:gridBefore w:val="1"/>
          <w:wBefore w:w="27" w:type="pct"/>
          <w:trHeight w:val="283"/>
        </w:trPr>
        <w:tc>
          <w:tcPr>
            <w:tcW w:w="2000" w:type="pct"/>
            <w:shd w:val="clear" w:color="auto" w:fill="auto"/>
          </w:tcPr>
          <w:p w14:paraId="30A19302" w14:textId="77777777" w:rsidR="00A61FF5" w:rsidRPr="006E49EE" w:rsidRDefault="00A61FF5" w:rsidP="00D07480">
            <w:pPr>
              <w:pStyle w:val="ESTableBody"/>
              <w:rPr>
                <w:sz w:val="19"/>
                <w:lang w:val="en-AU"/>
              </w:rPr>
            </w:pPr>
            <w:r w:rsidRPr="006E49EE">
              <w:rPr>
                <w:lang w:val="en-AU"/>
              </w:rPr>
              <w:t>Proportion of Year 4 students reaching the international benchmarks (PIRLS)</w:t>
            </w:r>
            <w:r w:rsidRPr="006E49EE">
              <w:rPr>
                <w:rStyle w:val="FootnoteReference"/>
                <w:lang w:val="en-AU"/>
              </w:rPr>
              <w:footnoteReference w:id="3"/>
            </w:r>
            <w:r w:rsidRPr="006E49EE">
              <w:rPr>
                <w:lang w:val="en-AU"/>
              </w:rPr>
              <w:t>—Reading</w:t>
            </w:r>
          </w:p>
        </w:tc>
        <w:tc>
          <w:tcPr>
            <w:tcW w:w="500" w:type="pct"/>
            <w:shd w:val="clear" w:color="auto" w:fill="auto"/>
          </w:tcPr>
          <w:p w14:paraId="419187F2"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07192F0D" w14:textId="77777777" w:rsidR="00A61FF5" w:rsidRPr="006E49EE" w:rsidRDefault="00A61FF5" w:rsidP="00D07480">
            <w:pPr>
              <w:pStyle w:val="ESTableBody"/>
              <w:jc w:val="right"/>
              <w:rPr>
                <w:lang w:val="en-AU"/>
              </w:rPr>
            </w:pPr>
            <w:r w:rsidRPr="006E49EE">
              <w:rPr>
                <w:lang w:val="en-AU"/>
              </w:rPr>
              <w:t>80.0</w:t>
            </w:r>
          </w:p>
        </w:tc>
        <w:tc>
          <w:tcPr>
            <w:tcW w:w="500" w:type="pct"/>
            <w:shd w:val="clear" w:color="auto" w:fill="auto"/>
          </w:tcPr>
          <w:p w14:paraId="6C2EBAEB" w14:textId="77777777" w:rsidR="00A61FF5" w:rsidRPr="006E49EE" w:rsidRDefault="00A61FF5" w:rsidP="00D07480">
            <w:pPr>
              <w:pStyle w:val="ESTableBody"/>
              <w:jc w:val="right"/>
              <w:rPr>
                <w:lang w:val="en-AU"/>
              </w:rPr>
            </w:pPr>
            <w:r w:rsidRPr="006E49EE">
              <w:rPr>
                <w:lang w:val="en-AU"/>
              </w:rPr>
              <w:t>–</w:t>
            </w:r>
          </w:p>
        </w:tc>
        <w:tc>
          <w:tcPr>
            <w:tcW w:w="500" w:type="pct"/>
            <w:shd w:val="clear" w:color="auto" w:fill="auto"/>
          </w:tcPr>
          <w:p w14:paraId="57C5C839" w14:textId="77777777" w:rsidR="00A61FF5" w:rsidRPr="006E49EE" w:rsidRDefault="00A61FF5" w:rsidP="00D07480">
            <w:pPr>
              <w:pStyle w:val="ESTableBody"/>
              <w:jc w:val="right"/>
              <w:rPr>
                <w:lang w:val="en-AU"/>
              </w:rPr>
            </w:pPr>
            <w:r w:rsidRPr="006E49EE">
              <w:rPr>
                <w:lang w:val="en-AU"/>
              </w:rPr>
              <w:t>–</w:t>
            </w:r>
          </w:p>
        </w:tc>
        <w:tc>
          <w:tcPr>
            <w:tcW w:w="500" w:type="pct"/>
            <w:shd w:val="clear" w:color="auto" w:fill="auto"/>
          </w:tcPr>
          <w:p w14:paraId="599F207A" w14:textId="77777777" w:rsidR="00A61FF5" w:rsidRPr="006E49EE" w:rsidRDefault="00A61FF5" w:rsidP="00D07480">
            <w:pPr>
              <w:pStyle w:val="ESTableBody"/>
              <w:jc w:val="right"/>
              <w:rPr>
                <w:lang w:val="en-AU"/>
              </w:rPr>
            </w:pPr>
            <w:r w:rsidRPr="006E49EE">
              <w:rPr>
                <w:lang w:val="en-AU"/>
              </w:rPr>
              <w:t>–</w:t>
            </w:r>
          </w:p>
        </w:tc>
        <w:tc>
          <w:tcPr>
            <w:tcW w:w="500" w:type="pct"/>
          </w:tcPr>
          <w:p w14:paraId="48ADC621" w14:textId="77777777" w:rsidR="00A61FF5" w:rsidRPr="006E49EE" w:rsidRDefault="00A61FF5" w:rsidP="00D07480">
            <w:pPr>
              <w:pStyle w:val="ESTableBody"/>
              <w:jc w:val="right"/>
              <w:rPr>
                <w:lang w:val="en-AU"/>
              </w:rPr>
            </w:pPr>
            <w:r w:rsidRPr="006E49EE">
              <w:rPr>
                <w:lang w:val="en-AU"/>
              </w:rPr>
              <w:t>–</w:t>
            </w:r>
          </w:p>
        </w:tc>
      </w:tr>
      <w:tr w:rsidR="00A61FF5" w:rsidRPr="00932A90" w14:paraId="5D94DFD6" w14:textId="77777777" w:rsidTr="004576EA">
        <w:trPr>
          <w:gridBefore w:val="1"/>
          <w:wBefore w:w="27" w:type="pct"/>
          <w:trHeight w:val="283"/>
        </w:trPr>
        <w:tc>
          <w:tcPr>
            <w:tcW w:w="2000" w:type="pct"/>
            <w:shd w:val="clear" w:color="auto" w:fill="auto"/>
          </w:tcPr>
          <w:p w14:paraId="2CC53046" w14:textId="77777777" w:rsidR="00A61FF5" w:rsidRPr="006E49EE" w:rsidRDefault="00A61FF5" w:rsidP="00D07480">
            <w:pPr>
              <w:pStyle w:val="ESTableBody"/>
              <w:rPr>
                <w:sz w:val="19"/>
                <w:lang w:val="en-AU"/>
              </w:rPr>
            </w:pPr>
            <w:r w:rsidRPr="006E49EE">
              <w:rPr>
                <w:lang w:val="en-AU"/>
              </w:rPr>
              <w:t>Proportion of Year 4 students reaching the international benchmarks (TIMSS)</w:t>
            </w:r>
            <w:r w:rsidRPr="006E49EE">
              <w:rPr>
                <w:rStyle w:val="FootnoteReference"/>
                <w:lang w:val="en-AU"/>
              </w:rPr>
              <w:footnoteReference w:id="4"/>
            </w:r>
            <w:r w:rsidRPr="006E49EE">
              <w:rPr>
                <w:lang w:val="en-AU"/>
              </w:rPr>
              <w:t>—Mathematics</w:t>
            </w:r>
          </w:p>
        </w:tc>
        <w:tc>
          <w:tcPr>
            <w:tcW w:w="500" w:type="pct"/>
            <w:shd w:val="clear" w:color="auto" w:fill="auto"/>
          </w:tcPr>
          <w:p w14:paraId="23D9A926"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703AE7BA" w14:textId="77777777" w:rsidR="00A61FF5" w:rsidRPr="006E49EE" w:rsidRDefault="00A61FF5" w:rsidP="00D07480">
            <w:pPr>
              <w:pStyle w:val="ESTableBody"/>
              <w:jc w:val="right"/>
              <w:rPr>
                <w:lang w:val="en-AU"/>
              </w:rPr>
            </w:pPr>
            <w:r w:rsidRPr="006E49EE">
              <w:rPr>
                <w:lang w:val="en-AU"/>
              </w:rPr>
              <w:t>75.0</w:t>
            </w:r>
          </w:p>
        </w:tc>
        <w:tc>
          <w:tcPr>
            <w:tcW w:w="500" w:type="pct"/>
            <w:shd w:val="clear" w:color="auto" w:fill="auto"/>
          </w:tcPr>
          <w:p w14:paraId="1ED8AB01" w14:textId="77777777" w:rsidR="00A61FF5" w:rsidRPr="006E49EE" w:rsidRDefault="00A61FF5" w:rsidP="00D07480">
            <w:pPr>
              <w:pStyle w:val="ESTableBody"/>
              <w:jc w:val="right"/>
              <w:rPr>
                <w:lang w:val="en-AU"/>
              </w:rPr>
            </w:pPr>
            <w:r w:rsidRPr="006E49EE">
              <w:rPr>
                <w:lang w:val="en-AU"/>
              </w:rPr>
              <w:t>–</w:t>
            </w:r>
          </w:p>
        </w:tc>
        <w:tc>
          <w:tcPr>
            <w:tcW w:w="500" w:type="pct"/>
            <w:shd w:val="clear" w:color="auto" w:fill="auto"/>
          </w:tcPr>
          <w:p w14:paraId="79251682" w14:textId="77777777" w:rsidR="00A61FF5" w:rsidRPr="006E49EE" w:rsidRDefault="00A61FF5" w:rsidP="00D07480">
            <w:pPr>
              <w:pStyle w:val="ESTableBody"/>
              <w:jc w:val="right"/>
              <w:rPr>
                <w:lang w:val="en-AU"/>
              </w:rPr>
            </w:pPr>
            <w:r w:rsidRPr="006E49EE">
              <w:rPr>
                <w:lang w:val="en-AU"/>
              </w:rPr>
              <w:t>–</w:t>
            </w:r>
          </w:p>
        </w:tc>
        <w:tc>
          <w:tcPr>
            <w:tcW w:w="500" w:type="pct"/>
            <w:shd w:val="clear" w:color="auto" w:fill="auto"/>
          </w:tcPr>
          <w:p w14:paraId="1EDD6E91" w14:textId="77777777" w:rsidR="00A61FF5" w:rsidRPr="006E49EE" w:rsidRDefault="00A61FF5" w:rsidP="00D07480">
            <w:pPr>
              <w:pStyle w:val="ESTableBody"/>
              <w:jc w:val="right"/>
              <w:rPr>
                <w:lang w:val="en-AU"/>
              </w:rPr>
            </w:pPr>
            <w:r w:rsidRPr="006E49EE">
              <w:rPr>
                <w:lang w:val="en-AU"/>
              </w:rPr>
              <w:t>–</w:t>
            </w:r>
          </w:p>
        </w:tc>
        <w:tc>
          <w:tcPr>
            <w:tcW w:w="500" w:type="pct"/>
          </w:tcPr>
          <w:p w14:paraId="2FE77589" w14:textId="77777777" w:rsidR="00A61FF5" w:rsidRPr="006E49EE" w:rsidRDefault="00A61FF5" w:rsidP="00D07480">
            <w:pPr>
              <w:pStyle w:val="ESTableBody"/>
              <w:jc w:val="right"/>
              <w:rPr>
                <w:lang w:val="en-AU"/>
              </w:rPr>
            </w:pPr>
            <w:r w:rsidRPr="006E49EE">
              <w:rPr>
                <w:lang w:val="en-AU"/>
              </w:rPr>
              <w:t>75.0</w:t>
            </w:r>
          </w:p>
        </w:tc>
      </w:tr>
      <w:tr w:rsidR="00A61FF5" w:rsidRPr="00932A90" w14:paraId="0EAFC903" w14:textId="77777777" w:rsidTr="004576EA">
        <w:trPr>
          <w:gridBefore w:val="1"/>
          <w:wBefore w:w="27" w:type="pct"/>
          <w:trHeight w:val="283"/>
        </w:trPr>
        <w:tc>
          <w:tcPr>
            <w:tcW w:w="2000" w:type="pct"/>
            <w:tcBorders>
              <w:bottom w:val="nil"/>
            </w:tcBorders>
            <w:shd w:val="clear" w:color="auto" w:fill="auto"/>
          </w:tcPr>
          <w:p w14:paraId="335BF121" w14:textId="77777777" w:rsidR="00A61FF5" w:rsidRPr="006E49EE" w:rsidRDefault="00A61FF5" w:rsidP="00D07480">
            <w:pPr>
              <w:pStyle w:val="ESTableBody"/>
              <w:rPr>
                <w:sz w:val="19"/>
                <w:lang w:val="en-AU"/>
              </w:rPr>
            </w:pPr>
            <w:r w:rsidRPr="006E49EE">
              <w:rPr>
                <w:lang w:val="en-AU"/>
              </w:rPr>
              <w:t>Proportion of Year 8 students reaching the international benchmarks (TIMSS)</w:t>
            </w:r>
            <w:r w:rsidRPr="006E49EE">
              <w:rPr>
                <w:rStyle w:val="FootnoteReference"/>
                <w:lang w:val="en-AU"/>
              </w:rPr>
              <w:t>3</w:t>
            </w:r>
            <w:r w:rsidRPr="006E49EE">
              <w:rPr>
                <w:lang w:val="en-AU"/>
              </w:rPr>
              <w:t xml:space="preserve"> —Mathematics</w:t>
            </w:r>
          </w:p>
        </w:tc>
        <w:tc>
          <w:tcPr>
            <w:tcW w:w="500" w:type="pct"/>
            <w:tcBorders>
              <w:bottom w:val="nil"/>
            </w:tcBorders>
            <w:shd w:val="clear" w:color="auto" w:fill="auto"/>
          </w:tcPr>
          <w:p w14:paraId="693E5767" w14:textId="77777777" w:rsidR="00A61FF5" w:rsidRPr="006E49EE" w:rsidRDefault="00A61FF5" w:rsidP="00D07480">
            <w:pPr>
              <w:pStyle w:val="ESTableBody"/>
              <w:jc w:val="right"/>
              <w:rPr>
                <w:lang w:val="en-AU"/>
              </w:rPr>
            </w:pPr>
            <w:r w:rsidRPr="006E49EE">
              <w:rPr>
                <w:lang w:val="en-AU"/>
              </w:rPr>
              <w:t>per cent</w:t>
            </w:r>
          </w:p>
        </w:tc>
        <w:tc>
          <w:tcPr>
            <w:tcW w:w="500" w:type="pct"/>
            <w:tcBorders>
              <w:bottom w:val="nil"/>
            </w:tcBorders>
            <w:shd w:val="clear" w:color="auto" w:fill="auto"/>
          </w:tcPr>
          <w:p w14:paraId="17ABF126" w14:textId="77777777" w:rsidR="00A61FF5" w:rsidRPr="006E49EE" w:rsidRDefault="00A61FF5" w:rsidP="00D07480">
            <w:pPr>
              <w:pStyle w:val="ESTableBody"/>
              <w:jc w:val="right"/>
              <w:rPr>
                <w:lang w:val="en-AU"/>
              </w:rPr>
            </w:pPr>
            <w:r w:rsidRPr="006E49EE">
              <w:rPr>
                <w:lang w:val="en-AU"/>
              </w:rPr>
              <w:t>65.0</w:t>
            </w:r>
          </w:p>
        </w:tc>
        <w:tc>
          <w:tcPr>
            <w:tcW w:w="500" w:type="pct"/>
            <w:tcBorders>
              <w:bottom w:val="nil"/>
            </w:tcBorders>
            <w:shd w:val="clear" w:color="auto" w:fill="auto"/>
          </w:tcPr>
          <w:p w14:paraId="3A4EF368" w14:textId="77777777" w:rsidR="00A61FF5" w:rsidRPr="006E49EE" w:rsidRDefault="00A61FF5" w:rsidP="00D07480">
            <w:pPr>
              <w:pStyle w:val="ESTableBody"/>
              <w:jc w:val="right"/>
              <w:rPr>
                <w:lang w:val="en-AU"/>
              </w:rPr>
            </w:pPr>
            <w:r w:rsidRPr="006E49EE">
              <w:rPr>
                <w:lang w:val="en-AU"/>
              </w:rPr>
              <w:t>–</w:t>
            </w:r>
          </w:p>
        </w:tc>
        <w:tc>
          <w:tcPr>
            <w:tcW w:w="500" w:type="pct"/>
            <w:tcBorders>
              <w:bottom w:val="nil"/>
            </w:tcBorders>
            <w:shd w:val="clear" w:color="auto" w:fill="auto"/>
          </w:tcPr>
          <w:p w14:paraId="01DCA3E4" w14:textId="77777777" w:rsidR="00A61FF5" w:rsidRPr="006E49EE" w:rsidRDefault="00A61FF5" w:rsidP="00D07480">
            <w:pPr>
              <w:pStyle w:val="ESTableBody"/>
              <w:jc w:val="right"/>
              <w:rPr>
                <w:lang w:val="en-AU"/>
              </w:rPr>
            </w:pPr>
            <w:r w:rsidRPr="006E49EE">
              <w:rPr>
                <w:lang w:val="en-AU"/>
              </w:rPr>
              <w:t>–</w:t>
            </w:r>
          </w:p>
        </w:tc>
        <w:tc>
          <w:tcPr>
            <w:tcW w:w="500" w:type="pct"/>
            <w:tcBorders>
              <w:bottom w:val="nil"/>
            </w:tcBorders>
            <w:shd w:val="clear" w:color="auto" w:fill="auto"/>
          </w:tcPr>
          <w:p w14:paraId="088823C5" w14:textId="77777777" w:rsidR="00A61FF5" w:rsidRPr="006E49EE" w:rsidRDefault="00A61FF5" w:rsidP="00D07480">
            <w:pPr>
              <w:pStyle w:val="ESTableBody"/>
              <w:jc w:val="right"/>
              <w:rPr>
                <w:lang w:val="en-AU"/>
              </w:rPr>
            </w:pPr>
            <w:r w:rsidRPr="006E49EE">
              <w:rPr>
                <w:lang w:val="en-AU"/>
              </w:rPr>
              <w:t>–</w:t>
            </w:r>
          </w:p>
        </w:tc>
        <w:tc>
          <w:tcPr>
            <w:tcW w:w="500" w:type="pct"/>
            <w:tcBorders>
              <w:bottom w:val="nil"/>
            </w:tcBorders>
          </w:tcPr>
          <w:p w14:paraId="69D0EA0C" w14:textId="77777777" w:rsidR="00A61FF5" w:rsidRPr="006E49EE" w:rsidRDefault="00A61FF5" w:rsidP="00D07480">
            <w:pPr>
              <w:pStyle w:val="ESTableBody"/>
              <w:jc w:val="right"/>
              <w:rPr>
                <w:lang w:val="en-AU"/>
              </w:rPr>
            </w:pPr>
            <w:r w:rsidRPr="006E49EE">
              <w:rPr>
                <w:lang w:val="en-AU"/>
              </w:rPr>
              <w:t>69.0</w:t>
            </w:r>
          </w:p>
        </w:tc>
      </w:tr>
      <w:tr w:rsidR="00A61FF5" w:rsidRPr="00932A90" w14:paraId="26E94261" w14:textId="77777777" w:rsidTr="004576EA">
        <w:trPr>
          <w:gridBefore w:val="1"/>
          <w:wBefore w:w="27" w:type="pct"/>
          <w:trHeight w:val="283"/>
        </w:trPr>
        <w:tc>
          <w:tcPr>
            <w:tcW w:w="2000" w:type="pct"/>
            <w:tcBorders>
              <w:top w:val="nil"/>
              <w:bottom w:val="nil"/>
            </w:tcBorders>
            <w:shd w:val="clear" w:color="auto" w:fill="auto"/>
          </w:tcPr>
          <w:p w14:paraId="08BF298C" w14:textId="77777777" w:rsidR="00A61FF5" w:rsidRPr="006E49EE" w:rsidRDefault="00A61FF5" w:rsidP="00D07480">
            <w:pPr>
              <w:pStyle w:val="ESTableBody"/>
              <w:rPr>
                <w:lang w:val="en-AU"/>
              </w:rPr>
            </w:pPr>
            <w:r w:rsidRPr="006E49EE">
              <w:rPr>
                <w:lang w:val="en-AU"/>
              </w:rPr>
              <w:t>Proportion of 15-year-old students achieving at or above proficient standard (level 3) in PISA reading literacy</w:t>
            </w:r>
            <w:r w:rsidRPr="006E49EE">
              <w:rPr>
                <w:rStyle w:val="FootnoteReference"/>
                <w:lang w:val="en-AU"/>
              </w:rPr>
              <w:footnoteReference w:id="5"/>
            </w:r>
          </w:p>
        </w:tc>
        <w:tc>
          <w:tcPr>
            <w:tcW w:w="500" w:type="pct"/>
            <w:tcBorders>
              <w:top w:val="nil"/>
              <w:bottom w:val="nil"/>
            </w:tcBorders>
            <w:shd w:val="clear" w:color="auto" w:fill="auto"/>
          </w:tcPr>
          <w:p w14:paraId="28A98ED7" w14:textId="77777777" w:rsidR="00A61FF5" w:rsidRPr="006E49EE" w:rsidRDefault="00A61FF5" w:rsidP="00D07480">
            <w:pPr>
              <w:pStyle w:val="ESTableBody"/>
              <w:jc w:val="right"/>
              <w:rPr>
                <w:lang w:val="en-AU"/>
              </w:rPr>
            </w:pPr>
            <w:r w:rsidRPr="006E49EE">
              <w:rPr>
                <w:lang w:val="en-AU"/>
              </w:rPr>
              <w:t>per cent</w:t>
            </w:r>
          </w:p>
        </w:tc>
        <w:tc>
          <w:tcPr>
            <w:tcW w:w="500" w:type="pct"/>
            <w:tcBorders>
              <w:top w:val="nil"/>
              <w:bottom w:val="nil"/>
            </w:tcBorders>
            <w:shd w:val="clear" w:color="auto" w:fill="auto"/>
          </w:tcPr>
          <w:p w14:paraId="0BD9A3AD" w14:textId="77777777" w:rsidR="00A61FF5" w:rsidRPr="006E49EE" w:rsidRDefault="00A61FF5" w:rsidP="00D07480">
            <w:pPr>
              <w:pStyle w:val="ESTableBody"/>
              <w:jc w:val="right"/>
              <w:rPr>
                <w:lang w:val="en-AU"/>
              </w:rPr>
            </w:pPr>
            <w:r w:rsidRPr="006E49EE">
              <w:rPr>
                <w:lang w:val="en-AU"/>
              </w:rPr>
              <w:t>67.0</w:t>
            </w:r>
          </w:p>
        </w:tc>
        <w:tc>
          <w:tcPr>
            <w:tcW w:w="500" w:type="pct"/>
            <w:tcBorders>
              <w:top w:val="nil"/>
              <w:bottom w:val="nil"/>
            </w:tcBorders>
            <w:shd w:val="clear" w:color="auto" w:fill="auto"/>
          </w:tcPr>
          <w:p w14:paraId="3768E7F5" w14:textId="77777777" w:rsidR="00A61FF5" w:rsidRPr="006E49EE" w:rsidRDefault="00A61FF5"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4E97801D" w14:textId="77777777" w:rsidR="00A61FF5" w:rsidRPr="006E49EE" w:rsidRDefault="00A61FF5"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251AB7C5" w14:textId="77777777" w:rsidR="00A61FF5" w:rsidRPr="006E49EE" w:rsidRDefault="00A61FF5" w:rsidP="00D07480">
            <w:pPr>
              <w:pStyle w:val="ESTableBody"/>
              <w:jc w:val="right"/>
              <w:rPr>
                <w:lang w:val="en-AU"/>
              </w:rPr>
            </w:pPr>
            <w:r w:rsidRPr="006E49EE">
              <w:rPr>
                <w:lang w:val="en-AU"/>
              </w:rPr>
              <w:t>63.0</w:t>
            </w:r>
          </w:p>
        </w:tc>
        <w:tc>
          <w:tcPr>
            <w:tcW w:w="500" w:type="pct"/>
            <w:tcBorders>
              <w:top w:val="nil"/>
              <w:bottom w:val="nil"/>
            </w:tcBorders>
          </w:tcPr>
          <w:p w14:paraId="0D08D53D" w14:textId="77777777" w:rsidR="00A61FF5" w:rsidRPr="006E49EE" w:rsidRDefault="00A61FF5" w:rsidP="00D07480">
            <w:pPr>
              <w:pStyle w:val="ESTableBody"/>
              <w:jc w:val="right"/>
              <w:rPr>
                <w:lang w:val="en-AU"/>
              </w:rPr>
            </w:pPr>
            <w:r w:rsidRPr="006E49EE">
              <w:rPr>
                <w:lang w:val="en-AU"/>
              </w:rPr>
              <w:t>–</w:t>
            </w:r>
          </w:p>
        </w:tc>
      </w:tr>
      <w:tr w:rsidR="00A61FF5" w:rsidRPr="00932A90" w14:paraId="6FDCCAE7" w14:textId="77777777" w:rsidTr="004576EA">
        <w:trPr>
          <w:gridBefore w:val="1"/>
          <w:wBefore w:w="27" w:type="pct"/>
          <w:trHeight w:val="283"/>
        </w:trPr>
        <w:tc>
          <w:tcPr>
            <w:tcW w:w="2000" w:type="pct"/>
            <w:tcBorders>
              <w:top w:val="nil"/>
              <w:bottom w:val="nil"/>
            </w:tcBorders>
            <w:shd w:val="clear" w:color="auto" w:fill="auto"/>
          </w:tcPr>
          <w:p w14:paraId="5DA44613" w14:textId="77777777" w:rsidR="00A61FF5" w:rsidRPr="006E49EE" w:rsidRDefault="00A61FF5" w:rsidP="00D07480">
            <w:pPr>
              <w:pStyle w:val="ESTableBody"/>
              <w:rPr>
                <w:lang w:val="en-AU"/>
              </w:rPr>
            </w:pPr>
            <w:r w:rsidRPr="006E49EE">
              <w:rPr>
                <w:lang w:val="en-AU"/>
              </w:rPr>
              <w:t>Proportion of 15-year-old students achieving at or above proficient standard (level 3) in PISA mathematical literacy</w:t>
            </w:r>
            <w:r w:rsidRPr="006E49EE">
              <w:rPr>
                <w:rStyle w:val="FootnoteReference"/>
                <w:lang w:val="en-AU"/>
              </w:rPr>
              <w:t>4</w:t>
            </w:r>
          </w:p>
        </w:tc>
        <w:tc>
          <w:tcPr>
            <w:tcW w:w="500" w:type="pct"/>
            <w:tcBorders>
              <w:top w:val="nil"/>
              <w:bottom w:val="nil"/>
            </w:tcBorders>
            <w:shd w:val="clear" w:color="auto" w:fill="auto"/>
          </w:tcPr>
          <w:p w14:paraId="022121A5" w14:textId="77777777" w:rsidR="00A61FF5" w:rsidRPr="006E49EE" w:rsidRDefault="00A61FF5" w:rsidP="00D07480">
            <w:pPr>
              <w:pStyle w:val="ESTableBody"/>
              <w:jc w:val="right"/>
              <w:rPr>
                <w:lang w:val="en-AU"/>
              </w:rPr>
            </w:pPr>
            <w:r w:rsidRPr="006E49EE">
              <w:rPr>
                <w:lang w:val="en-AU"/>
              </w:rPr>
              <w:t>per cent</w:t>
            </w:r>
          </w:p>
        </w:tc>
        <w:tc>
          <w:tcPr>
            <w:tcW w:w="500" w:type="pct"/>
            <w:tcBorders>
              <w:top w:val="nil"/>
              <w:bottom w:val="nil"/>
            </w:tcBorders>
            <w:shd w:val="clear" w:color="auto" w:fill="auto"/>
          </w:tcPr>
          <w:p w14:paraId="4C146925" w14:textId="77777777" w:rsidR="00A61FF5" w:rsidRPr="006E49EE" w:rsidRDefault="00A61FF5" w:rsidP="00D07480">
            <w:pPr>
              <w:pStyle w:val="ESTableBody"/>
              <w:jc w:val="right"/>
              <w:rPr>
                <w:lang w:val="en-AU"/>
              </w:rPr>
            </w:pPr>
            <w:r w:rsidRPr="006E49EE">
              <w:rPr>
                <w:lang w:val="en-AU"/>
              </w:rPr>
              <w:t>58.0</w:t>
            </w:r>
          </w:p>
        </w:tc>
        <w:tc>
          <w:tcPr>
            <w:tcW w:w="500" w:type="pct"/>
            <w:tcBorders>
              <w:top w:val="nil"/>
              <w:bottom w:val="nil"/>
            </w:tcBorders>
            <w:shd w:val="clear" w:color="auto" w:fill="auto"/>
          </w:tcPr>
          <w:p w14:paraId="46127EBE" w14:textId="77777777" w:rsidR="00A61FF5" w:rsidRPr="006E49EE" w:rsidRDefault="00A61FF5"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4E9528BF" w14:textId="77777777" w:rsidR="00A61FF5" w:rsidRPr="006E49EE" w:rsidRDefault="00A61FF5"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4B490C8A" w14:textId="77777777" w:rsidR="00A61FF5" w:rsidRPr="006E49EE" w:rsidRDefault="00A61FF5" w:rsidP="00D07480">
            <w:pPr>
              <w:pStyle w:val="ESTableBody"/>
              <w:jc w:val="right"/>
              <w:rPr>
                <w:lang w:val="en-AU"/>
              </w:rPr>
            </w:pPr>
            <w:r w:rsidRPr="006E49EE">
              <w:rPr>
                <w:lang w:val="en-AU"/>
              </w:rPr>
              <w:t>58.0</w:t>
            </w:r>
          </w:p>
        </w:tc>
        <w:tc>
          <w:tcPr>
            <w:tcW w:w="500" w:type="pct"/>
            <w:tcBorders>
              <w:top w:val="nil"/>
              <w:bottom w:val="nil"/>
            </w:tcBorders>
          </w:tcPr>
          <w:p w14:paraId="4C72EC37" w14:textId="77777777" w:rsidR="00A61FF5" w:rsidRPr="006E49EE" w:rsidRDefault="00A61FF5" w:rsidP="00D07480">
            <w:pPr>
              <w:pStyle w:val="ESTableBody"/>
              <w:jc w:val="right"/>
              <w:rPr>
                <w:lang w:val="en-AU"/>
              </w:rPr>
            </w:pPr>
            <w:r w:rsidRPr="006E49EE">
              <w:rPr>
                <w:lang w:val="en-AU"/>
              </w:rPr>
              <w:t>–</w:t>
            </w:r>
          </w:p>
        </w:tc>
      </w:tr>
      <w:tr w:rsidR="00A61FF5" w:rsidRPr="00932A90" w14:paraId="138BADD8" w14:textId="77777777" w:rsidTr="004576EA">
        <w:trPr>
          <w:gridBefore w:val="1"/>
          <w:wBefore w:w="27" w:type="pct"/>
          <w:trHeight w:val="283"/>
        </w:trPr>
        <w:tc>
          <w:tcPr>
            <w:tcW w:w="2000" w:type="pct"/>
            <w:gridSpan w:val="7"/>
            <w:tcBorders>
              <w:top w:val="nil"/>
              <w:bottom w:val="nil"/>
            </w:tcBorders>
            <w:shd w:val="clear" w:color="auto" w:fill="auto"/>
          </w:tcPr>
          <w:p w14:paraId="0460E05B" w14:textId="77777777" w:rsidR="00A61FF5" w:rsidRPr="006E49EE" w:rsidRDefault="00A61FF5" w:rsidP="009A0BAD">
            <w:pPr>
              <w:pStyle w:val="ESTableheading"/>
              <w:rPr>
                <w:lang w:val="en-AU"/>
              </w:rPr>
            </w:pPr>
            <w:r w:rsidRPr="006E49EE">
              <w:rPr>
                <w:lang w:val="en-AU"/>
              </w:rPr>
              <w:t>Average score in science (PISA 15-year-olds) in Victoria compared to global top performers</w:t>
            </w:r>
          </w:p>
        </w:tc>
      </w:tr>
      <w:tr w:rsidR="00A61FF5" w:rsidRPr="00F57AD6" w14:paraId="65DB4AF1" w14:textId="77777777" w:rsidTr="004576EA">
        <w:trPr>
          <w:gridBefore w:val="1"/>
          <w:wBefore w:w="27" w:type="pct"/>
          <w:trHeight w:val="283"/>
        </w:trPr>
        <w:tc>
          <w:tcPr>
            <w:tcW w:w="2000" w:type="pct"/>
            <w:tcBorders>
              <w:top w:val="nil"/>
              <w:bottom w:val="nil"/>
            </w:tcBorders>
            <w:shd w:val="clear" w:color="auto" w:fill="auto"/>
          </w:tcPr>
          <w:p w14:paraId="70990671" w14:textId="77777777" w:rsidR="00A61FF5" w:rsidRPr="00F57AD6" w:rsidRDefault="00A61FF5" w:rsidP="00D07480">
            <w:pPr>
              <w:pStyle w:val="ESTableBody"/>
              <w:rPr>
                <w:sz w:val="19"/>
                <w:lang w:val="en-AU"/>
              </w:rPr>
            </w:pPr>
            <w:r w:rsidRPr="00F57AD6">
              <w:rPr>
                <w:lang w:val="en-AU"/>
              </w:rPr>
              <w:t>Average score in science (PISA 15</w:t>
            </w:r>
            <w:r w:rsidRPr="00F57AD6">
              <w:rPr>
                <w:lang w:val="en-AU"/>
              </w:rPr>
              <w:noBreakHyphen/>
              <w:t>year</w:t>
            </w:r>
            <w:r w:rsidRPr="00F57AD6">
              <w:rPr>
                <w:lang w:val="en-AU"/>
              </w:rPr>
              <w:noBreakHyphen/>
              <w:t>olds) in Victoria compared to global top performers</w:t>
            </w:r>
            <w:r w:rsidRPr="00F57AD6">
              <w:rPr>
                <w:rStyle w:val="FootnoteReference"/>
                <w:lang w:val="en-AU"/>
              </w:rPr>
              <w:footnoteReference w:id="6"/>
            </w:r>
          </w:p>
        </w:tc>
        <w:tc>
          <w:tcPr>
            <w:tcW w:w="500" w:type="pct"/>
            <w:tcBorders>
              <w:top w:val="nil"/>
              <w:bottom w:val="nil"/>
            </w:tcBorders>
            <w:shd w:val="clear" w:color="auto" w:fill="auto"/>
          </w:tcPr>
          <w:p w14:paraId="39990820" w14:textId="77777777" w:rsidR="00A61FF5" w:rsidRPr="00F57AD6" w:rsidRDefault="00A61FF5" w:rsidP="00D07480">
            <w:pPr>
              <w:pStyle w:val="ESTableBody"/>
              <w:jc w:val="right"/>
              <w:rPr>
                <w:lang w:val="en-AU"/>
              </w:rPr>
            </w:pPr>
            <w:r w:rsidRPr="00F57AD6">
              <w:rPr>
                <w:lang w:val="en-AU"/>
              </w:rPr>
              <w:t xml:space="preserve">Mean score </w:t>
            </w:r>
          </w:p>
        </w:tc>
        <w:tc>
          <w:tcPr>
            <w:tcW w:w="500" w:type="pct"/>
            <w:tcBorders>
              <w:top w:val="nil"/>
              <w:bottom w:val="nil"/>
            </w:tcBorders>
            <w:shd w:val="clear" w:color="auto" w:fill="auto"/>
          </w:tcPr>
          <w:p w14:paraId="3ED97CD5" w14:textId="77777777" w:rsidR="00A61FF5" w:rsidRPr="00F57AD6" w:rsidRDefault="00A61FF5" w:rsidP="00D07480">
            <w:pPr>
              <w:pStyle w:val="ESTableBody"/>
              <w:jc w:val="right"/>
              <w:rPr>
                <w:lang w:val="en-AU"/>
              </w:rPr>
            </w:pPr>
            <w:r w:rsidRPr="00F57AD6">
              <w:rPr>
                <w:lang w:val="en-AU"/>
              </w:rPr>
              <w:t>-20</w:t>
            </w:r>
          </w:p>
        </w:tc>
        <w:tc>
          <w:tcPr>
            <w:tcW w:w="500" w:type="pct"/>
            <w:tcBorders>
              <w:top w:val="nil"/>
              <w:bottom w:val="nil"/>
            </w:tcBorders>
            <w:shd w:val="clear" w:color="auto" w:fill="auto"/>
          </w:tcPr>
          <w:p w14:paraId="3896BC9D" w14:textId="77777777" w:rsidR="00A61FF5" w:rsidRPr="00F57AD6" w:rsidRDefault="00A61FF5" w:rsidP="00D07480">
            <w:pPr>
              <w:pStyle w:val="ESTableBody"/>
              <w:jc w:val="right"/>
              <w:rPr>
                <w:lang w:val="en-AU"/>
              </w:rPr>
            </w:pPr>
            <w:r w:rsidRPr="00F57AD6">
              <w:rPr>
                <w:lang w:val="en-AU"/>
              </w:rPr>
              <w:t>–</w:t>
            </w:r>
          </w:p>
        </w:tc>
        <w:tc>
          <w:tcPr>
            <w:tcW w:w="500" w:type="pct"/>
            <w:tcBorders>
              <w:top w:val="nil"/>
              <w:bottom w:val="nil"/>
            </w:tcBorders>
            <w:shd w:val="clear" w:color="auto" w:fill="auto"/>
          </w:tcPr>
          <w:p w14:paraId="09CEA695" w14:textId="77777777" w:rsidR="00A61FF5" w:rsidRPr="00F57AD6" w:rsidRDefault="00A61FF5" w:rsidP="00D07480">
            <w:pPr>
              <w:pStyle w:val="ESTableBody"/>
              <w:jc w:val="right"/>
              <w:rPr>
                <w:lang w:val="en-AU"/>
              </w:rPr>
            </w:pPr>
            <w:r w:rsidRPr="00F57AD6">
              <w:rPr>
                <w:lang w:val="en-AU"/>
              </w:rPr>
              <w:t>–</w:t>
            </w:r>
          </w:p>
        </w:tc>
        <w:tc>
          <w:tcPr>
            <w:tcW w:w="500" w:type="pct"/>
            <w:tcBorders>
              <w:top w:val="nil"/>
              <w:bottom w:val="nil"/>
            </w:tcBorders>
            <w:shd w:val="clear" w:color="auto" w:fill="auto"/>
          </w:tcPr>
          <w:p w14:paraId="57D969E9" w14:textId="77777777" w:rsidR="00A61FF5" w:rsidRPr="00F57AD6" w:rsidRDefault="00A61FF5" w:rsidP="00D07480">
            <w:pPr>
              <w:pStyle w:val="ESTableBody"/>
              <w:jc w:val="right"/>
              <w:rPr>
                <w:lang w:val="en-AU"/>
              </w:rPr>
            </w:pPr>
            <w:r w:rsidRPr="00F57AD6">
              <w:rPr>
                <w:lang w:val="en-AU"/>
              </w:rPr>
              <w:t>-14</w:t>
            </w:r>
          </w:p>
        </w:tc>
        <w:tc>
          <w:tcPr>
            <w:tcW w:w="500" w:type="pct"/>
            <w:tcBorders>
              <w:top w:val="nil"/>
              <w:bottom w:val="nil"/>
            </w:tcBorders>
          </w:tcPr>
          <w:p w14:paraId="4AC0E9EF" w14:textId="77777777" w:rsidR="00A61FF5" w:rsidRPr="00F57AD6" w:rsidRDefault="00A61FF5" w:rsidP="00D07480">
            <w:pPr>
              <w:pStyle w:val="ESTableBody"/>
              <w:jc w:val="right"/>
              <w:rPr>
                <w:lang w:val="en-AU"/>
              </w:rPr>
            </w:pPr>
            <w:r w:rsidRPr="00F57AD6">
              <w:rPr>
                <w:lang w:val="en-AU"/>
              </w:rPr>
              <w:t>–</w:t>
            </w:r>
          </w:p>
        </w:tc>
      </w:tr>
      <w:tr w:rsidR="00A61FF5" w:rsidRPr="00932A90" w14:paraId="57588C3D" w14:textId="77777777" w:rsidTr="004576EA">
        <w:trPr>
          <w:gridBefore w:val="1"/>
          <w:wBefore w:w="27" w:type="pct"/>
          <w:trHeight w:val="283"/>
        </w:trPr>
        <w:tc>
          <w:tcPr>
            <w:tcW w:w="2000" w:type="pct"/>
            <w:gridSpan w:val="7"/>
            <w:tcBorders>
              <w:top w:val="nil"/>
              <w:bottom w:val="nil"/>
            </w:tcBorders>
            <w:shd w:val="clear" w:color="auto" w:fill="auto"/>
          </w:tcPr>
          <w:p w14:paraId="28D6E694" w14:textId="77777777" w:rsidR="00A61FF5" w:rsidRPr="006E49EE" w:rsidRDefault="00A61FF5" w:rsidP="009A0BAD">
            <w:pPr>
              <w:pStyle w:val="ESTableheading"/>
              <w:rPr>
                <w:lang w:val="en-AU"/>
              </w:rPr>
            </w:pPr>
            <w:r w:rsidRPr="006E49EE">
              <w:rPr>
                <w:lang w:val="en-AU"/>
              </w:rPr>
              <w:t>Percentage of positive responses to teacher collaboration within school</w:t>
            </w:r>
          </w:p>
        </w:tc>
      </w:tr>
      <w:tr w:rsidR="00A61FF5" w:rsidRPr="00932A90" w14:paraId="7D826E2C" w14:textId="77777777" w:rsidTr="004576EA">
        <w:trPr>
          <w:gridBefore w:val="1"/>
          <w:wBefore w:w="27" w:type="pct"/>
          <w:trHeight w:val="283"/>
        </w:trPr>
        <w:tc>
          <w:tcPr>
            <w:tcW w:w="2000" w:type="pct"/>
            <w:tcBorders>
              <w:top w:val="nil"/>
              <w:bottom w:val="nil"/>
            </w:tcBorders>
            <w:shd w:val="clear" w:color="auto" w:fill="auto"/>
          </w:tcPr>
          <w:p w14:paraId="7B08DD25" w14:textId="77777777" w:rsidR="00A61FF5" w:rsidRPr="006E49EE" w:rsidRDefault="00A61FF5" w:rsidP="00D07480">
            <w:pPr>
              <w:pStyle w:val="ESTableBody"/>
              <w:rPr>
                <w:lang w:val="en-AU"/>
              </w:rPr>
            </w:pPr>
            <w:r w:rsidRPr="006E49EE">
              <w:rPr>
                <w:lang w:val="en-AU"/>
              </w:rPr>
              <w:t>Percentage of positive responses to teacher collaboration within school</w:t>
            </w:r>
          </w:p>
        </w:tc>
        <w:tc>
          <w:tcPr>
            <w:tcW w:w="500" w:type="pct"/>
            <w:tcBorders>
              <w:top w:val="nil"/>
              <w:bottom w:val="nil"/>
            </w:tcBorders>
            <w:shd w:val="clear" w:color="auto" w:fill="auto"/>
          </w:tcPr>
          <w:p w14:paraId="1E18BE3E" w14:textId="77777777" w:rsidR="00A61FF5" w:rsidRPr="006E49EE" w:rsidRDefault="00A61FF5" w:rsidP="00D07480">
            <w:pPr>
              <w:pStyle w:val="ESTableBody"/>
              <w:jc w:val="right"/>
              <w:rPr>
                <w:lang w:val="en-AU"/>
              </w:rPr>
            </w:pPr>
            <w:r w:rsidRPr="006E49EE">
              <w:rPr>
                <w:lang w:val="en-AU"/>
              </w:rPr>
              <w:t>per cent</w:t>
            </w:r>
          </w:p>
        </w:tc>
        <w:tc>
          <w:tcPr>
            <w:tcW w:w="500" w:type="pct"/>
            <w:tcBorders>
              <w:top w:val="nil"/>
              <w:bottom w:val="nil"/>
            </w:tcBorders>
            <w:shd w:val="clear" w:color="auto" w:fill="auto"/>
          </w:tcPr>
          <w:p w14:paraId="36471648" w14:textId="77777777" w:rsidR="00A61FF5" w:rsidRPr="006E49EE" w:rsidRDefault="00A61FF5"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602EA61D" w14:textId="77777777" w:rsidR="00A61FF5" w:rsidRPr="006E49EE" w:rsidRDefault="00A61FF5"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78A79E31" w14:textId="77777777" w:rsidR="00A61FF5" w:rsidRPr="006E49EE" w:rsidRDefault="00A61FF5" w:rsidP="00D07480">
            <w:pPr>
              <w:pStyle w:val="ESTableBody"/>
              <w:jc w:val="right"/>
              <w:rPr>
                <w:lang w:val="en-AU"/>
              </w:rPr>
            </w:pPr>
            <w:r w:rsidRPr="006E49EE">
              <w:rPr>
                <w:lang w:val="en-AU"/>
              </w:rPr>
              <w:t>62.4</w:t>
            </w:r>
          </w:p>
        </w:tc>
        <w:tc>
          <w:tcPr>
            <w:tcW w:w="500" w:type="pct"/>
            <w:tcBorders>
              <w:top w:val="nil"/>
              <w:bottom w:val="nil"/>
            </w:tcBorders>
            <w:shd w:val="clear" w:color="auto" w:fill="auto"/>
          </w:tcPr>
          <w:p w14:paraId="516CC113" w14:textId="77777777" w:rsidR="00A61FF5" w:rsidRPr="006E49EE" w:rsidRDefault="00A61FF5" w:rsidP="00D07480">
            <w:pPr>
              <w:pStyle w:val="ESTableBody"/>
              <w:jc w:val="right"/>
              <w:rPr>
                <w:lang w:val="en-AU"/>
              </w:rPr>
            </w:pPr>
            <w:r w:rsidRPr="006E49EE">
              <w:rPr>
                <w:lang w:val="en-AU"/>
              </w:rPr>
              <w:t>60.9</w:t>
            </w:r>
          </w:p>
        </w:tc>
        <w:tc>
          <w:tcPr>
            <w:tcW w:w="500" w:type="pct"/>
            <w:tcBorders>
              <w:top w:val="nil"/>
              <w:bottom w:val="nil"/>
            </w:tcBorders>
          </w:tcPr>
          <w:p w14:paraId="5437D8BB" w14:textId="77777777" w:rsidR="00A61FF5" w:rsidRPr="006E49EE" w:rsidRDefault="00A61FF5" w:rsidP="00D07480">
            <w:pPr>
              <w:pStyle w:val="ESTableBody"/>
              <w:jc w:val="right"/>
              <w:rPr>
                <w:lang w:val="en-AU"/>
              </w:rPr>
            </w:pPr>
            <w:r w:rsidRPr="006E49EE">
              <w:rPr>
                <w:lang w:val="en-AU"/>
              </w:rPr>
              <w:t>60.6</w:t>
            </w:r>
          </w:p>
        </w:tc>
      </w:tr>
      <w:tr w:rsidR="00A61FF5" w:rsidRPr="00932A90" w14:paraId="1EEFC533" w14:textId="77777777" w:rsidTr="009A0BAD">
        <w:trPr>
          <w:gridBefore w:val="1"/>
          <w:wBefore w:w="27" w:type="pct"/>
          <w:trHeight w:val="283"/>
        </w:trPr>
        <w:tc>
          <w:tcPr>
            <w:tcW w:w="2000" w:type="pct"/>
            <w:gridSpan w:val="7"/>
            <w:tcBorders>
              <w:top w:val="nil"/>
              <w:bottom w:val="nil"/>
            </w:tcBorders>
            <w:shd w:val="clear" w:color="auto" w:fill="D9D9D9" w:themeFill="background1" w:themeFillShade="D9"/>
          </w:tcPr>
          <w:p w14:paraId="1952F78E" w14:textId="77777777" w:rsidR="00A61FF5" w:rsidRPr="006E49EE" w:rsidRDefault="00A61FF5" w:rsidP="009A0BAD">
            <w:pPr>
              <w:pStyle w:val="ESTableheading"/>
              <w:rPr>
                <w:lang w:val="en-AU"/>
              </w:rPr>
            </w:pPr>
            <w:r w:rsidRPr="006E49EE">
              <w:rPr>
                <w:lang w:val="en-AU"/>
              </w:rPr>
              <w:t>Higher education and skills</w:t>
            </w:r>
          </w:p>
        </w:tc>
      </w:tr>
      <w:tr w:rsidR="00A61FF5" w:rsidRPr="00932A90" w14:paraId="42F3DD5A" w14:textId="77777777" w:rsidTr="004576EA">
        <w:trPr>
          <w:gridBefore w:val="1"/>
          <w:wBefore w:w="27" w:type="pct"/>
          <w:trHeight w:val="283"/>
        </w:trPr>
        <w:tc>
          <w:tcPr>
            <w:tcW w:w="2000" w:type="pct"/>
            <w:gridSpan w:val="7"/>
            <w:tcBorders>
              <w:top w:val="nil"/>
              <w:bottom w:val="nil"/>
            </w:tcBorders>
            <w:shd w:val="clear" w:color="auto" w:fill="auto"/>
          </w:tcPr>
          <w:p w14:paraId="6F6CFB5C" w14:textId="77777777" w:rsidR="00A61FF5" w:rsidRPr="006E49EE" w:rsidRDefault="00A61FF5" w:rsidP="009A0BAD">
            <w:pPr>
              <w:pStyle w:val="ESTableheading"/>
              <w:rPr>
                <w:lang w:val="en-AU"/>
              </w:rPr>
            </w:pPr>
            <w:r w:rsidRPr="006E49EE">
              <w:rPr>
                <w:lang w:val="en-AU"/>
              </w:rPr>
              <w:t>VET course completions</w:t>
            </w:r>
          </w:p>
        </w:tc>
      </w:tr>
      <w:tr w:rsidR="006E3674" w:rsidRPr="00932A90" w14:paraId="48207974" w14:textId="77777777" w:rsidTr="004576EA">
        <w:trPr>
          <w:gridBefore w:val="1"/>
          <w:wBefore w:w="27" w:type="pct"/>
          <w:trHeight w:val="283"/>
        </w:trPr>
        <w:tc>
          <w:tcPr>
            <w:tcW w:w="2000" w:type="pct"/>
            <w:tcBorders>
              <w:top w:val="nil"/>
              <w:bottom w:val="nil"/>
            </w:tcBorders>
            <w:shd w:val="clear" w:color="auto" w:fill="auto"/>
          </w:tcPr>
          <w:p w14:paraId="207F92F3" w14:textId="77777777" w:rsidR="00A61FF5" w:rsidRPr="006E49EE" w:rsidRDefault="00A61FF5" w:rsidP="00D07480">
            <w:pPr>
              <w:pStyle w:val="ESTableBody"/>
              <w:rPr>
                <w:sz w:val="19"/>
                <w:lang w:val="en-AU"/>
              </w:rPr>
            </w:pPr>
            <w:r w:rsidRPr="006E49EE">
              <w:rPr>
                <w:lang w:val="en-AU"/>
              </w:rPr>
              <w:t>VET completions</w:t>
            </w:r>
            <w:r w:rsidRPr="006E49EE">
              <w:rPr>
                <w:rStyle w:val="FootnoteReference"/>
                <w:lang w:val="en-AU"/>
              </w:rPr>
              <w:footnoteReference w:id="7"/>
            </w:r>
          </w:p>
        </w:tc>
        <w:tc>
          <w:tcPr>
            <w:tcW w:w="500" w:type="pct"/>
            <w:tcBorders>
              <w:top w:val="nil"/>
              <w:bottom w:val="nil"/>
            </w:tcBorders>
            <w:shd w:val="clear" w:color="auto" w:fill="auto"/>
          </w:tcPr>
          <w:p w14:paraId="5935322B" w14:textId="77777777" w:rsidR="00A61FF5" w:rsidRPr="006E49EE" w:rsidRDefault="00A61FF5" w:rsidP="00D07480">
            <w:pPr>
              <w:pStyle w:val="ESTableBody"/>
              <w:jc w:val="right"/>
              <w:rPr>
                <w:lang w:val="en-AU"/>
              </w:rPr>
            </w:pPr>
            <w:r w:rsidRPr="006E49EE">
              <w:rPr>
                <w:lang w:val="en-AU"/>
              </w:rPr>
              <w:t>number</w:t>
            </w:r>
          </w:p>
        </w:tc>
        <w:tc>
          <w:tcPr>
            <w:tcW w:w="500" w:type="pct"/>
            <w:tcBorders>
              <w:top w:val="nil"/>
              <w:bottom w:val="nil"/>
            </w:tcBorders>
            <w:shd w:val="clear" w:color="auto" w:fill="auto"/>
          </w:tcPr>
          <w:p w14:paraId="68D276CF" w14:textId="760701FD" w:rsidR="00A61FF5" w:rsidRPr="006E49EE" w:rsidRDefault="006E3674"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6D24BF35" w14:textId="23D48219" w:rsidR="00A61FF5" w:rsidRPr="006E49EE" w:rsidRDefault="006E3674"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35C8568E" w14:textId="68C6EE7C" w:rsidR="00A61FF5" w:rsidRPr="006E49EE" w:rsidRDefault="006E3674"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61AD5AA1" w14:textId="77777777" w:rsidR="00A61FF5" w:rsidRPr="006E49EE" w:rsidRDefault="00A61FF5" w:rsidP="00D07480">
            <w:pPr>
              <w:pStyle w:val="ESTableBody"/>
              <w:jc w:val="right"/>
              <w:rPr>
                <w:lang w:val="en-AU"/>
              </w:rPr>
            </w:pPr>
            <w:r w:rsidRPr="006E49EE">
              <w:rPr>
                <w:lang w:val="en-AU"/>
              </w:rPr>
              <w:t>149,800</w:t>
            </w:r>
          </w:p>
        </w:tc>
        <w:tc>
          <w:tcPr>
            <w:tcW w:w="500" w:type="pct"/>
            <w:tcBorders>
              <w:top w:val="nil"/>
              <w:bottom w:val="nil"/>
            </w:tcBorders>
          </w:tcPr>
          <w:p w14:paraId="527AB28C" w14:textId="77777777" w:rsidR="00A61FF5" w:rsidRPr="006E49EE" w:rsidRDefault="00A61FF5" w:rsidP="00D07480">
            <w:pPr>
              <w:pStyle w:val="ESTableBody"/>
              <w:jc w:val="right"/>
              <w:rPr>
                <w:lang w:val="en-AU"/>
              </w:rPr>
            </w:pPr>
            <w:r w:rsidRPr="006E49EE">
              <w:rPr>
                <w:lang w:val="en-AU"/>
              </w:rPr>
              <w:t>107,900</w:t>
            </w:r>
          </w:p>
        </w:tc>
      </w:tr>
      <w:tr w:rsidR="00A61FF5" w:rsidRPr="00932A90" w14:paraId="0C769EE8" w14:textId="77777777" w:rsidTr="004576EA">
        <w:trPr>
          <w:gridBefore w:val="1"/>
          <w:wBefore w:w="27" w:type="pct"/>
          <w:trHeight w:val="283"/>
        </w:trPr>
        <w:tc>
          <w:tcPr>
            <w:tcW w:w="2000" w:type="pct"/>
            <w:gridSpan w:val="7"/>
            <w:tcBorders>
              <w:top w:val="nil"/>
              <w:bottom w:val="nil"/>
            </w:tcBorders>
            <w:shd w:val="clear" w:color="auto" w:fill="auto"/>
          </w:tcPr>
          <w:p w14:paraId="542E3A12" w14:textId="77777777" w:rsidR="00A61FF5" w:rsidRPr="006E49EE" w:rsidRDefault="00A61FF5" w:rsidP="009A0BAD">
            <w:pPr>
              <w:pStyle w:val="ESTableheading"/>
              <w:rPr>
                <w:lang w:val="en-AU"/>
              </w:rPr>
            </w:pPr>
            <w:r w:rsidRPr="006E49EE">
              <w:rPr>
                <w:lang w:val="en-AU"/>
              </w:rPr>
              <w:t>Year 12 or equivalent completion rates of young people</w:t>
            </w:r>
          </w:p>
        </w:tc>
      </w:tr>
      <w:tr w:rsidR="006E3674" w:rsidRPr="00932A90" w14:paraId="5A22206B" w14:textId="77777777" w:rsidTr="004576EA">
        <w:trPr>
          <w:gridBefore w:val="1"/>
          <w:wBefore w:w="27" w:type="pct"/>
          <w:trHeight w:val="283"/>
        </w:trPr>
        <w:tc>
          <w:tcPr>
            <w:tcW w:w="2000" w:type="pct"/>
            <w:tcBorders>
              <w:top w:val="nil"/>
              <w:bottom w:val="nil"/>
            </w:tcBorders>
            <w:shd w:val="clear" w:color="auto" w:fill="auto"/>
          </w:tcPr>
          <w:p w14:paraId="3DBAE001" w14:textId="77777777" w:rsidR="00A61FF5" w:rsidRPr="006E49EE" w:rsidRDefault="00A61FF5" w:rsidP="00D07480">
            <w:pPr>
              <w:pStyle w:val="ESTableBody"/>
              <w:rPr>
                <w:sz w:val="19"/>
                <w:lang w:val="en-AU"/>
              </w:rPr>
            </w:pPr>
            <w:r w:rsidRPr="006E49EE">
              <w:rPr>
                <w:lang w:val="en-AU"/>
              </w:rPr>
              <w:t>Year 12 or a non-school qualification at Certificate II level or above of young people 20–24 years</w:t>
            </w:r>
            <w:r w:rsidRPr="006E49EE">
              <w:rPr>
                <w:rStyle w:val="FootnoteReference"/>
                <w:lang w:val="en-AU"/>
              </w:rPr>
              <w:footnoteReference w:id="8"/>
            </w:r>
          </w:p>
        </w:tc>
        <w:tc>
          <w:tcPr>
            <w:tcW w:w="500" w:type="pct"/>
            <w:tcBorders>
              <w:top w:val="nil"/>
              <w:bottom w:val="nil"/>
            </w:tcBorders>
            <w:shd w:val="clear" w:color="auto" w:fill="auto"/>
          </w:tcPr>
          <w:p w14:paraId="45306945" w14:textId="77777777" w:rsidR="00A61FF5" w:rsidRPr="006E49EE" w:rsidRDefault="00A61FF5" w:rsidP="00D07480">
            <w:pPr>
              <w:pStyle w:val="ESTableBody"/>
              <w:jc w:val="right"/>
              <w:rPr>
                <w:lang w:val="en-AU"/>
              </w:rPr>
            </w:pPr>
            <w:r w:rsidRPr="006E49EE">
              <w:rPr>
                <w:lang w:val="en-AU"/>
              </w:rPr>
              <w:t>per cent</w:t>
            </w:r>
          </w:p>
        </w:tc>
        <w:tc>
          <w:tcPr>
            <w:tcW w:w="500" w:type="pct"/>
            <w:tcBorders>
              <w:top w:val="nil"/>
              <w:bottom w:val="nil"/>
            </w:tcBorders>
            <w:shd w:val="clear" w:color="auto" w:fill="auto"/>
          </w:tcPr>
          <w:p w14:paraId="6D434CE9" w14:textId="77777777" w:rsidR="00A61FF5" w:rsidRPr="006E49EE" w:rsidRDefault="00A61FF5" w:rsidP="00D07480">
            <w:pPr>
              <w:pStyle w:val="ESTableBody"/>
              <w:jc w:val="right"/>
              <w:rPr>
                <w:lang w:val="en-AU"/>
              </w:rPr>
            </w:pPr>
            <w:r w:rsidRPr="006E49EE">
              <w:rPr>
                <w:lang w:val="en-AU"/>
              </w:rPr>
              <w:t>88.0</w:t>
            </w:r>
          </w:p>
        </w:tc>
        <w:tc>
          <w:tcPr>
            <w:tcW w:w="500" w:type="pct"/>
            <w:tcBorders>
              <w:top w:val="nil"/>
              <w:bottom w:val="nil"/>
            </w:tcBorders>
            <w:shd w:val="clear" w:color="auto" w:fill="auto"/>
          </w:tcPr>
          <w:p w14:paraId="49EA8679" w14:textId="77777777" w:rsidR="00A61FF5" w:rsidRPr="006E49EE" w:rsidRDefault="00A61FF5" w:rsidP="00D07480">
            <w:pPr>
              <w:pStyle w:val="ESTableBody"/>
              <w:jc w:val="right"/>
              <w:rPr>
                <w:lang w:val="en-AU"/>
              </w:rPr>
            </w:pPr>
            <w:r w:rsidRPr="006E49EE">
              <w:rPr>
                <w:lang w:val="en-AU"/>
              </w:rPr>
              <w:t>90.1</w:t>
            </w:r>
          </w:p>
        </w:tc>
        <w:tc>
          <w:tcPr>
            <w:tcW w:w="500" w:type="pct"/>
            <w:tcBorders>
              <w:top w:val="nil"/>
              <w:bottom w:val="nil"/>
            </w:tcBorders>
            <w:shd w:val="clear" w:color="auto" w:fill="auto"/>
          </w:tcPr>
          <w:p w14:paraId="4535A54D" w14:textId="77777777" w:rsidR="00A61FF5" w:rsidRPr="006E49EE" w:rsidRDefault="00A61FF5" w:rsidP="00D07480">
            <w:pPr>
              <w:pStyle w:val="ESTableBody"/>
              <w:jc w:val="right"/>
              <w:rPr>
                <w:lang w:val="en-AU"/>
              </w:rPr>
            </w:pPr>
            <w:r w:rsidRPr="006E49EE">
              <w:rPr>
                <w:lang w:val="en-AU"/>
              </w:rPr>
              <w:t>89.0</w:t>
            </w:r>
          </w:p>
        </w:tc>
        <w:tc>
          <w:tcPr>
            <w:tcW w:w="500" w:type="pct"/>
            <w:tcBorders>
              <w:top w:val="nil"/>
              <w:bottom w:val="nil"/>
            </w:tcBorders>
            <w:shd w:val="clear" w:color="auto" w:fill="auto"/>
          </w:tcPr>
          <w:p w14:paraId="3613508B" w14:textId="77777777" w:rsidR="00A61FF5" w:rsidRPr="006E49EE" w:rsidRDefault="00A61FF5" w:rsidP="00D07480">
            <w:pPr>
              <w:pStyle w:val="ESTableBody"/>
              <w:jc w:val="right"/>
              <w:rPr>
                <w:lang w:val="en-AU"/>
              </w:rPr>
            </w:pPr>
            <w:r w:rsidRPr="006E49EE">
              <w:rPr>
                <w:lang w:val="en-AU"/>
              </w:rPr>
              <w:t>89.5</w:t>
            </w:r>
          </w:p>
        </w:tc>
        <w:tc>
          <w:tcPr>
            <w:tcW w:w="500" w:type="pct"/>
            <w:tcBorders>
              <w:top w:val="nil"/>
              <w:bottom w:val="nil"/>
            </w:tcBorders>
            <w:shd w:val="clear" w:color="auto" w:fill="auto"/>
          </w:tcPr>
          <w:p w14:paraId="1E05A89C" w14:textId="77777777" w:rsidR="00A61FF5" w:rsidRPr="006E49EE" w:rsidRDefault="00A61FF5" w:rsidP="00D07480">
            <w:pPr>
              <w:pStyle w:val="ESTableBody"/>
              <w:jc w:val="right"/>
              <w:rPr>
                <w:lang w:val="en-AU"/>
              </w:rPr>
            </w:pPr>
            <w:r w:rsidRPr="006E49EE">
              <w:rPr>
                <w:lang w:val="en-AU"/>
              </w:rPr>
              <w:t>92.6</w:t>
            </w:r>
          </w:p>
        </w:tc>
      </w:tr>
      <w:tr w:rsidR="006E3674" w:rsidRPr="00932A90" w14:paraId="3523B2E0" w14:textId="77777777" w:rsidTr="004576EA">
        <w:trPr>
          <w:gridBefore w:val="1"/>
          <w:wBefore w:w="27" w:type="pct"/>
          <w:trHeight w:val="283"/>
        </w:trPr>
        <w:tc>
          <w:tcPr>
            <w:tcW w:w="2000" w:type="pct"/>
            <w:tcBorders>
              <w:top w:val="nil"/>
              <w:bottom w:val="nil"/>
            </w:tcBorders>
            <w:shd w:val="clear" w:color="auto" w:fill="auto"/>
          </w:tcPr>
          <w:p w14:paraId="6A42881A" w14:textId="77777777" w:rsidR="00A61FF5" w:rsidRPr="006E49EE" w:rsidRDefault="00A61FF5" w:rsidP="009A0BAD">
            <w:pPr>
              <w:pStyle w:val="ESTableheading"/>
              <w:rPr>
                <w:lang w:val="en-AU"/>
              </w:rPr>
            </w:pPr>
            <w:r w:rsidRPr="006E49EE">
              <w:rPr>
                <w:lang w:val="en-AU"/>
              </w:rPr>
              <w:t>Certificate III or above completions</w:t>
            </w:r>
          </w:p>
        </w:tc>
        <w:tc>
          <w:tcPr>
            <w:tcW w:w="500" w:type="pct"/>
            <w:tcBorders>
              <w:top w:val="nil"/>
              <w:bottom w:val="nil"/>
            </w:tcBorders>
            <w:shd w:val="clear" w:color="auto" w:fill="auto"/>
          </w:tcPr>
          <w:p w14:paraId="156C487B" w14:textId="77777777" w:rsidR="00A61FF5" w:rsidRPr="006E49EE" w:rsidRDefault="00A61FF5" w:rsidP="00D07480">
            <w:pPr>
              <w:jc w:val="right"/>
              <w:rPr>
                <w:sz w:val="19"/>
                <w:lang w:val="en-AU"/>
              </w:rPr>
            </w:pPr>
          </w:p>
        </w:tc>
        <w:tc>
          <w:tcPr>
            <w:tcW w:w="500" w:type="pct"/>
            <w:tcBorders>
              <w:top w:val="nil"/>
              <w:bottom w:val="nil"/>
            </w:tcBorders>
            <w:shd w:val="clear" w:color="auto" w:fill="auto"/>
          </w:tcPr>
          <w:p w14:paraId="762553E6" w14:textId="77777777" w:rsidR="00A61FF5" w:rsidRPr="006E49EE" w:rsidRDefault="00A61FF5" w:rsidP="00D07480">
            <w:pPr>
              <w:jc w:val="right"/>
              <w:rPr>
                <w:sz w:val="19"/>
                <w:lang w:val="en-AU"/>
              </w:rPr>
            </w:pPr>
          </w:p>
        </w:tc>
        <w:tc>
          <w:tcPr>
            <w:tcW w:w="500" w:type="pct"/>
            <w:tcBorders>
              <w:top w:val="nil"/>
              <w:bottom w:val="nil"/>
            </w:tcBorders>
            <w:shd w:val="clear" w:color="auto" w:fill="auto"/>
          </w:tcPr>
          <w:p w14:paraId="111087C2" w14:textId="77777777" w:rsidR="00A61FF5" w:rsidRPr="006E49EE" w:rsidRDefault="00A61FF5" w:rsidP="00D07480">
            <w:pPr>
              <w:jc w:val="right"/>
              <w:rPr>
                <w:sz w:val="19"/>
                <w:lang w:val="en-AU"/>
              </w:rPr>
            </w:pPr>
          </w:p>
        </w:tc>
        <w:tc>
          <w:tcPr>
            <w:tcW w:w="500" w:type="pct"/>
            <w:tcBorders>
              <w:top w:val="nil"/>
              <w:bottom w:val="nil"/>
            </w:tcBorders>
            <w:shd w:val="clear" w:color="auto" w:fill="auto"/>
          </w:tcPr>
          <w:p w14:paraId="4234D1DA" w14:textId="77777777" w:rsidR="00A61FF5" w:rsidRPr="006E49EE" w:rsidRDefault="00A61FF5" w:rsidP="00D07480">
            <w:pPr>
              <w:jc w:val="right"/>
              <w:rPr>
                <w:sz w:val="19"/>
                <w:lang w:val="en-AU"/>
              </w:rPr>
            </w:pPr>
          </w:p>
        </w:tc>
        <w:tc>
          <w:tcPr>
            <w:tcW w:w="500" w:type="pct"/>
            <w:tcBorders>
              <w:top w:val="nil"/>
              <w:bottom w:val="nil"/>
            </w:tcBorders>
            <w:shd w:val="clear" w:color="auto" w:fill="auto"/>
          </w:tcPr>
          <w:p w14:paraId="7F6370C2" w14:textId="77777777" w:rsidR="00A61FF5" w:rsidRPr="006E49EE" w:rsidRDefault="00A61FF5" w:rsidP="00D07480">
            <w:pPr>
              <w:jc w:val="right"/>
              <w:rPr>
                <w:sz w:val="19"/>
                <w:lang w:val="en-AU"/>
              </w:rPr>
            </w:pPr>
          </w:p>
        </w:tc>
        <w:tc>
          <w:tcPr>
            <w:tcW w:w="500" w:type="pct"/>
            <w:tcBorders>
              <w:top w:val="nil"/>
              <w:bottom w:val="nil"/>
            </w:tcBorders>
          </w:tcPr>
          <w:p w14:paraId="24E9B724" w14:textId="77777777" w:rsidR="00A61FF5" w:rsidRPr="006E49EE" w:rsidRDefault="00A61FF5" w:rsidP="00D07480">
            <w:pPr>
              <w:jc w:val="right"/>
              <w:rPr>
                <w:sz w:val="19"/>
                <w:lang w:val="en-AU"/>
              </w:rPr>
            </w:pPr>
          </w:p>
        </w:tc>
      </w:tr>
      <w:tr w:rsidR="006E3674" w:rsidRPr="00932A90" w14:paraId="23F79839" w14:textId="77777777" w:rsidTr="004576EA">
        <w:trPr>
          <w:gridBefore w:val="1"/>
          <w:wBefore w:w="27" w:type="pct"/>
          <w:trHeight w:val="283"/>
        </w:trPr>
        <w:tc>
          <w:tcPr>
            <w:tcW w:w="2000" w:type="pct"/>
            <w:tcBorders>
              <w:top w:val="nil"/>
              <w:bottom w:val="nil"/>
            </w:tcBorders>
            <w:shd w:val="clear" w:color="auto" w:fill="auto"/>
          </w:tcPr>
          <w:p w14:paraId="35920A33" w14:textId="77777777" w:rsidR="00A61FF5" w:rsidRPr="006E49EE" w:rsidRDefault="00A61FF5" w:rsidP="00D07480">
            <w:pPr>
              <w:pStyle w:val="ESTableBody"/>
              <w:rPr>
                <w:lang w:val="en-AU"/>
              </w:rPr>
            </w:pPr>
            <w:r w:rsidRPr="006E49EE">
              <w:rPr>
                <w:lang w:val="en-AU"/>
              </w:rPr>
              <w:t>Certificate III or above completions</w:t>
            </w:r>
          </w:p>
        </w:tc>
        <w:tc>
          <w:tcPr>
            <w:tcW w:w="500" w:type="pct"/>
            <w:tcBorders>
              <w:top w:val="nil"/>
              <w:bottom w:val="nil"/>
            </w:tcBorders>
            <w:shd w:val="clear" w:color="auto" w:fill="auto"/>
          </w:tcPr>
          <w:p w14:paraId="3E9E23AA" w14:textId="77777777" w:rsidR="00A61FF5" w:rsidRPr="006E49EE" w:rsidRDefault="00A61FF5" w:rsidP="00D07480">
            <w:pPr>
              <w:pStyle w:val="ESTableBody"/>
              <w:jc w:val="right"/>
              <w:rPr>
                <w:lang w:val="en-AU"/>
              </w:rPr>
            </w:pPr>
            <w:r w:rsidRPr="006E49EE">
              <w:rPr>
                <w:lang w:val="en-AU"/>
              </w:rPr>
              <w:t>number</w:t>
            </w:r>
          </w:p>
        </w:tc>
        <w:tc>
          <w:tcPr>
            <w:tcW w:w="500" w:type="pct"/>
            <w:tcBorders>
              <w:top w:val="nil"/>
              <w:bottom w:val="nil"/>
            </w:tcBorders>
            <w:shd w:val="clear" w:color="auto" w:fill="auto"/>
          </w:tcPr>
          <w:p w14:paraId="53CB0221" w14:textId="06FC4978" w:rsidR="00A61FF5" w:rsidRPr="006E49EE" w:rsidRDefault="006E3674"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2E1D8FDE" w14:textId="35FBC14D" w:rsidR="00A61FF5" w:rsidRPr="006E49EE" w:rsidRDefault="006E3674"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3F25165C" w14:textId="4FE4889D" w:rsidR="00A61FF5" w:rsidRPr="006E49EE" w:rsidRDefault="006E3674"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0CD791AE" w14:textId="77777777" w:rsidR="00A61FF5" w:rsidRPr="006E49EE" w:rsidRDefault="00A61FF5" w:rsidP="00D07480">
            <w:pPr>
              <w:pStyle w:val="ESTableBody"/>
              <w:jc w:val="right"/>
              <w:rPr>
                <w:lang w:val="en-AU"/>
              </w:rPr>
            </w:pPr>
            <w:r w:rsidRPr="006E49EE">
              <w:rPr>
                <w:lang w:val="en-AU"/>
              </w:rPr>
              <w:t>120,700</w:t>
            </w:r>
          </w:p>
        </w:tc>
        <w:tc>
          <w:tcPr>
            <w:tcW w:w="500" w:type="pct"/>
            <w:tcBorders>
              <w:top w:val="nil"/>
              <w:bottom w:val="nil"/>
            </w:tcBorders>
          </w:tcPr>
          <w:p w14:paraId="44FC73E9" w14:textId="77777777" w:rsidR="00A61FF5" w:rsidRPr="006E49EE" w:rsidRDefault="00A61FF5" w:rsidP="00D07480">
            <w:pPr>
              <w:pStyle w:val="ESTableBody"/>
              <w:jc w:val="right"/>
              <w:rPr>
                <w:lang w:val="en-AU"/>
              </w:rPr>
            </w:pPr>
            <w:r w:rsidRPr="006E49EE">
              <w:rPr>
                <w:lang w:val="en-AU"/>
              </w:rPr>
              <w:t>87,100</w:t>
            </w:r>
          </w:p>
        </w:tc>
      </w:tr>
      <w:tr w:rsidR="006E3674" w:rsidRPr="00932A90" w14:paraId="629CF9F2" w14:textId="77777777" w:rsidTr="004576EA">
        <w:trPr>
          <w:gridBefore w:val="1"/>
          <w:wBefore w:w="27" w:type="pct"/>
          <w:trHeight w:val="283"/>
        </w:trPr>
        <w:tc>
          <w:tcPr>
            <w:tcW w:w="2000" w:type="pct"/>
            <w:tcBorders>
              <w:top w:val="nil"/>
              <w:bottom w:val="nil"/>
            </w:tcBorders>
            <w:shd w:val="clear" w:color="auto" w:fill="auto"/>
          </w:tcPr>
          <w:p w14:paraId="6C978FBB" w14:textId="77777777" w:rsidR="00A61FF5" w:rsidRPr="006E49EE" w:rsidRDefault="00A61FF5" w:rsidP="00D07480">
            <w:pPr>
              <w:pStyle w:val="ESTableBody"/>
              <w:rPr>
                <w:lang w:val="en-AU"/>
              </w:rPr>
            </w:pPr>
            <w:r w:rsidRPr="006E49EE">
              <w:rPr>
                <w:lang w:val="en-AU"/>
              </w:rPr>
              <w:t>Other</w:t>
            </w:r>
          </w:p>
        </w:tc>
        <w:tc>
          <w:tcPr>
            <w:tcW w:w="500" w:type="pct"/>
            <w:tcBorders>
              <w:top w:val="nil"/>
              <w:bottom w:val="nil"/>
            </w:tcBorders>
            <w:shd w:val="clear" w:color="auto" w:fill="auto"/>
          </w:tcPr>
          <w:p w14:paraId="0D71EEA6" w14:textId="77777777" w:rsidR="00A61FF5" w:rsidRPr="006E49EE" w:rsidRDefault="00A61FF5" w:rsidP="00D07480">
            <w:pPr>
              <w:pStyle w:val="ESTableBody"/>
              <w:jc w:val="right"/>
              <w:rPr>
                <w:lang w:val="en-AU"/>
              </w:rPr>
            </w:pPr>
            <w:r w:rsidRPr="006E49EE">
              <w:rPr>
                <w:lang w:val="en-AU"/>
              </w:rPr>
              <w:t>number</w:t>
            </w:r>
          </w:p>
        </w:tc>
        <w:tc>
          <w:tcPr>
            <w:tcW w:w="500" w:type="pct"/>
            <w:tcBorders>
              <w:top w:val="nil"/>
              <w:bottom w:val="nil"/>
            </w:tcBorders>
            <w:shd w:val="clear" w:color="auto" w:fill="auto"/>
          </w:tcPr>
          <w:p w14:paraId="66DD1791" w14:textId="717F4906" w:rsidR="00A61FF5" w:rsidRPr="006E49EE" w:rsidRDefault="006E3674"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4ADDF788" w14:textId="6E6FC0BC" w:rsidR="00A61FF5" w:rsidRPr="006E49EE" w:rsidRDefault="005D561C"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406DFECA" w14:textId="656AF53E" w:rsidR="00A61FF5" w:rsidRPr="006E49EE" w:rsidRDefault="005D561C"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56D451D0" w14:textId="77777777" w:rsidR="00A61FF5" w:rsidRPr="006E49EE" w:rsidRDefault="00A61FF5" w:rsidP="00D07480">
            <w:pPr>
              <w:pStyle w:val="ESTableBody"/>
              <w:jc w:val="right"/>
              <w:rPr>
                <w:lang w:val="en-AU"/>
              </w:rPr>
            </w:pPr>
            <w:r w:rsidRPr="006E49EE">
              <w:rPr>
                <w:lang w:val="en-AU"/>
              </w:rPr>
              <w:t>29,100</w:t>
            </w:r>
          </w:p>
        </w:tc>
        <w:tc>
          <w:tcPr>
            <w:tcW w:w="500" w:type="pct"/>
            <w:tcBorders>
              <w:top w:val="nil"/>
              <w:bottom w:val="nil"/>
            </w:tcBorders>
          </w:tcPr>
          <w:p w14:paraId="2A538EE0" w14:textId="77777777" w:rsidR="00A61FF5" w:rsidRPr="006E49EE" w:rsidRDefault="00A61FF5" w:rsidP="00D07480">
            <w:pPr>
              <w:pStyle w:val="ESTableBody"/>
              <w:jc w:val="right"/>
              <w:rPr>
                <w:lang w:val="en-AU"/>
              </w:rPr>
            </w:pPr>
            <w:r w:rsidRPr="006E49EE">
              <w:rPr>
                <w:lang w:val="en-AU"/>
              </w:rPr>
              <w:t>20,800</w:t>
            </w:r>
          </w:p>
        </w:tc>
      </w:tr>
      <w:tr w:rsidR="006E3674" w:rsidRPr="00932A90" w14:paraId="45BADDA0" w14:textId="77777777" w:rsidTr="004576EA">
        <w:trPr>
          <w:gridBefore w:val="1"/>
          <w:wBefore w:w="27" w:type="pct"/>
          <w:trHeight w:val="283"/>
        </w:trPr>
        <w:tc>
          <w:tcPr>
            <w:tcW w:w="2000" w:type="pct"/>
            <w:tcBorders>
              <w:top w:val="nil"/>
              <w:bottom w:val="nil"/>
            </w:tcBorders>
            <w:shd w:val="clear" w:color="auto" w:fill="auto"/>
          </w:tcPr>
          <w:p w14:paraId="3B2D9933" w14:textId="77777777" w:rsidR="00A61FF5" w:rsidRPr="006E49EE" w:rsidRDefault="00A61FF5" w:rsidP="00D07480">
            <w:pPr>
              <w:pStyle w:val="ESTableBody"/>
              <w:rPr>
                <w:lang w:val="en-AU"/>
              </w:rPr>
            </w:pPr>
            <w:r w:rsidRPr="006E49EE">
              <w:rPr>
                <w:lang w:val="en-AU"/>
              </w:rPr>
              <w:t>All qualifications</w:t>
            </w:r>
          </w:p>
        </w:tc>
        <w:tc>
          <w:tcPr>
            <w:tcW w:w="500" w:type="pct"/>
            <w:tcBorders>
              <w:top w:val="nil"/>
              <w:bottom w:val="nil"/>
            </w:tcBorders>
            <w:shd w:val="clear" w:color="auto" w:fill="auto"/>
          </w:tcPr>
          <w:p w14:paraId="5F5AFCA9" w14:textId="77777777" w:rsidR="00A61FF5" w:rsidRPr="006E49EE" w:rsidRDefault="00A61FF5" w:rsidP="00D07480">
            <w:pPr>
              <w:pStyle w:val="ESTableBody"/>
              <w:jc w:val="right"/>
              <w:rPr>
                <w:lang w:val="en-AU"/>
              </w:rPr>
            </w:pPr>
            <w:r w:rsidRPr="006E49EE">
              <w:rPr>
                <w:lang w:val="en-AU"/>
              </w:rPr>
              <w:t>number</w:t>
            </w:r>
          </w:p>
        </w:tc>
        <w:tc>
          <w:tcPr>
            <w:tcW w:w="500" w:type="pct"/>
            <w:tcBorders>
              <w:top w:val="nil"/>
              <w:bottom w:val="nil"/>
            </w:tcBorders>
            <w:shd w:val="clear" w:color="auto" w:fill="auto"/>
          </w:tcPr>
          <w:p w14:paraId="409BD602" w14:textId="2D584D2D" w:rsidR="00A61FF5" w:rsidRPr="006E49EE" w:rsidRDefault="005D561C"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356DD2CF" w14:textId="74D5819A" w:rsidR="00A61FF5" w:rsidRPr="006E49EE" w:rsidRDefault="005D561C"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513D1EFF" w14:textId="3838718B" w:rsidR="00A61FF5" w:rsidRPr="006E49EE" w:rsidRDefault="005D561C" w:rsidP="00D07480">
            <w:pPr>
              <w:pStyle w:val="ESTableBody"/>
              <w:jc w:val="right"/>
              <w:rPr>
                <w:lang w:val="en-AU"/>
              </w:rPr>
            </w:pPr>
            <w:r w:rsidRPr="006E49EE">
              <w:rPr>
                <w:lang w:val="en-AU"/>
              </w:rPr>
              <w:t>–</w:t>
            </w:r>
          </w:p>
        </w:tc>
        <w:tc>
          <w:tcPr>
            <w:tcW w:w="500" w:type="pct"/>
            <w:tcBorders>
              <w:top w:val="nil"/>
              <w:bottom w:val="nil"/>
            </w:tcBorders>
            <w:shd w:val="clear" w:color="auto" w:fill="auto"/>
          </w:tcPr>
          <w:p w14:paraId="30DB07A3" w14:textId="77777777" w:rsidR="00A61FF5" w:rsidRPr="006E49EE" w:rsidRDefault="00A61FF5" w:rsidP="00D07480">
            <w:pPr>
              <w:pStyle w:val="ESTableBody"/>
              <w:jc w:val="right"/>
              <w:rPr>
                <w:lang w:val="en-AU"/>
              </w:rPr>
            </w:pPr>
            <w:r w:rsidRPr="006E49EE">
              <w:rPr>
                <w:lang w:val="en-AU"/>
              </w:rPr>
              <w:t>149,800</w:t>
            </w:r>
          </w:p>
        </w:tc>
        <w:tc>
          <w:tcPr>
            <w:tcW w:w="500" w:type="pct"/>
            <w:tcBorders>
              <w:top w:val="nil"/>
              <w:bottom w:val="nil"/>
            </w:tcBorders>
          </w:tcPr>
          <w:p w14:paraId="5DC0BA60" w14:textId="77777777" w:rsidR="00A61FF5" w:rsidRPr="006E49EE" w:rsidRDefault="00A61FF5" w:rsidP="00D07480">
            <w:pPr>
              <w:pStyle w:val="ESTableBody"/>
              <w:jc w:val="right"/>
              <w:rPr>
                <w:lang w:val="en-AU"/>
              </w:rPr>
            </w:pPr>
            <w:r w:rsidRPr="006E49EE">
              <w:rPr>
                <w:lang w:val="en-AU"/>
              </w:rPr>
              <w:t>107,900</w:t>
            </w:r>
          </w:p>
        </w:tc>
      </w:tr>
      <w:tr w:rsidR="00A61FF5" w:rsidRPr="00932A90" w14:paraId="066345CE" w14:textId="77777777" w:rsidTr="004576EA">
        <w:trPr>
          <w:gridBefore w:val="1"/>
          <w:wBefore w:w="27" w:type="pct"/>
          <w:trHeight w:val="283"/>
        </w:trPr>
        <w:tc>
          <w:tcPr>
            <w:tcW w:w="2000" w:type="pct"/>
            <w:gridSpan w:val="7"/>
            <w:tcBorders>
              <w:top w:val="nil"/>
              <w:bottom w:val="nil"/>
            </w:tcBorders>
            <w:shd w:val="clear" w:color="auto" w:fill="auto"/>
          </w:tcPr>
          <w:p w14:paraId="2CD51A6B" w14:textId="77777777" w:rsidR="00A61FF5" w:rsidRPr="006E49EE" w:rsidRDefault="00A61FF5" w:rsidP="009A0BAD">
            <w:pPr>
              <w:pStyle w:val="ESTableheading"/>
              <w:rPr>
                <w:lang w:val="en-AU"/>
              </w:rPr>
            </w:pPr>
            <w:r w:rsidRPr="006E49EE">
              <w:rPr>
                <w:lang w:val="en-AU"/>
              </w:rPr>
              <w:t>Proportion of graduates with improved employment status after training</w:t>
            </w:r>
          </w:p>
        </w:tc>
      </w:tr>
      <w:tr w:rsidR="006E3674" w:rsidRPr="00932A90" w14:paraId="4F0BF91E" w14:textId="77777777" w:rsidTr="004576EA">
        <w:trPr>
          <w:gridBefore w:val="1"/>
          <w:wBefore w:w="27" w:type="pct"/>
          <w:trHeight w:val="283"/>
        </w:trPr>
        <w:tc>
          <w:tcPr>
            <w:tcW w:w="2000" w:type="pct"/>
            <w:tcBorders>
              <w:top w:val="nil"/>
              <w:bottom w:val="single" w:sz="4" w:space="0" w:color="auto"/>
            </w:tcBorders>
            <w:shd w:val="clear" w:color="auto" w:fill="auto"/>
          </w:tcPr>
          <w:p w14:paraId="29799587" w14:textId="77777777" w:rsidR="00A61FF5" w:rsidRPr="006E49EE" w:rsidRDefault="00A61FF5" w:rsidP="00D07480">
            <w:pPr>
              <w:pStyle w:val="ESTableBody"/>
              <w:rPr>
                <w:lang w:val="en-AU"/>
              </w:rPr>
            </w:pPr>
            <w:r w:rsidRPr="006E49EE">
              <w:rPr>
                <w:lang w:val="en-AU"/>
              </w:rPr>
              <w:t>Proportion of graduates with improved employment status after training</w:t>
            </w:r>
          </w:p>
        </w:tc>
        <w:tc>
          <w:tcPr>
            <w:tcW w:w="500" w:type="pct"/>
            <w:tcBorders>
              <w:top w:val="nil"/>
              <w:bottom w:val="single" w:sz="4" w:space="0" w:color="auto"/>
            </w:tcBorders>
            <w:shd w:val="clear" w:color="auto" w:fill="auto"/>
          </w:tcPr>
          <w:p w14:paraId="386A1D88" w14:textId="3D0150B1" w:rsidR="00A61FF5" w:rsidRPr="006E49EE" w:rsidRDefault="00366F71" w:rsidP="00366F71">
            <w:pPr>
              <w:pStyle w:val="ESTablebody0"/>
              <w:rPr>
                <w:lang w:val="en-AU"/>
              </w:rPr>
            </w:pPr>
            <w:r w:rsidRPr="006E49EE">
              <w:rPr>
                <w:lang w:val="en-AU"/>
              </w:rPr>
              <w:t>per cent</w:t>
            </w:r>
          </w:p>
        </w:tc>
        <w:tc>
          <w:tcPr>
            <w:tcW w:w="500" w:type="pct"/>
            <w:tcBorders>
              <w:top w:val="nil"/>
              <w:bottom w:val="single" w:sz="4" w:space="0" w:color="auto"/>
            </w:tcBorders>
            <w:shd w:val="clear" w:color="auto" w:fill="auto"/>
          </w:tcPr>
          <w:p w14:paraId="59FBBACE" w14:textId="77777777" w:rsidR="00A61FF5" w:rsidRPr="006E49EE" w:rsidRDefault="00A61FF5" w:rsidP="00D07480">
            <w:pPr>
              <w:pStyle w:val="ESTableBody"/>
              <w:jc w:val="right"/>
              <w:rPr>
                <w:lang w:val="en-AU"/>
              </w:rPr>
            </w:pPr>
            <w:r w:rsidRPr="006E49EE">
              <w:rPr>
                <w:lang w:val="en-AU"/>
              </w:rPr>
              <w:t>–</w:t>
            </w:r>
          </w:p>
        </w:tc>
        <w:tc>
          <w:tcPr>
            <w:tcW w:w="500" w:type="pct"/>
            <w:tcBorders>
              <w:top w:val="nil"/>
              <w:bottom w:val="single" w:sz="4" w:space="0" w:color="auto"/>
            </w:tcBorders>
            <w:shd w:val="clear" w:color="auto" w:fill="auto"/>
          </w:tcPr>
          <w:p w14:paraId="293A46DB" w14:textId="77777777" w:rsidR="00A61FF5" w:rsidRPr="006E49EE" w:rsidRDefault="00A61FF5" w:rsidP="00D07480">
            <w:pPr>
              <w:pStyle w:val="ESTableBody"/>
              <w:jc w:val="right"/>
              <w:rPr>
                <w:lang w:val="en-AU"/>
              </w:rPr>
            </w:pPr>
            <w:r w:rsidRPr="006E49EE">
              <w:rPr>
                <w:lang w:val="en-AU"/>
              </w:rPr>
              <w:t>–</w:t>
            </w:r>
          </w:p>
        </w:tc>
        <w:tc>
          <w:tcPr>
            <w:tcW w:w="500" w:type="pct"/>
            <w:tcBorders>
              <w:top w:val="nil"/>
              <w:bottom w:val="single" w:sz="4" w:space="0" w:color="auto"/>
            </w:tcBorders>
            <w:shd w:val="clear" w:color="auto" w:fill="auto"/>
          </w:tcPr>
          <w:p w14:paraId="3BBD071E" w14:textId="77777777" w:rsidR="00A61FF5" w:rsidRPr="006E49EE" w:rsidRDefault="00A61FF5" w:rsidP="00D07480">
            <w:pPr>
              <w:pStyle w:val="ESTableBody"/>
              <w:jc w:val="right"/>
              <w:rPr>
                <w:lang w:val="en-AU"/>
              </w:rPr>
            </w:pPr>
            <w:r w:rsidRPr="006E49EE">
              <w:rPr>
                <w:lang w:val="en-AU"/>
              </w:rPr>
              <w:t>45.7</w:t>
            </w:r>
          </w:p>
        </w:tc>
        <w:tc>
          <w:tcPr>
            <w:tcW w:w="500" w:type="pct"/>
            <w:tcBorders>
              <w:top w:val="nil"/>
              <w:bottom w:val="single" w:sz="4" w:space="0" w:color="auto"/>
            </w:tcBorders>
            <w:shd w:val="clear" w:color="auto" w:fill="auto"/>
          </w:tcPr>
          <w:p w14:paraId="5DC6CF48" w14:textId="77777777" w:rsidR="00A61FF5" w:rsidRPr="006E49EE" w:rsidRDefault="00A61FF5" w:rsidP="00D07480">
            <w:pPr>
              <w:pStyle w:val="ESTableBody"/>
              <w:jc w:val="right"/>
              <w:rPr>
                <w:lang w:val="en-AU"/>
              </w:rPr>
            </w:pPr>
            <w:r w:rsidRPr="006E49EE">
              <w:rPr>
                <w:lang w:val="en-AU"/>
              </w:rPr>
              <w:t>44.5</w:t>
            </w:r>
          </w:p>
        </w:tc>
        <w:tc>
          <w:tcPr>
            <w:tcW w:w="500" w:type="pct"/>
            <w:tcBorders>
              <w:top w:val="nil"/>
              <w:bottom w:val="single" w:sz="4" w:space="0" w:color="auto"/>
            </w:tcBorders>
          </w:tcPr>
          <w:p w14:paraId="2F0ADEA4" w14:textId="77777777" w:rsidR="00A61FF5" w:rsidRPr="006E49EE" w:rsidRDefault="00A61FF5" w:rsidP="00D07480">
            <w:pPr>
              <w:pStyle w:val="ESTableBody"/>
              <w:jc w:val="right"/>
              <w:rPr>
                <w:sz w:val="19"/>
                <w:lang w:val="en-AU"/>
              </w:rPr>
            </w:pPr>
            <w:r w:rsidRPr="006E49EE">
              <w:rPr>
                <w:lang w:val="en-AU"/>
              </w:rPr>
              <w:t>n/a</w:t>
            </w:r>
            <w:r w:rsidRPr="006E49EE">
              <w:rPr>
                <w:rStyle w:val="FootnoteReference"/>
                <w:lang w:val="en-AU"/>
              </w:rPr>
              <w:footnoteReference w:id="9"/>
            </w:r>
          </w:p>
        </w:tc>
      </w:tr>
    </w:tbl>
    <w:p w14:paraId="31EF9B44" w14:textId="77777777" w:rsidR="00A61FF5" w:rsidRPr="006E49EE" w:rsidRDefault="00A61FF5" w:rsidP="00A61FF5">
      <w:pPr>
        <w:pStyle w:val="ESHeading3"/>
        <w:rPr>
          <w:lang w:val="en-AU"/>
        </w:rPr>
      </w:pPr>
      <w:r w:rsidRPr="006E49EE">
        <w:rPr>
          <w:lang w:val="en-AU"/>
        </w:rPr>
        <w:t>Objective 2: Engagement</w:t>
      </w:r>
    </w:p>
    <w:p w14:paraId="50243D85" w14:textId="77777777" w:rsidR="00A61FF5" w:rsidRPr="006E49EE" w:rsidRDefault="00A61FF5" w:rsidP="00A61FF5">
      <w:pPr>
        <w:pStyle w:val="ESQuotetext"/>
        <w:rPr>
          <w:lang w:val="en-AU"/>
        </w:rPr>
      </w:pPr>
      <w:r w:rsidRPr="006E49EE">
        <w:rPr>
          <w:lang w:val="en-AU"/>
        </w:rPr>
        <w:t>Increase the number of Victorians actively participating in education, development and child health services.</w:t>
      </w:r>
    </w:p>
    <w:p w14:paraId="1958EB8A" w14:textId="77777777" w:rsidR="00A61FF5" w:rsidRPr="006E49EE" w:rsidRDefault="00A61FF5" w:rsidP="00A61FF5">
      <w:pPr>
        <w:pStyle w:val="ESBodyText"/>
        <w:rPr>
          <w:lang w:val="en-AU"/>
        </w:rPr>
      </w:pPr>
      <w:r w:rsidRPr="006E49EE">
        <w:rPr>
          <w:lang w:val="en-AU"/>
        </w:rPr>
        <w:t>It is a priority of the Education State agenda to ensure that all Victorians, whether children, young people or adults, have access to high</w:t>
      </w:r>
      <w:r w:rsidRPr="006E49EE">
        <w:rPr>
          <w:lang w:val="en-AU"/>
        </w:rPr>
        <w:noBreakHyphen/>
        <w:t>quality education, development and child health services. Key aims of recently-announced reforms to the early childhood sector are to make early childhood services more accessible and inclusive, and to support higher quality early education services.</w:t>
      </w:r>
    </w:p>
    <w:p w14:paraId="0350C6E8" w14:textId="77777777" w:rsidR="00A61FF5" w:rsidRPr="006E49EE" w:rsidRDefault="00A61FF5" w:rsidP="00A61FF5">
      <w:pPr>
        <w:pStyle w:val="ESBodyText"/>
        <w:rPr>
          <w:lang w:val="en-AU"/>
        </w:rPr>
      </w:pPr>
      <w:r w:rsidRPr="006E49EE">
        <w:rPr>
          <w:lang w:val="en-AU"/>
        </w:rPr>
        <w:t>Through the Key Age and Stage (KAS) visits, MCH nurses provide valuable supports to parents and children at critical points in development. Participation in MCH KAS visits remains stable. Higher proportions of families participate in the earlier KAS visits, with rates dropping from universal participation in the first home consultation visit, to around one-third of children for the last visit (at 3.5 years). The Early Childhood Reform Plan aims to strengthen engagement with this service by improving and expanding current services across the state, and initiatives to aid staff development.</w:t>
      </w:r>
    </w:p>
    <w:p w14:paraId="6B8319FD" w14:textId="77777777" w:rsidR="00992207" w:rsidRDefault="00A61FF5" w:rsidP="00A61FF5">
      <w:pPr>
        <w:pStyle w:val="ESBodyText"/>
        <w:rPr>
          <w:lang w:val="en-AU"/>
        </w:rPr>
      </w:pPr>
      <w:r w:rsidRPr="006E49EE">
        <w:rPr>
          <w:lang w:val="en-AU"/>
        </w:rPr>
        <w:t>Kindergarten participation rates remain high in Victoria: in 2016, 96.2 per cent of children attended kindergarten in the year before starting school. This is an important achievement, given the well</w:t>
      </w:r>
      <w:r w:rsidRPr="006E49EE">
        <w:rPr>
          <w:lang w:val="en-AU"/>
        </w:rPr>
        <w:noBreakHyphen/>
        <w:t>documented academic and social long-term benefits for children who attend. To build on this already high performance, the Victorian Government is including more kindergarten funding to help improve the quality of kindergarten services.</w:t>
      </w:r>
      <w:r w:rsidR="00992207">
        <w:rPr>
          <w:lang w:val="en-AU"/>
        </w:rPr>
        <w:t xml:space="preserve"> </w:t>
      </w:r>
    </w:p>
    <w:p w14:paraId="7DEDB22C" w14:textId="45265B23" w:rsidR="00A61FF5" w:rsidRPr="006E49EE" w:rsidRDefault="00A61FF5" w:rsidP="00A61FF5">
      <w:pPr>
        <w:pStyle w:val="ESBodyText"/>
        <w:rPr>
          <w:lang w:val="en-AU"/>
        </w:rPr>
      </w:pPr>
      <w:r w:rsidRPr="006E49EE">
        <w:rPr>
          <w:lang w:val="en-AU"/>
        </w:rPr>
        <w:t>Victoria’s ECEC sector provides a high level of care, with most service providers performing strongly against national standards. In 2016, 96 per cent of Victorian ECEC services were assessed as meeting or exceeding National Quality Standard Area</w:t>
      </w:r>
      <w:r w:rsidR="00EE6318" w:rsidRPr="006E49EE">
        <w:rPr>
          <w:lang w:val="en-AU"/>
        </w:rPr>
        <w:t> </w:t>
      </w:r>
      <w:r w:rsidRPr="006E49EE">
        <w:rPr>
          <w:lang w:val="en-AU"/>
        </w:rPr>
        <w:t>6 (NQSA6</w:t>
      </w:r>
      <w:r w:rsidR="003761CC" w:rsidRPr="006E49EE">
        <w:rPr>
          <w:lang w:val="en-AU"/>
        </w:rPr>
        <w:t>—</w:t>
      </w:r>
      <w:r w:rsidRPr="006E49EE">
        <w:rPr>
          <w:lang w:val="en-AU"/>
        </w:rPr>
        <w:t>Collaborative partnerships with families and communities). This rate is generally consistent with previous years.</w:t>
      </w:r>
    </w:p>
    <w:p w14:paraId="22D946AF" w14:textId="207C865E" w:rsidR="00A61FF5" w:rsidRPr="00F51FCE" w:rsidRDefault="00A61FF5" w:rsidP="00A61FF5">
      <w:pPr>
        <w:pStyle w:val="ESBodyText"/>
        <w:rPr>
          <w:lang w:val="en-AU"/>
        </w:rPr>
      </w:pPr>
      <w:r w:rsidRPr="00F51FCE">
        <w:rPr>
          <w:lang w:val="en-AU"/>
        </w:rPr>
        <w:t xml:space="preserve">Student attendance and participation are important factors in engagement: there is a strong correlation between student attendance and learning outcomes, and reducing disengagement involves reducing school absenteeism. </w:t>
      </w:r>
      <w:r w:rsidR="00BB2D0F" w:rsidRPr="00F51FCE">
        <w:rPr>
          <w:lang w:val="en-AU"/>
        </w:rPr>
        <w:t>Victoria remains the only jurisdiction where average attendance in government schools across Years 1 to 10 was above 90 per cent</w:t>
      </w:r>
      <w:r w:rsidR="009E2237" w:rsidRPr="00F51FCE">
        <w:rPr>
          <w:rStyle w:val="FootnoteReference"/>
          <w:lang w:val="en-AU"/>
        </w:rPr>
        <w:footnoteReference w:id="10"/>
      </w:r>
      <w:r w:rsidR="00BB2D0F" w:rsidRPr="00F51FCE">
        <w:rPr>
          <w:lang w:val="en-AU"/>
        </w:rPr>
        <w:t xml:space="preserve">. </w:t>
      </w:r>
      <w:r w:rsidRPr="00F51FCE">
        <w:rPr>
          <w:lang w:val="en-AU"/>
        </w:rPr>
        <w:t xml:space="preserve">Since 2012, </w:t>
      </w:r>
      <w:r w:rsidR="00BB2D0F" w:rsidRPr="00F51FCE">
        <w:rPr>
          <w:lang w:val="en-AU"/>
        </w:rPr>
        <w:t xml:space="preserve">however, </w:t>
      </w:r>
      <w:r w:rsidRPr="00F51FCE">
        <w:rPr>
          <w:lang w:val="en-AU"/>
        </w:rPr>
        <w:t>the mean</w:t>
      </w:r>
      <w:r w:rsidR="00BB2D0F" w:rsidRPr="00F51FCE">
        <w:rPr>
          <w:lang w:val="en-AU"/>
        </w:rPr>
        <w:t xml:space="preserve"> number of absent days per full</w:t>
      </w:r>
      <w:r w:rsidR="00BB2D0F" w:rsidRPr="00F51FCE">
        <w:rPr>
          <w:lang w:val="en-AU"/>
        </w:rPr>
        <w:noBreakHyphen/>
      </w:r>
      <w:r w:rsidRPr="00F51FCE">
        <w:rPr>
          <w:lang w:val="en-AU"/>
        </w:rPr>
        <w:t>time</w:t>
      </w:r>
      <w:r w:rsidRPr="00F51FCE">
        <w:rPr>
          <w:lang w:val="en-AU"/>
        </w:rPr>
        <w:noBreakHyphen/>
        <w:t xml:space="preserve">equivalent student in government schools has increased slightly for Years 5, 6,11 and 12, </w:t>
      </w:r>
      <w:r w:rsidR="00BB2D0F" w:rsidRPr="00F51FCE">
        <w:rPr>
          <w:lang w:val="en-AU"/>
        </w:rPr>
        <w:t>and</w:t>
      </w:r>
      <w:r w:rsidRPr="00F51FCE">
        <w:rPr>
          <w:lang w:val="en-AU"/>
        </w:rPr>
        <w:t xml:space="preserve"> has remained relatively stable, albeit higher, in Years 7 to 10.</w:t>
      </w:r>
    </w:p>
    <w:p w14:paraId="0479756E" w14:textId="0E2994BD" w:rsidR="00A61FF5" w:rsidRPr="00F51FCE" w:rsidRDefault="00A61FF5" w:rsidP="00A61FF5">
      <w:pPr>
        <w:pStyle w:val="ESBodyText"/>
        <w:rPr>
          <w:lang w:val="en-AU"/>
        </w:rPr>
      </w:pPr>
      <w:r w:rsidRPr="00F51FCE">
        <w:rPr>
          <w:lang w:val="en-AU"/>
        </w:rPr>
        <w:t xml:space="preserve">Positive engagement with schooling also promotes achievement. </w:t>
      </w:r>
      <w:r w:rsidR="00A96198" w:rsidRPr="00F51FCE">
        <w:rPr>
          <w:lang w:val="en-AU"/>
        </w:rPr>
        <w:t>General patterns show that three</w:t>
      </w:r>
      <w:r w:rsidR="00A96198" w:rsidRPr="00F51FCE">
        <w:rPr>
          <w:lang w:val="en-AU"/>
        </w:rPr>
        <w:noBreakHyphen/>
        <w:t>in</w:t>
      </w:r>
      <w:r w:rsidR="00A96198" w:rsidRPr="00F51FCE">
        <w:rPr>
          <w:lang w:val="en-AU"/>
        </w:rPr>
        <w:noBreakHyphen/>
        <w:t>five primary and about one</w:t>
      </w:r>
      <w:r w:rsidR="00A96198" w:rsidRPr="00F51FCE">
        <w:rPr>
          <w:lang w:val="en-AU"/>
        </w:rPr>
        <w:noBreakHyphen/>
        <w:t>in</w:t>
      </w:r>
      <w:r w:rsidR="00A96198" w:rsidRPr="00F51FCE">
        <w:rPr>
          <w:lang w:val="en-AU"/>
        </w:rPr>
        <w:noBreakHyphen/>
        <w:t xml:space="preserve">five secondary school students report positive perceptions of their school providing a stimulating learning environment. A range of Education State initiatives are helping improve engagement in schooling, such as, the ‘positive climate for student learning’ priority of FISO, and targeted initiatives such as the Navigator program and LOOKOUT Education Support centres. </w:t>
      </w:r>
    </w:p>
    <w:p w14:paraId="429AA5DF" w14:textId="77777777" w:rsidR="00A61FF5" w:rsidRPr="006E49EE" w:rsidRDefault="00A61FF5" w:rsidP="00A61FF5">
      <w:pPr>
        <w:pStyle w:val="ESBodyText"/>
        <w:rPr>
          <w:lang w:val="en-AU"/>
        </w:rPr>
      </w:pPr>
      <w:r w:rsidRPr="00F51FCE">
        <w:rPr>
          <w:lang w:val="en-AU"/>
        </w:rPr>
        <w:t>In 2016, about 320,000 students in Victoria were enrolled in government-subsidised training, a 15 per cent decrease compared with 2015. Enrolments by males and people aged 45–64 years declined the most (16 per cent each), mainly due to lower training numbers for manufacturing, transport and logistics, construction</w:t>
      </w:r>
      <w:r w:rsidRPr="006E49EE">
        <w:rPr>
          <w:lang w:val="en-AU"/>
        </w:rPr>
        <w:t xml:space="preserve"> plant operators, and foundation skills.</w:t>
      </w:r>
    </w:p>
    <w:p w14:paraId="56642C89" w14:textId="77777777" w:rsidR="00BA5ED4" w:rsidRDefault="00A61FF5" w:rsidP="00992207">
      <w:pPr>
        <w:pStyle w:val="ESBodyText"/>
        <w:rPr>
          <w:lang w:val="en-AU"/>
        </w:rPr>
      </w:pPr>
      <w:r w:rsidRPr="006E49EE">
        <w:rPr>
          <w:lang w:val="en-AU"/>
        </w:rPr>
        <w:t>The proportion of students satisfied with the teaching in their course was 84 per cent in 2016, a decline of four percentage points from 2015. This is consistent with the decline in student and employer confidence in the training system, which suffered from the failure of some providers to deliver quality training.</w:t>
      </w:r>
      <w:r w:rsidR="00992207">
        <w:rPr>
          <w:lang w:val="en-AU"/>
        </w:rPr>
        <w:t xml:space="preserve"> </w:t>
      </w:r>
    </w:p>
    <w:p w14:paraId="3F09BA76" w14:textId="2068251A" w:rsidR="00992207" w:rsidRPr="003A0F4F" w:rsidRDefault="00992207" w:rsidP="00992207">
      <w:pPr>
        <w:pStyle w:val="ESBodyText"/>
        <w:rPr>
          <w:lang w:val="en-AU"/>
        </w:rPr>
      </w:pPr>
      <w:r w:rsidRPr="003A0F4F">
        <w:rPr>
          <w:lang w:val="en-AU"/>
        </w:rPr>
        <w:t>Commonwealth Government training policy changes resulted in the shift of students to VET-FEE-HELP training and demand driven places in higher education attracting students who previously would have been expected to enrol in vocational education and training.</w:t>
      </w:r>
    </w:p>
    <w:p w14:paraId="257DF76F" w14:textId="339D1B18" w:rsidR="00992207" w:rsidRPr="00992207" w:rsidRDefault="00992207" w:rsidP="00992207">
      <w:pPr>
        <w:pStyle w:val="ESBodyText"/>
        <w:rPr>
          <w:lang w:val="en-AU"/>
        </w:rPr>
      </w:pPr>
      <w:r w:rsidRPr="003A0F4F">
        <w:rPr>
          <w:lang w:val="en-AU"/>
        </w:rPr>
        <w:t>The other significant po</w:t>
      </w:r>
      <w:r w:rsidR="004C745F" w:rsidRPr="003A0F4F">
        <w:rPr>
          <w:lang w:val="en-AU"/>
        </w:rPr>
        <w:t>licy shift in Victoria was the g</w:t>
      </w:r>
      <w:r w:rsidRPr="003A0F4F">
        <w:rPr>
          <w:lang w:val="en-AU"/>
        </w:rPr>
        <w:t xml:space="preserve">overnment’s response to widespread </w:t>
      </w:r>
      <w:r w:rsidR="004C745F" w:rsidRPr="003A0F4F">
        <w:rPr>
          <w:lang w:val="en-AU"/>
        </w:rPr>
        <w:t>training quality problems. The g</w:t>
      </w:r>
      <w:r w:rsidRPr="003A0F4F">
        <w:rPr>
          <w:lang w:val="en-AU"/>
        </w:rPr>
        <w:t>overnment committed to restore trust, confidence and pride in Victoria’s TAFE and Training Sector with an emphasis on quality. The quality initiatives that commenced in 2015 removed a significant number of low quality and fraudulent private RTOs, and this had the effect of further reducing training volumes corresponding to poor quality and poor outcomes for students. Government action to improve the quality of training delivery (measured by providers whose training contracts were terminated) accounts for approximately 58 per cent of the decline in enrolments between 2015 and 2016.</w:t>
      </w:r>
    </w:p>
    <w:p w14:paraId="58520132" w14:textId="7C90CA54" w:rsidR="00A61FF5" w:rsidRPr="006E49EE" w:rsidRDefault="00A61FF5" w:rsidP="00A61FF5">
      <w:pPr>
        <w:pStyle w:val="ESBodyText"/>
        <w:rPr>
          <w:lang w:val="en-AU"/>
        </w:rPr>
      </w:pPr>
      <w:r w:rsidRPr="006E49EE">
        <w:rPr>
          <w:lang w:val="en-AU"/>
        </w:rPr>
        <w:t>The actions started in mid-2015, including the quality blitz and the January 2017 Skills First reforms, are setting the foundation for a successful training system, leading to improvements in student satisfaction and employment outcomes. However, it will take time for the Skills First reforms to take full effect and show in performance measures.</w:t>
      </w:r>
    </w:p>
    <w:p w14:paraId="5D04CB2E" w14:textId="4E027A69"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4</w:t>
      </w:r>
      <w:r w:rsidR="00D93BA2" w:rsidRPr="006E49EE">
        <w:rPr>
          <w:noProof/>
          <w:lang w:val="en-AU"/>
        </w:rPr>
        <w:fldChar w:fldCharType="end"/>
      </w:r>
      <w:r w:rsidRPr="006E49EE">
        <w:rPr>
          <w:lang w:val="en-AU"/>
        </w:rPr>
        <w:t xml:space="preserve"> – Departmental indicators against engagement</w:t>
      </w:r>
    </w:p>
    <w:tbl>
      <w:tblPr>
        <w:tblW w:w="5000" w:type="pct"/>
        <w:tblLayout w:type="fixed"/>
        <w:tblCellMar>
          <w:left w:w="45" w:type="dxa"/>
          <w:right w:w="45" w:type="dxa"/>
        </w:tblCellMar>
        <w:tblLook w:val="0000" w:firstRow="0" w:lastRow="0" w:firstColumn="0" w:lastColumn="0" w:noHBand="0" w:noVBand="0"/>
      </w:tblPr>
      <w:tblGrid>
        <w:gridCol w:w="2947"/>
        <w:gridCol w:w="737"/>
        <w:gridCol w:w="736"/>
        <w:gridCol w:w="736"/>
        <w:gridCol w:w="736"/>
        <w:gridCol w:w="736"/>
        <w:gridCol w:w="736"/>
      </w:tblGrid>
      <w:tr w:rsidR="00980848" w:rsidRPr="00932A90" w14:paraId="1E7F0615" w14:textId="77777777" w:rsidTr="009A0BAD">
        <w:trPr>
          <w:tblHeader/>
        </w:trPr>
        <w:tc>
          <w:tcPr>
            <w:tcW w:w="2000" w:type="pct"/>
            <w:shd w:val="clear" w:color="auto" w:fill="7F7F7F" w:themeFill="text1" w:themeFillTint="80"/>
          </w:tcPr>
          <w:p w14:paraId="1BF392C2" w14:textId="77777777" w:rsidR="00A61FF5" w:rsidRPr="006E49EE" w:rsidRDefault="00A61FF5" w:rsidP="00D07480">
            <w:pPr>
              <w:pStyle w:val="ESTableheadingwhite"/>
              <w:rPr>
                <w:lang w:val="en-AU"/>
              </w:rPr>
            </w:pPr>
            <w:r w:rsidRPr="006E49EE">
              <w:rPr>
                <w:lang w:val="en-AU"/>
              </w:rPr>
              <w:t>Indicators</w:t>
            </w:r>
          </w:p>
        </w:tc>
        <w:tc>
          <w:tcPr>
            <w:tcW w:w="500" w:type="pct"/>
            <w:shd w:val="clear" w:color="auto" w:fill="7F7F7F" w:themeFill="text1" w:themeFillTint="80"/>
          </w:tcPr>
          <w:p w14:paraId="6A51D74B" w14:textId="77777777" w:rsidR="00A61FF5" w:rsidRPr="006E49EE" w:rsidRDefault="00A61FF5" w:rsidP="00D07480">
            <w:pPr>
              <w:pStyle w:val="ESTableheadingwhite"/>
              <w:jc w:val="right"/>
              <w:rPr>
                <w:lang w:val="en-AU"/>
              </w:rPr>
            </w:pPr>
            <w:r w:rsidRPr="006E49EE">
              <w:rPr>
                <w:lang w:val="en-AU"/>
              </w:rPr>
              <w:t>Unit</w:t>
            </w:r>
          </w:p>
        </w:tc>
        <w:tc>
          <w:tcPr>
            <w:tcW w:w="500" w:type="pct"/>
            <w:shd w:val="clear" w:color="auto" w:fill="7F7F7F" w:themeFill="text1" w:themeFillTint="80"/>
          </w:tcPr>
          <w:p w14:paraId="60BD48A3" w14:textId="77777777" w:rsidR="00A61FF5" w:rsidRPr="006E49EE" w:rsidRDefault="00A61FF5" w:rsidP="00D07480">
            <w:pPr>
              <w:pStyle w:val="ESTableheadingwhite"/>
              <w:jc w:val="right"/>
              <w:rPr>
                <w:lang w:val="en-AU"/>
              </w:rPr>
            </w:pPr>
            <w:r w:rsidRPr="006E49EE">
              <w:rPr>
                <w:lang w:val="en-AU"/>
              </w:rPr>
              <w:t>2012</w:t>
            </w:r>
          </w:p>
        </w:tc>
        <w:tc>
          <w:tcPr>
            <w:tcW w:w="500" w:type="pct"/>
            <w:shd w:val="clear" w:color="auto" w:fill="7F7F7F" w:themeFill="text1" w:themeFillTint="80"/>
          </w:tcPr>
          <w:p w14:paraId="589880BC" w14:textId="77777777" w:rsidR="00A61FF5" w:rsidRPr="006E49EE" w:rsidRDefault="00A61FF5" w:rsidP="00D07480">
            <w:pPr>
              <w:pStyle w:val="ESTableheadingwhite"/>
              <w:jc w:val="right"/>
              <w:rPr>
                <w:lang w:val="en-AU"/>
              </w:rPr>
            </w:pPr>
            <w:r w:rsidRPr="006E49EE">
              <w:rPr>
                <w:lang w:val="en-AU"/>
              </w:rPr>
              <w:t>2013</w:t>
            </w:r>
          </w:p>
        </w:tc>
        <w:tc>
          <w:tcPr>
            <w:tcW w:w="500" w:type="pct"/>
            <w:shd w:val="clear" w:color="auto" w:fill="7F7F7F" w:themeFill="text1" w:themeFillTint="80"/>
          </w:tcPr>
          <w:p w14:paraId="6D8F9F3C" w14:textId="77777777" w:rsidR="00A61FF5" w:rsidRPr="006E49EE" w:rsidRDefault="00A61FF5" w:rsidP="00D07480">
            <w:pPr>
              <w:pStyle w:val="ESTableheadingwhite"/>
              <w:jc w:val="right"/>
              <w:rPr>
                <w:lang w:val="en-AU"/>
              </w:rPr>
            </w:pPr>
            <w:r w:rsidRPr="006E49EE">
              <w:rPr>
                <w:lang w:val="en-AU"/>
              </w:rPr>
              <w:t>2014</w:t>
            </w:r>
          </w:p>
        </w:tc>
        <w:tc>
          <w:tcPr>
            <w:tcW w:w="500" w:type="pct"/>
            <w:shd w:val="clear" w:color="auto" w:fill="7F7F7F" w:themeFill="text1" w:themeFillTint="80"/>
          </w:tcPr>
          <w:p w14:paraId="39DCB310" w14:textId="77777777" w:rsidR="00A61FF5" w:rsidRPr="006E49EE" w:rsidRDefault="00A61FF5" w:rsidP="00D07480">
            <w:pPr>
              <w:pStyle w:val="ESTableheadingwhite"/>
              <w:jc w:val="right"/>
              <w:rPr>
                <w:lang w:val="en-AU"/>
              </w:rPr>
            </w:pPr>
            <w:r w:rsidRPr="006E49EE">
              <w:rPr>
                <w:lang w:val="en-AU"/>
              </w:rPr>
              <w:t>2015</w:t>
            </w:r>
          </w:p>
        </w:tc>
        <w:tc>
          <w:tcPr>
            <w:tcW w:w="500" w:type="pct"/>
            <w:shd w:val="clear" w:color="auto" w:fill="7F7F7F" w:themeFill="text1" w:themeFillTint="80"/>
          </w:tcPr>
          <w:p w14:paraId="62CE46CD" w14:textId="77777777" w:rsidR="00A61FF5" w:rsidRPr="006E49EE" w:rsidRDefault="00A61FF5" w:rsidP="00D07480">
            <w:pPr>
              <w:pStyle w:val="ESTableheadingwhite"/>
              <w:jc w:val="right"/>
              <w:rPr>
                <w:lang w:val="en-AU"/>
              </w:rPr>
            </w:pPr>
            <w:r w:rsidRPr="006E49EE">
              <w:rPr>
                <w:lang w:val="en-AU"/>
              </w:rPr>
              <w:t>2016</w:t>
            </w:r>
          </w:p>
        </w:tc>
      </w:tr>
      <w:tr w:rsidR="00A61FF5" w:rsidRPr="00932A90" w14:paraId="01A4B546" w14:textId="77777777" w:rsidTr="009A0BAD">
        <w:tc>
          <w:tcPr>
            <w:tcW w:w="500" w:type="pct"/>
            <w:gridSpan w:val="7"/>
            <w:shd w:val="clear" w:color="auto" w:fill="F2F2F2" w:themeFill="background1" w:themeFillShade="F2"/>
          </w:tcPr>
          <w:p w14:paraId="0A1924C8" w14:textId="77777777" w:rsidR="00A61FF5" w:rsidRPr="006E49EE" w:rsidRDefault="00A61FF5" w:rsidP="009A0BAD">
            <w:pPr>
              <w:pStyle w:val="ESTableheading"/>
              <w:rPr>
                <w:lang w:val="en-AU"/>
              </w:rPr>
            </w:pPr>
            <w:r w:rsidRPr="006E49EE">
              <w:rPr>
                <w:lang w:val="en-AU"/>
              </w:rPr>
              <w:t>Early childhood development</w:t>
            </w:r>
          </w:p>
        </w:tc>
      </w:tr>
      <w:tr w:rsidR="00A61FF5" w:rsidRPr="00932A90" w14:paraId="4F84876C" w14:textId="77777777" w:rsidTr="004576EA">
        <w:tc>
          <w:tcPr>
            <w:tcW w:w="500" w:type="pct"/>
            <w:gridSpan w:val="7"/>
            <w:shd w:val="clear" w:color="auto" w:fill="auto"/>
          </w:tcPr>
          <w:p w14:paraId="26CADCC7" w14:textId="77777777" w:rsidR="00A61FF5" w:rsidRPr="006E49EE" w:rsidRDefault="00A61FF5" w:rsidP="009A0BAD">
            <w:pPr>
              <w:pStyle w:val="ESTableheading"/>
              <w:rPr>
                <w:lang w:val="en-AU"/>
              </w:rPr>
            </w:pPr>
            <w:r w:rsidRPr="006E49EE">
              <w:rPr>
                <w:lang w:val="en-AU"/>
              </w:rPr>
              <w:t>Participation in a kindergarten service in the year before school</w:t>
            </w:r>
          </w:p>
        </w:tc>
      </w:tr>
      <w:tr w:rsidR="00980848" w:rsidRPr="00932A90" w14:paraId="192184AC" w14:textId="77777777" w:rsidTr="004576EA">
        <w:tc>
          <w:tcPr>
            <w:tcW w:w="2000" w:type="pct"/>
            <w:shd w:val="clear" w:color="auto" w:fill="auto"/>
          </w:tcPr>
          <w:p w14:paraId="2A4C2A5E" w14:textId="77777777" w:rsidR="00A61FF5" w:rsidRPr="006E49EE" w:rsidRDefault="00A61FF5" w:rsidP="00D07480">
            <w:pPr>
              <w:pStyle w:val="ESTableBody"/>
              <w:rPr>
                <w:sz w:val="19"/>
                <w:lang w:val="en-AU"/>
              </w:rPr>
            </w:pPr>
            <w:r w:rsidRPr="006E49EE">
              <w:rPr>
                <w:lang w:val="en-AU"/>
              </w:rPr>
              <w:t>Participation in a kindergarten service in the year before school</w:t>
            </w:r>
            <w:r w:rsidRPr="006E49EE">
              <w:rPr>
                <w:rStyle w:val="FootnoteReference"/>
                <w:lang w:val="en-AU"/>
              </w:rPr>
              <w:footnoteReference w:id="11"/>
            </w:r>
          </w:p>
        </w:tc>
        <w:tc>
          <w:tcPr>
            <w:tcW w:w="500" w:type="pct"/>
            <w:shd w:val="clear" w:color="auto" w:fill="auto"/>
          </w:tcPr>
          <w:p w14:paraId="47021823"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3664D533" w14:textId="77777777" w:rsidR="00A61FF5" w:rsidRPr="006E49EE" w:rsidRDefault="00A61FF5" w:rsidP="00D07480">
            <w:pPr>
              <w:pStyle w:val="ESTableBody"/>
              <w:jc w:val="right"/>
              <w:rPr>
                <w:lang w:val="en-AU"/>
              </w:rPr>
            </w:pPr>
            <w:r w:rsidRPr="006E49EE">
              <w:rPr>
                <w:lang w:val="en-AU"/>
              </w:rPr>
              <w:t>97.9</w:t>
            </w:r>
          </w:p>
        </w:tc>
        <w:tc>
          <w:tcPr>
            <w:tcW w:w="500" w:type="pct"/>
            <w:shd w:val="clear" w:color="auto" w:fill="auto"/>
          </w:tcPr>
          <w:p w14:paraId="5553E13D" w14:textId="77777777" w:rsidR="00A61FF5" w:rsidRPr="006E49EE" w:rsidRDefault="00A61FF5" w:rsidP="00D07480">
            <w:pPr>
              <w:pStyle w:val="ESTableBody"/>
              <w:jc w:val="right"/>
              <w:rPr>
                <w:lang w:val="en-AU"/>
              </w:rPr>
            </w:pPr>
            <w:r w:rsidRPr="006E49EE">
              <w:rPr>
                <w:lang w:val="en-AU"/>
              </w:rPr>
              <w:t>98.2</w:t>
            </w:r>
          </w:p>
        </w:tc>
        <w:tc>
          <w:tcPr>
            <w:tcW w:w="500" w:type="pct"/>
            <w:shd w:val="clear" w:color="auto" w:fill="auto"/>
          </w:tcPr>
          <w:p w14:paraId="0DF4C797" w14:textId="77777777" w:rsidR="00A61FF5" w:rsidRPr="006E49EE" w:rsidRDefault="00A61FF5" w:rsidP="00D07480">
            <w:pPr>
              <w:pStyle w:val="ESTableBody"/>
              <w:jc w:val="right"/>
              <w:rPr>
                <w:lang w:val="en-AU"/>
              </w:rPr>
            </w:pPr>
            <w:r w:rsidRPr="006E49EE">
              <w:rPr>
                <w:lang w:val="en-AU"/>
              </w:rPr>
              <w:t>96.4</w:t>
            </w:r>
          </w:p>
        </w:tc>
        <w:tc>
          <w:tcPr>
            <w:tcW w:w="500" w:type="pct"/>
            <w:shd w:val="clear" w:color="auto" w:fill="auto"/>
          </w:tcPr>
          <w:p w14:paraId="0299AAF3" w14:textId="77777777" w:rsidR="00A61FF5" w:rsidRPr="006E49EE" w:rsidRDefault="00A61FF5" w:rsidP="00D07480">
            <w:pPr>
              <w:pStyle w:val="ESTableBody"/>
              <w:jc w:val="right"/>
              <w:rPr>
                <w:lang w:val="en-AU"/>
              </w:rPr>
            </w:pPr>
            <w:r w:rsidRPr="006E49EE">
              <w:rPr>
                <w:lang w:val="en-AU"/>
              </w:rPr>
              <w:t>98.1</w:t>
            </w:r>
          </w:p>
        </w:tc>
        <w:tc>
          <w:tcPr>
            <w:tcW w:w="500" w:type="pct"/>
          </w:tcPr>
          <w:p w14:paraId="5C3FDD81" w14:textId="77777777" w:rsidR="00A61FF5" w:rsidRPr="006E49EE" w:rsidRDefault="00A61FF5" w:rsidP="00D07480">
            <w:pPr>
              <w:pStyle w:val="ESTableBody"/>
              <w:jc w:val="right"/>
              <w:rPr>
                <w:lang w:val="en-AU"/>
              </w:rPr>
            </w:pPr>
            <w:r w:rsidRPr="006E49EE">
              <w:rPr>
                <w:lang w:val="en-AU"/>
              </w:rPr>
              <w:t>96.2</w:t>
            </w:r>
          </w:p>
        </w:tc>
      </w:tr>
      <w:tr w:rsidR="00A61FF5" w:rsidRPr="00932A90" w14:paraId="22CF7496" w14:textId="77777777" w:rsidTr="004576EA">
        <w:tc>
          <w:tcPr>
            <w:tcW w:w="500" w:type="pct"/>
            <w:gridSpan w:val="7"/>
            <w:shd w:val="clear" w:color="auto" w:fill="auto"/>
          </w:tcPr>
          <w:p w14:paraId="35EB66B1" w14:textId="77777777" w:rsidR="00A61FF5" w:rsidRPr="006E49EE" w:rsidRDefault="00A61FF5" w:rsidP="009A0BAD">
            <w:pPr>
              <w:pStyle w:val="ESTableheading"/>
              <w:rPr>
                <w:lang w:val="en-AU"/>
              </w:rPr>
            </w:pPr>
            <w:r w:rsidRPr="006E49EE">
              <w:rPr>
                <w:lang w:val="en-AU"/>
              </w:rPr>
              <w:t>Participation in Maternal and Child Health Services</w:t>
            </w:r>
            <w:r w:rsidRPr="006E49EE">
              <w:rPr>
                <w:rStyle w:val="FootnoteReference"/>
                <w:b w:val="0"/>
                <w:lang w:val="en-AU"/>
              </w:rPr>
              <w:footnoteReference w:id="12"/>
            </w:r>
          </w:p>
        </w:tc>
      </w:tr>
      <w:tr w:rsidR="00980848" w:rsidRPr="00932A90" w14:paraId="2D269BAE" w14:textId="77777777" w:rsidTr="004576EA">
        <w:tc>
          <w:tcPr>
            <w:tcW w:w="2000" w:type="pct"/>
            <w:shd w:val="clear" w:color="auto" w:fill="auto"/>
          </w:tcPr>
          <w:p w14:paraId="0BB861A2" w14:textId="77777777" w:rsidR="00A61FF5" w:rsidRPr="006E49EE" w:rsidRDefault="00A61FF5" w:rsidP="00D07480">
            <w:pPr>
              <w:pStyle w:val="ESTableBody"/>
              <w:rPr>
                <w:sz w:val="19"/>
                <w:lang w:val="en-AU"/>
              </w:rPr>
            </w:pPr>
            <w:r w:rsidRPr="006E49EE">
              <w:rPr>
                <w:lang w:val="en-AU"/>
              </w:rPr>
              <w:t>Home consultation</w:t>
            </w:r>
            <w:r w:rsidRPr="006E49EE">
              <w:rPr>
                <w:vertAlign w:val="superscript"/>
                <w:lang w:val="en-AU"/>
              </w:rPr>
              <w:footnoteReference w:id="13"/>
            </w:r>
          </w:p>
        </w:tc>
        <w:tc>
          <w:tcPr>
            <w:tcW w:w="500" w:type="pct"/>
            <w:shd w:val="clear" w:color="auto" w:fill="auto"/>
          </w:tcPr>
          <w:p w14:paraId="3B862DBD"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259573BE" w14:textId="77777777" w:rsidR="00A61FF5" w:rsidRPr="006E49EE" w:rsidRDefault="00A61FF5" w:rsidP="00D07480">
            <w:pPr>
              <w:pStyle w:val="ESTableBody"/>
              <w:jc w:val="right"/>
              <w:rPr>
                <w:lang w:val="en-AU"/>
              </w:rPr>
            </w:pPr>
            <w:r w:rsidRPr="006E49EE">
              <w:rPr>
                <w:lang w:val="en-AU"/>
              </w:rPr>
              <w:t>100</w:t>
            </w:r>
          </w:p>
        </w:tc>
        <w:tc>
          <w:tcPr>
            <w:tcW w:w="500" w:type="pct"/>
            <w:shd w:val="clear" w:color="auto" w:fill="auto"/>
          </w:tcPr>
          <w:p w14:paraId="71860FD2" w14:textId="77777777" w:rsidR="00A61FF5" w:rsidRPr="006E49EE" w:rsidRDefault="00A61FF5" w:rsidP="00D07480">
            <w:pPr>
              <w:pStyle w:val="ESTableBody"/>
              <w:jc w:val="right"/>
              <w:rPr>
                <w:lang w:val="en-AU"/>
              </w:rPr>
            </w:pPr>
            <w:r w:rsidRPr="006E49EE">
              <w:rPr>
                <w:lang w:val="en-AU"/>
              </w:rPr>
              <w:t>101</w:t>
            </w:r>
          </w:p>
        </w:tc>
        <w:tc>
          <w:tcPr>
            <w:tcW w:w="500" w:type="pct"/>
            <w:shd w:val="clear" w:color="auto" w:fill="auto"/>
          </w:tcPr>
          <w:p w14:paraId="3F19D649" w14:textId="77777777" w:rsidR="00A61FF5" w:rsidRPr="006E49EE" w:rsidRDefault="00A61FF5" w:rsidP="00D07480">
            <w:pPr>
              <w:pStyle w:val="ESTableBody"/>
              <w:jc w:val="right"/>
              <w:rPr>
                <w:lang w:val="en-AU"/>
              </w:rPr>
            </w:pPr>
            <w:r w:rsidRPr="006E49EE">
              <w:rPr>
                <w:lang w:val="en-AU"/>
              </w:rPr>
              <w:t>100.9</w:t>
            </w:r>
          </w:p>
        </w:tc>
        <w:tc>
          <w:tcPr>
            <w:tcW w:w="500" w:type="pct"/>
            <w:shd w:val="clear" w:color="auto" w:fill="auto"/>
          </w:tcPr>
          <w:p w14:paraId="5D3E970B" w14:textId="77777777" w:rsidR="00A61FF5" w:rsidRPr="006E49EE" w:rsidRDefault="00A61FF5" w:rsidP="00D07480">
            <w:pPr>
              <w:pStyle w:val="ESTableBody"/>
              <w:jc w:val="right"/>
              <w:rPr>
                <w:lang w:val="en-AU"/>
              </w:rPr>
            </w:pPr>
            <w:r w:rsidRPr="006E49EE">
              <w:rPr>
                <w:lang w:val="en-AU"/>
              </w:rPr>
              <w:t>n/a</w:t>
            </w:r>
          </w:p>
        </w:tc>
        <w:tc>
          <w:tcPr>
            <w:tcW w:w="500" w:type="pct"/>
          </w:tcPr>
          <w:p w14:paraId="453569BF" w14:textId="77777777" w:rsidR="00A61FF5" w:rsidRPr="006E49EE" w:rsidRDefault="00A61FF5" w:rsidP="00D07480">
            <w:pPr>
              <w:pStyle w:val="ESTableBody"/>
              <w:jc w:val="right"/>
              <w:rPr>
                <w:lang w:val="en-AU"/>
              </w:rPr>
            </w:pPr>
            <w:r w:rsidRPr="006E49EE">
              <w:rPr>
                <w:lang w:val="en-AU"/>
              </w:rPr>
              <w:t>n/a</w:t>
            </w:r>
          </w:p>
        </w:tc>
      </w:tr>
      <w:tr w:rsidR="00980848" w:rsidRPr="00932A90" w14:paraId="34A8B1C7" w14:textId="77777777" w:rsidTr="004576EA">
        <w:tc>
          <w:tcPr>
            <w:tcW w:w="2000" w:type="pct"/>
            <w:shd w:val="clear" w:color="auto" w:fill="auto"/>
          </w:tcPr>
          <w:p w14:paraId="3D2F2D24" w14:textId="77777777" w:rsidR="00A61FF5" w:rsidRPr="006E49EE" w:rsidRDefault="00A61FF5" w:rsidP="00D07480">
            <w:pPr>
              <w:pStyle w:val="ESTableBody"/>
              <w:rPr>
                <w:lang w:val="en-AU"/>
              </w:rPr>
            </w:pPr>
            <w:r w:rsidRPr="006E49EE">
              <w:rPr>
                <w:lang w:val="en-AU"/>
              </w:rPr>
              <w:t>12 months</w:t>
            </w:r>
          </w:p>
        </w:tc>
        <w:tc>
          <w:tcPr>
            <w:tcW w:w="500" w:type="pct"/>
            <w:shd w:val="clear" w:color="auto" w:fill="auto"/>
          </w:tcPr>
          <w:p w14:paraId="55E38A21"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1536FBD8" w14:textId="77777777" w:rsidR="00A61FF5" w:rsidRPr="006E49EE" w:rsidRDefault="00A61FF5" w:rsidP="00D07480">
            <w:pPr>
              <w:pStyle w:val="ESTableBody"/>
              <w:jc w:val="right"/>
              <w:rPr>
                <w:lang w:val="en-AU"/>
              </w:rPr>
            </w:pPr>
            <w:r w:rsidRPr="006E49EE">
              <w:rPr>
                <w:lang w:val="en-AU"/>
              </w:rPr>
              <w:t>82.0</w:t>
            </w:r>
          </w:p>
        </w:tc>
        <w:tc>
          <w:tcPr>
            <w:tcW w:w="500" w:type="pct"/>
            <w:shd w:val="clear" w:color="auto" w:fill="auto"/>
          </w:tcPr>
          <w:p w14:paraId="79683780" w14:textId="77777777" w:rsidR="00A61FF5" w:rsidRPr="006E49EE" w:rsidRDefault="00A61FF5" w:rsidP="00D07480">
            <w:pPr>
              <w:pStyle w:val="ESTableBody"/>
              <w:jc w:val="right"/>
              <w:rPr>
                <w:lang w:val="en-AU"/>
              </w:rPr>
            </w:pPr>
            <w:r w:rsidRPr="006E49EE">
              <w:rPr>
                <w:lang w:val="en-AU"/>
              </w:rPr>
              <w:t>83.4</w:t>
            </w:r>
          </w:p>
        </w:tc>
        <w:tc>
          <w:tcPr>
            <w:tcW w:w="500" w:type="pct"/>
            <w:shd w:val="clear" w:color="auto" w:fill="auto"/>
          </w:tcPr>
          <w:p w14:paraId="2E2625E2" w14:textId="77777777" w:rsidR="00A61FF5" w:rsidRPr="006E49EE" w:rsidRDefault="00A61FF5" w:rsidP="00D07480">
            <w:pPr>
              <w:pStyle w:val="ESTableBody"/>
              <w:jc w:val="right"/>
              <w:rPr>
                <w:lang w:val="en-AU"/>
              </w:rPr>
            </w:pPr>
            <w:r w:rsidRPr="006E49EE">
              <w:rPr>
                <w:lang w:val="en-AU"/>
              </w:rPr>
              <w:t>83.4</w:t>
            </w:r>
          </w:p>
        </w:tc>
        <w:tc>
          <w:tcPr>
            <w:tcW w:w="500" w:type="pct"/>
            <w:shd w:val="clear" w:color="auto" w:fill="auto"/>
          </w:tcPr>
          <w:p w14:paraId="088816A9" w14:textId="77777777" w:rsidR="00A61FF5" w:rsidRPr="006E49EE" w:rsidRDefault="00A61FF5" w:rsidP="00D07480">
            <w:pPr>
              <w:pStyle w:val="ESTableBody"/>
              <w:jc w:val="right"/>
              <w:rPr>
                <w:lang w:val="en-AU"/>
              </w:rPr>
            </w:pPr>
            <w:r w:rsidRPr="006E49EE">
              <w:rPr>
                <w:lang w:val="en-AU"/>
              </w:rPr>
              <w:t>n/a</w:t>
            </w:r>
          </w:p>
        </w:tc>
        <w:tc>
          <w:tcPr>
            <w:tcW w:w="500" w:type="pct"/>
          </w:tcPr>
          <w:p w14:paraId="67DA16C7" w14:textId="77777777" w:rsidR="00A61FF5" w:rsidRPr="006E49EE" w:rsidRDefault="00A61FF5" w:rsidP="00D07480">
            <w:pPr>
              <w:pStyle w:val="ESTableBody"/>
              <w:jc w:val="right"/>
              <w:rPr>
                <w:lang w:val="en-AU"/>
              </w:rPr>
            </w:pPr>
            <w:r w:rsidRPr="006E49EE">
              <w:rPr>
                <w:lang w:val="en-AU"/>
              </w:rPr>
              <w:t>n/a</w:t>
            </w:r>
          </w:p>
        </w:tc>
      </w:tr>
      <w:tr w:rsidR="00980848" w:rsidRPr="00932A90" w14:paraId="5480032F" w14:textId="77777777" w:rsidTr="004576EA">
        <w:tc>
          <w:tcPr>
            <w:tcW w:w="2000" w:type="pct"/>
            <w:shd w:val="clear" w:color="auto" w:fill="auto"/>
          </w:tcPr>
          <w:p w14:paraId="46B8DED5" w14:textId="77777777" w:rsidR="00A61FF5" w:rsidRPr="006E49EE" w:rsidRDefault="00A61FF5" w:rsidP="00D07480">
            <w:pPr>
              <w:pStyle w:val="ESTableBody"/>
              <w:rPr>
                <w:lang w:val="en-AU"/>
              </w:rPr>
            </w:pPr>
            <w:r w:rsidRPr="006E49EE">
              <w:rPr>
                <w:lang w:val="en-AU"/>
              </w:rPr>
              <w:t>3.5 years</w:t>
            </w:r>
          </w:p>
        </w:tc>
        <w:tc>
          <w:tcPr>
            <w:tcW w:w="500" w:type="pct"/>
            <w:shd w:val="clear" w:color="auto" w:fill="auto"/>
          </w:tcPr>
          <w:p w14:paraId="3D496C6B"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44D112F2" w14:textId="77777777" w:rsidR="00A61FF5" w:rsidRPr="006E49EE" w:rsidRDefault="00A61FF5" w:rsidP="00D07480">
            <w:pPr>
              <w:pStyle w:val="ESTableBody"/>
              <w:jc w:val="right"/>
              <w:rPr>
                <w:lang w:val="en-AU"/>
              </w:rPr>
            </w:pPr>
            <w:r w:rsidRPr="006E49EE">
              <w:rPr>
                <w:lang w:val="en-AU"/>
              </w:rPr>
              <w:t>66.5</w:t>
            </w:r>
          </w:p>
        </w:tc>
        <w:tc>
          <w:tcPr>
            <w:tcW w:w="500" w:type="pct"/>
            <w:shd w:val="clear" w:color="auto" w:fill="auto"/>
          </w:tcPr>
          <w:p w14:paraId="23D0B218" w14:textId="77777777" w:rsidR="00A61FF5" w:rsidRPr="006E49EE" w:rsidRDefault="00A61FF5" w:rsidP="00D07480">
            <w:pPr>
              <w:pStyle w:val="ESTableBody"/>
              <w:jc w:val="right"/>
              <w:rPr>
                <w:lang w:val="en-AU"/>
              </w:rPr>
            </w:pPr>
            <w:r w:rsidRPr="006E49EE">
              <w:rPr>
                <w:lang w:val="en-AU"/>
              </w:rPr>
              <w:t>64.9</w:t>
            </w:r>
          </w:p>
        </w:tc>
        <w:tc>
          <w:tcPr>
            <w:tcW w:w="500" w:type="pct"/>
            <w:shd w:val="clear" w:color="auto" w:fill="auto"/>
          </w:tcPr>
          <w:p w14:paraId="184D16F1" w14:textId="77777777" w:rsidR="00A61FF5" w:rsidRPr="006E49EE" w:rsidRDefault="00A61FF5" w:rsidP="00D07480">
            <w:pPr>
              <w:pStyle w:val="ESTableBody"/>
              <w:jc w:val="right"/>
              <w:rPr>
                <w:lang w:val="en-AU"/>
              </w:rPr>
            </w:pPr>
            <w:r w:rsidRPr="006E49EE">
              <w:rPr>
                <w:lang w:val="en-AU"/>
              </w:rPr>
              <w:t>66.1</w:t>
            </w:r>
          </w:p>
        </w:tc>
        <w:tc>
          <w:tcPr>
            <w:tcW w:w="500" w:type="pct"/>
            <w:shd w:val="clear" w:color="auto" w:fill="auto"/>
          </w:tcPr>
          <w:p w14:paraId="6075D552" w14:textId="77777777" w:rsidR="00A61FF5" w:rsidRPr="006E49EE" w:rsidRDefault="00A61FF5" w:rsidP="00D07480">
            <w:pPr>
              <w:pStyle w:val="ESTableBody"/>
              <w:jc w:val="right"/>
              <w:rPr>
                <w:lang w:val="en-AU"/>
              </w:rPr>
            </w:pPr>
            <w:r w:rsidRPr="006E49EE">
              <w:rPr>
                <w:lang w:val="en-AU"/>
              </w:rPr>
              <w:t>n/a</w:t>
            </w:r>
          </w:p>
        </w:tc>
        <w:tc>
          <w:tcPr>
            <w:tcW w:w="500" w:type="pct"/>
          </w:tcPr>
          <w:p w14:paraId="2385865A" w14:textId="77777777" w:rsidR="00A61FF5" w:rsidRPr="006E49EE" w:rsidRDefault="00A61FF5" w:rsidP="00D07480">
            <w:pPr>
              <w:pStyle w:val="ESTableBody"/>
              <w:jc w:val="right"/>
              <w:rPr>
                <w:lang w:val="en-AU"/>
              </w:rPr>
            </w:pPr>
            <w:r w:rsidRPr="006E49EE">
              <w:rPr>
                <w:lang w:val="en-AU"/>
              </w:rPr>
              <w:t>n/a</w:t>
            </w:r>
          </w:p>
        </w:tc>
      </w:tr>
      <w:tr w:rsidR="00A61FF5" w:rsidRPr="00932A90" w14:paraId="26BEB322" w14:textId="77777777" w:rsidTr="004576EA">
        <w:tc>
          <w:tcPr>
            <w:tcW w:w="500" w:type="pct"/>
            <w:gridSpan w:val="7"/>
            <w:shd w:val="clear" w:color="auto" w:fill="auto"/>
          </w:tcPr>
          <w:p w14:paraId="1EEDE032" w14:textId="77777777" w:rsidR="00A61FF5" w:rsidRPr="006E49EE" w:rsidRDefault="00A61FF5" w:rsidP="009A0BAD">
            <w:pPr>
              <w:pStyle w:val="ESTableheading"/>
              <w:rPr>
                <w:lang w:val="en-AU"/>
              </w:rPr>
            </w:pPr>
            <w:r w:rsidRPr="006E49EE">
              <w:rPr>
                <w:lang w:val="en-AU"/>
              </w:rPr>
              <w:t>Proportion of ECEC services meeting or exceeding National Quality Standard Area 6 (NQSA6 –Collaborative partnerships with families and communities)</w:t>
            </w:r>
          </w:p>
        </w:tc>
      </w:tr>
      <w:tr w:rsidR="00980848" w:rsidRPr="00932A90" w14:paraId="25989C9A" w14:textId="77777777" w:rsidTr="004576EA">
        <w:tc>
          <w:tcPr>
            <w:tcW w:w="2000" w:type="pct"/>
            <w:shd w:val="clear" w:color="auto" w:fill="auto"/>
          </w:tcPr>
          <w:p w14:paraId="7CEAF870" w14:textId="77777777" w:rsidR="00A61FF5" w:rsidRPr="006E49EE" w:rsidRDefault="00A61FF5" w:rsidP="00D07480">
            <w:pPr>
              <w:pStyle w:val="ESTableBody"/>
              <w:rPr>
                <w:lang w:val="en-AU"/>
              </w:rPr>
            </w:pPr>
            <w:r w:rsidRPr="006E49EE">
              <w:rPr>
                <w:lang w:val="en-AU"/>
              </w:rPr>
              <w:t xml:space="preserve">Proportion of ECEC services meeting or exceeding National Quality Standard Area 6 </w:t>
            </w:r>
          </w:p>
        </w:tc>
        <w:tc>
          <w:tcPr>
            <w:tcW w:w="500" w:type="pct"/>
            <w:shd w:val="clear" w:color="auto" w:fill="auto"/>
          </w:tcPr>
          <w:p w14:paraId="5D49DFC4" w14:textId="77777777" w:rsidR="00A61FF5" w:rsidRPr="006E49EE" w:rsidRDefault="00A61FF5" w:rsidP="00980848">
            <w:pPr>
              <w:pStyle w:val="ESTableBody"/>
              <w:jc w:val="right"/>
              <w:rPr>
                <w:lang w:val="en-AU"/>
              </w:rPr>
            </w:pPr>
            <w:r w:rsidRPr="006E49EE">
              <w:rPr>
                <w:lang w:val="en-AU"/>
              </w:rPr>
              <w:t>per cent</w:t>
            </w:r>
          </w:p>
        </w:tc>
        <w:tc>
          <w:tcPr>
            <w:tcW w:w="500" w:type="pct"/>
            <w:shd w:val="clear" w:color="auto" w:fill="auto"/>
          </w:tcPr>
          <w:p w14:paraId="761A3E70" w14:textId="77777777" w:rsidR="00A61FF5" w:rsidRPr="006E49EE" w:rsidRDefault="00A61FF5" w:rsidP="00980848">
            <w:pPr>
              <w:pStyle w:val="ESTableBody"/>
              <w:jc w:val="right"/>
              <w:rPr>
                <w:lang w:val="en-AU"/>
              </w:rPr>
            </w:pPr>
            <w:r w:rsidRPr="006E49EE">
              <w:rPr>
                <w:lang w:val="en-AU"/>
              </w:rPr>
              <w:t>–</w:t>
            </w:r>
          </w:p>
        </w:tc>
        <w:tc>
          <w:tcPr>
            <w:tcW w:w="500" w:type="pct"/>
            <w:shd w:val="clear" w:color="auto" w:fill="auto"/>
          </w:tcPr>
          <w:p w14:paraId="67DA3F87" w14:textId="77777777" w:rsidR="00A61FF5" w:rsidRPr="006E49EE" w:rsidRDefault="00A61FF5" w:rsidP="00980848">
            <w:pPr>
              <w:pStyle w:val="ESTableBody"/>
              <w:jc w:val="right"/>
              <w:rPr>
                <w:lang w:val="en-AU"/>
              </w:rPr>
            </w:pPr>
            <w:r w:rsidRPr="006E49EE">
              <w:rPr>
                <w:lang w:val="en-AU"/>
              </w:rPr>
              <w:t>95.5</w:t>
            </w:r>
          </w:p>
        </w:tc>
        <w:tc>
          <w:tcPr>
            <w:tcW w:w="500" w:type="pct"/>
            <w:shd w:val="clear" w:color="auto" w:fill="auto"/>
          </w:tcPr>
          <w:p w14:paraId="3AC40D2A" w14:textId="77777777" w:rsidR="00A61FF5" w:rsidRPr="006E49EE" w:rsidRDefault="00A61FF5" w:rsidP="00980848">
            <w:pPr>
              <w:pStyle w:val="ESTableBody"/>
              <w:jc w:val="right"/>
              <w:rPr>
                <w:lang w:val="en-AU"/>
              </w:rPr>
            </w:pPr>
            <w:r w:rsidRPr="006E49EE">
              <w:rPr>
                <w:lang w:val="en-AU"/>
              </w:rPr>
              <w:t>96.3</w:t>
            </w:r>
          </w:p>
        </w:tc>
        <w:tc>
          <w:tcPr>
            <w:tcW w:w="500" w:type="pct"/>
            <w:shd w:val="clear" w:color="auto" w:fill="auto"/>
          </w:tcPr>
          <w:p w14:paraId="0E39C60C" w14:textId="77777777" w:rsidR="00A61FF5" w:rsidRPr="006E49EE" w:rsidRDefault="00A61FF5" w:rsidP="00980848">
            <w:pPr>
              <w:pStyle w:val="ESTableBody"/>
              <w:jc w:val="right"/>
              <w:rPr>
                <w:lang w:val="en-AU"/>
              </w:rPr>
            </w:pPr>
            <w:r w:rsidRPr="006E49EE">
              <w:rPr>
                <w:lang w:val="en-AU"/>
              </w:rPr>
              <w:t>96.8</w:t>
            </w:r>
          </w:p>
        </w:tc>
        <w:tc>
          <w:tcPr>
            <w:tcW w:w="500" w:type="pct"/>
          </w:tcPr>
          <w:p w14:paraId="596F8044" w14:textId="77777777" w:rsidR="00A61FF5" w:rsidRPr="006E49EE" w:rsidRDefault="00A61FF5" w:rsidP="00980848">
            <w:pPr>
              <w:pStyle w:val="ESTableBody"/>
              <w:jc w:val="right"/>
              <w:rPr>
                <w:lang w:val="en-AU"/>
              </w:rPr>
            </w:pPr>
            <w:r w:rsidRPr="006E49EE">
              <w:rPr>
                <w:lang w:val="en-AU"/>
              </w:rPr>
              <w:t>95.9</w:t>
            </w:r>
          </w:p>
        </w:tc>
      </w:tr>
      <w:tr w:rsidR="00A61FF5" w:rsidRPr="00932A90" w14:paraId="64FBEA54" w14:textId="77777777" w:rsidTr="009A0BAD">
        <w:tc>
          <w:tcPr>
            <w:tcW w:w="500" w:type="pct"/>
            <w:gridSpan w:val="7"/>
            <w:shd w:val="clear" w:color="auto" w:fill="F2F2F2" w:themeFill="background1" w:themeFillShade="F2"/>
          </w:tcPr>
          <w:p w14:paraId="55CE4362" w14:textId="77777777" w:rsidR="00A61FF5" w:rsidRPr="006E49EE" w:rsidRDefault="00A61FF5" w:rsidP="00366F71">
            <w:pPr>
              <w:pStyle w:val="ESTableheading"/>
              <w:rPr>
                <w:lang w:val="en-AU"/>
              </w:rPr>
            </w:pPr>
            <w:r w:rsidRPr="006E49EE">
              <w:rPr>
                <w:lang w:val="en-AU"/>
              </w:rPr>
              <w:t>School education</w:t>
            </w:r>
          </w:p>
        </w:tc>
      </w:tr>
      <w:tr w:rsidR="00A61FF5" w:rsidRPr="00932A90" w14:paraId="19E8CC2B" w14:textId="77777777" w:rsidTr="004576EA">
        <w:tc>
          <w:tcPr>
            <w:tcW w:w="500" w:type="pct"/>
            <w:gridSpan w:val="7"/>
            <w:shd w:val="clear" w:color="auto" w:fill="auto"/>
          </w:tcPr>
          <w:p w14:paraId="2F598FA7" w14:textId="77777777" w:rsidR="00A61FF5" w:rsidRPr="006E49EE" w:rsidRDefault="00A61FF5" w:rsidP="009A0BAD">
            <w:pPr>
              <w:pStyle w:val="ESTableheading"/>
              <w:rPr>
                <w:lang w:val="en-AU"/>
              </w:rPr>
            </w:pPr>
            <w:r w:rsidRPr="006E49EE">
              <w:rPr>
                <w:lang w:val="en-AU"/>
              </w:rPr>
              <w:t>Mean number of student absent days per full-time equivalent (FTE) a year</w:t>
            </w:r>
            <w:bookmarkStart w:id="64" w:name="_Ref393891045"/>
            <w:r w:rsidRPr="006E49EE">
              <w:rPr>
                <w:rStyle w:val="FootnoteReference"/>
                <w:b w:val="0"/>
                <w:lang w:val="en-AU"/>
              </w:rPr>
              <w:footnoteReference w:id="14"/>
            </w:r>
            <w:bookmarkEnd w:id="64"/>
          </w:p>
        </w:tc>
      </w:tr>
      <w:tr w:rsidR="00A61FF5" w:rsidRPr="00932A90" w14:paraId="32D30EA9" w14:textId="77777777" w:rsidTr="004576EA">
        <w:tc>
          <w:tcPr>
            <w:tcW w:w="500" w:type="pct"/>
            <w:gridSpan w:val="7"/>
            <w:shd w:val="clear" w:color="auto" w:fill="auto"/>
          </w:tcPr>
          <w:p w14:paraId="12ED4093" w14:textId="77777777" w:rsidR="00A61FF5" w:rsidRPr="006E49EE" w:rsidRDefault="00A61FF5" w:rsidP="00D07480">
            <w:pPr>
              <w:pStyle w:val="ESTableBody"/>
              <w:rPr>
                <w:lang w:val="en-AU"/>
              </w:rPr>
            </w:pPr>
            <w:r w:rsidRPr="006E49EE">
              <w:rPr>
                <w:lang w:val="en-AU"/>
              </w:rPr>
              <w:t>Mean number of student absent days per FTE a year:</w:t>
            </w:r>
          </w:p>
        </w:tc>
      </w:tr>
      <w:tr w:rsidR="00980848" w:rsidRPr="00932A90" w14:paraId="7F6E5E8D" w14:textId="77777777" w:rsidTr="004576EA">
        <w:tc>
          <w:tcPr>
            <w:tcW w:w="2000" w:type="pct"/>
            <w:shd w:val="clear" w:color="auto" w:fill="auto"/>
          </w:tcPr>
          <w:p w14:paraId="65E63944" w14:textId="77777777" w:rsidR="00A61FF5" w:rsidRPr="006E49EE" w:rsidRDefault="00A61FF5" w:rsidP="00D07480">
            <w:pPr>
              <w:pStyle w:val="ESTableBody"/>
              <w:rPr>
                <w:lang w:val="en-AU"/>
              </w:rPr>
            </w:pPr>
            <w:r w:rsidRPr="006E49EE">
              <w:rPr>
                <w:lang w:val="en-AU"/>
              </w:rPr>
              <w:tab/>
              <w:t>Year 5</w:t>
            </w:r>
          </w:p>
        </w:tc>
        <w:tc>
          <w:tcPr>
            <w:tcW w:w="500" w:type="pct"/>
            <w:shd w:val="clear" w:color="auto" w:fill="auto"/>
          </w:tcPr>
          <w:p w14:paraId="4C2FD7AB"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62719F86" w14:textId="77777777" w:rsidR="00A61FF5" w:rsidRPr="006E49EE" w:rsidRDefault="00A61FF5" w:rsidP="00D07480">
            <w:pPr>
              <w:pStyle w:val="ESTableBody"/>
              <w:jc w:val="right"/>
              <w:rPr>
                <w:lang w:val="en-AU"/>
              </w:rPr>
            </w:pPr>
            <w:r w:rsidRPr="006E49EE">
              <w:rPr>
                <w:lang w:val="en-AU"/>
              </w:rPr>
              <w:t>14.5</w:t>
            </w:r>
          </w:p>
        </w:tc>
        <w:tc>
          <w:tcPr>
            <w:tcW w:w="500" w:type="pct"/>
            <w:shd w:val="clear" w:color="auto" w:fill="auto"/>
          </w:tcPr>
          <w:p w14:paraId="3C01C0CE" w14:textId="77777777" w:rsidR="00A61FF5" w:rsidRPr="006E49EE" w:rsidRDefault="00A61FF5" w:rsidP="00D07480">
            <w:pPr>
              <w:pStyle w:val="ESTableBody"/>
              <w:jc w:val="right"/>
              <w:rPr>
                <w:lang w:val="en-AU"/>
              </w:rPr>
            </w:pPr>
            <w:r w:rsidRPr="006E49EE">
              <w:rPr>
                <w:lang w:val="en-AU"/>
              </w:rPr>
              <w:t>14.3</w:t>
            </w:r>
          </w:p>
        </w:tc>
        <w:tc>
          <w:tcPr>
            <w:tcW w:w="500" w:type="pct"/>
            <w:shd w:val="clear" w:color="auto" w:fill="auto"/>
          </w:tcPr>
          <w:p w14:paraId="2A4E729B" w14:textId="77777777" w:rsidR="00A61FF5" w:rsidRPr="006E49EE" w:rsidRDefault="00A61FF5" w:rsidP="00D07480">
            <w:pPr>
              <w:pStyle w:val="ESTableBody"/>
              <w:jc w:val="right"/>
              <w:rPr>
                <w:lang w:val="en-AU"/>
              </w:rPr>
            </w:pPr>
            <w:r w:rsidRPr="006E49EE">
              <w:rPr>
                <w:lang w:val="en-AU"/>
              </w:rPr>
              <w:t>14.1</w:t>
            </w:r>
          </w:p>
        </w:tc>
        <w:tc>
          <w:tcPr>
            <w:tcW w:w="500" w:type="pct"/>
            <w:shd w:val="clear" w:color="auto" w:fill="auto"/>
          </w:tcPr>
          <w:p w14:paraId="1E8F80FF" w14:textId="77777777" w:rsidR="00A61FF5" w:rsidRPr="006E49EE" w:rsidRDefault="00A61FF5" w:rsidP="00D07480">
            <w:pPr>
              <w:pStyle w:val="ESTableBody"/>
              <w:jc w:val="right"/>
              <w:rPr>
                <w:lang w:val="en-AU"/>
              </w:rPr>
            </w:pPr>
            <w:r w:rsidRPr="006E49EE">
              <w:rPr>
                <w:lang w:val="en-AU"/>
              </w:rPr>
              <w:t>14.4</w:t>
            </w:r>
          </w:p>
        </w:tc>
        <w:tc>
          <w:tcPr>
            <w:tcW w:w="500" w:type="pct"/>
          </w:tcPr>
          <w:p w14:paraId="02548491" w14:textId="77777777" w:rsidR="00A61FF5" w:rsidRPr="006E49EE" w:rsidRDefault="00A61FF5" w:rsidP="00D07480">
            <w:pPr>
              <w:pStyle w:val="ESTableBody"/>
              <w:jc w:val="right"/>
              <w:rPr>
                <w:lang w:val="en-AU"/>
              </w:rPr>
            </w:pPr>
            <w:r w:rsidRPr="006E49EE">
              <w:rPr>
                <w:lang w:val="en-AU"/>
              </w:rPr>
              <w:t>15.1</w:t>
            </w:r>
          </w:p>
        </w:tc>
      </w:tr>
      <w:tr w:rsidR="00980848" w:rsidRPr="00932A90" w14:paraId="14D4F887" w14:textId="77777777" w:rsidTr="004576EA">
        <w:tc>
          <w:tcPr>
            <w:tcW w:w="2000" w:type="pct"/>
            <w:shd w:val="clear" w:color="auto" w:fill="auto"/>
          </w:tcPr>
          <w:p w14:paraId="482E4A0D" w14:textId="77777777" w:rsidR="00A61FF5" w:rsidRPr="006E49EE" w:rsidRDefault="00A61FF5" w:rsidP="00D07480">
            <w:pPr>
              <w:pStyle w:val="ESTableBody"/>
              <w:rPr>
                <w:lang w:val="en-AU"/>
              </w:rPr>
            </w:pPr>
            <w:r w:rsidRPr="006E49EE">
              <w:rPr>
                <w:lang w:val="en-AU"/>
              </w:rPr>
              <w:tab/>
              <w:t>Year 6</w:t>
            </w:r>
          </w:p>
        </w:tc>
        <w:tc>
          <w:tcPr>
            <w:tcW w:w="500" w:type="pct"/>
            <w:shd w:val="clear" w:color="auto" w:fill="auto"/>
          </w:tcPr>
          <w:p w14:paraId="32DBA4D2"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2F4EECCC" w14:textId="77777777" w:rsidR="00A61FF5" w:rsidRPr="006E49EE" w:rsidRDefault="00A61FF5" w:rsidP="00D07480">
            <w:pPr>
              <w:pStyle w:val="ESTableBody"/>
              <w:jc w:val="right"/>
              <w:rPr>
                <w:lang w:val="en-AU"/>
              </w:rPr>
            </w:pPr>
            <w:r w:rsidRPr="006E49EE">
              <w:rPr>
                <w:lang w:val="en-AU"/>
              </w:rPr>
              <w:t>14.7</w:t>
            </w:r>
          </w:p>
        </w:tc>
        <w:tc>
          <w:tcPr>
            <w:tcW w:w="500" w:type="pct"/>
            <w:shd w:val="clear" w:color="auto" w:fill="auto"/>
          </w:tcPr>
          <w:p w14:paraId="01DF2627" w14:textId="77777777" w:rsidR="00A61FF5" w:rsidRPr="006E49EE" w:rsidRDefault="00A61FF5" w:rsidP="00D07480">
            <w:pPr>
              <w:pStyle w:val="ESTableBody"/>
              <w:jc w:val="right"/>
              <w:rPr>
                <w:lang w:val="en-AU"/>
              </w:rPr>
            </w:pPr>
            <w:r w:rsidRPr="006E49EE">
              <w:rPr>
                <w:lang w:val="en-AU"/>
              </w:rPr>
              <w:t>14.8</w:t>
            </w:r>
          </w:p>
        </w:tc>
        <w:tc>
          <w:tcPr>
            <w:tcW w:w="500" w:type="pct"/>
            <w:shd w:val="clear" w:color="auto" w:fill="auto"/>
          </w:tcPr>
          <w:p w14:paraId="68C76A0D" w14:textId="77777777" w:rsidR="00A61FF5" w:rsidRPr="006E49EE" w:rsidRDefault="00A61FF5" w:rsidP="00D07480">
            <w:pPr>
              <w:pStyle w:val="ESTableBody"/>
              <w:jc w:val="right"/>
              <w:rPr>
                <w:lang w:val="en-AU"/>
              </w:rPr>
            </w:pPr>
            <w:r w:rsidRPr="006E49EE">
              <w:rPr>
                <w:lang w:val="en-AU"/>
              </w:rPr>
              <w:t>14.6</w:t>
            </w:r>
          </w:p>
        </w:tc>
        <w:tc>
          <w:tcPr>
            <w:tcW w:w="500" w:type="pct"/>
            <w:shd w:val="clear" w:color="auto" w:fill="auto"/>
          </w:tcPr>
          <w:p w14:paraId="453C644B" w14:textId="77777777" w:rsidR="00A61FF5" w:rsidRPr="006E49EE" w:rsidRDefault="00A61FF5" w:rsidP="00D07480">
            <w:pPr>
              <w:pStyle w:val="ESTableBody"/>
              <w:jc w:val="right"/>
              <w:rPr>
                <w:lang w:val="en-AU"/>
              </w:rPr>
            </w:pPr>
            <w:r w:rsidRPr="006E49EE">
              <w:rPr>
                <w:lang w:val="en-AU"/>
              </w:rPr>
              <w:t>15.1</w:t>
            </w:r>
          </w:p>
        </w:tc>
        <w:tc>
          <w:tcPr>
            <w:tcW w:w="500" w:type="pct"/>
          </w:tcPr>
          <w:p w14:paraId="38E06D7C" w14:textId="77777777" w:rsidR="00A61FF5" w:rsidRPr="006E49EE" w:rsidRDefault="00A61FF5" w:rsidP="00D07480">
            <w:pPr>
              <w:pStyle w:val="ESTableBody"/>
              <w:jc w:val="right"/>
              <w:rPr>
                <w:lang w:val="en-AU"/>
              </w:rPr>
            </w:pPr>
            <w:r w:rsidRPr="006E49EE">
              <w:rPr>
                <w:lang w:val="en-AU"/>
              </w:rPr>
              <w:t>15.6</w:t>
            </w:r>
          </w:p>
        </w:tc>
      </w:tr>
      <w:tr w:rsidR="00980848" w:rsidRPr="00932A90" w14:paraId="05D41501" w14:textId="77777777" w:rsidTr="004576EA">
        <w:tc>
          <w:tcPr>
            <w:tcW w:w="2000" w:type="pct"/>
            <w:shd w:val="clear" w:color="auto" w:fill="auto"/>
          </w:tcPr>
          <w:p w14:paraId="494F1BA6" w14:textId="77777777" w:rsidR="00A61FF5" w:rsidRPr="006E49EE" w:rsidRDefault="00A61FF5" w:rsidP="00D07480">
            <w:pPr>
              <w:pStyle w:val="ESTableBody"/>
              <w:rPr>
                <w:lang w:val="en-AU"/>
              </w:rPr>
            </w:pPr>
            <w:r w:rsidRPr="006E49EE">
              <w:rPr>
                <w:lang w:val="en-AU"/>
              </w:rPr>
              <w:tab/>
              <w:t>Years 7–10</w:t>
            </w:r>
          </w:p>
        </w:tc>
        <w:tc>
          <w:tcPr>
            <w:tcW w:w="500" w:type="pct"/>
            <w:shd w:val="clear" w:color="auto" w:fill="auto"/>
          </w:tcPr>
          <w:p w14:paraId="7AE48984"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2C7C8178" w14:textId="77777777" w:rsidR="00A61FF5" w:rsidRPr="006E49EE" w:rsidRDefault="00A61FF5" w:rsidP="00D07480">
            <w:pPr>
              <w:pStyle w:val="ESTableBody"/>
              <w:jc w:val="right"/>
              <w:rPr>
                <w:lang w:val="en-AU"/>
              </w:rPr>
            </w:pPr>
            <w:r w:rsidRPr="006E49EE">
              <w:rPr>
                <w:lang w:val="en-AU"/>
              </w:rPr>
              <w:t>19.7</w:t>
            </w:r>
          </w:p>
        </w:tc>
        <w:tc>
          <w:tcPr>
            <w:tcW w:w="500" w:type="pct"/>
            <w:shd w:val="clear" w:color="auto" w:fill="auto"/>
          </w:tcPr>
          <w:p w14:paraId="3F7F9D74" w14:textId="77777777" w:rsidR="00A61FF5" w:rsidRPr="006E49EE" w:rsidRDefault="00A61FF5" w:rsidP="00D07480">
            <w:pPr>
              <w:pStyle w:val="ESTableBody"/>
              <w:jc w:val="right"/>
              <w:rPr>
                <w:lang w:val="en-AU"/>
              </w:rPr>
            </w:pPr>
            <w:r w:rsidRPr="006E49EE">
              <w:rPr>
                <w:lang w:val="en-AU"/>
              </w:rPr>
              <w:t>19.3</w:t>
            </w:r>
          </w:p>
        </w:tc>
        <w:tc>
          <w:tcPr>
            <w:tcW w:w="500" w:type="pct"/>
            <w:shd w:val="clear" w:color="auto" w:fill="auto"/>
          </w:tcPr>
          <w:p w14:paraId="1DC84236" w14:textId="77777777" w:rsidR="00A61FF5" w:rsidRPr="006E49EE" w:rsidRDefault="00A61FF5" w:rsidP="00D07480">
            <w:pPr>
              <w:pStyle w:val="ESTableBody"/>
              <w:jc w:val="right"/>
              <w:rPr>
                <w:lang w:val="en-AU"/>
              </w:rPr>
            </w:pPr>
            <w:r w:rsidRPr="006E49EE">
              <w:rPr>
                <w:lang w:val="en-AU"/>
              </w:rPr>
              <w:t>19.5</w:t>
            </w:r>
          </w:p>
        </w:tc>
        <w:tc>
          <w:tcPr>
            <w:tcW w:w="500" w:type="pct"/>
            <w:shd w:val="clear" w:color="auto" w:fill="auto"/>
          </w:tcPr>
          <w:p w14:paraId="26A0C7A4" w14:textId="77777777" w:rsidR="00A61FF5" w:rsidRPr="006E49EE" w:rsidRDefault="00A61FF5" w:rsidP="00D07480">
            <w:pPr>
              <w:pStyle w:val="ESTableBody"/>
              <w:jc w:val="right"/>
              <w:rPr>
                <w:lang w:val="en-AU"/>
              </w:rPr>
            </w:pPr>
            <w:r w:rsidRPr="006E49EE">
              <w:rPr>
                <w:lang w:val="en-AU"/>
              </w:rPr>
              <w:t>19.3</w:t>
            </w:r>
          </w:p>
        </w:tc>
        <w:tc>
          <w:tcPr>
            <w:tcW w:w="500" w:type="pct"/>
          </w:tcPr>
          <w:p w14:paraId="0117B6FF" w14:textId="77777777" w:rsidR="00A61FF5" w:rsidRPr="006E49EE" w:rsidRDefault="00A61FF5" w:rsidP="00D07480">
            <w:pPr>
              <w:pStyle w:val="ESTableBody"/>
              <w:jc w:val="right"/>
              <w:rPr>
                <w:lang w:val="en-AU"/>
              </w:rPr>
            </w:pPr>
            <w:r w:rsidRPr="006E49EE">
              <w:rPr>
                <w:lang w:val="en-AU"/>
              </w:rPr>
              <w:t>19.7</w:t>
            </w:r>
          </w:p>
        </w:tc>
      </w:tr>
      <w:tr w:rsidR="00980848" w:rsidRPr="00932A90" w14:paraId="1C0EA326" w14:textId="77777777" w:rsidTr="004576EA">
        <w:tc>
          <w:tcPr>
            <w:tcW w:w="2000" w:type="pct"/>
            <w:shd w:val="clear" w:color="auto" w:fill="auto"/>
          </w:tcPr>
          <w:p w14:paraId="34367BF7" w14:textId="77777777" w:rsidR="00A61FF5" w:rsidRPr="006E49EE" w:rsidRDefault="00A61FF5" w:rsidP="00D07480">
            <w:pPr>
              <w:pStyle w:val="ESTableBody"/>
              <w:rPr>
                <w:lang w:val="en-AU"/>
              </w:rPr>
            </w:pPr>
            <w:r w:rsidRPr="006E49EE">
              <w:rPr>
                <w:lang w:val="en-AU"/>
              </w:rPr>
              <w:tab/>
              <w:t>Years 11–12</w:t>
            </w:r>
          </w:p>
        </w:tc>
        <w:tc>
          <w:tcPr>
            <w:tcW w:w="500" w:type="pct"/>
            <w:shd w:val="clear" w:color="auto" w:fill="auto"/>
          </w:tcPr>
          <w:p w14:paraId="293E8556"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5E8DFD2F" w14:textId="77777777" w:rsidR="00A61FF5" w:rsidRPr="006E49EE" w:rsidRDefault="00A61FF5" w:rsidP="00D07480">
            <w:pPr>
              <w:pStyle w:val="ESTableBody"/>
              <w:jc w:val="right"/>
              <w:rPr>
                <w:lang w:val="en-AU"/>
              </w:rPr>
            </w:pPr>
            <w:r w:rsidRPr="006E49EE">
              <w:rPr>
                <w:lang w:val="en-AU"/>
              </w:rPr>
              <w:t>14.9</w:t>
            </w:r>
          </w:p>
        </w:tc>
        <w:tc>
          <w:tcPr>
            <w:tcW w:w="500" w:type="pct"/>
            <w:shd w:val="clear" w:color="auto" w:fill="auto"/>
          </w:tcPr>
          <w:p w14:paraId="0836DA78" w14:textId="77777777" w:rsidR="00A61FF5" w:rsidRPr="006E49EE" w:rsidRDefault="00A61FF5" w:rsidP="00D07480">
            <w:pPr>
              <w:pStyle w:val="ESTableBody"/>
              <w:jc w:val="right"/>
              <w:rPr>
                <w:lang w:val="en-AU"/>
              </w:rPr>
            </w:pPr>
            <w:r w:rsidRPr="006E49EE">
              <w:rPr>
                <w:lang w:val="en-AU"/>
              </w:rPr>
              <w:t>15.4</w:t>
            </w:r>
          </w:p>
        </w:tc>
        <w:tc>
          <w:tcPr>
            <w:tcW w:w="500" w:type="pct"/>
            <w:shd w:val="clear" w:color="auto" w:fill="auto"/>
          </w:tcPr>
          <w:p w14:paraId="3B67D60E" w14:textId="77777777" w:rsidR="00A61FF5" w:rsidRPr="006E49EE" w:rsidRDefault="00A61FF5" w:rsidP="00D07480">
            <w:pPr>
              <w:pStyle w:val="ESTableBody"/>
              <w:jc w:val="right"/>
              <w:rPr>
                <w:lang w:val="en-AU"/>
              </w:rPr>
            </w:pPr>
            <w:r w:rsidRPr="006E49EE">
              <w:rPr>
                <w:lang w:val="en-AU"/>
              </w:rPr>
              <w:t>16.0</w:t>
            </w:r>
          </w:p>
        </w:tc>
        <w:tc>
          <w:tcPr>
            <w:tcW w:w="500" w:type="pct"/>
            <w:shd w:val="clear" w:color="auto" w:fill="auto"/>
          </w:tcPr>
          <w:p w14:paraId="198BB439" w14:textId="77777777" w:rsidR="00A61FF5" w:rsidRPr="006E49EE" w:rsidRDefault="00A61FF5" w:rsidP="00D07480">
            <w:pPr>
              <w:pStyle w:val="ESTableBody"/>
              <w:jc w:val="right"/>
              <w:rPr>
                <w:lang w:val="en-AU"/>
              </w:rPr>
            </w:pPr>
            <w:r w:rsidRPr="006E49EE">
              <w:rPr>
                <w:lang w:val="en-AU"/>
              </w:rPr>
              <w:t>16.8</w:t>
            </w:r>
          </w:p>
        </w:tc>
        <w:tc>
          <w:tcPr>
            <w:tcW w:w="500" w:type="pct"/>
          </w:tcPr>
          <w:p w14:paraId="1F8DC015" w14:textId="77777777" w:rsidR="00A61FF5" w:rsidRPr="006E49EE" w:rsidRDefault="00A61FF5" w:rsidP="00D07480">
            <w:pPr>
              <w:pStyle w:val="ESTableBody"/>
              <w:jc w:val="right"/>
              <w:rPr>
                <w:lang w:val="en-AU"/>
              </w:rPr>
            </w:pPr>
            <w:r w:rsidRPr="006E49EE">
              <w:rPr>
                <w:lang w:val="en-AU"/>
              </w:rPr>
              <w:t>16.6</w:t>
            </w:r>
          </w:p>
        </w:tc>
      </w:tr>
      <w:tr w:rsidR="00A61FF5" w:rsidRPr="00932A90" w14:paraId="1F541F6D" w14:textId="77777777" w:rsidTr="004576EA">
        <w:tc>
          <w:tcPr>
            <w:tcW w:w="500" w:type="pct"/>
            <w:gridSpan w:val="7"/>
            <w:shd w:val="clear" w:color="auto" w:fill="auto"/>
          </w:tcPr>
          <w:p w14:paraId="7895A126" w14:textId="77777777" w:rsidR="00A61FF5" w:rsidRPr="006E49EE" w:rsidRDefault="00A61FF5" w:rsidP="009A0BAD">
            <w:pPr>
              <w:pStyle w:val="ESTableheading"/>
              <w:rPr>
                <w:lang w:val="en-AU"/>
              </w:rPr>
            </w:pPr>
            <w:r w:rsidRPr="006E49EE">
              <w:rPr>
                <w:lang w:val="en-AU"/>
              </w:rPr>
              <w:t>Mean number of unapproved student absence days per FTE per year in secondary schools</w:t>
            </w:r>
          </w:p>
        </w:tc>
      </w:tr>
      <w:tr w:rsidR="00A61FF5" w:rsidRPr="00932A90" w14:paraId="4E76F681" w14:textId="77777777" w:rsidTr="004576EA">
        <w:tc>
          <w:tcPr>
            <w:tcW w:w="500" w:type="pct"/>
            <w:gridSpan w:val="7"/>
            <w:shd w:val="clear" w:color="auto" w:fill="auto"/>
          </w:tcPr>
          <w:p w14:paraId="79464C5F" w14:textId="77777777" w:rsidR="00A61FF5" w:rsidRPr="006E49EE" w:rsidRDefault="00A61FF5" w:rsidP="00D07480">
            <w:pPr>
              <w:pStyle w:val="ESTableBody"/>
              <w:rPr>
                <w:lang w:val="en-AU"/>
              </w:rPr>
            </w:pPr>
            <w:r w:rsidRPr="006E49EE">
              <w:rPr>
                <w:lang w:val="en-AU"/>
              </w:rPr>
              <w:t>Mean number of unapproved student absence days per FTE per year</w:t>
            </w:r>
          </w:p>
          <w:p w14:paraId="18ECC60F" w14:textId="77777777" w:rsidR="00A61FF5" w:rsidRPr="006E49EE" w:rsidRDefault="00A61FF5" w:rsidP="00D07480">
            <w:pPr>
              <w:pStyle w:val="ESTableBody"/>
              <w:rPr>
                <w:sz w:val="19"/>
                <w:lang w:val="en-AU"/>
              </w:rPr>
            </w:pPr>
            <w:r w:rsidRPr="006E49EE">
              <w:rPr>
                <w:lang w:val="en-AU"/>
              </w:rPr>
              <w:t>in secondary schools</w:t>
            </w:r>
            <w:r w:rsidRPr="006E49EE">
              <w:rPr>
                <w:rStyle w:val="FootnoteReference"/>
                <w:lang w:val="en-AU"/>
              </w:rPr>
              <w:footnoteReference w:id="15"/>
            </w:r>
          </w:p>
        </w:tc>
      </w:tr>
      <w:tr w:rsidR="00980848" w:rsidRPr="00932A90" w14:paraId="65CA0773" w14:textId="77777777" w:rsidTr="004576EA">
        <w:tc>
          <w:tcPr>
            <w:tcW w:w="2000" w:type="pct"/>
            <w:shd w:val="clear" w:color="auto" w:fill="auto"/>
          </w:tcPr>
          <w:p w14:paraId="44DB9086" w14:textId="77777777" w:rsidR="00A61FF5" w:rsidRPr="006E49EE" w:rsidRDefault="00A61FF5" w:rsidP="00D07480">
            <w:pPr>
              <w:pStyle w:val="ESTableBody"/>
              <w:rPr>
                <w:lang w:val="en-AU"/>
              </w:rPr>
            </w:pPr>
            <w:r w:rsidRPr="006E49EE">
              <w:rPr>
                <w:lang w:val="en-AU"/>
              </w:rPr>
              <w:tab/>
              <w:t>Year 7–12</w:t>
            </w:r>
          </w:p>
        </w:tc>
        <w:tc>
          <w:tcPr>
            <w:tcW w:w="500" w:type="pct"/>
            <w:shd w:val="clear" w:color="auto" w:fill="auto"/>
          </w:tcPr>
          <w:p w14:paraId="36444078"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736A029F" w14:textId="77777777" w:rsidR="00A61FF5" w:rsidRPr="006E49EE" w:rsidRDefault="00A61FF5" w:rsidP="00D07480">
            <w:pPr>
              <w:pStyle w:val="ESTableBody"/>
              <w:jc w:val="right"/>
              <w:rPr>
                <w:lang w:val="en-AU"/>
              </w:rPr>
            </w:pPr>
            <w:r w:rsidRPr="006E49EE">
              <w:rPr>
                <w:lang w:val="en-AU"/>
              </w:rPr>
              <w:t>7.7</w:t>
            </w:r>
          </w:p>
        </w:tc>
        <w:tc>
          <w:tcPr>
            <w:tcW w:w="500" w:type="pct"/>
            <w:shd w:val="clear" w:color="auto" w:fill="auto"/>
          </w:tcPr>
          <w:p w14:paraId="44F39575" w14:textId="77777777" w:rsidR="00A61FF5" w:rsidRPr="006E49EE" w:rsidRDefault="00A61FF5" w:rsidP="00D07480">
            <w:pPr>
              <w:pStyle w:val="ESTableBody"/>
              <w:jc w:val="right"/>
              <w:rPr>
                <w:lang w:val="en-AU"/>
              </w:rPr>
            </w:pPr>
            <w:r w:rsidRPr="006E49EE">
              <w:rPr>
                <w:lang w:val="en-AU"/>
              </w:rPr>
              <w:t>8.1</w:t>
            </w:r>
          </w:p>
        </w:tc>
        <w:tc>
          <w:tcPr>
            <w:tcW w:w="500" w:type="pct"/>
            <w:shd w:val="clear" w:color="auto" w:fill="auto"/>
          </w:tcPr>
          <w:p w14:paraId="4FB9818B" w14:textId="77777777" w:rsidR="00A61FF5" w:rsidRPr="006E49EE" w:rsidRDefault="00A61FF5" w:rsidP="00D07480">
            <w:pPr>
              <w:pStyle w:val="ESTableBody"/>
              <w:jc w:val="right"/>
              <w:rPr>
                <w:lang w:val="en-AU"/>
              </w:rPr>
            </w:pPr>
            <w:r w:rsidRPr="006E49EE">
              <w:rPr>
                <w:lang w:val="en-AU"/>
              </w:rPr>
              <w:t>7.7</w:t>
            </w:r>
          </w:p>
        </w:tc>
        <w:tc>
          <w:tcPr>
            <w:tcW w:w="500" w:type="pct"/>
            <w:shd w:val="clear" w:color="auto" w:fill="auto"/>
          </w:tcPr>
          <w:p w14:paraId="1AAB9BBF" w14:textId="77777777" w:rsidR="00A61FF5" w:rsidRPr="006E49EE" w:rsidRDefault="00A61FF5" w:rsidP="00D07480">
            <w:pPr>
              <w:pStyle w:val="ESTableBody"/>
              <w:jc w:val="right"/>
              <w:rPr>
                <w:lang w:val="en-AU"/>
              </w:rPr>
            </w:pPr>
            <w:r w:rsidRPr="006E49EE">
              <w:rPr>
                <w:lang w:val="en-AU"/>
              </w:rPr>
              <w:t>7.9</w:t>
            </w:r>
          </w:p>
        </w:tc>
        <w:tc>
          <w:tcPr>
            <w:tcW w:w="500" w:type="pct"/>
          </w:tcPr>
          <w:p w14:paraId="4482B797" w14:textId="77777777" w:rsidR="00A61FF5" w:rsidRPr="006E49EE" w:rsidRDefault="00A61FF5" w:rsidP="00D07480">
            <w:pPr>
              <w:pStyle w:val="ESTableBody"/>
              <w:jc w:val="right"/>
              <w:rPr>
                <w:lang w:val="en-AU"/>
              </w:rPr>
            </w:pPr>
            <w:r w:rsidRPr="006E49EE">
              <w:rPr>
                <w:lang w:val="en-AU"/>
              </w:rPr>
              <w:t>8.0</w:t>
            </w:r>
          </w:p>
        </w:tc>
      </w:tr>
      <w:tr w:rsidR="00A61FF5" w:rsidRPr="00932A90" w14:paraId="3CC8E7B8" w14:textId="77777777" w:rsidTr="004576EA">
        <w:tc>
          <w:tcPr>
            <w:tcW w:w="500" w:type="pct"/>
            <w:gridSpan w:val="7"/>
            <w:shd w:val="clear" w:color="auto" w:fill="auto"/>
          </w:tcPr>
          <w:p w14:paraId="128CC0B0" w14:textId="77777777" w:rsidR="00A61FF5" w:rsidRPr="006E49EE" w:rsidRDefault="00A61FF5" w:rsidP="009A0BAD">
            <w:pPr>
              <w:pStyle w:val="ESTableheading"/>
              <w:rPr>
                <w:lang w:val="en-AU"/>
              </w:rPr>
            </w:pPr>
            <w:r w:rsidRPr="006E49EE">
              <w:rPr>
                <w:lang w:val="en-AU"/>
              </w:rPr>
              <w:t>Students with a positive opinion about their school providing a stimulating learning environment</w:t>
            </w:r>
            <w:r w:rsidRPr="006E49EE">
              <w:rPr>
                <w:rStyle w:val="FootnoteReference"/>
                <w:b w:val="0"/>
                <w:lang w:val="en-AU"/>
              </w:rPr>
              <w:footnoteReference w:id="16"/>
            </w:r>
            <w:r w:rsidRPr="006E49EE">
              <w:rPr>
                <w:rStyle w:val="FootnoteReference"/>
                <w:lang w:val="en-AU"/>
              </w:rPr>
              <w:t xml:space="preserve"> </w:t>
            </w:r>
          </w:p>
        </w:tc>
      </w:tr>
      <w:tr w:rsidR="00A61FF5" w:rsidRPr="00932A90" w14:paraId="5E37E578" w14:textId="77777777" w:rsidTr="004576EA">
        <w:tc>
          <w:tcPr>
            <w:tcW w:w="500" w:type="pct"/>
            <w:gridSpan w:val="7"/>
            <w:shd w:val="clear" w:color="auto" w:fill="auto"/>
          </w:tcPr>
          <w:p w14:paraId="026E5823" w14:textId="77777777" w:rsidR="00A61FF5" w:rsidRPr="006E49EE" w:rsidRDefault="00A61FF5" w:rsidP="00D07480">
            <w:pPr>
              <w:pStyle w:val="ESTableBody"/>
              <w:rPr>
                <w:lang w:val="en-AU"/>
              </w:rPr>
            </w:pPr>
            <w:r w:rsidRPr="006E49EE">
              <w:rPr>
                <w:lang w:val="en-AU"/>
              </w:rPr>
              <w:t>Proportion of students who agree or strongly agree that their school provides a stimulating learning environment:</w:t>
            </w:r>
          </w:p>
        </w:tc>
      </w:tr>
      <w:tr w:rsidR="00980848" w:rsidRPr="00932A90" w14:paraId="51DD4765" w14:textId="77777777" w:rsidTr="004576EA">
        <w:tc>
          <w:tcPr>
            <w:tcW w:w="2000" w:type="pct"/>
            <w:shd w:val="clear" w:color="auto" w:fill="auto"/>
          </w:tcPr>
          <w:p w14:paraId="216B13A0" w14:textId="77777777" w:rsidR="00A61FF5" w:rsidRPr="006E49EE" w:rsidRDefault="00A61FF5" w:rsidP="00D07480">
            <w:pPr>
              <w:pStyle w:val="ESTableBody"/>
              <w:rPr>
                <w:lang w:val="en-AU"/>
              </w:rPr>
            </w:pPr>
            <w:r w:rsidRPr="006E49EE">
              <w:rPr>
                <w:lang w:val="en-AU"/>
              </w:rPr>
              <w:tab/>
              <w:t>Years 5–6</w:t>
            </w:r>
          </w:p>
        </w:tc>
        <w:tc>
          <w:tcPr>
            <w:tcW w:w="500" w:type="pct"/>
            <w:shd w:val="clear" w:color="auto" w:fill="auto"/>
          </w:tcPr>
          <w:p w14:paraId="23DCA23D"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6248D214" w14:textId="77777777" w:rsidR="00A61FF5" w:rsidRPr="006E49EE" w:rsidRDefault="00A61FF5" w:rsidP="00D07480">
            <w:pPr>
              <w:pStyle w:val="ESTableBody"/>
              <w:jc w:val="right"/>
              <w:rPr>
                <w:lang w:val="en-AU"/>
              </w:rPr>
            </w:pPr>
            <w:r w:rsidRPr="006E49EE">
              <w:rPr>
                <w:lang w:val="en-AU"/>
              </w:rPr>
              <w:t>62.7</w:t>
            </w:r>
          </w:p>
        </w:tc>
        <w:tc>
          <w:tcPr>
            <w:tcW w:w="500" w:type="pct"/>
            <w:shd w:val="clear" w:color="auto" w:fill="auto"/>
          </w:tcPr>
          <w:p w14:paraId="1EB033E4" w14:textId="77777777" w:rsidR="00A61FF5" w:rsidRPr="006E49EE" w:rsidRDefault="00A61FF5" w:rsidP="00D07480">
            <w:pPr>
              <w:pStyle w:val="ESTableBody"/>
              <w:jc w:val="right"/>
              <w:rPr>
                <w:lang w:val="en-AU"/>
              </w:rPr>
            </w:pPr>
            <w:r w:rsidRPr="006E49EE">
              <w:rPr>
                <w:lang w:val="en-AU"/>
              </w:rPr>
              <w:t>63.4</w:t>
            </w:r>
          </w:p>
        </w:tc>
        <w:tc>
          <w:tcPr>
            <w:tcW w:w="500" w:type="pct"/>
            <w:shd w:val="clear" w:color="auto" w:fill="auto"/>
          </w:tcPr>
          <w:p w14:paraId="68C37782" w14:textId="77777777" w:rsidR="00A61FF5" w:rsidRPr="006E49EE" w:rsidRDefault="00A61FF5" w:rsidP="00D07480">
            <w:pPr>
              <w:pStyle w:val="ESTableBody"/>
              <w:jc w:val="right"/>
              <w:rPr>
                <w:lang w:val="en-AU"/>
              </w:rPr>
            </w:pPr>
            <w:r w:rsidRPr="006E49EE">
              <w:rPr>
                <w:lang w:val="en-AU"/>
              </w:rPr>
              <w:t>63.5</w:t>
            </w:r>
          </w:p>
        </w:tc>
        <w:tc>
          <w:tcPr>
            <w:tcW w:w="500" w:type="pct"/>
            <w:shd w:val="clear" w:color="auto" w:fill="auto"/>
          </w:tcPr>
          <w:p w14:paraId="2DCCB395" w14:textId="77777777" w:rsidR="00A61FF5" w:rsidRPr="006E49EE" w:rsidRDefault="00A61FF5" w:rsidP="00D07480">
            <w:pPr>
              <w:pStyle w:val="ESTableBody"/>
              <w:jc w:val="right"/>
              <w:rPr>
                <w:lang w:val="en-AU"/>
              </w:rPr>
            </w:pPr>
            <w:r w:rsidRPr="006E49EE">
              <w:rPr>
                <w:lang w:val="en-AU"/>
              </w:rPr>
              <w:t>61.1</w:t>
            </w:r>
          </w:p>
        </w:tc>
        <w:tc>
          <w:tcPr>
            <w:tcW w:w="500" w:type="pct"/>
          </w:tcPr>
          <w:p w14:paraId="2112308D" w14:textId="77777777" w:rsidR="00A61FF5" w:rsidRPr="006E49EE" w:rsidRDefault="00A61FF5" w:rsidP="00D07480">
            <w:pPr>
              <w:pStyle w:val="ESTableBody"/>
              <w:jc w:val="right"/>
              <w:rPr>
                <w:lang w:val="en-AU"/>
              </w:rPr>
            </w:pPr>
            <w:r w:rsidRPr="006E49EE">
              <w:rPr>
                <w:lang w:val="en-AU"/>
              </w:rPr>
              <w:t>59.1</w:t>
            </w:r>
          </w:p>
        </w:tc>
      </w:tr>
      <w:tr w:rsidR="00980848" w:rsidRPr="00932A90" w14:paraId="18783198" w14:textId="77777777" w:rsidTr="004576EA">
        <w:tc>
          <w:tcPr>
            <w:tcW w:w="2000" w:type="pct"/>
            <w:shd w:val="clear" w:color="auto" w:fill="auto"/>
          </w:tcPr>
          <w:p w14:paraId="3108D40B" w14:textId="77777777" w:rsidR="00A61FF5" w:rsidRPr="006E49EE" w:rsidRDefault="00A61FF5" w:rsidP="00D07480">
            <w:pPr>
              <w:pStyle w:val="ESTableBody"/>
              <w:rPr>
                <w:lang w:val="en-AU"/>
              </w:rPr>
            </w:pPr>
            <w:r w:rsidRPr="006E49EE">
              <w:rPr>
                <w:lang w:val="en-AU"/>
              </w:rPr>
              <w:tab/>
              <w:t>Years 7–10</w:t>
            </w:r>
          </w:p>
        </w:tc>
        <w:tc>
          <w:tcPr>
            <w:tcW w:w="500" w:type="pct"/>
            <w:shd w:val="clear" w:color="auto" w:fill="auto"/>
          </w:tcPr>
          <w:p w14:paraId="3ABB887B"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476FB265" w14:textId="77777777" w:rsidR="00A61FF5" w:rsidRPr="006E49EE" w:rsidRDefault="00A61FF5" w:rsidP="00D07480">
            <w:pPr>
              <w:pStyle w:val="ESTableBody"/>
              <w:jc w:val="right"/>
              <w:rPr>
                <w:lang w:val="en-AU"/>
              </w:rPr>
            </w:pPr>
            <w:r w:rsidRPr="006E49EE">
              <w:rPr>
                <w:lang w:val="en-AU"/>
              </w:rPr>
              <w:t>21.4</w:t>
            </w:r>
          </w:p>
        </w:tc>
        <w:tc>
          <w:tcPr>
            <w:tcW w:w="500" w:type="pct"/>
            <w:shd w:val="clear" w:color="auto" w:fill="auto"/>
          </w:tcPr>
          <w:p w14:paraId="231BB31F" w14:textId="77777777" w:rsidR="00A61FF5" w:rsidRPr="006E49EE" w:rsidRDefault="00A61FF5" w:rsidP="00D07480">
            <w:pPr>
              <w:pStyle w:val="ESTableBody"/>
              <w:jc w:val="right"/>
              <w:rPr>
                <w:lang w:val="en-AU"/>
              </w:rPr>
            </w:pPr>
            <w:r w:rsidRPr="006E49EE">
              <w:rPr>
                <w:lang w:val="en-AU"/>
              </w:rPr>
              <w:t>21.2</w:t>
            </w:r>
          </w:p>
        </w:tc>
        <w:tc>
          <w:tcPr>
            <w:tcW w:w="500" w:type="pct"/>
            <w:shd w:val="clear" w:color="auto" w:fill="auto"/>
          </w:tcPr>
          <w:p w14:paraId="78B36B59" w14:textId="77777777" w:rsidR="00A61FF5" w:rsidRPr="006E49EE" w:rsidRDefault="00A61FF5" w:rsidP="00D07480">
            <w:pPr>
              <w:pStyle w:val="ESTableBody"/>
              <w:jc w:val="right"/>
              <w:rPr>
                <w:lang w:val="en-AU"/>
              </w:rPr>
            </w:pPr>
            <w:r w:rsidRPr="006E49EE">
              <w:rPr>
                <w:lang w:val="en-AU"/>
              </w:rPr>
              <w:t>21.7</w:t>
            </w:r>
          </w:p>
        </w:tc>
        <w:tc>
          <w:tcPr>
            <w:tcW w:w="500" w:type="pct"/>
            <w:shd w:val="clear" w:color="auto" w:fill="auto"/>
          </w:tcPr>
          <w:p w14:paraId="162A334A" w14:textId="77777777" w:rsidR="00A61FF5" w:rsidRPr="006E49EE" w:rsidRDefault="00A61FF5" w:rsidP="00D07480">
            <w:pPr>
              <w:pStyle w:val="ESTableBody"/>
              <w:jc w:val="right"/>
              <w:rPr>
                <w:lang w:val="en-AU"/>
              </w:rPr>
            </w:pPr>
            <w:r w:rsidRPr="006E49EE">
              <w:rPr>
                <w:lang w:val="en-AU"/>
              </w:rPr>
              <w:t>20.9</w:t>
            </w:r>
          </w:p>
        </w:tc>
        <w:tc>
          <w:tcPr>
            <w:tcW w:w="500" w:type="pct"/>
          </w:tcPr>
          <w:p w14:paraId="6BFE5E65" w14:textId="77777777" w:rsidR="00A61FF5" w:rsidRPr="006E49EE" w:rsidRDefault="00A61FF5" w:rsidP="00D07480">
            <w:pPr>
              <w:pStyle w:val="ESTableBody"/>
              <w:jc w:val="right"/>
              <w:rPr>
                <w:lang w:val="en-AU"/>
              </w:rPr>
            </w:pPr>
            <w:r w:rsidRPr="006E49EE">
              <w:rPr>
                <w:lang w:val="en-AU"/>
              </w:rPr>
              <w:t>20.5</w:t>
            </w:r>
          </w:p>
        </w:tc>
      </w:tr>
      <w:tr w:rsidR="00980848" w:rsidRPr="00932A90" w14:paraId="373A1336" w14:textId="77777777" w:rsidTr="004576EA">
        <w:tc>
          <w:tcPr>
            <w:tcW w:w="2000" w:type="pct"/>
            <w:tcBorders>
              <w:bottom w:val="single" w:sz="4" w:space="0" w:color="auto"/>
            </w:tcBorders>
            <w:shd w:val="clear" w:color="auto" w:fill="auto"/>
          </w:tcPr>
          <w:p w14:paraId="56135315" w14:textId="77777777" w:rsidR="00A61FF5" w:rsidRPr="006E49EE" w:rsidRDefault="00A61FF5" w:rsidP="00D07480">
            <w:pPr>
              <w:pStyle w:val="ESTableBody"/>
              <w:rPr>
                <w:lang w:val="en-AU"/>
              </w:rPr>
            </w:pPr>
            <w:r w:rsidRPr="006E49EE">
              <w:rPr>
                <w:lang w:val="en-AU"/>
              </w:rPr>
              <w:tab/>
              <w:t xml:space="preserve">Years 11–12 </w:t>
            </w:r>
          </w:p>
        </w:tc>
        <w:tc>
          <w:tcPr>
            <w:tcW w:w="500" w:type="pct"/>
            <w:tcBorders>
              <w:bottom w:val="single" w:sz="4" w:space="0" w:color="auto"/>
            </w:tcBorders>
            <w:shd w:val="clear" w:color="auto" w:fill="auto"/>
          </w:tcPr>
          <w:p w14:paraId="3E6735AE" w14:textId="77777777" w:rsidR="00A61FF5" w:rsidRPr="006E49EE" w:rsidRDefault="00A61FF5" w:rsidP="00D07480">
            <w:pPr>
              <w:pStyle w:val="ESTableBody"/>
              <w:jc w:val="right"/>
              <w:rPr>
                <w:lang w:val="en-AU"/>
              </w:rPr>
            </w:pPr>
            <w:r w:rsidRPr="006E49EE">
              <w:rPr>
                <w:lang w:val="en-AU"/>
              </w:rPr>
              <w:t>per cent</w:t>
            </w:r>
          </w:p>
        </w:tc>
        <w:tc>
          <w:tcPr>
            <w:tcW w:w="500" w:type="pct"/>
            <w:tcBorders>
              <w:bottom w:val="single" w:sz="4" w:space="0" w:color="auto"/>
            </w:tcBorders>
            <w:shd w:val="clear" w:color="auto" w:fill="auto"/>
          </w:tcPr>
          <w:p w14:paraId="18832104" w14:textId="77777777" w:rsidR="00A61FF5" w:rsidRPr="006E49EE" w:rsidRDefault="00A61FF5" w:rsidP="00D07480">
            <w:pPr>
              <w:pStyle w:val="ESTableBody"/>
              <w:jc w:val="right"/>
              <w:rPr>
                <w:lang w:val="en-AU"/>
              </w:rPr>
            </w:pPr>
            <w:r w:rsidRPr="006E49EE">
              <w:rPr>
                <w:lang w:val="en-AU"/>
              </w:rPr>
              <w:t>20.3</w:t>
            </w:r>
          </w:p>
        </w:tc>
        <w:tc>
          <w:tcPr>
            <w:tcW w:w="500" w:type="pct"/>
            <w:tcBorders>
              <w:bottom w:val="single" w:sz="4" w:space="0" w:color="auto"/>
            </w:tcBorders>
            <w:shd w:val="clear" w:color="auto" w:fill="auto"/>
          </w:tcPr>
          <w:p w14:paraId="799650E5" w14:textId="77777777" w:rsidR="00A61FF5" w:rsidRPr="006E49EE" w:rsidRDefault="00A61FF5" w:rsidP="00D07480">
            <w:pPr>
              <w:pStyle w:val="ESTableBody"/>
              <w:jc w:val="right"/>
              <w:rPr>
                <w:lang w:val="en-AU"/>
              </w:rPr>
            </w:pPr>
            <w:r w:rsidRPr="006E49EE">
              <w:rPr>
                <w:lang w:val="en-AU"/>
              </w:rPr>
              <w:t>21.1</w:t>
            </w:r>
          </w:p>
        </w:tc>
        <w:tc>
          <w:tcPr>
            <w:tcW w:w="500" w:type="pct"/>
            <w:tcBorders>
              <w:bottom w:val="single" w:sz="4" w:space="0" w:color="auto"/>
            </w:tcBorders>
            <w:shd w:val="clear" w:color="auto" w:fill="auto"/>
          </w:tcPr>
          <w:p w14:paraId="16AA551C" w14:textId="77777777" w:rsidR="00A61FF5" w:rsidRPr="006E49EE" w:rsidRDefault="00A61FF5" w:rsidP="00D07480">
            <w:pPr>
              <w:pStyle w:val="ESTableBody"/>
              <w:jc w:val="right"/>
              <w:rPr>
                <w:lang w:val="en-AU"/>
              </w:rPr>
            </w:pPr>
            <w:r w:rsidRPr="006E49EE">
              <w:rPr>
                <w:lang w:val="en-AU"/>
              </w:rPr>
              <w:t>20.0</w:t>
            </w:r>
          </w:p>
        </w:tc>
        <w:tc>
          <w:tcPr>
            <w:tcW w:w="500" w:type="pct"/>
            <w:tcBorders>
              <w:bottom w:val="single" w:sz="4" w:space="0" w:color="auto"/>
            </w:tcBorders>
            <w:shd w:val="clear" w:color="auto" w:fill="auto"/>
          </w:tcPr>
          <w:p w14:paraId="1F8FC6A6" w14:textId="77777777" w:rsidR="00A61FF5" w:rsidRPr="006E49EE" w:rsidRDefault="00A61FF5" w:rsidP="00D07480">
            <w:pPr>
              <w:pStyle w:val="ESTableBody"/>
              <w:jc w:val="right"/>
              <w:rPr>
                <w:lang w:val="en-AU"/>
              </w:rPr>
            </w:pPr>
            <w:r w:rsidRPr="006E49EE">
              <w:rPr>
                <w:lang w:val="en-AU"/>
              </w:rPr>
              <w:t>19.8</w:t>
            </w:r>
          </w:p>
        </w:tc>
        <w:tc>
          <w:tcPr>
            <w:tcW w:w="500" w:type="pct"/>
            <w:tcBorders>
              <w:bottom w:val="single" w:sz="4" w:space="0" w:color="auto"/>
            </w:tcBorders>
          </w:tcPr>
          <w:p w14:paraId="69C49FF9" w14:textId="77777777" w:rsidR="00A61FF5" w:rsidRPr="006E49EE" w:rsidRDefault="00A61FF5" w:rsidP="00D07480">
            <w:pPr>
              <w:pStyle w:val="ESTableBody"/>
              <w:jc w:val="right"/>
              <w:rPr>
                <w:lang w:val="en-AU"/>
              </w:rPr>
            </w:pPr>
            <w:r w:rsidRPr="006E49EE">
              <w:rPr>
                <w:lang w:val="en-AU"/>
              </w:rPr>
              <w:t>18.8</w:t>
            </w:r>
          </w:p>
        </w:tc>
      </w:tr>
      <w:tr w:rsidR="00A61FF5" w:rsidRPr="00932A90" w14:paraId="75624638" w14:textId="77777777" w:rsidTr="009A0BAD">
        <w:tc>
          <w:tcPr>
            <w:tcW w:w="500" w:type="pct"/>
            <w:gridSpan w:val="7"/>
            <w:shd w:val="clear" w:color="auto" w:fill="F2F2F2" w:themeFill="background1" w:themeFillShade="F2"/>
          </w:tcPr>
          <w:p w14:paraId="49FFCCD8" w14:textId="77777777" w:rsidR="00A61FF5" w:rsidRPr="006E49EE" w:rsidRDefault="00A61FF5" w:rsidP="009A0BAD">
            <w:pPr>
              <w:pStyle w:val="ESTableheading"/>
              <w:rPr>
                <w:lang w:val="en-AU"/>
              </w:rPr>
            </w:pPr>
            <w:r w:rsidRPr="006E49EE">
              <w:rPr>
                <w:lang w:val="en-AU"/>
              </w:rPr>
              <w:t>Higher education and skills</w:t>
            </w:r>
          </w:p>
        </w:tc>
      </w:tr>
      <w:tr w:rsidR="00A61FF5" w:rsidRPr="00932A90" w14:paraId="0E824E9C" w14:textId="77777777" w:rsidTr="004576EA">
        <w:tc>
          <w:tcPr>
            <w:tcW w:w="500" w:type="pct"/>
            <w:gridSpan w:val="7"/>
            <w:shd w:val="clear" w:color="auto" w:fill="auto"/>
          </w:tcPr>
          <w:p w14:paraId="562CC4AF" w14:textId="77777777" w:rsidR="00A61FF5" w:rsidRPr="006E49EE" w:rsidRDefault="00A61FF5" w:rsidP="009A0BAD">
            <w:pPr>
              <w:pStyle w:val="ESTableheading"/>
              <w:rPr>
                <w:lang w:val="en-AU"/>
              </w:rPr>
            </w:pPr>
            <w:r w:rsidRPr="006E49EE">
              <w:rPr>
                <w:lang w:val="en-AU"/>
              </w:rPr>
              <w:t>VET enrolments by students’</w:t>
            </w:r>
            <w:r w:rsidRPr="006E49EE">
              <w:rPr>
                <w:rStyle w:val="FootnoteReference"/>
                <w:b w:val="0"/>
                <w:lang w:val="en-AU"/>
              </w:rPr>
              <w:footnoteReference w:id="17"/>
            </w:r>
            <w:r w:rsidRPr="006E49EE">
              <w:rPr>
                <w:lang w:val="en-AU"/>
              </w:rPr>
              <w:t xml:space="preserve"> age and gender</w:t>
            </w:r>
          </w:p>
        </w:tc>
      </w:tr>
      <w:tr w:rsidR="00980848" w:rsidRPr="00932A90" w14:paraId="387E04C6" w14:textId="77777777" w:rsidTr="004576EA">
        <w:tc>
          <w:tcPr>
            <w:tcW w:w="2000" w:type="pct"/>
            <w:shd w:val="clear" w:color="auto" w:fill="auto"/>
          </w:tcPr>
          <w:p w14:paraId="380E72C4" w14:textId="77777777" w:rsidR="00A61FF5" w:rsidRPr="006E49EE" w:rsidRDefault="00A61FF5" w:rsidP="00D07480">
            <w:pPr>
              <w:pStyle w:val="ESTableBody"/>
              <w:rPr>
                <w:lang w:val="en-AU"/>
              </w:rPr>
            </w:pPr>
            <w:r w:rsidRPr="006E49EE">
              <w:rPr>
                <w:lang w:val="en-AU"/>
              </w:rPr>
              <w:t>15–19 years</w:t>
            </w:r>
          </w:p>
        </w:tc>
        <w:tc>
          <w:tcPr>
            <w:tcW w:w="500" w:type="pct"/>
            <w:shd w:val="clear" w:color="auto" w:fill="auto"/>
          </w:tcPr>
          <w:p w14:paraId="1D55969B"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777F8422" w14:textId="77777777" w:rsidR="00A61FF5" w:rsidRPr="006E49EE" w:rsidRDefault="00A61FF5" w:rsidP="00D07480">
            <w:pPr>
              <w:pStyle w:val="ESTableBody"/>
              <w:jc w:val="right"/>
              <w:rPr>
                <w:lang w:val="en-AU"/>
              </w:rPr>
            </w:pPr>
            <w:r w:rsidRPr="006E49EE">
              <w:rPr>
                <w:lang w:val="en-AU"/>
              </w:rPr>
              <w:t>120,500</w:t>
            </w:r>
          </w:p>
        </w:tc>
        <w:tc>
          <w:tcPr>
            <w:tcW w:w="500" w:type="pct"/>
            <w:shd w:val="clear" w:color="auto" w:fill="auto"/>
          </w:tcPr>
          <w:p w14:paraId="71FD05A8" w14:textId="77777777" w:rsidR="00A61FF5" w:rsidRPr="006E49EE" w:rsidRDefault="00A61FF5" w:rsidP="00D07480">
            <w:pPr>
              <w:pStyle w:val="ESTableBody"/>
              <w:jc w:val="right"/>
              <w:rPr>
                <w:lang w:val="en-AU"/>
              </w:rPr>
            </w:pPr>
            <w:r w:rsidRPr="006E49EE">
              <w:rPr>
                <w:lang w:val="en-AU"/>
              </w:rPr>
              <w:t>104,600</w:t>
            </w:r>
          </w:p>
        </w:tc>
        <w:tc>
          <w:tcPr>
            <w:tcW w:w="500" w:type="pct"/>
            <w:shd w:val="clear" w:color="auto" w:fill="auto"/>
          </w:tcPr>
          <w:p w14:paraId="12CF013C" w14:textId="77777777" w:rsidR="00A61FF5" w:rsidRPr="006E49EE" w:rsidRDefault="00A61FF5" w:rsidP="00D07480">
            <w:pPr>
              <w:pStyle w:val="ESTableBody"/>
              <w:jc w:val="right"/>
              <w:rPr>
                <w:lang w:val="en-AU"/>
              </w:rPr>
            </w:pPr>
            <w:r w:rsidRPr="006E49EE">
              <w:rPr>
                <w:lang w:val="en-AU"/>
              </w:rPr>
              <w:t>85,300</w:t>
            </w:r>
          </w:p>
        </w:tc>
        <w:tc>
          <w:tcPr>
            <w:tcW w:w="500" w:type="pct"/>
            <w:shd w:val="clear" w:color="auto" w:fill="auto"/>
          </w:tcPr>
          <w:p w14:paraId="2A6F105F" w14:textId="77777777" w:rsidR="00A61FF5" w:rsidRPr="006E49EE" w:rsidRDefault="00A61FF5" w:rsidP="00D07480">
            <w:pPr>
              <w:pStyle w:val="ESTableBody"/>
              <w:jc w:val="right"/>
              <w:rPr>
                <w:lang w:val="en-AU"/>
              </w:rPr>
            </w:pPr>
            <w:r w:rsidRPr="006E49EE">
              <w:rPr>
                <w:lang w:val="en-AU"/>
              </w:rPr>
              <w:t>69,900</w:t>
            </w:r>
          </w:p>
        </w:tc>
        <w:tc>
          <w:tcPr>
            <w:tcW w:w="500" w:type="pct"/>
          </w:tcPr>
          <w:p w14:paraId="01D3E17C" w14:textId="77777777" w:rsidR="00A61FF5" w:rsidRPr="006E49EE" w:rsidRDefault="00A61FF5" w:rsidP="00D07480">
            <w:pPr>
              <w:pStyle w:val="ESTableBody"/>
              <w:jc w:val="right"/>
              <w:rPr>
                <w:lang w:val="en-AU"/>
              </w:rPr>
            </w:pPr>
            <w:r w:rsidRPr="006E49EE">
              <w:rPr>
                <w:lang w:val="en-AU"/>
              </w:rPr>
              <w:t>59,300</w:t>
            </w:r>
          </w:p>
        </w:tc>
      </w:tr>
      <w:tr w:rsidR="00980848" w:rsidRPr="00932A90" w14:paraId="04132D08" w14:textId="77777777" w:rsidTr="004576EA">
        <w:tc>
          <w:tcPr>
            <w:tcW w:w="2000" w:type="pct"/>
            <w:shd w:val="clear" w:color="auto" w:fill="auto"/>
          </w:tcPr>
          <w:p w14:paraId="5589F8A5" w14:textId="77777777" w:rsidR="00A61FF5" w:rsidRPr="006E49EE" w:rsidRDefault="00A61FF5" w:rsidP="00D07480">
            <w:pPr>
              <w:pStyle w:val="ESTableBody"/>
              <w:rPr>
                <w:lang w:val="en-AU"/>
              </w:rPr>
            </w:pPr>
            <w:r w:rsidRPr="006E49EE">
              <w:rPr>
                <w:lang w:val="en-AU"/>
              </w:rPr>
              <w:t>20–24 years</w:t>
            </w:r>
          </w:p>
        </w:tc>
        <w:tc>
          <w:tcPr>
            <w:tcW w:w="500" w:type="pct"/>
            <w:shd w:val="clear" w:color="auto" w:fill="auto"/>
          </w:tcPr>
          <w:p w14:paraId="2914C52F"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1CDD5D7D" w14:textId="77777777" w:rsidR="00A61FF5" w:rsidRPr="006E49EE" w:rsidRDefault="00A61FF5" w:rsidP="00D07480">
            <w:pPr>
              <w:pStyle w:val="ESTableBody"/>
              <w:jc w:val="right"/>
              <w:rPr>
                <w:lang w:val="en-AU"/>
              </w:rPr>
            </w:pPr>
            <w:r w:rsidRPr="006E49EE">
              <w:rPr>
                <w:lang w:val="en-AU"/>
              </w:rPr>
              <w:t>100,900</w:t>
            </w:r>
          </w:p>
        </w:tc>
        <w:tc>
          <w:tcPr>
            <w:tcW w:w="500" w:type="pct"/>
            <w:shd w:val="clear" w:color="auto" w:fill="auto"/>
          </w:tcPr>
          <w:p w14:paraId="73584DD6" w14:textId="77777777" w:rsidR="00A61FF5" w:rsidRPr="006E49EE" w:rsidRDefault="00A61FF5" w:rsidP="00D07480">
            <w:pPr>
              <w:pStyle w:val="ESTableBody"/>
              <w:jc w:val="right"/>
              <w:rPr>
                <w:lang w:val="en-AU"/>
              </w:rPr>
            </w:pPr>
            <w:r w:rsidRPr="006E49EE">
              <w:rPr>
                <w:lang w:val="en-AU"/>
              </w:rPr>
              <w:t>96,300</w:t>
            </w:r>
          </w:p>
        </w:tc>
        <w:tc>
          <w:tcPr>
            <w:tcW w:w="500" w:type="pct"/>
            <w:shd w:val="clear" w:color="auto" w:fill="auto"/>
          </w:tcPr>
          <w:p w14:paraId="1DAF0B3F" w14:textId="77777777" w:rsidR="00A61FF5" w:rsidRPr="006E49EE" w:rsidRDefault="00A61FF5" w:rsidP="00D07480">
            <w:pPr>
              <w:pStyle w:val="ESTableBody"/>
              <w:jc w:val="right"/>
              <w:rPr>
                <w:lang w:val="en-AU"/>
              </w:rPr>
            </w:pPr>
            <w:r w:rsidRPr="006E49EE">
              <w:rPr>
                <w:lang w:val="en-AU"/>
              </w:rPr>
              <w:t>93,100</w:t>
            </w:r>
          </w:p>
        </w:tc>
        <w:tc>
          <w:tcPr>
            <w:tcW w:w="500" w:type="pct"/>
            <w:shd w:val="clear" w:color="auto" w:fill="auto"/>
          </w:tcPr>
          <w:p w14:paraId="5F4F3724" w14:textId="77777777" w:rsidR="00A61FF5" w:rsidRPr="006E49EE" w:rsidRDefault="00A61FF5" w:rsidP="00D07480">
            <w:pPr>
              <w:pStyle w:val="ESTableBody"/>
              <w:jc w:val="right"/>
              <w:rPr>
                <w:lang w:val="en-AU"/>
              </w:rPr>
            </w:pPr>
            <w:r w:rsidRPr="006E49EE">
              <w:rPr>
                <w:lang w:val="en-AU"/>
              </w:rPr>
              <w:t>80,200</w:t>
            </w:r>
          </w:p>
        </w:tc>
        <w:tc>
          <w:tcPr>
            <w:tcW w:w="500" w:type="pct"/>
            <w:shd w:val="clear" w:color="auto" w:fill="auto"/>
          </w:tcPr>
          <w:p w14:paraId="7D035650" w14:textId="77777777" w:rsidR="00A61FF5" w:rsidRPr="006E49EE" w:rsidRDefault="00A61FF5" w:rsidP="00D07480">
            <w:pPr>
              <w:pStyle w:val="ESTableBody"/>
              <w:jc w:val="right"/>
              <w:rPr>
                <w:lang w:val="en-AU"/>
              </w:rPr>
            </w:pPr>
            <w:r w:rsidRPr="006E49EE">
              <w:rPr>
                <w:lang w:val="en-AU"/>
              </w:rPr>
              <w:t>69,700</w:t>
            </w:r>
          </w:p>
        </w:tc>
      </w:tr>
      <w:tr w:rsidR="00980848" w:rsidRPr="00932A90" w14:paraId="4ED2B119" w14:textId="77777777" w:rsidTr="004576EA">
        <w:tc>
          <w:tcPr>
            <w:tcW w:w="2000" w:type="pct"/>
            <w:shd w:val="clear" w:color="auto" w:fill="auto"/>
          </w:tcPr>
          <w:p w14:paraId="6EB34A05" w14:textId="77777777" w:rsidR="00A61FF5" w:rsidRPr="006E49EE" w:rsidRDefault="00A61FF5" w:rsidP="00D07480">
            <w:pPr>
              <w:pStyle w:val="ESTableBody"/>
              <w:rPr>
                <w:lang w:val="en-AU"/>
              </w:rPr>
            </w:pPr>
            <w:r w:rsidRPr="006E49EE">
              <w:rPr>
                <w:lang w:val="en-AU"/>
              </w:rPr>
              <w:t>25–44 years</w:t>
            </w:r>
          </w:p>
        </w:tc>
        <w:tc>
          <w:tcPr>
            <w:tcW w:w="500" w:type="pct"/>
            <w:shd w:val="clear" w:color="auto" w:fill="auto"/>
          </w:tcPr>
          <w:p w14:paraId="6F2B91E8"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7589674A" w14:textId="77777777" w:rsidR="00A61FF5" w:rsidRPr="006E49EE" w:rsidRDefault="00A61FF5" w:rsidP="00D07480">
            <w:pPr>
              <w:pStyle w:val="ESTableBody"/>
              <w:jc w:val="right"/>
              <w:rPr>
                <w:lang w:val="en-AU"/>
              </w:rPr>
            </w:pPr>
            <w:r w:rsidRPr="006E49EE">
              <w:rPr>
                <w:lang w:val="en-AU"/>
              </w:rPr>
              <w:t>180,200</w:t>
            </w:r>
          </w:p>
        </w:tc>
        <w:tc>
          <w:tcPr>
            <w:tcW w:w="500" w:type="pct"/>
            <w:shd w:val="clear" w:color="auto" w:fill="auto"/>
          </w:tcPr>
          <w:p w14:paraId="334C8562" w14:textId="77777777" w:rsidR="00A61FF5" w:rsidRPr="006E49EE" w:rsidRDefault="00A61FF5" w:rsidP="00D07480">
            <w:pPr>
              <w:pStyle w:val="ESTableBody"/>
              <w:jc w:val="right"/>
              <w:rPr>
                <w:lang w:val="en-AU"/>
              </w:rPr>
            </w:pPr>
            <w:r w:rsidRPr="006E49EE">
              <w:rPr>
                <w:lang w:val="en-AU"/>
              </w:rPr>
              <w:t>178,900</w:t>
            </w:r>
          </w:p>
        </w:tc>
        <w:tc>
          <w:tcPr>
            <w:tcW w:w="500" w:type="pct"/>
            <w:shd w:val="clear" w:color="auto" w:fill="auto"/>
          </w:tcPr>
          <w:p w14:paraId="19A5D20D" w14:textId="77777777" w:rsidR="00A61FF5" w:rsidRPr="006E49EE" w:rsidRDefault="00A61FF5" w:rsidP="00D07480">
            <w:pPr>
              <w:pStyle w:val="ESTableBody"/>
              <w:jc w:val="right"/>
              <w:rPr>
                <w:lang w:val="en-AU"/>
              </w:rPr>
            </w:pPr>
            <w:r w:rsidRPr="006E49EE">
              <w:rPr>
                <w:lang w:val="en-AU"/>
              </w:rPr>
              <w:t>167,100</w:t>
            </w:r>
          </w:p>
        </w:tc>
        <w:tc>
          <w:tcPr>
            <w:tcW w:w="500" w:type="pct"/>
            <w:shd w:val="clear" w:color="auto" w:fill="auto"/>
          </w:tcPr>
          <w:p w14:paraId="09780136" w14:textId="77777777" w:rsidR="00A61FF5" w:rsidRPr="006E49EE" w:rsidRDefault="00A61FF5" w:rsidP="00D07480">
            <w:pPr>
              <w:pStyle w:val="ESTableBody"/>
              <w:jc w:val="right"/>
              <w:rPr>
                <w:lang w:val="en-AU"/>
              </w:rPr>
            </w:pPr>
            <w:r w:rsidRPr="006E49EE">
              <w:rPr>
                <w:lang w:val="en-AU"/>
              </w:rPr>
              <w:t>141,600</w:t>
            </w:r>
          </w:p>
        </w:tc>
        <w:tc>
          <w:tcPr>
            <w:tcW w:w="500" w:type="pct"/>
            <w:shd w:val="clear" w:color="auto" w:fill="auto"/>
          </w:tcPr>
          <w:p w14:paraId="5BD328D7" w14:textId="77777777" w:rsidR="00A61FF5" w:rsidRPr="006E49EE" w:rsidRDefault="00A61FF5" w:rsidP="00D07480">
            <w:pPr>
              <w:pStyle w:val="ESTableBody"/>
              <w:jc w:val="right"/>
              <w:rPr>
                <w:lang w:val="en-AU"/>
              </w:rPr>
            </w:pPr>
            <w:r w:rsidRPr="006E49EE">
              <w:rPr>
                <w:lang w:val="en-AU"/>
              </w:rPr>
              <w:t>121,500</w:t>
            </w:r>
          </w:p>
        </w:tc>
      </w:tr>
      <w:tr w:rsidR="00980848" w:rsidRPr="00932A90" w14:paraId="6DAAE4E3" w14:textId="77777777" w:rsidTr="004576EA">
        <w:tc>
          <w:tcPr>
            <w:tcW w:w="2000" w:type="pct"/>
            <w:shd w:val="clear" w:color="auto" w:fill="auto"/>
          </w:tcPr>
          <w:p w14:paraId="03E0E2A1" w14:textId="77777777" w:rsidR="00A61FF5" w:rsidRPr="006E49EE" w:rsidRDefault="00A61FF5" w:rsidP="00D07480">
            <w:pPr>
              <w:pStyle w:val="ESTableBody"/>
              <w:rPr>
                <w:lang w:val="en-AU"/>
              </w:rPr>
            </w:pPr>
            <w:r w:rsidRPr="006E49EE">
              <w:rPr>
                <w:lang w:val="en-AU"/>
              </w:rPr>
              <w:t>45–64 years</w:t>
            </w:r>
          </w:p>
        </w:tc>
        <w:tc>
          <w:tcPr>
            <w:tcW w:w="500" w:type="pct"/>
            <w:shd w:val="clear" w:color="auto" w:fill="auto"/>
          </w:tcPr>
          <w:p w14:paraId="6562E618"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1E221BFC" w14:textId="77777777" w:rsidR="00A61FF5" w:rsidRPr="006E49EE" w:rsidRDefault="00A61FF5" w:rsidP="00D07480">
            <w:pPr>
              <w:pStyle w:val="ESTableBody"/>
              <w:jc w:val="right"/>
              <w:rPr>
                <w:lang w:val="en-AU"/>
              </w:rPr>
            </w:pPr>
            <w:r w:rsidRPr="006E49EE">
              <w:rPr>
                <w:lang w:val="en-AU"/>
              </w:rPr>
              <w:t>96,400</w:t>
            </w:r>
          </w:p>
        </w:tc>
        <w:tc>
          <w:tcPr>
            <w:tcW w:w="500" w:type="pct"/>
            <w:shd w:val="clear" w:color="auto" w:fill="auto"/>
          </w:tcPr>
          <w:p w14:paraId="1D98504A" w14:textId="77777777" w:rsidR="00A61FF5" w:rsidRPr="006E49EE" w:rsidRDefault="00A61FF5" w:rsidP="00D07480">
            <w:pPr>
              <w:pStyle w:val="ESTableBody"/>
              <w:jc w:val="right"/>
              <w:rPr>
                <w:lang w:val="en-AU"/>
              </w:rPr>
            </w:pPr>
            <w:r w:rsidRPr="006E49EE">
              <w:rPr>
                <w:lang w:val="en-AU"/>
              </w:rPr>
              <w:t>93,100</w:t>
            </w:r>
          </w:p>
        </w:tc>
        <w:tc>
          <w:tcPr>
            <w:tcW w:w="500" w:type="pct"/>
            <w:shd w:val="clear" w:color="auto" w:fill="auto"/>
          </w:tcPr>
          <w:p w14:paraId="774CF421" w14:textId="77777777" w:rsidR="00A61FF5" w:rsidRPr="006E49EE" w:rsidRDefault="00A61FF5" w:rsidP="00D07480">
            <w:pPr>
              <w:pStyle w:val="ESTableBody"/>
              <w:jc w:val="right"/>
              <w:rPr>
                <w:lang w:val="en-AU"/>
              </w:rPr>
            </w:pPr>
            <w:r w:rsidRPr="006E49EE">
              <w:rPr>
                <w:lang w:val="en-AU"/>
              </w:rPr>
              <w:t>87,400</w:t>
            </w:r>
          </w:p>
        </w:tc>
        <w:tc>
          <w:tcPr>
            <w:tcW w:w="500" w:type="pct"/>
            <w:shd w:val="clear" w:color="auto" w:fill="auto"/>
          </w:tcPr>
          <w:p w14:paraId="5E3EA09B" w14:textId="77777777" w:rsidR="00A61FF5" w:rsidRPr="006E49EE" w:rsidRDefault="00A61FF5" w:rsidP="00D07480">
            <w:pPr>
              <w:pStyle w:val="ESTableBody"/>
              <w:jc w:val="right"/>
              <w:rPr>
                <w:lang w:val="en-AU"/>
              </w:rPr>
            </w:pPr>
            <w:r w:rsidRPr="006E49EE">
              <w:rPr>
                <w:lang w:val="en-AU"/>
              </w:rPr>
              <w:t>75,100</w:t>
            </w:r>
          </w:p>
        </w:tc>
        <w:tc>
          <w:tcPr>
            <w:tcW w:w="500" w:type="pct"/>
            <w:shd w:val="clear" w:color="auto" w:fill="auto"/>
          </w:tcPr>
          <w:p w14:paraId="23A435A6" w14:textId="77777777" w:rsidR="00A61FF5" w:rsidRPr="006E49EE" w:rsidRDefault="00A61FF5" w:rsidP="00D07480">
            <w:pPr>
              <w:pStyle w:val="ESTableBody"/>
              <w:jc w:val="right"/>
              <w:rPr>
                <w:lang w:val="en-AU"/>
              </w:rPr>
            </w:pPr>
            <w:r w:rsidRPr="006E49EE">
              <w:rPr>
                <w:lang w:val="en-AU"/>
              </w:rPr>
              <w:t>62,900</w:t>
            </w:r>
          </w:p>
        </w:tc>
      </w:tr>
      <w:tr w:rsidR="00980848" w:rsidRPr="00932A90" w14:paraId="2FF1652C" w14:textId="77777777" w:rsidTr="004576EA">
        <w:tc>
          <w:tcPr>
            <w:tcW w:w="2000" w:type="pct"/>
            <w:shd w:val="clear" w:color="auto" w:fill="auto"/>
          </w:tcPr>
          <w:p w14:paraId="501BD286" w14:textId="77777777" w:rsidR="00A61FF5" w:rsidRPr="006E49EE" w:rsidRDefault="00A61FF5" w:rsidP="00D07480">
            <w:pPr>
              <w:pStyle w:val="ESTableBody"/>
              <w:rPr>
                <w:lang w:val="en-AU"/>
              </w:rPr>
            </w:pPr>
            <w:r w:rsidRPr="006E49EE">
              <w:rPr>
                <w:lang w:val="en-AU"/>
              </w:rPr>
              <w:t>Under 15, over 64 and not stated</w:t>
            </w:r>
          </w:p>
        </w:tc>
        <w:tc>
          <w:tcPr>
            <w:tcW w:w="500" w:type="pct"/>
            <w:shd w:val="clear" w:color="auto" w:fill="auto"/>
          </w:tcPr>
          <w:p w14:paraId="56683479"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76B1DEF8" w14:textId="77777777" w:rsidR="00A61FF5" w:rsidRPr="006E49EE" w:rsidRDefault="00A61FF5" w:rsidP="00D07480">
            <w:pPr>
              <w:pStyle w:val="ESTableBody"/>
              <w:jc w:val="right"/>
              <w:rPr>
                <w:lang w:val="en-AU"/>
              </w:rPr>
            </w:pPr>
            <w:r w:rsidRPr="006E49EE">
              <w:rPr>
                <w:lang w:val="en-AU"/>
              </w:rPr>
              <w:t>11,800</w:t>
            </w:r>
          </w:p>
        </w:tc>
        <w:tc>
          <w:tcPr>
            <w:tcW w:w="500" w:type="pct"/>
            <w:shd w:val="clear" w:color="auto" w:fill="auto"/>
          </w:tcPr>
          <w:p w14:paraId="20C3C835" w14:textId="77777777" w:rsidR="00A61FF5" w:rsidRPr="006E49EE" w:rsidRDefault="00A61FF5" w:rsidP="00D07480">
            <w:pPr>
              <w:pStyle w:val="ESTableBody"/>
              <w:jc w:val="right"/>
              <w:rPr>
                <w:lang w:val="en-AU"/>
              </w:rPr>
            </w:pPr>
            <w:r w:rsidRPr="006E49EE">
              <w:rPr>
                <w:lang w:val="en-AU"/>
              </w:rPr>
              <w:t>11,900</w:t>
            </w:r>
          </w:p>
        </w:tc>
        <w:tc>
          <w:tcPr>
            <w:tcW w:w="500" w:type="pct"/>
            <w:shd w:val="clear" w:color="auto" w:fill="auto"/>
          </w:tcPr>
          <w:p w14:paraId="11E45354" w14:textId="77777777" w:rsidR="00A61FF5" w:rsidRPr="006E49EE" w:rsidRDefault="00A61FF5" w:rsidP="00D07480">
            <w:pPr>
              <w:pStyle w:val="ESTableBody"/>
              <w:jc w:val="right"/>
              <w:rPr>
                <w:lang w:val="en-AU"/>
              </w:rPr>
            </w:pPr>
            <w:r w:rsidRPr="006E49EE">
              <w:rPr>
                <w:lang w:val="en-AU"/>
              </w:rPr>
              <w:t>10,700</w:t>
            </w:r>
          </w:p>
        </w:tc>
        <w:tc>
          <w:tcPr>
            <w:tcW w:w="500" w:type="pct"/>
            <w:shd w:val="clear" w:color="auto" w:fill="auto"/>
          </w:tcPr>
          <w:p w14:paraId="7F5D6839" w14:textId="77777777" w:rsidR="00A61FF5" w:rsidRPr="006E49EE" w:rsidRDefault="00A61FF5" w:rsidP="00D07480">
            <w:pPr>
              <w:pStyle w:val="ESTableBody"/>
              <w:jc w:val="right"/>
              <w:rPr>
                <w:lang w:val="en-AU"/>
              </w:rPr>
            </w:pPr>
            <w:r w:rsidRPr="006E49EE">
              <w:rPr>
                <w:lang w:val="en-AU"/>
              </w:rPr>
              <w:t>11,000</w:t>
            </w:r>
          </w:p>
        </w:tc>
        <w:tc>
          <w:tcPr>
            <w:tcW w:w="500" w:type="pct"/>
            <w:shd w:val="clear" w:color="auto" w:fill="auto"/>
          </w:tcPr>
          <w:p w14:paraId="3D744114" w14:textId="77777777" w:rsidR="00A61FF5" w:rsidRPr="006E49EE" w:rsidRDefault="00A61FF5" w:rsidP="00D07480">
            <w:pPr>
              <w:pStyle w:val="ESTableBody"/>
              <w:jc w:val="right"/>
              <w:rPr>
                <w:lang w:val="en-AU"/>
              </w:rPr>
            </w:pPr>
            <w:r w:rsidRPr="006E49EE">
              <w:rPr>
                <w:lang w:val="en-AU"/>
              </w:rPr>
              <w:t>7,700</w:t>
            </w:r>
          </w:p>
        </w:tc>
      </w:tr>
      <w:tr w:rsidR="00980848" w:rsidRPr="00932A90" w14:paraId="22ECF519" w14:textId="77777777" w:rsidTr="004576EA">
        <w:tc>
          <w:tcPr>
            <w:tcW w:w="2000" w:type="pct"/>
            <w:shd w:val="clear" w:color="auto" w:fill="auto"/>
          </w:tcPr>
          <w:p w14:paraId="5AC318B5" w14:textId="77777777" w:rsidR="00A61FF5" w:rsidRPr="006E49EE" w:rsidRDefault="00A61FF5" w:rsidP="00D07480">
            <w:pPr>
              <w:pStyle w:val="ESTableBody"/>
              <w:rPr>
                <w:lang w:val="en-AU"/>
              </w:rPr>
            </w:pPr>
            <w:r w:rsidRPr="006E49EE">
              <w:rPr>
                <w:lang w:val="en-AU"/>
              </w:rPr>
              <w:t>Female</w:t>
            </w:r>
          </w:p>
        </w:tc>
        <w:tc>
          <w:tcPr>
            <w:tcW w:w="500" w:type="pct"/>
            <w:shd w:val="clear" w:color="auto" w:fill="auto"/>
          </w:tcPr>
          <w:p w14:paraId="0997BBC9"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1D0BD44E" w14:textId="77777777" w:rsidR="00A61FF5" w:rsidRPr="006E49EE" w:rsidRDefault="00A61FF5" w:rsidP="00D07480">
            <w:pPr>
              <w:pStyle w:val="ESTableBody"/>
              <w:jc w:val="right"/>
              <w:rPr>
                <w:lang w:val="en-AU"/>
              </w:rPr>
            </w:pPr>
            <w:r w:rsidRPr="006E49EE">
              <w:rPr>
                <w:lang w:val="en-AU"/>
              </w:rPr>
              <w:t>251,900</w:t>
            </w:r>
          </w:p>
        </w:tc>
        <w:tc>
          <w:tcPr>
            <w:tcW w:w="500" w:type="pct"/>
            <w:shd w:val="clear" w:color="auto" w:fill="auto"/>
          </w:tcPr>
          <w:p w14:paraId="69DC7658" w14:textId="77777777" w:rsidR="00A61FF5" w:rsidRPr="006E49EE" w:rsidRDefault="00A61FF5" w:rsidP="00D07480">
            <w:pPr>
              <w:pStyle w:val="ESTableBody"/>
              <w:jc w:val="right"/>
              <w:rPr>
                <w:lang w:val="en-AU"/>
              </w:rPr>
            </w:pPr>
            <w:r w:rsidRPr="006E49EE">
              <w:rPr>
                <w:lang w:val="en-AU"/>
              </w:rPr>
              <w:t>226,600</w:t>
            </w:r>
          </w:p>
        </w:tc>
        <w:tc>
          <w:tcPr>
            <w:tcW w:w="500" w:type="pct"/>
            <w:shd w:val="clear" w:color="auto" w:fill="auto"/>
          </w:tcPr>
          <w:p w14:paraId="49B50F25" w14:textId="77777777" w:rsidR="00A61FF5" w:rsidRPr="006E49EE" w:rsidRDefault="00A61FF5" w:rsidP="00D07480">
            <w:pPr>
              <w:pStyle w:val="ESTableBody"/>
              <w:jc w:val="right"/>
              <w:rPr>
                <w:lang w:val="en-AU"/>
              </w:rPr>
            </w:pPr>
            <w:r w:rsidRPr="006E49EE">
              <w:rPr>
                <w:lang w:val="en-AU"/>
              </w:rPr>
              <w:t>208,100</w:t>
            </w:r>
          </w:p>
        </w:tc>
        <w:tc>
          <w:tcPr>
            <w:tcW w:w="500" w:type="pct"/>
            <w:shd w:val="clear" w:color="auto" w:fill="auto"/>
          </w:tcPr>
          <w:p w14:paraId="4212DDFA" w14:textId="77777777" w:rsidR="00A61FF5" w:rsidRPr="006E49EE" w:rsidRDefault="00A61FF5" w:rsidP="00D07480">
            <w:pPr>
              <w:pStyle w:val="ESTableBody"/>
              <w:jc w:val="right"/>
              <w:rPr>
                <w:lang w:val="en-AU"/>
              </w:rPr>
            </w:pPr>
            <w:r w:rsidRPr="006E49EE">
              <w:rPr>
                <w:lang w:val="en-AU"/>
              </w:rPr>
              <w:t>177,100</w:t>
            </w:r>
          </w:p>
        </w:tc>
        <w:tc>
          <w:tcPr>
            <w:tcW w:w="500" w:type="pct"/>
            <w:shd w:val="clear" w:color="auto" w:fill="auto"/>
          </w:tcPr>
          <w:p w14:paraId="68DA89FF" w14:textId="77777777" w:rsidR="00A61FF5" w:rsidRPr="006E49EE" w:rsidRDefault="00A61FF5" w:rsidP="00D07480">
            <w:pPr>
              <w:pStyle w:val="ESTableBody"/>
              <w:jc w:val="right"/>
              <w:rPr>
                <w:lang w:val="en-AU"/>
              </w:rPr>
            </w:pPr>
            <w:r w:rsidRPr="006E49EE">
              <w:rPr>
                <w:lang w:val="en-AU"/>
              </w:rPr>
              <w:t>153,400</w:t>
            </w:r>
          </w:p>
        </w:tc>
      </w:tr>
      <w:tr w:rsidR="00980848" w:rsidRPr="00932A90" w14:paraId="280F07BE" w14:textId="77777777" w:rsidTr="004576EA">
        <w:tc>
          <w:tcPr>
            <w:tcW w:w="2000" w:type="pct"/>
            <w:shd w:val="clear" w:color="auto" w:fill="auto"/>
          </w:tcPr>
          <w:p w14:paraId="7783846A" w14:textId="77777777" w:rsidR="00A61FF5" w:rsidRPr="006E49EE" w:rsidRDefault="00A61FF5" w:rsidP="00D07480">
            <w:pPr>
              <w:pStyle w:val="ESTableBody"/>
              <w:rPr>
                <w:lang w:val="en-AU"/>
              </w:rPr>
            </w:pPr>
            <w:r w:rsidRPr="006E49EE">
              <w:rPr>
                <w:lang w:val="en-AU"/>
              </w:rPr>
              <w:t>Male</w:t>
            </w:r>
          </w:p>
        </w:tc>
        <w:tc>
          <w:tcPr>
            <w:tcW w:w="500" w:type="pct"/>
            <w:shd w:val="clear" w:color="auto" w:fill="auto"/>
          </w:tcPr>
          <w:p w14:paraId="0B7BC987" w14:textId="77777777" w:rsidR="00A61FF5" w:rsidRPr="006E49EE" w:rsidRDefault="00A61FF5" w:rsidP="00D07480">
            <w:pPr>
              <w:pStyle w:val="ESTableBody"/>
              <w:jc w:val="right"/>
              <w:rPr>
                <w:lang w:val="en-AU"/>
              </w:rPr>
            </w:pPr>
            <w:r w:rsidRPr="006E49EE">
              <w:rPr>
                <w:lang w:val="en-AU"/>
              </w:rPr>
              <w:t>number</w:t>
            </w:r>
          </w:p>
        </w:tc>
        <w:tc>
          <w:tcPr>
            <w:tcW w:w="500" w:type="pct"/>
            <w:shd w:val="clear" w:color="auto" w:fill="auto"/>
          </w:tcPr>
          <w:p w14:paraId="26EEECA1" w14:textId="77777777" w:rsidR="00A61FF5" w:rsidRPr="006E49EE" w:rsidRDefault="00A61FF5" w:rsidP="00D07480">
            <w:pPr>
              <w:pStyle w:val="ESTableBody"/>
              <w:jc w:val="right"/>
              <w:rPr>
                <w:lang w:val="en-AU"/>
              </w:rPr>
            </w:pPr>
            <w:r w:rsidRPr="006E49EE">
              <w:rPr>
                <w:lang w:val="en-AU"/>
              </w:rPr>
              <w:t>257,200</w:t>
            </w:r>
          </w:p>
        </w:tc>
        <w:tc>
          <w:tcPr>
            <w:tcW w:w="500" w:type="pct"/>
            <w:shd w:val="clear" w:color="auto" w:fill="auto"/>
          </w:tcPr>
          <w:p w14:paraId="36F892E3" w14:textId="77777777" w:rsidR="00A61FF5" w:rsidRPr="006E49EE" w:rsidRDefault="00A61FF5" w:rsidP="00D07480">
            <w:pPr>
              <w:pStyle w:val="ESTableBody"/>
              <w:jc w:val="right"/>
              <w:rPr>
                <w:lang w:val="en-AU"/>
              </w:rPr>
            </w:pPr>
            <w:r w:rsidRPr="006E49EE">
              <w:rPr>
                <w:lang w:val="en-AU"/>
              </w:rPr>
              <w:t>257,600</w:t>
            </w:r>
          </w:p>
        </w:tc>
        <w:tc>
          <w:tcPr>
            <w:tcW w:w="500" w:type="pct"/>
            <w:shd w:val="clear" w:color="auto" w:fill="auto"/>
          </w:tcPr>
          <w:p w14:paraId="7927E35B" w14:textId="77777777" w:rsidR="00A61FF5" w:rsidRPr="006E49EE" w:rsidRDefault="00A61FF5" w:rsidP="00D07480">
            <w:pPr>
              <w:pStyle w:val="ESTableBody"/>
              <w:jc w:val="right"/>
              <w:rPr>
                <w:lang w:val="en-AU"/>
              </w:rPr>
            </w:pPr>
            <w:r w:rsidRPr="006E49EE">
              <w:rPr>
                <w:lang w:val="en-AU"/>
              </w:rPr>
              <w:t>234,900</w:t>
            </w:r>
          </w:p>
        </w:tc>
        <w:tc>
          <w:tcPr>
            <w:tcW w:w="500" w:type="pct"/>
            <w:shd w:val="clear" w:color="auto" w:fill="auto"/>
          </w:tcPr>
          <w:p w14:paraId="0A4A128C" w14:textId="77777777" w:rsidR="00A61FF5" w:rsidRPr="006E49EE" w:rsidRDefault="00A61FF5" w:rsidP="00D07480">
            <w:pPr>
              <w:pStyle w:val="ESTableBody"/>
              <w:jc w:val="right"/>
              <w:rPr>
                <w:lang w:val="en-AU"/>
              </w:rPr>
            </w:pPr>
            <w:r w:rsidRPr="006E49EE">
              <w:rPr>
                <w:lang w:val="en-AU"/>
              </w:rPr>
              <w:t>199,600</w:t>
            </w:r>
          </w:p>
        </w:tc>
        <w:tc>
          <w:tcPr>
            <w:tcW w:w="500" w:type="pct"/>
          </w:tcPr>
          <w:p w14:paraId="56B63B55" w14:textId="77777777" w:rsidR="00A61FF5" w:rsidRPr="006E49EE" w:rsidRDefault="00A61FF5" w:rsidP="00D07480">
            <w:pPr>
              <w:pStyle w:val="ESTableBody"/>
              <w:jc w:val="right"/>
              <w:rPr>
                <w:lang w:val="en-AU"/>
              </w:rPr>
            </w:pPr>
            <w:r w:rsidRPr="006E49EE">
              <w:rPr>
                <w:lang w:val="en-AU"/>
              </w:rPr>
              <w:t>166,900</w:t>
            </w:r>
          </w:p>
        </w:tc>
      </w:tr>
      <w:tr w:rsidR="00A61FF5" w:rsidRPr="00932A90" w14:paraId="5E8E0D64" w14:textId="77777777" w:rsidTr="004576EA">
        <w:tc>
          <w:tcPr>
            <w:tcW w:w="500" w:type="pct"/>
            <w:gridSpan w:val="7"/>
            <w:shd w:val="clear" w:color="auto" w:fill="auto"/>
          </w:tcPr>
          <w:p w14:paraId="63A8D206" w14:textId="77777777" w:rsidR="00A61FF5" w:rsidRPr="006E49EE" w:rsidRDefault="00A61FF5" w:rsidP="009A0BAD">
            <w:pPr>
              <w:pStyle w:val="ESTableheading"/>
              <w:rPr>
                <w:lang w:val="en-AU"/>
              </w:rPr>
            </w:pPr>
            <w:r w:rsidRPr="006E49EE">
              <w:rPr>
                <w:lang w:val="en-AU"/>
              </w:rPr>
              <w:t>VET enrolments by administrative region</w:t>
            </w:r>
          </w:p>
        </w:tc>
      </w:tr>
      <w:tr w:rsidR="00980848" w:rsidRPr="00932A90" w14:paraId="1CE4AE79" w14:textId="77777777" w:rsidTr="004576EA">
        <w:tc>
          <w:tcPr>
            <w:tcW w:w="2000" w:type="pct"/>
            <w:shd w:val="clear" w:color="auto" w:fill="auto"/>
          </w:tcPr>
          <w:p w14:paraId="0AA48DAC" w14:textId="77777777" w:rsidR="00A61FF5" w:rsidRPr="006E49EE" w:rsidRDefault="00A61FF5" w:rsidP="00D07480">
            <w:pPr>
              <w:pStyle w:val="ESTableBody"/>
              <w:rPr>
                <w:lang w:val="en-AU"/>
              </w:rPr>
            </w:pPr>
            <w:r w:rsidRPr="006E49EE">
              <w:rPr>
                <w:lang w:val="en-AU"/>
              </w:rPr>
              <w:t>South Western</w:t>
            </w:r>
          </w:p>
        </w:tc>
        <w:tc>
          <w:tcPr>
            <w:tcW w:w="500" w:type="pct"/>
            <w:shd w:val="clear" w:color="auto" w:fill="auto"/>
          </w:tcPr>
          <w:p w14:paraId="65DBB8E1" w14:textId="77777777" w:rsidR="00A61FF5" w:rsidRPr="006E49EE" w:rsidRDefault="00A61FF5" w:rsidP="00980848">
            <w:pPr>
              <w:pStyle w:val="ESTableBody"/>
              <w:jc w:val="right"/>
              <w:rPr>
                <w:lang w:val="en-AU"/>
              </w:rPr>
            </w:pPr>
            <w:r w:rsidRPr="006E49EE">
              <w:rPr>
                <w:lang w:val="en-AU"/>
              </w:rPr>
              <w:t>number</w:t>
            </w:r>
          </w:p>
        </w:tc>
        <w:tc>
          <w:tcPr>
            <w:tcW w:w="500" w:type="pct"/>
            <w:shd w:val="clear" w:color="auto" w:fill="auto"/>
          </w:tcPr>
          <w:p w14:paraId="39506ED3" w14:textId="77777777" w:rsidR="00A61FF5" w:rsidRPr="006E49EE" w:rsidRDefault="00A61FF5" w:rsidP="00980848">
            <w:pPr>
              <w:pStyle w:val="ESTableBody"/>
              <w:jc w:val="right"/>
              <w:rPr>
                <w:lang w:val="en-AU"/>
              </w:rPr>
            </w:pPr>
            <w:r w:rsidRPr="006E49EE">
              <w:rPr>
                <w:lang w:val="en-AU"/>
              </w:rPr>
              <w:t>264,000</w:t>
            </w:r>
          </w:p>
        </w:tc>
        <w:tc>
          <w:tcPr>
            <w:tcW w:w="500" w:type="pct"/>
            <w:shd w:val="clear" w:color="auto" w:fill="auto"/>
          </w:tcPr>
          <w:p w14:paraId="5DB85B62" w14:textId="77777777" w:rsidR="00A61FF5" w:rsidRPr="006E49EE" w:rsidRDefault="00A61FF5" w:rsidP="00980848">
            <w:pPr>
              <w:pStyle w:val="ESTableBody"/>
              <w:jc w:val="right"/>
              <w:rPr>
                <w:lang w:val="en-AU"/>
              </w:rPr>
            </w:pPr>
            <w:r w:rsidRPr="006E49EE">
              <w:rPr>
                <w:lang w:val="en-AU"/>
              </w:rPr>
              <w:t>251,100</w:t>
            </w:r>
          </w:p>
        </w:tc>
        <w:tc>
          <w:tcPr>
            <w:tcW w:w="500" w:type="pct"/>
            <w:shd w:val="clear" w:color="auto" w:fill="auto"/>
          </w:tcPr>
          <w:p w14:paraId="0496AA6D" w14:textId="77777777" w:rsidR="00A61FF5" w:rsidRPr="006E49EE" w:rsidRDefault="00A61FF5" w:rsidP="00980848">
            <w:pPr>
              <w:pStyle w:val="ESTableBody"/>
              <w:jc w:val="right"/>
              <w:rPr>
                <w:lang w:val="en-AU"/>
              </w:rPr>
            </w:pPr>
            <w:r w:rsidRPr="006E49EE">
              <w:rPr>
                <w:lang w:val="en-AU"/>
              </w:rPr>
              <w:t>230,500</w:t>
            </w:r>
          </w:p>
        </w:tc>
        <w:tc>
          <w:tcPr>
            <w:tcW w:w="500" w:type="pct"/>
            <w:shd w:val="clear" w:color="auto" w:fill="auto"/>
          </w:tcPr>
          <w:p w14:paraId="2314D9B0" w14:textId="77777777" w:rsidR="00A61FF5" w:rsidRPr="006E49EE" w:rsidRDefault="00A61FF5" w:rsidP="00980848">
            <w:pPr>
              <w:pStyle w:val="ESTableBody"/>
              <w:jc w:val="right"/>
              <w:rPr>
                <w:lang w:val="en-AU"/>
              </w:rPr>
            </w:pPr>
            <w:r w:rsidRPr="006E49EE">
              <w:rPr>
                <w:lang w:val="en-AU"/>
              </w:rPr>
              <w:t>178,600</w:t>
            </w:r>
          </w:p>
        </w:tc>
        <w:tc>
          <w:tcPr>
            <w:tcW w:w="500" w:type="pct"/>
          </w:tcPr>
          <w:p w14:paraId="71EFF05A" w14:textId="77777777" w:rsidR="00A61FF5" w:rsidRPr="006E49EE" w:rsidRDefault="00A61FF5" w:rsidP="00980848">
            <w:pPr>
              <w:pStyle w:val="ESTableBody"/>
              <w:jc w:val="right"/>
              <w:rPr>
                <w:lang w:val="en-AU"/>
              </w:rPr>
            </w:pPr>
            <w:r w:rsidRPr="006E49EE">
              <w:rPr>
                <w:lang w:val="en-AU"/>
              </w:rPr>
              <w:t>144,300</w:t>
            </w:r>
          </w:p>
        </w:tc>
      </w:tr>
      <w:tr w:rsidR="00980848" w:rsidRPr="00932A90" w14:paraId="01526AE8" w14:textId="77777777" w:rsidTr="004576EA">
        <w:tc>
          <w:tcPr>
            <w:tcW w:w="2000" w:type="pct"/>
            <w:shd w:val="clear" w:color="auto" w:fill="auto"/>
          </w:tcPr>
          <w:p w14:paraId="0C062284" w14:textId="77777777" w:rsidR="00A61FF5" w:rsidRPr="006E49EE" w:rsidRDefault="00A61FF5" w:rsidP="00D07480">
            <w:pPr>
              <w:pStyle w:val="ESTableBody"/>
              <w:rPr>
                <w:lang w:val="en-AU"/>
              </w:rPr>
            </w:pPr>
            <w:r w:rsidRPr="006E49EE">
              <w:rPr>
                <w:lang w:val="en-AU"/>
              </w:rPr>
              <w:t>North Western</w:t>
            </w:r>
          </w:p>
        </w:tc>
        <w:tc>
          <w:tcPr>
            <w:tcW w:w="500" w:type="pct"/>
            <w:shd w:val="clear" w:color="auto" w:fill="auto"/>
          </w:tcPr>
          <w:p w14:paraId="6266CB29" w14:textId="77777777" w:rsidR="00A61FF5" w:rsidRPr="006E49EE" w:rsidRDefault="00A61FF5" w:rsidP="00980848">
            <w:pPr>
              <w:pStyle w:val="ESTableBody"/>
              <w:jc w:val="right"/>
              <w:rPr>
                <w:lang w:val="en-AU"/>
              </w:rPr>
            </w:pPr>
            <w:r w:rsidRPr="006E49EE">
              <w:rPr>
                <w:lang w:val="en-AU"/>
              </w:rPr>
              <w:t>number</w:t>
            </w:r>
          </w:p>
        </w:tc>
        <w:tc>
          <w:tcPr>
            <w:tcW w:w="500" w:type="pct"/>
            <w:shd w:val="clear" w:color="auto" w:fill="auto"/>
          </w:tcPr>
          <w:p w14:paraId="1C8CE05A" w14:textId="77777777" w:rsidR="00A61FF5" w:rsidRPr="006E49EE" w:rsidRDefault="00A61FF5" w:rsidP="00980848">
            <w:pPr>
              <w:pStyle w:val="ESTableBody"/>
              <w:jc w:val="right"/>
              <w:rPr>
                <w:lang w:val="en-AU"/>
              </w:rPr>
            </w:pPr>
            <w:r w:rsidRPr="006E49EE">
              <w:rPr>
                <w:lang w:val="en-AU"/>
              </w:rPr>
              <w:t>124,300</w:t>
            </w:r>
          </w:p>
        </w:tc>
        <w:tc>
          <w:tcPr>
            <w:tcW w:w="500" w:type="pct"/>
            <w:shd w:val="clear" w:color="auto" w:fill="auto"/>
          </w:tcPr>
          <w:p w14:paraId="6387AB38" w14:textId="77777777" w:rsidR="00A61FF5" w:rsidRPr="006E49EE" w:rsidRDefault="00A61FF5" w:rsidP="00980848">
            <w:pPr>
              <w:pStyle w:val="ESTableBody"/>
              <w:jc w:val="right"/>
              <w:rPr>
                <w:lang w:val="en-AU"/>
              </w:rPr>
            </w:pPr>
            <w:r w:rsidRPr="006E49EE">
              <w:rPr>
                <w:lang w:val="en-AU"/>
              </w:rPr>
              <w:t>116,200</w:t>
            </w:r>
          </w:p>
        </w:tc>
        <w:tc>
          <w:tcPr>
            <w:tcW w:w="500" w:type="pct"/>
            <w:shd w:val="clear" w:color="auto" w:fill="auto"/>
          </w:tcPr>
          <w:p w14:paraId="66C06AF8" w14:textId="77777777" w:rsidR="00A61FF5" w:rsidRPr="006E49EE" w:rsidRDefault="00A61FF5" w:rsidP="00980848">
            <w:pPr>
              <w:pStyle w:val="ESTableBody"/>
              <w:jc w:val="right"/>
              <w:rPr>
                <w:lang w:val="en-AU"/>
              </w:rPr>
            </w:pPr>
            <w:r w:rsidRPr="006E49EE">
              <w:rPr>
                <w:lang w:val="en-AU"/>
              </w:rPr>
              <w:t>105,400</w:t>
            </w:r>
          </w:p>
        </w:tc>
        <w:tc>
          <w:tcPr>
            <w:tcW w:w="500" w:type="pct"/>
            <w:shd w:val="clear" w:color="auto" w:fill="auto"/>
          </w:tcPr>
          <w:p w14:paraId="7ED48DF2" w14:textId="77777777" w:rsidR="00A61FF5" w:rsidRPr="006E49EE" w:rsidRDefault="00A61FF5" w:rsidP="00980848">
            <w:pPr>
              <w:pStyle w:val="ESTableBody"/>
              <w:jc w:val="right"/>
              <w:rPr>
                <w:lang w:val="en-AU"/>
              </w:rPr>
            </w:pPr>
            <w:r w:rsidRPr="006E49EE">
              <w:rPr>
                <w:lang w:val="en-AU"/>
              </w:rPr>
              <w:t>97,900</w:t>
            </w:r>
          </w:p>
        </w:tc>
        <w:tc>
          <w:tcPr>
            <w:tcW w:w="500" w:type="pct"/>
          </w:tcPr>
          <w:p w14:paraId="3B5685A9" w14:textId="77777777" w:rsidR="00A61FF5" w:rsidRPr="006E49EE" w:rsidRDefault="00A61FF5" w:rsidP="00980848">
            <w:pPr>
              <w:pStyle w:val="ESTableBody"/>
              <w:jc w:val="right"/>
              <w:rPr>
                <w:lang w:val="en-AU"/>
              </w:rPr>
            </w:pPr>
            <w:r w:rsidRPr="006E49EE">
              <w:rPr>
                <w:lang w:val="en-AU"/>
              </w:rPr>
              <w:t>82,600</w:t>
            </w:r>
          </w:p>
        </w:tc>
      </w:tr>
      <w:tr w:rsidR="00980848" w:rsidRPr="00932A90" w14:paraId="426A0460" w14:textId="77777777" w:rsidTr="004576EA">
        <w:tc>
          <w:tcPr>
            <w:tcW w:w="2000" w:type="pct"/>
            <w:shd w:val="clear" w:color="auto" w:fill="auto"/>
          </w:tcPr>
          <w:p w14:paraId="51DBF6D6" w14:textId="77777777" w:rsidR="00A61FF5" w:rsidRPr="006E49EE" w:rsidRDefault="00A61FF5" w:rsidP="00D07480">
            <w:pPr>
              <w:pStyle w:val="ESTableBody"/>
              <w:rPr>
                <w:lang w:val="en-AU"/>
              </w:rPr>
            </w:pPr>
            <w:r w:rsidRPr="006E49EE">
              <w:rPr>
                <w:lang w:val="en-AU"/>
              </w:rPr>
              <w:t>North Eastern</w:t>
            </w:r>
          </w:p>
        </w:tc>
        <w:tc>
          <w:tcPr>
            <w:tcW w:w="500" w:type="pct"/>
            <w:shd w:val="clear" w:color="auto" w:fill="auto"/>
          </w:tcPr>
          <w:p w14:paraId="7E993E31" w14:textId="77777777" w:rsidR="00A61FF5" w:rsidRPr="006E49EE" w:rsidRDefault="00A61FF5" w:rsidP="00980848">
            <w:pPr>
              <w:pStyle w:val="ESTableBody"/>
              <w:jc w:val="right"/>
              <w:rPr>
                <w:lang w:val="en-AU"/>
              </w:rPr>
            </w:pPr>
            <w:r w:rsidRPr="006E49EE">
              <w:rPr>
                <w:lang w:val="en-AU"/>
              </w:rPr>
              <w:t>number</w:t>
            </w:r>
          </w:p>
        </w:tc>
        <w:tc>
          <w:tcPr>
            <w:tcW w:w="500" w:type="pct"/>
            <w:shd w:val="clear" w:color="auto" w:fill="auto"/>
          </w:tcPr>
          <w:p w14:paraId="57F3C9EC" w14:textId="77777777" w:rsidR="00A61FF5" w:rsidRPr="006E49EE" w:rsidRDefault="00A61FF5" w:rsidP="00980848">
            <w:pPr>
              <w:pStyle w:val="ESTableBody"/>
              <w:jc w:val="right"/>
              <w:rPr>
                <w:lang w:val="en-AU"/>
              </w:rPr>
            </w:pPr>
            <w:r w:rsidRPr="006E49EE">
              <w:rPr>
                <w:lang w:val="en-AU"/>
              </w:rPr>
              <w:t>110,200</w:t>
            </w:r>
          </w:p>
        </w:tc>
        <w:tc>
          <w:tcPr>
            <w:tcW w:w="500" w:type="pct"/>
            <w:shd w:val="clear" w:color="auto" w:fill="auto"/>
          </w:tcPr>
          <w:p w14:paraId="3E9640C5" w14:textId="77777777" w:rsidR="00A61FF5" w:rsidRPr="006E49EE" w:rsidRDefault="00A61FF5" w:rsidP="00980848">
            <w:pPr>
              <w:pStyle w:val="ESTableBody"/>
              <w:jc w:val="right"/>
              <w:rPr>
                <w:lang w:val="en-AU"/>
              </w:rPr>
            </w:pPr>
            <w:r w:rsidRPr="006E49EE">
              <w:rPr>
                <w:lang w:val="en-AU"/>
              </w:rPr>
              <w:t>114,300</w:t>
            </w:r>
          </w:p>
        </w:tc>
        <w:tc>
          <w:tcPr>
            <w:tcW w:w="500" w:type="pct"/>
            <w:shd w:val="clear" w:color="auto" w:fill="auto"/>
          </w:tcPr>
          <w:p w14:paraId="253F9DD5" w14:textId="77777777" w:rsidR="00A61FF5" w:rsidRPr="006E49EE" w:rsidRDefault="00A61FF5" w:rsidP="00980848">
            <w:pPr>
              <w:pStyle w:val="ESTableBody"/>
              <w:jc w:val="right"/>
              <w:rPr>
                <w:lang w:val="en-AU"/>
              </w:rPr>
            </w:pPr>
            <w:r w:rsidRPr="006E49EE">
              <w:rPr>
                <w:lang w:val="en-AU"/>
              </w:rPr>
              <w:t>86,100</w:t>
            </w:r>
          </w:p>
        </w:tc>
        <w:tc>
          <w:tcPr>
            <w:tcW w:w="500" w:type="pct"/>
            <w:shd w:val="clear" w:color="auto" w:fill="auto"/>
          </w:tcPr>
          <w:p w14:paraId="1496CD2C" w14:textId="77777777" w:rsidR="00A61FF5" w:rsidRPr="006E49EE" w:rsidRDefault="00A61FF5" w:rsidP="00980848">
            <w:pPr>
              <w:pStyle w:val="ESTableBody"/>
              <w:jc w:val="right"/>
              <w:rPr>
                <w:lang w:val="en-AU"/>
              </w:rPr>
            </w:pPr>
            <w:r w:rsidRPr="006E49EE">
              <w:rPr>
                <w:lang w:val="en-AU"/>
              </w:rPr>
              <w:t>70,800</w:t>
            </w:r>
          </w:p>
        </w:tc>
        <w:tc>
          <w:tcPr>
            <w:tcW w:w="500" w:type="pct"/>
          </w:tcPr>
          <w:p w14:paraId="7849CDD3" w14:textId="77777777" w:rsidR="00A61FF5" w:rsidRPr="006E49EE" w:rsidRDefault="00A61FF5" w:rsidP="00980848">
            <w:pPr>
              <w:pStyle w:val="ESTableBody"/>
              <w:jc w:val="right"/>
              <w:rPr>
                <w:lang w:val="en-AU"/>
              </w:rPr>
            </w:pPr>
            <w:r w:rsidRPr="006E49EE">
              <w:rPr>
                <w:lang w:val="en-AU"/>
              </w:rPr>
              <w:t>64,700</w:t>
            </w:r>
          </w:p>
        </w:tc>
      </w:tr>
      <w:tr w:rsidR="00980848" w:rsidRPr="00932A90" w14:paraId="248A5C75" w14:textId="77777777" w:rsidTr="004576EA">
        <w:tc>
          <w:tcPr>
            <w:tcW w:w="2000" w:type="pct"/>
            <w:shd w:val="clear" w:color="auto" w:fill="auto"/>
          </w:tcPr>
          <w:p w14:paraId="78369FED" w14:textId="77777777" w:rsidR="00A61FF5" w:rsidRPr="006E49EE" w:rsidRDefault="00A61FF5" w:rsidP="00D07480">
            <w:pPr>
              <w:pStyle w:val="ESTableBody"/>
              <w:rPr>
                <w:lang w:val="en-AU"/>
              </w:rPr>
            </w:pPr>
            <w:r w:rsidRPr="006E49EE">
              <w:rPr>
                <w:lang w:val="en-AU"/>
              </w:rPr>
              <w:t>South Eastern</w:t>
            </w:r>
          </w:p>
        </w:tc>
        <w:tc>
          <w:tcPr>
            <w:tcW w:w="500" w:type="pct"/>
            <w:shd w:val="clear" w:color="auto" w:fill="auto"/>
          </w:tcPr>
          <w:p w14:paraId="62A24B1F" w14:textId="77777777" w:rsidR="00A61FF5" w:rsidRPr="006E49EE" w:rsidRDefault="00A61FF5" w:rsidP="00980848">
            <w:pPr>
              <w:pStyle w:val="ESTableBody"/>
              <w:jc w:val="right"/>
              <w:rPr>
                <w:lang w:val="en-AU"/>
              </w:rPr>
            </w:pPr>
            <w:r w:rsidRPr="006E49EE">
              <w:rPr>
                <w:lang w:val="en-AU"/>
              </w:rPr>
              <w:t>number</w:t>
            </w:r>
          </w:p>
        </w:tc>
        <w:tc>
          <w:tcPr>
            <w:tcW w:w="500" w:type="pct"/>
            <w:shd w:val="clear" w:color="auto" w:fill="auto"/>
          </w:tcPr>
          <w:p w14:paraId="0728C034" w14:textId="77777777" w:rsidR="00A61FF5" w:rsidRPr="006E49EE" w:rsidRDefault="00A61FF5" w:rsidP="00980848">
            <w:pPr>
              <w:pStyle w:val="ESTableBody"/>
              <w:jc w:val="right"/>
              <w:rPr>
                <w:lang w:val="en-AU"/>
              </w:rPr>
            </w:pPr>
            <w:r w:rsidRPr="006E49EE">
              <w:rPr>
                <w:lang w:val="en-AU"/>
              </w:rPr>
              <w:t>159,500</w:t>
            </w:r>
          </w:p>
        </w:tc>
        <w:tc>
          <w:tcPr>
            <w:tcW w:w="500" w:type="pct"/>
            <w:shd w:val="clear" w:color="auto" w:fill="auto"/>
          </w:tcPr>
          <w:p w14:paraId="4162397F" w14:textId="77777777" w:rsidR="00A61FF5" w:rsidRPr="006E49EE" w:rsidRDefault="00A61FF5" w:rsidP="00980848">
            <w:pPr>
              <w:pStyle w:val="ESTableBody"/>
              <w:jc w:val="right"/>
              <w:rPr>
                <w:lang w:val="en-AU"/>
              </w:rPr>
            </w:pPr>
            <w:r w:rsidRPr="006E49EE">
              <w:rPr>
                <w:lang w:val="en-AU"/>
              </w:rPr>
              <w:t>153,200</w:t>
            </w:r>
          </w:p>
        </w:tc>
        <w:tc>
          <w:tcPr>
            <w:tcW w:w="500" w:type="pct"/>
            <w:shd w:val="clear" w:color="auto" w:fill="auto"/>
          </w:tcPr>
          <w:p w14:paraId="70449639" w14:textId="77777777" w:rsidR="00A61FF5" w:rsidRPr="006E49EE" w:rsidRDefault="00A61FF5" w:rsidP="00980848">
            <w:pPr>
              <w:pStyle w:val="ESTableBody"/>
              <w:jc w:val="right"/>
              <w:rPr>
                <w:lang w:val="en-AU"/>
              </w:rPr>
            </w:pPr>
            <w:r w:rsidRPr="006E49EE">
              <w:rPr>
                <w:lang w:val="en-AU"/>
              </w:rPr>
              <w:t>130,900</w:t>
            </w:r>
          </w:p>
        </w:tc>
        <w:tc>
          <w:tcPr>
            <w:tcW w:w="500" w:type="pct"/>
            <w:shd w:val="clear" w:color="auto" w:fill="auto"/>
          </w:tcPr>
          <w:p w14:paraId="124407CA" w14:textId="77777777" w:rsidR="00A61FF5" w:rsidRPr="006E49EE" w:rsidRDefault="00A61FF5" w:rsidP="00980848">
            <w:pPr>
              <w:pStyle w:val="ESTableBody"/>
              <w:jc w:val="right"/>
              <w:rPr>
                <w:lang w:val="en-AU"/>
              </w:rPr>
            </w:pPr>
            <w:r w:rsidRPr="006E49EE">
              <w:rPr>
                <w:lang w:val="en-AU"/>
              </w:rPr>
              <w:t>116,300</w:t>
            </w:r>
          </w:p>
        </w:tc>
        <w:tc>
          <w:tcPr>
            <w:tcW w:w="500" w:type="pct"/>
          </w:tcPr>
          <w:p w14:paraId="56EB8641" w14:textId="77777777" w:rsidR="00A61FF5" w:rsidRPr="006E49EE" w:rsidRDefault="00A61FF5" w:rsidP="00980848">
            <w:pPr>
              <w:pStyle w:val="ESTableBody"/>
              <w:jc w:val="right"/>
              <w:rPr>
                <w:lang w:val="en-AU"/>
              </w:rPr>
            </w:pPr>
            <w:r w:rsidRPr="006E49EE">
              <w:rPr>
                <w:lang w:val="en-AU"/>
              </w:rPr>
              <w:t>92,500</w:t>
            </w:r>
          </w:p>
        </w:tc>
      </w:tr>
      <w:tr w:rsidR="00A61FF5" w:rsidRPr="00932A90" w14:paraId="6FA8B562" w14:textId="77777777" w:rsidTr="004576EA">
        <w:tc>
          <w:tcPr>
            <w:tcW w:w="500" w:type="pct"/>
            <w:gridSpan w:val="7"/>
            <w:shd w:val="clear" w:color="auto" w:fill="auto"/>
          </w:tcPr>
          <w:p w14:paraId="6B09BD1B" w14:textId="77777777" w:rsidR="00A61FF5" w:rsidRPr="006E49EE" w:rsidRDefault="00A61FF5" w:rsidP="009A0BAD">
            <w:pPr>
              <w:pStyle w:val="ESTableheading"/>
              <w:rPr>
                <w:lang w:val="en-AU"/>
              </w:rPr>
            </w:pPr>
            <w:r w:rsidRPr="006E49EE">
              <w:rPr>
                <w:lang w:val="en-AU"/>
              </w:rPr>
              <w:t>VET enrolments by courses by skills shortage category courses</w:t>
            </w:r>
          </w:p>
        </w:tc>
      </w:tr>
      <w:tr w:rsidR="00980848" w:rsidRPr="00932A90" w14:paraId="3FCF6075" w14:textId="77777777" w:rsidTr="004576EA">
        <w:tc>
          <w:tcPr>
            <w:tcW w:w="2000" w:type="pct"/>
            <w:shd w:val="clear" w:color="auto" w:fill="auto"/>
          </w:tcPr>
          <w:p w14:paraId="3643651E" w14:textId="77777777" w:rsidR="00A61FF5" w:rsidRPr="006E49EE" w:rsidRDefault="00A61FF5" w:rsidP="00D07480">
            <w:pPr>
              <w:pStyle w:val="ESTableBody"/>
              <w:rPr>
                <w:lang w:val="en-AU"/>
              </w:rPr>
            </w:pPr>
            <w:r w:rsidRPr="006E49EE">
              <w:rPr>
                <w:lang w:val="en-AU"/>
              </w:rPr>
              <w:t>Government-subsidised enrolments in skill demand occupations</w:t>
            </w:r>
          </w:p>
        </w:tc>
        <w:tc>
          <w:tcPr>
            <w:tcW w:w="500" w:type="pct"/>
            <w:shd w:val="clear" w:color="auto" w:fill="auto"/>
          </w:tcPr>
          <w:p w14:paraId="528AF4C2" w14:textId="77777777" w:rsidR="00A61FF5" w:rsidRPr="006E49EE" w:rsidRDefault="00A61FF5" w:rsidP="00980848">
            <w:pPr>
              <w:pStyle w:val="ESTableBody"/>
              <w:jc w:val="right"/>
              <w:rPr>
                <w:lang w:val="en-AU"/>
              </w:rPr>
            </w:pPr>
            <w:r w:rsidRPr="006E49EE">
              <w:rPr>
                <w:lang w:val="en-AU"/>
              </w:rPr>
              <w:t>number</w:t>
            </w:r>
          </w:p>
        </w:tc>
        <w:tc>
          <w:tcPr>
            <w:tcW w:w="500" w:type="pct"/>
            <w:shd w:val="clear" w:color="auto" w:fill="auto"/>
          </w:tcPr>
          <w:p w14:paraId="37DC8D8B" w14:textId="77777777" w:rsidR="00A61FF5" w:rsidRPr="006E49EE" w:rsidRDefault="00A61FF5" w:rsidP="00980848">
            <w:pPr>
              <w:pStyle w:val="ESTableBody"/>
              <w:jc w:val="right"/>
              <w:rPr>
                <w:lang w:val="en-AU"/>
              </w:rPr>
            </w:pPr>
            <w:r w:rsidRPr="006E49EE">
              <w:rPr>
                <w:lang w:val="en-AU"/>
              </w:rPr>
              <w:t>151,500</w:t>
            </w:r>
          </w:p>
        </w:tc>
        <w:tc>
          <w:tcPr>
            <w:tcW w:w="500" w:type="pct"/>
            <w:shd w:val="clear" w:color="auto" w:fill="auto"/>
          </w:tcPr>
          <w:p w14:paraId="232EE9E2" w14:textId="77777777" w:rsidR="00A61FF5" w:rsidRPr="006E49EE" w:rsidRDefault="00A61FF5" w:rsidP="00980848">
            <w:pPr>
              <w:pStyle w:val="ESTableBody"/>
              <w:jc w:val="right"/>
              <w:rPr>
                <w:lang w:val="en-AU"/>
              </w:rPr>
            </w:pPr>
            <w:r w:rsidRPr="006E49EE">
              <w:rPr>
                <w:lang w:val="en-AU"/>
              </w:rPr>
              <w:t>153,000</w:t>
            </w:r>
          </w:p>
        </w:tc>
        <w:tc>
          <w:tcPr>
            <w:tcW w:w="500" w:type="pct"/>
            <w:shd w:val="clear" w:color="auto" w:fill="auto"/>
          </w:tcPr>
          <w:p w14:paraId="59CF5B84" w14:textId="77777777" w:rsidR="00A61FF5" w:rsidRPr="006E49EE" w:rsidRDefault="00A61FF5" w:rsidP="00980848">
            <w:pPr>
              <w:pStyle w:val="ESTableBody"/>
              <w:jc w:val="right"/>
              <w:rPr>
                <w:lang w:val="en-AU"/>
              </w:rPr>
            </w:pPr>
            <w:r w:rsidRPr="006E49EE">
              <w:rPr>
                <w:lang w:val="en-AU"/>
              </w:rPr>
              <w:t>166,600</w:t>
            </w:r>
          </w:p>
        </w:tc>
        <w:tc>
          <w:tcPr>
            <w:tcW w:w="500" w:type="pct"/>
            <w:shd w:val="clear" w:color="auto" w:fill="auto"/>
          </w:tcPr>
          <w:p w14:paraId="02F6BDAF" w14:textId="77777777" w:rsidR="00A61FF5" w:rsidRPr="006E49EE" w:rsidRDefault="00A61FF5" w:rsidP="00980848">
            <w:pPr>
              <w:pStyle w:val="ESTableBody"/>
              <w:jc w:val="right"/>
              <w:rPr>
                <w:lang w:val="en-AU"/>
              </w:rPr>
            </w:pPr>
            <w:r w:rsidRPr="006E49EE">
              <w:rPr>
                <w:lang w:val="en-AU"/>
              </w:rPr>
              <w:t>148,100</w:t>
            </w:r>
          </w:p>
        </w:tc>
        <w:tc>
          <w:tcPr>
            <w:tcW w:w="500" w:type="pct"/>
          </w:tcPr>
          <w:p w14:paraId="4ED7972C" w14:textId="77777777" w:rsidR="00A61FF5" w:rsidRPr="006E49EE" w:rsidRDefault="00A61FF5" w:rsidP="00980848">
            <w:pPr>
              <w:pStyle w:val="ESTableBody"/>
              <w:jc w:val="right"/>
              <w:rPr>
                <w:lang w:val="en-AU"/>
              </w:rPr>
            </w:pPr>
            <w:r w:rsidRPr="006E49EE">
              <w:rPr>
                <w:lang w:val="en-AU"/>
              </w:rPr>
              <w:t>124,800</w:t>
            </w:r>
          </w:p>
        </w:tc>
      </w:tr>
      <w:tr w:rsidR="00A61FF5" w:rsidRPr="00932A90" w14:paraId="4B3F7D31" w14:textId="77777777" w:rsidTr="004576EA">
        <w:tc>
          <w:tcPr>
            <w:tcW w:w="500" w:type="pct"/>
            <w:gridSpan w:val="7"/>
            <w:shd w:val="clear" w:color="auto" w:fill="auto"/>
          </w:tcPr>
          <w:p w14:paraId="11B44172" w14:textId="77777777" w:rsidR="00A61FF5" w:rsidRPr="006E49EE" w:rsidRDefault="00A61FF5" w:rsidP="009A0BAD">
            <w:pPr>
              <w:pStyle w:val="ESTableheading"/>
              <w:rPr>
                <w:lang w:val="en-AU"/>
              </w:rPr>
            </w:pPr>
            <w:r w:rsidRPr="006E49EE">
              <w:rPr>
                <w:lang w:val="en-AU"/>
              </w:rPr>
              <w:t>VET enrolments by specialised category courses</w:t>
            </w:r>
          </w:p>
        </w:tc>
      </w:tr>
      <w:tr w:rsidR="00980848" w:rsidRPr="00932A90" w14:paraId="1E726060" w14:textId="77777777" w:rsidTr="004576EA">
        <w:tc>
          <w:tcPr>
            <w:tcW w:w="2000" w:type="pct"/>
            <w:shd w:val="clear" w:color="auto" w:fill="auto"/>
          </w:tcPr>
          <w:p w14:paraId="5DB2A547" w14:textId="77777777" w:rsidR="00A61FF5" w:rsidRPr="006E49EE" w:rsidRDefault="00A61FF5" w:rsidP="00D07480">
            <w:pPr>
              <w:pStyle w:val="ESTableBody"/>
              <w:rPr>
                <w:sz w:val="19"/>
                <w:lang w:val="en-AU"/>
              </w:rPr>
            </w:pPr>
            <w:r w:rsidRPr="006E49EE">
              <w:rPr>
                <w:lang w:val="en-AU"/>
              </w:rPr>
              <w:t>Government-subsidised enrolments in specialist occupations</w:t>
            </w:r>
            <w:r w:rsidRPr="006E49EE">
              <w:rPr>
                <w:rStyle w:val="FootnoteReference"/>
                <w:lang w:val="en-AU"/>
              </w:rPr>
              <w:footnoteReference w:id="18"/>
            </w:r>
          </w:p>
        </w:tc>
        <w:tc>
          <w:tcPr>
            <w:tcW w:w="500" w:type="pct"/>
            <w:shd w:val="clear" w:color="auto" w:fill="auto"/>
          </w:tcPr>
          <w:p w14:paraId="297B84E3" w14:textId="77777777" w:rsidR="00A61FF5" w:rsidRPr="006E49EE" w:rsidRDefault="00A61FF5" w:rsidP="00980848">
            <w:pPr>
              <w:pStyle w:val="ESTableBody"/>
              <w:jc w:val="right"/>
              <w:rPr>
                <w:lang w:val="en-AU"/>
              </w:rPr>
            </w:pPr>
            <w:r w:rsidRPr="006E49EE">
              <w:rPr>
                <w:lang w:val="en-AU"/>
              </w:rPr>
              <w:t>number</w:t>
            </w:r>
          </w:p>
        </w:tc>
        <w:tc>
          <w:tcPr>
            <w:tcW w:w="500" w:type="pct"/>
            <w:shd w:val="clear" w:color="auto" w:fill="auto"/>
          </w:tcPr>
          <w:p w14:paraId="02A5C81E" w14:textId="77777777" w:rsidR="00A61FF5" w:rsidRPr="006E49EE" w:rsidRDefault="00A61FF5" w:rsidP="00980848">
            <w:pPr>
              <w:pStyle w:val="ESTableBody"/>
              <w:jc w:val="right"/>
              <w:rPr>
                <w:lang w:val="en-AU"/>
              </w:rPr>
            </w:pPr>
            <w:r w:rsidRPr="006E49EE">
              <w:rPr>
                <w:lang w:val="en-AU"/>
              </w:rPr>
              <w:t>79,300</w:t>
            </w:r>
          </w:p>
        </w:tc>
        <w:tc>
          <w:tcPr>
            <w:tcW w:w="500" w:type="pct"/>
            <w:shd w:val="clear" w:color="auto" w:fill="auto"/>
          </w:tcPr>
          <w:p w14:paraId="2CFADD99" w14:textId="77777777" w:rsidR="00A61FF5" w:rsidRPr="006E49EE" w:rsidRDefault="00A61FF5" w:rsidP="00980848">
            <w:pPr>
              <w:pStyle w:val="ESTableBody"/>
              <w:jc w:val="right"/>
              <w:rPr>
                <w:lang w:val="en-AU"/>
              </w:rPr>
            </w:pPr>
            <w:r w:rsidRPr="006E49EE">
              <w:rPr>
                <w:lang w:val="en-AU"/>
              </w:rPr>
              <w:t>89,600</w:t>
            </w:r>
          </w:p>
        </w:tc>
        <w:tc>
          <w:tcPr>
            <w:tcW w:w="500" w:type="pct"/>
            <w:shd w:val="clear" w:color="auto" w:fill="auto"/>
          </w:tcPr>
          <w:p w14:paraId="2F1400FD" w14:textId="77777777" w:rsidR="00A61FF5" w:rsidRPr="006E49EE" w:rsidRDefault="00A61FF5" w:rsidP="00980848">
            <w:pPr>
              <w:pStyle w:val="ESTableBody"/>
              <w:jc w:val="right"/>
              <w:rPr>
                <w:lang w:val="en-AU"/>
              </w:rPr>
            </w:pPr>
            <w:r w:rsidRPr="006E49EE">
              <w:rPr>
                <w:lang w:val="en-AU"/>
              </w:rPr>
              <w:t>88,900</w:t>
            </w:r>
          </w:p>
        </w:tc>
        <w:tc>
          <w:tcPr>
            <w:tcW w:w="500" w:type="pct"/>
            <w:shd w:val="clear" w:color="auto" w:fill="auto"/>
          </w:tcPr>
          <w:p w14:paraId="2D76C28D" w14:textId="77777777" w:rsidR="00A61FF5" w:rsidRPr="006E49EE" w:rsidRDefault="00A61FF5" w:rsidP="00980848">
            <w:pPr>
              <w:pStyle w:val="ESTableBody"/>
              <w:jc w:val="right"/>
              <w:rPr>
                <w:lang w:val="en-AU"/>
              </w:rPr>
            </w:pPr>
            <w:r w:rsidRPr="006E49EE">
              <w:rPr>
                <w:lang w:val="en-AU"/>
              </w:rPr>
              <w:t>83,800</w:t>
            </w:r>
          </w:p>
        </w:tc>
        <w:tc>
          <w:tcPr>
            <w:tcW w:w="500" w:type="pct"/>
          </w:tcPr>
          <w:p w14:paraId="4012707E" w14:textId="77777777" w:rsidR="00A61FF5" w:rsidRPr="006E49EE" w:rsidRDefault="00A61FF5" w:rsidP="00980848">
            <w:pPr>
              <w:pStyle w:val="ESTableBody"/>
              <w:jc w:val="right"/>
              <w:rPr>
                <w:lang w:val="en-AU"/>
              </w:rPr>
            </w:pPr>
            <w:r w:rsidRPr="006E49EE">
              <w:rPr>
                <w:lang w:val="en-AU"/>
              </w:rPr>
              <w:t>74,400</w:t>
            </w:r>
          </w:p>
        </w:tc>
      </w:tr>
      <w:tr w:rsidR="00A61FF5" w:rsidRPr="00932A90" w14:paraId="74FEE88A" w14:textId="77777777" w:rsidTr="004576EA">
        <w:trPr>
          <w:trHeight w:val="439"/>
        </w:trPr>
        <w:tc>
          <w:tcPr>
            <w:tcW w:w="500" w:type="pct"/>
            <w:gridSpan w:val="7"/>
            <w:shd w:val="clear" w:color="auto" w:fill="auto"/>
          </w:tcPr>
          <w:p w14:paraId="24E80B1C" w14:textId="77777777" w:rsidR="00A61FF5" w:rsidRPr="006E49EE" w:rsidRDefault="00A61FF5" w:rsidP="009A0BAD">
            <w:pPr>
              <w:pStyle w:val="ESTableheading"/>
              <w:rPr>
                <w:lang w:val="en-AU"/>
              </w:rPr>
            </w:pPr>
            <w:r w:rsidRPr="006E49EE">
              <w:rPr>
                <w:lang w:val="en-AU"/>
              </w:rPr>
              <w:t xml:space="preserve">VET participation by unemployed learners </w:t>
            </w:r>
          </w:p>
        </w:tc>
      </w:tr>
      <w:tr w:rsidR="00980848" w:rsidRPr="00932A90" w14:paraId="5C691186" w14:textId="77777777" w:rsidTr="004576EA">
        <w:tc>
          <w:tcPr>
            <w:tcW w:w="2000" w:type="pct"/>
            <w:shd w:val="clear" w:color="auto" w:fill="auto"/>
          </w:tcPr>
          <w:p w14:paraId="722BFF40" w14:textId="77777777" w:rsidR="00A61FF5" w:rsidRPr="006E49EE" w:rsidRDefault="00A61FF5" w:rsidP="00D07480">
            <w:pPr>
              <w:pStyle w:val="ESTableBody"/>
              <w:rPr>
                <w:lang w:val="en-AU"/>
              </w:rPr>
            </w:pPr>
            <w:r w:rsidRPr="006E49EE">
              <w:rPr>
                <w:lang w:val="en-AU"/>
              </w:rPr>
              <w:t>VET participation by unemployed learners</w:t>
            </w:r>
          </w:p>
        </w:tc>
        <w:tc>
          <w:tcPr>
            <w:tcW w:w="500" w:type="pct"/>
            <w:shd w:val="clear" w:color="auto" w:fill="auto"/>
          </w:tcPr>
          <w:p w14:paraId="1CEC23AD" w14:textId="77777777" w:rsidR="00A61FF5" w:rsidRPr="006E49EE" w:rsidRDefault="00A61FF5" w:rsidP="00980848">
            <w:pPr>
              <w:pStyle w:val="ESTableBody"/>
              <w:jc w:val="right"/>
              <w:rPr>
                <w:lang w:val="en-AU"/>
              </w:rPr>
            </w:pPr>
            <w:r w:rsidRPr="006E49EE">
              <w:rPr>
                <w:lang w:val="en-AU"/>
              </w:rPr>
              <w:t>number</w:t>
            </w:r>
          </w:p>
        </w:tc>
        <w:tc>
          <w:tcPr>
            <w:tcW w:w="500" w:type="pct"/>
            <w:shd w:val="clear" w:color="auto" w:fill="auto"/>
          </w:tcPr>
          <w:p w14:paraId="2A216D34" w14:textId="77777777" w:rsidR="00A61FF5" w:rsidRPr="006E49EE" w:rsidRDefault="00A61FF5" w:rsidP="00980848">
            <w:pPr>
              <w:pStyle w:val="ESTableBody"/>
              <w:jc w:val="right"/>
              <w:rPr>
                <w:lang w:val="en-AU"/>
              </w:rPr>
            </w:pPr>
            <w:r w:rsidRPr="006E49EE">
              <w:rPr>
                <w:lang w:val="en-AU"/>
              </w:rPr>
              <w:t>118,500</w:t>
            </w:r>
          </w:p>
        </w:tc>
        <w:tc>
          <w:tcPr>
            <w:tcW w:w="500" w:type="pct"/>
            <w:shd w:val="clear" w:color="auto" w:fill="auto"/>
          </w:tcPr>
          <w:p w14:paraId="5F67370F" w14:textId="77777777" w:rsidR="00A61FF5" w:rsidRPr="006E49EE" w:rsidRDefault="00A61FF5" w:rsidP="00980848">
            <w:pPr>
              <w:pStyle w:val="ESTableBody"/>
              <w:jc w:val="right"/>
              <w:rPr>
                <w:lang w:val="en-AU"/>
              </w:rPr>
            </w:pPr>
            <w:r w:rsidRPr="006E49EE">
              <w:rPr>
                <w:lang w:val="en-AU"/>
              </w:rPr>
              <w:t>135,000</w:t>
            </w:r>
          </w:p>
        </w:tc>
        <w:tc>
          <w:tcPr>
            <w:tcW w:w="500" w:type="pct"/>
            <w:shd w:val="clear" w:color="auto" w:fill="auto"/>
          </w:tcPr>
          <w:p w14:paraId="15B82C1E" w14:textId="77777777" w:rsidR="00A61FF5" w:rsidRPr="006E49EE" w:rsidRDefault="00A61FF5" w:rsidP="00980848">
            <w:pPr>
              <w:pStyle w:val="ESTableBody"/>
              <w:jc w:val="right"/>
              <w:rPr>
                <w:lang w:val="en-AU"/>
              </w:rPr>
            </w:pPr>
            <w:r w:rsidRPr="006E49EE">
              <w:rPr>
                <w:lang w:val="en-AU"/>
              </w:rPr>
              <w:t>135,900</w:t>
            </w:r>
          </w:p>
        </w:tc>
        <w:tc>
          <w:tcPr>
            <w:tcW w:w="500" w:type="pct"/>
            <w:shd w:val="clear" w:color="auto" w:fill="auto"/>
          </w:tcPr>
          <w:p w14:paraId="5581436E" w14:textId="77777777" w:rsidR="00A61FF5" w:rsidRPr="006E49EE" w:rsidRDefault="00A61FF5" w:rsidP="00980848">
            <w:pPr>
              <w:pStyle w:val="ESTableBody"/>
              <w:jc w:val="right"/>
              <w:rPr>
                <w:lang w:val="en-AU"/>
              </w:rPr>
            </w:pPr>
            <w:r w:rsidRPr="006E49EE">
              <w:rPr>
                <w:lang w:val="en-AU"/>
              </w:rPr>
              <w:t>113,200</w:t>
            </w:r>
          </w:p>
        </w:tc>
        <w:tc>
          <w:tcPr>
            <w:tcW w:w="500" w:type="pct"/>
          </w:tcPr>
          <w:p w14:paraId="5B04A634" w14:textId="77777777" w:rsidR="00A61FF5" w:rsidRPr="006E49EE" w:rsidRDefault="00A61FF5" w:rsidP="00980848">
            <w:pPr>
              <w:pStyle w:val="ESTableBody"/>
              <w:jc w:val="right"/>
              <w:rPr>
                <w:lang w:val="en-AU"/>
              </w:rPr>
            </w:pPr>
            <w:r w:rsidRPr="006E49EE">
              <w:rPr>
                <w:lang w:val="en-AU"/>
              </w:rPr>
              <w:t>87,900</w:t>
            </w:r>
          </w:p>
        </w:tc>
      </w:tr>
      <w:tr w:rsidR="00A61FF5" w:rsidRPr="00932A90" w14:paraId="2B0031C3" w14:textId="77777777" w:rsidTr="004576EA">
        <w:tc>
          <w:tcPr>
            <w:tcW w:w="500" w:type="pct"/>
            <w:gridSpan w:val="7"/>
            <w:shd w:val="clear" w:color="auto" w:fill="auto"/>
          </w:tcPr>
          <w:p w14:paraId="45D22C74" w14:textId="77777777" w:rsidR="00A61FF5" w:rsidRPr="006E49EE" w:rsidRDefault="00A61FF5" w:rsidP="009A0BAD">
            <w:pPr>
              <w:pStyle w:val="ESTableheading"/>
              <w:rPr>
                <w:lang w:val="en-AU"/>
              </w:rPr>
            </w:pPr>
            <w:r w:rsidRPr="006E49EE">
              <w:rPr>
                <w:lang w:val="en-AU"/>
              </w:rPr>
              <w:t>Proportion of VET students satisfied with the teaching in their course</w:t>
            </w:r>
          </w:p>
        </w:tc>
      </w:tr>
      <w:tr w:rsidR="00980848" w:rsidRPr="00932A90" w14:paraId="1D8E4010" w14:textId="77777777" w:rsidTr="004576EA">
        <w:tc>
          <w:tcPr>
            <w:tcW w:w="2000" w:type="pct"/>
            <w:tcBorders>
              <w:bottom w:val="single" w:sz="4" w:space="0" w:color="auto"/>
            </w:tcBorders>
            <w:shd w:val="clear" w:color="auto" w:fill="auto"/>
          </w:tcPr>
          <w:p w14:paraId="4181D497" w14:textId="77777777" w:rsidR="00A61FF5" w:rsidRPr="006E49EE" w:rsidRDefault="00A61FF5" w:rsidP="00D07480">
            <w:pPr>
              <w:pStyle w:val="ESTableBody"/>
              <w:rPr>
                <w:lang w:val="en-AU"/>
              </w:rPr>
            </w:pPr>
            <w:r w:rsidRPr="006E49EE">
              <w:rPr>
                <w:lang w:val="en-AU"/>
              </w:rPr>
              <w:t>Proportion of VET students satisfied with the teaching in their course</w:t>
            </w:r>
          </w:p>
        </w:tc>
        <w:tc>
          <w:tcPr>
            <w:tcW w:w="500" w:type="pct"/>
            <w:tcBorders>
              <w:bottom w:val="single" w:sz="4" w:space="0" w:color="auto"/>
            </w:tcBorders>
            <w:shd w:val="clear" w:color="auto" w:fill="auto"/>
          </w:tcPr>
          <w:p w14:paraId="2CC57B06" w14:textId="77777777" w:rsidR="00A61FF5" w:rsidRPr="006E49EE" w:rsidRDefault="00A61FF5" w:rsidP="00D07480">
            <w:pPr>
              <w:pStyle w:val="ESTableBody"/>
              <w:jc w:val="right"/>
              <w:rPr>
                <w:lang w:val="en-AU"/>
              </w:rPr>
            </w:pPr>
            <w:r w:rsidRPr="006E49EE">
              <w:rPr>
                <w:lang w:val="en-AU"/>
              </w:rPr>
              <w:t>per cent</w:t>
            </w:r>
          </w:p>
        </w:tc>
        <w:tc>
          <w:tcPr>
            <w:tcW w:w="500" w:type="pct"/>
            <w:tcBorders>
              <w:bottom w:val="single" w:sz="4" w:space="0" w:color="auto"/>
            </w:tcBorders>
            <w:shd w:val="clear" w:color="auto" w:fill="auto"/>
          </w:tcPr>
          <w:p w14:paraId="2F0D6AAD" w14:textId="77777777" w:rsidR="00A61FF5" w:rsidRPr="006E49EE" w:rsidRDefault="00A61FF5" w:rsidP="006E49EE">
            <w:pPr>
              <w:pStyle w:val="ESTableBody"/>
              <w:jc w:val="right"/>
              <w:rPr>
                <w:lang w:val="en-AU"/>
              </w:rPr>
            </w:pPr>
            <w:r w:rsidRPr="006E49EE">
              <w:rPr>
                <w:lang w:val="en-AU"/>
              </w:rPr>
              <w:t>91.1</w:t>
            </w:r>
          </w:p>
        </w:tc>
        <w:tc>
          <w:tcPr>
            <w:tcW w:w="500" w:type="pct"/>
            <w:tcBorders>
              <w:bottom w:val="single" w:sz="4" w:space="0" w:color="auto"/>
            </w:tcBorders>
            <w:shd w:val="clear" w:color="auto" w:fill="auto"/>
          </w:tcPr>
          <w:p w14:paraId="30C22BFE" w14:textId="77777777" w:rsidR="00A61FF5" w:rsidRPr="006E49EE" w:rsidRDefault="00A61FF5" w:rsidP="006E49EE">
            <w:pPr>
              <w:pStyle w:val="ESTableBody"/>
              <w:jc w:val="right"/>
              <w:rPr>
                <w:lang w:val="en-AU"/>
              </w:rPr>
            </w:pPr>
            <w:r w:rsidRPr="006E49EE">
              <w:rPr>
                <w:lang w:val="en-AU"/>
              </w:rPr>
              <w:t>88.8</w:t>
            </w:r>
          </w:p>
        </w:tc>
        <w:tc>
          <w:tcPr>
            <w:tcW w:w="500" w:type="pct"/>
            <w:tcBorders>
              <w:bottom w:val="single" w:sz="4" w:space="0" w:color="auto"/>
            </w:tcBorders>
            <w:shd w:val="clear" w:color="auto" w:fill="auto"/>
          </w:tcPr>
          <w:p w14:paraId="241E6B25" w14:textId="77777777" w:rsidR="00A61FF5" w:rsidRPr="006E49EE" w:rsidRDefault="00A61FF5" w:rsidP="006E49EE">
            <w:pPr>
              <w:pStyle w:val="ESTableBody"/>
              <w:jc w:val="right"/>
              <w:rPr>
                <w:lang w:val="en-AU"/>
              </w:rPr>
            </w:pPr>
            <w:r w:rsidRPr="006E49EE">
              <w:rPr>
                <w:lang w:val="en-AU"/>
              </w:rPr>
              <w:t>88.6</w:t>
            </w:r>
          </w:p>
        </w:tc>
        <w:tc>
          <w:tcPr>
            <w:tcW w:w="500" w:type="pct"/>
            <w:tcBorders>
              <w:bottom w:val="single" w:sz="4" w:space="0" w:color="auto"/>
            </w:tcBorders>
            <w:shd w:val="clear" w:color="auto" w:fill="auto"/>
          </w:tcPr>
          <w:p w14:paraId="3E0122F0" w14:textId="77777777" w:rsidR="00A61FF5" w:rsidRPr="006E49EE" w:rsidRDefault="00A61FF5" w:rsidP="006E49EE">
            <w:pPr>
              <w:pStyle w:val="ESTableBody"/>
              <w:jc w:val="right"/>
              <w:rPr>
                <w:lang w:val="en-AU"/>
              </w:rPr>
            </w:pPr>
            <w:r w:rsidRPr="006E49EE">
              <w:rPr>
                <w:lang w:val="en-AU"/>
              </w:rPr>
              <w:t>87.6</w:t>
            </w:r>
          </w:p>
        </w:tc>
        <w:tc>
          <w:tcPr>
            <w:tcW w:w="500" w:type="pct"/>
            <w:tcBorders>
              <w:bottom w:val="single" w:sz="4" w:space="0" w:color="auto"/>
            </w:tcBorders>
          </w:tcPr>
          <w:p w14:paraId="4CA62961" w14:textId="77777777" w:rsidR="00A61FF5" w:rsidRPr="006E49EE" w:rsidRDefault="00A61FF5" w:rsidP="006E49EE">
            <w:pPr>
              <w:pStyle w:val="ESTableBody"/>
              <w:jc w:val="right"/>
              <w:rPr>
                <w:lang w:val="en-AU"/>
              </w:rPr>
            </w:pPr>
            <w:r w:rsidRPr="006E49EE">
              <w:rPr>
                <w:lang w:val="en-AU"/>
              </w:rPr>
              <w:t>83.5</w:t>
            </w:r>
          </w:p>
        </w:tc>
      </w:tr>
    </w:tbl>
    <w:p w14:paraId="753C66C6" w14:textId="77777777" w:rsidR="00A61FF5" w:rsidRPr="006E49EE" w:rsidRDefault="00A61FF5" w:rsidP="00A61FF5">
      <w:pPr>
        <w:pStyle w:val="ESHeading3"/>
        <w:rPr>
          <w:lang w:val="en-AU"/>
        </w:rPr>
      </w:pPr>
      <w:r w:rsidRPr="006E49EE">
        <w:rPr>
          <w:lang w:val="en-AU"/>
        </w:rPr>
        <w:t>Objective 3: Wellbeing</w:t>
      </w:r>
    </w:p>
    <w:p w14:paraId="293FA647" w14:textId="77777777" w:rsidR="00A61FF5" w:rsidRPr="006E49EE" w:rsidRDefault="00A61FF5" w:rsidP="00A61FF5">
      <w:pPr>
        <w:pStyle w:val="ESQuotetext"/>
        <w:rPr>
          <w:lang w:val="en-AU"/>
        </w:rPr>
      </w:pPr>
      <w:r w:rsidRPr="006E49EE">
        <w:rPr>
          <w:lang w:val="en-AU"/>
        </w:rPr>
        <w:t>Increase the contribution that education, development and child health services make to Victorians’ good health and quality of life, particularly for children and young people.</w:t>
      </w:r>
    </w:p>
    <w:p w14:paraId="09DABE73" w14:textId="77777777" w:rsidR="00A61FF5" w:rsidRPr="006E49EE" w:rsidRDefault="00A61FF5" w:rsidP="00A61FF5">
      <w:pPr>
        <w:pStyle w:val="ESBodyText"/>
        <w:rPr>
          <w:lang w:val="en-AU"/>
        </w:rPr>
      </w:pPr>
      <w:r w:rsidRPr="006E49EE">
        <w:rPr>
          <w:lang w:val="en-AU"/>
        </w:rPr>
        <w:t>All Victoria’s children and young people deserve not only the best education system, but also a system that best promotes and nurtures health and wellbeing. The Education State agenda prioritises this. Reforms seek to develop happy, healthy and resilient children and young people who are engaged with their learning and development journey regardless of their social or economic background.</w:t>
      </w:r>
    </w:p>
    <w:p w14:paraId="27C8EE49" w14:textId="57F1604B" w:rsidR="00A61FF5" w:rsidRPr="00F51FCE" w:rsidRDefault="00A61FF5" w:rsidP="00A61FF5">
      <w:pPr>
        <w:pStyle w:val="ESBodyText"/>
        <w:rPr>
          <w:lang w:val="en-AU"/>
        </w:rPr>
      </w:pPr>
      <w:r w:rsidRPr="006E49EE">
        <w:rPr>
          <w:lang w:val="en-AU"/>
        </w:rPr>
        <w:t xml:space="preserve">In early childhood, MCH services play an important role in improving children’s health and quality of life by identifying health, behavioural and developmental challenges at an early stage, while encouraging positive health and safety behaviours such as breastfeeding, </w:t>
      </w:r>
      <w:r w:rsidRPr="00F51FCE">
        <w:rPr>
          <w:lang w:val="en-AU"/>
        </w:rPr>
        <w:t>immunisation, safe sleeping and he</w:t>
      </w:r>
      <w:r w:rsidR="003A0F4F">
        <w:rPr>
          <w:lang w:val="en-AU"/>
        </w:rPr>
        <w:t xml:space="preserve">althy eating. </w:t>
      </w:r>
      <w:r w:rsidR="003A0F4F" w:rsidRPr="00AA0785">
        <w:rPr>
          <w:lang w:val="en-AU"/>
        </w:rPr>
        <w:t>B</w:t>
      </w:r>
      <w:r w:rsidRPr="00AA0785">
        <w:rPr>
          <w:lang w:val="en-AU"/>
        </w:rPr>
        <w:t xml:space="preserve">reastfeeding rates </w:t>
      </w:r>
      <w:r w:rsidR="002C0883" w:rsidRPr="00AA0785">
        <w:rPr>
          <w:lang w:val="en-AU"/>
        </w:rPr>
        <w:t>continue to show modest</w:t>
      </w:r>
      <w:r w:rsidR="003A0F4F" w:rsidRPr="00AA0785">
        <w:rPr>
          <w:lang w:val="en-AU"/>
        </w:rPr>
        <w:t xml:space="preserve"> but consistent</w:t>
      </w:r>
      <w:r w:rsidRPr="00AA0785">
        <w:rPr>
          <w:lang w:val="en-AU"/>
        </w:rPr>
        <w:t xml:space="preserve"> increases in the proportion of infants being partially or fully breastfed at three and six months.</w:t>
      </w:r>
      <w:r w:rsidRPr="00F51FCE">
        <w:rPr>
          <w:lang w:val="en-AU"/>
        </w:rPr>
        <w:t xml:space="preserve"> One third of Victorian infants are fully breastfed at six months, which is on par with national levels.</w:t>
      </w:r>
      <w:r w:rsidR="00BB2D0F" w:rsidRPr="00F51FCE">
        <w:rPr>
          <w:lang w:val="en-AU"/>
        </w:rPr>
        <w:t xml:space="preserve"> The Department is continuing to work to improve the quality of MCH universal services, while also delivering additional, targeted support to families that need it most.</w:t>
      </w:r>
    </w:p>
    <w:p w14:paraId="626A3C50" w14:textId="4CA013F4" w:rsidR="00A61FF5" w:rsidRPr="00F51FCE" w:rsidRDefault="00A61FF5" w:rsidP="00A61FF5">
      <w:pPr>
        <w:pStyle w:val="ESBodyText"/>
        <w:rPr>
          <w:lang w:val="en-AU"/>
        </w:rPr>
      </w:pPr>
      <w:r w:rsidRPr="00F51FCE">
        <w:rPr>
          <w:lang w:val="en-AU"/>
        </w:rPr>
        <w:t>Outcomes are positive for most Victorian children starting Prep. Data shows that more than 80 per cent start school with a low risk of behavio</w:t>
      </w:r>
      <w:r w:rsidR="00161909" w:rsidRPr="00F51FCE">
        <w:rPr>
          <w:lang w:val="en-AU"/>
        </w:rPr>
        <w:t>u</w:t>
      </w:r>
      <w:r w:rsidRPr="00F51FCE">
        <w:rPr>
          <w:lang w:val="en-AU"/>
        </w:rPr>
        <w:t xml:space="preserve">ral problems (as identified by their parents through the School Entrance Health Questionnaire (SEHQ)), and more than three-quarters are assessed by their teachers as ‘on track’ against the AEDC social competence or emotional maturity domains. Results for all of these indicators have decreased slightly. </w:t>
      </w:r>
      <w:r w:rsidR="0008358E" w:rsidRPr="00F51FCE">
        <w:rPr>
          <w:lang w:val="en-AU"/>
        </w:rPr>
        <w:t xml:space="preserve">The Department also continued to make MCH services accessible to support families of all backgrounds. This included translating Key Ages and Stages resources into 23 languages to help raise awareness of the importance of behavioural and developmental issues. </w:t>
      </w:r>
      <w:r w:rsidRPr="00F51FCE">
        <w:rPr>
          <w:lang w:val="en-AU"/>
        </w:rPr>
        <w:t xml:space="preserve">The proportion of children entering Prep with parent-identified general development issues has increased, and now sits at under half the commencing students. These results may reflect </w:t>
      </w:r>
      <w:r w:rsidR="0008358E" w:rsidRPr="00F51FCE">
        <w:rPr>
          <w:lang w:val="en-AU"/>
        </w:rPr>
        <w:t xml:space="preserve">an </w:t>
      </w:r>
      <w:r w:rsidRPr="00F51FCE">
        <w:rPr>
          <w:lang w:val="en-AU"/>
        </w:rPr>
        <w:t>increasing parental awareness of the importance of behavi</w:t>
      </w:r>
      <w:r w:rsidR="0008358E" w:rsidRPr="00F51FCE">
        <w:rPr>
          <w:lang w:val="en-AU"/>
        </w:rPr>
        <w:t>oural and developmental issues as a result of improved programs and resources</w:t>
      </w:r>
      <w:r w:rsidRPr="00F51FCE">
        <w:rPr>
          <w:lang w:val="en-AU"/>
        </w:rPr>
        <w:t>.</w:t>
      </w:r>
    </w:p>
    <w:p w14:paraId="4323D137" w14:textId="77777777" w:rsidR="00E363A9" w:rsidRPr="00F51FCE" w:rsidRDefault="00A61FF5" w:rsidP="00E363A9">
      <w:pPr>
        <w:pStyle w:val="ESBodyText"/>
        <w:rPr>
          <w:lang w:val="en-AU"/>
        </w:rPr>
      </w:pPr>
      <w:r w:rsidRPr="00F51FCE">
        <w:rPr>
          <w:lang w:val="en-AU"/>
        </w:rPr>
        <w:t xml:space="preserve">Student wellbeing factors, such as feeling safe and connected to school, have an impact on many aspects of school life. Most Victorian government school students feel connected to their school. </w:t>
      </w:r>
      <w:r w:rsidR="00E363A9" w:rsidRPr="00F51FCE">
        <w:rPr>
          <w:lang w:val="en-AU"/>
        </w:rPr>
        <w:t>Although, since 2012,</w:t>
      </w:r>
      <w:r w:rsidRPr="00F51FCE">
        <w:rPr>
          <w:lang w:val="en-AU"/>
        </w:rPr>
        <w:t xml:space="preserve"> responses of primary and later secondary cohorts have trended slightly downwards. Younger students </w:t>
      </w:r>
      <w:r w:rsidR="00E363A9" w:rsidRPr="00F51FCE">
        <w:rPr>
          <w:lang w:val="en-AU"/>
        </w:rPr>
        <w:t>are</w:t>
      </w:r>
      <w:r w:rsidRPr="00F51FCE">
        <w:rPr>
          <w:lang w:val="en-AU"/>
        </w:rPr>
        <w:t xml:space="preserve"> significantly more positive about school connectedness than older students, although they are slightly less likely to feel that their school is safe than Year 11 and 12 students. Students in Years 7–10 are the most likely to report that other students are disruptive in class. Positive responses to these questions have generally decreased from students of all year levels since 2012, with larger decreases from students in Years 10–12.</w:t>
      </w:r>
      <w:r w:rsidR="00E363A9" w:rsidRPr="00F51FCE">
        <w:rPr>
          <w:lang w:val="en-AU"/>
        </w:rPr>
        <w:t xml:space="preserve"> </w:t>
      </w:r>
    </w:p>
    <w:p w14:paraId="40A9B734" w14:textId="39B7B8AF" w:rsidR="00E363A9" w:rsidRPr="00F51FCE" w:rsidRDefault="00EE61AA" w:rsidP="00E363A9">
      <w:pPr>
        <w:pStyle w:val="ESBodyText"/>
        <w:rPr>
          <w:lang w:val="en-AU"/>
        </w:rPr>
      </w:pPr>
      <w:r w:rsidRPr="00F51FCE">
        <w:rPr>
          <w:lang w:val="en-AU"/>
        </w:rPr>
        <w:t>To build feelings of connectedness and safety, t</w:t>
      </w:r>
      <w:r w:rsidR="00E363A9" w:rsidRPr="00F51FCE">
        <w:rPr>
          <w:lang w:val="en-AU"/>
        </w:rPr>
        <w:t>he Department invests significantly in health and wellbeing suppor</w:t>
      </w:r>
      <w:r w:rsidR="00A60876" w:rsidRPr="00F51FCE">
        <w:rPr>
          <w:lang w:val="en-AU"/>
        </w:rPr>
        <w:t xml:space="preserve">t for children and young people. </w:t>
      </w:r>
      <w:r w:rsidR="00E363A9" w:rsidRPr="00F51FCE">
        <w:rPr>
          <w:lang w:val="en-AU"/>
        </w:rPr>
        <w:t xml:space="preserve">Key </w:t>
      </w:r>
      <w:r w:rsidR="00A60876" w:rsidRPr="00F51FCE">
        <w:rPr>
          <w:lang w:val="en-AU"/>
        </w:rPr>
        <w:t>programs</w:t>
      </w:r>
      <w:r w:rsidR="00E363A9" w:rsidRPr="00F51FCE">
        <w:rPr>
          <w:lang w:val="en-AU"/>
        </w:rPr>
        <w:t xml:space="preserve"> include: </w:t>
      </w:r>
    </w:p>
    <w:p w14:paraId="3A74DF4E" w14:textId="77777777" w:rsidR="00E363A9" w:rsidRPr="00F51FCE" w:rsidRDefault="00E363A9" w:rsidP="00E363A9">
      <w:pPr>
        <w:pStyle w:val="ESBullet1indent"/>
        <w:rPr>
          <w:lang w:val="en-AU"/>
        </w:rPr>
      </w:pPr>
      <w:r w:rsidRPr="00F51FCE">
        <w:rPr>
          <w:lang w:val="en-AU"/>
        </w:rPr>
        <w:t>eSmart Schools, a framework developed in partnership with the Alannah and Madeline Foundation designed to assist schools to develop a culture that promotes the safe, smart and responsible use of technology</w:t>
      </w:r>
    </w:p>
    <w:p w14:paraId="3CA77C0D" w14:textId="4DBE5EDD" w:rsidR="00E363A9" w:rsidRPr="00F51FCE" w:rsidRDefault="00E363A9" w:rsidP="00E363A9">
      <w:pPr>
        <w:pStyle w:val="ESBullet1indent"/>
        <w:rPr>
          <w:lang w:val="en-AU"/>
        </w:rPr>
      </w:pPr>
      <w:r w:rsidRPr="00F51FCE">
        <w:rPr>
          <w:lang w:val="en-AU"/>
        </w:rPr>
        <w:t xml:space="preserve">the Bully Stoppers initiative, developed in partnership with experts in the field, provides teachers and school communities with support, clear guidance and </w:t>
      </w:r>
      <w:r w:rsidR="00EE61AA" w:rsidRPr="00F51FCE">
        <w:rPr>
          <w:lang w:val="en-AU"/>
        </w:rPr>
        <w:t>t</w:t>
      </w:r>
      <w:r w:rsidRPr="00F51FCE">
        <w:rPr>
          <w:lang w:val="en-AU"/>
        </w:rPr>
        <w:t>ools to effectively prevent and respond to bullying</w:t>
      </w:r>
    </w:p>
    <w:p w14:paraId="3DE0559F" w14:textId="77777777" w:rsidR="00E363A9" w:rsidRPr="00F51FCE" w:rsidRDefault="00E363A9" w:rsidP="00E363A9">
      <w:pPr>
        <w:pStyle w:val="ESBullet1indent"/>
        <w:rPr>
          <w:lang w:val="en-AU"/>
        </w:rPr>
      </w:pPr>
      <w:r w:rsidRPr="00F51FCE">
        <w:rPr>
          <w:lang w:val="en-AU"/>
        </w:rPr>
        <w:t>the Safe Schools program aims to ensure schools are safe and supportive environments for all students, staff, and families by challenging and reducing levels of homophobia and transphobia, and actively including those who are same-sex attracted, intersex and gender diverse</w:t>
      </w:r>
    </w:p>
    <w:p w14:paraId="2098A214" w14:textId="2EC47A7B" w:rsidR="00A61FF5" w:rsidRPr="00F51FCE" w:rsidRDefault="00E363A9" w:rsidP="00E363A9">
      <w:pPr>
        <w:pStyle w:val="ESBullet1indent"/>
        <w:rPr>
          <w:lang w:val="en-AU"/>
        </w:rPr>
      </w:pPr>
      <w:r w:rsidRPr="00F51FCE">
        <w:rPr>
          <w:lang w:val="en-AU"/>
        </w:rPr>
        <w:t xml:space="preserve">SAFEMinds, </w:t>
      </w:r>
      <w:r w:rsidR="00EE61AA" w:rsidRPr="00F51FCE">
        <w:rPr>
          <w:lang w:val="en-AU"/>
        </w:rPr>
        <w:t>in partnership with headspace, to</w:t>
      </w:r>
      <w:r w:rsidRPr="00F51FCE">
        <w:rPr>
          <w:lang w:val="en-AU"/>
        </w:rPr>
        <w:t xml:space="preserve"> </w:t>
      </w:r>
      <w:r w:rsidR="00EE61AA" w:rsidRPr="00F51FCE">
        <w:rPr>
          <w:lang w:val="en-AU"/>
        </w:rPr>
        <w:t xml:space="preserve">provide </w:t>
      </w:r>
      <w:r w:rsidRPr="00F51FCE">
        <w:rPr>
          <w:lang w:val="en-AU"/>
        </w:rPr>
        <w:t xml:space="preserve">professional learning </w:t>
      </w:r>
      <w:r w:rsidR="00EE61AA" w:rsidRPr="00F51FCE">
        <w:rPr>
          <w:lang w:val="en-AU"/>
        </w:rPr>
        <w:t xml:space="preserve">opportunities </w:t>
      </w:r>
      <w:r w:rsidRPr="00F51FCE">
        <w:rPr>
          <w:lang w:val="en-AU"/>
        </w:rPr>
        <w:t xml:space="preserve">and </w:t>
      </w:r>
      <w:r w:rsidR="00EE61AA" w:rsidRPr="00F51FCE">
        <w:rPr>
          <w:lang w:val="en-AU"/>
        </w:rPr>
        <w:t xml:space="preserve">a </w:t>
      </w:r>
      <w:r w:rsidRPr="00F51FCE">
        <w:rPr>
          <w:lang w:val="en-AU"/>
        </w:rPr>
        <w:t>resource package for schools and families.</w:t>
      </w:r>
    </w:p>
    <w:p w14:paraId="1A8EAB04" w14:textId="77777777" w:rsidR="00A61FF5" w:rsidRPr="00F51FCE" w:rsidRDefault="00A61FF5" w:rsidP="00A61FF5">
      <w:pPr>
        <w:pStyle w:val="ESBodyText"/>
        <w:rPr>
          <w:lang w:val="en-AU"/>
        </w:rPr>
      </w:pPr>
      <w:r w:rsidRPr="00F51FCE">
        <w:rPr>
          <w:lang w:val="en-AU"/>
        </w:rPr>
        <w:t>The level of satisfaction with the quality of vocational training increased by one percentage point to 85 per cent in 2016, but has not yet returned to 2012 levels. This reflects the early impacts of the quality blitz which saw 460 performance reviews of 457 training providers completed since July 2015. In addition, high-risk training providers now undergo a tailored quality review over several days conducted on site by experts. A total of 35 quality reviews have been undertaken since July 2016.</w:t>
      </w:r>
    </w:p>
    <w:p w14:paraId="6E437272" w14:textId="2440B4CC" w:rsidR="00A61FF5" w:rsidRPr="006E49EE" w:rsidRDefault="00A61FF5" w:rsidP="00A61FF5">
      <w:pPr>
        <w:pStyle w:val="ESBodyText"/>
        <w:rPr>
          <w:lang w:val="en-AU"/>
        </w:rPr>
      </w:pPr>
      <w:r w:rsidRPr="00F51FCE">
        <w:rPr>
          <w:lang w:val="en-AU"/>
        </w:rPr>
        <w:t xml:space="preserve">The blitz was important in calling out and addressing bad practices and the Department’s action had a deterrent effect across the sector. The blitz also reinforced the need for government to play a stronger role in setting parameters and conditions for the Victorian system, as reflected in: stricter contractual arrangements around subcontracting, marketing, ethical </w:t>
      </w:r>
      <w:r w:rsidR="00932A90" w:rsidRPr="00F51FCE">
        <w:rPr>
          <w:lang w:val="en-AU"/>
        </w:rPr>
        <w:t>behaviour</w:t>
      </w:r>
      <w:r w:rsidRPr="00F51FCE">
        <w:rPr>
          <w:lang w:val="en-AU"/>
        </w:rPr>
        <w:t>, justifying</w:t>
      </w:r>
      <w:r w:rsidRPr="006E49EE">
        <w:rPr>
          <w:lang w:val="en-AU"/>
        </w:rPr>
        <w:t xml:space="preserve"> course durations, and greater clarity around expectations of quality delivery.</w:t>
      </w:r>
    </w:p>
    <w:p w14:paraId="2C8A6FE2" w14:textId="4EAAA9B7" w:rsidR="00A61FF5" w:rsidRPr="006E49EE" w:rsidRDefault="00A61FF5" w:rsidP="009A0BAD">
      <w:pPr>
        <w:pStyle w:val="ESTableintroheading"/>
        <w:rPr>
          <w:lang w:val="en-AU"/>
        </w:rPr>
      </w:pPr>
      <w:r w:rsidRPr="006E49EE">
        <w:rPr>
          <w:lang w:val="en-AU"/>
        </w:rPr>
        <w:t>Table</w:t>
      </w:r>
      <w:r w:rsidR="00237A0D" w:rsidRPr="006E49EE">
        <w:rPr>
          <w:lang w:val="en-AU"/>
        </w:rPr>
        <w:t xml:space="preserv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5</w:t>
      </w:r>
      <w:r w:rsidR="00D93BA2" w:rsidRPr="006E49EE">
        <w:rPr>
          <w:noProof/>
          <w:lang w:val="en-AU"/>
        </w:rPr>
        <w:fldChar w:fldCharType="end"/>
      </w:r>
      <w:r w:rsidR="00237A0D" w:rsidRPr="006E49EE">
        <w:rPr>
          <w:lang w:val="en-AU"/>
        </w:rPr>
        <w:t xml:space="preserve"> </w:t>
      </w:r>
      <w:r w:rsidRPr="006E49EE">
        <w:rPr>
          <w:lang w:val="en-AU"/>
        </w:rPr>
        <w:t>– Departmental indicators against wellbeing</w:t>
      </w:r>
    </w:p>
    <w:tbl>
      <w:tblPr>
        <w:tblW w:w="5000" w:type="pct"/>
        <w:tblCellMar>
          <w:left w:w="45" w:type="dxa"/>
          <w:right w:w="45" w:type="dxa"/>
        </w:tblCellMar>
        <w:tblLook w:val="0000" w:firstRow="0" w:lastRow="0" w:firstColumn="0" w:lastColumn="0" w:noHBand="0" w:noVBand="0"/>
      </w:tblPr>
      <w:tblGrid>
        <w:gridCol w:w="2947"/>
        <w:gridCol w:w="737"/>
        <w:gridCol w:w="736"/>
        <w:gridCol w:w="736"/>
        <w:gridCol w:w="736"/>
        <w:gridCol w:w="736"/>
        <w:gridCol w:w="736"/>
      </w:tblGrid>
      <w:tr w:rsidR="00A61FF5" w:rsidRPr="00932A90" w14:paraId="1B9B822C" w14:textId="77777777" w:rsidTr="009A0BAD">
        <w:trPr>
          <w:tblHeader/>
        </w:trPr>
        <w:tc>
          <w:tcPr>
            <w:tcW w:w="2000" w:type="pct"/>
            <w:shd w:val="clear" w:color="auto" w:fill="7F7F7F" w:themeFill="text1" w:themeFillTint="80"/>
          </w:tcPr>
          <w:p w14:paraId="55F2FD4D" w14:textId="77777777" w:rsidR="00A61FF5" w:rsidRPr="006E49EE" w:rsidRDefault="00A61FF5" w:rsidP="00D07480">
            <w:pPr>
              <w:pStyle w:val="ESTableheadingwhite"/>
              <w:rPr>
                <w:lang w:val="en-AU"/>
              </w:rPr>
            </w:pPr>
            <w:r w:rsidRPr="006E49EE">
              <w:rPr>
                <w:lang w:val="en-AU"/>
              </w:rPr>
              <w:t>Indicators</w:t>
            </w:r>
          </w:p>
        </w:tc>
        <w:tc>
          <w:tcPr>
            <w:tcW w:w="500" w:type="pct"/>
            <w:shd w:val="clear" w:color="auto" w:fill="7F7F7F" w:themeFill="text1" w:themeFillTint="80"/>
          </w:tcPr>
          <w:p w14:paraId="65EC68C2" w14:textId="77777777" w:rsidR="00A61FF5" w:rsidRPr="006E49EE" w:rsidRDefault="00A61FF5" w:rsidP="00D07480">
            <w:pPr>
              <w:pStyle w:val="ESTableheadingwhite"/>
              <w:jc w:val="right"/>
              <w:rPr>
                <w:lang w:val="en-AU"/>
              </w:rPr>
            </w:pPr>
            <w:r w:rsidRPr="006E49EE">
              <w:rPr>
                <w:lang w:val="en-AU"/>
              </w:rPr>
              <w:t>Unit</w:t>
            </w:r>
          </w:p>
        </w:tc>
        <w:tc>
          <w:tcPr>
            <w:tcW w:w="500" w:type="pct"/>
            <w:shd w:val="clear" w:color="auto" w:fill="7F7F7F" w:themeFill="text1" w:themeFillTint="80"/>
          </w:tcPr>
          <w:p w14:paraId="397BC8FF" w14:textId="77777777" w:rsidR="00A61FF5" w:rsidRPr="006E49EE" w:rsidRDefault="00A61FF5" w:rsidP="00D07480">
            <w:pPr>
              <w:pStyle w:val="ESTableheadingwhite"/>
              <w:jc w:val="right"/>
              <w:rPr>
                <w:lang w:val="en-AU"/>
              </w:rPr>
            </w:pPr>
            <w:r w:rsidRPr="006E49EE">
              <w:rPr>
                <w:lang w:val="en-AU"/>
              </w:rPr>
              <w:t>2012</w:t>
            </w:r>
          </w:p>
        </w:tc>
        <w:tc>
          <w:tcPr>
            <w:tcW w:w="500" w:type="pct"/>
            <w:shd w:val="clear" w:color="auto" w:fill="7F7F7F" w:themeFill="text1" w:themeFillTint="80"/>
          </w:tcPr>
          <w:p w14:paraId="5CDAB567" w14:textId="77777777" w:rsidR="00A61FF5" w:rsidRPr="006E49EE" w:rsidRDefault="00A61FF5" w:rsidP="00D07480">
            <w:pPr>
              <w:pStyle w:val="ESTableheadingwhite"/>
              <w:jc w:val="right"/>
              <w:rPr>
                <w:lang w:val="en-AU"/>
              </w:rPr>
            </w:pPr>
            <w:r w:rsidRPr="006E49EE">
              <w:rPr>
                <w:lang w:val="en-AU"/>
              </w:rPr>
              <w:t>2013</w:t>
            </w:r>
          </w:p>
        </w:tc>
        <w:tc>
          <w:tcPr>
            <w:tcW w:w="500" w:type="pct"/>
            <w:shd w:val="clear" w:color="auto" w:fill="7F7F7F" w:themeFill="text1" w:themeFillTint="80"/>
          </w:tcPr>
          <w:p w14:paraId="4D6E174B" w14:textId="77777777" w:rsidR="00A61FF5" w:rsidRPr="006E49EE" w:rsidRDefault="00A61FF5" w:rsidP="00D07480">
            <w:pPr>
              <w:pStyle w:val="ESTableheadingwhite"/>
              <w:jc w:val="right"/>
              <w:rPr>
                <w:lang w:val="en-AU"/>
              </w:rPr>
            </w:pPr>
            <w:r w:rsidRPr="006E49EE">
              <w:rPr>
                <w:lang w:val="en-AU"/>
              </w:rPr>
              <w:t>2014</w:t>
            </w:r>
          </w:p>
        </w:tc>
        <w:tc>
          <w:tcPr>
            <w:tcW w:w="500" w:type="pct"/>
            <w:shd w:val="clear" w:color="auto" w:fill="7F7F7F" w:themeFill="text1" w:themeFillTint="80"/>
          </w:tcPr>
          <w:p w14:paraId="13808126" w14:textId="77777777" w:rsidR="00A61FF5" w:rsidRPr="006E49EE" w:rsidRDefault="00A61FF5" w:rsidP="00D07480">
            <w:pPr>
              <w:pStyle w:val="ESTableheadingwhite"/>
              <w:jc w:val="right"/>
              <w:rPr>
                <w:lang w:val="en-AU"/>
              </w:rPr>
            </w:pPr>
            <w:r w:rsidRPr="006E49EE">
              <w:rPr>
                <w:lang w:val="en-AU"/>
              </w:rPr>
              <w:t>2015</w:t>
            </w:r>
          </w:p>
        </w:tc>
        <w:tc>
          <w:tcPr>
            <w:tcW w:w="500" w:type="pct"/>
            <w:shd w:val="clear" w:color="auto" w:fill="7F7F7F" w:themeFill="text1" w:themeFillTint="80"/>
          </w:tcPr>
          <w:p w14:paraId="43E74DAB" w14:textId="77777777" w:rsidR="00A61FF5" w:rsidRPr="006E49EE" w:rsidRDefault="00A61FF5" w:rsidP="00D07480">
            <w:pPr>
              <w:pStyle w:val="ESTableheadingwhite"/>
              <w:jc w:val="right"/>
              <w:rPr>
                <w:lang w:val="en-AU"/>
              </w:rPr>
            </w:pPr>
            <w:r w:rsidRPr="006E49EE">
              <w:rPr>
                <w:lang w:val="en-AU"/>
              </w:rPr>
              <w:t>2016</w:t>
            </w:r>
          </w:p>
        </w:tc>
      </w:tr>
      <w:tr w:rsidR="00A61FF5" w:rsidRPr="00932A90" w14:paraId="4C2165D4" w14:textId="77777777" w:rsidTr="009A0BAD">
        <w:tc>
          <w:tcPr>
            <w:tcW w:w="500" w:type="pct"/>
            <w:gridSpan w:val="7"/>
            <w:shd w:val="clear" w:color="auto" w:fill="D9D9D9" w:themeFill="background1" w:themeFillShade="D9"/>
          </w:tcPr>
          <w:p w14:paraId="37DD9EC9" w14:textId="77777777" w:rsidR="00A61FF5" w:rsidRPr="006E49EE" w:rsidRDefault="00A61FF5" w:rsidP="009A0BAD">
            <w:pPr>
              <w:pStyle w:val="ESTableheading"/>
              <w:rPr>
                <w:lang w:val="en-AU"/>
              </w:rPr>
            </w:pPr>
            <w:r w:rsidRPr="006E49EE">
              <w:rPr>
                <w:lang w:val="en-AU"/>
              </w:rPr>
              <w:t>Early childhood development</w:t>
            </w:r>
          </w:p>
        </w:tc>
      </w:tr>
      <w:tr w:rsidR="00A61FF5" w:rsidRPr="00932A90" w14:paraId="60C8EB70" w14:textId="77777777" w:rsidTr="006B3A1D">
        <w:tc>
          <w:tcPr>
            <w:tcW w:w="500" w:type="pct"/>
            <w:gridSpan w:val="7"/>
            <w:shd w:val="clear" w:color="auto" w:fill="auto"/>
          </w:tcPr>
          <w:p w14:paraId="384C4391" w14:textId="77777777" w:rsidR="00A61FF5" w:rsidRPr="006E49EE" w:rsidRDefault="00A61FF5" w:rsidP="009A0BAD">
            <w:pPr>
              <w:pStyle w:val="ESTableheading"/>
              <w:rPr>
                <w:lang w:val="en-AU"/>
              </w:rPr>
            </w:pPr>
            <w:r w:rsidRPr="006E49EE">
              <w:rPr>
                <w:lang w:val="en-AU"/>
              </w:rPr>
              <w:t>Proportion of infants fully or partially breastfed at 3 and 6 months</w:t>
            </w:r>
            <w:r w:rsidRPr="006E49EE">
              <w:rPr>
                <w:rStyle w:val="FootnoteReference"/>
                <w:b w:val="0"/>
                <w:lang w:val="en-AU"/>
              </w:rPr>
              <w:footnoteReference w:id="19"/>
            </w:r>
          </w:p>
        </w:tc>
      </w:tr>
      <w:tr w:rsidR="00A61FF5" w:rsidRPr="00932A90" w14:paraId="1E3DFD20" w14:textId="77777777" w:rsidTr="006B3A1D">
        <w:tc>
          <w:tcPr>
            <w:tcW w:w="2000" w:type="pct"/>
            <w:shd w:val="clear" w:color="auto" w:fill="auto"/>
          </w:tcPr>
          <w:p w14:paraId="16FD18C2" w14:textId="77777777" w:rsidR="00A61FF5" w:rsidRPr="006E49EE" w:rsidRDefault="00A61FF5" w:rsidP="00D07480">
            <w:pPr>
              <w:pStyle w:val="ESTableBody"/>
              <w:rPr>
                <w:lang w:val="en-AU"/>
              </w:rPr>
            </w:pPr>
            <w:r w:rsidRPr="006E49EE">
              <w:rPr>
                <w:lang w:val="en-AU"/>
              </w:rPr>
              <w:t>Infants fully breastfed at 3 months</w:t>
            </w:r>
          </w:p>
        </w:tc>
        <w:tc>
          <w:tcPr>
            <w:tcW w:w="500" w:type="pct"/>
            <w:shd w:val="clear" w:color="auto" w:fill="auto"/>
          </w:tcPr>
          <w:p w14:paraId="06AB81A1"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7C98A4F9" w14:textId="77777777" w:rsidR="00A61FF5" w:rsidRPr="006E49EE" w:rsidRDefault="00A61FF5" w:rsidP="00D07480">
            <w:pPr>
              <w:pStyle w:val="ESTableBody"/>
              <w:jc w:val="right"/>
              <w:rPr>
                <w:lang w:val="en-AU"/>
              </w:rPr>
            </w:pPr>
            <w:r w:rsidRPr="006E49EE">
              <w:rPr>
                <w:lang w:val="en-AU"/>
              </w:rPr>
              <w:t>51.0</w:t>
            </w:r>
          </w:p>
        </w:tc>
        <w:tc>
          <w:tcPr>
            <w:tcW w:w="500" w:type="pct"/>
            <w:shd w:val="clear" w:color="auto" w:fill="auto"/>
          </w:tcPr>
          <w:p w14:paraId="06FDDA19" w14:textId="77777777" w:rsidR="00A61FF5" w:rsidRPr="006E49EE" w:rsidRDefault="00A61FF5" w:rsidP="00D07480">
            <w:pPr>
              <w:pStyle w:val="ESTableBody"/>
              <w:jc w:val="right"/>
              <w:rPr>
                <w:lang w:val="en-AU"/>
              </w:rPr>
            </w:pPr>
            <w:r w:rsidRPr="006E49EE">
              <w:rPr>
                <w:lang w:val="en-AU"/>
              </w:rPr>
              <w:t>50.6</w:t>
            </w:r>
          </w:p>
        </w:tc>
        <w:tc>
          <w:tcPr>
            <w:tcW w:w="500" w:type="pct"/>
            <w:shd w:val="clear" w:color="auto" w:fill="auto"/>
          </w:tcPr>
          <w:p w14:paraId="53A4AB73" w14:textId="77777777" w:rsidR="00A61FF5" w:rsidRPr="006E49EE" w:rsidRDefault="00A61FF5" w:rsidP="00D07480">
            <w:pPr>
              <w:pStyle w:val="ESTableBody"/>
              <w:jc w:val="right"/>
              <w:rPr>
                <w:lang w:val="en-AU"/>
              </w:rPr>
            </w:pPr>
            <w:r w:rsidRPr="006E49EE">
              <w:rPr>
                <w:lang w:val="en-AU"/>
              </w:rPr>
              <w:t>51.4</w:t>
            </w:r>
          </w:p>
        </w:tc>
        <w:tc>
          <w:tcPr>
            <w:tcW w:w="500" w:type="pct"/>
            <w:shd w:val="clear" w:color="auto" w:fill="auto"/>
          </w:tcPr>
          <w:p w14:paraId="6F5247B8" w14:textId="77777777" w:rsidR="00A61FF5" w:rsidRPr="006E49EE" w:rsidRDefault="00A61FF5" w:rsidP="00D07480">
            <w:pPr>
              <w:pStyle w:val="ESTableBody"/>
              <w:jc w:val="right"/>
              <w:rPr>
                <w:lang w:val="en-AU"/>
              </w:rPr>
            </w:pPr>
            <w:r w:rsidRPr="006E49EE">
              <w:rPr>
                <w:lang w:val="en-AU"/>
              </w:rPr>
              <w:t>n/a</w:t>
            </w:r>
          </w:p>
        </w:tc>
        <w:tc>
          <w:tcPr>
            <w:tcW w:w="500" w:type="pct"/>
          </w:tcPr>
          <w:p w14:paraId="42966218" w14:textId="77777777" w:rsidR="00A61FF5" w:rsidRPr="006E49EE" w:rsidRDefault="00A61FF5" w:rsidP="00D07480">
            <w:pPr>
              <w:pStyle w:val="ESTableBody"/>
              <w:jc w:val="right"/>
              <w:rPr>
                <w:lang w:val="en-AU"/>
              </w:rPr>
            </w:pPr>
            <w:r w:rsidRPr="006E49EE">
              <w:rPr>
                <w:lang w:val="en-AU"/>
              </w:rPr>
              <w:t>n/a</w:t>
            </w:r>
          </w:p>
        </w:tc>
      </w:tr>
      <w:tr w:rsidR="00A61FF5" w:rsidRPr="00932A90" w14:paraId="619F6827" w14:textId="77777777" w:rsidTr="006B3A1D">
        <w:tc>
          <w:tcPr>
            <w:tcW w:w="2000" w:type="pct"/>
            <w:shd w:val="clear" w:color="auto" w:fill="auto"/>
          </w:tcPr>
          <w:p w14:paraId="4B247643" w14:textId="77777777" w:rsidR="00A61FF5" w:rsidRPr="006E49EE" w:rsidRDefault="00A61FF5" w:rsidP="00D07480">
            <w:pPr>
              <w:pStyle w:val="ESTableBody"/>
              <w:rPr>
                <w:lang w:val="en-AU"/>
              </w:rPr>
            </w:pPr>
            <w:r w:rsidRPr="006E49EE">
              <w:rPr>
                <w:lang w:val="en-AU"/>
              </w:rPr>
              <w:t>Infants partially breastfed at 3 months</w:t>
            </w:r>
          </w:p>
        </w:tc>
        <w:tc>
          <w:tcPr>
            <w:tcW w:w="500" w:type="pct"/>
            <w:shd w:val="clear" w:color="auto" w:fill="auto"/>
          </w:tcPr>
          <w:p w14:paraId="50D9C6AD"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4DA7A89F" w14:textId="77777777" w:rsidR="00A61FF5" w:rsidRPr="006E49EE" w:rsidRDefault="00A61FF5" w:rsidP="00D07480">
            <w:pPr>
              <w:pStyle w:val="ESTableBody"/>
              <w:jc w:val="right"/>
              <w:rPr>
                <w:lang w:val="en-AU"/>
              </w:rPr>
            </w:pPr>
            <w:r w:rsidRPr="006E49EE">
              <w:rPr>
                <w:lang w:val="en-AU"/>
              </w:rPr>
              <w:t>12.1</w:t>
            </w:r>
          </w:p>
        </w:tc>
        <w:tc>
          <w:tcPr>
            <w:tcW w:w="500" w:type="pct"/>
            <w:shd w:val="clear" w:color="auto" w:fill="auto"/>
          </w:tcPr>
          <w:p w14:paraId="33FCCA6F" w14:textId="77777777" w:rsidR="00A61FF5" w:rsidRPr="006E49EE" w:rsidRDefault="00A61FF5" w:rsidP="00D07480">
            <w:pPr>
              <w:pStyle w:val="ESTableBody"/>
              <w:jc w:val="right"/>
              <w:rPr>
                <w:lang w:val="en-AU"/>
              </w:rPr>
            </w:pPr>
            <w:r w:rsidRPr="006E49EE">
              <w:rPr>
                <w:lang w:val="en-AU"/>
              </w:rPr>
              <w:t>12.7</w:t>
            </w:r>
          </w:p>
        </w:tc>
        <w:tc>
          <w:tcPr>
            <w:tcW w:w="500" w:type="pct"/>
            <w:shd w:val="clear" w:color="auto" w:fill="auto"/>
          </w:tcPr>
          <w:p w14:paraId="03EEC2AB" w14:textId="77777777" w:rsidR="00A61FF5" w:rsidRPr="006E49EE" w:rsidRDefault="00A61FF5" w:rsidP="00D07480">
            <w:pPr>
              <w:pStyle w:val="ESTableBody"/>
              <w:jc w:val="right"/>
              <w:rPr>
                <w:lang w:val="en-AU"/>
              </w:rPr>
            </w:pPr>
            <w:r w:rsidRPr="006E49EE">
              <w:rPr>
                <w:lang w:val="en-AU"/>
              </w:rPr>
              <w:t>13.1</w:t>
            </w:r>
          </w:p>
        </w:tc>
        <w:tc>
          <w:tcPr>
            <w:tcW w:w="500" w:type="pct"/>
            <w:shd w:val="clear" w:color="auto" w:fill="auto"/>
          </w:tcPr>
          <w:p w14:paraId="79AED264" w14:textId="77777777" w:rsidR="00A61FF5" w:rsidRPr="006E49EE" w:rsidRDefault="00A61FF5" w:rsidP="00D07480">
            <w:pPr>
              <w:pStyle w:val="ESTableBody"/>
              <w:jc w:val="right"/>
              <w:rPr>
                <w:lang w:val="en-AU"/>
              </w:rPr>
            </w:pPr>
            <w:r w:rsidRPr="006E49EE">
              <w:rPr>
                <w:lang w:val="en-AU"/>
              </w:rPr>
              <w:t>n/a</w:t>
            </w:r>
          </w:p>
        </w:tc>
        <w:tc>
          <w:tcPr>
            <w:tcW w:w="500" w:type="pct"/>
          </w:tcPr>
          <w:p w14:paraId="42CA2FFA" w14:textId="77777777" w:rsidR="00A61FF5" w:rsidRPr="006E49EE" w:rsidRDefault="00A61FF5" w:rsidP="00D07480">
            <w:pPr>
              <w:pStyle w:val="ESTableBody"/>
              <w:jc w:val="right"/>
              <w:rPr>
                <w:lang w:val="en-AU"/>
              </w:rPr>
            </w:pPr>
            <w:r w:rsidRPr="006E49EE">
              <w:rPr>
                <w:lang w:val="en-AU"/>
              </w:rPr>
              <w:t>n/a</w:t>
            </w:r>
          </w:p>
        </w:tc>
      </w:tr>
      <w:tr w:rsidR="00A61FF5" w:rsidRPr="00932A90" w14:paraId="21E5E595" w14:textId="77777777" w:rsidTr="006B3A1D">
        <w:tc>
          <w:tcPr>
            <w:tcW w:w="2000" w:type="pct"/>
            <w:shd w:val="clear" w:color="auto" w:fill="auto"/>
          </w:tcPr>
          <w:p w14:paraId="3B6B944F" w14:textId="77777777" w:rsidR="00A61FF5" w:rsidRPr="006E49EE" w:rsidRDefault="00A61FF5" w:rsidP="00D07480">
            <w:pPr>
              <w:pStyle w:val="ESTableBody"/>
              <w:rPr>
                <w:lang w:val="en-AU"/>
              </w:rPr>
            </w:pPr>
            <w:r w:rsidRPr="006E49EE">
              <w:rPr>
                <w:lang w:val="en-AU"/>
              </w:rPr>
              <w:t>Infants fully breastfed at 6 months</w:t>
            </w:r>
          </w:p>
        </w:tc>
        <w:tc>
          <w:tcPr>
            <w:tcW w:w="500" w:type="pct"/>
            <w:shd w:val="clear" w:color="auto" w:fill="auto"/>
          </w:tcPr>
          <w:p w14:paraId="29256302"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1A540212" w14:textId="77777777" w:rsidR="00A61FF5" w:rsidRPr="006E49EE" w:rsidRDefault="00A61FF5" w:rsidP="00D07480">
            <w:pPr>
              <w:pStyle w:val="ESTableBody"/>
              <w:jc w:val="right"/>
              <w:rPr>
                <w:lang w:val="en-AU"/>
              </w:rPr>
            </w:pPr>
            <w:r w:rsidRPr="006E49EE">
              <w:rPr>
                <w:lang w:val="en-AU"/>
              </w:rPr>
              <w:t>33.8</w:t>
            </w:r>
          </w:p>
        </w:tc>
        <w:tc>
          <w:tcPr>
            <w:tcW w:w="500" w:type="pct"/>
            <w:shd w:val="clear" w:color="auto" w:fill="auto"/>
          </w:tcPr>
          <w:p w14:paraId="23E024D0" w14:textId="77777777" w:rsidR="00A61FF5" w:rsidRPr="006E49EE" w:rsidRDefault="00A61FF5" w:rsidP="00D07480">
            <w:pPr>
              <w:pStyle w:val="ESTableBody"/>
              <w:jc w:val="right"/>
              <w:rPr>
                <w:lang w:val="en-AU"/>
              </w:rPr>
            </w:pPr>
            <w:r w:rsidRPr="006E49EE">
              <w:rPr>
                <w:lang w:val="en-AU"/>
              </w:rPr>
              <w:t>33.9</w:t>
            </w:r>
          </w:p>
        </w:tc>
        <w:tc>
          <w:tcPr>
            <w:tcW w:w="500" w:type="pct"/>
            <w:shd w:val="clear" w:color="auto" w:fill="auto"/>
          </w:tcPr>
          <w:p w14:paraId="68F102D9" w14:textId="77777777" w:rsidR="00A61FF5" w:rsidRPr="006E49EE" w:rsidRDefault="00A61FF5" w:rsidP="00D07480">
            <w:pPr>
              <w:pStyle w:val="ESTableBody"/>
              <w:jc w:val="right"/>
              <w:rPr>
                <w:lang w:val="en-AU"/>
              </w:rPr>
            </w:pPr>
            <w:r w:rsidRPr="006E49EE">
              <w:rPr>
                <w:lang w:val="en-AU"/>
              </w:rPr>
              <w:t>34.0</w:t>
            </w:r>
          </w:p>
        </w:tc>
        <w:tc>
          <w:tcPr>
            <w:tcW w:w="500" w:type="pct"/>
            <w:shd w:val="clear" w:color="auto" w:fill="auto"/>
          </w:tcPr>
          <w:p w14:paraId="01071D05" w14:textId="77777777" w:rsidR="00A61FF5" w:rsidRPr="006E49EE" w:rsidRDefault="00A61FF5" w:rsidP="00D07480">
            <w:pPr>
              <w:pStyle w:val="ESTableBody"/>
              <w:jc w:val="right"/>
              <w:rPr>
                <w:lang w:val="en-AU"/>
              </w:rPr>
            </w:pPr>
            <w:r w:rsidRPr="006E49EE">
              <w:rPr>
                <w:lang w:val="en-AU"/>
              </w:rPr>
              <w:t>n/a</w:t>
            </w:r>
          </w:p>
        </w:tc>
        <w:tc>
          <w:tcPr>
            <w:tcW w:w="500" w:type="pct"/>
          </w:tcPr>
          <w:p w14:paraId="08F108A9" w14:textId="77777777" w:rsidR="00A61FF5" w:rsidRPr="006E49EE" w:rsidRDefault="00A61FF5" w:rsidP="00D07480">
            <w:pPr>
              <w:pStyle w:val="ESTableBody"/>
              <w:jc w:val="right"/>
              <w:rPr>
                <w:lang w:val="en-AU"/>
              </w:rPr>
            </w:pPr>
            <w:r w:rsidRPr="006E49EE">
              <w:rPr>
                <w:lang w:val="en-AU"/>
              </w:rPr>
              <w:t>n/a</w:t>
            </w:r>
          </w:p>
        </w:tc>
      </w:tr>
      <w:tr w:rsidR="00A61FF5" w:rsidRPr="00932A90" w14:paraId="45EDFBE6" w14:textId="77777777" w:rsidTr="006B3A1D">
        <w:tc>
          <w:tcPr>
            <w:tcW w:w="2000" w:type="pct"/>
            <w:shd w:val="clear" w:color="auto" w:fill="auto"/>
          </w:tcPr>
          <w:p w14:paraId="0BA54E3A" w14:textId="77777777" w:rsidR="00A61FF5" w:rsidRPr="006E49EE" w:rsidRDefault="00A61FF5" w:rsidP="00D07480">
            <w:pPr>
              <w:pStyle w:val="ESTableBody"/>
              <w:rPr>
                <w:lang w:val="en-AU"/>
              </w:rPr>
            </w:pPr>
            <w:r w:rsidRPr="006E49EE">
              <w:rPr>
                <w:lang w:val="en-AU"/>
              </w:rPr>
              <w:t>Infants partially breastfed at 6 months</w:t>
            </w:r>
          </w:p>
        </w:tc>
        <w:tc>
          <w:tcPr>
            <w:tcW w:w="500" w:type="pct"/>
            <w:shd w:val="clear" w:color="auto" w:fill="auto"/>
          </w:tcPr>
          <w:p w14:paraId="5FB6AEAB"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7E57C307" w14:textId="77777777" w:rsidR="00A61FF5" w:rsidRPr="006E49EE" w:rsidRDefault="00A61FF5" w:rsidP="00D07480">
            <w:pPr>
              <w:pStyle w:val="ESTableBody"/>
              <w:jc w:val="right"/>
              <w:rPr>
                <w:lang w:val="en-AU"/>
              </w:rPr>
            </w:pPr>
            <w:r w:rsidRPr="006E49EE">
              <w:rPr>
                <w:lang w:val="en-AU"/>
              </w:rPr>
              <w:t>14.2</w:t>
            </w:r>
          </w:p>
        </w:tc>
        <w:tc>
          <w:tcPr>
            <w:tcW w:w="500" w:type="pct"/>
            <w:shd w:val="clear" w:color="auto" w:fill="auto"/>
          </w:tcPr>
          <w:p w14:paraId="07E1D118" w14:textId="77777777" w:rsidR="00A61FF5" w:rsidRPr="006E49EE" w:rsidRDefault="00A61FF5" w:rsidP="00D07480">
            <w:pPr>
              <w:pStyle w:val="ESTableBody"/>
              <w:jc w:val="right"/>
              <w:rPr>
                <w:lang w:val="en-AU"/>
              </w:rPr>
            </w:pPr>
            <w:r w:rsidRPr="006E49EE">
              <w:rPr>
                <w:lang w:val="en-AU"/>
              </w:rPr>
              <w:t>14.6</w:t>
            </w:r>
          </w:p>
        </w:tc>
        <w:tc>
          <w:tcPr>
            <w:tcW w:w="500" w:type="pct"/>
            <w:shd w:val="clear" w:color="auto" w:fill="auto"/>
          </w:tcPr>
          <w:p w14:paraId="7D1F2868" w14:textId="77777777" w:rsidR="00A61FF5" w:rsidRPr="006E49EE" w:rsidRDefault="00A61FF5" w:rsidP="00D07480">
            <w:pPr>
              <w:pStyle w:val="ESTableBody"/>
              <w:jc w:val="right"/>
              <w:rPr>
                <w:lang w:val="en-AU"/>
              </w:rPr>
            </w:pPr>
            <w:r w:rsidRPr="006E49EE">
              <w:rPr>
                <w:lang w:val="en-AU"/>
              </w:rPr>
              <w:t>15.6</w:t>
            </w:r>
          </w:p>
        </w:tc>
        <w:tc>
          <w:tcPr>
            <w:tcW w:w="500" w:type="pct"/>
            <w:shd w:val="clear" w:color="auto" w:fill="auto"/>
          </w:tcPr>
          <w:p w14:paraId="2F5E21CE" w14:textId="77777777" w:rsidR="00A61FF5" w:rsidRPr="006E49EE" w:rsidRDefault="00A61FF5" w:rsidP="00D07480">
            <w:pPr>
              <w:pStyle w:val="ESTableBody"/>
              <w:jc w:val="right"/>
              <w:rPr>
                <w:lang w:val="en-AU"/>
              </w:rPr>
            </w:pPr>
            <w:r w:rsidRPr="006E49EE">
              <w:rPr>
                <w:lang w:val="en-AU"/>
              </w:rPr>
              <w:t>n/a</w:t>
            </w:r>
          </w:p>
        </w:tc>
        <w:tc>
          <w:tcPr>
            <w:tcW w:w="500" w:type="pct"/>
          </w:tcPr>
          <w:p w14:paraId="4943B7C6" w14:textId="77777777" w:rsidR="00A61FF5" w:rsidRPr="006E49EE" w:rsidRDefault="00A61FF5" w:rsidP="00D07480">
            <w:pPr>
              <w:pStyle w:val="ESTableBody"/>
              <w:jc w:val="right"/>
              <w:rPr>
                <w:lang w:val="en-AU"/>
              </w:rPr>
            </w:pPr>
            <w:r w:rsidRPr="006E49EE">
              <w:rPr>
                <w:lang w:val="en-AU"/>
              </w:rPr>
              <w:t>n/a</w:t>
            </w:r>
          </w:p>
        </w:tc>
      </w:tr>
      <w:tr w:rsidR="00A61FF5" w:rsidRPr="00932A90" w14:paraId="605EB5A8" w14:textId="77777777" w:rsidTr="006B3A1D">
        <w:tc>
          <w:tcPr>
            <w:tcW w:w="500" w:type="pct"/>
            <w:gridSpan w:val="7"/>
            <w:shd w:val="clear" w:color="auto" w:fill="auto"/>
          </w:tcPr>
          <w:p w14:paraId="55E57FA5" w14:textId="77777777" w:rsidR="00A61FF5" w:rsidRPr="006E49EE" w:rsidRDefault="00A61FF5" w:rsidP="009A0BAD">
            <w:pPr>
              <w:pStyle w:val="ESTableheading"/>
              <w:rPr>
                <w:lang w:val="en-AU"/>
              </w:rPr>
            </w:pPr>
            <w:r w:rsidRPr="006E49EE">
              <w:rPr>
                <w:lang w:val="en-AU"/>
              </w:rPr>
              <w:t>Proportion of children who have no behavioural issues on entry into Prep</w:t>
            </w:r>
          </w:p>
        </w:tc>
      </w:tr>
      <w:tr w:rsidR="00A61FF5" w:rsidRPr="00932A90" w14:paraId="4D5D7989" w14:textId="77777777" w:rsidTr="006B3A1D">
        <w:tc>
          <w:tcPr>
            <w:tcW w:w="2000" w:type="pct"/>
            <w:shd w:val="clear" w:color="auto" w:fill="auto"/>
          </w:tcPr>
          <w:p w14:paraId="2C6BCA45" w14:textId="77777777" w:rsidR="00A61FF5" w:rsidRPr="006E49EE" w:rsidRDefault="00A61FF5" w:rsidP="00D07480">
            <w:pPr>
              <w:pStyle w:val="ESTableBody"/>
              <w:rPr>
                <w:lang w:val="en-AU"/>
              </w:rPr>
            </w:pPr>
            <w:r w:rsidRPr="006E49EE">
              <w:rPr>
                <w:lang w:val="en-AU"/>
              </w:rPr>
              <w:t>Proportion of children who have no behavioural issues on entry into Prep</w:t>
            </w:r>
          </w:p>
        </w:tc>
        <w:tc>
          <w:tcPr>
            <w:tcW w:w="500" w:type="pct"/>
            <w:shd w:val="clear" w:color="auto" w:fill="auto"/>
          </w:tcPr>
          <w:p w14:paraId="3E3B838C"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0C325A78" w14:textId="77777777" w:rsidR="00A61FF5" w:rsidRPr="006E49EE" w:rsidRDefault="00A61FF5" w:rsidP="00D07480">
            <w:pPr>
              <w:pStyle w:val="ESTableBody"/>
              <w:jc w:val="right"/>
              <w:rPr>
                <w:lang w:val="en-AU"/>
              </w:rPr>
            </w:pPr>
            <w:r w:rsidRPr="006E49EE">
              <w:rPr>
                <w:lang w:val="en-AU"/>
              </w:rPr>
              <w:t>87.3</w:t>
            </w:r>
          </w:p>
        </w:tc>
        <w:tc>
          <w:tcPr>
            <w:tcW w:w="500" w:type="pct"/>
            <w:shd w:val="clear" w:color="auto" w:fill="auto"/>
          </w:tcPr>
          <w:p w14:paraId="02C56173" w14:textId="77777777" w:rsidR="00A61FF5" w:rsidRPr="006E49EE" w:rsidRDefault="00A61FF5" w:rsidP="00D07480">
            <w:pPr>
              <w:pStyle w:val="ESTableBody"/>
              <w:jc w:val="right"/>
              <w:rPr>
                <w:lang w:val="en-AU"/>
              </w:rPr>
            </w:pPr>
            <w:r w:rsidRPr="006E49EE">
              <w:rPr>
                <w:lang w:val="en-AU"/>
              </w:rPr>
              <w:t>86.5</w:t>
            </w:r>
          </w:p>
        </w:tc>
        <w:tc>
          <w:tcPr>
            <w:tcW w:w="500" w:type="pct"/>
            <w:shd w:val="clear" w:color="auto" w:fill="auto"/>
          </w:tcPr>
          <w:p w14:paraId="69382090" w14:textId="77777777" w:rsidR="00A61FF5" w:rsidRPr="006E49EE" w:rsidRDefault="00A61FF5" w:rsidP="00D07480">
            <w:pPr>
              <w:pStyle w:val="ESTableBody"/>
              <w:jc w:val="right"/>
              <w:rPr>
                <w:lang w:val="en-AU"/>
              </w:rPr>
            </w:pPr>
            <w:r w:rsidRPr="006E49EE">
              <w:rPr>
                <w:lang w:val="en-AU"/>
              </w:rPr>
              <w:t>86.1</w:t>
            </w:r>
          </w:p>
        </w:tc>
        <w:tc>
          <w:tcPr>
            <w:tcW w:w="500" w:type="pct"/>
            <w:shd w:val="clear" w:color="auto" w:fill="auto"/>
          </w:tcPr>
          <w:p w14:paraId="29461F77" w14:textId="77777777" w:rsidR="00A61FF5" w:rsidRPr="006E49EE" w:rsidRDefault="00A61FF5" w:rsidP="00D07480">
            <w:pPr>
              <w:pStyle w:val="ESTableBody"/>
              <w:jc w:val="right"/>
              <w:rPr>
                <w:lang w:val="en-AU"/>
              </w:rPr>
            </w:pPr>
            <w:r w:rsidRPr="006E49EE">
              <w:rPr>
                <w:lang w:val="en-AU"/>
              </w:rPr>
              <w:t>83.9</w:t>
            </w:r>
          </w:p>
        </w:tc>
        <w:tc>
          <w:tcPr>
            <w:tcW w:w="500" w:type="pct"/>
          </w:tcPr>
          <w:p w14:paraId="0231D8F9" w14:textId="77777777" w:rsidR="00A61FF5" w:rsidRPr="006E49EE" w:rsidRDefault="00A61FF5" w:rsidP="00D07480">
            <w:pPr>
              <w:pStyle w:val="ESTableBody"/>
              <w:jc w:val="right"/>
              <w:rPr>
                <w:lang w:val="en-AU"/>
              </w:rPr>
            </w:pPr>
            <w:r w:rsidRPr="006E49EE">
              <w:rPr>
                <w:lang w:val="en-AU"/>
              </w:rPr>
              <w:t>83.9</w:t>
            </w:r>
          </w:p>
        </w:tc>
      </w:tr>
      <w:tr w:rsidR="00A61FF5" w:rsidRPr="00932A90" w14:paraId="1267CADD" w14:textId="77777777" w:rsidTr="006B3A1D">
        <w:tc>
          <w:tcPr>
            <w:tcW w:w="2000" w:type="pct"/>
            <w:shd w:val="clear" w:color="auto" w:fill="auto"/>
          </w:tcPr>
          <w:p w14:paraId="160C55A4" w14:textId="77777777" w:rsidR="00A61FF5" w:rsidRPr="006E49EE" w:rsidRDefault="00A61FF5" w:rsidP="00D07480">
            <w:pPr>
              <w:pStyle w:val="ESTableBody"/>
              <w:rPr>
                <w:lang w:val="en-AU"/>
              </w:rPr>
            </w:pPr>
            <w:r w:rsidRPr="006E49EE">
              <w:rPr>
                <w:lang w:val="en-AU"/>
              </w:rPr>
              <w:t>Proportion of children who have no general developmental issues identified by parents on entry into Prep</w:t>
            </w:r>
          </w:p>
        </w:tc>
        <w:tc>
          <w:tcPr>
            <w:tcW w:w="500" w:type="pct"/>
            <w:shd w:val="clear" w:color="auto" w:fill="auto"/>
          </w:tcPr>
          <w:p w14:paraId="723E2906"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55B8D113" w14:textId="77777777" w:rsidR="00A61FF5" w:rsidRPr="006E49EE" w:rsidRDefault="00A61FF5" w:rsidP="00D07480">
            <w:pPr>
              <w:pStyle w:val="ESTableBody"/>
              <w:jc w:val="right"/>
              <w:rPr>
                <w:lang w:val="en-AU"/>
              </w:rPr>
            </w:pPr>
            <w:r w:rsidRPr="006E49EE">
              <w:rPr>
                <w:lang w:val="en-AU"/>
              </w:rPr>
              <w:t>52.0</w:t>
            </w:r>
          </w:p>
        </w:tc>
        <w:tc>
          <w:tcPr>
            <w:tcW w:w="500" w:type="pct"/>
            <w:shd w:val="clear" w:color="auto" w:fill="auto"/>
          </w:tcPr>
          <w:p w14:paraId="2E39B685" w14:textId="77777777" w:rsidR="00A61FF5" w:rsidRPr="006E49EE" w:rsidRDefault="00A61FF5" w:rsidP="00D07480">
            <w:pPr>
              <w:pStyle w:val="ESTableBody"/>
              <w:jc w:val="right"/>
              <w:rPr>
                <w:lang w:val="en-AU"/>
              </w:rPr>
            </w:pPr>
            <w:r w:rsidRPr="006E49EE">
              <w:rPr>
                <w:lang w:val="en-AU"/>
              </w:rPr>
              <w:t>49.8</w:t>
            </w:r>
          </w:p>
        </w:tc>
        <w:tc>
          <w:tcPr>
            <w:tcW w:w="500" w:type="pct"/>
            <w:shd w:val="clear" w:color="auto" w:fill="auto"/>
          </w:tcPr>
          <w:p w14:paraId="771BE661" w14:textId="77777777" w:rsidR="00A61FF5" w:rsidRPr="006E49EE" w:rsidRDefault="00A61FF5" w:rsidP="00D07480">
            <w:pPr>
              <w:pStyle w:val="ESTableBody"/>
              <w:jc w:val="right"/>
              <w:rPr>
                <w:lang w:val="en-AU"/>
              </w:rPr>
            </w:pPr>
            <w:r w:rsidRPr="006E49EE">
              <w:rPr>
                <w:lang w:val="en-AU"/>
              </w:rPr>
              <w:t>48.2</w:t>
            </w:r>
          </w:p>
        </w:tc>
        <w:tc>
          <w:tcPr>
            <w:tcW w:w="500" w:type="pct"/>
            <w:shd w:val="clear" w:color="auto" w:fill="auto"/>
          </w:tcPr>
          <w:p w14:paraId="0461FDD2" w14:textId="77777777" w:rsidR="00A61FF5" w:rsidRPr="006E49EE" w:rsidRDefault="00A61FF5" w:rsidP="00D07480">
            <w:pPr>
              <w:pStyle w:val="ESTableBody"/>
              <w:jc w:val="right"/>
              <w:rPr>
                <w:lang w:val="en-AU"/>
              </w:rPr>
            </w:pPr>
            <w:r w:rsidRPr="006E49EE">
              <w:rPr>
                <w:lang w:val="en-AU"/>
              </w:rPr>
              <w:t>46.9</w:t>
            </w:r>
          </w:p>
        </w:tc>
        <w:tc>
          <w:tcPr>
            <w:tcW w:w="500" w:type="pct"/>
          </w:tcPr>
          <w:p w14:paraId="3E530807" w14:textId="77777777" w:rsidR="00A61FF5" w:rsidRPr="006E49EE" w:rsidRDefault="00A61FF5" w:rsidP="00D07480">
            <w:pPr>
              <w:pStyle w:val="ESTableBody"/>
              <w:jc w:val="right"/>
              <w:rPr>
                <w:lang w:val="en-AU"/>
              </w:rPr>
            </w:pPr>
            <w:r w:rsidRPr="006E49EE">
              <w:rPr>
                <w:lang w:val="en-AU"/>
              </w:rPr>
              <w:t>45.6</w:t>
            </w:r>
          </w:p>
        </w:tc>
      </w:tr>
      <w:tr w:rsidR="00A61FF5" w:rsidRPr="00932A90" w14:paraId="12E480F6" w14:textId="77777777" w:rsidTr="006B3A1D">
        <w:tc>
          <w:tcPr>
            <w:tcW w:w="500" w:type="pct"/>
            <w:gridSpan w:val="7"/>
            <w:shd w:val="clear" w:color="auto" w:fill="auto"/>
          </w:tcPr>
          <w:p w14:paraId="32DE3D5A" w14:textId="77777777" w:rsidR="00A61FF5" w:rsidRPr="006E49EE" w:rsidRDefault="00A61FF5" w:rsidP="009A0BAD">
            <w:pPr>
              <w:pStyle w:val="ESTableheading"/>
              <w:rPr>
                <w:lang w:val="en-AU"/>
              </w:rPr>
            </w:pPr>
            <w:r w:rsidRPr="006E49EE">
              <w:rPr>
                <w:lang w:val="en-AU"/>
              </w:rPr>
              <w:t>Children developmentally ‘on track’ on the Australian Early Development Census social competence and emotional maturity domains</w:t>
            </w:r>
          </w:p>
        </w:tc>
      </w:tr>
      <w:tr w:rsidR="00A61FF5" w:rsidRPr="00932A90" w14:paraId="77192C4E" w14:textId="77777777" w:rsidTr="006B3A1D">
        <w:tc>
          <w:tcPr>
            <w:tcW w:w="2000" w:type="pct"/>
            <w:shd w:val="clear" w:color="auto" w:fill="auto"/>
          </w:tcPr>
          <w:p w14:paraId="633419FB" w14:textId="77777777" w:rsidR="00A61FF5" w:rsidRPr="006E49EE" w:rsidRDefault="00A61FF5" w:rsidP="00D07480">
            <w:pPr>
              <w:pStyle w:val="ESTableBody"/>
              <w:rPr>
                <w:lang w:val="en-AU"/>
              </w:rPr>
            </w:pPr>
            <w:r w:rsidRPr="006E49EE">
              <w:rPr>
                <w:lang w:val="en-AU"/>
              </w:rPr>
              <w:t>Social competence domain</w:t>
            </w:r>
          </w:p>
        </w:tc>
        <w:tc>
          <w:tcPr>
            <w:tcW w:w="500" w:type="pct"/>
            <w:shd w:val="clear" w:color="auto" w:fill="auto"/>
          </w:tcPr>
          <w:p w14:paraId="60D5B05C"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00DBB522" w14:textId="77777777" w:rsidR="00A61FF5" w:rsidRPr="006E49EE" w:rsidRDefault="00A61FF5" w:rsidP="00D07480">
            <w:pPr>
              <w:pStyle w:val="ESTableBody"/>
              <w:jc w:val="right"/>
              <w:rPr>
                <w:lang w:val="en-AU"/>
              </w:rPr>
            </w:pPr>
            <w:r w:rsidRPr="006E49EE">
              <w:rPr>
                <w:lang w:val="en-AU"/>
              </w:rPr>
              <w:t>78.6</w:t>
            </w:r>
          </w:p>
        </w:tc>
        <w:tc>
          <w:tcPr>
            <w:tcW w:w="500" w:type="pct"/>
            <w:shd w:val="clear" w:color="auto" w:fill="auto"/>
          </w:tcPr>
          <w:p w14:paraId="07C0888F" w14:textId="77777777" w:rsidR="00A61FF5" w:rsidRPr="006E49EE" w:rsidRDefault="00A61FF5" w:rsidP="00D07480">
            <w:pPr>
              <w:pStyle w:val="ESTableBody"/>
              <w:jc w:val="right"/>
              <w:rPr>
                <w:lang w:val="en-AU"/>
              </w:rPr>
            </w:pPr>
            <w:r w:rsidRPr="006E49EE">
              <w:rPr>
                <w:lang w:val="en-AU"/>
              </w:rPr>
              <w:t>–</w:t>
            </w:r>
          </w:p>
        </w:tc>
        <w:tc>
          <w:tcPr>
            <w:tcW w:w="500" w:type="pct"/>
            <w:shd w:val="clear" w:color="auto" w:fill="auto"/>
          </w:tcPr>
          <w:p w14:paraId="00439A10" w14:textId="77777777" w:rsidR="00A61FF5" w:rsidRPr="006E49EE" w:rsidRDefault="00A61FF5" w:rsidP="00D07480">
            <w:pPr>
              <w:pStyle w:val="ESTableBody"/>
              <w:jc w:val="right"/>
              <w:rPr>
                <w:lang w:val="en-AU"/>
              </w:rPr>
            </w:pPr>
            <w:r w:rsidRPr="006E49EE">
              <w:rPr>
                <w:lang w:val="en-AU"/>
              </w:rPr>
              <w:t>–</w:t>
            </w:r>
          </w:p>
        </w:tc>
        <w:tc>
          <w:tcPr>
            <w:tcW w:w="500" w:type="pct"/>
            <w:shd w:val="clear" w:color="auto" w:fill="auto"/>
          </w:tcPr>
          <w:p w14:paraId="3C7A1B10" w14:textId="77777777" w:rsidR="00A61FF5" w:rsidRPr="006E49EE" w:rsidRDefault="00A61FF5" w:rsidP="00D07480">
            <w:pPr>
              <w:pStyle w:val="ESTableBody"/>
              <w:jc w:val="right"/>
              <w:rPr>
                <w:lang w:val="en-AU"/>
              </w:rPr>
            </w:pPr>
            <w:r w:rsidRPr="006E49EE">
              <w:rPr>
                <w:lang w:val="en-AU"/>
              </w:rPr>
              <w:t>77.2</w:t>
            </w:r>
          </w:p>
        </w:tc>
        <w:tc>
          <w:tcPr>
            <w:tcW w:w="500" w:type="pct"/>
          </w:tcPr>
          <w:p w14:paraId="336CFC56" w14:textId="77777777" w:rsidR="00A61FF5" w:rsidRPr="006E49EE" w:rsidRDefault="00A61FF5" w:rsidP="00D07480">
            <w:pPr>
              <w:pStyle w:val="ESTableBody"/>
              <w:jc w:val="right"/>
              <w:rPr>
                <w:lang w:val="en-AU"/>
              </w:rPr>
            </w:pPr>
            <w:r w:rsidRPr="006E49EE">
              <w:rPr>
                <w:lang w:val="en-AU"/>
              </w:rPr>
              <w:t>–</w:t>
            </w:r>
          </w:p>
        </w:tc>
      </w:tr>
      <w:tr w:rsidR="00A61FF5" w:rsidRPr="00932A90" w14:paraId="08B940BA" w14:textId="77777777" w:rsidTr="006B3A1D">
        <w:tc>
          <w:tcPr>
            <w:tcW w:w="2000" w:type="pct"/>
            <w:shd w:val="clear" w:color="auto" w:fill="auto"/>
          </w:tcPr>
          <w:p w14:paraId="1BC5ADF7" w14:textId="77777777" w:rsidR="00A61FF5" w:rsidRPr="006E49EE" w:rsidRDefault="00A61FF5" w:rsidP="00D07480">
            <w:pPr>
              <w:pStyle w:val="ESTableBody"/>
              <w:rPr>
                <w:lang w:val="en-AU"/>
              </w:rPr>
            </w:pPr>
            <w:r w:rsidRPr="006E49EE">
              <w:rPr>
                <w:lang w:val="en-AU"/>
              </w:rPr>
              <w:t>Emotional maturity domain</w:t>
            </w:r>
          </w:p>
        </w:tc>
        <w:tc>
          <w:tcPr>
            <w:tcW w:w="500" w:type="pct"/>
            <w:shd w:val="clear" w:color="auto" w:fill="auto"/>
          </w:tcPr>
          <w:p w14:paraId="09AF9980"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30A082E4" w14:textId="77777777" w:rsidR="00A61FF5" w:rsidRPr="006E49EE" w:rsidRDefault="00A61FF5" w:rsidP="00D07480">
            <w:pPr>
              <w:pStyle w:val="ESTableBody"/>
              <w:jc w:val="right"/>
              <w:rPr>
                <w:lang w:val="en-AU"/>
              </w:rPr>
            </w:pPr>
            <w:r w:rsidRPr="006E49EE">
              <w:rPr>
                <w:lang w:val="en-AU"/>
              </w:rPr>
              <w:t>79.3</w:t>
            </w:r>
          </w:p>
        </w:tc>
        <w:tc>
          <w:tcPr>
            <w:tcW w:w="500" w:type="pct"/>
            <w:shd w:val="clear" w:color="auto" w:fill="auto"/>
          </w:tcPr>
          <w:p w14:paraId="18CA31EF" w14:textId="77777777" w:rsidR="00A61FF5" w:rsidRPr="006E49EE" w:rsidRDefault="00A61FF5" w:rsidP="00D07480">
            <w:pPr>
              <w:pStyle w:val="ESTableBody"/>
              <w:jc w:val="right"/>
              <w:rPr>
                <w:lang w:val="en-AU"/>
              </w:rPr>
            </w:pPr>
            <w:r w:rsidRPr="006E49EE">
              <w:rPr>
                <w:lang w:val="en-AU"/>
              </w:rPr>
              <w:t>–</w:t>
            </w:r>
          </w:p>
        </w:tc>
        <w:tc>
          <w:tcPr>
            <w:tcW w:w="500" w:type="pct"/>
            <w:shd w:val="clear" w:color="auto" w:fill="auto"/>
          </w:tcPr>
          <w:p w14:paraId="1FEA4DC8" w14:textId="77777777" w:rsidR="00A61FF5" w:rsidRPr="006E49EE" w:rsidRDefault="00A61FF5" w:rsidP="00D07480">
            <w:pPr>
              <w:pStyle w:val="ESTableBody"/>
              <w:jc w:val="right"/>
              <w:rPr>
                <w:lang w:val="en-AU"/>
              </w:rPr>
            </w:pPr>
            <w:r w:rsidRPr="006E49EE">
              <w:rPr>
                <w:lang w:val="en-AU"/>
              </w:rPr>
              <w:t>–</w:t>
            </w:r>
          </w:p>
        </w:tc>
        <w:tc>
          <w:tcPr>
            <w:tcW w:w="500" w:type="pct"/>
            <w:shd w:val="clear" w:color="auto" w:fill="auto"/>
          </w:tcPr>
          <w:p w14:paraId="7AB6AEB8" w14:textId="77777777" w:rsidR="00A61FF5" w:rsidRPr="006E49EE" w:rsidRDefault="00A61FF5" w:rsidP="00D07480">
            <w:pPr>
              <w:pStyle w:val="ESTableBody"/>
              <w:jc w:val="right"/>
              <w:rPr>
                <w:lang w:val="en-AU"/>
              </w:rPr>
            </w:pPr>
            <w:r w:rsidRPr="006E49EE">
              <w:rPr>
                <w:lang w:val="en-AU"/>
              </w:rPr>
              <w:t>77.5</w:t>
            </w:r>
          </w:p>
        </w:tc>
        <w:tc>
          <w:tcPr>
            <w:tcW w:w="500" w:type="pct"/>
          </w:tcPr>
          <w:p w14:paraId="4D59CA78" w14:textId="77777777" w:rsidR="00A61FF5" w:rsidRPr="006E49EE" w:rsidRDefault="00A61FF5" w:rsidP="00D07480">
            <w:pPr>
              <w:pStyle w:val="ESTableBody"/>
              <w:jc w:val="right"/>
              <w:rPr>
                <w:lang w:val="en-AU"/>
              </w:rPr>
            </w:pPr>
            <w:r w:rsidRPr="006E49EE">
              <w:rPr>
                <w:lang w:val="en-AU"/>
              </w:rPr>
              <w:t>–</w:t>
            </w:r>
          </w:p>
        </w:tc>
      </w:tr>
      <w:tr w:rsidR="00A61FF5" w:rsidRPr="00932A90" w14:paraId="00008121" w14:textId="77777777" w:rsidTr="009A0BAD">
        <w:tc>
          <w:tcPr>
            <w:tcW w:w="500" w:type="pct"/>
            <w:gridSpan w:val="7"/>
            <w:shd w:val="clear" w:color="auto" w:fill="D9D9D9" w:themeFill="background1" w:themeFillShade="D9"/>
          </w:tcPr>
          <w:p w14:paraId="73F458D3" w14:textId="77777777" w:rsidR="00A61FF5" w:rsidRPr="006E49EE" w:rsidRDefault="00A61FF5" w:rsidP="009A0BAD">
            <w:pPr>
              <w:pStyle w:val="ESTableheading"/>
              <w:rPr>
                <w:lang w:val="en-AU"/>
              </w:rPr>
            </w:pPr>
            <w:r w:rsidRPr="006E49EE">
              <w:rPr>
                <w:lang w:val="en-AU"/>
              </w:rPr>
              <w:t>School education</w:t>
            </w:r>
            <w:bookmarkStart w:id="65" w:name="_Ref393892475"/>
            <w:r w:rsidRPr="006E49EE">
              <w:rPr>
                <w:rStyle w:val="FootnoteReference"/>
                <w:lang w:val="en-AU"/>
              </w:rPr>
              <w:footnoteReference w:id="20"/>
            </w:r>
            <w:bookmarkEnd w:id="65"/>
          </w:p>
        </w:tc>
      </w:tr>
      <w:tr w:rsidR="00A61FF5" w:rsidRPr="00932A90" w14:paraId="2E4E9967" w14:textId="77777777" w:rsidTr="006B3A1D">
        <w:tc>
          <w:tcPr>
            <w:tcW w:w="500" w:type="pct"/>
            <w:gridSpan w:val="7"/>
            <w:shd w:val="clear" w:color="auto" w:fill="auto"/>
          </w:tcPr>
          <w:p w14:paraId="2E6686D0" w14:textId="77777777" w:rsidR="00A61FF5" w:rsidRPr="006E49EE" w:rsidRDefault="00A61FF5" w:rsidP="009A0BAD">
            <w:pPr>
              <w:pStyle w:val="ESTableheading"/>
              <w:rPr>
                <w:lang w:val="en-AU"/>
              </w:rPr>
            </w:pPr>
            <w:r w:rsidRPr="006E49EE">
              <w:rPr>
                <w:lang w:val="en-AU"/>
              </w:rPr>
              <w:t>Students feeling connected to their school</w:t>
            </w:r>
          </w:p>
        </w:tc>
      </w:tr>
      <w:tr w:rsidR="00A61FF5" w:rsidRPr="00932A90" w14:paraId="318AD3E4" w14:textId="77777777" w:rsidTr="006B3A1D">
        <w:tc>
          <w:tcPr>
            <w:tcW w:w="500" w:type="pct"/>
            <w:gridSpan w:val="7"/>
            <w:shd w:val="clear" w:color="auto" w:fill="auto"/>
          </w:tcPr>
          <w:p w14:paraId="185FE2C1" w14:textId="3AC36103" w:rsidR="00A61FF5" w:rsidRPr="006E49EE" w:rsidRDefault="00A61FF5" w:rsidP="00BB2C1D">
            <w:pPr>
              <w:pStyle w:val="ESTableBody"/>
              <w:rPr>
                <w:lang w:val="en-AU"/>
              </w:rPr>
            </w:pPr>
            <w:r w:rsidRPr="006E49EE">
              <w:rPr>
                <w:lang w:val="en-AU"/>
              </w:rPr>
              <w:t>Proportion of students who agree or strongly agree that they</w:t>
            </w:r>
            <w:r w:rsidR="00366F71" w:rsidRPr="006E49EE">
              <w:rPr>
                <w:lang w:val="en-AU"/>
              </w:rPr>
              <w:t xml:space="preserve"> feel connected to their school</w:t>
            </w:r>
          </w:p>
        </w:tc>
      </w:tr>
      <w:tr w:rsidR="00A61FF5" w:rsidRPr="00932A90" w14:paraId="58BEF76D" w14:textId="77777777" w:rsidTr="006B3A1D">
        <w:tc>
          <w:tcPr>
            <w:tcW w:w="2000" w:type="pct"/>
            <w:shd w:val="clear" w:color="auto" w:fill="auto"/>
          </w:tcPr>
          <w:p w14:paraId="35EF9A23" w14:textId="77777777" w:rsidR="00A61FF5" w:rsidRPr="006E49EE" w:rsidRDefault="00A61FF5" w:rsidP="00D07480">
            <w:pPr>
              <w:pStyle w:val="ESTableBody"/>
              <w:rPr>
                <w:lang w:val="en-AU"/>
              </w:rPr>
            </w:pPr>
            <w:r w:rsidRPr="006E49EE">
              <w:rPr>
                <w:lang w:val="en-AU"/>
              </w:rPr>
              <w:tab/>
              <w:t>Years 5–6</w:t>
            </w:r>
          </w:p>
        </w:tc>
        <w:tc>
          <w:tcPr>
            <w:tcW w:w="500" w:type="pct"/>
            <w:shd w:val="clear" w:color="auto" w:fill="auto"/>
          </w:tcPr>
          <w:p w14:paraId="43F8EF0E"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3FF7CAB8" w14:textId="77777777" w:rsidR="00A61FF5" w:rsidRPr="006E49EE" w:rsidRDefault="00A61FF5" w:rsidP="00D07480">
            <w:pPr>
              <w:pStyle w:val="ESTableBody"/>
              <w:jc w:val="right"/>
              <w:rPr>
                <w:lang w:val="en-AU"/>
              </w:rPr>
            </w:pPr>
            <w:r w:rsidRPr="006E49EE">
              <w:rPr>
                <w:lang w:val="en-AU"/>
              </w:rPr>
              <w:t>66.1</w:t>
            </w:r>
          </w:p>
        </w:tc>
        <w:tc>
          <w:tcPr>
            <w:tcW w:w="500" w:type="pct"/>
            <w:shd w:val="clear" w:color="auto" w:fill="auto"/>
          </w:tcPr>
          <w:p w14:paraId="2028DE7F" w14:textId="77777777" w:rsidR="00A61FF5" w:rsidRPr="006E49EE" w:rsidRDefault="00A61FF5" w:rsidP="00D07480">
            <w:pPr>
              <w:pStyle w:val="ESTableBody"/>
              <w:jc w:val="right"/>
              <w:rPr>
                <w:lang w:val="en-AU"/>
              </w:rPr>
            </w:pPr>
            <w:r w:rsidRPr="006E49EE">
              <w:rPr>
                <w:lang w:val="en-AU"/>
              </w:rPr>
              <w:t>66.6</w:t>
            </w:r>
          </w:p>
        </w:tc>
        <w:tc>
          <w:tcPr>
            <w:tcW w:w="500" w:type="pct"/>
            <w:shd w:val="clear" w:color="auto" w:fill="auto"/>
          </w:tcPr>
          <w:p w14:paraId="5AEC65F5" w14:textId="77777777" w:rsidR="00A61FF5" w:rsidRPr="006E49EE" w:rsidRDefault="00A61FF5" w:rsidP="00D07480">
            <w:pPr>
              <w:pStyle w:val="ESTableBody"/>
              <w:jc w:val="right"/>
              <w:rPr>
                <w:lang w:val="en-AU"/>
              </w:rPr>
            </w:pPr>
            <w:r w:rsidRPr="006E49EE">
              <w:rPr>
                <w:lang w:val="en-AU"/>
              </w:rPr>
              <w:t>66.6</w:t>
            </w:r>
          </w:p>
        </w:tc>
        <w:tc>
          <w:tcPr>
            <w:tcW w:w="500" w:type="pct"/>
            <w:shd w:val="clear" w:color="auto" w:fill="auto"/>
          </w:tcPr>
          <w:p w14:paraId="3A104E35" w14:textId="77777777" w:rsidR="00A61FF5" w:rsidRPr="006E49EE" w:rsidRDefault="00A61FF5" w:rsidP="00D07480">
            <w:pPr>
              <w:pStyle w:val="ESTableBody"/>
              <w:jc w:val="right"/>
              <w:rPr>
                <w:lang w:val="en-AU"/>
              </w:rPr>
            </w:pPr>
            <w:r w:rsidRPr="006E49EE">
              <w:rPr>
                <w:lang w:val="en-AU"/>
              </w:rPr>
              <w:t>65.8</w:t>
            </w:r>
          </w:p>
        </w:tc>
        <w:tc>
          <w:tcPr>
            <w:tcW w:w="500" w:type="pct"/>
          </w:tcPr>
          <w:p w14:paraId="1E9517CE" w14:textId="77777777" w:rsidR="00A61FF5" w:rsidRPr="006E49EE" w:rsidRDefault="00A61FF5" w:rsidP="00D07480">
            <w:pPr>
              <w:pStyle w:val="ESTableBody"/>
              <w:jc w:val="right"/>
              <w:rPr>
                <w:lang w:val="en-AU"/>
              </w:rPr>
            </w:pPr>
            <w:r w:rsidRPr="006E49EE">
              <w:rPr>
                <w:lang w:val="en-AU"/>
              </w:rPr>
              <w:t>64.7</w:t>
            </w:r>
          </w:p>
        </w:tc>
      </w:tr>
      <w:tr w:rsidR="00A61FF5" w:rsidRPr="00932A90" w14:paraId="6026B271" w14:textId="77777777" w:rsidTr="006B3A1D">
        <w:tc>
          <w:tcPr>
            <w:tcW w:w="2000" w:type="pct"/>
            <w:shd w:val="clear" w:color="auto" w:fill="auto"/>
          </w:tcPr>
          <w:p w14:paraId="3126F647" w14:textId="77777777" w:rsidR="00A61FF5" w:rsidRPr="006E49EE" w:rsidRDefault="00A61FF5" w:rsidP="00D07480">
            <w:pPr>
              <w:pStyle w:val="ESTableBody"/>
              <w:rPr>
                <w:lang w:val="en-AU"/>
              </w:rPr>
            </w:pPr>
            <w:r w:rsidRPr="006E49EE">
              <w:rPr>
                <w:lang w:val="en-AU"/>
              </w:rPr>
              <w:tab/>
              <w:t>Years 7–10</w:t>
            </w:r>
          </w:p>
        </w:tc>
        <w:tc>
          <w:tcPr>
            <w:tcW w:w="500" w:type="pct"/>
            <w:shd w:val="clear" w:color="auto" w:fill="auto"/>
          </w:tcPr>
          <w:p w14:paraId="3EC2C7ED"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517CA989" w14:textId="77777777" w:rsidR="00A61FF5" w:rsidRPr="006E49EE" w:rsidRDefault="00A61FF5" w:rsidP="00D07480">
            <w:pPr>
              <w:pStyle w:val="ESTableBody"/>
              <w:jc w:val="right"/>
              <w:rPr>
                <w:lang w:val="en-AU"/>
              </w:rPr>
            </w:pPr>
            <w:r w:rsidRPr="006E49EE">
              <w:rPr>
                <w:lang w:val="en-AU"/>
              </w:rPr>
              <w:t>33.8</w:t>
            </w:r>
          </w:p>
        </w:tc>
        <w:tc>
          <w:tcPr>
            <w:tcW w:w="500" w:type="pct"/>
            <w:shd w:val="clear" w:color="auto" w:fill="auto"/>
          </w:tcPr>
          <w:p w14:paraId="3680CFD3" w14:textId="77777777" w:rsidR="00A61FF5" w:rsidRPr="006E49EE" w:rsidRDefault="00A61FF5" w:rsidP="00D07480">
            <w:pPr>
              <w:pStyle w:val="ESTableBody"/>
              <w:jc w:val="right"/>
              <w:rPr>
                <w:lang w:val="en-AU"/>
              </w:rPr>
            </w:pPr>
            <w:r w:rsidRPr="006E49EE">
              <w:rPr>
                <w:lang w:val="en-AU"/>
              </w:rPr>
              <w:t>33.6</w:t>
            </w:r>
          </w:p>
        </w:tc>
        <w:tc>
          <w:tcPr>
            <w:tcW w:w="500" w:type="pct"/>
            <w:shd w:val="clear" w:color="auto" w:fill="auto"/>
          </w:tcPr>
          <w:p w14:paraId="06B1B071" w14:textId="77777777" w:rsidR="00A61FF5" w:rsidRPr="006E49EE" w:rsidRDefault="00A61FF5" w:rsidP="00D07480">
            <w:pPr>
              <w:pStyle w:val="ESTableBody"/>
              <w:jc w:val="right"/>
              <w:rPr>
                <w:lang w:val="en-AU"/>
              </w:rPr>
            </w:pPr>
            <w:r w:rsidRPr="006E49EE">
              <w:rPr>
                <w:lang w:val="en-AU"/>
              </w:rPr>
              <w:t>33.4</w:t>
            </w:r>
          </w:p>
        </w:tc>
        <w:tc>
          <w:tcPr>
            <w:tcW w:w="500" w:type="pct"/>
            <w:shd w:val="clear" w:color="auto" w:fill="auto"/>
          </w:tcPr>
          <w:p w14:paraId="69CA89E8" w14:textId="77777777" w:rsidR="00A61FF5" w:rsidRPr="006E49EE" w:rsidRDefault="00A61FF5" w:rsidP="00D07480">
            <w:pPr>
              <w:pStyle w:val="ESTableBody"/>
              <w:jc w:val="right"/>
              <w:rPr>
                <w:lang w:val="en-AU"/>
              </w:rPr>
            </w:pPr>
            <w:r w:rsidRPr="006E49EE">
              <w:rPr>
                <w:lang w:val="en-AU"/>
              </w:rPr>
              <w:t>34.0</w:t>
            </w:r>
          </w:p>
        </w:tc>
        <w:tc>
          <w:tcPr>
            <w:tcW w:w="500" w:type="pct"/>
          </w:tcPr>
          <w:p w14:paraId="1A198597" w14:textId="77777777" w:rsidR="00A61FF5" w:rsidRPr="006E49EE" w:rsidRDefault="00A61FF5" w:rsidP="00D07480">
            <w:pPr>
              <w:pStyle w:val="ESTableBody"/>
              <w:jc w:val="right"/>
              <w:rPr>
                <w:lang w:val="en-AU"/>
              </w:rPr>
            </w:pPr>
            <w:r w:rsidRPr="006E49EE">
              <w:rPr>
                <w:lang w:val="en-AU"/>
              </w:rPr>
              <w:t>33.2</w:t>
            </w:r>
          </w:p>
        </w:tc>
      </w:tr>
      <w:tr w:rsidR="00A61FF5" w:rsidRPr="00932A90" w14:paraId="709FC9AF" w14:textId="77777777" w:rsidTr="006B3A1D">
        <w:tc>
          <w:tcPr>
            <w:tcW w:w="2000" w:type="pct"/>
            <w:shd w:val="clear" w:color="auto" w:fill="auto"/>
          </w:tcPr>
          <w:p w14:paraId="479888EB" w14:textId="77777777" w:rsidR="00A61FF5" w:rsidRPr="006E49EE" w:rsidRDefault="00A61FF5" w:rsidP="00D07480">
            <w:pPr>
              <w:pStyle w:val="ESTableBody"/>
              <w:rPr>
                <w:lang w:val="en-AU"/>
              </w:rPr>
            </w:pPr>
            <w:r w:rsidRPr="006E49EE">
              <w:rPr>
                <w:lang w:val="en-AU"/>
              </w:rPr>
              <w:tab/>
              <w:t>Years 11–12</w:t>
            </w:r>
          </w:p>
        </w:tc>
        <w:tc>
          <w:tcPr>
            <w:tcW w:w="500" w:type="pct"/>
            <w:shd w:val="clear" w:color="auto" w:fill="auto"/>
          </w:tcPr>
          <w:p w14:paraId="41C9807A"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6A52B1BE" w14:textId="77777777" w:rsidR="00A61FF5" w:rsidRPr="006E49EE" w:rsidRDefault="00A61FF5" w:rsidP="00D07480">
            <w:pPr>
              <w:pStyle w:val="ESTableBody"/>
              <w:jc w:val="right"/>
              <w:rPr>
                <w:lang w:val="en-AU"/>
              </w:rPr>
            </w:pPr>
            <w:r w:rsidRPr="006E49EE">
              <w:rPr>
                <w:lang w:val="en-AU"/>
              </w:rPr>
              <w:t>27.2</w:t>
            </w:r>
          </w:p>
        </w:tc>
        <w:tc>
          <w:tcPr>
            <w:tcW w:w="500" w:type="pct"/>
            <w:shd w:val="clear" w:color="auto" w:fill="auto"/>
          </w:tcPr>
          <w:p w14:paraId="0179B5AC" w14:textId="77777777" w:rsidR="00A61FF5" w:rsidRPr="006E49EE" w:rsidRDefault="00A61FF5" w:rsidP="00D07480">
            <w:pPr>
              <w:pStyle w:val="ESTableBody"/>
              <w:jc w:val="right"/>
              <w:rPr>
                <w:lang w:val="en-AU"/>
              </w:rPr>
            </w:pPr>
            <w:r w:rsidRPr="006E49EE">
              <w:rPr>
                <w:lang w:val="en-AU"/>
              </w:rPr>
              <w:t>27.8</w:t>
            </w:r>
          </w:p>
        </w:tc>
        <w:tc>
          <w:tcPr>
            <w:tcW w:w="500" w:type="pct"/>
            <w:shd w:val="clear" w:color="auto" w:fill="auto"/>
          </w:tcPr>
          <w:p w14:paraId="353B2D53" w14:textId="77777777" w:rsidR="00A61FF5" w:rsidRPr="006E49EE" w:rsidRDefault="00A61FF5" w:rsidP="00D07480">
            <w:pPr>
              <w:pStyle w:val="ESTableBody"/>
              <w:jc w:val="right"/>
              <w:rPr>
                <w:lang w:val="en-AU"/>
              </w:rPr>
            </w:pPr>
            <w:r w:rsidRPr="006E49EE">
              <w:rPr>
                <w:lang w:val="en-AU"/>
              </w:rPr>
              <w:t>26.0</w:t>
            </w:r>
          </w:p>
        </w:tc>
        <w:tc>
          <w:tcPr>
            <w:tcW w:w="500" w:type="pct"/>
            <w:shd w:val="clear" w:color="auto" w:fill="auto"/>
          </w:tcPr>
          <w:p w14:paraId="3A469894" w14:textId="77777777" w:rsidR="00A61FF5" w:rsidRPr="006E49EE" w:rsidRDefault="00A61FF5" w:rsidP="00D07480">
            <w:pPr>
              <w:pStyle w:val="ESTableBody"/>
              <w:jc w:val="right"/>
              <w:rPr>
                <w:lang w:val="en-AU"/>
              </w:rPr>
            </w:pPr>
            <w:r w:rsidRPr="006E49EE">
              <w:rPr>
                <w:lang w:val="en-AU"/>
              </w:rPr>
              <w:t>25.4</w:t>
            </w:r>
          </w:p>
        </w:tc>
        <w:tc>
          <w:tcPr>
            <w:tcW w:w="500" w:type="pct"/>
          </w:tcPr>
          <w:p w14:paraId="4158396C" w14:textId="77777777" w:rsidR="00A61FF5" w:rsidRPr="006E49EE" w:rsidRDefault="00A61FF5" w:rsidP="00D07480">
            <w:pPr>
              <w:pStyle w:val="ESTableBody"/>
              <w:jc w:val="right"/>
              <w:rPr>
                <w:lang w:val="en-AU"/>
              </w:rPr>
            </w:pPr>
            <w:r w:rsidRPr="006E49EE">
              <w:rPr>
                <w:lang w:val="en-AU"/>
              </w:rPr>
              <w:t>23.6</w:t>
            </w:r>
          </w:p>
        </w:tc>
      </w:tr>
      <w:tr w:rsidR="00A61FF5" w:rsidRPr="00932A90" w14:paraId="2663EDEC" w14:textId="77777777" w:rsidTr="006B3A1D">
        <w:tc>
          <w:tcPr>
            <w:tcW w:w="500" w:type="pct"/>
            <w:gridSpan w:val="7"/>
            <w:shd w:val="clear" w:color="auto" w:fill="auto"/>
          </w:tcPr>
          <w:p w14:paraId="3D093C87" w14:textId="77777777" w:rsidR="00A61FF5" w:rsidRPr="006E49EE" w:rsidRDefault="00A61FF5" w:rsidP="00BB2C1D">
            <w:pPr>
              <w:pStyle w:val="ESTableheading"/>
              <w:rPr>
                <w:lang w:val="en-AU"/>
              </w:rPr>
            </w:pPr>
            <w:r w:rsidRPr="006E49EE">
              <w:rPr>
                <w:lang w:val="en-AU"/>
              </w:rPr>
              <w:t>Students with a positive opinion about their school providing a safe and orderly environment for learning</w:t>
            </w:r>
          </w:p>
        </w:tc>
      </w:tr>
      <w:tr w:rsidR="00A61FF5" w:rsidRPr="00932A90" w14:paraId="5DC0F14B" w14:textId="77777777" w:rsidTr="006B3A1D">
        <w:tc>
          <w:tcPr>
            <w:tcW w:w="500" w:type="pct"/>
            <w:gridSpan w:val="7"/>
            <w:shd w:val="clear" w:color="auto" w:fill="auto"/>
          </w:tcPr>
          <w:p w14:paraId="62AB3945" w14:textId="3029222D" w:rsidR="00A61FF5" w:rsidRPr="006E49EE" w:rsidRDefault="00A61FF5" w:rsidP="00BB2C1D">
            <w:pPr>
              <w:pStyle w:val="ESTableBody"/>
              <w:rPr>
                <w:lang w:val="en-AU"/>
              </w:rPr>
            </w:pPr>
            <w:r w:rsidRPr="006E49EE">
              <w:rPr>
                <w:lang w:val="en-AU"/>
              </w:rPr>
              <w:t>Proportion of students who agree or strongly ag</w:t>
            </w:r>
            <w:r w:rsidR="00366F71" w:rsidRPr="006E49EE">
              <w:rPr>
                <w:lang w:val="en-AU"/>
              </w:rPr>
              <w:t>ree that their school is ‘safe’</w:t>
            </w:r>
          </w:p>
        </w:tc>
      </w:tr>
      <w:tr w:rsidR="00A61FF5" w:rsidRPr="00932A90" w14:paraId="232A6C8C" w14:textId="77777777" w:rsidTr="006B3A1D">
        <w:tc>
          <w:tcPr>
            <w:tcW w:w="2000" w:type="pct"/>
            <w:shd w:val="clear" w:color="auto" w:fill="auto"/>
          </w:tcPr>
          <w:p w14:paraId="4DF5B34C" w14:textId="77777777" w:rsidR="00A61FF5" w:rsidRPr="006E49EE" w:rsidRDefault="00A61FF5" w:rsidP="00D07480">
            <w:pPr>
              <w:pStyle w:val="ESTableBody"/>
              <w:rPr>
                <w:lang w:val="en-AU"/>
              </w:rPr>
            </w:pPr>
            <w:r w:rsidRPr="006E49EE">
              <w:rPr>
                <w:lang w:val="en-AU"/>
              </w:rPr>
              <w:tab/>
              <w:t>Years 5–6</w:t>
            </w:r>
          </w:p>
        </w:tc>
        <w:tc>
          <w:tcPr>
            <w:tcW w:w="500" w:type="pct"/>
            <w:shd w:val="clear" w:color="auto" w:fill="auto"/>
          </w:tcPr>
          <w:p w14:paraId="65EC3769"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321697F4" w14:textId="77777777" w:rsidR="00A61FF5" w:rsidRPr="006E49EE" w:rsidRDefault="00A61FF5" w:rsidP="00D07480">
            <w:pPr>
              <w:pStyle w:val="ESTableBody"/>
              <w:jc w:val="right"/>
              <w:rPr>
                <w:lang w:val="en-AU"/>
              </w:rPr>
            </w:pPr>
            <w:r w:rsidRPr="006E49EE">
              <w:rPr>
                <w:lang w:val="en-AU"/>
              </w:rPr>
              <w:t>63.8</w:t>
            </w:r>
          </w:p>
        </w:tc>
        <w:tc>
          <w:tcPr>
            <w:tcW w:w="500" w:type="pct"/>
            <w:shd w:val="clear" w:color="auto" w:fill="auto"/>
          </w:tcPr>
          <w:p w14:paraId="27D03931" w14:textId="77777777" w:rsidR="00A61FF5" w:rsidRPr="006E49EE" w:rsidRDefault="00A61FF5" w:rsidP="00D07480">
            <w:pPr>
              <w:pStyle w:val="ESTableBody"/>
              <w:jc w:val="right"/>
              <w:rPr>
                <w:lang w:val="en-AU"/>
              </w:rPr>
            </w:pPr>
            <w:r w:rsidRPr="006E49EE">
              <w:rPr>
                <w:lang w:val="en-AU"/>
              </w:rPr>
              <w:t>63.6</w:t>
            </w:r>
          </w:p>
        </w:tc>
        <w:tc>
          <w:tcPr>
            <w:tcW w:w="500" w:type="pct"/>
            <w:shd w:val="clear" w:color="auto" w:fill="auto"/>
          </w:tcPr>
          <w:p w14:paraId="7A2EE690" w14:textId="77777777" w:rsidR="00A61FF5" w:rsidRPr="006E49EE" w:rsidRDefault="00A61FF5" w:rsidP="00D07480">
            <w:pPr>
              <w:pStyle w:val="ESTableBody"/>
              <w:jc w:val="right"/>
              <w:rPr>
                <w:lang w:val="en-AU"/>
              </w:rPr>
            </w:pPr>
            <w:r w:rsidRPr="006E49EE">
              <w:rPr>
                <w:lang w:val="en-AU"/>
              </w:rPr>
              <w:t>64.1</w:t>
            </w:r>
          </w:p>
        </w:tc>
        <w:tc>
          <w:tcPr>
            <w:tcW w:w="500" w:type="pct"/>
            <w:shd w:val="clear" w:color="auto" w:fill="auto"/>
          </w:tcPr>
          <w:p w14:paraId="74501360" w14:textId="77777777" w:rsidR="00A61FF5" w:rsidRPr="006E49EE" w:rsidRDefault="00A61FF5" w:rsidP="00D07480">
            <w:pPr>
              <w:pStyle w:val="ESTableBody"/>
              <w:jc w:val="right"/>
              <w:rPr>
                <w:lang w:val="en-AU"/>
              </w:rPr>
            </w:pPr>
            <w:r w:rsidRPr="006E49EE">
              <w:rPr>
                <w:lang w:val="en-AU"/>
              </w:rPr>
              <w:t>60.3</w:t>
            </w:r>
          </w:p>
        </w:tc>
        <w:tc>
          <w:tcPr>
            <w:tcW w:w="500" w:type="pct"/>
          </w:tcPr>
          <w:p w14:paraId="3F044DD3" w14:textId="77777777" w:rsidR="00A61FF5" w:rsidRPr="006E49EE" w:rsidRDefault="00A61FF5" w:rsidP="00D07480">
            <w:pPr>
              <w:pStyle w:val="ESTableBody"/>
              <w:jc w:val="right"/>
              <w:rPr>
                <w:lang w:val="en-AU"/>
              </w:rPr>
            </w:pPr>
            <w:r w:rsidRPr="006E49EE">
              <w:rPr>
                <w:lang w:val="en-AU"/>
              </w:rPr>
              <w:t>60.1</w:t>
            </w:r>
          </w:p>
        </w:tc>
      </w:tr>
      <w:tr w:rsidR="00A61FF5" w:rsidRPr="00932A90" w14:paraId="3427B888" w14:textId="77777777" w:rsidTr="006B3A1D">
        <w:tc>
          <w:tcPr>
            <w:tcW w:w="2000" w:type="pct"/>
            <w:shd w:val="clear" w:color="auto" w:fill="auto"/>
          </w:tcPr>
          <w:p w14:paraId="2D9308FB" w14:textId="77777777" w:rsidR="00A61FF5" w:rsidRPr="006E49EE" w:rsidRDefault="00A61FF5" w:rsidP="00D07480">
            <w:pPr>
              <w:pStyle w:val="ESTableBody"/>
              <w:rPr>
                <w:lang w:val="en-AU"/>
              </w:rPr>
            </w:pPr>
            <w:r w:rsidRPr="006E49EE">
              <w:rPr>
                <w:lang w:val="en-AU"/>
              </w:rPr>
              <w:tab/>
              <w:t>Years 7–10</w:t>
            </w:r>
          </w:p>
        </w:tc>
        <w:tc>
          <w:tcPr>
            <w:tcW w:w="500" w:type="pct"/>
            <w:shd w:val="clear" w:color="auto" w:fill="auto"/>
          </w:tcPr>
          <w:p w14:paraId="7CCC6204"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47D935AE" w14:textId="77777777" w:rsidR="00A61FF5" w:rsidRPr="006E49EE" w:rsidRDefault="00A61FF5" w:rsidP="00D07480">
            <w:pPr>
              <w:pStyle w:val="ESTableBody"/>
              <w:jc w:val="right"/>
              <w:rPr>
                <w:lang w:val="en-AU"/>
              </w:rPr>
            </w:pPr>
            <w:r w:rsidRPr="006E49EE">
              <w:rPr>
                <w:lang w:val="en-AU"/>
              </w:rPr>
              <w:t>59.1</w:t>
            </w:r>
          </w:p>
        </w:tc>
        <w:tc>
          <w:tcPr>
            <w:tcW w:w="500" w:type="pct"/>
            <w:shd w:val="clear" w:color="auto" w:fill="auto"/>
          </w:tcPr>
          <w:p w14:paraId="72ED225C" w14:textId="77777777" w:rsidR="00A61FF5" w:rsidRPr="006E49EE" w:rsidRDefault="00A61FF5" w:rsidP="00D07480">
            <w:pPr>
              <w:pStyle w:val="ESTableBody"/>
              <w:jc w:val="right"/>
              <w:rPr>
                <w:lang w:val="en-AU"/>
              </w:rPr>
            </w:pPr>
            <w:r w:rsidRPr="006E49EE">
              <w:rPr>
                <w:lang w:val="en-AU"/>
              </w:rPr>
              <w:t>58.8</w:t>
            </w:r>
          </w:p>
        </w:tc>
        <w:tc>
          <w:tcPr>
            <w:tcW w:w="500" w:type="pct"/>
            <w:shd w:val="clear" w:color="auto" w:fill="auto"/>
          </w:tcPr>
          <w:p w14:paraId="0E4C0E93" w14:textId="77777777" w:rsidR="00A61FF5" w:rsidRPr="006E49EE" w:rsidRDefault="00A61FF5" w:rsidP="00D07480">
            <w:pPr>
              <w:pStyle w:val="ESTableBody"/>
              <w:jc w:val="right"/>
              <w:rPr>
                <w:lang w:val="en-AU"/>
              </w:rPr>
            </w:pPr>
            <w:r w:rsidRPr="006E49EE">
              <w:rPr>
                <w:lang w:val="en-AU"/>
              </w:rPr>
              <w:t>60.0</w:t>
            </w:r>
          </w:p>
        </w:tc>
        <w:tc>
          <w:tcPr>
            <w:tcW w:w="500" w:type="pct"/>
            <w:shd w:val="clear" w:color="auto" w:fill="auto"/>
          </w:tcPr>
          <w:p w14:paraId="16D7C74A" w14:textId="77777777" w:rsidR="00A61FF5" w:rsidRPr="006E49EE" w:rsidRDefault="00A61FF5" w:rsidP="00D07480">
            <w:pPr>
              <w:pStyle w:val="ESTableBody"/>
              <w:jc w:val="right"/>
              <w:rPr>
                <w:lang w:val="en-AU"/>
              </w:rPr>
            </w:pPr>
            <w:r w:rsidRPr="006E49EE">
              <w:rPr>
                <w:lang w:val="en-AU"/>
              </w:rPr>
              <w:t>58.7</w:t>
            </w:r>
          </w:p>
        </w:tc>
        <w:tc>
          <w:tcPr>
            <w:tcW w:w="500" w:type="pct"/>
          </w:tcPr>
          <w:p w14:paraId="6F0529F6" w14:textId="77777777" w:rsidR="00A61FF5" w:rsidRPr="006E49EE" w:rsidRDefault="00A61FF5" w:rsidP="00D07480">
            <w:pPr>
              <w:pStyle w:val="ESTableBody"/>
              <w:jc w:val="right"/>
              <w:rPr>
                <w:lang w:val="en-AU"/>
              </w:rPr>
            </w:pPr>
            <w:r w:rsidRPr="006E49EE">
              <w:rPr>
                <w:lang w:val="en-AU"/>
              </w:rPr>
              <w:t>58.1</w:t>
            </w:r>
          </w:p>
        </w:tc>
      </w:tr>
      <w:tr w:rsidR="00A61FF5" w:rsidRPr="00932A90" w14:paraId="2B098DA1" w14:textId="77777777" w:rsidTr="006B3A1D">
        <w:tc>
          <w:tcPr>
            <w:tcW w:w="2000" w:type="pct"/>
            <w:shd w:val="clear" w:color="auto" w:fill="auto"/>
          </w:tcPr>
          <w:p w14:paraId="72DEFE1D" w14:textId="77777777" w:rsidR="00A61FF5" w:rsidRPr="006E49EE" w:rsidRDefault="00A61FF5" w:rsidP="00D07480">
            <w:pPr>
              <w:pStyle w:val="ESTableBody"/>
              <w:rPr>
                <w:lang w:val="en-AU"/>
              </w:rPr>
            </w:pPr>
            <w:r w:rsidRPr="006E49EE">
              <w:rPr>
                <w:lang w:val="en-AU"/>
              </w:rPr>
              <w:tab/>
              <w:t>Years 11–12</w:t>
            </w:r>
          </w:p>
        </w:tc>
        <w:tc>
          <w:tcPr>
            <w:tcW w:w="500" w:type="pct"/>
            <w:shd w:val="clear" w:color="auto" w:fill="auto"/>
          </w:tcPr>
          <w:p w14:paraId="6FC78E07"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55A0872C" w14:textId="77777777" w:rsidR="00A61FF5" w:rsidRPr="006E49EE" w:rsidRDefault="00A61FF5" w:rsidP="00D07480">
            <w:pPr>
              <w:pStyle w:val="ESTableBody"/>
              <w:jc w:val="right"/>
              <w:rPr>
                <w:lang w:val="en-AU"/>
              </w:rPr>
            </w:pPr>
            <w:r w:rsidRPr="006E49EE">
              <w:rPr>
                <w:lang w:val="en-AU"/>
              </w:rPr>
              <w:t>65.5</w:t>
            </w:r>
          </w:p>
        </w:tc>
        <w:tc>
          <w:tcPr>
            <w:tcW w:w="500" w:type="pct"/>
            <w:shd w:val="clear" w:color="auto" w:fill="auto"/>
          </w:tcPr>
          <w:p w14:paraId="0A6E7ABB" w14:textId="77777777" w:rsidR="00A61FF5" w:rsidRPr="006E49EE" w:rsidRDefault="00A61FF5" w:rsidP="00D07480">
            <w:pPr>
              <w:pStyle w:val="ESTableBody"/>
              <w:jc w:val="right"/>
              <w:rPr>
                <w:lang w:val="en-AU"/>
              </w:rPr>
            </w:pPr>
            <w:r w:rsidRPr="006E49EE">
              <w:rPr>
                <w:lang w:val="en-AU"/>
              </w:rPr>
              <w:t>65.7</w:t>
            </w:r>
          </w:p>
        </w:tc>
        <w:tc>
          <w:tcPr>
            <w:tcW w:w="500" w:type="pct"/>
            <w:shd w:val="clear" w:color="auto" w:fill="auto"/>
          </w:tcPr>
          <w:p w14:paraId="4B66FFF2" w14:textId="77777777" w:rsidR="00A61FF5" w:rsidRPr="006E49EE" w:rsidRDefault="00A61FF5" w:rsidP="00D07480">
            <w:pPr>
              <w:pStyle w:val="ESTableBody"/>
              <w:jc w:val="right"/>
              <w:rPr>
                <w:lang w:val="en-AU"/>
              </w:rPr>
            </w:pPr>
            <w:r w:rsidRPr="006E49EE">
              <w:rPr>
                <w:lang w:val="en-AU"/>
              </w:rPr>
              <w:t>66.3</w:t>
            </w:r>
          </w:p>
        </w:tc>
        <w:tc>
          <w:tcPr>
            <w:tcW w:w="500" w:type="pct"/>
            <w:shd w:val="clear" w:color="auto" w:fill="auto"/>
          </w:tcPr>
          <w:p w14:paraId="4975C09A" w14:textId="77777777" w:rsidR="00A61FF5" w:rsidRPr="006E49EE" w:rsidRDefault="00A61FF5" w:rsidP="00D07480">
            <w:pPr>
              <w:pStyle w:val="ESTableBody"/>
              <w:jc w:val="right"/>
              <w:rPr>
                <w:lang w:val="en-AU"/>
              </w:rPr>
            </w:pPr>
            <w:r w:rsidRPr="006E49EE">
              <w:rPr>
                <w:lang w:val="en-AU"/>
              </w:rPr>
              <w:t>64.9</w:t>
            </w:r>
          </w:p>
        </w:tc>
        <w:tc>
          <w:tcPr>
            <w:tcW w:w="500" w:type="pct"/>
          </w:tcPr>
          <w:p w14:paraId="456ABE0B" w14:textId="77777777" w:rsidR="00A61FF5" w:rsidRPr="006E49EE" w:rsidRDefault="00A61FF5" w:rsidP="00D07480">
            <w:pPr>
              <w:pStyle w:val="ESTableBody"/>
              <w:jc w:val="right"/>
              <w:rPr>
                <w:lang w:val="en-AU"/>
              </w:rPr>
            </w:pPr>
            <w:r w:rsidRPr="006E49EE">
              <w:rPr>
                <w:lang w:val="en-AU"/>
              </w:rPr>
              <w:t>64.6</w:t>
            </w:r>
          </w:p>
        </w:tc>
      </w:tr>
      <w:tr w:rsidR="00A61FF5" w:rsidRPr="00932A90" w14:paraId="7D62A486" w14:textId="77777777" w:rsidTr="006B3A1D">
        <w:tc>
          <w:tcPr>
            <w:tcW w:w="500" w:type="pct"/>
            <w:gridSpan w:val="7"/>
            <w:shd w:val="clear" w:color="auto" w:fill="auto"/>
          </w:tcPr>
          <w:p w14:paraId="288B26F7" w14:textId="7EC8909D" w:rsidR="00A61FF5" w:rsidRPr="006E49EE" w:rsidRDefault="00A61FF5" w:rsidP="00BB2C1D">
            <w:pPr>
              <w:pStyle w:val="ESTableBody"/>
              <w:rPr>
                <w:lang w:val="en-AU"/>
              </w:rPr>
            </w:pPr>
            <w:r w:rsidRPr="006E49EE">
              <w:rPr>
                <w:lang w:val="en-AU"/>
              </w:rPr>
              <w:t>Proportion of students who agree or strongly agree that other s</w:t>
            </w:r>
            <w:r w:rsidR="00366F71" w:rsidRPr="006E49EE">
              <w:rPr>
                <w:lang w:val="en-AU"/>
              </w:rPr>
              <w:t>tudents are disruptive in class</w:t>
            </w:r>
          </w:p>
        </w:tc>
      </w:tr>
      <w:tr w:rsidR="00A61FF5" w:rsidRPr="00932A90" w14:paraId="78C33473" w14:textId="77777777" w:rsidTr="006B3A1D">
        <w:tc>
          <w:tcPr>
            <w:tcW w:w="2000" w:type="pct"/>
            <w:shd w:val="clear" w:color="auto" w:fill="auto"/>
          </w:tcPr>
          <w:p w14:paraId="4C4E9DDE" w14:textId="77777777" w:rsidR="00A61FF5" w:rsidRPr="006E49EE" w:rsidRDefault="00A61FF5" w:rsidP="00D07480">
            <w:pPr>
              <w:pStyle w:val="ESTableBody"/>
              <w:rPr>
                <w:lang w:val="en-AU"/>
              </w:rPr>
            </w:pPr>
            <w:r w:rsidRPr="006E49EE">
              <w:rPr>
                <w:lang w:val="en-AU"/>
              </w:rPr>
              <w:tab/>
              <w:t>Years 5–6</w:t>
            </w:r>
          </w:p>
        </w:tc>
        <w:tc>
          <w:tcPr>
            <w:tcW w:w="500" w:type="pct"/>
            <w:shd w:val="clear" w:color="auto" w:fill="auto"/>
          </w:tcPr>
          <w:p w14:paraId="7F0B2AC8"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6A753264" w14:textId="77777777" w:rsidR="00A61FF5" w:rsidRPr="006E49EE" w:rsidRDefault="00A61FF5" w:rsidP="00D07480">
            <w:pPr>
              <w:pStyle w:val="ESTableBody"/>
              <w:jc w:val="right"/>
              <w:rPr>
                <w:lang w:val="en-AU"/>
              </w:rPr>
            </w:pPr>
            <w:r w:rsidRPr="006E49EE">
              <w:rPr>
                <w:lang w:val="en-AU"/>
              </w:rPr>
              <w:t>14.2</w:t>
            </w:r>
          </w:p>
        </w:tc>
        <w:tc>
          <w:tcPr>
            <w:tcW w:w="500" w:type="pct"/>
            <w:shd w:val="clear" w:color="auto" w:fill="auto"/>
          </w:tcPr>
          <w:p w14:paraId="2D1B0A5C" w14:textId="77777777" w:rsidR="00A61FF5" w:rsidRPr="006E49EE" w:rsidRDefault="00A61FF5" w:rsidP="00D07480">
            <w:pPr>
              <w:pStyle w:val="ESTableBody"/>
              <w:jc w:val="right"/>
              <w:rPr>
                <w:lang w:val="en-AU"/>
              </w:rPr>
            </w:pPr>
            <w:r w:rsidRPr="006E49EE">
              <w:rPr>
                <w:lang w:val="en-AU"/>
              </w:rPr>
              <w:t>14.4</w:t>
            </w:r>
          </w:p>
        </w:tc>
        <w:tc>
          <w:tcPr>
            <w:tcW w:w="500" w:type="pct"/>
            <w:shd w:val="clear" w:color="auto" w:fill="auto"/>
          </w:tcPr>
          <w:p w14:paraId="016931B5" w14:textId="77777777" w:rsidR="00A61FF5" w:rsidRPr="006E49EE" w:rsidRDefault="00A61FF5" w:rsidP="00D07480">
            <w:pPr>
              <w:pStyle w:val="ESTableBody"/>
              <w:jc w:val="right"/>
              <w:rPr>
                <w:lang w:val="en-AU"/>
              </w:rPr>
            </w:pPr>
            <w:r w:rsidRPr="006E49EE">
              <w:rPr>
                <w:lang w:val="en-AU"/>
              </w:rPr>
              <w:t>14.1</w:t>
            </w:r>
          </w:p>
        </w:tc>
        <w:tc>
          <w:tcPr>
            <w:tcW w:w="500" w:type="pct"/>
            <w:shd w:val="clear" w:color="auto" w:fill="auto"/>
          </w:tcPr>
          <w:p w14:paraId="3BA4AEC4" w14:textId="77777777" w:rsidR="00A61FF5" w:rsidRPr="006E49EE" w:rsidRDefault="00A61FF5" w:rsidP="00D07480">
            <w:pPr>
              <w:pStyle w:val="ESTableBody"/>
              <w:jc w:val="right"/>
              <w:rPr>
                <w:lang w:val="en-AU"/>
              </w:rPr>
            </w:pPr>
            <w:r w:rsidRPr="006E49EE">
              <w:rPr>
                <w:lang w:val="en-AU"/>
              </w:rPr>
              <w:t>14.1</w:t>
            </w:r>
          </w:p>
        </w:tc>
        <w:tc>
          <w:tcPr>
            <w:tcW w:w="500" w:type="pct"/>
          </w:tcPr>
          <w:p w14:paraId="37D17005" w14:textId="77777777" w:rsidR="00A61FF5" w:rsidRPr="006E49EE" w:rsidRDefault="00A61FF5" w:rsidP="00D07480">
            <w:pPr>
              <w:pStyle w:val="ESTableBody"/>
              <w:jc w:val="right"/>
              <w:rPr>
                <w:lang w:val="en-AU"/>
              </w:rPr>
            </w:pPr>
            <w:r w:rsidRPr="006E49EE">
              <w:rPr>
                <w:lang w:val="en-AU"/>
              </w:rPr>
              <w:t>14.3</w:t>
            </w:r>
          </w:p>
        </w:tc>
      </w:tr>
      <w:tr w:rsidR="00A61FF5" w:rsidRPr="00932A90" w14:paraId="6F32D15A" w14:textId="77777777" w:rsidTr="006B3A1D">
        <w:tc>
          <w:tcPr>
            <w:tcW w:w="2000" w:type="pct"/>
            <w:shd w:val="clear" w:color="auto" w:fill="auto"/>
          </w:tcPr>
          <w:p w14:paraId="73C0084D" w14:textId="77777777" w:rsidR="00A61FF5" w:rsidRPr="006E49EE" w:rsidRDefault="00A61FF5" w:rsidP="00D07480">
            <w:pPr>
              <w:pStyle w:val="ESTableBody"/>
              <w:rPr>
                <w:lang w:val="en-AU"/>
              </w:rPr>
            </w:pPr>
            <w:r w:rsidRPr="006E49EE">
              <w:rPr>
                <w:lang w:val="en-AU"/>
              </w:rPr>
              <w:tab/>
              <w:t>Years 7–10</w:t>
            </w:r>
          </w:p>
        </w:tc>
        <w:tc>
          <w:tcPr>
            <w:tcW w:w="500" w:type="pct"/>
            <w:shd w:val="clear" w:color="auto" w:fill="auto"/>
          </w:tcPr>
          <w:p w14:paraId="290B5ACD"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33A72272" w14:textId="77777777" w:rsidR="00A61FF5" w:rsidRPr="006E49EE" w:rsidRDefault="00A61FF5" w:rsidP="00D07480">
            <w:pPr>
              <w:pStyle w:val="ESTableBody"/>
              <w:jc w:val="right"/>
              <w:rPr>
                <w:lang w:val="en-AU"/>
              </w:rPr>
            </w:pPr>
            <w:r w:rsidRPr="006E49EE">
              <w:rPr>
                <w:lang w:val="en-AU"/>
              </w:rPr>
              <w:t>26.5</w:t>
            </w:r>
          </w:p>
        </w:tc>
        <w:tc>
          <w:tcPr>
            <w:tcW w:w="500" w:type="pct"/>
            <w:shd w:val="clear" w:color="auto" w:fill="auto"/>
          </w:tcPr>
          <w:p w14:paraId="2DE13D31" w14:textId="77777777" w:rsidR="00A61FF5" w:rsidRPr="006E49EE" w:rsidRDefault="00A61FF5" w:rsidP="00D07480">
            <w:pPr>
              <w:pStyle w:val="ESTableBody"/>
              <w:jc w:val="right"/>
              <w:rPr>
                <w:lang w:val="en-AU"/>
              </w:rPr>
            </w:pPr>
            <w:r w:rsidRPr="006E49EE">
              <w:rPr>
                <w:lang w:val="en-AU"/>
              </w:rPr>
              <w:t>26.5</w:t>
            </w:r>
          </w:p>
        </w:tc>
        <w:tc>
          <w:tcPr>
            <w:tcW w:w="500" w:type="pct"/>
            <w:shd w:val="clear" w:color="auto" w:fill="auto"/>
          </w:tcPr>
          <w:p w14:paraId="34F5491C" w14:textId="77777777" w:rsidR="00A61FF5" w:rsidRPr="006E49EE" w:rsidRDefault="00A61FF5" w:rsidP="00D07480">
            <w:pPr>
              <w:pStyle w:val="ESTableBody"/>
              <w:jc w:val="right"/>
              <w:rPr>
                <w:lang w:val="en-AU"/>
              </w:rPr>
            </w:pPr>
            <w:r w:rsidRPr="006E49EE">
              <w:rPr>
                <w:lang w:val="en-AU"/>
              </w:rPr>
              <w:t>26.0</w:t>
            </w:r>
          </w:p>
        </w:tc>
        <w:tc>
          <w:tcPr>
            <w:tcW w:w="500" w:type="pct"/>
            <w:shd w:val="clear" w:color="auto" w:fill="auto"/>
          </w:tcPr>
          <w:p w14:paraId="41027583" w14:textId="77777777" w:rsidR="00A61FF5" w:rsidRPr="006E49EE" w:rsidRDefault="00A61FF5" w:rsidP="00D07480">
            <w:pPr>
              <w:pStyle w:val="ESTableBody"/>
              <w:jc w:val="right"/>
              <w:rPr>
                <w:lang w:val="en-AU"/>
              </w:rPr>
            </w:pPr>
            <w:r w:rsidRPr="006E49EE">
              <w:rPr>
                <w:lang w:val="en-AU"/>
              </w:rPr>
              <w:t>24.7</w:t>
            </w:r>
          </w:p>
        </w:tc>
        <w:tc>
          <w:tcPr>
            <w:tcW w:w="500" w:type="pct"/>
          </w:tcPr>
          <w:p w14:paraId="1663013A" w14:textId="77777777" w:rsidR="00A61FF5" w:rsidRPr="006E49EE" w:rsidRDefault="00A61FF5" w:rsidP="00D07480">
            <w:pPr>
              <w:pStyle w:val="ESTableBody"/>
              <w:jc w:val="right"/>
              <w:rPr>
                <w:lang w:val="en-AU"/>
              </w:rPr>
            </w:pPr>
            <w:r w:rsidRPr="006E49EE">
              <w:rPr>
                <w:lang w:val="en-AU"/>
              </w:rPr>
              <w:t>24.3</w:t>
            </w:r>
          </w:p>
        </w:tc>
      </w:tr>
      <w:tr w:rsidR="00A61FF5" w:rsidRPr="00932A90" w14:paraId="00E3152D" w14:textId="77777777" w:rsidTr="006B3A1D">
        <w:tc>
          <w:tcPr>
            <w:tcW w:w="2000" w:type="pct"/>
            <w:shd w:val="clear" w:color="auto" w:fill="auto"/>
          </w:tcPr>
          <w:p w14:paraId="0B966E3F" w14:textId="77777777" w:rsidR="00A61FF5" w:rsidRPr="006E49EE" w:rsidRDefault="00A61FF5" w:rsidP="00D07480">
            <w:pPr>
              <w:pStyle w:val="ESTableBody"/>
              <w:rPr>
                <w:lang w:val="en-AU"/>
              </w:rPr>
            </w:pPr>
            <w:r w:rsidRPr="006E49EE">
              <w:rPr>
                <w:lang w:val="en-AU"/>
              </w:rPr>
              <w:tab/>
              <w:t>Years 11–12</w:t>
            </w:r>
          </w:p>
        </w:tc>
        <w:tc>
          <w:tcPr>
            <w:tcW w:w="500" w:type="pct"/>
            <w:shd w:val="clear" w:color="auto" w:fill="auto"/>
          </w:tcPr>
          <w:p w14:paraId="251026CD" w14:textId="77777777" w:rsidR="00A61FF5" w:rsidRPr="006E49EE" w:rsidRDefault="00A61FF5" w:rsidP="00D07480">
            <w:pPr>
              <w:pStyle w:val="ESTableBody"/>
              <w:jc w:val="right"/>
              <w:rPr>
                <w:lang w:val="en-AU"/>
              </w:rPr>
            </w:pPr>
            <w:r w:rsidRPr="006E49EE">
              <w:rPr>
                <w:lang w:val="en-AU"/>
              </w:rPr>
              <w:t>per cent</w:t>
            </w:r>
          </w:p>
        </w:tc>
        <w:tc>
          <w:tcPr>
            <w:tcW w:w="500" w:type="pct"/>
            <w:shd w:val="clear" w:color="auto" w:fill="auto"/>
          </w:tcPr>
          <w:p w14:paraId="77AD5DFC" w14:textId="77777777" w:rsidR="00A61FF5" w:rsidRPr="006E49EE" w:rsidRDefault="00A61FF5" w:rsidP="00D07480">
            <w:pPr>
              <w:pStyle w:val="ESTableBody"/>
              <w:jc w:val="right"/>
              <w:rPr>
                <w:lang w:val="en-AU"/>
              </w:rPr>
            </w:pPr>
            <w:r w:rsidRPr="006E49EE">
              <w:rPr>
                <w:lang w:val="en-AU"/>
              </w:rPr>
              <w:t>18.7</w:t>
            </w:r>
          </w:p>
        </w:tc>
        <w:tc>
          <w:tcPr>
            <w:tcW w:w="500" w:type="pct"/>
            <w:shd w:val="clear" w:color="auto" w:fill="auto"/>
          </w:tcPr>
          <w:p w14:paraId="50FB92BE" w14:textId="77777777" w:rsidR="00A61FF5" w:rsidRPr="006E49EE" w:rsidRDefault="00A61FF5" w:rsidP="00D07480">
            <w:pPr>
              <w:pStyle w:val="ESTableBody"/>
              <w:jc w:val="right"/>
              <w:rPr>
                <w:lang w:val="en-AU"/>
              </w:rPr>
            </w:pPr>
            <w:r w:rsidRPr="006E49EE">
              <w:rPr>
                <w:lang w:val="en-AU"/>
              </w:rPr>
              <w:t>18.0</w:t>
            </w:r>
          </w:p>
        </w:tc>
        <w:tc>
          <w:tcPr>
            <w:tcW w:w="500" w:type="pct"/>
            <w:shd w:val="clear" w:color="auto" w:fill="auto"/>
          </w:tcPr>
          <w:p w14:paraId="5E396926" w14:textId="77777777" w:rsidR="00A61FF5" w:rsidRPr="006E49EE" w:rsidRDefault="00A61FF5" w:rsidP="00D07480">
            <w:pPr>
              <w:pStyle w:val="ESTableBody"/>
              <w:jc w:val="right"/>
              <w:rPr>
                <w:lang w:val="en-AU"/>
              </w:rPr>
            </w:pPr>
            <w:r w:rsidRPr="006E49EE">
              <w:rPr>
                <w:lang w:val="en-AU"/>
              </w:rPr>
              <w:t>17.0</w:t>
            </w:r>
          </w:p>
        </w:tc>
        <w:tc>
          <w:tcPr>
            <w:tcW w:w="500" w:type="pct"/>
            <w:shd w:val="clear" w:color="auto" w:fill="auto"/>
          </w:tcPr>
          <w:p w14:paraId="5B83C6BF" w14:textId="77777777" w:rsidR="00A61FF5" w:rsidRPr="006E49EE" w:rsidRDefault="00A61FF5" w:rsidP="00D07480">
            <w:pPr>
              <w:pStyle w:val="ESTableBody"/>
              <w:jc w:val="right"/>
              <w:rPr>
                <w:lang w:val="en-AU"/>
              </w:rPr>
            </w:pPr>
            <w:r w:rsidRPr="006E49EE">
              <w:rPr>
                <w:lang w:val="en-AU"/>
              </w:rPr>
              <w:t>16.1</w:t>
            </w:r>
          </w:p>
        </w:tc>
        <w:tc>
          <w:tcPr>
            <w:tcW w:w="500" w:type="pct"/>
          </w:tcPr>
          <w:p w14:paraId="696C7576" w14:textId="77777777" w:rsidR="00A61FF5" w:rsidRPr="006E49EE" w:rsidRDefault="00A61FF5" w:rsidP="00D07480">
            <w:pPr>
              <w:pStyle w:val="ESTableBody"/>
              <w:jc w:val="right"/>
              <w:rPr>
                <w:lang w:val="en-AU"/>
              </w:rPr>
            </w:pPr>
            <w:r w:rsidRPr="006E49EE">
              <w:rPr>
                <w:lang w:val="en-AU"/>
              </w:rPr>
              <w:t>15.6</w:t>
            </w:r>
          </w:p>
        </w:tc>
      </w:tr>
      <w:tr w:rsidR="00A61FF5" w:rsidRPr="00932A90" w14:paraId="55A139CE" w14:textId="77777777" w:rsidTr="009A0BAD">
        <w:tc>
          <w:tcPr>
            <w:tcW w:w="500" w:type="pct"/>
            <w:gridSpan w:val="7"/>
            <w:shd w:val="clear" w:color="auto" w:fill="D9D9D9" w:themeFill="background1" w:themeFillShade="D9"/>
          </w:tcPr>
          <w:p w14:paraId="53072EF4" w14:textId="77777777" w:rsidR="00A61FF5" w:rsidRPr="006E49EE" w:rsidRDefault="00A61FF5" w:rsidP="009A0BAD">
            <w:pPr>
              <w:pStyle w:val="ESTableheading"/>
              <w:rPr>
                <w:lang w:val="en-AU"/>
              </w:rPr>
            </w:pPr>
            <w:r w:rsidRPr="006E49EE">
              <w:rPr>
                <w:lang w:val="en-AU"/>
              </w:rPr>
              <w:t>Higher education and skills</w:t>
            </w:r>
          </w:p>
        </w:tc>
      </w:tr>
      <w:tr w:rsidR="00A61FF5" w:rsidRPr="00932A90" w14:paraId="420EAB7E" w14:textId="77777777" w:rsidTr="006B3A1D">
        <w:tc>
          <w:tcPr>
            <w:tcW w:w="500" w:type="pct"/>
            <w:gridSpan w:val="7"/>
            <w:shd w:val="clear" w:color="auto" w:fill="auto"/>
          </w:tcPr>
          <w:p w14:paraId="253374A5" w14:textId="77777777" w:rsidR="00A61FF5" w:rsidRPr="006E49EE" w:rsidRDefault="00A61FF5" w:rsidP="009A0BAD">
            <w:pPr>
              <w:pStyle w:val="ESTableheading"/>
              <w:rPr>
                <w:lang w:val="en-AU"/>
              </w:rPr>
            </w:pPr>
            <w:r w:rsidRPr="006E49EE">
              <w:rPr>
                <w:lang w:val="en-AU"/>
              </w:rPr>
              <w:t>Level of student satisfaction with VET</w:t>
            </w:r>
          </w:p>
        </w:tc>
      </w:tr>
      <w:tr w:rsidR="00A61FF5" w:rsidRPr="00932A90" w14:paraId="6561E25C" w14:textId="77777777" w:rsidTr="006B3A1D">
        <w:tc>
          <w:tcPr>
            <w:tcW w:w="2000" w:type="pct"/>
            <w:tcBorders>
              <w:bottom w:val="single" w:sz="4" w:space="0" w:color="auto"/>
            </w:tcBorders>
            <w:shd w:val="clear" w:color="auto" w:fill="auto"/>
          </w:tcPr>
          <w:p w14:paraId="47D5DA8A" w14:textId="77777777" w:rsidR="00A61FF5" w:rsidRPr="006E49EE" w:rsidRDefault="00A61FF5" w:rsidP="00D07480">
            <w:pPr>
              <w:pStyle w:val="ESTableBody"/>
              <w:rPr>
                <w:sz w:val="19"/>
                <w:lang w:val="en-AU"/>
              </w:rPr>
            </w:pPr>
            <w:r w:rsidRPr="006E49EE">
              <w:rPr>
                <w:lang w:val="en-AU"/>
              </w:rPr>
              <w:t>Proportion of graduates satisfied with the overall quality of training</w:t>
            </w:r>
            <w:r w:rsidRPr="006E49EE">
              <w:rPr>
                <w:rStyle w:val="FootnoteReference"/>
                <w:lang w:val="en-AU"/>
              </w:rPr>
              <w:footnoteReference w:id="21"/>
            </w:r>
          </w:p>
        </w:tc>
        <w:tc>
          <w:tcPr>
            <w:tcW w:w="500" w:type="pct"/>
            <w:tcBorders>
              <w:bottom w:val="single" w:sz="4" w:space="0" w:color="auto"/>
            </w:tcBorders>
            <w:shd w:val="clear" w:color="auto" w:fill="auto"/>
          </w:tcPr>
          <w:p w14:paraId="722DAAD5" w14:textId="77777777" w:rsidR="00A61FF5" w:rsidRPr="006E49EE" w:rsidRDefault="00A61FF5" w:rsidP="00D07480">
            <w:pPr>
              <w:pStyle w:val="ESTableBody"/>
              <w:jc w:val="right"/>
              <w:rPr>
                <w:lang w:val="en-AU"/>
              </w:rPr>
            </w:pPr>
            <w:r w:rsidRPr="006E49EE">
              <w:rPr>
                <w:lang w:val="en-AU"/>
              </w:rPr>
              <w:t>per cent</w:t>
            </w:r>
          </w:p>
        </w:tc>
        <w:tc>
          <w:tcPr>
            <w:tcW w:w="500" w:type="pct"/>
            <w:tcBorders>
              <w:bottom w:val="single" w:sz="4" w:space="0" w:color="auto"/>
            </w:tcBorders>
            <w:shd w:val="clear" w:color="auto" w:fill="auto"/>
          </w:tcPr>
          <w:p w14:paraId="5CFFB140" w14:textId="77777777" w:rsidR="00A61FF5" w:rsidRPr="006E49EE" w:rsidRDefault="00A61FF5" w:rsidP="00D07480">
            <w:pPr>
              <w:pStyle w:val="ESTableBody"/>
              <w:jc w:val="right"/>
              <w:rPr>
                <w:lang w:val="en-AU"/>
              </w:rPr>
            </w:pPr>
            <w:r w:rsidRPr="006E49EE">
              <w:rPr>
                <w:lang w:val="en-AU"/>
              </w:rPr>
              <w:t>87.6</w:t>
            </w:r>
          </w:p>
        </w:tc>
        <w:tc>
          <w:tcPr>
            <w:tcW w:w="500" w:type="pct"/>
            <w:tcBorders>
              <w:bottom w:val="single" w:sz="4" w:space="0" w:color="auto"/>
            </w:tcBorders>
            <w:shd w:val="clear" w:color="auto" w:fill="auto"/>
          </w:tcPr>
          <w:p w14:paraId="583FD876" w14:textId="77777777" w:rsidR="00A61FF5" w:rsidRPr="006E49EE" w:rsidRDefault="00A61FF5" w:rsidP="00D07480">
            <w:pPr>
              <w:pStyle w:val="ESTableBody"/>
              <w:jc w:val="right"/>
              <w:rPr>
                <w:lang w:val="en-AU"/>
              </w:rPr>
            </w:pPr>
            <w:r w:rsidRPr="006E49EE">
              <w:rPr>
                <w:lang w:val="en-AU"/>
              </w:rPr>
              <w:t>85.4</w:t>
            </w:r>
          </w:p>
        </w:tc>
        <w:tc>
          <w:tcPr>
            <w:tcW w:w="500" w:type="pct"/>
            <w:tcBorders>
              <w:bottom w:val="single" w:sz="4" w:space="0" w:color="auto"/>
            </w:tcBorders>
            <w:shd w:val="clear" w:color="auto" w:fill="auto"/>
          </w:tcPr>
          <w:p w14:paraId="24601C82" w14:textId="77777777" w:rsidR="00A61FF5" w:rsidRPr="006E49EE" w:rsidRDefault="00A61FF5" w:rsidP="00D07480">
            <w:pPr>
              <w:pStyle w:val="ESTableBody"/>
              <w:jc w:val="right"/>
              <w:rPr>
                <w:lang w:val="en-AU"/>
              </w:rPr>
            </w:pPr>
            <w:r w:rsidRPr="006E49EE">
              <w:rPr>
                <w:lang w:val="en-AU"/>
              </w:rPr>
              <w:t>84.5</w:t>
            </w:r>
          </w:p>
        </w:tc>
        <w:tc>
          <w:tcPr>
            <w:tcW w:w="500" w:type="pct"/>
            <w:tcBorders>
              <w:bottom w:val="single" w:sz="4" w:space="0" w:color="auto"/>
            </w:tcBorders>
            <w:shd w:val="clear" w:color="auto" w:fill="auto"/>
          </w:tcPr>
          <w:p w14:paraId="16326173" w14:textId="77777777" w:rsidR="00A61FF5" w:rsidRPr="006E49EE" w:rsidRDefault="00A61FF5" w:rsidP="00D07480">
            <w:pPr>
              <w:pStyle w:val="ESTableBody"/>
              <w:jc w:val="right"/>
              <w:rPr>
                <w:lang w:val="en-AU"/>
              </w:rPr>
            </w:pPr>
            <w:r w:rsidRPr="006E49EE">
              <w:rPr>
                <w:lang w:val="en-AU"/>
              </w:rPr>
              <w:t>84.0</w:t>
            </w:r>
          </w:p>
        </w:tc>
        <w:tc>
          <w:tcPr>
            <w:tcW w:w="500" w:type="pct"/>
            <w:tcBorders>
              <w:bottom w:val="single" w:sz="4" w:space="0" w:color="auto"/>
            </w:tcBorders>
          </w:tcPr>
          <w:p w14:paraId="25D1316D" w14:textId="77777777" w:rsidR="00A61FF5" w:rsidRPr="006E49EE" w:rsidRDefault="00A61FF5" w:rsidP="00D07480">
            <w:pPr>
              <w:pStyle w:val="ESTableBody"/>
              <w:jc w:val="right"/>
              <w:rPr>
                <w:lang w:val="en-AU"/>
              </w:rPr>
            </w:pPr>
            <w:r w:rsidRPr="006E49EE">
              <w:rPr>
                <w:lang w:val="en-AU"/>
              </w:rPr>
              <w:t>84.9</w:t>
            </w:r>
          </w:p>
        </w:tc>
      </w:tr>
    </w:tbl>
    <w:p w14:paraId="7735D35D" w14:textId="77777777" w:rsidR="00A61FF5" w:rsidRPr="006E49EE" w:rsidRDefault="00A61FF5" w:rsidP="00A61FF5">
      <w:pPr>
        <w:pStyle w:val="ESHeading3"/>
        <w:rPr>
          <w:lang w:val="en-AU"/>
        </w:rPr>
      </w:pPr>
      <w:r w:rsidRPr="006E49EE">
        <w:rPr>
          <w:lang w:val="en-AU"/>
        </w:rPr>
        <w:t>Objective 4: Productivity</w:t>
      </w:r>
    </w:p>
    <w:p w14:paraId="66FA7EDC" w14:textId="77777777" w:rsidR="00A61FF5" w:rsidRPr="006E49EE" w:rsidRDefault="00A61FF5" w:rsidP="00A61FF5">
      <w:pPr>
        <w:pStyle w:val="ESQuotetext"/>
        <w:rPr>
          <w:lang w:val="en-AU"/>
        </w:rPr>
      </w:pPr>
      <w:r w:rsidRPr="006E49EE">
        <w:rPr>
          <w:lang w:val="en-AU"/>
        </w:rPr>
        <w:t>Increase the economic and social return on expenditure on the Department of Education and Training’s services.</w:t>
      </w:r>
    </w:p>
    <w:p w14:paraId="32E1A34D" w14:textId="77777777" w:rsidR="00A61FF5" w:rsidRPr="006E49EE" w:rsidRDefault="00A61FF5" w:rsidP="00A61FF5">
      <w:pPr>
        <w:pStyle w:val="ESBodyText"/>
        <w:rPr>
          <w:lang w:val="en-AU"/>
        </w:rPr>
      </w:pPr>
      <w:r w:rsidRPr="006E49EE">
        <w:rPr>
          <w:lang w:val="en-AU"/>
        </w:rPr>
        <w:t>In 2016–17, the standard per-capita rate paid by the Victorian Government increased in the early childhood sector for both kindergarten and MCH services. This reflects increased funding in the 2016–17 Budget.</w:t>
      </w:r>
    </w:p>
    <w:p w14:paraId="15429199" w14:textId="77777777" w:rsidR="00A61FF5" w:rsidRPr="006E49EE" w:rsidRDefault="00A61FF5" w:rsidP="00A61FF5">
      <w:pPr>
        <w:pStyle w:val="ESBodyText"/>
        <w:rPr>
          <w:lang w:val="en-AU"/>
        </w:rPr>
      </w:pPr>
      <w:r w:rsidRPr="006E49EE">
        <w:rPr>
          <w:lang w:val="en-AU"/>
        </w:rPr>
        <w:t>The unit cost per school student (primary and secondary) both increased from 2013 to 2014. The unit cost per VET student contact hour increased by nine per cent from 2014 to 2015: from $9.84 per hour (2014) to $10.76 per hour (2015).</w:t>
      </w:r>
    </w:p>
    <w:p w14:paraId="0E2AED11" w14:textId="77777777" w:rsidR="00A9593E" w:rsidRPr="006E49EE" w:rsidRDefault="00A61FF5" w:rsidP="00A61FF5">
      <w:pPr>
        <w:pStyle w:val="ESBodyText"/>
        <w:rPr>
          <w:lang w:val="en-AU"/>
        </w:rPr>
      </w:pPr>
      <w:r w:rsidRPr="006E49EE">
        <w:rPr>
          <w:lang w:val="en-AU"/>
        </w:rPr>
        <w:t>The following table reports progress against the productivity indicators in the 2016–17 State Budget Paper No. 3 Service Delivery.</w:t>
      </w:r>
    </w:p>
    <w:p w14:paraId="0D3238BA" w14:textId="4E9726CE" w:rsidR="00A61FF5" w:rsidRPr="006E49EE" w:rsidRDefault="00237A0D"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6</w:t>
      </w:r>
      <w:r w:rsidR="00D93BA2" w:rsidRPr="006E49EE">
        <w:rPr>
          <w:noProof/>
          <w:lang w:val="en-AU"/>
        </w:rPr>
        <w:fldChar w:fldCharType="end"/>
      </w:r>
      <w:r w:rsidR="00A61FF5" w:rsidRPr="006E49EE">
        <w:rPr>
          <w:lang w:val="en-AU"/>
        </w:rPr>
        <w:t xml:space="preserve"> – Departmental indicators against productivity</w:t>
      </w:r>
    </w:p>
    <w:tbl>
      <w:tblPr>
        <w:tblW w:w="5000" w:type="pct"/>
        <w:tblLayout w:type="fixed"/>
        <w:tblCellMar>
          <w:left w:w="45" w:type="dxa"/>
          <w:right w:w="45" w:type="dxa"/>
        </w:tblCellMar>
        <w:tblLook w:val="0000" w:firstRow="0" w:lastRow="0" w:firstColumn="0" w:lastColumn="0" w:noHBand="0" w:noVBand="0"/>
      </w:tblPr>
      <w:tblGrid>
        <w:gridCol w:w="2947"/>
        <w:gridCol w:w="737"/>
        <w:gridCol w:w="736"/>
        <w:gridCol w:w="736"/>
        <w:gridCol w:w="736"/>
        <w:gridCol w:w="736"/>
        <w:gridCol w:w="736"/>
      </w:tblGrid>
      <w:tr w:rsidR="00A61FF5" w:rsidRPr="00932A90" w14:paraId="4016D18A" w14:textId="77777777" w:rsidTr="009A0BAD">
        <w:trPr>
          <w:cantSplit/>
          <w:tblHeader/>
        </w:trPr>
        <w:tc>
          <w:tcPr>
            <w:tcW w:w="2000" w:type="pct"/>
            <w:shd w:val="clear" w:color="auto" w:fill="7F7F7F" w:themeFill="text1" w:themeFillTint="80"/>
          </w:tcPr>
          <w:p w14:paraId="5AB6E81F" w14:textId="77777777" w:rsidR="00A61FF5" w:rsidRPr="006E49EE" w:rsidRDefault="00A61FF5" w:rsidP="00D07480">
            <w:pPr>
              <w:pStyle w:val="ESTableheadingwhite"/>
              <w:rPr>
                <w:lang w:val="en-AU"/>
              </w:rPr>
            </w:pPr>
            <w:r w:rsidRPr="006E49EE">
              <w:rPr>
                <w:lang w:val="en-AU"/>
              </w:rPr>
              <w:t>Indicators</w:t>
            </w:r>
          </w:p>
        </w:tc>
        <w:tc>
          <w:tcPr>
            <w:tcW w:w="500" w:type="pct"/>
            <w:shd w:val="clear" w:color="auto" w:fill="7F7F7F" w:themeFill="text1" w:themeFillTint="80"/>
          </w:tcPr>
          <w:p w14:paraId="35F3E213" w14:textId="77777777" w:rsidR="00A61FF5" w:rsidRPr="006E49EE" w:rsidRDefault="00A61FF5" w:rsidP="00D07480">
            <w:pPr>
              <w:pStyle w:val="ESTableheadingwhite"/>
              <w:jc w:val="right"/>
              <w:rPr>
                <w:lang w:val="en-AU"/>
              </w:rPr>
            </w:pPr>
            <w:r w:rsidRPr="006E49EE">
              <w:rPr>
                <w:lang w:val="en-AU"/>
              </w:rPr>
              <w:t>Unit</w:t>
            </w:r>
          </w:p>
        </w:tc>
        <w:tc>
          <w:tcPr>
            <w:tcW w:w="500" w:type="pct"/>
            <w:shd w:val="clear" w:color="auto" w:fill="7F7F7F" w:themeFill="text1" w:themeFillTint="80"/>
          </w:tcPr>
          <w:p w14:paraId="6834D38F" w14:textId="77777777" w:rsidR="00A61FF5" w:rsidRPr="006E49EE" w:rsidRDefault="00A61FF5" w:rsidP="00D07480">
            <w:pPr>
              <w:pStyle w:val="ESTableheadingwhite"/>
              <w:jc w:val="right"/>
              <w:rPr>
                <w:lang w:val="en-AU"/>
              </w:rPr>
            </w:pPr>
            <w:r w:rsidRPr="006E49EE">
              <w:rPr>
                <w:lang w:val="en-AU"/>
              </w:rPr>
              <w:t>2012</w:t>
            </w:r>
          </w:p>
        </w:tc>
        <w:tc>
          <w:tcPr>
            <w:tcW w:w="500" w:type="pct"/>
            <w:shd w:val="clear" w:color="auto" w:fill="7F7F7F" w:themeFill="text1" w:themeFillTint="80"/>
          </w:tcPr>
          <w:p w14:paraId="4DA4FAED" w14:textId="77777777" w:rsidR="00A61FF5" w:rsidRPr="006E49EE" w:rsidRDefault="00A61FF5" w:rsidP="00D07480">
            <w:pPr>
              <w:pStyle w:val="ESTableheadingwhite"/>
              <w:jc w:val="right"/>
              <w:rPr>
                <w:lang w:val="en-AU"/>
              </w:rPr>
            </w:pPr>
            <w:r w:rsidRPr="006E49EE">
              <w:rPr>
                <w:lang w:val="en-AU"/>
              </w:rPr>
              <w:t>2013</w:t>
            </w:r>
          </w:p>
        </w:tc>
        <w:tc>
          <w:tcPr>
            <w:tcW w:w="500" w:type="pct"/>
            <w:shd w:val="clear" w:color="auto" w:fill="7F7F7F" w:themeFill="text1" w:themeFillTint="80"/>
          </w:tcPr>
          <w:p w14:paraId="4D3B381A" w14:textId="77777777" w:rsidR="00A61FF5" w:rsidRPr="006E49EE" w:rsidRDefault="00A61FF5" w:rsidP="00D07480">
            <w:pPr>
              <w:pStyle w:val="ESTableheadingwhite"/>
              <w:jc w:val="right"/>
              <w:rPr>
                <w:lang w:val="en-AU"/>
              </w:rPr>
            </w:pPr>
            <w:r w:rsidRPr="006E49EE">
              <w:rPr>
                <w:lang w:val="en-AU"/>
              </w:rPr>
              <w:t>2014</w:t>
            </w:r>
          </w:p>
        </w:tc>
        <w:tc>
          <w:tcPr>
            <w:tcW w:w="500" w:type="pct"/>
            <w:shd w:val="clear" w:color="auto" w:fill="7F7F7F" w:themeFill="text1" w:themeFillTint="80"/>
          </w:tcPr>
          <w:p w14:paraId="73E42DC3" w14:textId="77777777" w:rsidR="00A61FF5" w:rsidRPr="006E49EE" w:rsidRDefault="00A61FF5" w:rsidP="00D07480">
            <w:pPr>
              <w:pStyle w:val="ESTableheadingwhite"/>
              <w:jc w:val="right"/>
              <w:rPr>
                <w:lang w:val="en-AU"/>
              </w:rPr>
            </w:pPr>
            <w:r w:rsidRPr="006E49EE">
              <w:rPr>
                <w:lang w:val="en-AU"/>
              </w:rPr>
              <w:t>2015</w:t>
            </w:r>
          </w:p>
        </w:tc>
        <w:tc>
          <w:tcPr>
            <w:tcW w:w="500" w:type="pct"/>
            <w:shd w:val="clear" w:color="auto" w:fill="7F7F7F" w:themeFill="text1" w:themeFillTint="80"/>
          </w:tcPr>
          <w:p w14:paraId="13BC7666" w14:textId="77777777" w:rsidR="00A61FF5" w:rsidRPr="006E49EE" w:rsidRDefault="00A61FF5" w:rsidP="00D07480">
            <w:pPr>
              <w:pStyle w:val="ESTableheadingwhite"/>
              <w:jc w:val="right"/>
              <w:rPr>
                <w:lang w:val="en-AU"/>
              </w:rPr>
            </w:pPr>
            <w:r w:rsidRPr="006E49EE">
              <w:rPr>
                <w:lang w:val="en-AU"/>
              </w:rPr>
              <w:t>2016</w:t>
            </w:r>
          </w:p>
        </w:tc>
      </w:tr>
      <w:tr w:rsidR="00A61FF5" w:rsidRPr="00932A90" w14:paraId="0992E6C7" w14:textId="77777777" w:rsidTr="009A0BAD">
        <w:trPr>
          <w:cantSplit/>
        </w:trPr>
        <w:tc>
          <w:tcPr>
            <w:tcW w:w="500" w:type="pct"/>
            <w:gridSpan w:val="7"/>
            <w:shd w:val="clear" w:color="auto" w:fill="D9D9D9" w:themeFill="background1" w:themeFillShade="D9"/>
          </w:tcPr>
          <w:p w14:paraId="46717499" w14:textId="6E883181" w:rsidR="00A61FF5" w:rsidRPr="006E49EE" w:rsidRDefault="00A61FF5" w:rsidP="009A0BAD">
            <w:pPr>
              <w:pStyle w:val="ESTableheading"/>
              <w:rPr>
                <w:lang w:val="en-AU"/>
              </w:rPr>
            </w:pPr>
            <w:r w:rsidRPr="006E49EE">
              <w:rPr>
                <w:lang w:val="en-AU"/>
              </w:rPr>
              <w:t>Early childhood development</w:t>
            </w:r>
            <w:r w:rsidRPr="006E49EE">
              <w:rPr>
                <w:rStyle w:val="FootnoteReference"/>
                <w:b w:val="0"/>
                <w:lang w:val="en-AU"/>
              </w:rPr>
              <w:footnoteReference w:id="22"/>
            </w:r>
            <w:r w:rsidR="00EE6318" w:rsidRPr="006E49EE">
              <w:rPr>
                <w:b w:val="0"/>
                <w:vertAlign w:val="superscript"/>
                <w:lang w:val="en-AU"/>
              </w:rPr>
              <w:t xml:space="preserve">, </w:t>
            </w:r>
            <w:r w:rsidRPr="006E49EE">
              <w:rPr>
                <w:rStyle w:val="FootnoteReference"/>
                <w:b w:val="0"/>
                <w:lang w:val="en-AU"/>
              </w:rPr>
              <w:footnoteReference w:id="23"/>
            </w:r>
          </w:p>
        </w:tc>
      </w:tr>
      <w:tr w:rsidR="00A61FF5" w:rsidRPr="00932A90" w14:paraId="5E847B73" w14:textId="77777777" w:rsidTr="006B3A1D">
        <w:trPr>
          <w:cantSplit/>
        </w:trPr>
        <w:tc>
          <w:tcPr>
            <w:tcW w:w="500" w:type="pct"/>
            <w:gridSpan w:val="7"/>
            <w:shd w:val="clear" w:color="auto" w:fill="auto"/>
          </w:tcPr>
          <w:p w14:paraId="63AC27EC" w14:textId="77777777" w:rsidR="00A61FF5" w:rsidRPr="006E49EE" w:rsidRDefault="00A61FF5" w:rsidP="009A0BAD">
            <w:pPr>
              <w:pStyle w:val="ESTableheading"/>
              <w:rPr>
                <w:lang w:val="en-AU"/>
              </w:rPr>
            </w:pPr>
            <w:r w:rsidRPr="006E49EE">
              <w:rPr>
                <w:lang w:val="en-AU"/>
              </w:rPr>
              <w:t>Dollar per kindergarten student per financial year</w:t>
            </w:r>
            <w:bookmarkStart w:id="66" w:name="_Ref393899612"/>
            <w:r w:rsidRPr="006E49EE">
              <w:rPr>
                <w:lang w:val="en-AU"/>
              </w:rPr>
              <w:t xml:space="preserve"> in the year prior to school (or ECIS or MCH)</w:t>
            </w:r>
            <w:bookmarkEnd w:id="66"/>
          </w:p>
        </w:tc>
      </w:tr>
      <w:tr w:rsidR="00A61FF5" w:rsidRPr="00932A90" w14:paraId="3D0DCFC1" w14:textId="77777777" w:rsidTr="006B3A1D">
        <w:trPr>
          <w:cantSplit/>
        </w:trPr>
        <w:tc>
          <w:tcPr>
            <w:tcW w:w="2000" w:type="pct"/>
            <w:shd w:val="clear" w:color="auto" w:fill="auto"/>
          </w:tcPr>
          <w:p w14:paraId="1B80C824" w14:textId="77777777" w:rsidR="00A61FF5" w:rsidRPr="006E49EE" w:rsidRDefault="00A61FF5" w:rsidP="00D07480">
            <w:pPr>
              <w:pStyle w:val="ESTableBody"/>
              <w:rPr>
                <w:sz w:val="19"/>
                <w:lang w:val="en-AU"/>
              </w:rPr>
            </w:pPr>
            <w:r w:rsidRPr="006E49EE">
              <w:rPr>
                <w:lang w:val="en-AU"/>
              </w:rPr>
              <w:t>Minimum funding available to every child (provides 6.75 hours of maternal and child health service for each child aged 0 to 3 years)</w:t>
            </w:r>
            <w:r w:rsidRPr="006E49EE">
              <w:rPr>
                <w:rStyle w:val="FootnoteReference"/>
                <w:lang w:val="en-AU"/>
              </w:rPr>
              <w:footnoteReference w:id="24"/>
            </w:r>
          </w:p>
        </w:tc>
        <w:tc>
          <w:tcPr>
            <w:tcW w:w="500" w:type="pct"/>
            <w:shd w:val="clear" w:color="auto" w:fill="auto"/>
          </w:tcPr>
          <w:p w14:paraId="368ACCFE" w14:textId="77777777" w:rsidR="00A61FF5" w:rsidRPr="006E49EE" w:rsidRDefault="00A61FF5" w:rsidP="00D07480">
            <w:pPr>
              <w:pStyle w:val="ESTableBody"/>
              <w:jc w:val="right"/>
              <w:rPr>
                <w:lang w:val="en-AU"/>
              </w:rPr>
            </w:pPr>
            <w:r w:rsidRPr="006E49EE">
              <w:rPr>
                <w:lang w:val="en-AU"/>
              </w:rPr>
              <w:t>$ per child</w:t>
            </w:r>
          </w:p>
        </w:tc>
        <w:tc>
          <w:tcPr>
            <w:tcW w:w="500" w:type="pct"/>
            <w:shd w:val="clear" w:color="auto" w:fill="auto"/>
          </w:tcPr>
          <w:p w14:paraId="05E703CB" w14:textId="77777777" w:rsidR="00A61FF5" w:rsidRPr="006E49EE" w:rsidRDefault="00A61FF5" w:rsidP="00D07480">
            <w:pPr>
              <w:pStyle w:val="ESTableBody"/>
              <w:jc w:val="right"/>
              <w:rPr>
                <w:lang w:val="en-AU"/>
              </w:rPr>
            </w:pPr>
            <w:r w:rsidRPr="006E49EE">
              <w:rPr>
                <w:lang w:val="en-AU"/>
              </w:rPr>
              <w:t>605.9</w:t>
            </w:r>
          </w:p>
        </w:tc>
        <w:tc>
          <w:tcPr>
            <w:tcW w:w="500" w:type="pct"/>
            <w:shd w:val="clear" w:color="auto" w:fill="auto"/>
          </w:tcPr>
          <w:p w14:paraId="0A893C38" w14:textId="77777777" w:rsidR="00A61FF5" w:rsidRPr="006E49EE" w:rsidRDefault="00A61FF5" w:rsidP="00D07480">
            <w:pPr>
              <w:pStyle w:val="ESTableBody"/>
              <w:jc w:val="right"/>
              <w:rPr>
                <w:lang w:val="en-AU"/>
              </w:rPr>
            </w:pPr>
            <w:r w:rsidRPr="006E49EE">
              <w:rPr>
                <w:lang w:val="en-AU"/>
              </w:rPr>
              <w:t>618.0</w:t>
            </w:r>
          </w:p>
        </w:tc>
        <w:tc>
          <w:tcPr>
            <w:tcW w:w="500" w:type="pct"/>
            <w:shd w:val="clear" w:color="auto" w:fill="auto"/>
          </w:tcPr>
          <w:p w14:paraId="4DD7F008" w14:textId="77777777" w:rsidR="00A61FF5" w:rsidRPr="006E49EE" w:rsidRDefault="00A61FF5" w:rsidP="00D07480">
            <w:pPr>
              <w:pStyle w:val="ESTableBody"/>
              <w:jc w:val="right"/>
              <w:rPr>
                <w:lang w:val="en-AU"/>
              </w:rPr>
            </w:pPr>
            <w:r w:rsidRPr="006E49EE">
              <w:rPr>
                <w:lang w:val="en-AU"/>
              </w:rPr>
              <w:t>630.4</w:t>
            </w:r>
          </w:p>
        </w:tc>
        <w:tc>
          <w:tcPr>
            <w:tcW w:w="500" w:type="pct"/>
            <w:shd w:val="clear" w:color="auto" w:fill="auto"/>
          </w:tcPr>
          <w:p w14:paraId="70204BE1" w14:textId="77777777" w:rsidR="00A61FF5" w:rsidRPr="006E49EE" w:rsidRDefault="00A61FF5" w:rsidP="00D07480">
            <w:pPr>
              <w:pStyle w:val="ESTableBody"/>
              <w:jc w:val="right"/>
              <w:rPr>
                <w:lang w:val="en-AU"/>
              </w:rPr>
            </w:pPr>
            <w:r w:rsidRPr="006E49EE">
              <w:rPr>
                <w:lang w:val="en-AU"/>
              </w:rPr>
              <w:t>642.9</w:t>
            </w:r>
          </w:p>
        </w:tc>
        <w:tc>
          <w:tcPr>
            <w:tcW w:w="500" w:type="pct"/>
          </w:tcPr>
          <w:p w14:paraId="220BE2F0" w14:textId="77777777" w:rsidR="00A61FF5" w:rsidRPr="006E49EE" w:rsidRDefault="00A61FF5" w:rsidP="00D07480">
            <w:pPr>
              <w:pStyle w:val="ESTableBody"/>
              <w:jc w:val="right"/>
              <w:rPr>
                <w:lang w:val="en-AU"/>
              </w:rPr>
            </w:pPr>
            <w:r w:rsidRPr="006E49EE">
              <w:rPr>
                <w:lang w:val="en-AU"/>
              </w:rPr>
              <w:t>742.5</w:t>
            </w:r>
          </w:p>
        </w:tc>
      </w:tr>
      <w:tr w:rsidR="00A61FF5" w:rsidRPr="00932A90" w14:paraId="7C71BD6A" w14:textId="77777777" w:rsidTr="006B3A1D">
        <w:trPr>
          <w:cantSplit/>
        </w:trPr>
        <w:tc>
          <w:tcPr>
            <w:tcW w:w="2000" w:type="pct"/>
            <w:shd w:val="clear" w:color="auto" w:fill="auto"/>
          </w:tcPr>
          <w:p w14:paraId="55E7EC4A" w14:textId="67297AB2" w:rsidR="00A61FF5" w:rsidRPr="006E49EE" w:rsidRDefault="00A61FF5" w:rsidP="00D07480">
            <w:pPr>
              <w:pStyle w:val="ESTableBody"/>
              <w:rPr>
                <w:sz w:val="19"/>
                <w:lang w:val="en-AU"/>
              </w:rPr>
            </w:pPr>
            <w:r w:rsidRPr="006E49EE">
              <w:rPr>
                <w:lang w:val="en-AU"/>
              </w:rPr>
              <w:t>Minimum funding available to the majorit</w:t>
            </w:r>
            <w:r w:rsidR="00EE6318" w:rsidRPr="006E49EE">
              <w:rPr>
                <w:lang w:val="en-AU"/>
              </w:rPr>
              <w:t>y of children (approximately 96 </w:t>
            </w:r>
            <w:r w:rsidRPr="006E49EE">
              <w:rPr>
                <w:lang w:val="en-AU"/>
              </w:rPr>
              <w:t>per cent in 2016) who access a kindergarten program in the year prior to school</w:t>
            </w:r>
            <w:r w:rsidRPr="006E49EE">
              <w:rPr>
                <w:rStyle w:val="FootnoteReference"/>
                <w:lang w:val="en-AU"/>
              </w:rPr>
              <w:footnoteReference w:id="25"/>
            </w:r>
          </w:p>
        </w:tc>
        <w:tc>
          <w:tcPr>
            <w:tcW w:w="500" w:type="pct"/>
            <w:shd w:val="clear" w:color="auto" w:fill="auto"/>
          </w:tcPr>
          <w:p w14:paraId="3D60B02B" w14:textId="77777777" w:rsidR="00A61FF5" w:rsidRPr="006E49EE" w:rsidRDefault="00A61FF5" w:rsidP="00D07480">
            <w:pPr>
              <w:pStyle w:val="ESTableBody"/>
              <w:jc w:val="right"/>
              <w:rPr>
                <w:lang w:val="en-AU"/>
              </w:rPr>
            </w:pPr>
            <w:r w:rsidRPr="006E49EE">
              <w:rPr>
                <w:lang w:val="en-AU"/>
              </w:rPr>
              <w:t>$ per child</w:t>
            </w:r>
          </w:p>
        </w:tc>
        <w:tc>
          <w:tcPr>
            <w:tcW w:w="500" w:type="pct"/>
            <w:shd w:val="clear" w:color="auto" w:fill="auto"/>
          </w:tcPr>
          <w:p w14:paraId="415340EE" w14:textId="77777777" w:rsidR="00A61FF5" w:rsidRPr="006E49EE" w:rsidRDefault="00A61FF5" w:rsidP="00D07480">
            <w:pPr>
              <w:pStyle w:val="ESTableBody"/>
              <w:jc w:val="right"/>
              <w:rPr>
                <w:lang w:val="en-AU"/>
              </w:rPr>
            </w:pPr>
            <w:r w:rsidRPr="006E49EE">
              <w:rPr>
                <w:lang w:val="en-AU"/>
              </w:rPr>
              <w:t>2,001.0</w:t>
            </w:r>
          </w:p>
        </w:tc>
        <w:tc>
          <w:tcPr>
            <w:tcW w:w="500" w:type="pct"/>
            <w:shd w:val="clear" w:color="auto" w:fill="auto"/>
          </w:tcPr>
          <w:p w14:paraId="31EEC619" w14:textId="77777777" w:rsidR="00A61FF5" w:rsidRPr="006E49EE" w:rsidRDefault="00A61FF5" w:rsidP="00D07480">
            <w:pPr>
              <w:pStyle w:val="ESTableBody"/>
              <w:jc w:val="right"/>
              <w:rPr>
                <w:lang w:val="en-AU"/>
              </w:rPr>
            </w:pPr>
            <w:r w:rsidRPr="006E49EE">
              <w:rPr>
                <w:lang w:val="en-AU"/>
              </w:rPr>
              <w:t>2,061.0</w:t>
            </w:r>
          </w:p>
        </w:tc>
        <w:tc>
          <w:tcPr>
            <w:tcW w:w="500" w:type="pct"/>
            <w:shd w:val="clear" w:color="auto" w:fill="auto"/>
          </w:tcPr>
          <w:p w14:paraId="30328C8B" w14:textId="77777777" w:rsidR="00A61FF5" w:rsidRPr="006E49EE" w:rsidRDefault="00A61FF5" w:rsidP="00D07480">
            <w:pPr>
              <w:pStyle w:val="ESTableBody"/>
              <w:jc w:val="right"/>
              <w:rPr>
                <w:lang w:val="en-AU"/>
              </w:rPr>
            </w:pPr>
            <w:r w:rsidRPr="006E49EE">
              <w:rPr>
                <w:lang w:val="en-AU"/>
              </w:rPr>
              <w:t>2,112.0</w:t>
            </w:r>
          </w:p>
        </w:tc>
        <w:tc>
          <w:tcPr>
            <w:tcW w:w="500" w:type="pct"/>
            <w:shd w:val="clear" w:color="auto" w:fill="auto"/>
          </w:tcPr>
          <w:p w14:paraId="1E4673B6" w14:textId="77777777" w:rsidR="00A61FF5" w:rsidRPr="006E49EE" w:rsidRDefault="00A61FF5" w:rsidP="00D07480">
            <w:pPr>
              <w:pStyle w:val="ESTableBody"/>
              <w:jc w:val="right"/>
              <w:rPr>
                <w:lang w:val="en-AU"/>
              </w:rPr>
            </w:pPr>
            <w:r w:rsidRPr="006E49EE">
              <w:rPr>
                <w:lang w:val="en-AU"/>
              </w:rPr>
              <w:t>2,175.3</w:t>
            </w:r>
          </w:p>
        </w:tc>
        <w:tc>
          <w:tcPr>
            <w:tcW w:w="500" w:type="pct"/>
          </w:tcPr>
          <w:p w14:paraId="0FD1BDF9" w14:textId="77777777" w:rsidR="00A61FF5" w:rsidRPr="006E49EE" w:rsidRDefault="00A61FF5" w:rsidP="00D07480">
            <w:pPr>
              <w:pStyle w:val="ESTableBody"/>
              <w:jc w:val="right"/>
              <w:rPr>
                <w:lang w:val="en-AU"/>
              </w:rPr>
            </w:pPr>
            <w:r w:rsidRPr="006E49EE">
              <w:rPr>
                <w:lang w:val="en-AU"/>
              </w:rPr>
              <w:t>2,260.0</w:t>
            </w:r>
          </w:p>
        </w:tc>
      </w:tr>
      <w:tr w:rsidR="00A61FF5" w:rsidRPr="00932A90" w14:paraId="2618009F" w14:textId="77777777" w:rsidTr="009A0BAD">
        <w:trPr>
          <w:cantSplit/>
        </w:trPr>
        <w:tc>
          <w:tcPr>
            <w:tcW w:w="500" w:type="pct"/>
            <w:gridSpan w:val="7"/>
            <w:shd w:val="clear" w:color="auto" w:fill="D9D9D9" w:themeFill="background1" w:themeFillShade="D9"/>
          </w:tcPr>
          <w:p w14:paraId="6D95C79F" w14:textId="77777777" w:rsidR="00A61FF5" w:rsidRPr="006E49EE" w:rsidRDefault="00A61FF5" w:rsidP="009A0BAD">
            <w:pPr>
              <w:pStyle w:val="ESTableheading"/>
              <w:rPr>
                <w:lang w:val="en-AU"/>
              </w:rPr>
            </w:pPr>
            <w:r w:rsidRPr="006E49EE">
              <w:rPr>
                <w:lang w:val="en-AU"/>
              </w:rPr>
              <w:t>School Education—Primary and Secondary</w:t>
            </w:r>
            <w:r w:rsidRPr="006E49EE">
              <w:rPr>
                <w:rStyle w:val="FootnoteReference"/>
                <w:b w:val="0"/>
                <w:sz w:val="17"/>
                <w:lang w:val="en-AU"/>
              </w:rPr>
              <w:footnoteReference w:id="26"/>
            </w:r>
          </w:p>
        </w:tc>
      </w:tr>
      <w:tr w:rsidR="00A61FF5" w:rsidRPr="00932A90" w14:paraId="058A71D6" w14:textId="77777777" w:rsidTr="006B3A1D">
        <w:trPr>
          <w:cantSplit/>
        </w:trPr>
        <w:tc>
          <w:tcPr>
            <w:tcW w:w="500" w:type="pct"/>
            <w:gridSpan w:val="7"/>
            <w:shd w:val="clear" w:color="auto" w:fill="auto"/>
          </w:tcPr>
          <w:p w14:paraId="01DC8FEF" w14:textId="77777777" w:rsidR="00A61FF5" w:rsidRPr="006E49EE" w:rsidRDefault="00A61FF5" w:rsidP="009A0BAD">
            <w:pPr>
              <w:pStyle w:val="ESTableheading"/>
              <w:rPr>
                <w:lang w:val="en-AU"/>
              </w:rPr>
            </w:pPr>
            <w:r w:rsidRPr="006E49EE">
              <w:rPr>
                <w:lang w:val="en-AU"/>
              </w:rPr>
              <w:t>Dollar per primary school student per financial year</w:t>
            </w:r>
          </w:p>
        </w:tc>
      </w:tr>
      <w:tr w:rsidR="00A61FF5" w:rsidRPr="00932A90" w14:paraId="168E1F94" w14:textId="77777777" w:rsidTr="006B3A1D">
        <w:trPr>
          <w:cantSplit/>
        </w:trPr>
        <w:tc>
          <w:tcPr>
            <w:tcW w:w="2000" w:type="pct"/>
            <w:shd w:val="clear" w:color="auto" w:fill="auto"/>
          </w:tcPr>
          <w:p w14:paraId="2B3DC017" w14:textId="77777777" w:rsidR="00A61FF5" w:rsidRPr="006E49EE" w:rsidRDefault="00A61FF5" w:rsidP="00D07480">
            <w:pPr>
              <w:pStyle w:val="ESTableBody"/>
              <w:rPr>
                <w:lang w:val="en-AU"/>
              </w:rPr>
            </w:pPr>
            <w:r w:rsidRPr="006E49EE">
              <w:rPr>
                <w:lang w:val="en-AU"/>
              </w:rPr>
              <w:t>Victorian Government real recurrent expenditure (including User Cost of Capital) per FTE student in primary schools (2014–15 dollars)</w:t>
            </w:r>
          </w:p>
        </w:tc>
        <w:tc>
          <w:tcPr>
            <w:tcW w:w="500" w:type="pct"/>
            <w:shd w:val="clear" w:color="auto" w:fill="auto"/>
          </w:tcPr>
          <w:p w14:paraId="7AFEF64E" w14:textId="77777777" w:rsidR="00A61FF5" w:rsidRPr="006E49EE" w:rsidRDefault="00A61FF5" w:rsidP="00D07480">
            <w:pPr>
              <w:pStyle w:val="ESTableBody"/>
              <w:jc w:val="right"/>
              <w:rPr>
                <w:lang w:val="en-AU"/>
              </w:rPr>
            </w:pPr>
            <w:r w:rsidRPr="006E49EE">
              <w:rPr>
                <w:lang w:val="en-AU"/>
              </w:rPr>
              <w:t>$ per FTE student</w:t>
            </w:r>
          </w:p>
        </w:tc>
        <w:tc>
          <w:tcPr>
            <w:tcW w:w="500" w:type="pct"/>
            <w:shd w:val="clear" w:color="auto" w:fill="auto"/>
          </w:tcPr>
          <w:p w14:paraId="223BF5A0" w14:textId="77777777" w:rsidR="00A61FF5" w:rsidRPr="006E49EE" w:rsidRDefault="00A61FF5" w:rsidP="00D07480">
            <w:pPr>
              <w:pStyle w:val="ESTableBody"/>
              <w:jc w:val="right"/>
              <w:rPr>
                <w:lang w:val="en-AU"/>
              </w:rPr>
            </w:pPr>
            <w:r w:rsidRPr="006E49EE">
              <w:rPr>
                <w:lang w:val="en-AU"/>
              </w:rPr>
              <w:t>12,208.8</w:t>
            </w:r>
          </w:p>
        </w:tc>
        <w:tc>
          <w:tcPr>
            <w:tcW w:w="500" w:type="pct"/>
            <w:shd w:val="clear" w:color="auto" w:fill="auto"/>
          </w:tcPr>
          <w:p w14:paraId="714AD0EA" w14:textId="77777777" w:rsidR="00A61FF5" w:rsidRPr="006E49EE" w:rsidRDefault="00A61FF5" w:rsidP="00D07480">
            <w:pPr>
              <w:pStyle w:val="ESTableBody"/>
              <w:jc w:val="right"/>
              <w:rPr>
                <w:lang w:val="en-AU"/>
              </w:rPr>
            </w:pPr>
            <w:r w:rsidRPr="006E49EE">
              <w:rPr>
                <w:lang w:val="en-AU"/>
              </w:rPr>
              <w:t>12,251.5</w:t>
            </w:r>
          </w:p>
        </w:tc>
        <w:tc>
          <w:tcPr>
            <w:tcW w:w="500" w:type="pct"/>
            <w:shd w:val="clear" w:color="auto" w:fill="auto"/>
          </w:tcPr>
          <w:p w14:paraId="5E3DA062" w14:textId="77777777" w:rsidR="00A61FF5" w:rsidRPr="006E49EE" w:rsidRDefault="00A61FF5" w:rsidP="00D07480">
            <w:pPr>
              <w:pStyle w:val="ESTableBody"/>
              <w:jc w:val="right"/>
              <w:rPr>
                <w:lang w:val="en-AU"/>
              </w:rPr>
            </w:pPr>
            <w:r w:rsidRPr="006E49EE">
              <w:rPr>
                <w:lang w:val="en-AU"/>
              </w:rPr>
              <w:t>12,810.8</w:t>
            </w:r>
          </w:p>
        </w:tc>
        <w:tc>
          <w:tcPr>
            <w:tcW w:w="500" w:type="pct"/>
            <w:shd w:val="clear" w:color="auto" w:fill="auto"/>
          </w:tcPr>
          <w:p w14:paraId="7D3EC7B5" w14:textId="77777777" w:rsidR="00A61FF5" w:rsidRPr="006E49EE" w:rsidRDefault="00A61FF5" w:rsidP="00D07480">
            <w:pPr>
              <w:pStyle w:val="ESTableBody"/>
              <w:jc w:val="right"/>
              <w:rPr>
                <w:sz w:val="19"/>
                <w:lang w:val="en-AU"/>
              </w:rPr>
            </w:pPr>
            <w:r w:rsidRPr="006E49EE">
              <w:rPr>
                <w:lang w:val="en-AU"/>
              </w:rPr>
              <w:t>n/a</w:t>
            </w:r>
            <w:r w:rsidRPr="006E49EE">
              <w:rPr>
                <w:rStyle w:val="FootnoteReference"/>
                <w:lang w:val="en-AU"/>
              </w:rPr>
              <w:footnoteReference w:id="27"/>
            </w:r>
          </w:p>
        </w:tc>
        <w:tc>
          <w:tcPr>
            <w:tcW w:w="500" w:type="pct"/>
          </w:tcPr>
          <w:p w14:paraId="6C807179" w14:textId="77777777" w:rsidR="00A61FF5" w:rsidRPr="006E49EE" w:rsidRDefault="00A61FF5" w:rsidP="00D07480">
            <w:pPr>
              <w:pStyle w:val="ESTableBody"/>
              <w:jc w:val="right"/>
              <w:rPr>
                <w:sz w:val="19"/>
                <w:lang w:val="en-AU"/>
              </w:rPr>
            </w:pPr>
            <w:r w:rsidRPr="006E49EE">
              <w:rPr>
                <w:lang w:val="en-AU"/>
              </w:rPr>
              <w:t>n/a</w:t>
            </w:r>
            <w:r w:rsidRPr="006E49EE">
              <w:rPr>
                <w:rStyle w:val="FootnoteReference"/>
                <w:lang w:val="en-AU"/>
              </w:rPr>
              <w:footnoteReference w:id="28"/>
            </w:r>
          </w:p>
        </w:tc>
      </w:tr>
      <w:tr w:rsidR="00A61FF5" w:rsidRPr="00932A90" w14:paraId="67ACAFAD" w14:textId="77777777" w:rsidTr="006B3A1D">
        <w:trPr>
          <w:cantSplit/>
        </w:trPr>
        <w:tc>
          <w:tcPr>
            <w:tcW w:w="500" w:type="pct"/>
            <w:gridSpan w:val="7"/>
            <w:shd w:val="clear" w:color="auto" w:fill="auto"/>
          </w:tcPr>
          <w:p w14:paraId="655E248A" w14:textId="77777777" w:rsidR="00A61FF5" w:rsidRPr="006E49EE" w:rsidRDefault="00A61FF5" w:rsidP="009A0BAD">
            <w:pPr>
              <w:pStyle w:val="ESTableheading"/>
              <w:rPr>
                <w:lang w:val="en-AU"/>
              </w:rPr>
            </w:pPr>
            <w:r w:rsidRPr="006E49EE">
              <w:rPr>
                <w:lang w:val="en-AU"/>
              </w:rPr>
              <w:t>Dollar per secondary school student per financial year</w:t>
            </w:r>
          </w:p>
        </w:tc>
      </w:tr>
      <w:tr w:rsidR="00A61FF5" w:rsidRPr="00932A90" w14:paraId="2D3408ED" w14:textId="77777777" w:rsidTr="006B3A1D">
        <w:trPr>
          <w:cantSplit/>
        </w:trPr>
        <w:tc>
          <w:tcPr>
            <w:tcW w:w="2000" w:type="pct"/>
            <w:shd w:val="clear" w:color="auto" w:fill="auto"/>
          </w:tcPr>
          <w:p w14:paraId="66DC6F1D" w14:textId="77777777" w:rsidR="00A61FF5" w:rsidRPr="006E49EE" w:rsidRDefault="00A61FF5" w:rsidP="00D07480">
            <w:pPr>
              <w:pStyle w:val="ESTableBody"/>
              <w:rPr>
                <w:lang w:val="en-AU"/>
              </w:rPr>
            </w:pPr>
            <w:r w:rsidRPr="006E49EE">
              <w:rPr>
                <w:lang w:val="en-AU"/>
              </w:rPr>
              <w:t>Victorian Government real recurrent expenditure (including User Cost of Capital) per FTE student in secondary schools (2014–15 dollars)</w:t>
            </w:r>
          </w:p>
        </w:tc>
        <w:tc>
          <w:tcPr>
            <w:tcW w:w="500" w:type="pct"/>
            <w:shd w:val="clear" w:color="auto" w:fill="auto"/>
          </w:tcPr>
          <w:p w14:paraId="319FA1A0" w14:textId="77777777" w:rsidR="00A61FF5" w:rsidRPr="006E49EE" w:rsidRDefault="00A61FF5" w:rsidP="00D07480">
            <w:pPr>
              <w:pStyle w:val="ESTableBody"/>
              <w:jc w:val="right"/>
              <w:rPr>
                <w:lang w:val="en-AU"/>
              </w:rPr>
            </w:pPr>
            <w:r w:rsidRPr="006E49EE">
              <w:rPr>
                <w:lang w:val="en-AU"/>
              </w:rPr>
              <w:t>$ per FTE student</w:t>
            </w:r>
          </w:p>
        </w:tc>
        <w:tc>
          <w:tcPr>
            <w:tcW w:w="500" w:type="pct"/>
            <w:shd w:val="clear" w:color="auto" w:fill="auto"/>
          </w:tcPr>
          <w:p w14:paraId="540834CA" w14:textId="77777777" w:rsidR="00A61FF5" w:rsidRPr="006E49EE" w:rsidRDefault="00A61FF5" w:rsidP="00D07480">
            <w:pPr>
              <w:pStyle w:val="ESTableBody"/>
              <w:jc w:val="right"/>
              <w:rPr>
                <w:lang w:val="en-AU"/>
              </w:rPr>
            </w:pPr>
            <w:r w:rsidRPr="006E49EE">
              <w:rPr>
                <w:lang w:val="en-AU"/>
              </w:rPr>
              <w:t>15,523.0</w:t>
            </w:r>
          </w:p>
        </w:tc>
        <w:tc>
          <w:tcPr>
            <w:tcW w:w="500" w:type="pct"/>
            <w:shd w:val="clear" w:color="auto" w:fill="auto"/>
          </w:tcPr>
          <w:p w14:paraId="59DE1607" w14:textId="77777777" w:rsidR="00A61FF5" w:rsidRPr="006E49EE" w:rsidRDefault="00A61FF5" w:rsidP="00D07480">
            <w:pPr>
              <w:pStyle w:val="ESTableBody"/>
              <w:jc w:val="right"/>
              <w:rPr>
                <w:lang w:val="en-AU"/>
              </w:rPr>
            </w:pPr>
            <w:r w:rsidRPr="006E49EE">
              <w:rPr>
                <w:lang w:val="en-AU"/>
              </w:rPr>
              <w:t>15,571.7</w:t>
            </w:r>
          </w:p>
        </w:tc>
        <w:tc>
          <w:tcPr>
            <w:tcW w:w="500" w:type="pct"/>
            <w:shd w:val="clear" w:color="auto" w:fill="auto"/>
          </w:tcPr>
          <w:p w14:paraId="37FFF2EB" w14:textId="77777777" w:rsidR="00A61FF5" w:rsidRPr="006E49EE" w:rsidRDefault="00A61FF5" w:rsidP="00D07480">
            <w:pPr>
              <w:pStyle w:val="ESTableBody"/>
              <w:jc w:val="right"/>
              <w:rPr>
                <w:lang w:val="en-AU"/>
              </w:rPr>
            </w:pPr>
            <w:r w:rsidRPr="006E49EE">
              <w:rPr>
                <w:lang w:val="en-AU"/>
              </w:rPr>
              <w:t>16,130.6</w:t>
            </w:r>
          </w:p>
        </w:tc>
        <w:tc>
          <w:tcPr>
            <w:tcW w:w="500" w:type="pct"/>
            <w:shd w:val="clear" w:color="auto" w:fill="auto"/>
          </w:tcPr>
          <w:p w14:paraId="7116FC2E" w14:textId="77777777" w:rsidR="00A61FF5" w:rsidRPr="006E49EE" w:rsidRDefault="00A61FF5" w:rsidP="00D07480">
            <w:pPr>
              <w:pStyle w:val="ESTableBody"/>
              <w:jc w:val="right"/>
              <w:rPr>
                <w:sz w:val="19"/>
                <w:lang w:val="en-AU"/>
              </w:rPr>
            </w:pPr>
            <w:r w:rsidRPr="006E49EE">
              <w:rPr>
                <w:lang w:val="en-AU"/>
              </w:rPr>
              <w:t>n/a</w:t>
            </w:r>
            <w:r w:rsidRPr="006E49EE">
              <w:rPr>
                <w:rStyle w:val="FootnoteReference"/>
                <w:lang w:val="en-AU"/>
              </w:rPr>
              <w:footnoteReference w:id="29"/>
            </w:r>
          </w:p>
        </w:tc>
        <w:tc>
          <w:tcPr>
            <w:tcW w:w="500" w:type="pct"/>
          </w:tcPr>
          <w:p w14:paraId="19D5769C" w14:textId="77777777" w:rsidR="00A61FF5" w:rsidRPr="006E49EE" w:rsidRDefault="00A61FF5" w:rsidP="00D07480">
            <w:pPr>
              <w:pStyle w:val="ESTableBody"/>
              <w:jc w:val="right"/>
              <w:rPr>
                <w:sz w:val="19"/>
                <w:lang w:val="en-AU"/>
              </w:rPr>
            </w:pPr>
            <w:r w:rsidRPr="006E49EE">
              <w:rPr>
                <w:lang w:val="en-AU"/>
              </w:rPr>
              <w:t>n/a</w:t>
            </w:r>
            <w:r w:rsidRPr="006E49EE">
              <w:rPr>
                <w:rStyle w:val="FootnoteReference"/>
                <w:lang w:val="en-AU"/>
              </w:rPr>
              <w:footnoteReference w:id="30"/>
            </w:r>
          </w:p>
        </w:tc>
      </w:tr>
      <w:tr w:rsidR="00A61FF5" w:rsidRPr="00932A90" w14:paraId="095B797A" w14:textId="77777777" w:rsidTr="009A0BAD">
        <w:trPr>
          <w:cantSplit/>
        </w:trPr>
        <w:tc>
          <w:tcPr>
            <w:tcW w:w="500" w:type="pct"/>
            <w:gridSpan w:val="7"/>
            <w:shd w:val="clear" w:color="auto" w:fill="D9D9D9" w:themeFill="background1" w:themeFillShade="D9"/>
          </w:tcPr>
          <w:p w14:paraId="40474629" w14:textId="77777777" w:rsidR="00A61FF5" w:rsidRPr="006E49EE" w:rsidRDefault="00A61FF5" w:rsidP="009A0BAD">
            <w:pPr>
              <w:pStyle w:val="ESTableheading"/>
              <w:rPr>
                <w:lang w:val="en-AU"/>
              </w:rPr>
            </w:pPr>
            <w:r w:rsidRPr="006E49EE">
              <w:rPr>
                <w:lang w:val="en-AU"/>
              </w:rPr>
              <w:t>Higher education and skills</w:t>
            </w:r>
          </w:p>
        </w:tc>
      </w:tr>
      <w:tr w:rsidR="00A61FF5" w:rsidRPr="00932A90" w14:paraId="34EA09E6" w14:textId="77777777" w:rsidTr="006B3A1D">
        <w:trPr>
          <w:cantSplit/>
        </w:trPr>
        <w:tc>
          <w:tcPr>
            <w:tcW w:w="500" w:type="pct"/>
            <w:gridSpan w:val="7"/>
            <w:shd w:val="clear" w:color="auto" w:fill="auto"/>
          </w:tcPr>
          <w:p w14:paraId="154FE3FC" w14:textId="77777777" w:rsidR="00A61FF5" w:rsidRPr="006E49EE" w:rsidRDefault="00A61FF5" w:rsidP="009A0BAD">
            <w:pPr>
              <w:pStyle w:val="ESTableheading"/>
              <w:rPr>
                <w:lang w:val="en-AU"/>
              </w:rPr>
            </w:pPr>
            <w:r w:rsidRPr="006E49EE">
              <w:rPr>
                <w:lang w:val="en-AU"/>
              </w:rPr>
              <w:t>Dollar per VET student contact hour per calendar year</w:t>
            </w:r>
            <w:r w:rsidRPr="006E49EE">
              <w:rPr>
                <w:rStyle w:val="FootnoteReference"/>
                <w:b w:val="0"/>
                <w:lang w:val="en-AU"/>
              </w:rPr>
              <w:footnoteReference w:id="31"/>
            </w:r>
          </w:p>
        </w:tc>
      </w:tr>
      <w:tr w:rsidR="00A61FF5" w:rsidRPr="00932A90" w14:paraId="771272FD" w14:textId="77777777" w:rsidTr="006B3A1D">
        <w:trPr>
          <w:cantSplit/>
        </w:trPr>
        <w:tc>
          <w:tcPr>
            <w:tcW w:w="2000" w:type="pct"/>
            <w:tcBorders>
              <w:bottom w:val="single" w:sz="4" w:space="0" w:color="auto"/>
            </w:tcBorders>
            <w:shd w:val="clear" w:color="auto" w:fill="auto"/>
          </w:tcPr>
          <w:p w14:paraId="118A7DBF" w14:textId="77777777" w:rsidR="00A61FF5" w:rsidRPr="006E49EE" w:rsidRDefault="00A61FF5" w:rsidP="00D07480">
            <w:pPr>
              <w:pStyle w:val="ESTableBody"/>
              <w:rPr>
                <w:lang w:val="en-AU"/>
              </w:rPr>
            </w:pPr>
            <w:bookmarkStart w:id="67" w:name="BP3_end"/>
            <w:r w:rsidRPr="006E49EE">
              <w:rPr>
                <w:lang w:val="en-AU"/>
              </w:rPr>
              <w:t>Victorian Government real recurrent expenditure per annual hour (2015 dollars)</w:t>
            </w:r>
            <w:bookmarkEnd w:id="67"/>
          </w:p>
        </w:tc>
        <w:tc>
          <w:tcPr>
            <w:tcW w:w="500" w:type="pct"/>
            <w:tcBorders>
              <w:bottom w:val="single" w:sz="4" w:space="0" w:color="auto"/>
            </w:tcBorders>
            <w:shd w:val="clear" w:color="auto" w:fill="auto"/>
          </w:tcPr>
          <w:p w14:paraId="0906BCEA" w14:textId="77777777" w:rsidR="00A61FF5" w:rsidRPr="006E49EE" w:rsidRDefault="00A61FF5" w:rsidP="004576EA">
            <w:pPr>
              <w:pStyle w:val="ESTableBody"/>
              <w:jc w:val="right"/>
              <w:rPr>
                <w:lang w:val="en-AU"/>
              </w:rPr>
            </w:pPr>
            <w:r w:rsidRPr="006E49EE">
              <w:rPr>
                <w:lang w:val="en-AU"/>
              </w:rPr>
              <w:t>$ per hour</w:t>
            </w:r>
          </w:p>
        </w:tc>
        <w:tc>
          <w:tcPr>
            <w:tcW w:w="500" w:type="pct"/>
            <w:tcBorders>
              <w:bottom w:val="single" w:sz="4" w:space="0" w:color="auto"/>
            </w:tcBorders>
            <w:shd w:val="clear" w:color="auto" w:fill="auto"/>
          </w:tcPr>
          <w:p w14:paraId="628A1D25" w14:textId="77777777" w:rsidR="00A61FF5" w:rsidRPr="006E49EE" w:rsidRDefault="00A61FF5" w:rsidP="00980848">
            <w:pPr>
              <w:pStyle w:val="ESTableBody"/>
              <w:jc w:val="right"/>
              <w:rPr>
                <w:lang w:val="en-AU"/>
              </w:rPr>
            </w:pPr>
            <w:r w:rsidRPr="006E49EE">
              <w:rPr>
                <w:lang w:val="en-AU"/>
              </w:rPr>
              <w:t>13.21</w:t>
            </w:r>
          </w:p>
        </w:tc>
        <w:tc>
          <w:tcPr>
            <w:tcW w:w="500" w:type="pct"/>
            <w:tcBorders>
              <w:bottom w:val="single" w:sz="4" w:space="0" w:color="auto"/>
            </w:tcBorders>
            <w:shd w:val="clear" w:color="auto" w:fill="auto"/>
          </w:tcPr>
          <w:p w14:paraId="678D00DC" w14:textId="77777777" w:rsidR="00A61FF5" w:rsidRPr="006E49EE" w:rsidRDefault="00A61FF5" w:rsidP="00980848">
            <w:pPr>
              <w:pStyle w:val="ESTableBody"/>
              <w:jc w:val="right"/>
              <w:rPr>
                <w:lang w:val="en-AU"/>
              </w:rPr>
            </w:pPr>
            <w:r w:rsidRPr="006E49EE">
              <w:rPr>
                <w:lang w:val="en-AU"/>
              </w:rPr>
              <w:t>11.96</w:t>
            </w:r>
          </w:p>
        </w:tc>
        <w:tc>
          <w:tcPr>
            <w:tcW w:w="500" w:type="pct"/>
            <w:tcBorders>
              <w:bottom w:val="single" w:sz="4" w:space="0" w:color="auto"/>
            </w:tcBorders>
            <w:shd w:val="clear" w:color="auto" w:fill="auto"/>
          </w:tcPr>
          <w:p w14:paraId="2766F1C2" w14:textId="77777777" w:rsidR="00A61FF5" w:rsidRPr="006E49EE" w:rsidRDefault="00A61FF5" w:rsidP="00980848">
            <w:pPr>
              <w:pStyle w:val="ESTableBody"/>
              <w:jc w:val="right"/>
              <w:rPr>
                <w:lang w:val="en-AU"/>
              </w:rPr>
            </w:pPr>
            <w:r w:rsidRPr="006E49EE">
              <w:rPr>
                <w:lang w:val="en-AU"/>
              </w:rPr>
              <w:t>9.84</w:t>
            </w:r>
          </w:p>
        </w:tc>
        <w:tc>
          <w:tcPr>
            <w:tcW w:w="500" w:type="pct"/>
            <w:tcBorders>
              <w:bottom w:val="single" w:sz="4" w:space="0" w:color="auto"/>
            </w:tcBorders>
            <w:shd w:val="clear" w:color="auto" w:fill="auto"/>
          </w:tcPr>
          <w:p w14:paraId="3355604A" w14:textId="77777777" w:rsidR="00A61FF5" w:rsidRPr="006E49EE" w:rsidRDefault="00A61FF5" w:rsidP="00980848">
            <w:pPr>
              <w:pStyle w:val="ESTableBody"/>
              <w:jc w:val="right"/>
              <w:rPr>
                <w:lang w:val="en-AU"/>
              </w:rPr>
            </w:pPr>
            <w:r w:rsidRPr="006E49EE">
              <w:rPr>
                <w:lang w:val="en-AU"/>
              </w:rPr>
              <w:t>10.76</w:t>
            </w:r>
          </w:p>
        </w:tc>
        <w:tc>
          <w:tcPr>
            <w:tcW w:w="500" w:type="pct"/>
            <w:tcBorders>
              <w:bottom w:val="single" w:sz="4" w:space="0" w:color="auto"/>
            </w:tcBorders>
          </w:tcPr>
          <w:p w14:paraId="6D5BD54A" w14:textId="77777777" w:rsidR="00A61FF5" w:rsidRPr="006E49EE" w:rsidRDefault="00A61FF5" w:rsidP="00980848">
            <w:pPr>
              <w:pStyle w:val="ESTableBody"/>
              <w:jc w:val="right"/>
              <w:rPr>
                <w:sz w:val="19"/>
                <w:lang w:val="en-AU"/>
              </w:rPr>
            </w:pPr>
            <w:r w:rsidRPr="006E49EE">
              <w:rPr>
                <w:lang w:val="en-AU"/>
              </w:rPr>
              <w:t>n/a</w:t>
            </w:r>
            <w:r w:rsidRPr="006E49EE">
              <w:rPr>
                <w:rStyle w:val="FootnoteReference"/>
                <w:lang w:val="en-AU"/>
              </w:rPr>
              <w:footnoteReference w:id="32"/>
            </w:r>
          </w:p>
        </w:tc>
      </w:tr>
    </w:tbl>
    <w:p w14:paraId="19D23E89" w14:textId="77777777" w:rsidR="00A61FF5" w:rsidRPr="006E49EE" w:rsidRDefault="00A61FF5" w:rsidP="00A61FF5">
      <w:pPr>
        <w:rPr>
          <w:rFonts w:ascii="Arial" w:eastAsiaTheme="majorEastAsia" w:hAnsi="Arial" w:cstheme="majorBidi"/>
          <w:bCs/>
          <w:color w:val="000000" w:themeColor="text1"/>
          <w:spacing w:val="5"/>
          <w:kern w:val="28"/>
          <w:sz w:val="28"/>
          <w:szCs w:val="20"/>
          <w:lang w:val="en-AU"/>
        </w:rPr>
      </w:pPr>
      <w:bookmarkStart w:id="68" w:name="_Toc488410101"/>
      <w:bookmarkStart w:id="69" w:name="_Toc488767573"/>
      <w:bookmarkStart w:id="70" w:name="_Toc488768985"/>
      <w:bookmarkStart w:id="71" w:name="_Toc489526700"/>
      <w:r w:rsidRPr="006E49EE">
        <w:rPr>
          <w:lang w:val="en-AU"/>
        </w:rPr>
        <w:br w:type="page"/>
      </w:r>
    </w:p>
    <w:p w14:paraId="31B5D387" w14:textId="51A04278" w:rsidR="00A61FF5" w:rsidRPr="006E49EE" w:rsidRDefault="00A61FF5" w:rsidP="00D2232D">
      <w:pPr>
        <w:pStyle w:val="ESHeading2"/>
      </w:pPr>
      <w:bookmarkStart w:id="72" w:name="_Toc491070299"/>
      <w:bookmarkStart w:id="73" w:name="Outputs_start"/>
      <w:bookmarkStart w:id="74" w:name="_Toc491409525"/>
      <w:bookmarkStart w:id="75" w:name="_Toc491414654"/>
      <w:r w:rsidRPr="006E49EE">
        <w:t>Performance against output performance measures</w:t>
      </w:r>
      <w:bookmarkEnd w:id="68"/>
      <w:bookmarkEnd w:id="69"/>
      <w:bookmarkEnd w:id="70"/>
      <w:bookmarkEnd w:id="71"/>
      <w:bookmarkEnd w:id="72"/>
      <w:bookmarkEnd w:id="73"/>
      <w:bookmarkEnd w:id="74"/>
      <w:bookmarkEnd w:id="75"/>
    </w:p>
    <w:p w14:paraId="2780C001" w14:textId="77777777" w:rsidR="00A61FF5" w:rsidRPr="006E49EE" w:rsidRDefault="00A61FF5" w:rsidP="00A61FF5">
      <w:pPr>
        <w:pStyle w:val="ESBodyText"/>
        <w:rPr>
          <w:lang w:val="en-AU"/>
        </w:rPr>
      </w:pPr>
      <w:r w:rsidRPr="006E49EE">
        <w:rPr>
          <w:lang w:val="en-AU"/>
        </w:rPr>
        <w:t>The Department’s outputs are reported in seven groups. These are:</w:t>
      </w:r>
    </w:p>
    <w:p w14:paraId="54CE2653" w14:textId="77777777" w:rsidR="00A9593E" w:rsidRPr="006E49EE" w:rsidRDefault="00A61FF5" w:rsidP="00A61FF5">
      <w:pPr>
        <w:pStyle w:val="ESBullet1indent"/>
        <w:rPr>
          <w:lang w:val="en-AU"/>
        </w:rPr>
      </w:pPr>
      <w:r w:rsidRPr="006E49EE">
        <w:rPr>
          <w:lang w:val="en-AU"/>
        </w:rPr>
        <w:t>Strategy, Review and Regulation</w:t>
      </w:r>
    </w:p>
    <w:p w14:paraId="2D5CAB4F" w14:textId="1FD54BEA" w:rsidR="00A61FF5" w:rsidRPr="006E49EE" w:rsidRDefault="00A61FF5" w:rsidP="00A61FF5">
      <w:pPr>
        <w:pStyle w:val="ESBullet1indent"/>
        <w:rPr>
          <w:lang w:val="en-AU"/>
        </w:rPr>
      </w:pPr>
      <w:r w:rsidRPr="006E49EE">
        <w:rPr>
          <w:lang w:val="en-AU"/>
        </w:rPr>
        <w:t>Early Childhood Development</w:t>
      </w:r>
    </w:p>
    <w:p w14:paraId="5724B22A" w14:textId="77777777" w:rsidR="00A61FF5" w:rsidRPr="006E49EE" w:rsidRDefault="00A61FF5" w:rsidP="00A61FF5">
      <w:pPr>
        <w:pStyle w:val="ESBullet1indent"/>
        <w:rPr>
          <w:lang w:val="en-AU"/>
        </w:rPr>
      </w:pPr>
      <w:r w:rsidRPr="006E49EE">
        <w:rPr>
          <w:lang w:val="en-AU"/>
        </w:rPr>
        <w:t>School Education–Primary</w:t>
      </w:r>
    </w:p>
    <w:p w14:paraId="35D3E580" w14:textId="77777777" w:rsidR="00A61FF5" w:rsidRPr="006E49EE" w:rsidRDefault="00A61FF5" w:rsidP="00A61FF5">
      <w:pPr>
        <w:pStyle w:val="ESBullet1indent"/>
        <w:rPr>
          <w:lang w:val="en-AU"/>
        </w:rPr>
      </w:pPr>
      <w:r w:rsidRPr="006E49EE">
        <w:rPr>
          <w:lang w:val="en-AU"/>
        </w:rPr>
        <w:t>School Education–Secondary</w:t>
      </w:r>
    </w:p>
    <w:p w14:paraId="1D183D17" w14:textId="77777777" w:rsidR="00A61FF5" w:rsidRPr="006E49EE" w:rsidRDefault="00A61FF5" w:rsidP="00A61FF5">
      <w:pPr>
        <w:pStyle w:val="ESBullet1indent"/>
        <w:rPr>
          <w:lang w:val="en-AU"/>
        </w:rPr>
      </w:pPr>
      <w:r w:rsidRPr="006E49EE">
        <w:rPr>
          <w:lang w:val="en-AU"/>
        </w:rPr>
        <w:t>Training, Higher Education, Workforce Development and Skills</w:t>
      </w:r>
    </w:p>
    <w:p w14:paraId="45EC49D0" w14:textId="77777777" w:rsidR="00A61FF5" w:rsidRPr="006E49EE" w:rsidRDefault="00A61FF5" w:rsidP="00A61FF5">
      <w:pPr>
        <w:pStyle w:val="ESBullet1indent"/>
        <w:rPr>
          <w:lang w:val="en-AU"/>
        </w:rPr>
      </w:pPr>
      <w:r w:rsidRPr="006E49EE">
        <w:rPr>
          <w:lang w:val="en-AU"/>
        </w:rPr>
        <w:t>Support Services Development</w:t>
      </w:r>
    </w:p>
    <w:p w14:paraId="14D87BB8" w14:textId="77777777" w:rsidR="00A61FF5" w:rsidRPr="006E49EE" w:rsidRDefault="00A61FF5" w:rsidP="00A61FF5">
      <w:pPr>
        <w:pStyle w:val="ESBullet1indent"/>
        <w:rPr>
          <w:lang w:val="en-AU"/>
        </w:rPr>
      </w:pPr>
      <w:r w:rsidRPr="006E49EE">
        <w:rPr>
          <w:lang w:val="en-AU"/>
        </w:rPr>
        <w:t>Support for Students with Disabilities.</w:t>
      </w:r>
    </w:p>
    <w:p w14:paraId="500EFC70" w14:textId="77777777" w:rsidR="00A61FF5" w:rsidRPr="006E49EE" w:rsidRDefault="00A61FF5" w:rsidP="00A61FF5">
      <w:pPr>
        <w:pStyle w:val="ESBodyText"/>
        <w:rPr>
          <w:lang w:val="en-AU"/>
        </w:rPr>
      </w:pPr>
      <w:r w:rsidRPr="006E49EE">
        <w:rPr>
          <w:lang w:val="en-AU"/>
        </w:rPr>
        <w:t>These output measures refer to the financial year unless indicated.</w:t>
      </w:r>
    </w:p>
    <w:p w14:paraId="69F7302C" w14:textId="77777777" w:rsidR="00A61FF5" w:rsidRPr="006E49EE" w:rsidRDefault="00A61FF5" w:rsidP="00A61FF5">
      <w:pPr>
        <w:pStyle w:val="ESHeading3"/>
        <w:rPr>
          <w:lang w:val="en-AU"/>
        </w:rPr>
      </w:pPr>
      <w:r w:rsidRPr="006E49EE">
        <w:rPr>
          <w:lang w:val="en-AU"/>
        </w:rPr>
        <w:t>Strategy, review and regulation</w:t>
      </w:r>
    </w:p>
    <w:p w14:paraId="4AFFFFDF" w14:textId="77777777" w:rsidR="00A61FF5" w:rsidRPr="004B6C01" w:rsidRDefault="00A61FF5" w:rsidP="00A61FF5">
      <w:pPr>
        <w:pStyle w:val="ESBodyText"/>
        <w:rPr>
          <w:b/>
          <w:i/>
          <w:lang w:val="en-AU"/>
        </w:rPr>
      </w:pPr>
      <w:r w:rsidRPr="006E49EE">
        <w:rPr>
          <w:lang w:val="en-AU"/>
        </w:rPr>
        <w:t xml:space="preserve">The output group for Strategy, Review and Regulation develops, plans and monitors strategic policy settings across all stages of learning. It includes intergovernmental negotiations as well as research, data and performance evaluations. This output group supports regulation to ensure delivery of quality education and training and contributes to all the Department’s objectives of achievement, engagement, wellbeing and </w:t>
      </w:r>
      <w:r w:rsidRPr="004B6C01">
        <w:rPr>
          <w:lang w:val="en-AU"/>
        </w:rPr>
        <w:t>productivity.</w:t>
      </w:r>
    </w:p>
    <w:p w14:paraId="5A07D977" w14:textId="1B1F4306" w:rsidR="00A61FF5" w:rsidRPr="004B6C01" w:rsidRDefault="00237A0D"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7</w:t>
      </w:r>
      <w:r w:rsidR="00D93BA2" w:rsidRPr="004B6C01">
        <w:rPr>
          <w:noProof/>
          <w:lang w:val="en-AU"/>
        </w:rPr>
        <w:fldChar w:fldCharType="end"/>
      </w:r>
      <w:r w:rsidR="00A61FF5" w:rsidRPr="004B6C01">
        <w:rPr>
          <w:lang w:val="en-AU"/>
        </w:rPr>
        <w:t xml:space="preserve"> – Strategy, review and regulation performance measures</w:t>
      </w:r>
    </w:p>
    <w:tbl>
      <w:tblPr>
        <w:tblW w:w="5013" w:type="pct"/>
        <w:tblBorders>
          <w:bottom w:val="single" w:sz="4" w:space="0" w:color="auto"/>
        </w:tblBorders>
        <w:tblLayout w:type="fixed"/>
        <w:tblCellMar>
          <w:left w:w="45" w:type="dxa"/>
          <w:right w:w="45" w:type="dxa"/>
        </w:tblCellMar>
        <w:tblLook w:val="0000" w:firstRow="0" w:lastRow="0" w:firstColumn="0" w:lastColumn="0" w:noHBand="0" w:noVBand="0"/>
      </w:tblPr>
      <w:tblGrid>
        <w:gridCol w:w="569"/>
        <w:gridCol w:w="2689"/>
        <w:gridCol w:w="449"/>
        <w:gridCol w:w="738"/>
        <w:gridCol w:w="738"/>
        <w:gridCol w:w="56"/>
        <w:gridCol w:w="682"/>
        <w:gridCol w:w="738"/>
        <w:gridCol w:w="724"/>
      </w:tblGrid>
      <w:tr w:rsidR="009106B9" w:rsidRPr="00932A90" w14:paraId="3F019E6C" w14:textId="77777777" w:rsidTr="009106B9">
        <w:trPr>
          <w:cantSplit/>
          <w:tblHeader/>
        </w:trPr>
        <w:tc>
          <w:tcPr>
            <w:tcW w:w="2510" w:type="pct"/>
            <w:gridSpan w:val="3"/>
            <w:tcBorders>
              <w:bottom w:val="nil"/>
            </w:tcBorders>
            <w:shd w:val="clear" w:color="auto" w:fill="7F7F7F" w:themeFill="text1" w:themeFillTint="80"/>
          </w:tcPr>
          <w:p w14:paraId="7A2E80B2" w14:textId="77777777" w:rsidR="00A61FF5" w:rsidRPr="004B6C01" w:rsidRDefault="00A61FF5" w:rsidP="00D07480">
            <w:pPr>
              <w:pStyle w:val="ESTableheadingwhite75"/>
              <w:rPr>
                <w:lang w:val="en-AU"/>
              </w:rPr>
            </w:pPr>
            <w:r w:rsidRPr="004B6C01">
              <w:rPr>
                <w:lang w:val="en-AU"/>
              </w:rPr>
              <w:t>Performance measures</w:t>
            </w:r>
          </w:p>
        </w:tc>
        <w:tc>
          <w:tcPr>
            <w:tcW w:w="500" w:type="pct"/>
            <w:tcBorders>
              <w:bottom w:val="nil"/>
            </w:tcBorders>
            <w:shd w:val="clear" w:color="auto" w:fill="7F7F7F" w:themeFill="text1" w:themeFillTint="80"/>
          </w:tcPr>
          <w:p w14:paraId="650C1E07" w14:textId="77777777" w:rsidR="00A61FF5" w:rsidRPr="004B6C01" w:rsidRDefault="00A61FF5" w:rsidP="00D07480">
            <w:pPr>
              <w:pStyle w:val="ESTableheadingwhite75"/>
              <w:rPr>
                <w:lang w:val="en-AU"/>
              </w:rPr>
            </w:pPr>
            <w:r w:rsidRPr="004B6C01">
              <w:rPr>
                <w:lang w:val="en-AU"/>
              </w:rPr>
              <w:t>Unit of measure</w:t>
            </w:r>
          </w:p>
        </w:tc>
        <w:tc>
          <w:tcPr>
            <w:tcW w:w="500" w:type="pct"/>
            <w:tcBorders>
              <w:bottom w:val="nil"/>
            </w:tcBorders>
            <w:shd w:val="clear" w:color="auto" w:fill="7F7F7F" w:themeFill="text1" w:themeFillTint="80"/>
          </w:tcPr>
          <w:p w14:paraId="1CE8EC01" w14:textId="77777777" w:rsidR="00A61FF5" w:rsidRPr="004B6C01" w:rsidRDefault="00A61FF5" w:rsidP="00D07480">
            <w:pPr>
              <w:pStyle w:val="ESTableheadingwhite75"/>
              <w:rPr>
                <w:lang w:val="en-AU"/>
              </w:rPr>
            </w:pPr>
            <w:r w:rsidRPr="004B6C01">
              <w:rPr>
                <w:lang w:val="en-AU"/>
              </w:rPr>
              <w:t>2016–17 Target</w:t>
            </w:r>
          </w:p>
        </w:tc>
        <w:tc>
          <w:tcPr>
            <w:tcW w:w="500" w:type="pct"/>
            <w:gridSpan w:val="2"/>
            <w:tcBorders>
              <w:bottom w:val="nil"/>
            </w:tcBorders>
            <w:shd w:val="clear" w:color="auto" w:fill="7F7F7F" w:themeFill="text1" w:themeFillTint="80"/>
          </w:tcPr>
          <w:p w14:paraId="2EB2A6B3" w14:textId="77777777" w:rsidR="00A61FF5" w:rsidRPr="004B6C01" w:rsidRDefault="00A61FF5" w:rsidP="00D07480">
            <w:pPr>
              <w:pStyle w:val="ESTableheadingwhite75"/>
              <w:rPr>
                <w:lang w:val="en-AU"/>
              </w:rPr>
            </w:pPr>
            <w:r w:rsidRPr="004B6C01">
              <w:rPr>
                <w:lang w:val="en-AU"/>
              </w:rPr>
              <w:t>2016–17 Actual</w:t>
            </w:r>
          </w:p>
        </w:tc>
        <w:tc>
          <w:tcPr>
            <w:tcW w:w="500" w:type="pct"/>
            <w:tcBorders>
              <w:bottom w:val="nil"/>
            </w:tcBorders>
            <w:shd w:val="clear" w:color="auto" w:fill="7F7F7F" w:themeFill="text1" w:themeFillTint="80"/>
          </w:tcPr>
          <w:p w14:paraId="16B1EDAF" w14:textId="77777777" w:rsidR="00A61FF5" w:rsidRPr="004B6C01" w:rsidRDefault="00A61FF5" w:rsidP="00D07480">
            <w:pPr>
              <w:pStyle w:val="ESTableheadingwhite75"/>
              <w:rPr>
                <w:lang w:val="en-AU"/>
              </w:rPr>
            </w:pPr>
            <w:r w:rsidRPr="004B6C01">
              <w:rPr>
                <w:lang w:val="en-AU"/>
              </w:rPr>
              <w:t>Per cent variation</w:t>
            </w:r>
          </w:p>
        </w:tc>
        <w:tc>
          <w:tcPr>
            <w:tcW w:w="490" w:type="pct"/>
            <w:tcBorders>
              <w:bottom w:val="nil"/>
            </w:tcBorders>
            <w:shd w:val="clear" w:color="auto" w:fill="7F7F7F" w:themeFill="text1" w:themeFillTint="80"/>
          </w:tcPr>
          <w:p w14:paraId="42F7FF15" w14:textId="77777777" w:rsidR="00A61FF5" w:rsidRPr="004B6C01" w:rsidRDefault="00A61FF5" w:rsidP="00D07480">
            <w:pPr>
              <w:pStyle w:val="ESTableheadingwhite75"/>
              <w:rPr>
                <w:lang w:val="en-AU"/>
              </w:rPr>
            </w:pPr>
            <w:r w:rsidRPr="004B6C01">
              <w:rPr>
                <w:lang w:val="en-AU"/>
              </w:rPr>
              <w:t>Result</w:t>
            </w:r>
          </w:p>
        </w:tc>
      </w:tr>
      <w:tr w:rsidR="00A61FF5" w:rsidRPr="00932A90" w14:paraId="4FBD5EFF" w14:textId="77777777" w:rsidTr="009106B9">
        <w:trPr>
          <w:cantSplit/>
        </w:trPr>
        <w:tc>
          <w:tcPr>
            <w:tcW w:w="5000" w:type="pct"/>
            <w:gridSpan w:val="9"/>
            <w:tcBorders>
              <w:bottom w:val="nil"/>
            </w:tcBorders>
            <w:shd w:val="clear" w:color="auto" w:fill="auto"/>
          </w:tcPr>
          <w:p w14:paraId="3C276E40" w14:textId="77777777" w:rsidR="00A61FF5" w:rsidRPr="004B6C01" w:rsidRDefault="00A61FF5" w:rsidP="009A0BAD">
            <w:pPr>
              <w:pStyle w:val="ESTableheading"/>
              <w:rPr>
                <w:lang w:val="en-AU"/>
              </w:rPr>
            </w:pPr>
            <w:r w:rsidRPr="004B6C01">
              <w:rPr>
                <w:lang w:val="en-AU"/>
              </w:rPr>
              <w:t>Quantity</w:t>
            </w:r>
          </w:p>
        </w:tc>
      </w:tr>
      <w:tr w:rsidR="009106B9" w:rsidRPr="00932A90" w14:paraId="672CC798" w14:textId="77777777" w:rsidTr="009106B9">
        <w:trPr>
          <w:cantSplit/>
        </w:trPr>
        <w:tc>
          <w:tcPr>
            <w:tcW w:w="2510" w:type="pct"/>
            <w:gridSpan w:val="3"/>
            <w:tcBorders>
              <w:bottom w:val="nil"/>
            </w:tcBorders>
            <w:shd w:val="clear" w:color="auto" w:fill="auto"/>
          </w:tcPr>
          <w:p w14:paraId="2EF23CFF" w14:textId="77777777" w:rsidR="00A61FF5" w:rsidRPr="004B6C01" w:rsidRDefault="00A61FF5" w:rsidP="00D07480">
            <w:pPr>
              <w:pStyle w:val="ESTableBody"/>
              <w:rPr>
                <w:lang w:val="en-AU"/>
              </w:rPr>
            </w:pPr>
            <w:r w:rsidRPr="004B6C01">
              <w:rPr>
                <w:lang w:val="en-AU"/>
              </w:rPr>
              <w:t>Number of registered training organisation quality audits and school reviews undertaken annually</w:t>
            </w:r>
          </w:p>
        </w:tc>
        <w:tc>
          <w:tcPr>
            <w:tcW w:w="500" w:type="pct"/>
            <w:tcBorders>
              <w:bottom w:val="nil"/>
            </w:tcBorders>
            <w:shd w:val="clear" w:color="auto" w:fill="auto"/>
          </w:tcPr>
          <w:p w14:paraId="1E1ACCBE" w14:textId="77777777" w:rsidR="00A61FF5" w:rsidRPr="004B6C01" w:rsidRDefault="00A61FF5" w:rsidP="00D07480">
            <w:pPr>
              <w:pStyle w:val="ESTableBody"/>
              <w:rPr>
                <w:lang w:val="en-AU"/>
              </w:rPr>
            </w:pPr>
            <w:r w:rsidRPr="004B6C01">
              <w:rPr>
                <w:lang w:val="en-AU"/>
              </w:rPr>
              <w:t>number</w:t>
            </w:r>
          </w:p>
        </w:tc>
        <w:tc>
          <w:tcPr>
            <w:tcW w:w="500" w:type="pct"/>
            <w:tcBorders>
              <w:bottom w:val="nil"/>
            </w:tcBorders>
            <w:shd w:val="clear" w:color="auto" w:fill="auto"/>
          </w:tcPr>
          <w:p w14:paraId="052D6128" w14:textId="77777777" w:rsidR="00A61FF5" w:rsidRPr="004B6C01" w:rsidRDefault="00A61FF5" w:rsidP="00980848">
            <w:pPr>
              <w:pStyle w:val="ESTableBody"/>
              <w:jc w:val="right"/>
              <w:rPr>
                <w:lang w:val="en-AU"/>
              </w:rPr>
            </w:pPr>
            <w:r w:rsidRPr="004B6C01">
              <w:rPr>
                <w:lang w:val="en-AU"/>
              </w:rPr>
              <w:t>67</w:t>
            </w:r>
          </w:p>
        </w:tc>
        <w:tc>
          <w:tcPr>
            <w:tcW w:w="500" w:type="pct"/>
            <w:gridSpan w:val="2"/>
            <w:tcBorders>
              <w:bottom w:val="nil"/>
            </w:tcBorders>
            <w:shd w:val="clear" w:color="auto" w:fill="auto"/>
          </w:tcPr>
          <w:p w14:paraId="38F4DDA0" w14:textId="77777777" w:rsidR="00A61FF5" w:rsidRPr="004B6C01" w:rsidRDefault="00A61FF5" w:rsidP="00980848">
            <w:pPr>
              <w:pStyle w:val="ESTableBody"/>
              <w:jc w:val="right"/>
              <w:rPr>
                <w:lang w:val="en-AU"/>
              </w:rPr>
            </w:pPr>
            <w:r w:rsidRPr="004B6C01">
              <w:rPr>
                <w:lang w:val="en-AU"/>
              </w:rPr>
              <w:t>90</w:t>
            </w:r>
          </w:p>
        </w:tc>
        <w:tc>
          <w:tcPr>
            <w:tcW w:w="500" w:type="pct"/>
            <w:tcBorders>
              <w:bottom w:val="nil"/>
            </w:tcBorders>
          </w:tcPr>
          <w:p w14:paraId="24E70F67" w14:textId="77777777" w:rsidR="00A61FF5" w:rsidRPr="004B6C01" w:rsidRDefault="00A61FF5" w:rsidP="00980848">
            <w:pPr>
              <w:pStyle w:val="ESTableBody"/>
              <w:jc w:val="right"/>
              <w:rPr>
                <w:lang w:val="en-AU"/>
              </w:rPr>
            </w:pPr>
            <w:r w:rsidRPr="004B6C01">
              <w:rPr>
                <w:lang w:val="en-AU"/>
              </w:rPr>
              <w:t>34.3</w:t>
            </w:r>
          </w:p>
        </w:tc>
        <w:tc>
          <w:tcPr>
            <w:tcW w:w="490" w:type="pct"/>
            <w:tcBorders>
              <w:bottom w:val="nil"/>
            </w:tcBorders>
          </w:tcPr>
          <w:p w14:paraId="4F46B8CF"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50520F90" w14:textId="77777777" w:rsidTr="009106B9">
        <w:trPr>
          <w:cantSplit/>
        </w:trPr>
        <w:tc>
          <w:tcPr>
            <w:tcW w:w="5000" w:type="pct"/>
            <w:gridSpan w:val="9"/>
            <w:tcBorders>
              <w:bottom w:val="single" w:sz="4" w:space="0" w:color="auto"/>
            </w:tcBorders>
            <w:shd w:val="clear" w:color="auto" w:fill="auto"/>
          </w:tcPr>
          <w:p w14:paraId="3BF20FB9" w14:textId="77777777" w:rsidR="00A61FF5" w:rsidRPr="004B6C01" w:rsidRDefault="00A61FF5" w:rsidP="00D07480">
            <w:pPr>
              <w:pStyle w:val="ESTableBody"/>
              <w:rPr>
                <w:i/>
                <w:lang w:val="en-AU"/>
              </w:rPr>
            </w:pPr>
            <w:r w:rsidRPr="004B6C01">
              <w:rPr>
                <w:i/>
                <w:lang w:val="en-AU"/>
              </w:rPr>
              <w:t>This performance measure relates to the calendar year. The 2016–17 actual is higher than the 2016–17 target due to unanticipated audits and reviews of potentially high-risk providers. This resulted from potential non-compliance identified by complaints and other intelligence, and increased demand for high-risk thematic areas such as childcare qualifications.</w:t>
            </w:r>
          </w:p>
        </w:tc>
      </w:tr>
      <w:tr w:rsidR="00A61FF5" w:rsidRPr="00932A90" w14:paraId="6894B068" w14:textId="77777777" w:rsidTr="009106B9">
        <w:trPr>
          <w:cantSplit/>
        </w:trPr>
        <w:tc>
          <w:tcPr>
            <w:tcW w:w="5000" w:type="pct"/>
            <w:gridSpan w:val="9"/>
            <w:tcBorders>
              <w:top w:val="single" w:sz="4" w:space="0" w:color="auto"/>
              <w:bottom w:val="nil"/>
            </w:tcBorders>
            <w:shd w:val="clear" w:color="auto" w:fill="auto"/>
          </w:tcPr>
          <w:p w14:paraId="772BDB9B" w14:textId="77777777" w:rsidR="00A61FF5" w:rsidRPr="004B6C01" w:rsidRDefault="00A61FF5" w:rsidP="009A0BAD">
            <w:pPr>
              <w:pStyle w:val="ESTableheading"/>
              <w:rPr>
                <w:lang w:val="en-AU"/>
              </w:rPr>
            </w:pPr>
            <w:r w:rsidRPr="004B6C01">
              <w:rPr>
                <w:lang w:val="en-AU"/>
              </w:rPr>
              <w:t>Quality</w:t>
            </w:r>
          </w:p>
        </w:tc>
      </w:tr>
      <w:tr w:rsidR="009106B9" w:rsidRPr="00932A90" w14:paraId="5B53B8DB" w14:textId="77777777" w:rsidTr="009106B9">
        <w:trPr>
          <w:cantSplit/>
        </w:trPr>
        <w:tc>
          <w:tcPr>
            <w:tcW w:w="2510" w:type="pct"/>
            <w:gridSpan w:val="3"/>
            <w:tcBorders>
              <w:bottom w:val="nil"/>
            </w:tcBorders>
            <w:shd w:val="clear" w:color="auto" w:fill="auto"/>
          </w:tcPr>
          <w:p w14:paraId="2B408396" w14:textId="77777777" w:rsidR="00A61FF5" w:rsidRPr="004B6C01" w:rsidRDefault="00A61FF5" w:rsidP="00D07480">
            <w:pPr>
              <w:pStyle w:val="ESTableBody"/>
              <w:rPr>
                <w:lang w:val="en-AU"/>
              </w:rPr>
            </w:pPr>
            <w:r w:rsidRPr="004B6C01">
              <w:rPr>
                <w:lang w:val="en-AU"/>
              </w:rPr>
              <w:t>Education peak bodies that rate the Victorian Registration and Qualifications Authority (VRQA) effective or highly effective in performing its regulatory function</w:t>
            </w:r>
          </w:p>
        </w:tc>
        <w:tc>
          <w:tcPr>
            <w:tcW w:w="500" w:type="pct"/>
            <w:tcBorders>
              <w:bottom w:val="nil"/>
            </w:tcBorders>
            <w:shd w:val="clear" w:color="auto" w:fill="auto"/>
          </w:tcPr>
          <w:p w14:paraId="6504EA5B" w14:textId="77777777" w:rsidR="00A61FF5" w:rsidRPr="004B6C01" w:rsidRDefault="00A61FF5" w:rsidP="00D07480">
            <w:pPr>
              <w:pStyle w:val="ESTableBody"/>
              <w:rPr>
                <w:lang w:val="en-AU"/>
              </w:rPr>
            </w:pPr>
            <w:r w:rsidRPr="004B6C01">
              <w:rPr>
                <w:lang w:val="en-AU"/>
              </w:rPr>
              <w:t>per cent</w:t>
            </w:r>
          </w:p>
        </w:tc>
        <w:tc>
          <w:tcPr>
            <w:tcW w:w="500" w:type="pct"/>
            <w:tcBorders>
              <w:bottom w:val="nil"/>
            </w:tcBorders>
            <w:shd w:val="clear" w:color="auto" w:fill="auto"/>
          </w:tcPr>
          <w:p w14:paraId="089F8F3C" w14:textId="77777777" w:rsidR="00A61FF5" w:rsidRPr="004B6C01" w:rsidRDefault="00A61FF5" w:rsidP="00980848">
            <w:pPr>
              <w:pStyle w:val="ESTableBody"/>
              <w:jc w:val="right"/>
              <w:rPr>
                <w:lang w:val="en-AU"/>
              </w:rPr>
            </w:pPr>
            <w:r w:rsidRPr="004B6C01">
              <w:rPr>
                <w:lang w:val="en-AU"/>
              </w:rPr>
              <w:t>70</w:t>
            </w:r>
          </w:p>
        </w:tc>
        <w:tc>
          <w:tcPr>
            <w:tcW w:w="500" w:type="pct"/>
            <w:gridSpan w:val="2"/>
            <w:tcBorders>
              <w:bottom w:val="nil"/>
            </w:tcBorders>
            <w:shd w:val="clear" w:color="auto" w:fill="auto"/>
          </w:tcPr>
          <w:p w14:paraId="6C46B308" w14:textId="77777777" w:rsidR="00A61FF5" w:rsidRPr="004B6C01" w:rsidRDefault="00A61FF5" w:rsidP="00980848">
            <w:pPr>
              <w:pStyle w:val="ESTableBody"/>
              <w:jc w:val="right"/>
              <w:rPr>
                <w:lang w:val="en-AU"/>
              </w:rPr>
            </w:pPr>
            <w:r w:rsidRPr="004B6C01">
              <w:rPr>
                <w:lang w:val="en-AU"/>
              </w:rPr>
              <w:t>100</w:t>
            </w:r>
          </w:p>
        </w:tc>
        <w:tc>
          <w:tcPr>
            <w:tcW w:w="500" w:type="pct"/>
            <w:tcBorders>
              <w:bottom w:val="nil"/>
            </w:tcBorders>
          </w:tcPr>
          <w:p w14:paraId="6F4F299F" w14:textId="77777777" w:rsidR="00A61FF5" w:rsidRPr="004B6C01" w:rsidRDefault="00A61FF5" w:rsidP="00980848">
            <w:pPr>
              <w:pStyle w:val="ESTableBody"/>
              <w:jc w:val="right"/>
              <w:rPr>
                <w:lang w:val="en-AU"/>
              </w:rPr>
            </w:pPr>
            <w:r w:rsidRPr="004B6C01">
              <w:rPr>
                <w:lang w:val="en-AU"/>
              </w:rPr>
              <w:t>42.9</w:t>
            </w:r>
          </w:p>
        </w:tc>
        <w:tc>
          <w:tcPr>
            <w:tcW w:w="490" w:type="pct"/>
            <w:tcBorders>
              <w:bottom w:val="nil"/>
            </w:tcBorders>
          </w:tcPr>
          <w:p w14:paraId="4AFCB25F"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113DA87A" w14:textId="77777777" w:rsidTr="009106B9">
        <w:trPr>
          <w:cantSplit/>
        </w:trPr>
        <w:tc>
          <w:tcPr>
            <w:tcW w:w="5000" w:type="pct"/>
            <w:gridSpan w:val="9"/>
            <w:tcBorders>
              <w:bottom w:val="nil"/>
            </w:tcBorders>
            <w:shd w:val="clear" w:color="auto" w:fill="auto"/>
          </w:tcPr>
          <w:p w14:paraId="35E79B4D" w14:textId="77777777" w:rsidR="00A61FF5" w:rsidRPr="004B6C01" w:rsidRDefault="00A61FF5" w:rsidP="00D07480">
            <w:pPr>
              <w:pStyle w:val="ESTableBody"/>
              <w:rPr>
                <w:i/>
                <w:lang w:val="en-AU"/>
              </w:rPr>
            </w:pPr>
            <w:r w:rsidRPr="004B6C01">
              <w:rPr>
                <w:i/>
                <w:lang w:val="en-AU"/>
              </w:rPr>
              <w:t>This performance measure relates to the calendar year. The actual is higher than the 2016–17 target due to peak bodies reporting significantly higher satisfaction with VRQA than estimated prior to the collection of data for this new measure.</w:t>
            </w:r>
          </w:p>
        </w:tc>
      </w:tr>
      <w:tr w:rsidR="009106B9" w:rsidRPr="00932A90" w14:paraId="16537190" w14:textId="77777777" w:rsidTr="009106B9">
        <w:trPr>
          <w:cantSplit/>
        </w:trPr>
        <w:tc>
          <w:tcPr>
            <w:tcW w:w="2510" w:type="pct"/>
            <w:gridSpan w:val="3"/>
            <w:tcBorders>
              <w:bottom w:val="nil"/>
            </w:tcBorders>
            <w:shd w:val="clear" w:color="auto" w:fill="auto"/>
          </w:tcPr>
          <w:p w14:paraId="0574F916" w14:textId="77777777" w:rsidR="00A61FF5" w:rsidRPr="004B6C01" w:rsidRDefault="00A61FF5" w:rsidP="00D07480">
            <w:pPr>
              <w:pStyle w:val="ESTableBody"/>
              <w:rPr>
                <w:lang w:val="en-AU"/>
              </w:rPr>
            </w:pPr>
            <w:r w:rsidRPr="004B6C01">
              <w:rPr>
                <w:lang w:val="en-AU"/>
              </w:rPr>
              <w:t>Regulated schools and Registered Training Organisations that rate the VRQA effective or highly effective in performing its regulatory function</w:t>
            </w:r>
          </w:p>
        </w:tc>
        <w:tc>
          <w:tcPr>
            <w:tcW w:w="500" w:type="pct"/>
            <w:tcBorders>
              <w:bottom w:val="nil"/>
            </w:tcBorders>
            <w:shd w:val="clear" w:color="auto" w:fill="auto"/>
          </w:tcPr>
          <w:p w14:paraId="73846D46" w14:textId="77777777" w:rsidR="00A61FF5" w:rsidRPr="004B6C01" w:rsidRDefault="00A61FF5" w:rsidP="00D07480">
            <w:pPr>
              <w:pStyle w:val="ESTableBody"/>
              <w:rPr>
                <w:lang w:val="en-AU"/>
              </w:rPr>
            </w:pPr>
            <w:r w:rsidRPr="004B6C01">
              <w:rPr>
                <w:lang w:val="en-AU"/>
              </w:rPr>
              <w:t>per cent</w:t>
            </w:r>
          </w:p>
        </w:tc>
        <w:tc>
          <w:tcPr>
            <w:tcW w:w="500" w:type="pct"/>
            <w:tcBorders>
              <w:bottom w:val="nil"/>
            </w:tcBorders>
            <w:shd w:val="clear" w:color="auto" w:fill="auto"/>
          </w:tcPr>
          <w:p w14:paraId="3A60FDAE" w14:textId="77777777" w:rsidR="00A61FF5" w:rsidRPr="004B6C01" w:rsidRDefault="00A61FF5" w:rsidP="00980848">
            <w:pPr>
              <w:pStyle w:val="ESTableBody"/>
              <w:jc w:val="right"/>
              <w:rPr>
                <w:lang w:val="en-AU"/>
              </w:rPr>
            </w:pPr>
            <w:r w:rsidRPr="004B6C01">
              <w:rPr>
                <w:lang w:val="en-AU"/>
              </w:rPr>
              <w:t>70</w:t>
            </w:r>
          </w:p>
        </w:tc>
        <w:tc>
          <w:tcPr>
            <w:tcW w:w="500" w:type="pct"/>
            <w:gridSpan w:val="2"/>
            <w:tcBorders>
              <w:bottom w:val="nil"/>
            </w:tcBorders>
            <w:shd w:val="clear" w:color="auto" w:fill="auto"/>
          </w:tcPr>
          <w:p w14:paraId="35F0E1BD" w14:textId="77777777" w:rsidR="00A61FF5" w:rsidRPr="004B6C01" w:rsidRDefault="00A61FF5" w:rsidP="00980848">
            <w:pPr>
              <w:pStyle w:val="ESTableBody"/>
              <w:jc w:val="right"/>
              <w:rPr>
                <w:lang w:val="en-AU"/>
              </w:rPr>
            </w:pPr>
            <w:r w:rsidRPr="004B6C01">
              <w:rPr>
                <w:lang w:val="en-AU"/>
              </w:rPr>
              <w:t>95</w:t>
            </w:r>
          </w:p>
        </w:tc>
        <w:tc>
          <w:tcPr>
            <w:tcW w:w="500" w:type="pct"/>
            <w:tcBorders>
              <w:bottom w:val="nil"/>
            </w:tcBorders>
          </w:tcPr>
          <w:p w14:paraId="7510EE37" w14:textId="77777777" w:rsidR="00A61FF5" w:rsidRPr="004B6C01" w:rsidRDefault="00A61FF5" w:rsidP="00980848">
            <w:pPr>
              <w:pStyle w:val="ESTableBody"/>
              <w:jc w:val="right"/>
              <w:rPr>
                <w:lang w:val="en-AU"/>
              </w:rPr>
            </w:pPr>
            <w:r w:rsidRPr="004B6C01">
              <w:rPr>
                <w:lang w:val="en-AU"/>
              </w:rPr>
              <w:t>35.7</w:t>
            </w:r>
          </w:p>
        </w:tc>
        <w:tc>
          <w:tcPr>
            <w:tcW w:w="490" w:type="pct"/>
            <w:tcBorders>
              <w:bottom w:val="nil"/>
            </w:tcBorders>
          </w:tcPr>
          <w:p w14:paraId="258FBD07"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00F0DA57" w14:textId="77777777" w:rsidTr="009106B9">
        <w:trPr>
          <w:cantSplit/>
        </w:trPr>
        <w:tc>
          <w:tcPr>
            <w:tcW w:w="5000" w:type="pct"/>
            <w:gridSpan w:val="9"/>
            <w:tcBorders>
              <w:bottom w:val="nil"/>
            </w:tcBorders>
            <w:shd w:val="clear" w:color="auto" w:fill="auto"/>
          </w:tcPr>
          <w:p w14:paraId="1A3867BF" w14:textId="6B6C2498" w:rsidR="00A61FF5" w:rsidRPr="004B6C01" w:rsidRDefault="00A61FF5" w:rsidP="00F51FCE">
            <w:pPr>
              <w:pStyle w:val="ESTableBody"/>
              <w:rPr>
                <w:i/>
                <w:lang w:val="en-AU"/>
              </w:rPr>
            </w:pPr>
            <w:r w:rsidRPr="004B6C01">
              <w:rPr>
                <w:i/>
                <w:lang w:val="en-AU"/>
              </w:rPr>
              <w:t>This performance measure relates to the calendar year. The 2016–17 actual is higher than the</w:t>
            </w:r>
            <w:r w:rsidR="00366F71" w:rsidRPr="004B6C01">
              <w:rPr>
                <w:i/>
                <w:lang w:val="en-AU"/>
              </w:rPr>
              <w:t xml:space="preserve"> </w:t>
            </w:r>
            <w:r w:rsidR="00F51FCE">
              <w:rPr>
                <w:i/>
                <w:lang w:val="en-AU"/>
              </w:rPr>
              <w:t xml:space="preserve">   </w:t>
            </w:r>
            <w:r w:rsidRPr="004B6C01">
              <w:rPr>
                <w:i/>
                <w:lang w:val="en-AU"/>
              </w:rPr>
              <w:t>2016–17 target due to schools and Registered Training Organisations reporting significantly higher satisfaction with VRQA than estimated prior to the collection of data for this new measure.</w:t>
            </w:r>
          </w:p>
        </w:tc>
      </w:tr>
      <w:tr w:rsidR="009106B9" w:rsidRPr="00932A90" w14:paraId="3228AD4C" w14:textId="77777777" w:rsidTr="009106B9">
        <w:trPr>
          <w:cantSplit/>
        </w:trPr>
        <w:tc>
          <w:tcPr>
            <w:tcW w:w="2510" w:type="pct"/>
            <w:gridSpan w:val="3"/>
            <w:tcBorders>
              <w:bottom w:val="nil"/>
            </w:tcBorders>
            <w:shd w:val="clear" w:color="auto" w:fill="auto"/>
          </w:tcPr>
          <w:p w14:paraId="32F4E7D0" w14:textId="77777777" w:rsidR="00A61FF5" w:rsidRPr="004B6C01" w:rsidRDefault="00A61FF5" w:rsidP="00D07480">
            <w:pPr>
              <w:pStyle w:val="ESTableBody"/>
              <w:rPr>
                <w:lang w:val="en-AU"/>
              </w:rPr>
            </w:pPr>
            <w:r w:rsidRPr="004B6C01">
              <w:rPr>
                <w:lang w:val="en-AU"/>
              </w:rPr>
              <w:t>Percentage of government schools where an enrolment audit is conducted</w:t>
            </w:r>
          </w:p>
        </w:tc>
        <w:tc>
          <w:tcPr>
            <w:tcW w:w="500" w:type="pct"/>
            <w:tcBorders>
              <w:bottom w:val="nil"/>
            </w:tcBorders>
            <w:shd w:val="clear" w:color="auto" w:fill="auto"/>
          </w:tcPr>
          <w:p w14:paraId="786DF6D8" w14:textId="77777777" w:rsidR="00A61FF5" w:rsidRPr="004B6C01" w:rsidRDefault="00A61FF5" w:rsidP="00D07480">
            <w:pPr>
              <w:pStyle w:val="ESTableBody"/>
              <w:rPr>
                <w:lang w:val="en-AU"/>
              </w:rPr>
            </w:pPr>
            <w:r w:rsidRPr="004B6C01">
              <w:rPr>
                <w:lang w:val="en-AU"/>
              </w:rPr>
              <w:t>per cent</w:t>
            </w:r>
          </w:p>
        </w:tc>
        <w:tc>
          <w:tcPr>
            <w:tcW w:w="500" w:type="pct"/>
            <w:tcBorders>
              <w:bottom w:val="nil"/>
            </w:tcBorders>
            <w:shd w:val="clear" w:color="auto" w:fill="auto"/>
          </w:tcPr>
          <w:p w14:paraId="2DA3B179" w14:textId="77777777" w:rsidR="00A61FF5" w:rsidRPr="004B6C01" w:rsidRDefault="00A61FF5" w:rsidP="00980848">
            <w:pPr>
              <w:pStyle w:val="ESTableBody"/>
              <w:jc w:val="right"/>
              <w:rPr>
                <w:lang w:val="en-AU"/>
              </w:rPr>
            </w:pPr>
            <w:r w:rsidRPr="004B6C01">
              <w:rPr>
                <w:lang w:val="en-AU"/>
              </w:rPr>
              <w:t>32.8</w:t>
            </w:r>
          </w:p>
        </w:tc>
        <w:tc>
          <w:tcPr>
            <w:tcW w:w="500" w:type="pct"/>
            <w:gridSpan w:val="2"/>
            <w:tcBorders>
              <w:bottom w:val="nil"/>
            </w:tcBorders>
            <w:shd w:val="clear" w:color="auto" w:fill="auto"/>
          </w:tcPr>
          <w:p w14:paraId="7BDC2786" w14:textId="77777777" w:rsidR="00A61FF5" w:rsidRPr="004B6C01" w:rsidRDefault="00A61FF5" w:rsidP="00980848">
            <w:pPr>
              <w:pStyle w:val="ESTableBody"/>
              <w:jc w:val="right"/>
              <w:rPr>
                <w:lang w:val="en-AU"/>
              </w:rPr>
            </w:pPr>
            <w:r w:rsidRPr="004B6C01">
              <w:rPr>
                <w:lang w:val="en-AU"/>
              </w:rPr>
              <w:t>32.8</w:t>
            </w:r>
          </w:p>
        </w:tc>
        <w:tc>
          <w:tcPr>
            <w:tcW w:w="500" w:type="pct"/>
            <w:tcBorders>
              <w:bottom w:val="nil"/>
            </w:tcBorders>
          </w:tcPr>
          <w:p w14:paraId="47E54534" w14:textId="77777777" w:rsidR="00A61FF5" w:rsidRPr="004B6C01" w:rsidRDefault="00A61FF5" w:rsidP="00980848">
            <w:pPr>
              <w:pStyle w:val="ESTableBody"/>
              <w:jc w:val="right"/>
              <w:rPr>
                <w:lang w:val="en-AU"/>
              </w:rPr>
            </w:pPr>
            <w:r w:rsidRPr="004B6C01">
              <w:rPr>
                <w:lang w:val="en-AU"/>
              </w:rPr>
              <w:t>0.0</w:t>
            </w:r>
          </w:p>
        </w:tc>
        <w:tc>
          <w:tcPr>
            <w:tcW w:w="490" w:type="pct"/>
            <w:tcBorders>
              <w:bottom w:val="nil"/>
            </w:tcBorders>
          </w:tcPr>
          <w:p w14:paraId="419CA9BE"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09A5BFD0" w14:textId="77777777" w:rsidTr="009106B9">
        <w:trPr>
          <w:cantSplit/>
        </w:trPr>
        <w:tc>
          <w:tcPr>
            <w:tcW w:w="5000" w:type="pct"/>
            <w:gridSpan w:val="9"/>
            <w:tcBorders>
              <w:bottom w:val="single" w:sz="4" w:space="0" w:color="auto"/>
            </w:tcBorders>
            <w:shd w:val="clear" w:color="auto" w:fill="auto"/>
          </w:tcPr>
          <w:p w14:paraId="5D8D1D31" w14:textId="77777777" w:rsidR="00A61FF5" w:rsidRPr="004B6C01" w:rsidRDefault="00A61FF5" w:rsidP="00D07480">
            <w:pPr>
              <w:pStyle w:val="ESTableBody"/>
              <w:rPr>
                <w:i/>
                <w:lang w:val="en-AU"/>
              </w:rPr>
            </w:pPr>
            <w:r w:rsidRPr="004B6C01">
              <w:rPr>
                <w:i/>
                <w:lang w:val="en-AU"/>
              </w:rPr>
              <w:t xml:space="preserve">This performance measure relates to the calendar year. </w:t>
            </w:r>
          </w:p>
        </w:tc>
      </w:tr>
      <w:tr w:rsidR="00A61FF5" w:rsidRPr="00932A90" w14:paraId="7115B618" w14:textId="77777777" w:rsidTr="009106B9">
        <w:trPr>
          <w:cantSplit/>
        </w:trPr>
        <w:tc>
          <w:tcPr>
            <w:tcW w:w="5000" w:type="pct"/>
            <w:gridSpan w:val="9"/>
            <w:tcBorders>
              <w:top w:val="single" w:sz="4" w:space="0" w:color="auto"/>
            </w:tcBorders>
            <w:shd w:val="clear" w:color="auto" w:fill="auto"/>
          </w:tcPr>
          <w:p w14:paraId="36BC4E54" w14:textId="77777777" w:rsidR="00A61FF5" w:rsidRPr="004B6C01" w:rsidRDefault="00A61FF5" w:rsidP="009A0BAD">
            <w:pPr>
              <w:pStyle w:val="ESTableheading"/>
              <w:rPr>
                <w:lang w:val="en-AU"/>
              </w:rPr>
            </w:pPr>
            <w:r w:rsidRPr="004B6C01">
              <w:rPr>
                <w:lang w:val="en-AU"/>
              </w:rPr>
              <w:t>Cost</w:t>
            </w:r>
          </w:p>
        </w:tc>
      </w:tr>
      <w:tr w:rsidR="009106B9" w:rsidRPr="00932A90" w14:paraId="418C3677" w14:textId="77777777" w:rsidTr="009106B9">
        <w:trPr>
          <w:cantSplit/>
        </w:trPr>
        <w:tc>
          <w:tcPr>
            <w:tcW w:w="2510" w:type="pct"/>
            <w:gridSpan w:val="3"/>
            <w:shd w:val="clear" w:color="auto" w:fill="auto"/>
          </w:tcPr>
          <w:p w14:paraId="68F79ECB" w14:textId="77777777" w:rsidR="00A61FF5" w:rsidRPr="0053473E" w:rsidRDefault="00A61FF5" w:rsidP="00D07480">
            <w:pPr>
              <w:pStyle w:val="ESTableBody"/>
              <w:rPr>
                <w:lang w:val="en-AU"/>
              </w:rPr>
            </w:pPr>
            <w:r w:rsidRPr="0053473E">
              <w:rPr>
                <w:lang w:val="en-AU"/>
              </w:rPr>
              <w:t>Total output cost</w:t>
            </w:r>
          </w:p>
        </w:tc>
        <w:tc>
          <w:tcPr>
            <w:tcW w:w="500" w:type="pct"/>
            <w:shd w:val="clear" w:color="auto" w:fill="auto"/>
          </w:tcPr>
          <w:p w14:paraId="7E93B71F" w14:textId="77777777" w:rsidR="00A61FF5" w:rsidRPr="0053473E" w:rsidRDefault="00A61FF5" w:rsidP="00D07480">
            <w:pPr>
              <w:pStyle w:val="ESTableBody"/>
              <w:rPr>
                <w:lang w:val="en-AU"/>
              </w:rPr>
            </w:pPr>
            <w:r w:rsidRPr="0053473E">
              <w:rPr>
                <w:lang w:val="en-AU"/>
              </w:rPr>
              <w:t>$ million</w:t>
            </w:r>
          </w:p>
        </w:tc>
        <w:tc>
          <w:tcPr>
            <w:tcW w:w="500" w:type="pct"/>
            <w:shd w:val="clear" w:color="auto" w:fill="auto"/>
          </w:tcPr>
          <w:p w14:paraId="03E51740" w14:textId="48FE45C4" w:rsidR="00A61FF5" w:rsidRPr="0053473E" w:rsidRDefault="0053473E" w:rsidP="0053473E">
            <w:pPr>
              <w:pStyle w:val="ESTableBody"/>
              <w:jc w:val="right"/>
              <w:rPr>
                <w:lang w:val="en-AU"/>
              </w:rPr>
            </w:pPr>
            <w:r>
              <w:rPr>
                <w:lang w:val="en-AU"/>
              </w:rPr>
              <w:t xml:space="preserve">  </w:t>
            </w:r>
            <w:r w:rsidR="00A61FF5" w:rsidRPr="0053473E">
              <w:rPr>
                <w:lang w:val="en-AU"/>
              </w:rPr>
              <w:t>95.7</w:t>
            </w:r>
          </w:p>
        </w:tc>
        <w:tc>
          <w:tcPr>
            <w:tcW w:w="500" w:type="pct"/>
            <w:gridSpan w:val="2"/>
            <w:shd w:val="clear" w:color="auto" w:fill="auto"/>
          </w:tcPr>
          <w:p w14:paraId="06B9B6D0" w14:textId="48530F4F" w:rsidR="00A61FF5" w:rsidRPr="0053473E" w:rsidRDefault="0053473E" w:rsidP="00892AE8">
            <w:pPr>
              <w:pStyle w:val="ESTableBody"/>
              <w:jc w:val="right"/>
              <w:rPr>
                <w:lang w:val="en-AU"/>
              </w:rPr>
            </w:pPr>
            <w:r>
              <w:rPr>
                <w:lang w:val="en-AU"/>
              </w:rPr>
              <w:t>10</w:t>
            </w:r>
            <w:r w:rsidR="00892AE8">
              <w:rPr>
                <w:lang w:val="en-AU"/>
              </w:rPr>
              <w:t>2.3</w:t>
            </w:r>
          </w:p>
        </w:tc>
        <w:tc>
          <w:tcPr>
            <w:tcW w:w="500" w:type="pct"/>
          </w:tcPr>
          <w:p w14:paraId="1DA704C2" w14:textId="35E39DA7" w:rsidR="00A61FF5" w:rsidRPr="0053473E" w:rsidRDefault="00892AE8" w:rsidP="00892AE8">
            <w:pPr>
              <w:pStyle w:val="ESTableBody"/>
              <w:jc w:val="right"/>
              <w:rPr>
                <w:lang w:val="en-AU"/>
              </w:rPr>
            </w:pPr>
            <w:r>
              <w:rPr>
                <w:lang w:val="en-AU"/>
              </w:rPr>
              <w:t>6</w:t>
            </w:r>
            <w:r w:rsidR="0053473E">
              <w:rPr>
                <w:lang w:val="en-AU"/>
              </w:rPr>
              <w:t>.9</w:t>
            </w:r>
          </w:p>
        </w:tc>
        <w:tc>
          <w:tcPr>
            <w:tcW w:w="490" w:type="pct"/>
          </w:tcPr>
          <w:p w14:paraId="2B6E4CFC" w14:textId="77777777" w:rsidR="00A61FF5" w:rsidRPr="0053473E" w:rsidRDefault="00A61FF5" w:rsidP="00A15149">
            <w:pPr>
              <w:pStyle w:val="ESTableBody"/>
              <w:jc w:val="center"/>
              <w:rPr>
                <w:lang w:val="en-AU"/>
              </w:rPr>
            </w:pPr>
            <w:r w:rsidRPr="0053473E">
              <w:rPr>
                <w:lang w:val="en-AU"/>
              </w:rPr>
              <w:sym w:font="Wingdings" w:char="F0FB"/>
            </w:r>
          </w:p>
        </w:tc>
      </w:tr>
      <w:tr w:rsidR="00A61FF5" w:rsidRPr="00932A90" w14:paraId="466E90DE" w14:textId="77777777" w:rsidTr="009106B9">
        <w:trPr>
          <w:cantSplit/>
        </w:trPr>
        <w:tc>
          <w:tcPr>
            <w:tcW w:w="5000" w:type="pct"/>
            <w:gridSpan w:val="9"/>
            <w:tcBorders>
              <w:bottom w:val="single" w:sz="4" w:space="0" w:color="auto"/>
            </w:tcBorders>
            <w:shd w:val="clear" w:color="auto" w:fill="auto"/>
          </w:tcPr>
          <w:p w14:paraId="3B1241AE" w14:textId="18A5DE44" w:rsidR="00A61FF5" w:rsidRPr="004B6C01" w:rsidRDefault="00A61FF5" w:rsidP="00D07480">
            <w:pPr>
              <w:pStyle w:val="ESTableBody"/>
              <w:rPr>
                <w:i/>
                <w:lang w:val="en-AU"/>
              </w:rPr>
            </w:pPr>
            <w:r w:rsidRPr="0053473E">
              <w:rPr>
                <w:i/>
                <w:lang w:val="en-AU"/>
              </w:rPr>
              <w:t>The 2016</w:t>
            </w:r>
            <w:r w:rsidR="00F51FCE">
              <w:rPr>
                <w:i/>
                <w:lang w:val="en-AU"/>
              </w:rPr>
              <w:t>–</w:t>
            </w:r>
            <w:r w:rsidRPr="0053473E">
              <w:rPr>
                <w:i/>
                <w:lang w:val="en-AU"/>
              </w:rPr>
              <w:t xml:space="preserve">17 </w:t>
            </w:r>
            <w:r w:rsidR="0053473E" w:rsidRPr="0053473E">
              <w:rPr>
                <w:i/>
                <w:lang w:val="en-AU"/>
              </w:rPr>
              <w:t>Actual</w:t>
            </w:r>
            <w:r w:rsidRPr="0053473E">
              <w:rPr>
                <w:i/>
                <w:lang w:val="en-AU"/>
              </w:rPr>
              <w:t xml:space="preserve"> is higher than the 2016</w:t>
            </w:r>
            <w:r w:rsidR="00F51FCE">
              <w:rPr>
                <w:i/>
                <w:lang w:val="en-AU"/>
              </w:rPr>
              <w:t>–</w:t>
            </w:r>
            <w:r w:rsidRPr="0053473E">
              <w:rPr>
                <w:i/>
                <w:lang w:val="en-AU"/>
              </w:rPr>
              <w:t xml:space="preserve">17 </w:t>
            </w:r>
            <w:r w:rsidR="0053473E" w:rsidRPr="0053473E">
              <w:rPr>
                <w:i/>
                <w:lang w:val="en-AU"/>
              </w:rPr>
              <w:t>Target</w:t>
            </w:r>
            <w:r w:rsidRPr="0053473E">
              <w:rPr>
                <w:i/>
                <w:lang w:val="en-AU"/>
              </w:rPr>
              <w:t xml:space="preserve"> primarily </w:t>
            </w:r>
            <w:r w:rsidR="0053473E" w:rsidRPr="0053473E">
              <w:rPr>
                <w:i/>
                <w:lang w:val="en-AU"/>
              </w:rPr>
              <w:t>due to</w:t>
            </w:r>
            <w:r w:rsidRPr="0053473E">
              <w:rPr>
                <w:i/>
                <w:lang w:val="en-AU"/>
              </w:rPr>
              <w:t xml:space="preserve"> the implementation of the Department's strategic policy functions and realignment of its operating model to support the </w:t>
            </w:r>
            <w:r w:rsidR="0053473E" w:rsidRPr="0053473E">
              <w:rPr>
                <w:i/>
                <w:lang w:val="en-AU"/>
              </w:rPr>
              <w:t xml:space="preserve">vision of the </w:t>
            </w:r>
            <w:r w:rsidRPr="0053473E">
              <w:rPr>
                <w:i/>
                <w:lang w:val="en-AU"/>
              </w:rPr>
              <w:t>Education State</w:t>
            </w:r>
            <w:r w:rsidR="0053473E" w:rsidRPr="0053473E">
              <w:rPr>
                <w:i/>
                <w:lang w:val="en-AU"/>
              </w:rPr>
              <w:t>.</w:t>
            </w:r>
            <w:r w:rsidRPr="0053473E">
              <w:rPr>
                <w:i/>
                <w:lang w:val="en-AU"/>
              </w:rPr>
              <w:t xml:space="preserve"> The Department </w:t>
            </w:r>
            <w:r w:rsidR="0053473E" w:rsidRPr="0053473E">
              <w:rPr>
                <w:i/>
                <w:lang w:val="en-AU"/>
              </w:rPr>
              <w:t>introduced</w:t>
            </w:r>
            <w:r w:rsidRPr="0053473E">
              <w:rPr>
                <w:i/>
                <w:lang w:val="en-AU"/>
              </w:rPr>
              <w:t xml:space="preserve"> the new operating model both centrally and across regions to ensure </w:t>
            </w:r>
            <w:r w:rsidR="0053473E" w:rsidRPr="0053473E">
              <w:rPr>
                <w:i/>
                <w:lang w:val="en-AU"/>
              </w:rPr>
              <w:t xml:space="preserve">that </w:t>
            </w:r>
            <w:r w:rsidRPr="0053473E">
              <w:rPr>
                <w:i/>
                <w:lang w:val="en-AU"/>
              </w:rPr>
              <w:t xml:space="preserve">the support provided to schools, early childhood services and </w:t>
            </w:r>
            <w:r w:rsidR="0053473E" w:rsidRPr="0053473E">
              <w:rPr>
                <w:i/>
                <w:lang w:val="en-AU"/>
              </w:rPr>
              <w:t xml:space="preserve">the </w:t>
            </w:r>
            <w:r w:rsidRPr="0053473E">
              <w:rPr>
                <w:i/>
                <w:lang w:val="en-AU"/>
              </w:rPr>
              <w:t xml:space="preserve">training sector is coordinated and strengthened. </w:t>
            </w:r>
            <w:r w:rsidR="00F51FCE">
              <w:rPr>
                <w:i/>
                <w:lang w:val="en-AU"/>
              </w:rPr>
              <w:t>In addition, the higher 2016–</w:t>
            </w:r>
            <w:r w:rsidR="0053473E" w:rsidRPr="0053473E">
              <w:rPr>
                <w:i/>
                <w:lang w:val="en-AU"/>
              </w:rPr>
              <w:t>17 Actual reflects the timing of the delivery of programs such as IT systems including licencing and maintenance payments.</w:t>
            </w:r>
          </w:p>
        </w:tc>
      </w:tr>
      <w:tr w:rsidR="009106B9" w:rsidRPr="00932A90" w14:paraId="1D431787" w14:textId="77777777" w:rsidTr="000F3176">
        <w:trPr>
          <w:cantSplit/>
        </w:trPr>
        <w:tc>
          <w:tcPr>
            <w:tcW w:w="385" w:type="pct"/>
            <w:tcBorders>
              <w:top w:val="single" w:sz="4" w:space="0" w:color="auto"/>
              <w:bottom w:val="single" w:sz="4" w:space="0" w:color="auto"/>
            </w:tcBorders>
            <w:shd w:val="clear" w:color="auto" w:fill="auto"/>
          </w:tcPr>
          <w:p w14:paraId="1AB87AA1" w14:textId="77777777" w:rsidR="00A61FF5" w:rsidRPr="004B6C01" w:rsidRDefault="00A61FF5" w:rsidP="00D07480">
            <w:pPr>
              <w:pStyle w:val="ESTableBody"/>
              <w:rPr>
                <w:lang w:val="en-AU"/>
              </w:rPr>
            </w:pPr>
            <w:r w:rsidRPr="004B6C01">
              <w:rPr>
                <w:lang w:val="en-AU"/>
              </w:rPr>
              <w:t>Key:</w:t>
            </w:r>
          </w:p>
        </w:tc>
        <w:tc>
          <w:tcPr>
            <w:tcW w:w="1821" w:type="pct"/>
            <w:tcBorders>
              <w:top w:val="single" w:sz="4" w:space="0" w:color="auto"/>
              <w:bottom w:val="single" w:sz="4" w:space="0" w:color="auto"/>
            </w:tcBorders>
            <w:shd w:val="clear" w:color="auto" w:fill="auto"/>
          </w:tcPr>
          <w:p w14:paraId="32452E22" w14:textId="77777777" w:rsidR="00A61FF5" w:rsidRPr="004B6C01" w:rsidRDefault="00A61FF5" w:rsidP="00D07480">
            <w:pPr>
              <w:pStyle w:val="ESTableBody"/>
              <w:rPr>
                <w:lang w:val="en-AU"/>
              </w:rPr>
            </w:pPr>
            <w:r w:rsidRPr="004B6C01">
              <w:rPr>
                <w:lang w:val="en-AU"/>
              </w:rPr>
              <w:sym w:font="Wingdings" w:char="F0FC"/>
            </w:r>
            <w:r w:rsidRPr="004B6C01">
              <w:rPr>
                <w:lang w:val="en-AU"/>
              </w:rPr>
              <w:t xml:space="preserve"> Target achieved or exceeded</w:t>
            </w:r>
          </w:p>
        </w:tc>
        <w:tc>
          <w:tcPr>
            <w:tcW w:w="1342" w:type="pct"/>
            <w:gridSpan w:val="4"/>
            <w:tcBorders>
              <w:top w:val="single" w:sz="4" w:space="0" w:color="auto"/>
              <w:bottom w:val="single" w:sz="4" w:space="0" w:color="auto"/>
            </w:tcBorders>
            <w:shd w:val="clear" w:color="auto" w:fill="auto"/>
          </w:tcPr>
          <w:p w14:paraId="2307984F" w14:textId="77777777" w:rsidR="00A61FF5" w:rsidRPr="004B6C01" w:rsidRDefault="00A61FF5" w:rsidP="00D07480">
            <w:pPr>
              <w:pStyle w:val="ESTableBody"/>
              <w:rPr>
                <w:lang w:val="en-AU"/>
              </w:rPr>
            </w:pPr>
            <w:r w:rsidRPr="004B6C01">
              <w:rPr>
                <w:lang w:val="en-AU"/>
              </w:rPr>
              <w:sym w:font="Wingdings" w:char="F06E"/>
            </w:r>
            <w:r w:rsidRPr="004B6C01">
              <w:rPr>
                <w:lang w:val="en-AU"/>
              </w:rPr>
              <w:t xml:space="preserve"> Target not achieved—less than 5% variance</w:t>
            </w:r>
          </w:p>
        </w:tc>
        <w:tc>
          <w:tcPr>
            <w:tcW w:w="1452" w:type="pct"/>
            <w:gridSpan w:val="3"/>
            <w:tcBorders>
              <w:top w:val="single" w:sz="4" w:space="0" w:color="auto"/>
              <w:bottom w:val="single" w:sz="4" w:space="0" w:color="auto"/>
            </w:tcBorders>
            <w:shd w:val="clear" w:color="auto" w:fill="auto"/>
          </w:tcPr>
          <w:p w14:paraId="756ACCE3" w14:textId="77777777" w:rsidR="00A61FF5" w:rsidRPr="004B6C01" w:rsidRDefault="00A61FF5" w:rsidP="00D07480">
            <w:pPr>
              <w:pStyle w:val="ESTableBody"/>
              <w:rPr>
                <w:lang w:val="en-AU"/>
              </w:rPr>
            </w:pPr>
            <w:r w:rsidRPr="004B6C01">
              <w:rPr>
                <w:lang w:val="en-AU"/>
              </w:rPr>
              <w:sym w:font="Wingdings" w:char="F0FB"/>
            </w:r>
            <w:r w:rsidRPr="004B6C01">
              <w:rPr>
                <w:lang w:val="en-AU"/>
              </w:rPr>
              <w:t xml:space="preserve"> Target not achieved—more than 5% variance</w:t>
            </w:r>
          </w:p>
        </w:tc>
      </w:tr>
    </w:tbl>
    <w:p w14:paraId="07B0DB59" w14:textId="77777777" w:rsidR="00A61FF5" w:rsidRPr="004B6C01" w:rsidRDefault="00A61FF5" w:rsidP="00A61FF5">
      <w:pPr>
        <w:pStyle w:val="ESHeading3"/>
        <w:rPr>
          <w:lang w:val="en-AU"/>
        </w:rPr>
      </w:pPr>
      <w:r w:rsidRPr="004B6C01">
        <w:rPr>
          <w:lang w:val="en-AU"/>
        </w:rPr>
        <w:t>Early childhood development</w:t>
      </w:r>
    </w:p>
    <w:p w14:paraId="26DBA818" w14:textId="77777777" w:rsidR="00A61FF5" w:rsidRPr="004B6C01" w:rsidRDefault="00A61FF5" w:rsidP="00A61FF5">
      <w:pPr>
        <w:pStyle w:val="ESBodyText"/>
        <w:rPr>
          <w:highlight w:val="yellow"/>
          <w:lang w:val="en-AU"/>
        </w:rPr>
      </w:pPr>
      <w:r w:rsidRPr="004B6C01">
        <w:rPr>
          <w:lang w:val="en-AU"/>
        </w:rPr>
        <w:t>The Early Childhood Development output group provides funding for a range of services that support children in the early years, including kindergarten and children’s services, maternal and child health, and early intervention services for children with a disability. These outputs make a significant contribution to the government’s key outcomes in early childhood services. This group and its outputs contribute towards providing and improving services to support all the Department’s objectives of achievement, engagement, wellbeing and productivity.</w:t>
      </w:r>
    </w:p>
    <w:p w14:paraId="659DBC18" w14:textId="54B781B2" w:rsidR="00A61FF5" w:rsidRPr="004B6C01" w:rsidRDefault="00A61FF5"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8</w:t>
      </w:r>
      <w:r w:rsidR="00D93BA2" w:rsidRPr="004B6C01">
        <w:rPr>
          <w:noProof/>
          <w:lang w:val="en-AU"/>
        </w:rPr>
        <w:fldChar w:fldCharType="end"/>
      </w:r>
      <w:r w:rsidRPr="004B6C01">
        <w:rPr>
          <w:lang w:val="en-AU"/>
        </w:rPr>
        <w:t xml:space="preserve"> – Early childhood development performance measures</w:t>
      </w:r>
    </w:p>
    <w:tbl>
      <w:tblPr>
        <w:tblW w:w="5015" w:type="pct"/>
        <w:tblInd w:w="-3" w:type="dxa"/>
        <w:tblBorders>
          <w:bottom w:val="single" w:sz="4" w:space="0" w:color="auto"/>
        </w:tblBorders>
        <w:tblLayout w:type="fixed"/>
        <w:tblCellMar>
          <w:left w:w="45" w:type="dxa"/>
          <w:right w:w="45" w:type="dxa"/>
        </w:tblCellMar>
        <w:tblLook w:val="0000" w:firstRow="0" w:lastRow="0" w:firstColumn="0" w:lastColumn="0" w:noHBand="0" w:noVBand="0"/>
      </w:tblPr>
      <w:tblGrid>
        <w:gridCol w:w="570"/>
        <w:gridCol w:w="2689"/>
        <w:gridCol w:w="211"/>
        <w:gridCol w:w="776"/>
        <w:gridCol w:w="778"/>
        <w:gridCol w:w="217"/>
        <w:gridCol w:w="561"/>
        <w:gridCol w:w="781"/>
        <w:gridCol w:w="784"/>
        <w:gridCol w:w="19"/>
      </w:tblGrid>
      <w:tr w:rsidR="00C26662" w:rsidRPr="00932A90" w14:paraId="66FFA21A" w14:textId="77777777" w:rsidTr="000F3176">
        <w:trPr>
          <w:gridAfter w:val="1"/>
          <w:wAfter w:w="13" w:type="pct"/>
          <w:cantSplit/>
          <w:tblHeader/>
        </w:trPr>
        <w:tc>
          <w:tcPr>
            <w:tcW w:w="2348" w:type="pct"/>
            <w:gridSpan w:val="3"/>
            <w:tcBorders>
              <w:bottom w:val="nil"/>
            </w:tcBorders>
            <w:shd w:val="clear" w:color="auto" w:fill="7F7F7F" w:themeFill="text1" w:themeFillTint="80"/>
          </w:tcPr>
          <w:p w14:paraId="6F45D901" w14:textId="77777777" w:rsidR="00A61FF5" w:rsidRPr="004B6C01" w:rsidRDefault="00A61FF5" w:rsidP="00D07480">
            <w:pPr>
              <w:pStyle w:val="ESTableheadingwhite75"/>
              <w:rPr>
                <w:lang w:val="en-AU"/>
              </w:rPr>
            </w:pPr>
            <w:r w:rsidRPr="004B6C01">
              <w:rPr>
                <w:lang w:val="en-AU"/>
              </w:rPr>
              <w:t>Performance measures</w:t>
            </w:r>
          </w:p>
        </w:tc>
        <w:tc>
          <w:tcPr>
            <w:tcW w:w="525" w:type="pct"/>
            <w:tcBorders>
              <w:bottom w:val="nil"/>
            </w:tcBorders>
            <w:shd w:val="clear" w:color="auto" w:fill="7F7F7F" w:themeFill="text1" w:themeFillTint="80"/>
          </w:tcPr>
          <w:p w14:paraId="65A2F7F8" w14:textId="77777777" w:rsidR="00A61FF5" w:rsidRPr="004B6C01" w:rsidRDefault="00A61FF5" w:rsidP="00D07480">
            <w:pPr>
              <w:pStyle w:val="ESTableheadingwhite75"/>
              <w:rPr>
                <w:lang w:val="en-AU"/>
              </w:rPr>
            </w:pPr>
            <w:r w:rsidRPr="004B6C01">
              <w:rPr>
                <w:lang w:val="en-AU"/>
              </w:rPr>
              <w:t>Unit of measure</w:t>
            </w:r>
          </w:p>
        </w:tc>
        <w:tc>
          <w:tcPr>
            <w:tcW w:w="527" w:type="pct"/>
            <w:tcBorders>
              <w:bottom w:val="nil"/>
            </w:tcBorders>
            <w:shd w:val="clear" w:color="auto" w:fill="7F7F7F" w:themeFill="text1" w:themeFillTint="80"/>
          </w:tcPr>
          <w:p w14:paraId="380FC1A2" w14:textId="77777777" w:rsidR="00A61FF5" w:rsidRPr="004B6C01" w:rsidRDefault="00A61FF5" w:rsidP="00D07480">
            <w:pPr>
              <w:pStyle w:val="ESTableheadingwhite75"/>
              <w:rPr>
                <w:lang w:val="en-AU"/>
              </w:rPr>
            </w:pPr>
            <w:r w:rsidRPr="004B6C01">
              <w:rPr>
                <w:lang w:val="en-AU"/>
              </w:rPr>
              <w:t>2016–17 Target</w:t>
            </w:r>
          </w:p>
        </w:tc>
        <w:tc>
          <w:tcPr>
            <w:tcW w:w="527" w:type="pct"/>
            <w:gridSpan w:val="2"/>
            <w:tcBorders>
              <w:bottom w:val="nil"/>
            </w:tcBorders>
            <w:shd w:val="clear" w:color="auto" w:fill="7F7F7F" w:themeFill="text1" w:themeFillTint="80"/>
          </w:tcPr>
          <w:p w14:paraId="4F8423D7" w14:textId="77777777" w:rsidR="00A61FF5" w:rsidRPr="004B6C01" w:rsidRDefault="00A61FF5" w:rsidP="00D07480">
            <w:pPr>
              <w:pStyle w:val="ESTableheadingwhite75"/>
              <w:rPr>
                <w:lang w:val="en-AU"/>
              </w:rPr>
            </w:pPr>
            <w:r w:rsidRPr="004B6C01">
              <w:rPr>
                <w:lang w:val="en-AU"/>
              </w:rPr>
              <w:t>2016–17 Actual</w:t>
            </w:r>
          </w:p>
        </w:tc>
        <w:tc>
          <w:tcPr>
            <w:tcW w:w="529" w:type="pct"/>
            <w:tcBorders>
              <w:bottom w:val="nil"/>
            </w:tcBorders>
            <w:shd w:val="clear" w:color="auto" w:fill="7F7F7F" w:themeFill="text1" w:themeFillTint="80"/>
          </w:tcPr>
          <w:p w14:paraId="1B5FCD98" w14:textId="77777777" w:rsidR="00A61FF5" w:rsidRPr="004B6C01" w:rsidRDefault="00A61FF5" w:rsidP="00D07480">
            <w:pPr>
              <w:pStyle w:val="ESTableheadingwhite75"/>
              <w:rPr>
                <w:lang w:val="en-AU"/>
              </w:rPr>
            </w:pPr>
            <w:r w:rsidRPr="004B6C01">
              <w:rPr>
                <w:lang w:val="en-AU"/>
              </w:rPr>
              <w:t>Per cent variation</w:t>
            </w:r>
          </w:p>
        </w:tc>
        <w:tc>
          <w:tcPr>
            <w:tcW w:w="531" w:type="pct"/>
            <w:tcBorders>
              <w:bottom w:val="nil"/>
            </w:tcBorders>
            <w:shd w:val="clear" w:color="auto" w:fill="7F7F7F" w:themeFill="text1" w:themeFillTint="80"/>
          </w:tcPr>
          <w:p w14:paraId="455EF591" w14:textId="77777777" w:rsidR="00A61FF5" w:rsidRPr="004B6C01" w:rsidRDefault="00A61FF5" w:rsidP="00D07480">
            <w:pPr>
              <w:pStyle w:val="ESTableheadingwhite75"/>
              <w:rPr>
                <w:lang w:val="en-AU"/>
              </w:rPr>
            </w:pPr>
            <w:r w:rsidRPr="004B6C01">
              <w:rPr>
                <w:lang w:val="en-AU"/>
              </w:rPr>
              <w:t>Result</w:t>
            </w:r>
          </w:p>
        </w:tc>
      </w:tr>
      <w:tr w:rsidR="00A61FF5" w:rsidRPr="00932A90" w14:paraId="6594E325" w14:textId="77777777" w:rsidTr="000F3176">
        <w:trPr>
          <w:gridAfter w:val="1"/>
          <w:wAfter w:w="13" w:type="pct"/>
          <w:cantSplit/>
        </w:trPr>
        <w:tc>
          <w:tcPr>
            <w:tcW w:w="4987" w:type="pct"/>
            <w:gridSpan w:val="9"/>
            <w:shd w:val="clear" w:color="auto" w:fill="auto"/>
          </w:tcPr>
          <w:p w14:paraId="77FAA4E5" w14:textId="77777777" w:rsidR="00A61FF5" w:rsidRPr="004B6C01" w:rsidRDefault="00A61FF5" w:rsidP="009A0BAD">
            <w:pPr>
              <w:pStyle w:val="ESTableheading"/>
              <w:rPr>
                <w:lang w:val="en-AU"/>
              </w:rPr>
            </w:pPr>
            <w:r w:rsidRPr="004B6C01">
              <w:rPr>
                <w:lang w:val="en-AU"/>
              </w:rPr>
              <w:t>Quantity</w:t>
            </w:r>
          </w:p>
        </w:tc>
      </w:tr>
      <w:tr w:rsidR="00C26662" w:rsidRPr="00932A90" w14:paraId="0D3C79F0" w14:textId="77777777" w:rsidTr="000F3176">
        <w:trPr>
          <w:gridAfter w:val="1"/>
          <w:wAfter w:w="13" w:type="pct"/>
          <w:cantSplit/>
        </w:trPr>
        <w:tc>
          <w:tcPr>
            <w:tcW w:w="2348" w:type="pct"/>
            <w:gridSpan w:val="3"/>
            <w:shd w:val="clear" w:color="auto" w:fill="auto"/>
          </w:tcPr>
          <w:p w14:paraId="1BDAE952" w14:textId="77777777" w:rsidR="00A61FF5" w:rsidRPr="004B6C01" w:rsidRDefault="00A61FF5" w:rsidP="00D07480">
            <w:pPr>
              <w:pStyle w:val="ESTableBody"/>
              <w:rPr>
                <w:lang w:val="en-AU"/>
              </w:rPr>
            </w:pPr>
            <w:r w:rsidRPr="004B6C01">
              <w:rPr>
                <w:lang w:val="en-AU"/>
              </w:rPr>
              <w:t>Children funded to participate in kindergarten</w:t>
            </w:r>
          </w:p>
        </w:tc>
        <w:tc>
          <w:tcPr>
            <w:tcW w:w="525" w:type="pct"/>
            <w:shd w:val="clear" w:color="auto" w:fill="auto"/>
          </w:tcPr>
          <w:p w14:paraId="3835B154" w14:textId="77777777" w:rsidR="00A61FF5" w:rsidRPr="004B6C01" w:rsidRDefault="00A61FF5" w:rsidP="00D07480">
            <w:pPr>
              <w:pStyle w:val="ESTableBody"/>
              <w:rPr>
                <w:lang w:val="en-AU"/>
              </w:rPr>
            </w:pPr>
            <w:r w:rsidRPr="004B6C01">
              <w:rPr>
                <w:lang w:val="en-AU"/>
              </w:rPr>
              <w:t>number</w:t>
            </w:r>
          </w:p>
        </w:tc>
        <w:tc>
          <w:tcPr>
            <w:tcW w:w="527" w:type="pct"/>
            <w:shd w:val="clear" w:color="auto" w:fill="auto"/>
          </w:tcPr>
          <w:p w14:paraId="7EE0A260" w14:textId="77777777" w:rsidR="00A61FF5" w:rsidRPr="004B6C01" w:rsidRDefault="00A61FF5" w:rsidP="0053473E">
            <w:pPr>
              <w:pStyle w:val="ESTableBody"/>
              <w:jc w:val="right"/>
              <w:rPr>
                <w:lang w:val="en-AU"/>
              </w:rPr>
            </w:pPr>
            <w:r w:rsidRPr="004B6C01">
              <w:rPr>
                <w:lang w:val="en-AU"/>
              </w:rPr>
              <w:t>74,250</w:t>
            </w:r>
          </w:p>
        </w:tc>
        <w:tc>
          <w:tcPr>
            <w:tcW w:w="527" w:type="pct"/>
            <w:gridSpan w:val="2"/>
            <w:shd w:val="clear" w:color="auto" w:fill="auto"/>
          </w:tcPr>
          <w:p w14:paraId="0AC24C4B" w14:textId="77777777" w:rsidR="00A61FF5" w:rsidRPr="004B6C01" w:rsidRDefault="00A61FF5" w:rsidP="0053473E">
            <w:pPr>
              <w:pStyle w:val="ESTableBody"/>
              <w:jc w:val="right"/>
              <w:rPr>
                <w:lang w:val="en-AU"/>
              </w:rPr>
            </w:pPr>
            <w:r w:rsidRPr="004B6C01">
              <w:rPr>
                <w:lang w:val="en-AU"/>
              </w:rPr>
              <w:t>76,265</w:t>
            </w:r>
          </w:p>
        </w:tc>
        <w:tc>
          <w:tcPr>
            <w:tcW w:w="529" w:type="pct"/>
          </w:tcPr>
          <w:p w14:paraId="5AF57FD5" w14:textId="77777777" w:rsidR="00A61FF5" w:rsidRPr="004B6C01" w:rsidRDefault="00A61FF5" w:rsidP="0053473E">
            <w:pPr>
              <w:pStyle w:val="ESTableBody"/>
              <w:jc w:val="right"/>
              <w:rPr>
                <w:lang w:val="en-AU"/>
              </w:rPr>
            </w:pPr>
            <w:r w:rsidRPr="004B6C01">
              <w:rPr>
                <w:lang w:val="en-AU"/>
              </w:rPr>
              <w:t>2.7</w:t>
            </w:r>
          </w:p>
        </w:tc>
        <w:tc>
          <w:tcPr>
            <w:tcW w:w="531" w:type="pct"/>
          </w:tcPr>
          <w:p w14:paraId="1735FD20" w14:textId="77777777" w:rsidR="00A61FF5" w:rsidRPr="004B6C01" w:rsidRDefault="00A61FF5" w:rsidP="0053473E">
            <w:pPr>
              <w:pStyle w:val="ESTableBody"/>
              <w:jc w:val="right"/>
              <w:rPr>
                <w:lang w:val="en-AU"/>
              </w:rPr>
            </w:pPr>
            <w:r w:rsidRPr="004B6C01">
              <w:rPr>
                <w:lang w:val="en-AU"/>
              </w:rPr>
              <w:sym w:font="Wingdings" w:char="F0FC"/>
            </w:r>
          </w:p>
        </w:tc>
      </w:tr>
      <w:tr w:rsidR="00A61FF5" w:rsidRPr="00932A90" w14:paraId="05F9ED45" w14:textId="77777777" w:rsidTr="000F3176">
        <w:trPr>
          <w:gridAfter w:val="1"/>
          <w:wAfter w:w="13" w:type="pct"/>
          <w:cantSplit/>
        </w:trPr>
        <w:tc>
          <w:tcPr>
            <w:tcW w:w="4987" w:type="pct"/>
            <w:gridSpan w:val="9"/>
            <w:shd w:val="clear" w:color="auto" w:fill="auto"/>
          </w:tcPr>
          <w:p w14:paraId="641EA056" w14:textId="77777777" w:rsidR="00A61FF5" w:rsidRPr="004B6C01" w:rsidRDefault="00A61FF5" w:rsidP="00D07480">
            <w:pPr>
              <w:pStyle w:val="ESTableBody"/>
              <w:rPr>
                <w:i/>
                <w:iCs/>
                <w:lang w:val="en-AU"/>
              </w:rPr>
            </w:pPr>
            <w:r w:rsidRPr="004B6C01">
              <w:rPr>
                <w:i/>
                <w:iCs/>
                <w:lang w:val="en-AU"/>
              </w:rPr>
              <w:t>This performance measure relates to the 2016 calendar year. This performance measure includes first and second year kindergarten participants.</w:t>
            </w:r>
          </w:p>
        </w:tc>
      </w:tr>
      <w:tr w:rsidR="00C26662" w:rsidRPr="00932A90" w14:paraId="2F62B285" w14:textId="77777777" w:rsidTr="000F3176">
        <w:trPr>
          <w:gridAfter w:val="1"/>
          <w:wAfter w:w="13" w:type="pct"/>
          <w:cantSplit/>
        </w:trPr>
        <w:tc>
          <w:tcPr>
            <w:tcW w:w="2348" w:type="pct"/>
            <w:gridSpan w:val="3"/>
            <w:shd w:val="clear" w:color="auto" w:fill="auto"/>
          </w:tcPr>
          <w:p w14:paraId="6010245D" w14:textId="77777777" w:rsidR="00A61FF5" w:rsidRPr="004B6C01" w:rsidRDefault="00A61FF5" w:rsidP="00D07480">
            <w:pPr>
              <w:pStyle w:val="ESTableBody"/>
              <w:rPr>
                <w:lang w:val="en-AU"/>
              </w:rPr>
            </w:pPr>
            <w:r w:rsidRPr="004B6C01">
              <w:rPr>
                <w:lang w:val="en-AU"/>
              </w:rPr>
              <w:t>Kindergarten participation rate</w:t>
            </w:r>
          </w:p>
        </w:tc>
        <w:tc>
          <w:tcPr>
            <w:tcW w:w="525" w:type="pct"/>
            <w:shd w:val="clear" w:color="auto" w:fill="auto"/>
          </w:tcPr>
          <w:p w14:paraId="664FFBBE" w14:textId="77777777" w:rsidR="00A61FF5" w:rsidRPr="004B6C01" w:rsidRDefault="00A61FF5" w:rsidP="00D07480">
            <w:pPr>
              <w:pStyle w:val="ESTableBody"/>
              <w:rPr>
                <w:lang w:val="en-AU"/>
              </w:rPr>
            </w:pPr>
            <w:r w:rsidRPr="004B6C01">
              <w:rPr>
                <w:lang w:val="en-AU"/>
              </w:rPr>
              <w:t>per cent</w:t>
            </w:r>
          </w:p>
        </w:tc>
        <w:tc>
          <w:tcPr>
            <w:tcW w:w="527" w:type="pct"/>
            <w:shd w:val="clear" w:color="auto" w:fill="auto"/>
          </w:tcPr>
          <w:p w14:paraId="2579A0CF" w14:textId="77777777" w:rsidR="00A61FF5" w:rsidRPr="004B6C01" w:rsidRDefault="00A61FF5" w:rsidP="00980848">
            <w:pPr>
              <w:pStyle w:val="ESTableBody"/>
              <w:jc w:val="right"/>
              <w:rPr>
                <w:lang w:val="en-AU"/>
              </w:rPr>
            </w:pPr>
            <w:r w:rsidRPr="004B6C01">
              <w:rPr>
                <w:lang w:val="en-AU"/>
              </w:rPr>
              <w:t>96.0</w:t>
            </w:r>
          </w:p>
        </w:tc>
        <w:tc>
          <w:tcPr>
            <w:tcW w:w="527" w:type="pct"/>
            <w:gridSpan w:val="2"/>
            <w:shd w:val="clear" w:color="auto" w:fill="auto"/>
          </w:tcPr>
          <w:p w14:paraId="461AF78C" w14:textId="77777777" w:rsidR="00A61FF5" w:rsidRPr="004B6C01" w:rsidRDefault="00A61FF5" w:rsidP="00980848">
            <w:pPr>
              <w:pStyle w:val="ESTableBody"/>
              <w:jc w:val="right"/>
              <w:rPr>
                <w:lang w:val="en-AU"/>
              </w:rPr>
            </w:pPr>
            <w:r w:rsidRPr="004B6C01">
              <w:rPr>
                <w:lang w:val="en-AU"/>
              </w:rPr>
              <w:t>96.2</w:t>
            </w:r>
          </w:p>
        </w:tc>
        <w:tc>
          <w:tcPr>
            <w:tcW w:w="529" w:type="pct"/>
          </w:tcPr>
          <w:p w14:paraId="1397813E" w14:textId="77777777" w:rsidR="00A61FF5" w:rsidRPr="004B6C01" w:rsidRDefault="00A61FF5" w:rsidP="00980848">
            <w:pPr>
              <w:pStyle w:val="ESTableBody"/>
              <w:jc w:val="right"/>
              <w:rPr>
                <w:lang w:val="en-AU"/>
              </w:rPr>
            </w:pPr>
            <w:r w:rsidRPr="004B6C01">
              <w:rPr>
                <w:lang w:val="en-AU"/>
              </w:rPr>
              <w:t>0.2</w:t>
            </w:r>
          </w:p>
        </w:tc>
        <w:tc>
          <w:tcPr>
            <w:tcW w:w="531" w:type="pct"/>
          </w:tcPr>
          <w:p w14:paraId="3645D0A9"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327F469F" w14:textId="77777777" w:rsidTr="000F3176">
        <w:trPr>
          <w:gridAfter w:val="1"/>
          <w:wAfter w:w="13" w:type="pct"/>
          <w:cantSplit/>
        </w:trPr>
        <w:tc>
          <w:tcPr>
            <w:tcW w:w="4987" w:type="pct"/>
            <w:gridSpan w:val="9"/>
            <w:shd w:val="clear" w:color="auto" w:fill="auto"/>
          </w:tcPr>
          <w:p w14:paraId="78676AF6" w14:textId="77777777" w:rsidR="00A61FF5" w:rsidRPr="004B6C01" w:rsidRDefault="00A61FF5" w:rsidP="00D07480">
            <w:pPr>
              <w:pStyle w:val="ESTableBody"/>
              <w:rPr>
                <w:i/>
                <w:lang w:val="en-AU"/>
              </w:rPr>
            </w:pPr>
            <w:r w:rsidRPr="004B6C01">
              <w:rPr>
                <w:i/>
                <w:lang w:val="en-AU"/>
              </w:rPr>
              <w:t>This performance measure relates to the 2016 calendar year, and excludes children who participate in a second year of the four-year-old kindergarten program. In 2016, an improved methodology was developed for estimating the kindergarten participation rate to more accurately reflect the actual age distribution of children enrolled in kindergarten and to align with school/kindergarten entry age.</w:t>
            </w:r>
          </w:p>
        </w:tc>
      </w:tr>
      <w:tr w:rsidR="00C26662" w:rsidRPr="00932A90" w14:paraId="4AA9832B" w14:textId="77777777" w:rsidTr="000F3176">
        <w:trPr>
          <w:gridAfter w:val="1"/>
          <w:wAfter w:w="13" w:type="pct"/>
          <w:cantSplit/>
        </w:trPr>
        <w:tc>
          <w:tcPr>
            <w:tcW w:w="2348" w:type="pct"/>
            <w:gridSpan w:val="3"/>
            <w:shd w:val="clear" w:color="auto" w:fill="auto"/>
          </w:tcPr>
          <w:p w14:paraId="57C500ED" w14:textId="77777777" w:rsidR="00A61FF5" w:rsidRPr="004B6C01" w:rsidRDefault="00A61FF5" w:rsidP="00D07480">
            <w:pPr>
              <w:pStyle w:val="ESTableBody"/>
              <w:rPr>
                <w:lang w:val="en-AU"/>
              </w:rPr>
            </w:pPr>
            <w:r w:rsidRPr="004B6C01">
              <w:rPr>
                <w:lang w:val="en-AU"/>
              </w:rPr>
              <w:t>Maternal and child health clients with children aged 0–1 year receiving additional support through enhanced Maternal and Child Health Services</w:t>
            </w:r>
          </w:p>
        </w:tc>
        <w:tc>
          <w:tcPr>
            <w:tcW w:w="525" w:type="pct"/>
            <w:shd w:val="clear" w:color="auto" w:fill="auto"/>
          </w:tcPr>
          <w:p w14:paraId="3BC162A8" w14:textId="77777777" w:rsidR="00A61FF5" w:rsidRPr="004B6C01" w:rsidRDefault="00A61FF5" w:rsidP="00D07480">
            <w:pPr>
              <w:pStyle w:val="ESTableBody"/>
              <w:rPr>
                <w:lang w:val="en-AU"/>
              </w:rPr>
            </w:pPr>
            <w:r w:rsidRPr="004B6C01">
              <w:rPr>
                <w:lang w:val="en-AU"/>
              </w:rPr>
              <w:t>per cent</w:t>
            </w:r>
          </w:p>
        </w:tc>
        <w:tc>
          <w:tcPr>
            <w:tcW w:w="527" w:type="pct"/>
            <w:shd w:val="clear" w:color="auto" w:fill="auto"/>
          </w:tcPr>
          <w:p w14:paraId="04F2A9B7" w14:textId="77777777" w:rsidR="00A61FF5" w:rsidRPr="004B6C01" w:rsidRDefault="00A61FF5" w:rsidP="00980848">
            <w:pPr>
              <w:pStyle w:val="ESTableBody"/>
              <w:jc w:val="right"/>
              <w:rPr>
                <w:lang w:val="en-AU"/>
              </w:rPr>
            </w:pPr>
            <w:r w:rsidRPr="004B6C01">
              <w:rPr>
                <w:lang w:val="en-AU"/>
              </w:rPr>
              <w:t>10</w:t>
            </w:r>
          </w:p>
        </w:tc>
        <w:tc>
          <w:tcPr>
            <w:tcW w:w="527" w:type="pct"/>
            <w:gridSpan w:val="2"/>
            <w:shd w:val="clear" w:color="auto" w:fill="auto"/>
          </w:tcPr>
          <w:p w14:paraId="6C658D6C" w14:textId="77777777" w:rsidR="00A61FF5" w:rsidRPr="004B6C01" w:rsidRDefault="00A61FF5" w:rsidP="00980848">
            <w:pPr>
              <w:pStyle w:val="ESTableBody"/>
              <w:jc w:val="right"/>
              <w:rPr>
                <w:lang w:val="en-AU"/>
              </w:rPr>
            </w:pPr>
            <w:r w:rsidRPr="004B6C01">
              <w:rPr>
                <w:lang w:val="en-AU"/>
              </w:rPr>
              <w:t>15.2</w:t>
            </w:r>
          </w:p>
        </w:tc>
        <w:tc>
          <w:tcPr>
            <w:tcW w:w="529" w:type="pct"/>
          </w:tcPr>
          <w:p w14:paraId="0EEF4E11" w14:textId="77777777" w:rsidR="00A61FF5" w:rsidRPr="004B6C01" w:rsidRDefault="00A61FF5" w:rsidP="00980848">
            <w:pPr>
              <w:pStyle w:val="ESTableBody"/>
              <w:jc w:val="right"/>
              <w:rPr>
                <w:lang w:val="en-AU"/>
              </w:rPr>
            </w:pPr>
            <w:r w:rsidRPr="004B6C01">
              <w:rPr>
                <w:lang w:val="en-AU"/>
              </w:rPr>
              <w:t>52.0</w:t>
            </w:r>
          </w:p>
        </w:tc>
        <w:tc>
          <w:tcPr>
            <w:tcW w:w="531" w:type="pct"/>
          </w:tcPr>
          <w:p w14:paraId="0D928FF6"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67D6BCFE" w14:textId="77777777" w:rsidTr="000F3176">
        <w:trPr>
          <w:gridAfter w:val="1"/>
          <w:wAfter w:w="13" w:type="pct"/>
          <w:cantSplit/>
        </w:trPr>
        <w:tc>
          <w:tcPr>
            <w:tcW w:w="4987" w:type="pct"/>
            <w:gridSpan w:val="9"/>
            <w:shd w:val="clear" w:color="auto" w:fill="auto"/>
          </w:tcPr>
          <w:p w14:paraId="6419E84D" w14:textId="77777777" w:rsidR="00A61FF5" w:rsidRPr="004B6C01" w:rsidRDefault="00A61FF5" w:rsidP="00D07480">
            <w:pPr>
              <w:pStyle w:val="ESTableBody"/>
              <w:rPr>
                <w:i/>
                <w:lang w:val="en-AU"/>
              </w:rPr>
            </w:pPr>
            <w:r w:rsidRPr="004B6C01">
              <w:rPr>
                <w:i/>
                <w:lang w:val="en-AU"/>
              </w:rPr>
              <w:t>The final result is currently not available due to timing of the data collection. The result provided under the 2016–17 actual is the expected outcome published in the 2017–18 Budget Paper No.3.</w:t>
            </w:r>
          </w:p>
          <w:p w14:paraId="50F1D073" w14:textId="733D654F" w:rsidR="00A61FF5" w:rsidRPr="004B6C01" w:rsidRDefault="00A61FF5" w:rsidP="00D07480">
            <w:pPr>
              <w:pStyle w:val="ESTableBody"/>
              <w:rPr>
                <w:lang w:val="en-AU"/>
              </w:rPr>
            </w:pPr>
            <w:r w:rsidRPr="004B6C01">
              <w:rPr>
                <w:i/>
                <w:lang w:val="en-AU"/>
              </w:rPr>
              <w:t>The 2016–17 expected outcome is higher than the 2016–17 target due to municipal councils providing services to families with a child aged 0–1 year beyond the 10 per cent target cohort.</w:t>
            </w:r>
            <w:r w:rsidR="00366F71" w:rsidRPr="004B6C01">
              <w:rPr>
                <w:lang w:val="en-AU"/>
              </w:rPr>
              <w:t xml:space="preserve"> </w:t>
            </w:r>
          </w:p>
        </w:tc>
      </w:tr>
      <w:tr w:rsidR="00C26662" w:rsidRPr="00932A90" w14:paraId="2208AF45" w14:textId="77777777" w:rsidTr="000F3176">
        <w:trPr>
          <w:gridAfter w:val="1"/>
          <w:wAfter w:w="13" w:type="pct"/>
          <w:cantSplit/>
        </w:trPr>
        <w:tc>
          <w:tcPr>
            <w:tcW w:w="2348" w:type="pct"/>
            <w:gridSpan w:val="3"/>
            <w:shd w:val="clear" w:color="auto" w:fill="auto"/>
          </w:tcPr>
          <w:p w14:paraId="341D47B9" w14:textId="77777777" w:rsidR="00A61FF5" w:rsidRPr="004B6C01" w:rsidRDefault="00A61FF5" w:rsidP="00D07480">
            <w:pPr>
              <w:pStyle w:val="ESTableBody"/>
              <w:rPr>
                <w:lang w:val="en-AU"/>
              </w:rPr>
            </w:pPr>
            <w:r w:rsidRPr="004B6C01">
              <w:rPr>
                <w:lang w:val="en-AU"/>
              </w:rPr>
              <w:t>Total number of Maternal and Child Health Service clients (aged 0–1 year)</w:t>
            </w:r>
          </w:p>
        </w:tc>
        <w:tc>
          <w:tcPr>
            <w:tcW w:w="525" w:type="pct"/>
            <w:shd w:val="clear" w:color="auto" w:fill="auto"/>
          </w:tcPr>
          <w:p w14:paraId="625549D0" w14:textId="77777777" w:rsidR="00A61FF5" w:rsidRPr="004B6C01" w:rsidRDefault="00A61FF5" w:rsidP="00D07480">
            <w:pPr>
              <w:pStyle w:val="ESTableBody"/>
              <w:rPr>
                <w:lang w:val="en-AU"/>
              </w:rPr>
            </w:pPr>
            <w:r w:rsidRPr="004B6C01">
              <w:rPr>
                <w:lang w:val="en-AU"/>
              </w:rPr>
              <w:t>number</w:t>
            </w:r>
          </w:p>
        </w:tc>
        <w:tc>
          <w:tcPr>
            <w:tcW w:w="527" w:type="pct"/>
            <w:shd w:val="clear" w:color="auto" w:fill="auto"/>
          </w:tcPr>
          <w:p w14:paraId="7CFDA6F2" w14:textId="77777777" w:rsidR="00A61FF5" w:rsidRPr="004B6C01" w:rsidRDefault="00A61FF5" w:rsidP="00980848">
            <w:pPr>
              <w:pStyle w:val="ESTableBody"/>
              <w:jc w:val="right"/>
              <w:rPr>
                <w:lang w:val="en-AU"/>
              </w:rPr>
            </w:pPr>
            <w:r w:rsidRPr="004B6C01">
              <w:rPr>
                <w:lang w:val="en-AU"/>
              </w:rPr>
              <w:t>75,000</w:t>
            </w:r>
          </w:p>
        </w:tc>
        <w:tc>
          <w:tcPr>
            <w:tcW w:w="527" w:type="pct"/>
            <w:gridSpan w:val="2"/>
            <w:shd w:val="clear" w:color="auto" w:fill="auto"/>
          </w:tcPr>
          <w:p w14:paraId="29FA91D1" w14:textId="77777777" w:rsidR="00A61FF5" w:rsidRPr="004B6C01" w:rsidRDefault="00A61FF5" w:rsidP="00980848">
            <w:pPr>
              <w:pStyle w:val="ESTableBody"/>
              <w:jc w:val="right"/>
              <w:rPr>
                <w:lang w:val="en-AU"/>
              </w:rPr>
            </w:pPr>
            <w:r w:rsidRPr="004B6C01">
              <w:rPr>
                <w:lang w:val="en-AU"/>
              </w:rPr>
              <w:t>78,955</w:t>
            </w:r>
          </w:p>
        </w:tc>
        <w:tc>
          <w:tcPr>
            <w:tcW w:w="529" w:type="pct"/>
          </w:tcPr>
          <w:p w14:paraId="0CB8DB2A" w14:textId="77777777" w:rsidR="00A61FF5" w:rsidRPr="004B6C01" w:rsidRDefault="00A61FF5" w:rsidP="00980848">
            <w:pPr>
              <w:pStyle w:val="ESTableBody"/>
              <w:jc w:val="right"/>
              <w:rPr>
                <w:lang w:val="en-AU"/>
              </w:rPr>
            </w:pPr>
            <w:r w:rsidRPr="004B6C01">
              <w:rPr>
                <w:lang w:val="en-AU"/>
              </w:rPr>
              <w:t>5.3</w:t>
            </w:r>
          </w:p>
        </w:tc>
        <w:tc>
          <w:tcPr>
            <w:tcW w:w="531" w:type="pct"/>
          </w:tcPr>
          <w:p w14:paraId="2ABCA4BD"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09ACEF78" w14:textId="77777777" w:rsidTr="000F3176">
        <w:trPr>
          <w:gridAfter w:val="1"/>
          <w:wAfter w:w="13" w:type="pct"/>
          <w:cantSplit/>
        </w:trPr>
        <w:tc>
          <w:tcPr>
            <w:tcW w:w="4987" w:type="pct"/>
            <w:gridSpan w:val="9"/>
            <w:shd w:val="clear" w:color="auto" w:fill="auto"/>
          </w:tcPr>
          <w:p w14:paraId="42389DEB" w14:textId="77777777" w:rsidR="00A61FF5" w:rsidRPr="004B6C01" w:rsidRDefault="00A61FF5" w:rsidP="00D07480">
            <w:pPr>
              <w:pStyle w:val="ESTableBody"/>
              <w:rPr>
                <w:i/>
                <w:lang w:val="en-AU"/>
              </w:rPr>
            </w:pPr>
            <w:r w:rsidRPr="004B6C01">
              <w:rPr>
                <w:i/>
                <w:lang w:val="en-AU"/>
              </w:rPr>
              <w:t>The final result is currently not available due to timing of the data collection. The result provided under the 2016–17 actual is the expected outcome published in the 2017–18 Budget Paper No.3.</w:t>
            </w:r>
          </w:p>
          <w:p w14:paraId="110F0E86" w14:textId="2C490511" w:rsidR="00A61FF5" w:rsidRPr="004B6C01" w:rsidRDefault="00A61FF5" w:rsidP="00D07480">
            <w:pPr>
              <w:pStyle w:val="ESTableBody"/>
              <w:rPr>
                <w:lang w:val="en-AU"/>
              </w:rPr>
            </w:pPr>
            <w:r w:rsidRPr="004B6C01">
              <w:rPr>
                <w:i/>
                <w:lang w:val="en-AU"/>
              </w:rPr>
              <w:t>The 2016–17 expected outcome is higher than the 2016–17 target due to data anomalies associated with the introduction of a new Maternal and Child Health IT system</w:t>
            </w:r>
            <w:r w:rsidR="0035028F">
              <w:rPr>
                <w:i/>
                <w:lang w:val="en-AU"/>
              </w:rPr>
              <w:t xml:space="preserve"> by local governments</w:t>
            </w:r>
            <w:r w:rsidRPr="004B6C01">
              <w:rPr>
                <w:i/>
                <w:lang w:val="en-AU"/>
              </w:rPr>
              <w:t>.</w:t>
            </w:r>
          </w:p>
        </w:tc>
      </w:tr>
      <w:tr w:rsidR="00C26662" w:rsidRPr="00932A90" w14:paraId="34D1C7ED" w14:textId="77777777" w:rsidTr="000F3176">
        <w:trPr>
          <w:gridAfter w:val="1"/>
          <w:wAfter w:w="13" w:type="pct"/>
          <w:cantSplit/>
        </w:trPr>
        <w:tc>
          <w:tcPr>
            <w:tcW w:w="2348" w:type="pct"/>
            <w:gridSpan w:val="3"/>
            <w:shd w:val="clear" w:color="auto" w:fill="auto"/>
          </w:tcPr>
          <w:p w14:paraId="4A6B7854" w14:textId="77777777" w:rsidR="00A61FF5" w:rsidRPr="004B6C01" w:rsidRDefault="00A61FF5" w:rsidP="00D07480">
            <w:pPr>
              <w:pStyle w:val="ESTableBody"/>
              <w:rPr>
                <w:lang w:val="en-AU"/>
              </w:rPr>
            </w:pPr>
            <w:r w:rsidRPr="004B6C01">
              <w:rPr>
                <w:lang w:val="en-AU"/>
              </w:rPr>
              <w:t>Total number of children receiving Early Childhood Intervention Services</w:t>
            </w:r>
          </w:p>
        </w:tc>
        <w:tc>
          <w:tcPr>
            <w:tcW w:w="525" w:type="pct"/>
            <w:shd w:val="clear" w:color="auto" w:fill="auto"/>
          </w:tcPr>
          <w:p w14:paraId="17F40F07" w14:textId="77777777" w:rsidR="00A61FF5" w:rsidRPr="004B6C01" w:rsidRDefault="00A61FF5" w:rsidP="00D07480">
            <w:pPr>
              <w:pStyle w:val="ESTableBody"/>
              <w:rPr>
                <w:lang w:val="en-AU"/>
              </w:rPr>
            </w:pPr>
            <w:r w:rsidRPr="004B6C01">
              <w:rPr>
                <w:lang w:val="en-AU"/>
              </w:rPr>
              <w:t>number</w:t>
            </w:r>
          </w:p>
        </w:tc>
        <w:tc>
          <w:tcPr>
            <w:tcW w:w="527" w:type="pct"/>
            <w:shd w:val="clear" w:color="auto" w:fill="auto"/>
          </w:tcPr>
          <w:p w14:paraId="08F13139" w14:textId="77777777" w:rsidR="00A61FF5" w:rsidRPr="004B6C01" w:rsidRDefault="00A61FF5" w:rsidP="00980848">
            <w:pPr>
              <w:pStyle w:val="ESTableBody"/>
              <w:jc w:val="right"/>
              <w:rPr>
                <w:lang w:val="en-AU"/>
              </w:rPr>
            </w:pPr>
            <w:r w:rsidRPr="004B6C01">
              <w:rPr>
                <w:lang w:val="en-AU"/>
              </w:rPr>
              <w:t>13,936</w:t>
            </w:r>
          </w:p>
        </w:tc>
        <w:tc>
          <w:tcPr>
            <w:tcW w:w="527" w:type="pct"/>
            <w:gridSpan w:val="2"/>
            <w:shd w:val="clear" w:color="auto" w:fill="auto"/>
          </w:tcPr>
          <w:p w14:paraId="27FA1B98" w14:textId="77777777" w:rsidR="00A61FF5" w:rsidRPr="004B6C01" w:rsidRDefault="00A61FF5" w:rsidP="00980848">
            <w:pPr>
              <w:pStyle w:val="ESTableBody"/>
              <w:jc w:val="right"/>
              <w:rPr>
                <w:lang w:val="en-AU"/>
              </w:rPr>
            </w:pPr>
            <w:r w:rsidRPr="004B6C01">
              <w:rPr>
                <w:lang w:val="en-AU"/>
              </w:rPr>
              <w:t>12,708</w:t>
            </w:r>
          </w:p>
        </w:tc>
        <w:tc>
          <w:tcPr>
            <w:tcW w:w="529" w:type="pct"/>
          </w:tcPr>
          <w:p w14:paraId="41015F6D" w14:textId="77777777" w:rsidR="00A61FF5" w:rsidRPr="004B6C01" w:rsidRDefault="00A61FF5" w:rsidP="00980848">
            <w:pPr>
              <w:pStyle w:val="ESTableBody"/>
              <w:jc w:val="right"/>
              <w:rPr>
                <w:lang w:val="en-AU"/>
              </w:rPr>
            </w:pPr>
            <w:r w:rsidRPr="004B6C01">
              <w:rPr>
                <w:lang w:val="en-AU"/>
              </w:rPr>
              <w:t>-8.8</w:t>
            </w:r>
          </w:p>
        </w:tc>
        <w:tc>
          <w:tcPr>
            <w:tcW w:w="531" w:type="pct"/>
          </w:tcPr>
          <w:p w14:paraId="6CB69DD4" w14:textId="77777777" w:rsidR="00A61FF5" w:rsidRPr="004B6C01" w:rsidRDefault="00A61FF5" w:rsidP="00A15149">
            <w:pPr>
              <w:pStyle w:val="ESTableBody"/>
              <w:jc w:val="center"/>
              <w:rPr>
                <w:lang w:val="en-AU"/>
              </w:rPr>
            </w:pPr>
            <w:r w:rsidRPr="004B6C01">
              <w:rPr>
                <w:lang w:val="en-AU"/>
              </w:rPr>
              <w:sym w:font="Wingdings" w:char="F0FB"/>
            </w:r>
          </w:p>
        </w:tc>
      </w:tr>
      <w:tr w:rsidR="00A61FF5" w:rsidRPr="00932A90" w14:paraId="787EEFE5" w14:textId="77777777" w:rsidTr="000F3176">
        <w:trPr>
          <w:gridAfter w:val="1"/>
          <w:wAfter w:w="13" w:type="pct"/>
          <w:cantSplit/>
        </w:trPr>
        <w:tc>
          <w:tcPr>
            <w:tcW w:w="4987" w:type="pct"/>
            <w:gridSpan w:val="9"/>
            <w:tcBorders>
              <w:bottom w:val="single" w:sz="4" w:space="0" w:color="auto"/>
            </w:tcBorders>
            <w:shd w:val="clear" w:color="auto" w:fill="auto"/>
          </w:tcPr>
          <w:p w14:paraId="6EEF96F4" w14:textId="02F854B7" w:rsidR="00A61FF5" w:rsidRPr="004B6C01" w:rsidRDefault="00A61FF5" w:rsidP="00896223">
            <w:pPr>
              <w:pStyle w:val="ESTableBody"/>
              <w:rPr>
                <w:lang w:val="en-AU"/>
              </w:rPr>
            </w:pPr>
            <w:r w:rsidRPr="004B6C01">
              <w:rPr>
                <w:i/>
                <w:lang w:val="en-AU"/>
              </w:rPr>
              <w:t>The final result is currently not available due to timing of the data collection. The 2016–17 expected outcome is lower than the 2016–17 target as ECIS children (including children on the ECIS waitlist) transferred to the National Disability Insurance Scheme (NDIS) in 2016–17, the first year of transition to the full scheme</w:t>
            </w:r>
            <w:r w:rsidRPr="004B6C01">
              <w:rPr>
                <w:lang w:val="en-AU"/>
              </w:rPr>
              <w:t>.</w:t>
            </w:r>
          </w:p>
        </w:tc>
      </w:tr>
      <w:tr w:rsidR="00A61FF5" w:rsidRPr="00932A90" w14:paraId="23219771" w14:textId="77777777" w:rsidTr="000F3176">
        <w:trPr>
          <w:gridAfter w:val="1"/>
          <w:wAfter w:w="13" w:type="pct"/>
          <w:cantSplit/>
        </w:trPr>
        <w:tc>
          <w:tcPr>
            <w:tcW w:w="4987" w:type="pct"/>
            <w:gridSpan w:val="9"/>
            <w:tcBorders>
              <w:top w:val="single" w:sz="4" w:space="0" w:color="auto"/>
            </w:tcBorders>
            <w:shd w:val="clear" w:color="auto" w:fill="auto"/>
          </w:tcPr>
          <w:p w14:paraId="38C61BB4" w14:textId="77777777" w:rsidR="00A61FF5" w:rsidRPr="004B6C01" w:rsidRDefault="00A61FF5" w:rsidP="008277E3">
            <w:pPr>
              <w:pStyle w:val="ESTableheading"/>
              <w:rPr>
                <w:lang w:val="en-AU"/>
              </w:rPr>
            </w:pPr>
            <w:r w:rsidRPr="004B6C01">
              <w:rPr>
                <w:lang w:val="en-AU"/>
              </w:rPr>
              <w:t>Quality</w:t>
            </w:r>
          </w:p>
        </w:tc>
      </w:tr>
      <w:tr w:rsidR="00C26662" w:rsidRPr="00932A90" w14:paraId="62B7D635" w14:textId="77777777" w:rsidTr="000F3176">
        <w:trPr>
          <w:gridAfter w:val="1"/>
          <w:wAfter w:w="13" w:type="pct"/>
          <w:cantSplit/>
        </w:trPr>
        <w:tc>
          <w:tcPr>
            <w:tcW w:w="2348" w:type="pct"/>
            <w:gridSpan w:val="3"/>
            <w:shd w:val="clear" w:color="auto" w:fill="auto"/>
          </w:tcPr>
          <w:p w14:paraId="5ABB95BA" w14:textId="77777777" w:rsidR="00A61FF5" w:rsidRPr="004B6C01" w:rsidRDefault="00A61FF5" w:rsidP="008277E3">
            <w:pPr>
              <w:pStyle w:val="ESTableBody"/>
              <w:keepNext/>
              <w:keepLines/>
              <w:rPr>
                <w:lang w:val="en-AU"/>
              </w:rPr>
            </w:pPr>
            <w:r w:rsidRPr="004B6C01">
              <w:rPr>
                <w:lang w:val="en-AU"/>
              </w:rPr>
              <w:t>Education and care services offering a funded kindergarten program assessed as exceeding the National Quality Standard</w:t>
            </w:r>
          </w:p>
        </w:tc>
        <w:tc>
          <w:tcPr>
            <w:tcW w:w="525" w:type="pct"/>
            <w:shd w:val="clear" w:color="auto" w:fill="auto"/>
          </w:tcPr>
          <w:p w14:paraId="696BEBF1" w14:textId="77777777" w:rsidR="00A61FF5" w:rsidRPr="004B6C01" w:rsidRDefault="00A61FF5" w:rsidP="008277E3">
            <w:pPr>
              <w:pStyle w:val="ESTableBody"/>
              <w:keepNext/>
              <w:keepLines/>
              <w:rPr>
                <w:lang w:val="en-AU"/>
              </w:rPr>
            </w:pPr>
            <w:r w:rsidRPr="004B6C01">
              <w:rPr>
                <w:lang w:val="en-AU"/>
              </w:rPr>
              <w:t>per cent</w:t>
            </w:r>
          </w:p>
        </w:tc>
        <w:tc>
          <w:tcPr>
            <w:tcW w:w="527" w:type="pct"/>
            <w:shd w:val="clear" w:color="auto" w:fill="auto"/>
          </w:tcPr>
          <w:p w14:paraId="6C47618D" w14:textId="77777777" w:rsidR="00A61FF5" w:rsidRPr="004B6C01" w:rsidRDefault="00A61FF5" w:rsidP="008277E3">
            <w:pPr>
              <w:pStyle w:val="ESTableBody"/>
              <w:keepNext/>
              <w:keepLines/>
              <w:jc w:val="right"/>
              <w:rPr>
                <w:lang w:val="en-AU"/>
              </w:rPr>
            </w:pPr>
            <w:r w:rsidRPr="004B6C01">
              <w:rPr>
                <w:lang w:val="en-AU"/>
              </w:rPr>
              <w:t>43</w:t>
            </w:r>
          </w:p>
        </w:tc>
        <w:tc>
          <w:tcPr>
            <w:tcW w:w="527" w:type="pct"/>
            <w:gridSpan w:val="2"/>
            <w:shd w:val="clear" w:color="auto" w:fill="auto"/>
          </w:tcPr>
          <w:p w14:paraId="097658BC" w14:textId="77777777" w:rsidR="00A61FF5" w:rsidRPr="004B6C01" w:rsidRDefault="00A61FF5" w:rsidP="008277E3">
            <w:pPr>
              <w:pStyle w:val="ESTableBody"/>
              <w:keepNext/>
              <w:keepLines/>
              <w:jc w:val="right"/>
              <w:rPr>
                <w:lang w:val="en-AU"/>
              </w:rPr>
            </w:pPr>
            <w:r w:rsidRPr="004B6C01">
              <w:rPr>
                <w:lang w:val="en-AU"/>
              </w:rPr>
              <w:t>46</w:t>
            </w:r>
          </w:p>
        </w:tc>
        <w:tc>
          <w:tcPr>
            <w:tcW w:w="529" w:type="pct"/>
          </w:tcPr>
          <w:p w14:paraId="1C36D72D" w14:textId="77777777" w:rsidR="00A61FF5" w:rsidRPr="004B6C01" w:rsidRDefault="00A61FF5" w:rsidP="008277E3">
            <w:pPr>
              <w:pStyle w:val="ESTableBody"/>
              <w:keepNext/>
              <w:keepLines/>
              <w:jc w:val="right"/>
              <w:rPr>
                <w:lang w:val="en-AU"/>
              </w:rPr>
            </w:pPr>
            <w:r w:rsidRPr="004B6C01">
              <w:rPr>
                <w:lang w:val="en-AU"/>
              </w:rPr>
              <w:t>7.0</w:t>
            </w:r>
          </w:p>
        </w:tc>
        <w:tc>
          <w:tcPr>
            <w:tcW w:w="531" w:type="pct"/>
          </w:tcPr>
          <w:p w14:paraId="7EE999A2" w14:textId="77777777" w:rsidR="00A61FF5" w:rsidRPr="004B6C01" w:rsidRDefault="00A61FF5" w:rsidP="008277E3">
            <w:pPr>
              <w:pStyle w:val="ESTableBody"/>
              <w:keepNext/>
              <w:keepLines/>
              <w:jc w:val="center"/>
              <w:rPr>
                <w:lang w:val="en-AU"/>
              </w:rPr>
            </w:pPr>
            <w:r w:rsidRPr="004B6C01">
              <w:rPr>
                <w:lang w:val="en-AU"/>
              </w:rPr>
              <w:sym w:font="Wingdings" w:char="F0FC"/>
            </w:r>
          </w:p>
        </w:tc>
      </w:tr>
      <w:tr w:rsidR="00A61FF5" w:rsidRPr="00932A90" w14:paraId="70A74643" w14:textId="77777777" w:rsidTr="000F3176">
        <w:trPr>
          <w:gridAfter w:val="1"/>
          <w:wAfter w:w="13" w:type="pct"/>
          <w:cantSplit/>
        </w:trPr>
        <w:tc>
          <w:tcPr>
            <w:tcW w:w="4987" w:type="pct"/>
            <w:gridSpan w:val="9"/>
            <w:shd w:val="clear" w:color="auto" w:fill="auto"/>
          </w:tcPr>
          <w:p w14:paraId="41A1A0EC" w14:textId="77777777" w:rsidR="00A61FF5" w:rsidRPr="004B6C01" w:rsidRDefault="00A61FF5" w:rsidP="008277E3">
            <w:pPr>
              <w:pStyle w:val="ESTableBody"/>
              <w:keepNext/>
              <w:keepLines/>
              <w:rPr>
                <w:i/>
                <w:lang w:val="en-AU"/>
              </w:rPr>
            </w:pPr>
            <w:r w:rsidRPr="004B6C01">
              <w:rPr>
                <w:i/>
                <w:lang w:val="en-AU"/>
              </w:rPr>
              <w:t xml:space="preserve">This performance measure relates to the 2016 calendar year. </w:t>
            </w:r>
          </w:p>
        </w:tc>
      </w:tr>
      <w:tr w:rsidR="00C26662" w:rsidRPr="00932A90" w14:paraId="1D71F323" w14:textId="77777777" w:rsidTr="000F3176">
        <w:trPr>
          <w:gridAfter w:val="1"/>
          <w:wAfter w:w="13" w:type="pct"/>
          <w:cantSplit/>
        </w:trPr>
        <w:tc>
          <w:tcPr>
            <w:tcW w:w="2348" w:type="pct"/>
            <w:gridSpan w:val="3"/>
            <w:shd w:val="clear" w:color="auto" w:fill="auto"/>
          </w:tcPr>
          <w:p w14:paraId="5C3F71F2" w14:textId="77777777" w:rsidR="00A61FF5" w:rsidRPr="004B6C01" w:rsidRDefault="00A61FF5" w:rsidP="00D07480">
            <w:pPr>
              <w:pStyle w:val="ESTableBody"/>
              <w:rPr>
                <w:lang w:val="en-AU"/>
              </w:rPr>
            </w:pPr>
            <w:r w:rsidRPr="004B6C01">
              <w:rPr>
                <w:lang w:val="en-AU"/>
              </w:rPr>
              <w:t>Education and care services offering a funded kindergarten program assessed as meeting or exceeding the National Quality Standard</w:t>
            </w:r>
          </w:p>
        </w:tc>
        <w:tc>
          <w:tcPr>
            <w:tcW w:w="525" w:type="pct"/>
            <w:shd w:val="clear" w:color="auto" w:fill="auto"/>
          </w:tcPr>
          <w:p w14:paraId="090349A1" w14:textId="77777777" w:rsidR="00A61FF5" w:rsidRPr="004B6C01" w:rsidRDefault="00A61FF5" w:rsidP="00D07480">
            <w:pPr>
              <w:pStyle w:val="ESTableBody"/>
              <w:rPr>
                <w:lang w:val="en-AU"/>
              </w:rPr>
            </w:pPr>
            <w:r w:rsidRPr="004B6C01">
              <w:rPr>
                <w:lang w:val="en-AU"/>
              </w:rPr>
              <w:t>per cent</w:t>
            </w:r>
          </w:p>
        </w:tc>
        <w:tc>
          <w:tcPr>
            <w:tcW w:w="527" w:type="pct"/>
            <w:shd w:val="clear" w:color="auto" w:fill="auto"/>
          </w:tcPr>
          <w:p w14:paraId="5E2C4A80" w14:textId="77777777" w:rsidR="00A61FF5" w:rsidRPr="004B6C01" w:rsidRDefault="00A61FF5" w:rsidP="00980848">
            <w:pPr>
              <w:pStyle w:val="ESTableBody"/>
              <w:jc w:val="right"/>
              <w:rPr>
                <w:lang w:val="en-AU"/>
              </w:rPr>
            </w:pPr>
            <w:r w:rsidRPr="004B6C01">
              <w:rPr>
                <w:lang w:val="en-AU"/>
              </w:rPr>
              <w:t>88</w:t>
            </w:r>
          </w:p>
        </w:tc>
        <w:tc>
          <w:tcPr>
            <w:tcW w:w="527" w:type="pct"/>
            <w:gridSpan w:val="2"/>
            <w:shd w:val="clear" w:color="auto" w:fill="auto"/>
          </w:tcPr>
          <w:p w14:paraId="6433065C" w14:textId="77777777" w:rsidR="00A61FF5" w:rsidRPr="004B6C01" w:rsidRDefault="00A61FF5" w:rsidP="00980848">
            <w:pPr>
              <w:pStyle w:val="ESTableBody"/>
              <w:jc w:val="right"/>
              <w:rPr>
                <w:lang w:val="en-AU"/>
              </w:rPr>
            </w:pPr>
            <w:r w:rsidRPr="004B6C01">
              <w:rPr>
                <w:lang w:val="en-AU"/>
              </w:rPr>
              <w:t>90</w:t>
            </w:r>
          </w:p>
        </w:tc>
        <w:tc>
          <w:tcPr>
            <w:tcW w:w="529" w:type="pct"/>
          </w:tcPr>
          <w:p w14:paraId="1487ECEA" w14:textId="77777777" w:rsidR="00A61FF5" w:rsidRPr="004B6C01" w:rsidRDefault="00A61FF5" w:rsidP="00980848">
            <w:pPr>
              <w:pStyle w:val="ESTableBody"/>
              <w:jc w:val="right"/>
              <w:rPr>
                <w:lang w:val="en-AU"/>
              </w:rPr>
            </w:pPr>
            <w:r w:rsidRPr="004B6C01">
              <w:rPr>
                <w:lang w:val="en-AU"/>
              </w:rPr>
              <w:t>2.3</w:t>
            </w:r>
          </w:p>
        </w:tc>
        <w:tc>
          <w:tcPr>
            <w:tcW w:w="531" w:type="pct"/>
          </w:tcPr>
          <w:p w14:paraId="3D98794A"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281E8A8F" w14:textId="77777777" w:rsidTr="000F3176">
        <w:trPr>
          <w:gridAfter w:val="1"/>
          <w:wAfter w:w="13" w:type="pct"/>
          <w:cantSplit/>
        </w:trPr>
        <w:tc>
          <w:tcPr>
            <w:tcW w:w="4987" w:type="pct"/>
            <w:gridSpan w:val="9"/>
            <w:shd w:val="clear" w:color="auto" w:fill="auto"/>
          </w:tcPr>
          <w:p w14:paraId="378944BB" w14:textId="77777777" w:rsidR="00A61FF5" w:rsidRPr="004B6C01" w:rsidRDefault="00A61FF5" w:rsidP="00D07480">
            <w:pPr>
              <w:pStyle w:val="ESTableBody"/>
              <w:rPr>
                <w:i/>
                <w:lang w:val="en-AU"/>
              </w:rPr>
            </w:pPr>
            <w:r w:rsidRPr="004B6C01">
              <w:rPr>
                <w:i/>
                <w:lang w:val="en-AU"/>
              </w:rPr>
              <w:t xml:space="preserve">This performance measure relates to the 2016 calendar year. </w:t>
            </w:r>
          </w:p>
        </w:tc>
      </w:tr>
      <w:tr w:rsidR="00C26662" w:rsidRPr="00932A90" w14:paraId="1E41DD10" w14:textId="77777777" w:rsidTr="000F3176">
        <w:trPr>
          <w:gridAfter w:val="1"/>
          <w:wAfter w:w="13" w:type="pct"/>
          <w:cantSplit/>
        </w:trPr>
        <w:tc>
          <w:tcPr>
            <w:tcW w:w="2348" w:type="pct"/>
            <w:gridSpan w:val="3"/>
            <w:shd w:val="clear" w:color="auto" w:fill="auto"/>
          </w:tcPr>
          <w:p w14:paraId="36B65482" w14:textId="77777777" w:rsidR="00A61FF5" w:rsidRPr="004B6C01" w:rsidRDefault="00A61FF5" w:rsidP="00D07480">
            <w:pPr>
              <w:pStyle w:val="ESTableBody"/>
              <w:rPr>
                <w:lang w:val="en-AU"/>
              </w:rPr>
            </w:pPr>
            <w:r w:rsidRPr="004B6C01">
              <w:rPr>
                <w:lang w:val="en-AU"/>
              </w:rPr>
              <w:t>Families who are satisfied with the Early Childhood Intervention Services provided</w:t>
            </w:r>
          </w:p>
        </w:tc>
        <w:tc>
          <w:tcPr>
            <w:tcW w:w="525" w:type="pct"/>
            <w:shd w:val="clear" w:color="auto" w:fill="auto"/>
          </w:tcPr>
          <w:p w14:paraId="0BD4E0C9" w14:textId="77777777" w:rsidR="00A61FF5" w:rsidRPr="004B6C01" w:rsidRDefault="00A61FF5" w:rsidP="00D07480">
            <w:pPr>
              <w:pStyle w:val="ESTableBody"/>
              <w:rPr>
                <w:lang w:val="en-AU"/>
              </w:rPr>
            </w:pPr>
            <w:r w:rsidRPr="004B6C01">
              <w:rPr>
                <w:lang w:val="en-AU"/>
              </w:rPr>
              <w:t>per cent</w:t>
            </w:r>
          </w:p>
        </w:tc>
        <w:tc>
          <w:tcPr>
            <w:tcW w:w="527" w:type="pct"/>
            <w:shd w:val="clear" w:color="auto" w:fill="auto"/>
          </w:tcPr>
          <w:p w14:paraId="00C04588" w14:textId="77777777" w:rsidR="00A61FF5" w:rsidRPr="004B6C01" w:rsidRDefault="00A61FF5" w:rsidP="00980848">
            <w:pPr>
              <w:pStyle w:val="ESTableBody"/>
              <w:jc w:val="right"/>
              <w:rPr>
                <w:lang w:val="en-AU"/>
              </w:rPr>
            </w:pPr>
            <w:r w:rsidRPr="004B6C01">
              <w:rPr>
                <w:lang w:val="en-AU"/>
              </w:rPr>
              <w:t>90</w:t>
            </w:r>
          </w:p>
        </w:tc>
        <w:tc>
          <w:tcPr>
            <w:tcW w:w="527" w:type="pct"/>
            <w:gridSpan w:val="2"/>
            <w:shd w:val="clear" w:color="auto" w:fill="auto"/>
          </w:tcPr>
          <w:p w14:paraId="6B3822F5" w14:textId="77777777" w:rsidR="00A61FF5" w:rsidRPr="004B6C01" w:rsidRDefault="00A61FF5" w:rsidP="00980848">
            <w:pPr>
              <w:pStyle w:val="ESTableBody"/>
              <w:jc w:val="right"/>
              <w:rPr>
                <w:lang w:val="en-AU"/>
              </w:rPr>
            </w:pPr>
            <w:r w:rsidRPr="004B6C01">
              <w:rPr>
                <w:lang w:val="en-AU"/>
              </w:rPr>
              <w:t>90</w:t>
            </w:r>
          </w:p>
        </w:tc>
        <w:tc>
          <w:tcPr>
            <w:tcW w:w="529" w:type="pct"/>
          </w:tcPr>
          <w:p w14:paraId="63A205D1" w14:textId="77777777" w:rsidR="00A61FF5" w:rsidRPr="004B6C01" w:rsidRDefault="00A61FF5" w:rsidP="00980848">
            <w:pPr>
              <w:pStyle w:val="ESTableBody"/>
              <w:jc w:val="right"/>
              <w:rPr>
                <w:lang w:val="en-AU"/>
              </w:rPr>
            </w:pPr>
            <w:r w:rsidRPr="004B6C01">
              <w:rPr>
                <w:lang w:val="en-AU"/>
              </w:rPr>
              <w:t>0.0</w:t>
            </w:r>
          </w:p>
        </w:tc>
        <w:tc>
          <w:tcPr>
            <w:tcW w:w="531" w:type="pct"/>
          </w:tcPr>
          <w:p w14:paraId="59C60F32"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75655D4E" w14:textId="77777777" w:rsidTr="000F3176">
        <w:trPr>
          <w:gridAfter w:val="1"/>
          <w:wAfter w:w="13" w:type="pct"/>
          <w:cantSplit/>
        </w:trPr>
        <w:tc>
          <w:tcPr>
            <w:tcW w:w="4987" w:type="pct"/>
            <w:gridSpan w:val="9"/>
            <w:tcBorders>
              <w:bottom w:val="single" w:sz="4" w:space="0" w:color="auto"/>
            </w:tcBorders>
            <w:shd w:val="clear" w:color="auto" w:fill="auto"/>
          </w:tcPr>
          <w:p w14:paraId="5FCA77DE" w14:textId="77777777" w:rsidR="00A61FF5" w:rsidRPr="004B6C01" w:rsidRDefault="00A61FF5" w:rsidP="00D07480">
            <w:pPr>
              <w:pStyle w:val="ESTableBody"/>
              <w:rPr>
                <w:i/>
                <w:lang w:val="en-AU"/>
              </w:rPr>
            </w:pPr>
            <w:r w:rsidRPr="004B6C01">
              <w:rPr>
                <w:i/>
                <w:lang w:val="en-AU"/>
              </w:rPr>
              <w:t>This performance measure includes internal and external providers. The final result is currently not available due to timing of the data collection. The result provided under the 2016–17 actual is the expected outcome published in the 2017–18 Budget Paper No.3.</w:t>
            </w:r>
          </w:p>
        </w:tc>
      </w:tr>
      <w:tr w:rsidR="00A61FF5" w:rsidRPr="00932A90" w14:paraId="02C33185" w14:textId="77777777" w:rsidTr="000F3176">
        <w:trPr>
          <w:gridAfter w:val="1"/>
          <w:wAfter w:w="13" w:type="pct"/>
          <w:cantSplit/>
        </w:trPr>
        <w:tc>
          <w:tcPr>
            <w:tcW w:w="4987" w:type="pct"/>
            <w:gridSpan w:val="9"/>
            <w:tcBorders>
              <w:top w:val="single" w:sz="4" w:space="0" w:color="auto"/>
            </w:tcBorders>
            <w:shd w:val="clear" w:color="auto" w:fill="auto"/>
          </w:tcPr>
          <w:p w14:paraId="4CB97B7C" w14:textId="77777777" w:rsidR="00A61FF5" w:rsidRPr="004B6C01" w:rsidRDefault="00A61FF5" w:rsidP="009A0BAD">
            <w:pPr>
              <w:pStyle w:val="ESTableheading"/>
              <w:rPr>
                <w:lang w:val="en-AU"/>
              </w:rPr>
            </w:pPr>
            <w:r w:rsidRPr="004B6C01">
              <w:rPr>
                <w:lang w:val="en-AU"/>
              </w:rPr>
              <w:t>Timeliness</w:t>
            </w:r>
          </w:p>
        </w:tc>
      </w:tr>
      <w:tr w:rsidR="00C26662" w:rsidRPr="00932A90" w14:paraId="5B97EE29" w14:textId="77777777" w:rsidTr="000F3176">
        <w:trPr>
          <w:gridAfter w:val="1"/>
          <w:wAfter w:w="13" w:type="pct"/>
          <w:cantSplit/>
        </w:trPr>
        <w:tc>
          <w:tcPr>
            <w:tcW w:w="2348" w:type="pct"/>
            <w:gridSpan w:val="3"/>
            <w:shd w:val="clear" w:color="auto" w:fill="auto"/>
          </w:tcPr>
          <w:p w14:paraId="154F7D42" w14:textId="77777777" w:rsidR="00A61FF5" w:rsidRPr="004B6C01" w:rsidRDefault="00A61FF5" w:rsidP="00D07480">
            <w:pPr>
              <w:pStyle w:val="ESTableBody"/>
              <w:rPr>
                <w:lang w:val="en-AU"/>
              </w:rPr>
            </w:pPr>
            <w:r w:rsidRPr="004B6C01">
              <w:rPr>
                <w:lang w:val="en-AU"/>
              </w:rPr>
              <w:t>Children aged 0–1 month enrolled at Maternal and Child Health Services from birth notifications</w:t>
            </w:r>
          </w:p>
        </w:tc>
        <w:tc>
          <w:tcPr>
            <w:tcW w:w="525" w:type="pct"/>
            <w:shd w:val="clear" w:color="auto" w:fill="auto"/>
          </w:tcPr>
          <w:p w14:paraId="2584FA76" w14:textId="77777777" w:rsidR="00A61FF5" w:rsidRPr="004B6C01" w:rsidRDefault="00A61FF5" w:rsidP="00D07480">
            <w:pPr>
              <w:pStyle w:val="ESTableBody"/>
              <w:rPr>
                <w:lang w:val="en-AU"/>
              </w:rPr>
            </w:pPr>
            <w:r w:rsidRPr="004B6C01">
              <w:rPr>
                <w:lang w:val="en-AU"/>
              </w:rPr>
              <w:t>per cent</w:t>
            </w:r>
          </w:p>
        </w:tc>
        <w:tc>
          <w:tcPr>
            <w:tcW w:w="527" w:type="pct"/>
            <w:shd w:val="clear" w:color="auto" w:fill="auto"/>
          </w:tcPr>
          <w:p w14:paraId="79895529" w14:textId="77777777" w:rsidR="00A61FF5" w:rsidRPr="004B6C01" w:rsidRDefault="00A61FF5" w:rsidP="00980848">
            <w:pPr>
              <w:pStyle w:val="ESTableBody"/>
              <w:jc w:val="right"/>
              <w:rPr>
                <w:lang w:val="en-AU"/>
              </w:rPr>
            </w:pPr>
            <w:r w:rsidRPr="004B6C01">
              <w:rPr>
                <w:lang w:val="en-AU"/>
              </w:rPr>
              <w:t>98.5</w:t>
            </w:r>
          </w:p>
        </w:tc>
        <w:tc>
          <w:tcPr>
            <w:tcW w:w="527" w:type="pct"/>
            <w:gridSpan w:val="2"/>
            <w:shd w:val="clear" w:color="auto" w:fill="auto"/>
          </w:tcPr>
          <w:p w14:paraId="2494ECFF" w14:textId="77777777" w:rsidR="00A61FF5" w:rsidRPr="004B6C01" w:rsidRDefault="00A61FF5" w:rsidP="00980848">
            <w:pPr>
              <w:pStyle w:val="ESTableBody"/>
              <w:jc w:val="right"/>
              <w:rPr>
                <w:lang w:val="en-AU"/>
              </w:rPr>
            </w:pPr>
            <w:r w:rsidRPr="004B6C01">
              <w:rPr>
                <w:lang w:val="en-AU"/>
              </w:rPr>
              <w:t>100.9</w:t>
            </w:r>
          </w:p>
        </w:tc>
        <w:tc>
          <w:tcPr>
            <w:tcW w:w="529" w:type="pct"/>
          </w:tcPr>
          <w:p w14:paraId="0054CA15" w14:textId="77777777" w:rsidR="00A61FF5" w:rsidRPr="004B6C01" w:rsidRDefault="00A61FF5" w:rsidP="00980848">
            <w:pPr>
              <w:pStyle w:val="ESTableBody"/>
              <w:jc w:val="right"/>
              <w:rPr>
                <w:lang w:val="en-AU"/>
              </w:rPr>
            </w:pPr>
            <w:r w:rsidRPr="004B6C01">
              <w:rPr>
                <w:lang w:val="en-AU"/>
              </w:rPr>
              <w:t>2.4</w:t>
            </w:r>
          </w:p>
        </w:tc>
        <w:tc>
          <w:tcPr>
            <w:tcW w:w="531" w:type="pct"/>
          </w:tcPr>
          <w:p w14:paraId="4FD93A21" w14:textId="77777777" w:rsidR="00A61FF5" w:rsidRPr="004B6C01" w:rsidRDefault="00A61FF5" w:rsidP="00A15149">
            <w:pPr>
              <w:pStyle w:val="ESTableBody"/>
              <w:jc w:val="center"/>
              <w:rPr>
                <w:lang w:val="en-AU"/>
              </w:rPr>
            </w:pPr>
            <w:r w:rsidRPr="004B6C01">
              <w:rPr>
                <w:lang w:val="en-AU"/>
              </w:rPr>
              <w:sym w:font="Wingdings" w:char="F0FC"/>
            </w:r>
          </w:p>
        </w:tc>
      </w:tr>
      <w:tr w:rsidR="00A61FF5" w:rsidRPr="00932A90" w14:paraId="6E214FA9" w14:textId="77777777" w:rsidTr="000F3176">
        <w:trPr>
          <w:gridAfter w:val="1"/>
          <w:wAfter w:w="13" w:type="pct"/>
          <w:cantSplit/>
        </w:trPr>
        <w:tc>
          <w:tcPr>
            <w:tcW w:w="4987" w:type="pct"/>
            <w:gridSpan w:val="9"/>
            <w:shd w:val="clear" w:color="auto" w:fill="auto"/>
          </w:tcPr>
          <w:p w14:paraId="6E9891E1" w14:textId="51897211" w:rsidR="00A61FF5" w:rsidRPr="004B6C01" w:rsidRDefault="00A61FF5" w:rsidP="00D07480">
            <w:pPr>
              <w:pStyle w:val="ESTableBody"/>
              <w:rPr>
                <w:i/>
                <w:lang w:val="en-AU"/>
              </w:rPr>
            </w:pPr>
            <w:r w:rsidRPr="004B6C01">
              <w:rPr>
                <w:i/>
                <w:lang w:val="en-AU"/>
              </w:rPr>
              <w:t>The final result is currently not available due to timing of the data collection. The result provided under the 2016–17 actual is the expected outcome published in the 2017–18 Budget Paper No.3. The performance measure may overestimate universal enrolments due to data anomalies associated with the introduction of a new Maternal and Child Health IT system</w:t>
            </w:r>
            <w:r w:rsidR="0035028F">
              <w:rPr>
                <w:i/>
                <w:lang w:val="en-AU"/>
              </w:rPr>
              <w:t xml:space="preserve"> by local governments</w:t>
            </w:r>
            <w:r w:rsidRPr="004B6C01">
              <w:rPr>
                <w:i/>
                <w:lang w:val="en-AU"/>
              </w:rPr>
              <w:t>.</w:t>
            </w:r>
          </w:p>
        </w:tc>
      </w:tr>
      <w:tr w:rsidR="00A61FF5" w:rsidRPr="00932A90" w14:paraId="24472219" w14:textId="77777777" w:rsidTr="000F3176">
        <w:trPr>
          <w:gridAfter w:val="1"/>
          <w:wAfter w:w="13" w:type="pct"/>
          <w:cantSplit/>
        </w:trPr>
        <w:tc>
          <w:tcPr>
            <w:tcW w:w="4987" w:type="pct"/>
            <w:gridSpan w:val="9"/>
            <w:shd w:val="clear" w:color="auto" w:fill="auto"/>
          </w:tcPr>
          <w:p w14:paraId="0EF9E808" w14:textId="77777777" w:rsidR="00A61FF5" w:rsidRPr="0053473E" w:rsidRDefault="00A61FF5" w:rsidP="00D07480">
            <w:pPr>
              <w:pStyle w:val="ESTableBody"/>
              <w:rPr>
                <w:b/>
                <w:lang w:val="en-AU"/>
              </w:rPr>
            </w:pPr>
            <w:r w:rsidRPr="0053473E">
              <w:rPr>
                <w:b/>
                <w:lang w:val="en-AU"/>
              </w:rPr>
              <w:t>Cost</w:t>
            </w:r>
          </w:p>
        </w:tc>
      </w:tr>
      <w:tr w:rsidR="00C26662" w:rsidRPr="00932A90" w14:paraId="180C720F" w14:textId="77777777" w:rsidTr="000F3176">
        <w:trPr>
          <w:gridAfter w:val="1"/>
          <w:wAfter w:w="13" w:type="pct"/>
          <w:cantSplit/>
        </w:trPr>
        <w:tc>
          <w:tcPr>
            <w:tcW w:w="2348" w:type="pct"/>
            <w:gridSpan w:val="3"/>
            <w:shd w:val="clear" w:color="auto" w:fill="auto"/>
          </w:tcPr>
          <w:p w14:paraId="57F3CC7B" w14:textId="77777777" w:rsidR="00A61FF5" w:rsidRPr="0053473E" w:rsidRDefault="00A61FF5" w:rsidP="00D07480">
            <w:pPr>
              <w:pStyle w:val="ESTableBody"/>
              <w:rPr>
                <w:lang w:val="en-AU"/>
              </w:rPr>
            </w:pPr>
            <w:r w:rsidRPr="0053473E">
              <w:rPr>
                <w:lang w:val="en-AU"/>
              </w:rPr>
              <w:t>Total output cost</w:t>
            </w:r>
          </w:p>
        </w:tc>
        <w:tc>
          <w:tcPr>
            <w:tcW w:w="525" w:type="pct"/>
            <w:shd w:val="clear" w:color="auto" w:fill="auto"/>
          </w:tcPr>
          <w:p w14:paraId="3EF87BC0" w14:textId="77777777" w:rsidR="00A61FF5" w:rsidRPr="0053473E" w:rsidRDefault="00A61FF5" w:rsidP="00D07480">
            <w:pPr>
              <w:pStyle w:val="ESTableBody"/>
              <w:rPr>
                <w:lang w:val="en-AU"/>
              </w:rPr>
            </w:pPr>
            <w:r w:rsidRPr="0053473E">
              <w:rPr>
                <w:lang w:val="en-AU"/>
              </w:rPr>
              <w:t>$ million</w:t>
            </w:r>
          </w:p>
        </w:tc>
        <w:tc>
          <w:tcPr>
            <w:tcW w:w="527" w:type="pct"/>
            <w:shd w:val="clear" w:color="auto" w:fill="auto"/>
          </w:tcPr>
          <w:p w14:paraId="5DB05242" w14:textId="77777777" w:rsidR="00A61FF5" w:rsidRPr="0053473E" w:rsidRDefault="00A61FF5" w:rsidP="00980848">
            <w:pPr>
              <w:pStyle w:val="ESTableBody"/>
              <w:jc w:val="right"/>
              <w:rPr>
                <w:lang w:val="en-AU"/>
              </w:rPr>
            </w:pPr>
            <w:r w:rsidRPr="0053473E">
              <w:rPr>
                <w:lang w:val="en-AU"/>
              </w:rPr>
              <w:t>582.4</w:t>
            </w:r>
          </w:p>
        </w:tc>
        <w:tc>
          <w:tcPr>
            <w:tcW w:w="527" w:type="pct"/>
            <w:gridSpan w:val="2"/>
            <w:shd w:val="clear" w:color="auto" w:fill="auto"/>
          </w:tcPr>
          <w:p w14:paraId="5050A231" w14:textId="369553DF" w:rsidR="00A61FF5" w:rsidRPr="0053473E" w:rsidRDefault="00A61FF5" w:rsidP="00980848">
            <w:pPr>
              <w:pStyle w:val="ESTableBody"/>
              <w:jc w:val="right"/>
              <w:rPr>
                <w:lang w:val="en-AU"/>
              </w:rPr>
            </w:pPr>
            <w:r w:rsidRPr="0053473E">
              <w:rPr>
                <w:lang w:val="en-AU"/>
              </w:rPr>
              <w:t>5</w:t>
            </w:r>
            <w:r w:rsidR="0053473E" w:rsidRPr="0053473E">
              <w:rPr>
                <w:lang w:val="en-AU"/>
              </w:rPr>
              <w:t>72</w:t>
            </w:r>
            <w:r w:rsidRPr="0053473E">
              <w:rPr>
                <w:lang w:val="en-AU"/>
              </w:rPr>
              <w:t>.5</w:t>
            </w:r>
          </w:p>
        </w:tc>
        <w:tc>
          <w:tcPr>
            <w:tcW w:w="529" w:type="pct"/>
          </w:tcPr>
          <w:p w14:paraId="406B0113" w14:textId="78881B15" w:rsidR="00A61FF5" w:rsidRPr="0053473E" w:rsidRDefault="0053473E" w:rsidP="00980848">
            <w:pPr>
              <w:pStyle w:val="ESTableBody"/>
              <w:jc w:val="right"/>
              <w:rPr>
                <w:lang w:val="en-AU"/>
              </w:rPr>
            </w:pPr>
            <w:r w:rsidRPr="0053473E">
              <w:rPr>
                <w:lang w:val="en-AU"/>
              </w:rPr>
              <w:t>-1.7</w:t>
            </w:r>
          </w:p>
        </w:tc>
        <w:tc>
          <w:tcPr>
            <w:tcW w:w="531" w:type="pct"/>
          </w:tcPr>
          <w:p w14:paraId="6415167C" w14:textId="19D98126" w:rsidR="00A61FF5" w:rsidRPr="0053473E" w:rsidRDefault="00F50C19" w:rsidP="00A15149">
            <w:pPr>
              <w:pStyle w:val="ESTableBody"/>
              <w:jc w:val="center"/>
              <w:rPr>
                <w:lang w:val="en-AU"/>
              </w:rPr>
            </w:pPr>
            <w:r w:rsidRPr="004B6C01">
              <w:rPr>
                <w:lang w:val="en-AU"/>
              </w:rPr>
              <w:sym w:font="Wingdings" w:char="F0FC"/>
            </w:r>
          </w:p>
        </w:tc>
      </w:tr>
      <w:tr w:rsidR="00A61FF5" w:rsidRPr="00932A90" w14:paraId="49512C8F" w14:textId="77777777" w:rsidTr="000F3176">
        <w:trPr>
          <w:gridAfter w:val="1"/>
          <w:wAfter w:w="13" w:type="pct"/>
          <w:cantSplit/>
        </w:trPr>
        <w:tc>
          <w:tcPr>
            <w:tcW w:w="4987" w:type="pct"/>
            <w:gridSpan w:val="9"/>
            <w:tcBorders>
              <w:bottom w:val="single" w:sz="4" w:space="0" w:color="auto"/>
            </w:tcBorders>
            <w:shd w:val="clear" w:color="auto" w:fill="auto"/>
          </w:tcPr>
          <w:p w14:paraId="30806937" w14:textId="255B47D0" w:rsidR="00A61FF5" w:rsidRPr="00564192" w:rsidRDefault="00A61FF5" w:rsidP="00D07480">
            <w:pPr>
              <w:pStyle w:val="ESTableBody"/>
              <w:rPr>
                <w:i/>
                <w:highlight w:val="yellow"/>
                <w:lang w:val="en-AU"/>
              </w:rPr>
            </w:pPr>
            <w:r w:rsidRPr="00564192">
              <w:rPr>
                <w:i/>
                <w:lang w:val="en-AU"/>
              </w:rPr>
              <w:t xml:space="preserve">The 2016–17 </w:t>
            </w:r>
            <w:r w:rsidR="00943EF8" w:rsidRPr="00564192">
              <w:rPr>
                <w:i/>
                <w:lang w:val="en-AU"/>
              </w:rPr>
              <w:t>actual</w:t>
            </w:r>
            <w:r w:rsidRPr="00564192">
              <w:rPr>
                <w:i/>
                <w:lang w:val="en-AU"/>
              </w:rPr>
              <w:t xml:space="preserve"> outcome is $</w:t>
            </w:r>
            <w:r w:rsidR="0053473E" w:rsidRPr="00564192">
              <w:rPr>
                <w:i/>
                <w:lang w:val="en-AU"/>
              </w:rPr>
              <w:t>9.9</w:t>
            </w:r>
            <w:r w:rsidRPr="00564192">
              <w:rPr>
                <w:i/>
                <w:lang w:val="en-AU"/>
              </w:rPr>
              <w:t xml:space="preserve"> million </w:t>
            </w:r>
            <w:r w:rsidR="0053473E" w:rsidRPr="00564192">
              <w:rPr>
                <w:i/>
                <w:lang w:val="en-AU"/>
              </w:rPr>
              <w:t>low</w:t>
            </w:r>
            <w:r w:rsidRPr="00564192">
              <w:rPr>
                <w:i/>
                <w:lang w:val="en-AU"/>
              </w:rPr>
              <w:t>er than the 2016–17 Budget.</w:t>
            </w:r>
          </w:p>
        </w:tc>
      </w:tr>
      <w:tr w:rsidR="00246774" w:rsidRPr="00932A90" w14:paraId="4A423A23" w14:textId="77777777" w:rsidTr="000F3176">
        <w:trPr>
          <w:cantSplit/>
        </w:trPr>
        <w:tc>
          <w:tcPr>
            <w:tcW w:w="385" w:type="pct"/>
            <w:tcBorders>
              <w:top w:val="single" w:sz="4" w:space="0" w:color="auto"/>
              <w:bottom w:val="single" w:sz="4" w:space="0" w:color="auto"/>
            </w:tcBorders>
            <w:shd w:val="clear" w:color="auto" w:fill="auto"/>
          </w:tcPr>
          <w:p w14:paraId="309C8776" w14:textId="77777777" w:rsidR="00246774" w:rsidRPr="004B6C01" w:rsidRDefault="00246774" w:rsidP="007B17A1">
            <w:pPr>
              <w:pStyle w:val="ESTableBody"/>
              <w:rPr>
                <w:lang w:val="en-AU"/>
              </w:rPr>
            </w:pPr>
            <w:r w:rsidRPr="004B6C01">
              <w:rPr>
                <w:lang w:val="en-AU"/>
              </w:rPr>
              <w:t>Key:</w:t>
            </w:r>
          </w:p>
        </w:tc>
        <w:tc>
          <w:tcPr>
            <w:tcW w:w="1820" w:type="pct"/>
            <w:tcBorders>
              <w:top w:val="single" w:sz="4" w:space="0" w:color="auto"/>
              <w:bottom w:val="single" w:sz="4" w:space="0" w:color="auto"/>
            </w:tcBorders>
            <w:shd w:val="clear" w:color="auto" w:fill="auto"/>
          </w:tcPr>
          <w:p w14:paraId="0005900A" w14:textId="77777777" w:rsidR="00246774" w:rsidRPr="004B6C01" w:rsidRDefault="00246774" w:rsidP="007B17A1">
            <w:pPr>
              <w:pStyle w:val="ESTableBody"/>
              <w:rPr>
                <w:lang w:val="en-AU"/>
              </w:rPr>
            </w:pPr>
            <w:r w:rsidRPr="004B6C01">
              <w:rPr>
                <w:lang w:val="en-AU"/>
              </w:rPr>
              <w:sym w:font="Wingdings" w:char="F0FC"/>
            </w:r>
            <w:r w:rsidRPr="004B6C01">
              <w:rPr>
                <w:lang w:val="en-AU"/>
              </w:rPr>
              <w:t xml:space="preserve"> Target achieved or exceeded</w:t>
            </w:r>
          </w:p>
        </w:tc>
        <w:tc>
          <w:tcPr>
            <w:tcW w:w="1342" w:type="pct"/>
            <w:gridSpan w:val="4"/>
            <w:tcBorders>
              <w:top w:val="single" w:sz="4" w:space="0" w:color="auto"/>
              <w:bottom w:val="single" w:sz="4" w:space="0" w:color="auto"/>
            </w:tcBorders>
            <w:shd w:val="clear" w:color="auto" w:fill="auto"/>
          </w:tcPr>
          <w:p w14:paraId="70737EC3" w14:textId="77777777" w:rsidR="00246774" w:rsidRPr="004B6C01" w:rsidRDefault="00246774" w:rsidP="007B17A1">
            <w:pPr>
              <w:pStyle w:val="ESTableBody"/>
              <w:rPr>
                <w:lang w:val="en-AU"/>
              </w:rPr>
            </w:pPr>
            <w:r w:rsidRPr="004B6C01">
              <w:rPr>
                <w:lang w:val="en-AU"/>
              </w:rPr>
              <w:sym w:font="Wingdings" w:char="F06E"/>
            </w:r>
            <w:r w:rsidRPr="004B6C01">
              <w:rPr>
                <w:lang w:val="en-AU"/>
              </w:rPr>
              <w:t xml:space="preserve"> Target not achieved—less than 5% variance</w:t>
            </w:r>
          </w:p>
        </w:tc>
        <w:tc>
          <w:tcPr>
            <w:tcW w:w="1451" w:type="pct"/>
            <w:gridSpan w:val="4"/>
            <w:tcBorders>
              <w:top w:val="single" w:sz="4" w:space="0" w:color="auto"/>
              <w:bottom w:val="single" w:sz="4" w:space="0" w:color="auto"/>
            </w:tcBorders>
            <w:shd w:val="clear" w:color="auto" w:fill="auto"/>
          </w:tcPr>
          <w:p w14:paraId="19D2E259" w14:textId="77777777" w:rsidR="00246774" w:rsidRPr="004B6C01" w:rsidRDefault="00246774" w:rsidP="007B17A1">
            <w:pPr>
              <w:pStyle w:val="ESTableBody"/>
              <w:rPr>
                <w:lang w:val="en-AU"/>
              </w:rPr>
            </w:pPr>
            <w:r w:rsidRPr="004B6C01">
              <w:rPr>
                <w:lang w:val="en-AU"/>
              </w:rPr>
              <w:sym w:font="Wingdings" w:char="F0FB"/>
            </w:r>
            <w:r w:rsidRPr="004B6C01">
              <w:rPr>
                <w:lang w:val="en-AU"/>
              </w:rPr>
              <w:t xml:space="preserve"> Target not achieved—more than 5% variance</w:t>
            </w:r>
          </w:p>
        </w:tc>
      </w:tr>
    </w:tbl>
    <w:p w14:paraId="5A156451" w14:textId="77777777" w:rsidR="00A61FF5" w:rsidRPr="004B6C01" w:rsidRDefault="00A61FF5" w:rsidP="00A61FF5">
      <w:pPr>
        <w:pStyle w:val="ESHeading3"/>
        <w:rPr>
          <w:lang w:val="en-AU"/>
        </w:rPr>
      </w:pPr>
      <w:r w:rsidRPr="004B6C01">
        <w:rPr>
          <w:lang w:val="en-AU"/>
        </w:rPr>
        <w:t>School education</w:t>
      </w:r>
    </w:p>
    <w:p w14:paraId="01B66A72" w14:textId="77777777" w:rsidR="00A61FF5" w:rsidRPr="004B6C01" w:rsidRDefault="00A61FF5" w:rsidP="00A61FF5">
      <w:pPr>
        <w:pStyle w:val="ESBodyText"/>
        <w:rPr>
          <w:lang w:val="en-AU"/>
        </w:rPr>
      </w:pPr>
      <w:r w:rsidRPr="004B6C01">
        <w:rPr>
          <w:lang w:val="en-AU"/>
        </w:rPr>
        <w:t>The School Education output group consists of two outputs:</w:t>
      </w:r>
    </w:p>
    <w:p w14:paraId="4E1E43EC" w14:textId="77777777" w:rsidR="00A61FF5" w:rsidRPr="004B6C01" w:rsidRDefault="00A61FF5" w:rsidP="00A61FF5">
      <w:pPr>
        <w:pStyle w:val="ESBullet1indent"/>
        <w:numPr>
          <w:ilvl w:val="0"/>
          <w:numId w:val="7"/>
        </w:numPr>
        <w:rPr>
          <w:lang w:val="en-AU"/>
        </w:rPr>
      </w:pPr>
      <w:r w:rsidRPr="004B6C01">
        <w:rPr>
          <w:lang w:val="en-AU"/>
        </w:rPr>
        <w:t>The School Education—Primary output provides services to develop essential skills and learning experiences to engage young minds in the primary sector.</w:t>
      </w:r>
    </w:p>
    <w:p w14:paraId="7A208A87" w14:textId="77777777" w:rsidR="00A61FF5" w:rsidRPr="004B6C01" w:rsidRDefault="00A61FF5" w:rsidP="00A61FF5">
      <w:pPr>
        <w:pStyle w:val="ESBullet1indent"/>
        <w:numPr>
          <w:ilvl w:val="0"/>
          <w:numId w:val="7"/>
        </w:numPr>
        <w:rPr>
          <w:lang w:val="en-AU"/>
        </w:rPr>
      </w:pPr>
      <w:r w:rsidRPr="004B6C01">
        <w:rPr>
          <w:lang w:val="en-AU"/>
        </w:rPr>
        <w:t>The School Education—Secondary output delivers services to consolidate students’ literacy, numeracy and creative and critical thinking skills, and to support their physical, social, emotional and intellectual development in adolescence. It also provides education services and support for varied pathways to further education, training and employment.</w:t>
      </w:r>
    </w:p>
    <w:p w14:paraId="4D6F4D0F" w14:textId="210CF676" w:rsidR="00A61FF5" w:rsidRDefault="00A61FF5" w:rsidP="00A61FF5">
      <w:pPr>
        <w:pStyle w:val="ESBodyText"/>
        <w:rPr>
          <w:lang w:val="en-AU"/>
        </w:rPr>
      </w:pPr>
      <w:r w:rsidRPr="004B6C01">
        <w:rPr>
          <w:lang w:val="en-AU"/>
        </w:rPr>
        <w:t>This output group contributes towards providing and improving services to support all the Department’s objectives of achievement, engagement, wellbeing and productivity.</w:t>
      </w:r>
    </w:p>
    <w:p w14:paraId="0957C6F1" w14:textId="4F673741" w:rsidR="00DD0BF0" w:rsidRPr="004B6C01" w:rsidRDefault="00DD0BF0" w:rsidP="00A61FF5">
      <w:pPr>
        <w:pStyle w:val="ESBodyText"/>
        <w:rPr>
          <w:lang w:val="en-AU"/>
        </w:rPr>
      </w:pPr>
      <w:r w:rsidRPr="00E53244">
        <w:rPr>
          <w:lang w:val="en-AU"/>
        </w:rPr>
        <w:t>The Government set</w:t>
      </w:r>
      <w:r w:rsidR="00AC481F" w:rsidRPr="00E53244">
        <w:rPr>
          <w:lang w:val="en-AU"/>
        </w:rPr>
        <w:t xml:space="preserve"> high aspirations for all students, including Koorie students, which are reflected in BP3 NAPLAN measures implemented in 2015 and move away from a focus on national minimum standards. The BP3 targets for Koorie students, measure the percentage of Aboriginal students above the bottom three NAPLAN bands in Reading and Numeracy at years 3,5,7 and 9. NAPLAN results for Victorian Koorie students are generally above the national Aboriginal cohort across most domains and year levels.</w:t>
      </w:r>
    </w:p>
    <w:p w14:paraId="41EC2791" w14:textId="77777777" w:rsidR="00A61FF5" w:rsidRPr="004B6C01" w:rsidRDefault="00A61FF5" w:rsidP="00A61FF5">
      <w:pPr>
        <w:pStyle w:val="ESHeading4"/>
        <w:rPr>
          <w:lang w:val="en-AU"/>
        </w:rPr>
      </w:pPr>
      <w:r w:rsidRPr="004B6C01">
        <w:rPr>
          <w:lang w:val="en-AU"/>
        </w:rPr>
        <w:t>(i) School Education—Primary</w:t>
      </w:r>
    </w:p>
    <w:p w14:paraId="1BB6CDD4" w14:textId="77777777" w:rsidR="00A61FF5" w:rsidRPr="004B6C01" w:rsidRDefault="00A61FF5" w:rsidP="00A61FF5">
      <w:pPr>
        <w:pStyle w:val="ESBodyText"/>
        <w:rPr>
          <w:lang w:val="en-AU"/>
        </w:rPr>
      </w:pPr>
      <w:r w:rsidRPr="004B6C01">
        <w:rPr>
          <w:lang w:val="en-AU"/>
        </w:rPr>
        <w:t>This output provides education and other associated services designed to improve the quality of learning of students in Prep to Year 6 in government and non-government schools.</w:t>
      </w:r>
    </w:p>
    <w:p w14:paraId="3D6DD327" w14:textId="77777777" w:rsidR="00DB47C7" w:rsidRDefault="00DB47C7">
      <w:pPr>
        <w:rPr>
          <w:rFonts w:ascii="Arial" w:eastAsiaTheme="minorEastAsia" w:hAnsi="Arial" w:cs="Arial"/>
          <w:sz w:val="19"/>
          <w:szCs w:val="18"/>
          <w:lang w:val="en-AU"/>
        </w:rPr>
      </w:pPr>
      <w:r>
        <w:rPr>
          <w:lang w:val="en-AU"/>
        </w:rPr>
        <w:br w:type="page"/>
      </w:r>
    </w:p>
    <w:p w14:paraId="4F0303EC" w14:textId="6563B6EF" w:rsidR="00A61FF5" w:rsidRPr="004B6C01" w:rsidRDefault="00A61FF5" w:rsidP="00A61FF5">
      <w:pPr>
        <w:pStyle w:val="ESBodyText"/>
        <w:rPr>
          <w:lang w:val="en-AU"/>
        </w:rPr>
      </w:pPr>
      <w:r w:rsidRPr="004B6C01">
        <w:rPr>
          <w:lang w:val="en-AU"/>
        </w:rPr>
        <w:t>Except where indicated, these performance measures relate to:</w:t>
      </w:r>
    </w:p>
    <w:p w14:paraId="41BA60A2" w14:textId="77777777" w:rsidR="00A61FF5" w:rsidRPr="004B6C01" w:rsidRDefault="00A61FF5" w:rsidP="00A61FF5">
      <w:pPr>
        <w:pStyle w:val="ESBullet1indent"/>
        <w:rPr>
          <w:lang w:val="en-AU"/>
        </w:rPr>
      </w:pPr>
      <w:r w:rsidRPr="004B6C01">
        <w:rPr>
          <w:lang w:val="en-AU"/>
        </w:rPr>
        <w:t>the 2016 calendar year rather than the 2016–17 financial year</w:t>
      </w:r>
    </w:p>
    <w:p w14:paraId="2619EFE9" w14:textId="77777777" w:rsidR="00A61FF5" w:rsidRPr="004B6C01" w:rsidRDefault="00A61FF5" w:rsidP="00A61FF5">
      <w:pPr>
        <w:pStyle w:val="ESBullet1indent"/>
        <w:rPr>
          <w:lang w:val="en-AU"/>
        </w:rPr>
      </w:pPr>
      <w:r w:rsidRPr="004B6C01">
        <w:rPr>
          <w:lang w:val="en-AU"/>
        </w:rPr>
        <w:t>government and non-government schools.</w:t>
      </w:r>
    </w:p>
    <w:p w14:paraId="4C1574F1" w14:textId="172C3572" w:rsidR="00A61FF5" w:rsidRPr="004B6C01" w:rsidRDefault="00A61FF5"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9</w:t>
      </w:r>
      <w:r w:rsidR="00D93BA2" w:rsidRPr="004B6C01">
        <w:rPr>
          <w:noProof/>
          <w:lang w:val="en-AU"/>
        </w:rPr>
        <w:fldChar w:fldCharType="end"/>
      </w:r>
      <w:r w:rsidRPr="004B6C01">
        <w:rPr>
          <w:lang w:val="en-AU"/>
        </w:rPr>
        <w:t xml:space="preserve"> – School Education–Primary performance measures</w:t>
      </w:r>
    </w:p>
    <w:tbl>
      <w:tblPr>
        <w:tblW w:w="5015" w:type="pct"/>
        <w:tblInd w:w="-3" w:type="dxa"/>
        <w:tblLayout w:type="fixed"/>
        <w:tblCellMar>
          <w:left w:w="45" w:type="dxa"/>
          <w:right w:w="45" w:type="dxa"/>
        </w:tblCellMar>
        <w:tblLook w:val="0000" w:firstRow="0" w:lastRow="0" w:firstColumn="0" w:lastColumn="0" w:noHBand="0" w:noVBand="0"/>
      </w:tblPr>
      <w:tblGrid>
        <w:gridCol w:w="568"/>
        <w:gridCol w:w="2689"/>
        <w:gridCol w:w="542"/>
        <w:gridCol w:w="737"/>
        <w:gridCol w:w="705"/>
        <w:gridCol w:w="31"/>
        <w:gridCol w:w="736"/>
        <w:gridCol w:w="736"/>
        <w:gridCol w:w="620"/>
        <w:gridCol w:w="22"/>
      </w:tblGrid>
      <w:tr w:rsidR="00A15149" w:rsidRPr="00932A90" w14:paraId="0CC74CD0" w14:textId="77777777" w:rsidTr="000F3176">
        <w:trPr>
          <w:gridAfter w:val="1"/>
          <w:wAfter w:w="13" w:type="pct"/>
          <w:cantSplit/>
          <w:tblHeader/>
        </w:trPr>
        <w:tc>
          <w:tcPr>
            <w:tcW w:w="2572" w:type="pct"/>
            <w:gridSpan w:val="3"/>
            <w:shd w:val="clear" w:color="auto" w:fill="7F7F7F" w:themeFill="text1" w:themeFillTint="80"/>
          </w:tcPr>
          <w:p w14:paraId="6E341D56" w14:textId="77777777" w:rsidR="00A61FF5" w:rsidRPr="004B6C01" w:rsidRDefault="00A61FF5" w:rsidP="00D07480">
            <w:pPr>
              <w:pStyle w:val="ESTableheadingwhite75"/>
              <w:rPr>
                <w:lang w:val="en-AU"/>
              </w:rPr>
            </w:pPr>
            <w:r w:rsidRPr="004B6C01">
              <w:rPr>
                <w:lang w:val="en-AU"/>
              </w:rPr>
              <w:t>Performance measures</w:t>
            </w:r>
          </w:p>
        </w:tc>
        <w:tc>
          <w:tcPr>
            <w:tcW w:w="499" w:type="pct"/>
            <w:shd w:val="clear" w:color="auto" w:fill="7F7F7F" w:themeFill="text1" w:themeFillTint="80"/>
          </w:tcPr>
          <w:p w14:paraId="605659A3" w14:textId="77777777" w:rsidR="00A61FF5" w:rsidRPr="004B6C01" w:rsidRDefault="00A61FF5" w:rsidP="00D07480">
            <w:pPr>
              <w:pStyle w:val="ESTableheadingwhite75"/>
              <w:rPr>
                <w:lang w:val="en-AU"/>
              </w:rPr>
            </w:pPr>
            <w:r w:rsidRPr="004B6C01">
              <w:rPr>
                <w:lang w:val="en-AU"/>
              </w:rPr>
              <w:t>Unit of measure</w:t>
            </w:r>
          </w:p>
        </w:tc>
        <w:tc>
          <w:tcPr>
            <w:tcW w:w="498" w:type="pct"/>
            <w:gridSpan w:val="2"/>
            <w:shd w:val="clear" w:color="auto" w:fill="7F7F7F" w:themeFill="text1" w:themeFillTint="80"/>
          </w:tcPr>
          <w:p w14:paraId="6BB9A38B" w14:textId="77777777" w:rsidR="00A61FF5" w:rsidRPr="004B6C01" w:rsidRDefault="00A61FF5" w:rsidP="00D07480">
            <w:pPr>
              <w:pStyle w:val="ESTableheadingwhite75"/>
              <w:rPr>
                <w:lang w:val="en-AU"/>
              </w:rPr>
            </w:pPr>
            <w:r w:rsidRPr="004B6C01">
              <w:rPr>
                <w:lang w:val="en-AU"/>
              </w:rPr>
              <w:t>2016–17 Target</w:t>
            </w:r>
          </w:p>
        </w:tc>
        <w:tc>
          <w:tcPr>
            <w:tcW w:w="498" w:type="pct"/>
            <w:shd w:val="clear" w:color="auto" w:fill="7F7F7F" w:themeFill="text1" w:themeFillTint="80"/>
          </w:tcPr>
          <w:p w14:paraId="4BC409D3" w14:textId="77777777" w:rsidR="00A61FF5" w:rsidRPr="004B6C01" w:rsidRDefault="00A61FF5" w:rsidP="00D07480">
            <w:pPr>
              <w:pStyle w:val="ESTableheadingwhite75"/>
              <w:rPr>
                <w:lang w:val="en-AU"/>
              </w:rPr>
            </w:pPr>
            <w:r w:rsidRPr="004B6C01">
              <w:rPr>
                <w:lang w:val="en-AU"/>
              </w:rPr>
              <w:t>2016–17 Actual</w:t>
            </w:r>
          </w:p>
        </w:tc>
        <w:tc>
          <w:tcPr>
            <w:tcW w:w="498" w:type="pct"/>
            <w:shd w:val="clear" w:color="auto" w:fill="7F7F7F" w:themeFill="text1" w:themeFillTint="80"/>
          </w:tcPr>
          <w:p w14:paraId="3AB9C715" w14:textId="2974B384" w:rsidR="00A61FF5" w:rsidRPr="004B6C01" w:rsidRDefault="00660627" w:rsidP="00D07480">
            <w:pPr>
              <w:pStyle w:val="ESTableheadingwhite75"/>
              <w:rPr>
                <w:lang w:val="en-AU"/>
              </w:rPr>
            </w:pPr>
            <w:r w:rsidRPr="004B6C01">
              <w:rPr>
                <w:lang w:val="en-AU"/>
              </w:rPr>
              <w:t xml:space="preserve">Per cent </w:t>
            </w:r>
            <w:r w:rsidR="00A61FF5" w:rsidRPr="004B6C01">
              <w:rPr>
                <w:lang w:val="en-AU"/>
              </w:rPr>
              <w:t>variation</w:t>
            </w:r>
          </w:p>
        </w:tc>
        <w:tc>
          <w:tcPr>
            <w:tcW w:w="420" w:type="pct"/>
            <w:shd w:val="clear" w:color="auto" w:fill="7F7F7F" w:themeFill="text1" w:themeFillTint="80"/>
          </w:tcPr>
          <w:p w14:paraId="04174BE5" w14:textId="77777777" w:rsidR="00A61FF5" w:rsidRPr="004B6C01" w:rsidRDefault="00A61FF5" w:rsidP="00D07480">
            <w:pPr>
              <w:pStyle w:val="ESTableheadingwhite75"/>
              <w:rPr>
                <w:lang w:val="en-AU"/>
              </w:rPr>
            </w:pPr>
            <w:r w:rsidRPr="004B6C01">
              <w:rPr>
                <w:lang w:val="en-AU"/>
              </w:rPr>
              <w:t>Result</w:t>
            </w:r>
          </w:p>
        </w:tc>
      </w:tr>
      <w:tr w:rsidR="00A61FF5" w:rsidRPr="00932A90" w14:paraId="5C6163CC"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54DA7904" w14:textId="77777777" w:rsidR="00A61FF5" w:rsidRPr="004B6C01" w:rsidRDefault="00A61FF5" w:rsidP="009A0BAD">
            <w:pPr>
              <w:pStyle w:val="ESTableheading"/>
              <w:rPr>
                <w:lang w:val="en-AU"/>
              </w:rPr>
            </w:pPr>
            <w:r w:rsidRPr="004B6C01">
              <w:rPr>
                <w:lang w:val="en-AU"/>
              </w:rPr>
              <w:t>Quantity</w:t>
            </w:r>
          </w:p>
        </w:tc>
      </w:tr>
      <w:tr w:rsidR="00A15149" w:rsidRPr="00932A90" w14:paraId="7C36C30F" w14:textId="77777777" w:rsidTr="000F3176">
        <w:trPr>
          <w:gridAfter w:val="1"/>
          <w:wAfter w:w="13" w:type="pct"/>
          <w:cantSplit/>
        </w:trPr>
        <w:tc>
          <w:tcPr>
            <w:tcW w:w="2572" w:type="pct"/>
            <w:gridSpan w:val="3"/>
            <w:shd w:val="clear" w:color="auto" w:fill="auto"/>
          </w:tcPr>
          <w:p w14:paraId="1F3E5EAE" w14:textId="77777777" w:rsidR="00A61FF5" w:rsidRPr="004B6C01" w:rsidRDefault="00A61FF5" w:rsidP="00D07480">
            <w:pPr>
              <w:pStyle w:val="ESTableBody"/>
              <w:rPr>
                <w:lang w:val="en-AU"/>
              </w:rPr>
            </w:pPr>
            <w:r w:rsidRPr="004B6C01">
              <w:rPr>
                <w:lang w:val="en-AU"/>
              </w:rPr>
              <w:t>Average days lost due to absence at Year 5</w:t>
            </w:r>
          </w:p>
        </w:tc>
        <w:tc>
          <w:tcPr>
            <w:tcW w:w="499" w:type="pct"/>
            <w:shd w:val="clear" w:color="auto" w:fill="auto"/>
          </w:tcPr>
          <w:p w14:paraId="36C2FD52" w14:textId="77777777" w:rsidR="00A61FF5" w:rsidRPr="004B6C01" w:rsidRDefault="00A61FF5" w:rsidP="00D07480">
            <w:pPr>
              <w:pStyle w:val="ESTableBody"/>
              <w:rPr>
                <w:lang w:val="en-AU"/>
              </w:rPr>
            </w:pPr>
            <w:r w:rsidRPr="004B6C01">
              <w:rPr>
                <w:lang w:val="en-AU"/>
              </w:rPr>
              <w:t>number</w:t>
            </w:r>
          </w:p>
        </w:tc>
        <w:tc>
          <w:tcPr>
            <w:tcW w:w="498" w:type="pct"/>
            <w:gridSpan w:val="2"/>
            <w:shd w:val="clear" w:color="auto" w:fill="auto"/>
          </w:tcPr>
          <w:p w14:paraId="717D10E5" w14:textId="77777777" w:rsidR="00A61FF5" w:rsidRPr="004B6C01" w:rsidRDefault="00A61FF5" w:rsidP="00980848">
            <w:pPr>
              <w:pStyle w:val="ESTableBody"/>
              <w:jc w:val="right"/>
              <w:rPr>
                <w:lang w:val="en-AU"/>
              </w:rPr>
            </w:pPr>
            <w:r w:rsidRPr="004B6C01">
              <w:rPr>
                <w:lang w:val="en-AU"/>
              </w:rPr>
              <w:t>14.1</w:t>
            </w:r>
          </w:p>
        </w:tc>
        <w:tc>
          <w:tcPr>
            <w:tcW w:w="498" w:type="pct"/>
            <w:shd w:val="clear" w:color="auto" w:fill="auto"/>
          </w:tcPr>
          <w:p w14:paraId="65FE26C9" w14:textId="77777777" w:rsidR="00A61FF5" w:rsidRPr="004B6C01" w:rsidRDefault="00A61FF5" w:rsidP="00980848">
            <w:pPr>
              <w:pStyle w:val="ESTableBody"/>
              <w:jc w:val="right"/>
              <w:rPr>
                <w:lang w:val="en-AU"/>
              </w:rPr>
            </w:pPr>
            <w:r w:rsidRPr="004B6C01">
              <w:rPr>
                <w:lang w:val="en-AU"/>
              </w:rPr>
              <w:t>15.1</w:t>
            </w:r>
          </w:p>
        </w:tc>
        <w:tc>
          <w:tcPr>
            <w:tcW w:w="498" w:type="pct"/>
          </w:tcPr>
          <w:p w14:paraId="6222E820" w14:textId="77777777" w:rsidR="00A61FF5" w:rsidRPr="004B6C01" w:rsidRDefault="00A61FF5" w:rsidP="00980848">
            <w:pPr>
              <w:pStyle w:val="ESTableBody"/>
              <w:jc w:val="right"/>
              <w:rPr>
                <w:lang w:val="en-AU"/>
              </w:rPr>
            </w:pPr>
            <w:r w:rsidRPr="004B6C01">
              <w:rPr>
                <w:lang w:val="en-AU"/>
              </w:rPr>
              <w:t>-6.6</w:t>
            </w:r>
          </w:p>
        </w:tc>
        <w:tc>
          <w:tcPr>
            <w:tcW w:w="420" w:type="pct"/>
          </w:tcPr>
          <w:p w14:paraId="702FFE2C"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46C4F2E6"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5BE61800" w14:textId="77777777" w:rsidR="00A61FF5" w:rsidRPr="004B6C01" w:rsidRDefault="00A61FF5" w:rsidP="00D07480">
            <w:pPr>
              <w:pStyle w:val="ESTableBody"/>
              <w:rPr>
                <w:i/>
                <w:lang w:val="en-AU"/>
              </w:rPr>
            </w:pPr>
            <w:r w:rsidRPr="004B6C01">
              <w:rPr>
                <w:i/>
                <w:lang w:val="en-AU"/>
              </w:rPr>
              <w:t>This performance measure refers to government schools only. Average days lost covers all student absences, including those due to illness, approved family holidays and unapproved absences. A lower figure is more desirable, as it indicates that students are having fewer days away from school.</w:t>
            </w:r>
          </w:p>
          <w:p w14:paraId="25339417" w14:textId="77777777" w:rsidR="00A61FF5" w:rsidRPr="004B6C01" w:rsidRDefault="00A61FF5" w:rsidP="00D07480">
            <w:pPr>
              <w:pStyle w:val="ESTableBody"/>
              <w:rPr>
                <w:lang w:val="en-AU"/>
              </w:rPr>
            </w:pPr>
            <w:r w:rsidRPr="004B6C01">
              <w:rPr>
                <w:i/>
                <w:lang w:val="en-AU"/>
              </w:rPr>
              <w:t>The 2016–17 actual is higher than the 2016–17 target due to an increase in student absence across most year levels, with some indication of a ‘reporting effect’ resulting from the system’s increased focus on identifying student absence relative to previous years.</w:t>
            </w:r>
          </w:p>
        </w:tc>
      </w:tr>
      <w:tr w:rsidR="00A15149" w:rsidRPr="00932A90" w14:paraId="6E28D292" w14:textId="77777777" w:rsidTr="000F3176">
        <w:trPr>
          <w:gridAfter w:val="1"/>
          <w:wAfter w:w="13" w:type="pct"/>
          <w:cantSplit/>
        </w:trPr>
        <w:tc>
          <w:tcPr>
            <w:tcW w:w="2572" w:type="pct"/>
            <w:gridSpan w:val="3"/>
            <w:shd w:val="clear" w:color="auto" w:fill="auto"/>
          </w:tcPr>
          <w:p w14:paraId="0CA73268" w14:textId="77777777" w:rsidR="00A61FF5" w:rsidRPr="004B6C01" w:rsidRDefault="00A61FF5" w:rsidP="00D07480">
            <w:pPr>
              <w:pStyle w:val="ESTableBody"/>
              <w:rPr>
                <w:lang w:val="en-AU"/>
              </w:rPr>
            </w:pPr>
            <w:r w:rsidRPr="004B6C01">
              <w:rPr>
                <w:lang w:val="en-AU"/>
              </w:rPr>
              <w:t>Average days lost due to absence at Year 6</w:t>
            </w:r>
          </w:p>
        </w:tc>
        <w:tc>
          <w:tcPr>
            <w:tcW w:w="499" w:type="pct"/>
            <w:shd w:val="clear" w:color="auto" w:fill="auto"/>
          </w:tcPr>
          <w:p w14:paraId="054572E3" w14:textId="77777777" w:rsidR="00A61FF5" w:rsidRPr="004B6C01" w:rsidRDefault="00A61FF5" w:rsidP="00D07480">
            <w:pPr>
              <w:pStyle w:val="ESTableBody"/>
              <w:rPr>
                <w:lang w:val="en-AU"/>
              </w:rPr>
            </w:pPr>
            <w:r w:rsidRPr="004B6C01">
              <w:rPr>
                <w:lang w:val="en-AU"/>
              </w:rPr>
              <w:t>number</w:t>
            </w:r>
          </w:p>
        </w:tc>
        <w:tc>
          <w:tcPr>
            <w:tcW w:w="498" w:type="pct"/>
            <w:gridSpan w:val="2"/>
            <w:shd w:val="clear" w:color="auto" w:fill="auto"/>
          </w:tcPr>
          <w:p w14:paraId="54551D4B" w14:textId="77777777" w:rsidR="00A61FF5" w:rsidRPr="004B6C01" w:rsidRDefault="00A61FF5" w:rsidP="00980848">
            <w:pPr>
              <w:pStyle w:val="ESTableBody"/>
              <w:jc w:val="right"/>
              <w:rPr>
                <w:lang w:val="en-AU"/>
              </w:rPr>
            </w:pPr>
            <w:r w:rsidRPr="004B6C01">
              <w:rPr>
                <w:lang w:val="en-AU"/>
              </w:rPr>
              <w:t>14.5</w:t>
            </w:r>
          </w:p>
        </w:tc>
        <w:tc>
          <w:tcPr>
            <w:tcW w:w="498" w:type="pct"/>
            <w:shd w:val="clear" w:color="auto" w:fill="auto"/>
          </w:tcPr>
          <w:p w14:paraId="6051B43D" w14:textId="77777777" w:rsidR="00A61FF5" w:rsidRPr="004B6C01" w:rsidRDefault="00A61FF5" w:rsidP="00980848">
            <w:pPr>
              <w:pStyle w:val="ESTableBody"/>
              <w:jc w:val="right"/>
              <w:rPr>
                <w:lang w:val="en-AU"/>
              </w:rPr>
            </w:pPr>
            <w:r w:rsidRPr="004B6C01">
              <w:rPr>
                <w:lang w:val="en-AU"/>
              </w:rPr>
              <w:t>15.6</w:t>
            </w:r>
          </w:p>
        </w:tc>
        <w:tc>
          <w:tcPr>
            <w:tcW w:w="498" w:type="pct"/>
          </w:tcPr>
          <w:p w14:paraId="397C7AE0" w14:textId="77777777" w:rsidR="00A61FF5" w:rsidRPr="004B6C01" w:rsidRDefault="00A61FF5" w:rsidP="00980848">
            <w:pPr>
              <w:pStyle w:val="ESTableBody"/>
              <w:jc w:val="right"/>
              <w:rPr>
                <w:lang w:val="en-AU"/>
              </w:rPr>
            </w:pPr>
            <w:r w:rsidRPr="004B6C01">
              <w:rPr>
                <w:lang w:val="en-AU"/>
              </w:rPr>
              <w:t>-7.1</w:t>
            </w:r>
          </w:p>
        </w:tc>
        <w:tc>
          <w:tcPr>
            <w:tcW w:w="420" w:type="pct"/>
          </w:tcPr>
          <w:p w14:paraId="7782C0BC"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5C62BDB4"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2F2328FF" w14:textId="77777777" w:rsidR="00A61FF5" w:rsidRPr="004B6C01" w:rsidRDefault="00A61FF5" w:rsidP="00D07480">
            <w:pPr>
              <w:pStyle w:val="ESTableBody"/>
              <w:rPr>
                <w:i/>
                <w:lang w:val="en-AU"/>
              </w:rPr>
            </w:pPr>
            <w:r w:rsidRPr="004B6C01">
              <w:rPr>
                <w:i/>
                <w:lang w:val="en-AU"/>
              </w:rPr>
              <w:t>This performance measure refers to government schools only. Average days lost covers all student absences, including those due to illness, approved family holidays and unapproved absences. A lower figure is more desirable, as it indicates that students are having fewer days away from school.</w:t>
            </w:r>
          </w:p>
          <w:p w14:paraId="72E87F26" w14:textId="77777777" w:rsidR="00A61FF5" w:rsidRPr="004B6C01" w:rsidRDefault="00A61FF5" w:rsidP="00D07480">
            <w:pPr>
              <w:pStyle w:val="ESTableBody"/>
              <w:rPr>
                <w:lang w:val="en-AU"/>
              </w:rPr>
            </w:pPr>
            <w:r w:rsidRPr="004B6C01">
              <w:rPr>
                <w:i/>
                <w:lang w:val="en-AU"/>
              </w:rPr>
              <w:t>The 2016–17 actual is higher than the 2016–17 target due to an increase in student absence across most year levels, with some indication of a ‘reporting effect’ resulting from the system’s increased focus on identifying student absence relative to previous years.</w:t>
            </w:r>
          </w:p>
        </w:tc>
      </w:tr>
      <w:tr w:rsidR="00A15149" w:rsidRPr="00932A90" w14:paraId="12756D99" w14:textId="77777777" w:rsidTr="000F3176">
        <w:trPr>
          <w:gridAfter w:val="1"/>
          <w:wAfter w:w="13" w:type="pct"/>
          <w:cantSplit/>
        </w:trPr>
        <w:tc>
          <w:tcPr>
            <w:tcW w:w="2572" w:type="pct"/>
            <w:gridSpan w:val="3"/>
            <w:shd w:val="clear" w:color="auto" w:fill="auto"/>
          </w:tcPr>
          <w:p w14:paraId="5314879E" w14:textId="77777777" w:rsidR="00A61FF5" w:rsidRPr="004B6C01" w:rsidRDefault="00A61FF5" w:rsidP="00D07480">
            <w:pPr>
              <w:pStyle w:val="ESTableBody"/>
              <w:rPr>
                <w:lang w:val="en-AU"/>
              </w:rPr>
            </w:pPr>
            <w:r w:rsidRPr="004B6C01">
              <w:rPr>
                <w:lang w:val="en-AU"/>
              </w:rPr>
              <w:t>Investment in non-government schools (primary)</w:t>
            </w:r>
          </w:p>
        </w:tc>
        <w:tc>
          <w:tcPr>
            <w:tcW w:w="499" w:type="pct"/>
            <w:shd w:val="clear" w:color="auto" w:fill="auto"/>
          </w:tcPr>
          <w:p w14:paraId="55A3A172" w14:textId="77777777" w:rsidR="00A61FF5" w:rsidRPr="004B6C01" w:rsidRDefault="00A61FF5" w:rsidP="00D07480">
            <w:pPr>
              <w:pStyle w:val="ESTableBody"/>
              <w:rPr>
                <w:lang w:val="en-AU"/>
              </w:rPr>
            </w:pPr>
            <w:r w:rsidRPr="004B6C01">
              <w:rPr>
                <w:lang w:val="en-AU"/>
              </w:rPr>
              <w:t>$ million</w:t>
            </w:r>
          </w:p>
        </w:tc>
        <w:tc>
          <w:tcPr>
            <w:tcW w:w="498" w:type="pct"/>
            <w:gridSpan w:val="2"/>
            <w:shd w:val="clear" w:color="auto" w:fill="auto"/>
          </w:tcPr>
          <w:p w14:paraId="01758595" w14:textId="77777777" w:rsidR="00A61FF5" w:rsidRPr="004B6C01" w:rsidRDefault="00A61FF5" w:rsidP="00980848">
            <w:pPr>
              <w:pStyle w:val="ESTableBody"/>
              <w:jc w:val="right"/>
              <w:rPr>
                <w:lang w:val="en-AU"/>
              </w:rPr>
            </w:pPr>
            <w:r w:rsidRPr="004B6C01">
              <w:rPr>
                <w:lang w:val="en-AU"/>
              </w:rPr>
              <w:t>370.7</w:t>
            </w:r>
          </w:p>
        </w:tc>
        <w:tc>
          <w:tcPr>
            <w:tcW w:w="498" w:type="pct"/>
            <w:shd w:val="clear" w:color="auto" w:fill="auto"/>
          </w:tcPr>
          <w:p w14:paraId="14925F93" w14:textId="35FE6AEB" w:rsidR="00A61FF5" w:rsidRPr="004B6C01" w:rsidRDefault="00A61FF5" w:rsidP="00980848">
            <w:pPr>
              <w:pStyle w:val="ESTableBody"/>
              <w:jc w:val="right"/>
              <w:rPr>
                <w:lang w:val="en-AU"/>
              </w:rPr>
            </w:pPr>
            <w:r w:rsidRPr="004B6C01">
              <w:rPr>
                <w:lang w:val="en-AU"/>
              </w:rPr>
              <w:t>3</w:t>
            </w:r>
            <w:r w:rsidR="00C86AF4">
              <w:rPr>
                <w:lang w:val="en-AU"/>
              </w:rPr>
              <w:t>46.6</w:t>
            </w:r>
          </w:p>
        </w:tc>
        <w:tc>
          <w:tcPr>
            <w:tcW w:w="498" w:type="pct"/>
          </w:tcPr>
          <w:p w14:paraId="4E6957F4" w14:textId="2210B1DE" w:rsidR="00A61FF5" w:rsidRPr="004B6C01" w:rsidRDefault="00C86AF4" w:rsidP="00980848">
            <w:pPr>
              <w:pStyle w:val="ESTableBody"/>
              <w:jc w:val="right"/>
              <w:rPr>
                <w:lang w:val="en-AU"/>
              </w:rPr>
            </w:pPr>
            <w:r>
              <w:rPr>
                <w:lang w:val="en-AU"/>
              </w:rPr>
              <w:t>-6.5</w:t>
            </w:r>
          </w:p>
        </w:tc>
        <w:tc>
          <w:tcPr>
            <w:tcW w:w="420" w:type="pct"/>
          </w:tcPr>
          <w:p w14:paraId="3A6010E8" w14:textId="6C0ED4BA" w:rsidR="00A61FF5" w:rsidRPr="004B6C01" w:rsidRDefault="00F50C19" w:rsidP="00046452">
            <w:pPr>
              <w:pStyle w:val="ESTableBody"/>
              <w:jc w:val="center"/>
              <w:rPr>
                <w:lang w:val="en-AU"/>
              </w:rPr>
            </w:pPr>
            <w:r w:rsidRPr="004B6C01">
              <w:rPr>
                <w:lang w:val="en-AU"/>
              </w:rPr>
              <w:sym w:font="Wingdings" w:char="F0FC"/>
            </w:r>
          </w:p>
        </w:tc>
      </w:tr>
      <w:tr w:rsidR="00A61FF5" w:rsidRPr="00932A90" w14:paraId="468900FB"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3DFA4DD7" w14:textId="56E59469" w:rsidR="00A61FF5" w:rsidRPr="004B6C01" w:rsidRDefault="00564192" w:rsidP="00D07480">
            <w:pPr>
              <w:pStyle w:val="ESTableBody"/>
              <w:rPr>
                <w:i/>
                <w:lang w:val="en-AU"/>
              </w:rPr>
            </w:pPr>
            <w:r>
              <w:rPr>
                <w:i/>
                <w:lang w:val="en-AU"/>
              </w:rPr>
              <w:t>The 2016–</w:t>
            </w:r>
            <w:r w:rsidR="00C86AF4" w:rsidRPr="00C86AF4">
              <w:rPr>
                <w:i/>
                <w:lang w:val="en-AU"/>
              </w:rPr>
              <w:t xml:space="preserve">17 </w:t>
            </w:r>
            <w:r w:rsidR="002C227C">
              <w:rPr>
                <w:i/>
                <w:lang w:val="en-AU"/>
              </w:rPr>
              <w:t>a</w:t>
            </w:r>
            <w:r>
              <w:rPr>
                <w:i/>
                <w:lang w:val="en-AU"/>
              </w:rPr>
              <w:t>ctual is lower than the 2016–</w:t>
            </w:r>
            <w:r w:rsidR="00C86AF4" w:rsidRPr="00C86AF4">
              <w:rPr>
                <w:i/>
                <w:lang w:val="en-AU"/>
              </w:rPr>
              <w:t>17 Target primarily due to the timing in delivery of programs such as enrolment growth funding and capital gran</w:t>
            </w:r>
            <w:r>
              <w:rPr>
                <w:i/>
                <w:lang w:val="en-AU"/>
              </w:rPr>
              <w:t>ts. In addition, the lower 2016–</w:t>
            </w:r>
            <w:r w:rsidR="00C86AF4" w:rsidRPr="00C86AF4">
              <w:rPr>
                <w:i/>
                <w:lang w:val="en-AU"/>
              </w:rPr>
              <w:t>17 Actual is a result of the realignment of uncommitted capacity within the combined base and Fair Funding initiatives to reflect the actual funding requirement.</w:t>
            </w:r>
          </w:p>
        </w:tc>
      </w:tr>
      <w:tr w:rsidR="00A15149" w:rsidRPr="00932A90" w14:paraId="1AFF8474" w14:textId="77777777" w:rsidTr="000F3176">
        <w:trPr>
          <w:gridAfter w:val="1"/>
          <w:wAfter w:w="13" w:type="pct"/>
          <w:cantSplit/>
        </w:trPr>
        <w:tc>
          <w:tcPr>
            <w:tcW w:w="2572" w:type="pct"/>
            <w:gridSpan w:val="3"/>
            <w:shd w:val="clear" w:color="auto" w:fill="auto"/>
          </w:tcPr>
          <w:p w14:paraId="10F768CA" w14:textId="77777777" w:rsidR="00A61FF5" w:rsidRPr="004B6C01" w:rsidRDefault="00A61FF5" w:rsidP="00D07480">
            <w:pPr>
              <w:pStyle w:val="ESTableBody"/>
              <w:rPr>
                <w:lang w:val="en-AU"/>
              </w:rPr>
            </w:pPr>
            <w:r w:rsidRPr="004B6C01">
              <w:rPr>
                <w:lang w:val="en-AU"/>
              </w:rPr>
              <w:t>Percentage of government primary school students receiving equity funding</w:t>
            </w:r>
          </w:p>
        </w:tc>
        <w:tc>
          <w:tcPr>
            <w:tcW w:w="499" w:type="pct"/>
            <w:shd w:val="clear" w:color="auto" w:fill="auto"/>
          </w:tcPr>
          <w:p w14:paraId="7E7BCB6C"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6E37D75B" w14:textId="77777777" w:rsidR="00A61FF5" w:rsidRPr="004B6C01" w:rsidRDefault="00A61FF5" w:rsidP="00980848">
            <w:pPr>
              <w:pStyle w:val="ESTableBody"/>
              <w:jc w:val="right"/>
              <w:rPr>
                <w:lang w:val="en-AU"/>
              </w:rPr>
            </w:pPr>
            <w:r w:rsidRPr="004B6C01">
              <w:rPr>
                <w:lang w:val="en-AU"/>
              </w:rPr>
              <w:t>28</w:t>
            </w:r>
          </w:p>
        </w:tc>
        <w:tc>
          <w:tcPr>
            <w:tcW w:w="498" w:type="pct"/>
            <w:shd w:val="clear" w:color="auto" w:fill="auto"/>
          </w:tcPr>
          <w:p w14:paraId="6F4DB844" w14:textId="77777777" w:rsidR="00A61FF5" w:rsidRPr="004B6C01" w:rsidRDefault="00A61FF5" w:rsidP="00980848">
            <w:pPr>
              <w:pStyle w:val="ESTableBody"/>
              <w:jc w:val="right"/>
              <w:rPr>
                <w:lang w:val="en-AU"/>
              </w:rPr>
            </w:pPr>
            <w:r w:rsidRPr="004B6C01">
              <w:rPr>
                <w:lang w:val="en-AU"/>
              </w:rPr>
              <w:t>28</w:t>
            </w:r>
          </w:p>
        </w:tc>
        <w:tc>
          <w:tcPr>
            <w:tcW w:w="498" w:type="pct"/>
          </w:tcPr>
          <w:p w14:paraId="13A2EC70" w14:textId="77777777" w:rsidR="00A61FF5" w:rsidRPr="004B6C01" w:rsidRDefault="00A61FF5" w:rsidP="00980848">
            <w:pPr>
              <w:pStyle w:val="ESTableBody"/>
              <w:jc w:val="right"/>
              <w:rPr>
                <w:lang w:val="en-AU"/>
              </w:rPr>
            </w:pPr>
            <w:r w:rsidRPr="004B6C01">
              <w:rPr>
                <w:lang w:val="en-AU"/>
              </w:rPr>
              <w:t>0.0</w:t>
            </w:r>
          </w:p>
        </w:tc>
        <w:tc>
          <w:tcPr>
            <w:tcW w:w="420" w:type="pct"/>
          </w:tcPr>
          <w:p w14:paraId="6C552F2B"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3E964BD5"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tcPr>
          <w:p w14:paraId="5789051F" w14:textId="77777777" w:rsidR="00A61FF5" w:rsidRPr="004B6C01" w:rsidRDefault="00A61FF5" w:rsidP="00D07480">
            <w:pPr>
              <w:pStyle w:val="ESTableBody"/>
              <w:rPr>
                <w:i/>
                <w:lang w:val="en-AU"/>
              </w:rPr>
            </w:pPr>
            <w:r w:rsidRPr="004B6C01">
              <w:rPr>
                <w:i/>
                <w:lang w:val="en-AU"/>
              </w:rPr>
              <w:t>New performance measure for 2016–17 to reflect government’s Education State priorities. This performance measure relates to the calendar year. This performance measure refers to government schools only.</w:t>
            </w:r>
          </w:p>
        </w:tc>
      </w:tr>
      <w:tr w:rsidR="00A15149" w:rsidRPr="00932A90" w14:paraId="3C0C18B4" w14:textId="77777777" w:rsidTr="000F3176">
        <w:trPr>
          <w:gridAfter w:val="1"/>
          <w:wAfter w:w="13" w:type="pct"/>
          <w:cantSplit/>
        </w:trPr>
        <w:tc>
          <w:tcPr>
            <w:tcW w:w="2572" w:type="pct"/>
            <w:gridSpan w:val="3"/>
            <w:shd w:val="clear" w:color="auto" w:fill="auto"/>
          </w:tcPr>
          <w:p w14:paraId="26E7EE7E" w14:textId="77777777" w:rsidR="00A61FF5" w:rsidRPr="004B6C01" w:rsidRDefault="00A61FF5" w:rsidP="00D07480">
            <w:pPr>
              <w:pStyle w:val="ESTableBody"/>
              <w:rPr>
                <w:lang w:val="en-AU"/>
              </w:rPr>
            </w:pPr>
            <w:r w:rsidRPr="004B6C01">
              <w:rPr>
                <w:lang w:val="en-AU"/>
              </w:rPr>
              <w:t>Number of teachers completed professional development as Mathematics and Science Specialists</w:t>
            </w:r>
          </w:p>
        </w:tc>
        <w:tc>
          <w:tcPr>
            <w:tcW w:w="499" w:type="pct"/>
            <w:shd w:val="clear" w:color="auto" w:fill="auto"/>
          </w:tcPr>
          <w:p w14:paraId="2AB50F86" w14:textId="77777777" w:rsidR="00A61FF5" w:rsidRPr="004B6C01" w:rsidRDefault="00A61FF5" w:rsidP="00D07480">
            <w:pPr>
              <w:pStyle w:val="ESTableBody"/>
              <w:rPr>
                <w:lang w:val="en-AU"/>
              </w:rPr>
            </w:pPr>
            <w:r w:rsidRPr="004B6C01">
              <w:rPr>
                <w:lang w:val="en-AU"/>
              </w:rPr>
              <w:t>number</w:t>
            </w:r>
          </w:p>
        </w:tc>
        <w:tc>
          <w:tcPr>
            <w:tcW w:w="498" w:type="pct"/>
            <w:gridSpan w:val="2"/>
            <w:shd w:val="clear" w:color="auto" w:fill="auto"/>
          </w:tcPr>
          <w:p w14:paraId="7F21408C" w14:textId="77777777" w:rsidR="00A61FF5" w:rsidRPr="004B6C01" w:rsidRDefault="00A61FF5" w:rsidP="00980848">
            <w:pPr>
              <w:pStyle w:val="ESTableBody"/>
              <w:jc w:val="right"/>
              <w:rPr>
                <w:lang w:val="en-AU"/>
              </w:rPr>
            </w:pPr>
            <w:r w:rsidRPr="004B6C01">
              <w:rPr>
                <w:lang w:val="en-AU"/>
              </w:rPr>
              <w:t>100</w:t>
            </w:r>
          </w:p>
        </w:tc>
        <w:tc>
          <w:tcPr>
            <w:tcW w:w="498" w:type="pct"/>
            <w:shd w:val="clear" w:color="auto" w:fill="auto"/>
          </w:tcPr>
          <w:p w14:paraId="39B635E4" w14:textId="77777777" w:rsidR="00A61FF5" w:rsidRPr="004B6C01" w:rsidRDefault="00A61FF5" w:rsidP="00980848">
            <w:pPr>
              <w:pStyle w:val="ESTableBody"/>
              <w:jc w:val="right"/>
              <w:rPr>
                <w:lang w:val="en-AU"/>
              </w:rPr>
            </w:pPr>
            <w:r w:rsidRPr="004B6C01">
              <w:rPr>
                <w:lang w:val="en-AU"/>
              </w:rPr>
              <w:t>100</w:t>
            </w:r>
          </w:p>
        </w:tc>
        <w:tc>
          <w:tcPr>
            <w:tcW w:w="498" w:type="pct"/>
          </w:tcPr>
          <w:p w14:paraId="1E3E4F8F" w14:textId="77777777" w:rsidR="00A61FF5" w:rsidRPr="004B6C01" w:rsidRDefault="00A61FF5" w:rsidP="00980848">
            <w:pPr>
              <w:pStyle w:val="ESTableBody"/>
              <w:jc w:val="right"/>
              <w:rPr>
                <w:lang w:val="en-AU"/>
              </w:rPr>
            </w:pPr>
            <w:r w:rsidRPr="004B6C01">
              <w:rPr>
                <w:lang w:val="en-AU"/>
              </w:rPr>
              <w:t>0.0</w:t>
            </w:r>
          </w:p>
        </w:tc>
        <w:tc>
          <w:tcPr>
            <w:tcW w:w="420" w:type="pct"/>
          </w:tcPr>
          <w:p w14:paraId="577EF1B9"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5D020902"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tcPr>
          <w:p w14:paraId="371C8AB5" w14:textId="77777777" w:rsidR="00A61FF5" w:rsidRPr="004B6C01" w:rsidRDefault="00A61FF5" w:rsidP="00D07480">
            <w:pPr>
              <w:pStyle w:val="ESTableBody"/>
              <w:rPr>
                <w:i/>
                <w:lang w:val="en-AU"/>
              </w:rPr>
            </w:pPr>
            <w:r w:rsidRPr="004B6C01">
              <w:rPr>
                <w:i/>
                <w:lang w:val="en-AU"/>
              </w:rPr>
              <w:t>New performance measure for 2016–17 to reflect government’s Education State priorities. This performance measure refers to government schools only.</w:t>
            </w:r>
          </w:p>
        </w:tc>
      </w:tr>
      <w:tr w:rsidR="00A15149" w:rsidRPr="00932A90" w14:paraId="7CBA1DB4" w14:textId="77777777" w:rsidTr="000F3176">
        <w:trPr>
          <w:gridAfter w:val="1"/>
          <w:wAfter w:w="13" w:type="pct"/>
          <w:cantSplit/>
        </w:trPr>
        <w:tc>
          <w:tcPr>
            <w:tcW w:w="2572" w:type="pct"/>
            <w:gridSpan w:val="3"/>
            <w:shd w:val="clear" w:color="auto" w:fill="auto"/>
          </w:tcPr>
          <w:p w14:paraId="322087F7" w14:textId="77777777" w:rsidR="00A61FF5" w:rsidRPr="004B6C01" w:rsidRDefault="00A61FF5" w:rsidP="00D07480">
            <w:pPr>
              <w:pStyle w:val="ESTableBody"/>
              <w:rPr>
                <w:lang w:val="en-AU"/>
              </w:rPr>
            </w:pPr>
            <w:r w:rsidRPr="004B6C01">
              <w:rPr>
                <w:lang w:val="en-AU"/>
              </w:rPr>
              <w:t>Number of Assistant Principals participating in leadership development programs, including the Aspiring Principals Program</w:t>
            </w:r>
          </w:p>
        </w:tc>
        <w:tc>
          <w:tcPr>
            <w:tcW w:w="499" w:type="pct"/>
            <w:shd w:val="clear" w:color="auto" w:fill="auto"/>
          </w:tcPr>
          <w:p w14:paraId="250CDA56" w14:textId="77777777" w:rsidR="00A61FF5" w:rsidRPr="004B6C01" w:rsidRDefault="00A61FF5" w:rsidP="00D07480">
            <w:pPr>
              <w:pStyle w:val="ESTableBody"/>
              <w:rPr>
                <w:lang w:val="en-AU"/>
              </w:rPr>
            </w:pPr>
            <w:r w:rsidRPr="004B6C01">
              <w:rPr>
                <w:lang w:val="en-AU"/>
              </w:rPr>
              <w:t>number</w:t>
            </w:r>
          </w:p>
        </w:tc>
        <w:tc>
          <w:tcPr>
            <w:tcW w:w="498" w:type="pct"/>
            <w:gridSpan w:val="2"/>
            <w:shd w:val="clear" w:color="auto" w:fill="auto"/>
          </w:tcPr>
          <w:p w14:paraId="7920D348" w14:textId="77777777" w:rsidR="00A61FF5" w:rsidRPr="004B6C01" w:rsidRDefault="00A61FF5" w:rsidP="00E139AD">
            <w:pPr>
              <w:pStyle w:val="ESTableBody"/>
              <w:jc w:val="right"/>
              <w:rPr>
                <w:lang w:val="en-AU"/>
              </w:rPr>
            </w:pPr>
            <w:r w:rsidRPr="004B6C01">
              <w:rPr>
                <w:lang w:val="en-AU"/>
              </w:rPr>
              <w:t>470</w:t>
            </w:r>
          </w:p>
        </w:tc>
        <w:tc>
          <w:tcPr>
            <w:tcW w:w="498" w:type="pct"/>
            <w:shd w:val="clear" w:color="auto" w:fill="auto"/>
          </w:tcPr>
          <w:p w14:paraId="7B565A47" w14:textId="77777777" w:rsidR="00A61FF5" w:rsidRPr="004B6C01" w:rsidRDefault="00A61FF5" w:rsidP="00E139AD">
            <w:pPr>
              <w:pStyle w:val="ESTableBody"/>
              <w:jc w:val="right"/>
              <w:rPr>
                <w:lang w:val="en-AU"/>
              </w:rPr>
            </w:pPr>
            <w:r w:rsidRPr="004B6C01">
              <w:rPr>
                <w:lang w:val="en-AU"/>
              </w:rPr>
              <w:t>629</w:t>
            </w:r>
          </w:p>
        </w:tc>
        <w:tc>
          <w:tcPr>
            <w:tcW w:w="498" w:type="pct"/>
          </w:tcPr>
          <w:p w14:paraId="3AD25000" w14:textId="77777777" w:rsidR="00A61FF5" w:rsidRPr="004B6C01" w:rsidRDefault="00A61FF5" w:rsidP="00E139AD">
            <w:pPr>
              <w:pStyle w:val="ESTableBody"/>
              <w:jc w:val="right"/>
              <w:rPr>
                <w:lang w:val="en-AU"/>
              </w:rPr>
            </w:pPr>
            <w:r w:rsidRPr="004B6C01">
              <w:rPr>
                <w:lang w:val="en-AU"/>
              </w:rPr>
              <w:t>33.8</w:t>
            </w:r>
          </w:p>
        </w:tc>
        <w:tc>
          <w:tcPr>
            <w:tcW w:w="420" w:type="pct"/>
          </w:tcPr>
          <w:p w14:paraId="3153F3BB"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5F0F1FA3"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tcPr>
          <w:p w14:paraId="0B127B41" w14:textId="77777777" w:rsidR="00A61FF5" w:rsidRPr="004B6C01" w:rsidRDefault="00A61FF5" w:rsidP="00D07480">
            <w:pPr>
              <w:pStyle w:val="ESTableBody"/>
              <w:rPr>
                <w:i/>
                <w:lang w:val="en-AU"/>
              </w:rPr>
            </w:pPr>
            <w:r w:rsidRPr="004B6C01">
              <w:rPr>
                <w:i/>
                <w:lang w:val="en-AU"/>
              </w:rPr>
              <w:t>This performance measure refers to government schools only. The 2016–17 actual is higher than the 2016–17 target as the Bastow Institute delivered more professional practice workshops in 2016 (in comparison to previous years), as well as an increase in events relating to the Framework for Improving Student Outcomes and increased throughput in Bastow's Aspirant Principals Program (UP).</w:t>
            </w:r>
          </w:p>
        </w:tc>
      </w:tr>
      <w:tr w:rsidR="00A15149" w:rsidRPr="00932A90" w14:paraId="3E15E533" w14:textId="77777777" w:rsidTr="000F3176">
        <w:trPr>
          <w:gridAfter w:val="1"/>
          <w:wAfter w:w="13" w:type="pct"/>
          <w:cantSplit/>
        </w:trPr>
        <w:tc>
          <w:tcPr>
            <w:tcW w:w="2572" w:type="pct"/>
            <w:gridSpan w:val="3"/>
            <w:shd w:val="clear" w:color="auto" w:fill="auto"/>
          </w:tcPr>
          <w:p w14:paraId="623DA4CD" w14:textId="77777777" w:rsidR="00A61FF5" w:rsidRPr="004B6C01" w:rsidRDefault="00A61FF5" w:rsidP="00D07480">
            <w:pPr>
              <w:pStyle w:val="ESTableBody"/>
              <w:rPr>
                <w:lang w:val="en-AU"/>
              </w:rPr>
            </w:pPr>
            <w:r w:rsidRPr="004B6C01">
              <w:rPr>
                <w:lang w:val="en-AU"/>
              </w:rPr>
              <w:t>Number of Principals participating in statewide, centrally funded leadership development programs, including the Expert Leaders of Education Program</w:t>
            </w:r>
          </w:p>
        </w:tc>
        <w:tc>
          <w:tcPr>
            <w:tcW w:w="499" w:type="pct"/>
            <w:shd w:val="clear" w:color="auto" w:fill="auto"/>
          </w:tcPr>
          <w:p w14:paraId="71E83E96" w14:textId="77777777" w:rsidR="00A61FF5" w:rsidRPr="004B6C01" w:rsidRDefault="00A61FF5" w:rsidP="00D07480">
            <w:pPr>
              <w:pStyle w:val="ESTableBody"/>
              <w:rPr>
                <w:lang w:val="en-AU"/>
              </w:rPr>
            </w:pPr>
            <w:r w:rsidRPr="004B6C01">
              <w:rPr>
                <w:lang w:val="en-AU"/>
              </w:rPr>
              <w:t>number</w:t>
            </w:r>
          </w:p>
        </w:tc>
        <w:tc>
          <w:tcPr>
            <w:tcW w:w="498" w:type="pct"/>
            <w:gridSpan w:val="2"/>
            <w:shd w:val="clear" w:color="auto" w:fill="auto"/>
          </w:tcPr>
          <w:p w14:paraId="75B5F2D4" w14:textId="77777777" w:rsidR="00A61FF5" w:rsidRPr="004B6C01" w:rsidRDefault="00A61FF5" w:rsidP="00E139AD">
            <w:pPr>
              <w:pStyle w:val="ESTableBody"/>
              <w:jc w:val="right"/>
              <w:rPr>
                <w:lang w:val="en-AU"/>
              </w:rPr>
            </w:pPr>
            <w:r w:rsidRPr="004B6C01">
              <w:rPr>
                <w:lang w:val="en-AU"/>
              </w:rPr>
              <w:t>730</w:t>
            </w:r>
          </w:p>
        </w:tc>
        <w:tc>
          <w:tcPr>
            <w:tcW w:w="498" w:type="pct"/>
            <w:shd w:val="clear" w:color="auto" w:fill="auto"/>
          </w:tcPr>
          <w:p w14:paraId="6031B669" w14:textId="77777777" w:rsidR="00A61FF5" w:rsidRPr="004B6C01" w:rsidRDefault="00A61FF5" w:rsidP="00E139AD">
            <w:pPr>
              <w:pStyle w:val="ESTableBody"/>
              <w:jc w:val="right"/>
              <w:rPr>
                <w:lang w:val="en-AU"/>
              </w:rPr>
            </w:pPr>
            <w:r w:rsidRPr="004B6C01">
              <w:rPr>
                <w:lang w:val="en-AU"/>
              </w:rPr>
              <w:t>959</w:t>
            </w:r>
          </w:p>
        </w:tc>
        <w:tc>
          <w:tcPr>
            <w:tcW w:w="498" w:type="pct"/>
          </w:tcPr>
          <w:p w14:paraId="6E2FBCAC" w14:textId="77777777" w:rsidR="00A61FF5" w:rsidRPr="004B6C01" w:rsidRDefault="00A61FF5" w:rsidP="00E139AD">
            <w:pPr>
              <w:pStyle w:val="ESTableBody"/>
              <w:jc w:val="right"/>
              <w:rPr>
                <w:lang w:val="en-AU"/>
              </w:rPr>
            </w:pPr>
            <w:r w:rsidRPr="004B6C01">
              <w:rPr>
                <w:lang w:val="en-AU"/>
              </w:rPr>
              <w:t>31.4</w:t>
            </w:r>
          </w:p>
        </w:tc>
        <w:tc>
          <w:tcPr>
            <w:tcW w:w="420" w:type="pct"/>
          </w:tcPr>
          <w:p w14:paraId="38660D38"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419F0E04"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6906B6C8" w14:textId="77777777" w:rsidR="00A61FF5" w:rsidRPr="004B6C01" w:rsidRDefault="00A61FF5" w:rsidP="00D07480">
            <w:pPr>
              <w:pStyle w:val="ESTableBody"/>
              <w:rPr>
                <w:i/>
                <w:lang w:val="en-AU"/>
              </w:rPr>
            </w:pPr>
            <w:r w:rsidRPr="004B6C01">
              <w:rPr>
                <w:i/>
                <w:lang w:val="en-AU"/>
              </w:rPr>
              <w:t>This performance measure refers to government schools only. The 2016–17 actual is higher than the 2016–17 target as the Bastow Institute delivered more professional practice workshops in 2016 (in comparison to previous years), as well as an increase in events relating to the Framework for Improving Student Outcomes and a dedicated program for Network Chairs (WISE).</w:t>
            </w:r>
          </w:p>
        </w:tc>
      </w:tr>
      <w:tr w:rsidR="00A15149" w:rsidRPr="00932A90" w14:paraId="64D13C99" w14:textId="77777777" w:rsidTr="000F3176">
        <w:trPr>
          <w:gridAfter w:val="1"/>
          <w:wAfter w:w="13" w:type="pct"/>
          <w:cantSplit/>
          <w:trHeight w:val="771"/>
        </w:trPr>
        <w:tc>
          <w:tcPr>
            <w:tcW w:w="2572" w:type="pct"/>
            <w:gridSpan w:val="3"/>
            <w:shd w:val="clear" w:color="auto" w:fill="auto"/>
          </w:tcPr>
          <w:p w14:paraId="0DE996DC" w14:textId="77777777" w:rsidR="00A61FF5" w:rsidRPr="004B6C01" w:rsidRDefault="00A61FF5" w:rsidP="00D07480">
            <w:pPr>
              <w:pStyle w:val="ESTableBody"/>
              <w:rPr>
                <w:lang w:val="en-AU"/>
              </w:rPr>
            </w:pPr>
            <w:r w:rsidRPr="004B6C01">
              <w:rPr>
                <w:lang w:val="en-AU"/>
              </w:rPr>
              <w:t>Number of school staff who are not principals or assistant principals participating in leadership development programs, including the Aspiring Principals Program and the Local Leaders Program</w:t>
            </w:r>
          </w:p>
        </w:tc>
        <w:tc>
          <w:tcPr>
            <w:tcW w:w="499" w:type="pct"/>
            <w:shd w:val="clear" w:color="auto" w:fill="auto"/>
          </w:tcPr>
          <w:p w14:paraId="554D1C82" w14:textId="77777777" w:rsidR="00A61FF5" w:rsidRPr="004B6C01" w:rsidRDefault="00A61FF5" w:rsidP="00D07480">
            <w:pPr>
              <w:pStyle w:val="ESTableBody"/>
              <w:rPr>
                <w:lang w:val="en-AU"/>
              </w:rPr>
            </w:pPr>
            <w:r w:rsidRPr="004B6C01">
              <w:rPr>
                <w:lang w:val="en-AU"/>
              </w:rPr>
              <w:t>number</w:t>
            </w:r>
          </w:p>
        </w:tc>
        <w:tc>
          <w:tcPr>
            <w:tcW w:w="498" w:type="pct"/>
            <w:gridSpan w:val="2"/>
            <w:shd w:val="clear" w:color="auto" w:fill="auto"/>
          </w:tcPr>
          <w:p w14:paraId="0A4B95F9" w14:textId="77777777" w:rsidR="00A61FF5" w:rsidRPr="004B6C01" w:rsidRDefault="00A61FF5" w:rsidP="00E139AD">
            <w:pPr>
              <w:pStyle w:val="ESTableBody"/>
              <w:jc w:val="right"/>
              <w:rPr>
                <w:lang w:val="en-AU"/>
              </w:rPr>
            </w:pPr>
            <w:r w:rsidRPr="004B6C01">
              <w:rPr>
                <w:lang w:val="en-AU"/>
              </w:rPr>
              <w:t>1,950</w:t>
            </w:r>
          </w:p>
        </w:tc>
        <w:tc>
          <w:tcPr>
            <w:tcW w:w="498" w:type="pct"/>
            <w:shd w:val="clear" w:color="auto" w:fill="auto"/>
          </w:tcPr>
          <w:p w14:paraId="10C536C5" w14:textId="77777777" w:rsidR="00A61FF5" w:rsidRPr="004B6C01" w:rsidRDefault="00A61FF5" w:rsidP="00E139AD">
            <w:pPr>
              <w:pStyle w:val="ESTableBody"/>
              <w:jc w:val="right"/>
              <w:rPr>
                <w:lang w:val="en-AU"/>
              </w:rPr>
            </w:pPr>
            <w:r w:rsidRPr="004B6C01">
              <w:rPr>
                <w:lang w:val="en-AU"/>
              </w:rPr>
              <w:t>3,185</w:t>
            </w:r>
          </w:p>
        </w:tc>
        <w:tc>
          <w:tcPr>
            <w:tcW w:w="498" w:type="pct"/>
          </w:tcPr>
          <w:p w14:paraId="78D2D7B7" w14:textId="77777777" w:rsidR="00A61FF5" w:rsidRPr="004B6C01" w:rsidRDefault="00A61FF5" w:rsidP="00E139AD">
            <w:pPr>
              <w:pStyle w:val="ESTableBody"/>
              <w:jc w:val="right"/>
              <w:rPr>
                <w:lang w:val="en-AU"/>
              </w:rPr>
            </w:pPr>
            <w:r w:rsidRPr="004B6C01">
              <w:rPr>
                <w:lang w:val="en-AU"/>
              </w:rPr>
              <w:t>63.3</w:t>
            </w:r>
          </w:p>
        </w:tc>
        <w:tc>
          <w:tcPr>
            <w:tcW w:w="420" w:type="pct"/>
          </w:tcPr>
          <w:p w14:paraId="4BAA7181"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31C947E4" w14:textId="77777777" w:rsidTr="000F3176">
        <w:tblPrEx>
          <w:tblBorders>
            <w:bottom w:val="single" w:sz="12" w:space="0" w:color="777777"/>
          </w:tblBorders>
        </w:tblPrEx>
        <w:trPr>
          <w:gridAfter w:val="1"/>
          <w:wAfter w:w="13" w:type="pct"/>
          <w:cantSplit/>
        </w:trPr>
        <w:tc>
          <w:tcPr>
            <w:tcW w:w="4985" w:type="pct"/>
            <w:gridSpan w:val="9"/>
            <w:tcBorders>
              <w:bottom w:val="single" w:sz="4" w:space="0" w:color="auto"/>
            </w:tcBorders>
            <w:shd w:val="clear" w:color="auto" w:fill="auto"/>
          </w:tcPr>
          <w:p w14:paraId="4A0EB883" w14:textId="77777777" w:rsidR="00A61FF5" w:rsidRPr="004B6C01" w:rsidRDefault="00A61FF5" w:rsidP="00D07480">
            <w:pPr>
              <w:pStyle w:val="ESTableBody"/>
              <w:rPr>
                <w:i/>
                <w:lang w:val="en-AU"/>
              </w:rPr>
            </w:pPr>
            <w:r w:rsidRPr="004B6C01">
              <w:rPr>
                <w:i/>
                <w:lang w:val="en-AU"/>
              </w:rPr>
              <w:t>This performance measure refers to government schools only. This performance measure includes all school staff (teaching and education support). The 2016–17 actual is higher than the 2016–17 target as the Bastow Institute delivered more professional practice workshops in 2016 (in comparison to previous years), as well as an increase in events relating to the Framework for Improving Student Outcomes.</w:t>
            </w:r>
          </w:p>
        </w:tc>
      </w:tr>
      <w:tr w:rsidR="00A61FF5" w:rsidRPr="00932A90" w14:paraId="1E359115" w14:textId="77777777" w:rsidTr="000F3176">
        <w:tblPrEx>
          <w:tblBorders>
            <w:bottom w:val="single" w:sz="12" w:space="0" w:color="777777"/>
          </w:tblBorders>
        </w:tblPrEx>
        <w:trPr>
          <w:gridAfter w:val="1"/>
          <w:wAfter w:w="13" w:type="pct"/>
          <w:cantSplit/>
        </w:trPr>
        <w:tc>
          <w:tcPr>
            <w:tcW w:w="4985" w:type="pct"/>
            <w:gridSpan w:val="9"/>
            <w:tcBorders>
              <w:top w:val="single" w:sz="4" w:space="0" w:color="auto"/>
            </w:tcBorders>
            <w:shd w:val="clear" w:color="auto" w:fill="auto"/>
          </w:tcPr>
          <w:p w14:paraId="11D7C88D" w14:textId="77777777" w:rsidR="00A61FF5" w:rsidRPr="004B6C01" w:rsidRDefault="00A61FF5" w:rsidP="009A0BAD">
            <w:pPr>
              <w:pStyle w:val="ESTableheading"/>
              <w:rPr>
                <w:lang w:val="en-AU"/>
              </w:rPr>
            </w:pPr>
            <w:r w:rsidRPr="004B6C01">
              <w:rPr>
                <w:lang w:val="en-AU"/>
              </w:rPr>
              <w:t>Quality</w:t>
            </w:r>
          </w:p>
        </w:tc>
      </w:tr>
      <w:tr w:rsidR="00A15149" w:rsidRPr="00932A90" w14:paraId="1AF6602D" w14:textId="77777777" w:rsidTr="000F3176">
        <w:trPr>
          <w:gridAfter w:val="1"/>
          <w:wAfter w:w="13" w:type="pct"/>
          <w:cantSplit/>
        </w:trPr>
        <w:tc>
          <w:tcPr>
            <w:tcW w:w="2572" w:type="pct"/>
            <w:gridSpan w:val="3"/>
            <w:shd w:val="clear" w:color="auto" w:fill="auto"/>
          </w:tcPr>
          <w:p w14:paraId="080B8D87" w14:textId="370F461F" w:rsidR="00A61FF5" w:rsidRPr="004B6C01" w:rsidRDefault="00A61FF5" w:rsidP="000F3176">
            <w:pPr>
              <w:pStyle w:val="ESTableBody"/>
              <w:rPr>
                <w:lang w:val="en-AU"/>
              </w:rPr>
            </w:pPr>
            <w:r w:rsidRPr="004B6C01">
              <w:rPr>
                <w:lang w:val="en-AU"/>
              </w:rPr>
              <w:t>Parent satisfaction with primary schooling on a 100</w:t>
            </w:r>
            <w:r w:rsidR="000F3176" w:rsidRPr="004B6C01">
              <w:rPr>
                <w:lang w:val="en-AU"/>
              </w:rPr>
              <w:noBreakHyphen/>
            </w:r>
            <w:r w:rsidRPr="004B6C01">
              <w:rPr>
                <w:lang w:val="en-AU"/>
              </w:rPr>
              <w:t>point scale</w:t>
            </w:r>
          </w:p>
        </w:tc>
        <w:tc>
          <w:tcPr>
            <w:tcW w:w="499" w:type="pct"/>
            <w:shd w:val="clear" w:color="auto" w:fill="auto"/>
          </w:tcPr>
          <w:p w14:paraId="3E411EAD" w14:textId="77777777" w:rsidR="00A61FF5" w:rsidRPr="004B6C01" w:rsidRDefault="00A61FF5" w:rsidP="00D07480">
            <w:pPr>
              <w:pStyle w:val="ESTableBody"/>
              <w:rPr>
                <w:lang w:val="en-AU"/>
              </w:rPr>
            </w:pPr>
            <w:r w:rsidRPr="004B6C01">
              <w:rPr>
                <w:lang w:val="en-AU"/>
              </w:rPr>
              <w:t>100-point scale</w:t>
            </w:r>
          </w:p>
        </w:tc>
        <w:tc>
          <w:tcPr>
            <w:tcW w:w="498" w:type="pct"/>
            <w:gridSpan w:val="2"/>
            <w:shd w:val="clear" w:color="auto" w:fill="auto"/>
          </w:tcPr>
          <w:p w14:paraId="6342BA3F" w14:textId="77777777" w:rsidR="00A61FF5" w:rsidRPr="004B6C01" w:rsidRDefault="00A61FF5" w:rsidP="00E139AD">
            <w:pPr>
              <w:pStyle w:val="ESTableBody"/>
              <w:jc w:val="right"/>
              <w:rPr>
                <w:lang w:val="en-AU"/>
              </w:rPr>
            </w:pPr>
            <w:r w:rsidRPr="004B6C01">
              <w:rPr>
                <w:lang w:val="en-AU"/>
              </w:rPr>
              <w:t>83</w:t>
            </w:r>
          </w:p>
        </w:tc>
        <w:tc>
          <w:tcPr>
            <w:tcW w:w="498" w:type="pct"/>
            <w:shd w:val="clear" w:color="auto" w:fill="auto"/>
          </w:tcPr>
          <w:p w14:paraId="11EFF634" w14:textId="77777777" w:rsidR="00A61FF5" w:rsidRPr="004B6C01" w:rsidRDefault="00A61FF5" w:rsidP="00E139AD">
            <w:pPr>
              <w:pStyle w:val="ESTableBody"/>
              <w:jc w:val="right"/>
              <w:rPr>
                <w:lang w:val="en-AU"/>
              </w:rPr>
            </w:pPr>
            <w:r w:rsidRPr="004B6C01">
              <w:rPr>
                <w:lang w:val="en-AU"/>
              </w:rPr>
              <w:t>82</w:t>
            </w:r>
          </w:p>
        </w:tc>
        <w:tc>
          <w:tcPr>
            <w:tcW w:w="498" w:type="pct"/>
          </w:tcPr>
          <w:p w14:paraId="3DC4F146" w14:textId="77777777" w:rsidR="00A61FF5" w:rsidRPr="004B6C01" w:rsidRDefault="00A61FF5" w:rsidP="00E139AD">
            <w:pPr>
              <w:pStyle w:val="ESTableBody"/>
              <w:jc w:val="right"/>
              <w:rPr>
                <w:lang w:val="en-AU"/>
              </w:rPr>
            </w:pPr>
            <w:r w:rsidRPr="004B6C01">
              <w:rPr>
                <w:lang w:val="en-AU"/>
              </w:rPr>
              <w:t>-1.2</w:t>
            </w:r>
          </w:p>
        </w:tc>
        <w:tc>
          <w:tcPr>
            <w:tcW w:w="420" w:type="pct"/>
          </w:tcPr>
          <w:p w14:paraId="4768CFBD"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06C0C165"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78D46201" w14:textId="77777777" w:rsidR="00A61FF5" w:rsidRPr="004B6C01" w:rsidRDefault="00A61FF5" w:rsidP="00D07480">
            <w:pPr>
              <w:pStyle w:val="ESTableBody"/>
              <w:rPr>
                <w:i/>
                <w:lang w:val="en-AU"/>
              </w:rPr>
            </w:pPr>
            <w:r w:rsidRPr="004B6C01">
              <w:rPr>
                <w:i/>
                <w:lang w:val="en-AU"/>
              </w:rPr>
              <w:t>This performance measure refers to government schools only. Data is drawn from the Parent Opinion Survey, where a higher score represents a higher level of satisfaction. The 2016–17 actual is lower than the 2016–17 target as schools select 15 per cent of parents randomly (for schools over 40 students), and variance between calendar year results may reflect sampling variance.</w:t>
            </w:r>
          </w:p>
        </w:tc>
      </w:tr>
      <w:tr w:rsidR="00A15149" w:rsidRPr="00932A90" w14:paraId="148586A3" w14:textId="77777777" w:rsidTr="000F3176">
        <w:trPr>
          <w:gridAfter w:val="1"/>
          <w:wAfter w:w="13" w:type="pct"/>
          <w:cantSplit/>
        </w:trPr>
        <w:tc>
          <w:tcPr>
            <w:tcW w:w="2572" w:type="pct"/>
            <w:gridSpan w:val="3"/>
            <w:shd w:val="clear" w:color="auto" w:fill="auto"/>
          </w:tcPr>
          <w:p w14:paraId="2BC7EB14" w14:textId="77777777" w:rsidR="00A61FF5" w:rsidRPr="004B6C01" w:rsidRDefault="00A61FF5" w:rsidP="00D07480">
            <w:pPr>
              <w:pStyle w:val="ESTableBody"/>
              <w:rPr>
                <w:lang w:val="en-AU"/>
              </w:rPr>
            </w:pPr>
            <w:r w:rsidRPr="004B6C01">
              <w:rPr>
                <w:lang w:val="en-AU"/>
              </w:rPr>
              <w:t>Percentage of Aboriginal students above the bottom three bands for numeracy in Year 3 (NAPLAN testing)</w:t>
            </w:r>
          </w:p>
        </w:tc>
        <w:tc>
          <w:tcPr>
            <w:tcW w:w="499" w:type="pct"/>
            <w:shd w:val="clear" w:color="auto" w:fill="auto"/>
          </w:tcPr>
          <w:p w14:paraId="2F921843"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12B98C72" w14:textId="77777777" w:rsidR="00A61FF5" w:rsidRPr="004B6C01" w:rsidRDefault="00A61FF5" w:rsidP="00E139AD">
            <w:pPr>
              <w:pStyle w:val="ESTableBody"/>
              <w:jc w:val="right"/>
              <w:rPr>
                <w:lang w:val="en-AU"/>
              </w:rPr>
            </w:pPr>
            <w:r w:rsidRPr="004B6C01">
              <w:rPr>
                <w:lang w:val="en-AU"/>
              </w:rPr>
              <w:t>43.9</w:t>
            </w:r>
          </w:p>
        </w:tc>
        <w:tc>
          <w:tcPr>
            <w:tcW w:w="498" w:type="pct"/>
            <w:shd w:val="clear" w:color="auto" w:fill="auto"/>
          </w:tcPr>
          <w:p w14:paraId="734DBD8A" w14:textId="77777777" w:rsidR="00A61FF5" w:rsidRPr="004B6C01" w:rsidRDefault="00A61FF5" w:rsidP="00E139AD">
            <w:pPr>
              <w:pStyle w:val="ESTableBody"/>
              <w:jc w:val="right"/>
              <w:rPr>
                <w:lang w:val="en-AU"/>
              </w:rPr>
            </w:pPr>
            <w:r w:rsidRPr="004B6C01">
              <w:rPr>
                <w:lang w:val="en-AU"/>
              </w:rPr>
              <w:t>40.7</w:t>
            </w:r>
          </w:p>
        </w:tc>
        <w:tc>
          <w:tcPr>
            <w:tcW w:w="498" w:type="pct"/>
          </w:tcPr>
          <w:p w14:paraId="086D45F5" w14:textId="77777777" w:rsidR="00A61FF5" w:rsidRPr="004B6C01" w:rsidRDefault="00A61FF5" w:rsidP="00E139AD">
            <w:pPr>
              <w:pStyle w:val="ESTableBody"/>
              <w:jc w:val="right"/>
              <w:rPr>
                <w:lang w:val="en-AU"/>
              </w:rPr>
            </w:pPr>
            <w:r w:rsidRPr="004B6C01">
              <w:rPr>
                <w:lang w:val="en-AU"/>
              </w:rPr>
              <w:t>-7.3</w:t>
            </w:r>
          </w:p>
        </w:tc>
        <w:tc>
          <w:tcPr>
            <w:tcW w:w="420" w:type="pct"/>
          </w:tcPr>
          <w:p w14:paraId="63216DFE"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13212CB3"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618ADB21"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27055882" w14:textId="77777777" w:rsidR="00A61FF5" w:rsidRPr="004B6C01" w:rsidRDefault="00A61FF5" w:rsidP="00D07480">
            <w:pPr>
              <w:pStyle w:val="ESTableBody"/>
              <w:rPr>
                <w:lang w:val="en-AU"/>
              </w:rPr>
            </w:pPr>
            <w:r w:rsidRPr="004B6C01">
              <w:rPr>
                <w:i/>
                <w:lang w:val="en-AU"/>
              </w:rPr>
              <w:t>When interpreting results, a 95 per cent confidence interval of +/- 3.18 percentage points needs to be considered as the reported number is an estimate of the student ability for which there is associated measurement error, standard to any such assessment.</w:t>
            </w:r>
          </w:p>
        </w:tc>
      </w:tr>
      <w:tr w:rsidR="00A15149" w:rsidRPr="00932A90" w14:paraId="5020C78A" w14:textId="77777777" w:rsidTr="000F3176">
        <w:trPr>
          <w:gridAfter w:val="1"/>
          <w:wAfter w:w="13" w:type="pct"/>
          <w:cantSplit/>
        </w:trPr>
        <w:tc>
          <w:tcPr>
            <w:tcW w:w="2572" w:type="pct"/>
            <w:gridSpan w:val="3"/>
            <w:shd w:val="clear" w:color="auto" w:fill="auto"/>
          </w:tcPr>
          <w:p w14:paraId="7ABC8EB7" w14:textId="77777777" w:rsidR="00A61FF5" w:rsidRPr="004B6C01" w:rsidRDefault="00A61FF5" w:rsidP="00D07480">
            <w:pPr>
              <w:pStyle w:val="ESTableBody"/>
              <w:rPr>
                <w:lang w:val="en-AU"/>
              </w:rPr>
            </w:pPr>
            <w:r w:rsidRPr="004B6C01">
              <w:rPr>
                <w:lang w:val="en-AU"/>
              </w:rPr>
              <w:t>Percentage of Aboriginal students above the bottom three bands for numeracy in Year 5 (NAPLAN testing)</w:t>
            </w:r>
          </w:p>
        </w:tc>
        <w:tc>
          <w:tcPr>
            <w:tcW w:w="499" w:type="pct"/>
            <w:shd w:val="clear" w:color="auto" w:fill="auto"/>
          </w:tcPr>
          <w:p w14:paraId="2EBBEB75"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7A44AD69" w14:textId="77777777" w:rsidR="00A61FF5" w:rsidRPr="004B6C01" w:rsidRDefault="00A61FF5" w:rsidP="00E139AD">
            <w:pPr>
              <w:pStyle w:val="ESTableBody"/>
              <w:jc w:val="right"/>
              <w:rPr>
                <w:lang w:val="en-AU"/>
              </w:rPr>
            </w:pPr>
            <w:r w:rsidRPr="004B6C01">
              <w:rPr>
                <w:lang w:val="en-AU"/>
              </w:rPr>
              <w:t>33.4</w:t>
            </w:r>
          </w:p>
        </w:tc>
        <w:tc>
          <w:tcPr>
            <w:tcW w:w="498" w:type="pct"/>
            <w:shd w:val="clear" w:color="auto" w:fill="auto"/>
          </w:tcPr>
          <w:p w14:paraId="37BD810B" w14:textId="77777777" w:rsidR="00A61FF5" w:rsidRPr="004B6C01" w:rsidRDefault="00A61FF5" w:rsidP="00E139AD">
            <w:pPr>
              <w:pStyle w:val="ESTableBody"/>
              <w:jc w:val="right"/>
              <w:rPr>
                <w:lang w:val="en-AU"/>
              </w:rPr>
            </w:pPr>
            <w:r w:rsidRPr="004B6C01">
              <w:rPr>
                <w:lang w:val="en-AU"/>
              </w:rPr>
              <w:t>30.1</w:t>
            </w:r>
          </w:p>
        </w:tc>
        <w:tc>
          <w:tcPr>
            <w:tcW w:w="498" w:type="pct"/>
          </w:tcPr>
          <w:p w14:paraId="7C0C4C0C" w14:textId="77777777" w:rsidR="00A61FF5" w:rsidRPr="004B6C01" w:rsidRDefault="00A61FF5" w:rsidP="00E139AD">
            <w:pPr>
              <w:pStyle w:val="ESTableBody"/>
              <w:jc w:val="right"/>
              <w:rPr>
                <w:lang w:val="en-AU"/>
              </w:rPr>
            </w:pPr>
            <w:r w:rsidRPr="004B6C01">
              <w:rPr>
                <w:lang w:val="en-AU"/>
              </w:rPr>
              <w:t>-9.9</w:t>
            </w:r>
          </w:p>
        </w:tc>
        <w:tc>
          <w:tcPr>
            <w:tcW w:w="420" w:type="pct"/>
          </w:tcPr>
          <w:p w14:paraId="7ECE6C61"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7609D57C"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1493CE2E" w14:textId="77777777" w:rsidR="00A61FF5" w:rsidRPr="004B6C01" w:rsidRDefault="00A61FF5" w:rsidP="00D07480">
            <w:pPr>
              <w:pStyle w:val="ESTableBody"/>
              <w:rPr>
                <w:lang w:val="en-AU"/>
              </w:rPr>
            </w:pPr>
            <w:r w:rsidRPr="004B6C01">
              <w:rPr>
                <w:lang w:val="en-AU"/>
              </w:rPr>
              <w:t>This performance measure relates to student performance assessed in May 2016.</w:t>
            </w:r>
          </w:p>
          <w:p w14:paraId="05597469" w14:textId="77777777" w:rsidR="00A61FF5" w:rsidRPr="004B6C01" w:rsidRDefault="00A61FF5" w:rsidP="00D07480">
            <w:pPr>
              <w:pStyle w:val="ESTableBody"/>
              <w:rPr>
                <w:i/>
                <w:lang w:val="en-AU"/>
              </w:rPr>
            </w:pPr>
            <w:r w:rsidRPr="004B6C01">
              <w:rPr>
                <w:i/>
                <w:lang w:val="en-AU"/>
              </w:rPr>
              <w:t>When interpreting results, a 95 per cent confidence interval of +/- 2.97 percentage points needs to be considered as the reported number is an estimate of the student ability for which there is associated measurement error, standard to any such assessment.</w:t>
            </w:r>
          </w:p>
          <w:p w14:paraId="53D38E60" w14:textId="77777777" w:rsidR="00A61FF5" w:rsidRPr="004B6C01" w:rsidRDefault="00A61FF5" w:rsidP="00D07480">
            <w:pPr>
              <w:pStyle w:val="ESTableBody"/>
              <w:rPr>
                <w:i/>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and Marrung initiatives.</w:t>
            </w:r>
          </w:p>
        </w:tc>
      </w:tr>
      <w:tr w:rsidR="00A15149" w:rsidRPr="00932A90" w14:paraId="66DC5820" w14:textId="77777777" w:rsidTr="000F3176">
        <w:trPr>
          <w:gridAfter w:val="1"/>
          <w:wAfter w:w="13" w:type="pct"/>
          <w:cantSplit/>
        </w:trPr>
        <w:tc>
          <w:tcPr>
            <w:tcW w:w="2572" w:type="pct"/>
            <w:gridSpan w:val="3"/>
            <w:shd w:val="clear" w:color="auto" w:fill="auto"/>
          </w:tcPr>
          <w:p w14:paraId="724FE35D" w14:textId="77777777" w:rsidR="00A61FF5" w:rsidRPr="004B6C01" w:rsidRDefault="00A61FF5" w:rsidP="00D07480">
            <w:pPr>
              <w:pStyle w:val="ESTableBody"/>
              <w:rPr>
                <w:lang w:val="en-AU"/>
              </w:rPr>
            </w:pPr>
            <w:r w:rsidRPr="004B6C01">
              <w:rPr>
                <w:lang w:val="en-AU"/>
              </w:rPr>
              <w:t>Percentage of Aboriginal students above the bottom three bands for reading in Year 3 (NAPLAN testing)</w:t>
            </w:r>
          </w:p>
        </w:tc>
        <w:tc>
          <w:tcPr>
            <w:tcW w:w="499" w:type="pct"/>
            <w:shd w:val="clear" w:color="auto" w:fill="auto"/>
          </w:tcPr>
          <w:p w14:paraId="7DD26795"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0BDCC8A0" w14:textId="77777777" w:rsidR="00A61FF5" w:rsidRPr="004B6C01" w:rsidRDefault="00A61FF5" w:rsidP="00E139AD">
            <w:pPr>
              <w:pStyle w:val="ESTableBody"/>
              <w:jc w:val="right"/>
              <w:rPr>
                <w:lang w:val="en-AU"/>
              </w:rPr>
            </w:pPr>
            <w:r w:rsidRPr="004B6C01">
              <w:rPr>
                <w:lang w:val="en-AU"/>
              </w:rPr>
              <w:t>48.7</w:t>
            </w:r>
          </w:p>
        </w:tc>
        <w:tc>
          <w:tcPr>
            <w:tcW w:w="498" w:type="pct"/>
            <w:shd w:val="clear" w:color="auto" w:fill="auto"/>
          </w:tcPr>
          <w:p w14:paraId="30096197" w14:textId="77777777" w:rsidR="00A61FF5" w:rsidRPr="004B6C01" w:rsidRDefault="00A61FF5" w:rsidP="00E139AD">
            <w:pPr>
              <w:pStyle w:val="ESTableBody"/>
              <w:jc w:val="right"/>
              <w:rPr>
                <w:lang w:val="en-AU"/>
              </w:rPr>
            </w:pPr>
            <w:r w:rsidRPr="004B6C01">
              <w:rPr>
                <w:lang w:val="en-AU"/>
              </w:rPr>
              <w:t>48.9</w:t>
            </w:r>
          </w:p>
        </w:tc>
        <w:tc>
          <w:tcPr>
            <w:tcW w:w="498" w:type="pct"/>
          </w:tcPr>
          <w:p w14:paraId="72F1B1EC" w14:textId="77777777" w:rsidR="00A61FF5" w:rsidRPr="004B6C01" w:rsidRDefault="00A61FF5" w:rsidP="00E139AD">
            <w:pPr>
              <w:pStyle w:val="ESTableBody"/>
              <w:jc w:val="right"/>
              <w:rPr>
                <w:lang w:val="en-AU"/>
              </w:rPr>
            </w:pPr>
            <w:r w:rsidRPr="004B6C01">
              <w:rPr>
                <w:lang w:val="en-AU"/>
              </w:rPr>
              <w:t>0.4</w:t>
            </w:r>
          </w:p>
        </w:tc>
        <w:tc>
          <w:tcPr>
            <w:tcW w:w="420" w:type="pct"/>
          </w:tcPr>
          <w:p w14:paraId="3D43A34B"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138FED34"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2E2DA256"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27B9877F" w14:textId="77777777" w:rsidR="00A61FF5" w:rsidRPr="004B6C01" w:rsidRDefault="00A61FF5" w:rsidP="00D07480">
            <w:pPr>
              <w:pStyle w:val="ESTableBody"/>
              <w:rPr>
                <w:lang w:val="en-AU"/>
              </w:rPr>
            </w:pPr>
            <w:r w:rsidRPr="004B6C01">
              <w:rPr>
                <w:i/>
                <w:lang w:val="en-AU"/>
              </w:rPr>
              <w:t>When interpreting results, a 95 per cent confidence interval of +/- 3.29 percentage points needs to be considered as the reported number is an estimate of the student ability for which there is associated measurement error, standard to any such assessment.</w:t>
            </w:r>
          </w:p>
        </w:tc>
      </w:tr>
      <w:tr w:rsidR="00A15149" w:rsidRPr="00932A90" w14:paraId="4A5B1AE3" w14:textId="77777777" w:rsidTr="000F3176">
        <w:trPr>
          <w:gridAfter w:val="1"/>
          <w:wAfter w:w="13" w:type="pct"/>
          <w:cantSplit/>
        </w:trPr>
        <w:tc>
          <w:tcPr>
            <w:tcW w:w="2572" w:type="pct"/>
            <w:gridSpan w:val="3"/>
            <w:shd w:val="clear" w:color="auto" w:fill="auto"/>
          </w:tcPr>
          <w:p w14:paraId="138BA41B" w14:textId="77777777" w:rsidR="00A61FF5" w:rsidRPr="004B6C01" w:rsidRDefault="00A61FF5" w:rsidP="00D07480">
            <w:pPr>
              <w:pStyle w:val="ESTableBody"/>
              <w:rPr>
                <w:lang w:val="en-AU"/>
              </w:rPr>
            </w:pPr>
            <w:r w:rsidRPr="004B6C01">
              <w:rPr>
                <w:lang w:val="en-AU"/>
              </w:rPr>
              <w:t>Percentage of Aboriginal students above the bottom three bands for reading in Year 5 (NAPLAN testing)</w:t>
            </w:r>
          </w:p>
        </w:tc>
        <w:tc>
          <w:tcPr>
            <w:tcW w:w="499" w:type="pct"/>
            <w:shd w:val="clear" w:color="auto" w:fill="auto"/>
          </w:tcPr>
          <w:p w14:paraId="6F236CD5"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3D131D17" w14:textId="77777777" w:rsidR="00A61FF5" w:rsidRPr="004B6C01" w:rsidRDefault="00A61FF5" w:rsidP="00E139AD">
            <w:pPr>
              <w:pStyle w:val="ESTableBody"/>
              <w:jc w:val="right"/>
              <w:rPr>
                <w:lang w:val="en-AU"/>
              </w:rPr>
            </w:pPr>
            <w:r w:rsidRPr="004B6C01">
              <w:rPr>
                <w:lang w:val="en-AU"/>
              </w:rPr>
              <w:t>40.0</w:t>
            </w:r>
          </w:p>
        </w:tc>
        <w:tc>
          <w:tcPr>
            <w:tcW w:w="498" w:type="pct"/>
            <w:shd w:val="clear" w:color="auto" w:fill="auto"/>
          </w:tcPr>
          <w:p w14:paraId="214FE2FC" w14:textId="77777777" w:rsidR="00A61FF5" w:rsidRPr="004B6C01" w:rsidRDefault="00A61FF5" w:rsidP="00E139AD">
            <w:pPr>
              <w:pStyle w:val="ESTableBody"/>
              <w:jc w:val="right"/>
              <w:rPr>
                <w:lang w:val="en-AU"/>
              </w:rPr>
            </w:pPr>
            <w:r w:rsidRPr="004B6C01">
              <w:rPr>
                <w:lang w:val="en-AU"/>
              </w:rPr>
              <w:t>37.5</w:t>
            </w:r>
          </w:p>
        </w:tc>
        <w:tc>
          <w:tcPr>
            <w:tcW w:w="498" w:type="pct"/>
          </w:tcPr>
          <w:p w14:paraId="10C3990B" w14:textId="77777777" w:rsidR="00A61FF5" w:rsidRPr="004B6C01" w:rsidRDefault="00A61FF5" w:rsidP="00E139AD">
            <w:pPr>
              <w:pStyle w:val="ESTableBody"/>
              <w:jc w:val="right"/>
              <w:rPr>
                <w:lang w:val="en-AU"/>
              </w:rPr>
            </w:pPr>
            <w:r w:rsidRPr="004B6C01">
              <w:rPr>
                <w:lang w:val="en-AU"/>
              </w:rPr>
              <w:t>-6.3</w:t>
            </w:r>
          </w:p>
        </w:tc>
        <w:tc>
          <w:tcPr>
            <w:tcW w:w="420" w:type="pct"/>
          </w:tcPr>
          <w:p w14:paraId="3AD2F704"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5BBB968C"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tcPr>
          <w:p w14:paraId="2423466A"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78512313" w14:textId="77777777" w:rsidR="00A61FF5" w:rsidRPr="004B6C01" w:rsidRDefault="00A61FF5" w:rsidP="00D07480">
            <w:pPr>
              <w:pStyle w:val="ESTableBody"/>
              <w:rPr>
                <w:lang w:val="en-AU"/>
              </w:rPr>
            </w:pPr>
            <w:r w:rsidRPr="004B6C01">
              <w:rPr>
                <w:i/>
                <w:lang w:val="en-AU"/>
              </w:rPr>
              <w:t>When interpreting results, a 95 per cent confidence interval of +/- 3.32 percentage points needs to be considered as the reported number is an estimate of the student ability for which there is associated measurement error, standard to any such assessment.</w:t>
            </w:r>
          </w:p>
        </w:tc>
      </w:tr>
      <w:tr w:rsidR="00A15149" w:rsidRPr="00932A90" w14:paraId="57F07C5D" w14:textId="77777777" w:rsidTr="000F3176">
        <w:trPr>
          <w:gridAfter w:val="1"/>
          <w:wAfter w:w="13" w:type="pct"/>
          <w:cantSplit/>
        </w:trPr>
        <w:tc>
          <w:tcPr>
            <w:tcW w:w="2572" w:type="pct"/>
            <w:gridSpan w:val="3"/>
            <w:shd w:val="clear" w:color="auto" w:fill="auto"/>
          </w:tcPr>
          <w:p w14:paraId="468B626F" w14:textId="77777777" w:rsidR="00A61FF5" w:rsidRPr="004B6C01" w:rsidRDefault="00A61FF5" w:rsidP="00D07480">
            <w:pPr>
              <w:pStyle w:val="ESTableBody"/>
              <w:rPr>
                <w:lang w:val="en-AU"/>
              </w:rPr>
            </w:pPr>
            <w:r w:rsidRPr="004B6C01">
              <w:rPr>
                <w:lang w:val="en-AU"/>
              </w:rPr>
              <w:t>Percentage of students above the bottom three bands for numeracy in Year 3 (NAPLAN testing)</w:t>
            </w:r>
          </w:p>
        </w:tc>
        <w:tc>
          <w:tcPr>
            <w:tcW w:w="499" w:type="pct"/>
            <w:shd w:val="clear" w:color="auto" w:fill="auto"/>
          </w:tcPr>
          <w:p w14:paraId="6C4C138A"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3D967F75" w14:textId="77777777" w:rsidR="00A61FF5" w:rsidRPr="004B6C01" w:rsidRDefault="00A61FF5" w:rsidP="00E139AD">
            <w:pPr>
              <w:pStyle w:val="ESTableBody"/>
              <w:jc w:val="right"/>
              <w:rPr>
                <w:lang w:val="en-AU"/>
              </w:rPr>
            </w:pPr>
            <w:r w:rsidRPr="004B6C01">
              <w:rPr>
                <w:lang w:val="en-AU"/>
              </w:rPr>
              <w:t>68.5</w:t>
            </w:r>
          </w:p>
        </w:tc>
        <w:tc>
          <w:tcPr>
            <w:tcW w:w="498" w:type="pct"/>
            <w:shd w:val="clear" w:color="auto" w:fill="auto"/>
          </w:tcPr>
          <w:p w14:paraId="51A47BC0" w14:textId="77777777" w:rsidR="00A61FF5" w:rsidRPr="004B6C01" w:rsidRDefault="00A61FF5" w:rsidP="00E139AD">
            <w:pPr>
              <w:pStyle w:val="ESTableBody"/>
              <w:jc w:val="right"/>
              <w:rPr>
                <w:lang w:val="en-AU"/>
              </w:rPr>
            </w:pPr>
            <w:r w:rsidRPr="004B6C01">
              <w:rPr>
                <w:lang w:val="en-AU"/>
              </w:rPr>
              <w:t>67.8</w:t>
            </w:r>
          </w:p>
        </w:tc>
        <w:tc>
          <w:tcPr>
            <w:tcW w:w="498" w:type="pct"/>
          </w:tcPr>
          <w:p w14:paraId="2E2C6332" w14:textId="77777777" w:rsidR="00A61FF5" w:rsidRPr="004B6C01" w:rsidRDefault="00A61FF5" w:rsidP="00E139AD">
            <w:pPr>
              <w:pStyle w:val="ESTableBody"/>
              <w:jc w:val="right"/>
              <w:rPr>
                <w:lang w:val="en-AU"/>
              </w:rPr>
            </w:pPr>
            <w:r w:rsidRPr="004B6C01">
              <w:rPr>
                <w:lang w:val="en-AU"/>
              </w:rPr>
              <w:t>-1.0</w:t>
            </w:r>
          </w:p>
        </w:tc>
        <w:tc>
          <w:tcPr>
            <w:tcW w:w="420" w:type="pct"/>
          </w:tcPr>
          <w:p w14:paraId="77E644F6"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2D937A12"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3FDFE44F"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0B469374" w14:textId="77777777" w:rsidR="00A61FF5" w:rsidRPr="004B6C01" w:rsidRDefault="00A61FF5" w:rsidP="00D07480">
            <w:pPr>
              <w:pStyle w:val="ESTableBody"/>
              <w:rPr>
                <w:lang w:val="en-AU"/>
              </w:rPr>
            </w:pPr>
            <w:r w:rsidRPr="004B6C01">
              <w:rPr>
                <w:i/>
                <w:lang w:val="en-AU"/>
              </w:rPr>
              <w:t>When interpreting results, a 95 per cent confidence interval of +/- 0.96 percentage points needs to be considered as the reported number is an estimate of the student ability for which there is associated measurement error, standard to any such assessment.</w:t>
            </w:r>
          </w:p>
        </w:tc>
      </w:tr>
      <w:tr w:rsidR="00A15149" w:rsidRPr="00932A90" w14:paraId="46079121" w14:textId="77777777" w:rsidTr="000F3176">
        <w:trPr>
          <w:gridAfter w:val="1"/>
          <w:wAfter w:w="13" w:type="pct"/>
          <w:cantSplit/>
        </w:trPr>
        <w:tc>
          <w:tcPr>
            <w:tcW w:w="2572" w:type="pct"/>
            <w:gridSpan w:val="3"/>
            <w:shd w:val="clear" w:color="auto" w:fill="auto"/>
          </w:tcPr>
          <w:p w14:paraId="0DBECF79" w14:textId="77777777" w:rsidR="00A61FF5" w:rsidRPr="004B6C01" w:rsidRDefault="00A61FF5" w:rsidP="00D07480">
            <w:pPr>
              <w:pStyle w:val="ESTableBody"/>
              <w:rPr>
                <w:lang w:val="en-AU"/>
              </w:rPr>
            </w:pPr>
            <w:r w:rsidRPr="004B6C01">
              <w:rPr>
                <w:lang w:val="en-AU"/>
              </w:rPr>
              <w:t>Percentage of students above the bottom three bands for numeracy in Year 5 (NAPLAN testing)</w:t>
            </w:r>
          </w:p>
        </w:tc>
        <w:tc>
          <w:tcPr>
            <w:tcW w:w="499" w:type="pct"/>
            <w:shd w:val="clear" w:color="auto" w:fill="auto"/>
          </w:tcPr>
          <w:p w14:paraId="6C29FAA5"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218173CB" w14:textId="77777777" w:rsidR="00A61FF5" w:rsidRPr="004B6C01" w:rsidRDefault="00A61FF5" w:rsidP="00E139AD">
            <w:pPr>
              <w:pStyle w:val="ESTableBody"/>
              <w:jc w:val="right"/>
              <w:rPr>
                <w:lang w:val="en-AU"/>
              </w:rPr>
            </w:pPr>
            <w:r w:rsidRPr="004B6C01">
              <w:rPr>
                <w:lang w:val="en-AU"/>
              </w:rPr>
              <w:t>62.3</w:t>
            </w:r>
          </w:p>
        </w:tc>
        <w:tc>
          <w:tcPr>
            <w:tcW w:w="498" w:type="pct"/>
            <w:shd w:val="clear" w:color="auto" w:fill="auto"/>
          </w:tcPr>
          <w:p w14:paraId="7E44034A" w14:textId="77777777" w:rsidR="00A61FF5" w:rsidRPr="004B6C01" w:rsidRDefault="00A61FF5" w:rsidP="00E139AD">
            <w:pPr>
              <w:pStyle w:val="ESTableBody"/>
              <w:jc w:val="right"/>
              <w:rPr>
                <w:lang w:val="en-AU"/>
              </w:rPr>
            </w:pPr>
            <w:r w:rsidRPr="004B6C01">
              <w:rPr>
                <w:lang w:val="en-AU"/>
              </w:rPr>
              <w:t>61.0</w:t>
            </w:r>
          </w:p>
        </w:tc>
        <w:tc>
          <w:tcPr>
            <w:tcW w:w="498" w:type="pct"/>
          </w:tcPr>
          <w:p w14:paraId="123F3834" w14:textId="77777777" w:rsidR="00A61FF5" w:rsidRPr="004B6C01" w:rsidRDefault="00A61FF5" w:rsidP="00E139AD">
            <w:pPr>
              <w:pStyle w:val="ESTableBody"/>
              <w:jc w:val="right"/>
              <w:rPr>
                <w:lang w:val="en-AU"/>
              </w:rPr>
            </w:pPr>
            <w:r w:rsidRPr="004B6C01">
              <w:rPr>
                <w:lang w:val="en-AU"/>
              </w:rPr>
              <w:t>-2.1</w:t>
            </w:r>
          </w:p>
        </w:tc>
        <w:tc>
          <w:tcPr>
            <w:tcW w:w="420" w:type="pct"/>
          </w:tcPr>
          <w:p w14:paraId="1E5BE25B"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3B9C430F"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tcPr>
          <w:p w14:paraId="2B577130"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549DFBE1" w14:textId="77777777" w:rsidR="00A61FF5" w:rsidRPr="004B6C01" w:rsidRDefault="00A61FF5" w:rsidP="00D07480">
            <w:pPr>
              <w:pStyle w:val="ESTableBody"/>
              <w:rPr>
                <w:i/>
                <w:lang w:val="en-AU"/>
              </w:rPr>
            </w:pPr>
            <w:r w:rsidRPr="004B6C01">
              <w:rPr>
                <w:i/>
                <w:lang w:val="en-AU"/>
              </w:rPr>
              <w:t>When interpreting results, a 95 per cent confidence interval of +/- 1.04 percentage points needs to be considered as the reported number is an estimate of the student ability for which there is associated measurement error, standard to any such assessment.</w:t>
            </w:r>
          </w:p>
          <w:p w14:paraId="4BD4BE7B" w14:textId="77777777" w:rsidR="00A61FF5" w:rsidRPr="004B6C01" w:rsidRDefault="00A61FF5" w:rsidP="00D07480">
            <w:pPr>
              <w:pStyle w:val="ESTableBody"/>
              <w:rPr>
                <w:i/>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initiatives.</w:t>
            </w:r>
          </w:p>
        </w:tc>
      </w:tr>
      <w:tr w:rsidR="00A15149" w:rsidRPr="00932A90" w14:paraId="569F9F2A" w14:textId="77777777" w:rsidTr="000F3176">
        <w:trPr>
          <w:gridAfter w:val="1"/>
          <w:wAfter w:w="13" w:type="pct"/>
          <w:cantSplit/>
        </w:trPr>
        <w:tc>
          <w:tcPr>
            <w:tcW w:w="2572" w:type="pct"/>
            <w:gridSpan w:val="3"/>
            <w:shd w:val="clear" w:color="auto" w:fill="auto"/>
          </w:tcPr>
          <w:p w14:paraId="74C57023" w14:textId="77777777" w:rsidR="00A61FF5" w:rsidRPr="004B6C01" w:rsidRDefault="00A61FF5" w:rsidP="00D07480">
            <w:pPr>
              <w:pStyle w:val="ESTableBody"/>
              <w:rPr>
                <w:lang w:val="en-AU"/>
              </w:rPr>
            </w:pPr>
            <w:r w:rsidRPr="004B6C01">
              <w:rPr>
                <w:lang w:val="en-AU"/>
              </w:rPr>
              <w:t>Percentage of students above the bottom three bands for reading in Year 3 (NAPLAN testing)</w:t>
            </w:r>
          </w:p>
        </w:tc>
        <w:tc>
          <w:tcPr>
            <w:tcW w:w="499" w:type="pct"/>
            <w:shd w:val="clear" w:color="auto" w:fill="auto"/>
          </w:tcPr>
          <w:p w14:paraId="556BD8D0"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25698532" w14:textId="77777777" w:rsidR="00A61FF5" w:rsidRPr="004B6C01" w:rsidRDefault="00A61FF5" w:rsidP="00E139AD">
            <w:pPr>
              <w:pStyle w:val="ESTableBody"/>
              <w:jc w:val="right"/>
              <w:rPr>
                <w:lang w:val="en-AU"/>
              </w:rPr>
            </w:pPr>
            <w:r w:rsidRPr="004B6C01">
              <w:rPr>
                <w:lang w:val="en-AU"/>
              </w:rPr>
              <w:t>77.0</w:t>
            </w:r>
          </w:p>
        </w:tc>
        <w:tc>
          <w:tcPr>
            <w:tcW w:w="498" w:type="pct"/>
            <w:shd w:val="clear" w:color="auto" w:fill="auto"/>
          </w:tcPr>
          <w:p w14:paraId="5C279CA3" w14:textId="77777777" w:rsidR="00A61FF5" w:rsidRPr="004B6C01" w:rsidRDefault="00A61FF5" w:rsidP="00E139AD">
            <w:pPr>
              <w:pStyle w:val="ESTableBody"/>
              <w:jc w:val="right"/>
              <w:rPr>
                <w:lang w:val="en-AU"/>
              </w:rPr>
            </w:pPr>
            <w:r w:rsidRPr="004B6C01">
              <w:rPr>
                <w:lang w:val="en-AU"/>
              </w:rPr>
              <w:t>75.6</w:t>
            </w:r>
          </w:p>
        </w:tc>
        <w:tc>
          <w:tcPr>
            <w:tcW w:w="498" w:type="pct"/>
          </w:tcPr>
          <w:p w14:paraId="76B1125F" w14:textId="77777777" w:rsidR="00A61FF5" w:rsidRPr="004B6C01" w:rsidRDefault="00A61FF5" w:rsidP="00E139AD">
            <w:pPr>
              <w:pStyle w:val="ESTableBody"/>
              <w:jc w:val="right"/>
              <w:rPr>
                <w:lang w:val="en-AU"/>
              </w:rPr>
            </w:pPr>
            <w:r w:rsidRPr="004B6C01">
              <w:rPr>
                <w:lang w:val="en-AU"/>
              </w:rPr>
              <w:t>-1.8</w:t>
            </w:r>
          </w:p>
        </w:tc>
        <w:tc>
          <w:tcPr>
            <w:tcW w:w="420" w:type="pct"/>
          </w:tcPr>
          <w:p w14:paraId="021ABBB4"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2D2EE19C"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44A9DFA2"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43F51E5F" w14:textId="77777777" w:rsidR="00A61FF5" w:rsidRPr="004B6C01" w:rsidRDefault="00A61FF5" w:rsidP="00D07480">
            <w:pPr>
              <w:pStyle w:val="ESTableBody"/>
              <w:rPr>
                <w:i/>
                <w:lang w:val="en-AU"/>
              </w:rPr>
            </w:pPr>
            <w:r w:rsidRPr="004B6C01">
              <w:rPr>
                <w:i/>
                <w:lang w:val="en-AU"/>
              </w:rPr>
              <w:t>When interpreting results, a 95 per cent confidence interval of +/- 0.82 percentage points needs to be considered as the reported number is an estimate of the student ability for which there is associated measurement error, standard to any such assessment.</w:t>
            </w:r>
          </w:p>
          <w:p w14:paraId="2D9AF828" w14:textId="77777777" w:rsidR="00A61FF5" w:rsidRPr="004B6C01" w:rsidRDefault="00A61FF5" w:rsidP="00D07480">
            <w:pPr>
              <w:pStyle w:val="ESTableBody"/>
              <w:rPr>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initiatives</w:t>
            </w:r>
            <w:r w:rsidRPr="004B6C01">
              <w:rPr>
                <w:lang w:val="en-AU"/>
              </w:rPr>
              <w:t>.</w:t>
            </w:r>
          </w:p>
        </w:tc>
      </w:tr>
      <w:tr w:rsidR="00A15149" w:rsidRPr="00932A90" w14:paraId="0AF6D814" w14:textId="77777777" w:rsidTr="000F3176">
        <w:trPr>
          <w:gridAfter w:val="1"/>
          <w:wAfter w:w="13" w:type="pct"/>
          <w:cantSplit/>
        </w:trPr>
        <w:tc>
          <w:tcPr>
            <w:tcW w:w="2572" w:type="pct"/>
            <w:gridSpan w:val="3"/>
            <w:shd w:val="clear" w:color="auto" w:fill="auto"/>
          </w:tcPr>
          <w:p w14:paraId="7A91F7A8" w14:textId="77777777" w:rsidR="00A61FF5" w:rsidRPr="004B6C01" w:rsidRDefault="00A61FF5" w:rsidP="00D07480">
            <w:pPr>
              <w:pStyle w:val="ESTableBody"/>
              <w:rPr>
                <w:lang w:val="en-AU"/>
              </w:rPr>
            </w:pPr>
            <w:r w:rsidRPr="004B6C01">
              <w:rPr>
                <w:lang w:val="en-AU"/>
              </w:rPr>
              <w:t>Percentage of students above the bottom three bands for reading in Year 5 (NAPLAN testing)</w:t>
            </w:r>
          </w:p>
        </w:tc>
        <w:tc>
          <w:tcPr>
            <w:tcW w:w="499" w:type="pct"/>
            <w:shd w:val="clear" w:color="auto" w:fill="auto"/>
          </w:tcPr>
          <w:p w14:paraId="4CD6EE01"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6C756D82" w14:textId="77777777" w:rsidR="00A61FF5" w:rsidRPr="004B6C01" w:rsidRDefault="00A61FF5" w:rsidP="00E139AD">
            <w:pPr>
              <w:pStyle w:val="ESTableBody"/>
              <w:jc w:val="right"/>
              <w:rPr>
                <w:lang w:val="en-AU"/>
              </w:rPr>
            </w:pPr>
            <w:r w:rsidRPr="004B6C01">
              <w:rPr>
                <w:lang w:val="en-AU"/>
              </w:rPr>
              <w:t>64.5</w:t>
            </w:r>
          </w:p>
        </w:tc>
        <w:tc>
          <w:tcPr>
            <w:tcW w:w="498" w:type="pct"/>
            <w:shd w:val="clear" w:color="auto" w:fill="auto"/>
          </w:tcPr>
          <w:p w14:paraId="6FF70990" w14:textId="77777777" w:rsidR="00A61FF5" w:rsidRPr="004B6C01" w:rsidRDefault="00A61FF5" w:rsidP="00E139AD">
            <w:pPr>
              <w:pStyle w:val="ESTableBody"/>
              <w:jc w:val="right"/>
              <w:rPr>
                <w:lang w:val="en-AU"/>
              </w:rPr>
            </w:pPr>
            <w:r w:rsidRPr="004B6C01">
              <w:rPr>
                <w:lang w:val="en-AU"/>
              </w:rPr>
              <w:t>66.2</w:t>
            </w:r>
          </w:p>
        </w:tc>
        <w:tc>
          <w:tcPr>
            <w:tcW w:w="498" w:type="pct"/>
          </w:tcPr>
          <w:p w14:paraId="7336C488" w14:textId="77777777" w:rsidR="00A61FF5" w:rsidRPr="004B6C01" w:rsidRDefault="00A61FF5" w:rsidP="00E139AD">
            <w:pPr>
              <w:pStyle w:val="ESTableBody"/>
              <w:jc w:val="right"/>
              <w:rPr>
                <w:lang w:val="en-AU"/>
              </w:rPr>
            </w:pPr>
            <w:r w:rsidRPr="004B6C01">
              <w:rPr>
                <w:lang w:val="en-AU"/>
              </w:rPr>
              <w:t>2.6</w:t>
            </w:r>
          </w:p>
        </w:tc>
        <w:tc>
          <w:tcPr>
            <w:tcW w:w="420" w:type="pct"/>
          </w:tcPr>
          <w:p w14:paraId="171E92EA"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04AC3DFB"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3ACC2C2A"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45C72A3D" w14:textId="77777777" w:rsidR="00A61FF5" w:rsidRPr="004B6C01" w:rsidRDefault="00A61FF5" w:rsidP="00D07480">
            <w:pPr>
              <w:pStyle w:val="ESTableBody"/>
              <w:rPr>
                <w:lang w:val="en-AU"/>
              </w:rPr>
            </w:pPr>
            <w:r w:rsidRPr="004B6C01">
              <w:rPr>
                <w:i/>
                <w:lang w:val="en-AU"/>
              </w:rPr>
              <w:t>When interpreting results, a 95 per cent confidence interval of +/- 0.89 percentage points needs to be considered as the reported number is an estimate of the student ability for which there is associated measurement error, standard to any such assessment.</w:t>
            </w:r>
          </w:p>
        </w:tc>
      </w:tr>
      <w:tr w:rsidR="00A15149" w:rsidRPr="00932A90" w14:paraId="792A307B" w14:textId="77777777" w:rsidTr="000F3176">
        <w:trPr>
          <w:gridAfter w:val="1"/>
          <w:wAfter w:w="13" w:type="pct"/>
          <w:cantSplit/>
        </w:trPr>
        <w:tc>
          <w:tcPr>
            <w:tcW w:w="2572" w:type="pct"/>
            <w:gridSpan w:val="3"/>
            <w:shd w:val="clear" w:color="auto" w:fill="auto"/>
          </w:tcPr>
          <w:p w14:paraId="5ED27529" w14:textId="77777777" w:rsidR="00A61FF5" w:rsidRPr="004B6C01" w:rsidRDefault="00A61FF5" w:rsidP="00D07480">
            <w:pPr>
              <w:pStyle w:val="ESTableBody"/>
              <w:rPr>
                <w:lang w:val="en-AU"/>
              </w:rPr>
            </w:pPr>
            <w:r w:rsidRPr="004B6C01">
              <w:rPr>
                <w:lang w:val="en-AU"/>
              </w:rPr>
              <w:t>Percentage of students in the top two bands for numeracy in Year 3 (NAPLAN testing)</w:t>
            </w:r>
          </w:p>
        </w:tc>
        <w:tc>
          <w:tcPr>
            <w:tcW w:w="499" w:type="pct"/>
            <w:shd w:val="clear" w:color="auto" w:fill="auto"/>
          </w:tcPr>
          <w:p w14:paraId="4AE5A1D3"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667E0620" w14:textId="77777777" w:rsidR="00A61FF5" w:rsidRPr="004B6C01" w:rsidRDefault="00A61FF5" w:rsidP="00E139AD">
            <w:pPr>
              <w:pStyle w:val="ESTableBody"/>
              <w:jc w:val="right"/>
              <w:rPr>
                <w:lang w:val="en-AU"/>
              </w:rPr>
            </w:pPr>
            <w:r w:rsidRPr="004B6C01">
              <w:rPr>
                <w:lang w:val="en-AU"/>
              </w:rPr>
              <w:t>41.5</w:t>
            </w:r>
          </w:p>
        </w:tc>
        <w:tc>
          <w:tcPr>
            <w:tcW w:w="498" w:type="pct"/>
            <w:shd w:val="clear" w:color="auto" w:fill="auto"/>
          </w:tcPr>
          <w:p w14:paraId="0BBDD7BD" w14:textId="77777777" w:rsidR="00A61FF5" w:rsidRPr="004B6C01" w:rsidRDefault="00A61FF5" w:rsidP="00E139AD">
            <w:pPr>
              <w:pStyle w:val="ESTableBody"/>
              <w:jc w:val="right"/>
              <w:rPr>
                <w:lang w:val="en-AU"/>
              </w:rPr>
            </w:pPr>
            <w:r w:rsidRPr="004B6C01">
              <w:rPr>
                <w:lang w:val="en-AU"/>
              </w:rPr>
              <w:t>40.7</w:t>
            </w:r>
          </w:p>
        </w:tc>
        <w:tc>
          <w:tcPr>
            <w:tcW w:w="498" w:type="pct"/>
          </w:tcPr>
          <w:p w14:paraId="0D0A2689" w14:textId="77777777" w:rsidR="00A61FF5" w:rsidRPr="004B6C01" w:rsidRDefault="00A61FF5" w:rsidP="00E139AD">
            <w:pPr>
              <w:pStyle w:val="ESTableBody"/>
              <w:jc w:val="right"/>
              <w:rPr>
                <w:lang w:val="en-AU"/>
              </w:rPr>
            </w:pPr>
            <w:r w:rsidRPr="004B6C01">
              <w:rPr>
                <w:lang w:val="en-AU"/>
              </w:rPr>
              <w:t>-1.9</w:t>
            </w:r>
          </w:p>
        </w:tc>
        <w:tc>
          <w:tcPr>
            <w:tcW w:w="420" w:type="pct"/>
          </w:tcPr>
          <w:p w14:paraId="59750413"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259F27AC"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6292C7E2"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340B03D7" w14:textId="77777777" w:rsidR="00A61FF5" w:rsidRPr="004B6C01" w:rsidRDefault="00A61FF5" w:rsidP="00D07480">
            <w:pPr>
              <w:pStyle w:val="ESTableBody"/>
              <w:rPr>
                <w:lang w:val="en-AU"/>
              </w:rPr>
            </w:pPr>
            <w:r w:rsidRPr="004B6C01">
              <w:rPr>
                <w:i/>
                <w:lang w:val="en-AU"/>
              </w:rPr>
              <w:t>When interpreting results, a 95 per cent confidence interval of +/- 1.02 percentage points needs to be considered as the reported number is an estimate of the student ability for which there is associated measurement error, standard to any such assessment.</w:t>
            </w:r>
            <w:r w:rsidRPr="004B6C01">
              <w:rPr>
                <w:lang w:val="en-AU"/>
              </w:rPr>
              <w:t xml:space="preserve"> </w:t>
            </w:r>
          </w:p>
        </w:tc>
      </w:tr>
      <w:tr w:rsidR="00A15149" w:rsidRPr="00932A90" w14:paraId="4C96BB90" w14:textId="77777777" w:rsidTr="000F3176">
        <w:trPr>
          <w:gridAfter w:val="1"/>
          <w:wAfter w:w="13" w:type="pct"/>
          <w:cantSplit/>
        </w:trPr>
        <w:tc>
          <w:tcPr>
            <w:tcW w:w="2572" w:type="pct"/>
            <w:gridSpan w:val="3"/>
            <w:shd w:val="clear" w:color="auto" w:fill="auto"/>
          </w:tcPr>
          <w:p w14:paraId="65C1BFC8" w14:textId="77777777" w:rsidR="00A61FF5" w:rsidRPr="004B6C01" w:rsidRDefault="00A61FF5" w:rsidP="00D07480">
            <w:pPr>
              <w:pStyle w:val="ESTableBody"/>
              <w:rPr>
                <w:lang w:val="en-AU"/>
              </w:rPr>
            </w:pPr>
            <w:r w:rsidRPr="004B6C01">
              <w:rPr>
                <w:lang w:val="en-AU"/>
              </w:rPr>
              <w:t>Percentage of students in the top two bands for numeracy in Year 5 (NAPLAN testing)</w:t>
            </w:r>
          </w:p>
        </w:tc>
        <w:tc>
          <w:tcPr>
            <w:tcW w:w="499" w:type="pct"/>
            <w:shd w:val="clear" w:color="auto" w:fill="auto"/>
          </w:tcPr>
          <w:p w14:paraId="54E754BD"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49AAC4E1" w14:textId="77777777" w:rsidR="00A61FF5" w:rsidRPr="004B6C01" w:rsidRDefault="00A61FF5" w:rsidP="00E139AD">
            <w:pPr>
              <w:pStyle w:val="ESTableBody"/>
              <w:jc w:val="right"/>
              <w:rPr>
                <w:lang w:val="en-AU"/>
              </w:rPr>
            </w:pPr>
            <w:r w:rsidRPr="004B6C01">
              <w:rPr>
                <w:lang w:val="en-AU"/>
              </w:rPr>
              <w:t>32.9</w:t>
            </w:r>
          </w:p>
        </w:tc>
        <w:tc>
          <w:tcPr>
            <w:tcW w:w="498" w:type="pct"/>
            <w:shd w:val="clear" w:color="auto" w:fill="auto"/>
          </w:tcPr>
          <w:p w14:paraId="374FCCFF" w14:textId="77777777" w:rsidR="00A61FF5" w:rsidRPr="004B6C01" w:rsidRDefault="00A61FF5" w:rsidP="00E139AD">
            <w:pPr>
              <w:pStyle w:val="ESTableBody"/>
              <w:jc w:val="right"/>
              <w:rPr>
                <w:lang w:val="en-AU"/>
              </w:rPr>
            </w:pPr>
            <w:r w:rsidRPr="004B6C01">
              <w:rPr>
                <w:lang w:val="en-AU"/>
              </w:rPr>
              <w:t>31.7</w:t>
            </w:r>
          </w:p>
        </w:tc>
        <w:tc>
          <w:tcPr>
            <w:tcW w:w="498" w:type="pct"/>
          </w:tcPr>
          <w:p w14:paraId="0B7823A3" w14:textId="77777777" w:rsidR="00A61FF5" w:rsidRPr="004B6C01" w:rsidRDefault="00A61FF5" w:rsidP="00E139AD">
            <w:pPr>
              <w:pStyle w:val="ESTableBody"/>
              <w:jc w:val="right"/>
              <w:rPr>
                <w:lang w:val="en-AU"/>
              </w:rPr>
            </w:pPr>
            <w:r w:rsidRPr="004B6C01">
              <w:rPr>
                <w:lang w:val="en-AU"/>
              </w:rPr>
              <w:t>-3.6</w:t>
            </w:r>
          </w:p>
        </w:tc>
        <w:tc>
          <w:tcPr>
            <w:tcW w:w="420" w:type="pct"/>
          </w:tcPr>
          <w:p w14:paraId="1AFBE541"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120FE2FE"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4DA6720E"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05726EC3" w14:textId="77777777" w:rsidR="00A61FF5" w:rsidRPr="004B6C01" w:rsidRDefault="00A61FF5" w:rsidP="00D07480">
            <w:pPr>
              <w:pStyle w:val="ESTableBody"/>
              <w:rPr>
                <w:lang w:val="en-AU"/>
              </w:rPr>
            </w:pPr>
            <w:r w:rsidRPr="004B6C01">
              <w:rPr>
                <w:i/>
                <w:lang w:val="en-AU"/>
              </w:rPr>
              <w:t>When interpreting results, a 95 per cent confidence interval of +/- 0.97 percentage points needs to be considered as the reported number is an estimate of the student ability for which there is associated measurement error, standard to any such assessment.</w:t>
            </w:r>
          </w:p>
        </w:tc>
      </w:tr>
      <w:tr w:rsidR="00A15149" w:rsidRPr="00932A90" w14:paraId="0121D15D" w14:textId="77777777" w:rsidTr="000F3176">
        <w:trPr>
          <w:gridAfter w:val="1"/>
          <w:wAfter w:w="13" w:type="pct"/>
          <w:cantSplit/>
        </w:trPr>
        <w:tc>
          <w:tcPr>
            <w:tcW w:w="2572" w:type="pct"/>
            <w:gridSpan w:val="3"/>
            <w:shd w:val="clear" w:color="auto" w:fill="auto"/>
          </w:tcPr>
          <w:p w14:paraId="0683EDF0" w14:textId="77777777" w:rsidR="00A61FF5" w:rsidRPr="004B6C01" w:rsidRDefault="00A61FF5" w:rsidP="00D07480">
            <w:pPr>
              <w:pStyle w:val="ESTableBody"/>
              <w:rPr>
                <w:lang w:val="en-AU"/>
              </w:rPr>
            </w:pPr>
            <w:r w:rsidRPr="004B6C01">
              <w:rPr>
                <w:lang w:val="en-AU"/>
              </w:rPr>
              <w:t>Percentage of students in the top two bands for reading in Year 3 (NAPLAN testing)</w:t>
            </w:r>
          </w:p>
        </w:tc>
        <w:tc>
          <w:tcPr>
            <w:tcW w:w="499" w:type="pct"/>
            <w:shd w:val="clear" w:color="auto" w:fill="auto"/>
          </w:tcPr>
          <w:p w14:paraId="0E4BC47E"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0BBDC103" w14:textId="77777777" w:rsidR="00A61FF5" w:rsidRPr="004B6C01" w:rsidRDefault="00A61FF5" w:rsidP="00E139AD">
            <w:pPr>
              <w:pStyle w:val="ESTableBody"/>
              <w:jc w:val="right"/>
              <w:rPr>
                <w:lang w:val="en-AU"/>
              </w:rPr>
            </w:pPr>
            <w:r w:rsidRPr="004B6C01">
              <w:rPr>
                <w:lang w:val="en-AU"/>
              </w:rPr>
              <w:t>54.6</w:t>
            </w:r>
          </w:p>
        </w:tc>
        <w:tc>
          <w:tcPr>
            <w:tcW w:w="498" w:type="pct"/>
            <w:shd w:val="clear" w:color="auto" w:fill="auto"/>
          </w:tcPr>
          <w:p w14:paraId="09A23C27" w14:textId="77777777" w:rsidR="00A61FF5" w:rsidRPr="004B6C01" w:rsidRDefault="00A61FF5" w:rsidP="00E139AD">
            <w:pPr>
              <w:pStyle w:val="ESTableBody"/>
              <w:jc w:val="right"/>
              <w:rPr>
                <w:lang w:val="en-AU"/>
              </w:rPr>
            </w:pPr>
            <w:r w:rsidRPr="004B6C01">
              <w:rPr>
                <w:lang w:val="en-AU"/>
              </w:rPr>
              <w:t>54.1</w:t>
            </w:r>
          </w:p>
        </w:tc>
        <w:tc>
          <w:tcPr>
            <w:tcW w:w="498" w:type="pct"/>
          </w:tcPr>
          <w:p w14:paraId="2FEA5027" w14:textId="77777777" w:rsidR="00A61FF5" w:rsidRPr="004B6C01" w:rsidRDefault="00A61FF5" w:rsidP="00E139AD">
            <w:pPr>
              <w:pStyle w:val="ESTableBody"/>
              <w:jc w:val="right"/>
              <w:rPr>
                <w:lang w:val="en-AU"/>
              </w:rPr>
            </w:pPr>
            <w:r w:rsidRPr="004B6C01">
              <w:rPr>
                <w:lang w:val="en-AU"/>
              </w:rPr>
              <w:t>-0.9</w:t>
            </w:r>
          </w:p>
        </w:tc>
        <w:tc>
          <w:tcPr>
            <w:tcW w:w="420" w:type="pct"/>
          </w:tcPr>
          <w:p w14:paraId="4B11B38C"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00E02D9F"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tcPr>
          <w:p w14:paraId="0969858D"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30351E82" w14:textId="4D739297" w:rsidR="00A61FF5" w:rsidRPr="004B6C01" w:rsidRDefault="00A61FF5" w:rsidP="00D07480">
            <w:pPr>
              <w:pStyle w:val="ESTableBody"/>
              <w:rPr>
                <w:lang w:val="en-AU"/>
              </w:rPr>
            </w:pPr>
            <w:r w:rsidRPr="004B6C01">
              <w:rPr>
                <w:i/>
                <w:lang w:val="en-AU"/>
              </w:rPr>
              <w:t>When interpreting results, a 95 per cent confidence interval of +/-</w:t>
            </w:r>
            <w:r w:rsidR="00366F71" w:rsidRPr="004B6C01">
              <w:rPr>
                <w:i/>
                <w:lang w:val="en-AU"/>
              </w:rPr>
              <w:t xml:space="preserve"> </w:t>
            </w:r>
            <w:r w:rsidRPr="004B6C01">
              <w:rPr>
                <w:i/>
                <w:lang w:val="en-AU"/>
              </w:rPr>
              <w:t>0.95 percentage points needs to be considered as the reported number is an estimate of the student ability for which there is associated measurement error, standard to any such assessment.</w:t>
            </w:r>
            <w:r w:rsidRPr="004B6C01">
              <w:rPr>
                <w:lang w:val="en-AU"/>
              </w:rPr>
              <w:t xml:space="preserve"> </w:t>
            </w:r>
          </w:p>
        </w:tc>
      </w:tr>
      <w:tr w:rsidR="00A15149" w:rsidRPr="00932A90" w14:paraId="664BF201" w14:textId="77777777" w:rsidTr="000F3176">
        <w:trPr>
          <w:gridAfter w:val="1"/>
          <w:wAfter w:w="13" w:type="pct"/>
          <w:cantSplit/>
        </w:trPr>
        <w:tc>
          <w:tcPr>
            <w:tcW w:w="2572" w:type="pct"/>
            <w:gridSpan w:val="3"/>
            <w:shd w:val="clear" w:color="auto" w:fill="auto"/>
          </w:tcPr>
          <w:p w14:paraId="3342D410" w14:textId="77777777" w:rsidR="00A61FF5" w:rsidRPr="004B6C01" w:rsidRDefault="00A61FF5" w:rsidP="00D07480">
            <w:pPr>
              <w:pStyle w:val="ESTableBody"/>
              <w:rPr>
                <w:lang w:val="en-AU"/>
              </w:rPr>
            </w:pPr>
            <w:r w:rsidRPr="004B6C01">
              <w:rPr>
                <w:lang w:val="en-AU"/>
              </w:rPr>
              <w:t>Percentage of students in the top two bands for reading in Year 5 (NAPLAN testing)</w:t>
            </w:r>
          </w:p>
        </w:tc>
        <w:tc>
          <w:tcPr>
            <w:tcW w:w="499" w:type="pct"/>
            <w:shd w:val="clear" w:color="auto" w:fill="auto"/>
          </w:tcPr>
          <w:p w14:paraId="25CE3ADA" w14:textId="77777777" w:rsidR="00A61FF5" w:rsidRPr="004B6C01" w:rsidRDefault="00A61FF5" w:rsidP="00D07480">
            <w:pPr>
              <w:pStyle w:val="ESTableBody"/>
              <w:rPr>
                <w:lang w:val="en-AU"/>
              </w:rPr>
            </w:pPr>
            <w:r w:rsidRPr="004B6C01">
              <w:rPr>
                <w:lang w:val="en-AU"/>
              </w:rPr>
              <w:t>per cent</w:t>
            </w:r>
          </w:p>
        </w:tc>
        <w:tc>
          <w:tcPr>
            <w:tcW w:w="498" w:type="pct"/>
            <w:gridSpan w:val="2"/>
            <w:shd w:val="clear" w:color="auto" w:fill="auto"/>
          </w:tcPr>
          <w:p w14:paraId="73B47A09" w14:textId="77777777" w:rsidR="00A61FF5" w:rsidRPr="004B6C01" w:rsidRDefault="00A61FF5" w:rsidP="00E139AD">
            <w:pPr>
              <w:pStyle w:val="ESTableBody"/>
              <w:jc w:val="right"/>
              <w:rPr>
                <w:lang w:val="en-AU"/>
              </w:rPr>
            </w:pPr>
            <w:r w:rsidRPr="004B6C01">
              <w:rPr>
                <w:lang w:val="en-AU"/>
              </w:rPr>
              <w:t>38.7</w:t>
            </w:r>
          </w:p>
        </w:tc>
        <w:tc>
          <w:tcPr>
            <w:tcW w:w="498" w:type="pct"/>
            <w:shd w:val="clear" w:color="auto" w:fill="auto"/>
          </w:tcPr>
          <w:p w14:paraId="6DBA97FD" w14:textId="77777777" w:rsidR="00A61FF5" w:rsidRPr="004B6C01" w:rsidRDefault="00A61FF5" w:rsidP="00E139AD">
            <w:pPr>
              <w:pStyle w:val="ESTableBody"/>
              <w:jc w:val="right"/>
              <w:rPr>
                <w:lang w:val="en-AU"/>
              </w:rPr>
            </w:pPr>
            <w:r w:rsidRPr="004B6C01">
              <w:rPr>
                <w:lang w:val="en-AU"/>
              </w:rPr>
              <w:t>38.3</w:t>
            </w:r>
          </w:p>
        </w:tc>
        <w:tc>
          <w:tcPr>
            <w:tcW w:w="498" w:type="pct"/>
          </w:tcPr>
          <w:p w14:paraId="2A65B455" w14:textId="77777777" w:rsidR="00A61FF5" w:rsidRPr="004B6C01" w:rsidRDefault="00A61FF5" w:rsidP="00E139AD">
            <w:pPr>
              <w:pStyle w:val="ESTableBody"/>
              <w:jc w:val="right"/>
              <w:rPr>
                <w:lang w:val="en-AU"/>
              </w:rPr>
            </w:pPr>
            <w:r w:rsidRPr="004B6C01">
              <w:rPr>
                <w:lang w:val="en-AU"/>
              </w:rPr>
              <w:t>-1.0</w:t>
            </w:r>
          </w:p>
        </w:tc>
        <w:tc>
          <w:tcPr>
            <w:tcW w:w="420" w:type="pct"/>
          </w:tcPr>
          <w:p w14:paraId="1AC3D841"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5E31092D" w14:textId="77777777" w:rsidTr="000F3176">
        <w:tblPrEx>
          <w:tblBorders>
            <w:bottom w:val="single" w:sz="12" w:space="0" w:color="777777"/>
          </w:tblBorders>
        </w:tblPrEx>
        <w:trPr>
          <w:gridAfter w:val="1"/>
          <w:wAfter w:w="13" w:type="pct"/>
          <w:cantSplit/>
        </w:trPr>
        <w:tc>
          <w:tcPr>
            <w:tcW w:w="4985" w:type="pct"/>
            <w:gridSpan w:val="9"/>
            <w:shd w:val="clear" w:color="auto" w:fill="auto"/>
          </w:tcPr>
          <w:p w14:paraId="0A8FF9A4"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5068C3EC" w14:textId="77777777" w:rsidR="00A61FF5" w:rsidRPr="004B6C01" w:rsidRDefault="00A61FF5" w:rsidP="00D07480">
            <w:pPr>
              <w:pStyle w:val="ESTableBody"/>
              <w:rPr>
                <w:lang w:val="en-AU"/>
              </w:rPr>
            </w:pPr>
            <w:r w:rsidRPr="004B6C01">
              <w:rPr>
                <w:i/>
                <w:lang w:val="en-AU"/>
              </w:rPr>
              <w:t xml:space="preserve">When interpreting results, a 95 per cent confidence interval of +/- 0.92 percentage points needs to be considered as the reported number is an estimate of the student ability for which there is associated measurement error, standard to any such assessment. </w:t>
            </w:r>
          </w:p>
        </w:tc>
      </w:tr>
      <w:tr w:rsidR="00A15149" w:rsidRPr="00932A90" w14:paraId="5DD3840A" w14:textId="77777777" w:rsidTr="000F3176">
        <w:trPr>
          <w:gridAfter w:val="1"/>
          <w:wAfter w:w="13" w:type="pct"/>
          <w:cantSplit/>
        </w:trPr>
        <w:tc>
          <w:tcPr>
            <w:tcW w:w="2572" w:type="pct"/>
            <w:gridSpan w:val="3"/>
            <w:shd w:val="clear" w:color="auto" w:fill="auto"/>
          </w:tcPr>
          <w:p w14:paraId="1A39F863" w14:textId="77777777" w:rsidR="00A61FF5" w:rsidRPr="004B6C01" w:rsidRDefault="00A61FF5" w:rsidP="00D07480">
            <w:pPr>
              <w:pStyle w:val="ESTableBody"/>
              <w:rPr>
                <w:lang w:val="en-AU"/>
              </w:rPr>
            </w:pPr>
            <w:r w:rsidRPr="004B6C01">
              <w:rPr>
                <w:lang w:val="en-AU"/>
              </w:rPr>
              <w:t>Years 5–6 students’ opinion of their connectedness with the school</w:t>
            </w:r>
          </w:p>
        </w:tc>
        <w:tc>
          <w:tcPr>
            <w:tcW w:w="499" w:type="pct"/>
            <w:shd w:val="clear" w:color="auto" w:fill="auto"/>
          </w:tcPr>
          <w:p w14:paraId="3CFABD2A" w14:textId="77777777" w:rsidR="00A61FF5" w:rsidRPr="004B6C01" w:rsidRDefault="00A61FF5" w:rsidP="00D07480">
            <w:pPr>
              <w:pStyle w:val="ESTableBody"/>
              <w:rPr>
                <w:lang w:val="en-AU"/>
              </w:rPr>
            </w:pPr>
            <w:r w:rsidRPr="004B6C01">
              <w:rPr>
                <w:lang w:val="en-AU"/>
              </w:rPr>
              <w:t>5-point scale</w:t>
            </w:r>
          </w:p>
        </w:tc>
        <w:tc>
          <w:tcPr>
            <w:tcW w:w="498" w:type="pct"/>
            <w:gridSpan w:val="2"/>
            <w:shd w:val="clear" w:color="auto" w:fill="auto"/>
          </w:tcPr>
          <w:p w14:paraId="7A37CDDE" w14:textId="77777777" w:rsidR="00A61FF5" w:rsidRPr="004B6C01" w:rsidRDefault="00A61FF5" w:rsidP="00E139AD">
            <w:pPr>
              <w:pStyle w:val="ESTableBody"/>
              <w:jc w:val="right"/>
              <w:rPr>
                <w:lang w:val="en-AU"/>
              </w:rPr>
            </w:pPr>
            <w:r w:rsidRPr="004B6C01">
              <w:rPr>
                <w:lang w:val="en-AU"/>
              </w:rPr>
              <w:t>4.4</w:t>
            </w:r>
          </w:p>
        </w:tc>
        <w:tc>
          <w:tcPr>
            <w:tcW w:w="498" w:type="pct"/>
            <w:shd w:val="clear" w:color="auto" w:fill="auto"/>
          </w:tcPr>
          <w:p w14:paraId="49E1C724" w14:textId="77777777" w:rsidR="00A61FF5" w:rsidRPr="004B6C01" w:rsidRDefault="00A61FF5" w:rsidP="00E139AD">
            <w:pPr>
              <w:pStyle w:val="ESTableBody"/>
              <w:jc w:val="right"/>
              <w:rPr>
                <w:lang w:val="en-AU"/>
              </w:rPr>
            </w:pPr>
            <w:r w:rsidRPr="004B6C01">
              <w:rPr>
                <w:lang w:val="en-AU"/>
              </w:rPr>
              <w:t>4.4</w:t>
            </w:r>
          </w:p>
        </w:tc>
        <w:tc>
          <w:tcPr>
            <w:tcW w:w="498" w:type="pct"/>
          </w:tcPr>
          <w:p w14:paraId="75A195E7" w14:textId="77777777" w:rsidR="00A61FF5" w:rsidRPr="004B6C01" w:rsidRDefault="00A61FF5" w:rsidP="00E139AD">
            <w:pPr>
              <w:pStyle w:val="ESTableBody"/>
              <w:jc w:val="right"/>
              <w:rPr>
                <w:lang w:val="en-AU"/>
              </w:rPr>
            </w:pPr>
            <w:r w:rsidRPr="004B6C01">
              <w:rPr>
                <w:lang w:val="en-AU"/>
              </w:rPr>
              <w:t>0.0</w:t>
            </w:r>
          </w:p>
        </w:tc>
        <w:tc>
          <w:tcPr>
            <w:tcW w:w="420" w:type="pct"/>
          </w:tcPr>
          <w:p w14:paraId="5300B95A"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63A6E35F" w14:textId="77777777" w:rsidTr="000F3176">
        <w:tblPrEx>
          <w:tblBorders>
            <w:bottom w:val="single" w:sz="12" w:space="0" w:color="777777"/>
          </w:tblBorders>
        </w:tblPrEx>
        <w:trPr>
          <w:gridAfter w:val="1"/>
          <w:wAfter w:w="13" w:type="pct"/>
          <w:cantSplit/>
        </w:trPr>
        <w:tc>
          <w:tcPr>
            <w:tcW w:w="4985" w:type="pct"/>
            <w:gridSpan w:val="9"/>
            <w:tcBorders>
              <w:bottom w:val="single" w:sz="4" w:space="0" w:color="auto"/>
            </w:tcBorders>
            <w:shd w:val="clear" w:color="auto" w:fill="auto"/>
          </w:tcPr>
          <w:p w14:paraId="167D6560" w14:textId="77777777" w:rsidR="00A61FF5" w:rsidRPr="004B6C01" w:rsidRDefault="00A61FF5" w:rsidP="00D07480">
            <w:pPr>
              <w:pStyle w:val="ESTableBody"/>
              <w:rPr>
                <w:i/>
                <w:lang w:val="en-AU"/>
              </w:rPr>
            </w:pPr>
            <w:r w:rsidRPr="004B6C01">
              <w:rPr>
                <w:i/>
                <w:lang w:val="en-AU"/>
              </w:rPr>
              <w:t>This performance measure refers to government schools only. Data is drawn from the Attitudes to School Survey, where responses are provided on a scale of 1 to 5 and a higher score represents a higher level of connectedness (that is, students feel they belong and enjoy attending school).</w:t>
            </w:r>
          </w:p>
        </w:tc>
      </w:tr>
      <w:tr w:rsidR="00A61FF5" w:rsidRPr="00932A90" w14:paraId="4DF937A5" w14:textId="77777777" w:rsidTr="000F3176">
        <w:tblPrEx>
          <w:tblBorders>
            <w:bottom w:val="single" w:sz="12" w:space="0" w:color="777777"/>
          </w:tblBorders>
        </w:tblPrEx>
        <w:trPr>
          <w:gridAfter w:val="1"/>
          <w:wAfter w:w="13" w:type="pct"/>
          <w:cantSplit/>
        </w:trPr>
        <w:tc>
          <w:tcPr>
            <w:tcW w:w="4985" w:type="pct"/>
            <w:gridSpan w:val="9"/>
            <w:tcBorders>
              <w:top w:val="single" w:sz="4" w:space="0" w:color="auto"/>
              <w:bottom w:val="nil"/>
            </w:tcBorders>
            <w:shd w:val="clear" w:color="auto" w:fill="auto"/>
          </w:tcPr>
          <w:p w14:paraId="146DA901" w14:textId="77777777" w:rsidR="00A61FF5" w:rsidRPr="004B6C01" w:rsidRDefault="00A61FF5" w:rsidP="008277E3">
            <w:pPr>
              <w:pStyle w:val="ESTableheading"/>
              <w:rPr>
                <w:lang w:val="en-AU"/>
              </w:rPr>
            </w:pPr>
            <w:r w:rsidRPr="004B6C01">
              <w:rPr>
                <w:lang w:val="en-AU"/>
              </w:rPr>
              <w:t>Cost</w:t>
            </w:r>
          </w:p>
        </w:tc>
      </w:tr>
      <w:tr w:rsidR="00A15149" w:rsidRPr="00932A90" w14:paraId="6506C3CB" w14:textId="77777777" w:rsidTr="000F3176">
        <w:trPr>
          <w:gridAfter w:val="1"/>
          <w:wAfter w:w="13" w:type="pct"/>
          <w:cantSplit/>
        </w:trPr>
        <w:tc>
          <w:tcPr>
            <w:tcW w:w="2572" w:type="pct"/>
            <w:gridSpan w:val="3"/>
            <w:shd w:val="clear" w:color="auto" w:fill="auto"/>
          </w:tcPr>
          <w:p w14:paraId="6CD89C31" w14:textId="77777777" w:rsidR="00A61FF5" w:rsidRPr="0053473E" w:rsidRDefault="00A61FF5" w:rsidP="008277E3">
            <w:pPr>
              <w:pStyle w:val="ESTableBody"/>
              <w:keepNext/>
              <w:keepLines/>
              <w:rPr>
                <w:lang w:val="en-AU"/>
              </w:rPr>
            </w:pPr>
            <w:r w:rsidRPr="0053473E">
              <w:rPr>
                <w:lang w:val="en-AU"/>
              </w:rPr>
              <w:t>Total output cost</w:t>
            </w:r>
          </w:p>
        </w:tc>
        <w:tc>
          <w:tcPr>
            <w:tcW w:w="499" w:type="pct"/>
            <w:shd w:val="clear" w:color="auto" w:fill="auto"/>
          </w:tcPr>
          <w:p w14:paraId="4CECE92E" w14:textId="77777777" w:rsidR="00A61FF5" w:rsidRPr="0053473E" w:rsidRDefault="00A61FF5" w:rsidP="008277E3">
            <w:pPr>
              <w:pStyle w:val="ESTableBody"/>
              <w:keepNext/>
              <w:keepLines/>
              <w:rPr>
                <w:lang w:val="en-AU"/>
              </w:rPr>
            </w:pPr>
            <w:r w:rsidRPr="0053473E">
              <w:rPr>
                <w:lang w:val="en-AU"/>
              </w:rPr>
              <w:t>$ million</w:t>
            </w:r>
          </w:p>
        </w:tc>
        <w:tc>
          <w:tcPr>
            <w:tcW w:w="498" w:type="pct"/>
            <w:gridSpan w:val="2"/>
            <w:shd w:val="clear" w:color="auto" w:fill="auto"/>
          </w:tcPr>
          <w:p w14:paraId="37BA5A69" w14:textId="77777777" w:rsidR="00A61FF5" w:rsidRPr="0053473E" w:rsidRDefault="00A61FF5" w:rsidP="008277E3">
            <w:pPr>
              <w:pStyle w:val="ESTableBody"/>
              <w:keepNext/>
              <w:keepLines/>
              <w:rPr>
                <w:lang w:val="en-AU"/>
              </w:rPr>
            </w:pPr>
            <w:r w:rsidRPr="0053473E">
              <w:rPr>
                <w:lang w:val="en-AU"/>
              </w:rPr>
              <w:t>4,930.9</w:t>
            </w:r>
          </w:p>
        </w:tc>
        <w:tc>
          <w:tcPr>
            <w:tcW w:w="498" w:type="pct"/>
            <w:shd w:val="clear" w:color="auto" w:fill="auto"/>
          </w:tcPr>
          <w:p w14:paraId="032B39AD" w14:textId="200AC35D" w:rsidR="00A61FF5" w:rsidRPr="0053473E" w:rsidRDefault="00C94301" w:rsidP="008277E3">
            <w:pPr>
              <w:pStyle w:val="ESTableBody"/>
              <w:keepNext/>
              <w:keepLines/>
              <w:rPr>
                <w:lang w:val="en-AU"/>
              </w:rPr>
            </w:pPr>
            <w:r>
              <w:rPr>
                <w:lang w:val="en-AU"/>
              </w:rPr>
              <w:t>4,</w:t>
            </w:r>
            <w:r w:rsidR="0053473E" w:rsidRPr="0053473E">
              <w:rPr>
                <w:lang w:val="en-AU"/>
              </w:rPr>
              <w:t>886.9</w:t>
            </w:r>
          </w:p>
        </w:tc>
        <w:tc>
          <w:tcPr>
            <w:tcW w:w="498" w:type="pct"/>
          </w:tcPr>
          <w:p w14:paraId="2C5058EC" w14:textId="1E07329C" w:rsidR="00A61FF5" w:rsidRPr="0053473E" w:rsidRDefault="0053473E" w:rsidP="008277E3">
            <w:pPr>
              <w:pStyle w:val="ESTableBody"/>
              <w:keepNext/>
              <w:keepLines/>
              <w:rPr>
                <w:lang w:val="en-AU"/>
              </w:rPr>
            </w:pPr>
            <w:r w:rsidRPr="0053473E">
              <w:rPr>
                <w:lang w:val="en-AU"/>
              </w:rPr>
              <w:t>-0.9</w:t>
            </w:r>
          </w:p>
        </w:tc>
        <w:tc>
          <w:tcPr>
            <w:tcW w:w="420" w:type="pct"/>
          </w:tcPr>
          <w:p w14:paraId="21701C9F" w14:textId="3846AB6B" w:rsidR="00A61FF5" w:rsidRPr="0053473E" w:rsidRDefault="00F50C19" w:rsidP="008277E3">
            <w:pPr>
              <w:pStyle w:val="ESTableBody"/>
              <w:keepNext/>
              <w:keepLines/>
              <w:rPr>
                <w:lang w:val="en-AU"/>
              </w:rPr>
            </w:pPr>
            <w:r w:rsidRPr="004B6C01">
              <w:rPr>
                <w:lang w:val="en-AU"/>
              </w:rPr>
              <w:sym w:font="Wingdings" w:char="F0FC"/>
            </w:r>
          </w:p>
        </w:tc>
      </w:tr>
      <w:tr w:rsidR="00A61FF5" w:rsidRPr="00932A90" w14:paraId="38B7BA9B" w14:textId="77777777" w:rsidTr="000F3176">
        <w:tblPrEx>
          <w:tblBorders>
            <w:bottom w:val="single" w:sz="12" w:space="0" w:color="777777"/>
          </w:tblBorders>
        </w:tblPrEx>
        <w:trPr>
          <w:gridAfter w:val="1"/>
          <w:wAfter w:w="13" w:type="pct"/>
          <w:cantSplit/>
        </w:trPr>
        <w:tc>
          <w:tcPr>
            <w:tcW w:w="4985" w:type="pct"/>
            <w:gridSpan w:val="9"/>
            <w:tcBorders>
              <w:bottom w:val="single" w:sz="6" w:space="0" w:color="auto"/>
            </w:tcBorders>
            <w:shd w:val="clear" w:color="auto" w:fill="auto"/>
          </w:tcPr>
          <w:p w14:paraId="4F924040" w14:textId="6A504A17" w:rsidR="00A61FF5" w:rsidRPr="004B6C01" w:rsidRDefault="00A61FF5" w:rsidP="008277E3">
            <w:pPr>
              <w:pStyle w:val="ESTableBody"/>
              <w:keepNext/>
              <w:keepLines/>
              <w:rPr>
                <w:i/>
                <w:highlight w:val="yellow"/>
                <w:lang w:val="en-AU"/>
              </w:rPr>
            </w:pPr>
          </w:p>
        </w:tc>
      </w:tr>
      <w:tr w:rsidR="000F3176" w:rsidRPr="00932A90" w14:paraId="40627A2E" w14:textId="77777777" w:rsidTr="000F3176">
        <w:tblPrEx>
          <w:tblBorders>
            <w:bottom w:val="single" w:sz="4" w:space="0" w:color="auto"/>
          </w:tblBorders>
        </w:tblPrEx>
        <w:trPr>
          <w:cantSplit/>
        </w:trPr>
        <w:tc>
          <w:tcPr>
            <w:tcW w:w="385" w:type="pct"/>
            <w:tcBorders>
              <w:top w:val="single" w:sz="4" w:space="0" w:color="auto"/>
              <w:bottom w:val="single" w:sz="4" w:space="0" w:color="auto"/>
            </w:tcBorders>
            <w:shd w:val="clear" w:color="auto" w:fill="auto"/>
          </w:tcPr>
          <w:p w14:paraId="053AEDA4" w14:textId="77777777" w:rsidR="000F3176" w:rsidRPr="004B6C01" w:rsidRDefault="000F3176" w:rsidP="007B17A1">
            <w:pPr>
              <w:pStyle w:val="ESTableBody"/>
              <w:rPr>
                <w:lang w:val="en-AU"/>
              </w:rPr>
            </w:pPr>
            <w:r w:rsidRPr="004B6C01">
              <w:rPr>
                <w:lang w:val="en-AU"/>
              </w:rPr>
              <w:t>Key:</w:t>
            </w:r>
          </w:p>
        </w:tc>
        <w:tc>
          <w:tcPr>
            <w:tcW w:w="1820" w:type="pct"/>
            <w:tcBorders>
              <w:top w:val="single" w:sz="4" w:space="0" w:color="auto"/>
              <w:bottom w:val="single" w:sz="4" w:space="0" w:color="auto"/>
            </w:tcBorders>
            <w:shd w:val="clear" w:color="auto" w:fill="auto"/>
          </w:tcPr>
          <w:p w14:paraId="40BB7123" w14:textId="77777777" w:rsidR="000F3176" w:rsidRPr="004B6C01" w:rsidRDefault="000F3176" w:rsidP="007B17A1">
            <w:pPr>
              <w:pStyle w:val="ESTableBody"/>
              <w:rPr>
                <w:lang w:val="en-AU"/>
              </w:rPr>
            </w:pPr>
            <w:r w:rsidRPr="004B6C01">
              <w:rPr>
                <w:lang w:val="en-AU"/>
              </w:rPr>
              <w:sym w:font="Wingdings" w:char="F0FC"/>
            </w:r>
            <w:r w:rsidRPr="004B6C01">
              <w:rPr>
                <w:lang w:val="en-AU"/>
              </w:rPr>
              <w:t xml:space="preserve"> Target achieved or exceeded</w:t>
            </w:r>
          </w:p>
        </w:tc>
        <w:tc>
          <w:tcPr>
            <w:tcW w:w="1343" w:type="pct"/>
            <w:gridSpan w:val="3"/>
            <w:tcBorders>
              <w:top w:val="single" w:sz="4" w:space="0" w:color="auto"/>
              <w:bottom w:val="single" w:sz="4" w:space="0" w:color="auto"/>
            </w:tcBorders>
            <w:shd w:val="clear" w:color="auto" w:fill="auto"/>
          </w:tcPr>
          <w:p w14:paraId="71F02D45" w14:textId="77777777" w:rsidR="000F3176" w:rsidRPr="004B6C01" w:rsidRDefault="000F3176" w:rsidP="007B17A1">
            <w:pPr>
              <w:pStyle w:val="ESTableBody"/>
              <w:rPr>
                <w:lang w:val="en-AU"/>
              </w:rPr>
            </w:pPr>
            <w:r w:rsidRPr="004B6C01">
              <w:rPr>
                <w:lang w:val="en-AU"/>
              </w:rPr>
              <w:sym w:font="Wingdings" w:char="F06E"/>
            </w:r>
            <w:r w:rsidRPr="004B6C01">
              <w:rPr>
                <w:lang w:val="en-AU"/>
              </w:rPr>
              <w:t xml:space="preserve"> Target not achieved—less than 5% variance</w:t>
            </w:r>
          </w:p>
        </w:tc>
        <w:tc>
          <w:tcPr>
            <w:tcW w:w="1452" w:type="pct"/>
            <w:gridSpan w:val="5"/>
            <w:tcBorders>
              <w:top w:val="single" w:sz="4" w:space="0" w:color="auto"/>
              <w:bottom w:val="single" w:sz="4" w:space="0" w:color="auto"/>
            </w:tcBorders>
            <w:shd w:val="clear" w:color="auto" w:fill="auto"/>
          </w:tcPr>
          <w:p w14:paraId="26059CF0" w14:textId="77777777" w:rsidR="000F3176" w:rsidRPr="004B6C01" w:rsidRDefault="000F3176" w:rsidP="007B17A1">
            <w:pPr>
              <w:pStyle w:val="ESTableBody"/>
              <w:rPr>
                <w:lang w:val="en-AU"/>
              </w:rPr>
            </w:pPr>
            <w:r w:rsidRPr="004B6C01">
              <w:rPr>
                <w:lang w:val="en-AU"/>
              </w:rPr>
              <w:sym w:font="Wingdings" w:char="F0FB"/>
            </w:r>
            <w:r w:rsidRPr="004B6C01">
              <w:rPr>
                <w:lang w:val="en-AU"/>
              </w:rPr>
              <w:t xml:space="preserve"> Target not achieved—more than 5% variance</w:t>
            </w:r>
          </w:p>
        </w:tc>
      </w:tr>
    </w:tbl>
    <w:p w14:paraId="27F17666" w14:textId="77777777" w:rsidR="00A61FF5" w:rsidRPr="004B6C01" w:rsidRDefault="00A61FF5" w:rsidP="00A61FF5">
      <w:pPr>
        <w:pStyle w:val="ESHeading4"/>
        <w:rPr>
          <w:lang w:val="en-AU"/>
        </w:rPr>
      </w:pPr>
      <w:r w:rsidRPr="004B6C01">
        <w:rPr>
          <w:lang w:val="en-AU"/>
        </w:rPr>
        <w:t>(ii) School Education–Secondary</w:t>
      </w:r>
    </w:p>
    <w:p w14:paraId="7557F61A" w14:textId="77777777" w:rsidR="00A61FF5" w:rsidRPr="004B6C01" w:rsidRDefault="00A61FF5" w:rsidP="00A61FF5">
      <w:pPr>
        <w:pStyle w:val="ESBodyText"/>
        <w:rPr>
          <w:lang w:val="en-AU"/>
        </w:rPr>
      </w:pPr>
      <w:r w:rsidRPr="004B6C01">
        <w:rPr>
          <w:lang w:val="en-AU"/>
        </w:rPr>
        <w:t>This output involves provision of education and support services designed to improve student learning, development and wellbeing in Years 7 to 12 in government and non-government schools. It also covers the provision of services to improve pathways to further education, training and employment.</w:t>
      </w:r>
    </w:p>
    <w:p w14:paraId="4A89357C" w14:textId="77777777" w:rsidR="00A61FF5" w:rsidRPr="004B6C01" w:rsidRDefault="00A61FF5" w:rsidP="00A61FF5">
      <w:pPr>
        <w:pStyle w:val="ESBodyText"/>
        <w:rPr>
          <w:lang w:val="en-AU"/>
        </w:rPr>
      </w:pPr>
      <w:r w:rsidRPr="004B6C01">
        <w:rPr>
          <w:lang w:val="en-AU"/>
        </w:rPr>
        <w:t>Except where indicated, these performance measures relate to:</w:t>
      </w:r>
    </w:p>
    <w:p w14:paraId="0CD5C193" w14:textId="77777777" w:rsidR="00A61FF5" w:rsidRPr="004B6C01" w:rsidRDefault="00A61FF5" w:rsidP="00A61FF5">
      <w:pPr>
        <w:pStyle w:val="ESBullet1indent"/>
        <w:rPr>
          <w:lang w:val="en-AU"/>
        </w:rPr>
      </w:pPr>
      <w:r w:rsidRPr="004B6C01">
        <w:rPr>
          <w:lang w:val="en-AU"/>
        </w:rPr>
        <w:t>the 2016 calendar year rather than the 2016–17 financial year</w:t>
      </w:r>
    </w:p>
    <w:p w14:paraId="7F6FCA9D" w14:textId="77777777" w:rsidR="00A61FF5" w:rsidRPr="004B6C01" w:rsidRDefault="00A61FF5" w:rsidP="00A61FF5">
      <w:pPr>
        <w:pStyle w:val="ESBullet1indent"/>
        <w:rPr>
          <w:lang w:val="en-AU"/>
        </w:rPr>
      </w:pPr>
      <w:r w:rsidRPr="004B6C01">
        <w:rPr>
          <w:lang w:val="en-AU"/>
        </w:rPr>
        <w:t>government and non-government schools.</w:t>
      </w:r>
    </w:p>
    <w:p w14:paraId="7EBCDB4C" w14:textId="77777777" w:rsidR="00A61FF5" w:rsidRPr="004B6C01" w:rsidRDefault="00A61FF5" w:rsidP="009A0BAD">
      <w:pPr>
        <w:pStyle w:val="ESTableintroheading"/>
        <w:rPr>
          <w:lang w:val="en-AU"/>
        </w:rPr>
      </w:pPr>
      <w:r w:rsidRPr="004B6C01">
        <w:rPr>
          <w:lang w:val="en-AU"/>
        </w:rPr>
        <w:t>Table 10 – School Education–Secondary performance measures</w:t>
      </w:r>
    </w:p>
    <w:tbl>
      <w:tblPr>
        <w:tblW w:w="5015" w:type="pct"/>
        <w:tblInd w:w="-3" w:type="dxa"/>
        <w:tblLayout w:type="fixed"/>
        <w:tblCellMar>
          <w:left w:w="45" w:type="dxa"/>
          <w:right w:w="45" w:type="dxa"/>
        </w:tblCellMar>
        <w:tblLook w:val="0000" w:firstRow="0" w:lastRow="0" w:firstColumn="0" w:lastColumn="0" w:noHBand="0" w:noVBand="0"/>
      </w:tblPr>
      <w:tblGrid>
        <w:gridCol w:w="570"/>
        <w:gridCol w:w="2689"/>
        <w:gridCol w:w="322"/>
        <w:gridCol w:w="756"/>
        <w:gridCol w:w="756"/>
        <w:gridCol w:w="148"/>
        <w:gridCol w:w="609"/>
        <w:gridCol w:w="756"/>
        <w:gridCol w:w="759"/>
        <w:gridCol w:w="21"/>
      </w:tblGrid>
      <w:tr w:rsidR="00A61FF5" w:rsidRPr="00932A90" w14:paraId="290081C6" w14:textId="77777777" w:rsidTr="00C86AF4">
        <w:trPr>
          <w:gridAfter w:val="1"/>
          <w:wAfter w:w="15" w:type="pct"/>
          <w:cantSplit/>
          <w:tblHeader/>
        </w:trPr>
        <w:tc>
          <w:tcPr>
            <w:tcW w:w="2424" w:type="pct"/>
            <w:gridSpan w:val="3"/>
            <w:shd w:val="clear" w:color="auto" w:fill="7F7F7F" w:themeFill="text1" w:themeFillTint="80"/>
          </w:tcPr>
          <w:p w14:paraId="2E35F2F7" w14:textId="77777777" w:rsidR="00A61FF5" w:rsidRPr="004B6C01" w:rsidRDefault="00A61FF5" w:rsidP="00D07480">
            <w:pPr>
              <w:pStyle w:val="ESTableheadingwhite75"/>
              <w:rPr>
                <w:lang w:val="en-AU"/>
              </w:rPr>
            </w:pPr>
            <w:r w:rsidRPr="004B6C01">
              <w:rPr>
                <w:lang w:val="en-AU"/>
              </w:rPr>
              <w:t>Performance measures</w:t>
            </w:r>
          </w:p>
        </w:tc>
        <w:tc>
          <w:tcPr>
            <w:tcW w:w="512" w:type="pct"/>
            <w:shd w:val="clear" w:color="auto" w:fill="7F7F7F" w:themeFill="text1" w:themeFillTint="80"/>
            <w:vAlign w:val="center"/>
          </w:tcPr>
          <w:p w14:paraId="66B6A70C" w14:textId="77777777" w:rsidR="00A61FF5" w:rsidRPr="004B6C01" w:rsidRDefault="00A61FF5" w:rsidP="00D07480">
            <w:pPr>
              <w:pStyle w:val="ESTableheadingwhite75"/>
              <w:rPr>
                <w:lang w:val="en-AU"/>
              </w:rPr>
            </w:pPr>
            <w:r w:rsidRPr="004B6C01">
              <w:rPr>
                <w:lang w:val="en-AU"/>
              </w:rPr>
              <w:t>Unit of measure</w:t>
            </w:r>
          </w:p>
        </w:tc>
        <w:tc>
          <w:tcPr>
            <w:tcW w:w="512" w:type="pct"/>
            <w:shd w:val="clear" w:color="auto" w:fill="7F7F7F" w:themeFill="text1" w:themeFillTint="80"/>
            <w:vAlign w:val="center"/>
          </w:tcPr>
          <w:p w14:paraId="083375D8" w14:textId="77777777" w:rsidR="00A61FF5" w:rsidRPr="004B6C01" w:rsidRDefault="00A61FF5" w:rsidP="00D07480">
            <w:pPr>
              <w:pStyle w:val="ESTableheadingwhite75"/>
              <w:rPr>
                <w:lang w:val="en-AU"/>
              </w:rPr>
            </w:pPr>
            <w:r w:rsidRPr="004B6C01">
              <w:rPr>
                <w:lang w:val="en-AU"/>
              </w:rPr>
              <w:t>2016–17 Target</w:t>
            </w:r>
          </w:p>
        </w:tc>
        <w:tc>
          <w:tcPr>
            <w:tcW w:w="512" w:type="pct"/>
            <w:gridSpan w:val="2"/>
            <w:shd w:val="clear" w:color="auto" w:fill="7F7F7F" w:themeFill="text1" w:themeFillTint="80"/>
            <w:vAlign w:val="center"/>
          </w:tcPr>
          <w:p w14:paraId="393C83F6" w14:textId="77777777" w:rsidR="00A61FF5" w:rsidRPr="004B6C01" w:rsidRDefault="00A61FF5" w:rsidP="00D07480">
            <w:pPr>
              <w:pStyle w:val="ESTableheadingwhite75"/>
              <w:rPr>
                <w:lang w:val="en-AU"/>
              </w:rPr>
            </w:pPr>
            <w:r w:rsidRPr="004B6C01">
              <w:rPr>
                <w:lang w:val="en-AU"/>
              </w:rPr>
              <w:t>2016–17 Actual</w:t>
            </w:r>
          </w:p>
        </w:tc>
        <w:tc>
          <w:tcPr>
            <w:tcW w:w="512" w:type="pct"/>
            <w:shd w:val="clear" w:color="auto" w:fill="7F7F7F" w:themeFill="text1" w:themeFillTint="80"/>
            <w:vAlign w:val="center"/>
          </w:tcPr>
          <w:p w14:paraId="619F3973" w14:textId="3D914137" w:rsidR="00A61FF5" w:rsidRPr="004B6C01" w:rsidRDefault="00660627" w:rsidP="00D07480">
            <w:pPr>
              <w:pStyle w:val="ESTableheadingwhite75"/>
              <w:rPr>
                <w:lang w:val="en-AU"/>
              </w:rPr>
            </w:pPr>
            <w:r w:rsidRPr="004B6C01">
              <w:rPr>
                <w:lang w:val="en-AU"/>
              </w:rPr>
              <w:t xml:space="preserve">Per cent </w:t>
            </w:r>
            <w:r w:rsidR="00A61FF5" w:rsidRPr="004B6C01">
              <w:rPr>
                <w:lang w:val="en-AU"/>
              </w:rPr>
              <w:t>variation</w:t>
            </w:r>
          </w:p>
        </w:tc>
        <w:tc>
          <w:tcPr>
            <w:tcW w:w="514" w:type="pct"/>
            <w:shd w:val="clear" w:color="auto" w:fill="7F7F7F" w:themeFill="text1" w:themeFillTint="80"/>
            <w:vAlign w:val="center"/>
          </w:tcPr>
          <w:p w14:paraId="346BDCC0" w14:textId="77777777" w:rsidR="00A61FF5" w:rsidRPr="004B6C01" w:rsidRDefault="00A61FF5" w:rsidP="00D07480">
            <w:pPr>
              <w:pStyle w:val="ESTableheadingwhite75"/>
              <w:rPr>
                <w:lang w:val="en-AU"/>
              </w:rPr>
            </w:pPr>
            <w:r w:rsidRPr="004B6C01">
              <w:rPr>
                <w:lang w:val="en-AU"/>
              </w:rPr>
              <w:t>Result</w:t>
            </w:r>
          </w:p>
        </w:tc>
      </w:tr>
      <w:tr w:rsidR="00A61FF5" w:rsidRPr="00932A90" w14:paraId="18F171C2"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137F6279" w14:textId="77777777" w:rsidR="00A61FF5" w:rsidRPr="004B6C01" w:rsidRDefault="00A61FF5" w:rsidP="009A0BAD">
            <w:pPr>
              <w:pStyle w:val="ESTableheading"/>
              <w:rPr>
                <w:lang w:val="en-AU"/>
              </w:rPr>
            </w:pPr>
            <w:r w:rsidRPr="004B6C01">
              <w:rPr>
                <w:lang w:val="en-AU"/>
              </w:rPr>
              <w:t>Quantity</w:t>
            </w:r>
          </w:p>
        </w:tc>
      </w:tr>
      <w:tr w:rsidR="00A61FF5" w:rsidRPr="00932A90" w14:paraId="752931F7" w14:textId="77777777" w:rsidTr="00C86AF4">
        <w:trPr>
          <w:gridAfter w:val="1"/>
          <w:wAfter w:w="15" w:type="pct"/>
          <w:cantSplit/>
        </w:trPr>
        <w:tc>
          <w:tcPr>
            <w:tcW w:w="2424" w:type="pct"/>
            <w:gridSpan w:val="3"/>
            <w:shd w:val="clear" w:color="auto" w:fill="auto"/>
            <w:vAlign w:val="center"/>
          </w:tcPr>
          <w:p w14:paraId="01A5E2FE" w14:textId="77777777" w:rsidR="00A61FF5" w:rsidRPr="00C86AF4" w:rsidRDefault="00A61FF5" w:rsidP="00D07480">
            <w:pPr>
              <w:pStyle w:val="ESTableBody"/>
              <w:rPr>
                <w:lang w:val="en-AU"/>
              </w:rPr>
            </w:pPr>
            <w:r w:rsidRPr="00C86AF4">
              <w:rPr>
                <w:lang w:val="en-AU"/>
              </w:rPr>
              <w:t>Investment in non-government schools (secondary)</w:t>
            </w:r>
          </w:p>
        </w:tc>
        <w:tc>
          <w:tcPr>
            <w:tcW w:w="512" w:type="pct"/>
            <w:shd w:val="clear" w:color="auto" w:fill="auto"/>
            <w:vAlign w:val="center"/>
          </w:tcPr>
          <w:p w14:paraId="5401D0A3" w14:textId="77777777" w:rsidR="00A61FF5" w:rsidRPr="00C86AF4" w:rsidRDefault="00A61FF5" w:rsidP="00D07480">
            <w:pPr>
              <w:pStyle w:val="ESTableBody"/>
              <w:rPr>
                <w:lang w:val="en-AU"/>
              </w:rPr>
            </w:pPr>
            <w:r w:rsidRPr="00C86AF4">
              <w:rPr>
                <w:lang w:val="en-AU"/>
              </w:rPr>
              <w:t>$ million</w:t>
            </w:r>
          </w:p>
        </w:tc>
        <w:tc>
          <w:tcPr>
            <w:tcW w:w="512" w:type="pct"/>
            <w:shd w:val="clear" w:color="auto" w:fill="auto"/>
            <w:vAlign w:val="center"/>
          </w:tcPr>
          <w:p w14:paraId="64ADD70E" w14:textId="77777777" w:rsidR="00A61FF5" w:rsidRPr="00C86AF4" w:rsidRDefault="00A61FF5" w:rsidP="00E139AD">
            <w:pPr>
              <w:pStyle w:val="ESTableBody"/>
              <w:jc w:val="right"/>
              <w:rPr>
                <w:lang w:val="en-AU"/>
              </w:rPr>
            </w:pPr>
            <w:r w:rsidRPr="00C86AF4">
              <w:rPr>
                <w:lang w:val="en-AU"/>
              </w:rPr>
              <w:t>385.8</w:t>
            </w:r>
          </w:p>
        </w:tc>
        <w:tc>
          <w:tcPr>
            <w:tcW w:w="512" w:type="pct"/>
            <w:gridSpan w:val="2"/>
            <w:shd w:val="clear" w:color="auto" w:fill="auto"/>
            <w:vAlign w:val="center"/>
          </w:tcPr>
          <w:p w14:paraId="7C201138" w14:textId="284567C0" w:rsidR="00A61FF5" w:rsidRPr="00C86AF4" w:rsidRDefault="00A61FF5" w:rsidP="00E139AD">
            <w:pPr>
              <w:pStyle w:val="ESTableBody"/>
              <w:jc w:val="right"/>
              <w:rPr>
                <w:lang w:val="en-AU"/>
              </w:rPr>
            </w:pPr>
            <w:r w:rsidRPr="00C86AF4">
              <w:rPr>
                <w:lang w:val="en-AU"/>
              </w:rPr>
              <w:t>3</w:t>
            </w:r>
            <w:r w:rsidR="0053473E" w:rsidRPr="00C86AF4">
              <w:rPr>
                <w:lang w:val="en-AU"/>
              </w:rPr>
              <w:t>55</w:t>
            </w:r>
            <w:r w:rsidRPr="00C86AF4">
              <w:rPr>
                <w:lang w:val="en-AU"/>
              </w:rPr>
              <w:t>.1</w:t>
            </w:r>
          </w:p>
        </w:tc>
        <w:tc>
          <w:tcPr>
            <w:tcW w:w="512" w:type="pct"/>
            <w:vAlign w:val="center"/>
          </w:tcPr>
          <w:p w14:paraId="75418914" w14:textId="63513CD6" w:rsidR="00A61FF5" w:rsidRPr="00C86AF4" w:rsidRDefault="00A61FF5" w:rsidP="00E139AD">
            <w:pPr>
              <w:pStyle w:val="ESTableBody"/>
              <w:jc w:val="right"/>
              <w:rPr>
                <w:lang w:val="en-AU"/>
              </w:rPr>
            </w:pPr>
            <w:r w:rsidRPr="00C86AF4">
              <w:rPr>
                <w:lang w:val="en-AU"/>
              </w:rPr>
              <w:t>-</w:t>
            </w:r>
            <w:r w:rsidR="00C86AF4" w:rsidRPr="00C86AF4">
              <w:rPr>
                <w:lang w:val="en-AU"/>
              </w:rPr>
              <w:t>8.</w:t>
            </w:r>
            <w:r w:rsidRPr="00C86AF4">
              <w:rPr>
                <w:lang w:val="en-AU"/>
              </w:rPr>
              <w:t>0</w:t>
            </w:r>
          </w:p>
        </w:tc>
        <w:tc>
          <w:tcPr>
            <w:tcW w:w="514" w:type="pct"/>
            <w:vAlign w:val="center"/>
          </w:tcPr>
          <w:p w14:paraId="6E34A84B" w14:textId="77777777" w:rsidR="00A61FF5" w:rsidRPr="00C86AF4" w:rsidRDefault="00A61FF5" w:rsidP="00046452">
            <w:pPr>
              <w:pStyle w:val="ESTableBody"/>
              <w:jc w:val="center"/>
              <w:rPr>
                <w:lang w:val="en-AU"/>
              </w:rPr>
            </w:pPr>
            <w:r w:rsidRPr="00C86AF4">
              <w:rPr>
                <w:lang w:val="en-AU"/>
              </w:rPr>
              <w:sym w:font="Wingdings" w:char="F0FC"/>
            </w:r>
          </w:p>
        </w:tc>
      </w:tr>
      <w:tr w:rsidR="00A61FF5" w:rsidRPr="00932A90" w14:paraId="5BCE4F8A"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486EC026" w14:textId="5D129172" w:rsidR="00A61FF5" w:rsidRPr="004B6C01" w:rsidRDefault="00CA3A49" w:rsidP="00D07480">
            <w:pPr>
              <w:pStyle w:val="ESTableBody"/>
              <w:rPr>
                <w:i/>
                <w:highlight w:val="yellow"/>
                <w:lang w:val="en-AU"/>
              </w:rPr>
            </w:pPr>
            <w:r>
              <w:rPr>
                <w:i/>
                <w:lang w:val="en-AU"/>
              </w:rPr>
              <w:t>The 2016/17 a</w:t>
            </w:r>
            <w:r w:rsidR="00C86AF4" w:rsidRPr="00C86AF4">
              <w:rPr>
                <w:i/>
                <w:lang w:val="en-AU"/>
              </w:rPr>
              <w:t>c</w:t>
            </w:r>
            <w:r w:rsidR="00564192">
              <w:rPr>
                <w:i/>
                <w:lang w:val="en-AU"/>
              </w:rPr>
              <w:t>tual is lower than the 2016–</w:t>
            </w:r>
            <w:r w:rsidR="00C86AF4">
              <w:rPr>
                <w:i/>
                <w:lang w:val="en-AU"/>
              </w:rPr>
              <w:t>17 t</w:t>
            </w:r>
            <w:r w:rsidR="00C86AF4" w:rsidRPr="00C86AF4">
              <w:rPr>
                <w:i/>
                <w:lang w:val="en-AU"/>
              </w:rPr>
              <w:t>arget primarily due to the timing in delivery of programs such as enrolment growth funding and capital gran</w:t>
            </w:r>
            <w:r w:rsidR="00564192">
              <w:rPr>
                <w:i/>
                <w:lang w:val="en-AU"/>
              </w:rPr>
              <w:t>ts. In addition, the lower 2016–</w:t>
            </w:r>
            <w:r w:rsidR="00C86AF4" w:rsidRPr="00C86AF4">
              <w:rPr>
                <w:i/>
                <w:lang w:val="en-AU"/>
              </w:rPr>
              <w:t>17 Actual is a result of the realignment of uncommitted capacity within combined base and Fair Funding initiatives to reflect actual funding requirement.</w:t>
            </w:r>
          </w:p>
        </w:tc>
      </w:tr>
      <w:tr w:rsidR="00A61FF5" w:rsidRPr="00932A90" w14:paraId="09E36CF2" w14:textId="77777777" w:rsidTr="00C86AF4">
        <w:trPr>
          <w:gridAfter w:val="1"/>
          <w:wAfter w:w="15" w:type="pct"/>
          <w:cantSplit/>
        </w:trPr>
        <w:tc>
          <w:tcPr>
            <w:tcW w:w="2424" w:type="pct"/>
            <w:gridSpan w:val="3"/>
            <w:shd w:val="clear" w:color="auto" w:fill="auto"/>
            <w:vAlign w:val="center"/>
          </w:tcPr>
          <w:p w14:paraId="14CE43E4" w14:textId="77777777" w:rsidR="00A61FF5" w:rsidRPr="004B6C01" w:rsidRDefault="00A61FF5" w:rsidP="00D07480">
            <w:pPr>
              <w:pStyle w:val="ESTableBody"/>
              <w:rPr>
                <w:lang w:val="en-AU"/>
              </w:rPr>
            </w:pPr>
            <w:r w:rsidRPr="004B6C01">
              <w:rPr>
                <w:lang w:val="en-AU"/>
              </w:rPr>
              <w:t>Number of school students enrolled in Victorian Certificate of Applied Learning (VCAL)</w:t>
            </w:r>
          </w:p>
        </w:tc>
        <w:tc>
          <w:tcPr>
            <w:tcW w:w="512" w:type="pct"/>
            <w:shd w:val="clear" w:color="auto" w:fill="auto"/>
            <w:vAlign w:val="center"/>
          </w:tcPr>
          <w:p w14:paraId="480F44BD" w14:textId="77777777" w:rsidR="00A61FF5" w:rsidRPr="004B6C01" w:rsidRDefault="00A61FF5" w:rsidP="00D07480">
            <w:pPr>
              <w:pStyle w:val="ESTableBody"/>
              <w:rPr>
                <w:lang w:val="en-AU"/>
              </w:rPr>
            </w:pPr>
            <w:r w:rsidRPr="004B6C01">
              <w:rPr>
                <w:lang w:val="en-AU"/>
              </w:rPr>
              <w:t>number</w:t>
            </w:r>
          </w:p>
        </w:tc>
        <w:tc>
          <w:tcPr>
            <w:tcW w:w="512" w:type="pct"/>
            <w:shd w:val="clear" w:color="auto" w:fill="auto"/>
            <w:vAlign w:val="center"/>
          </w:tcPr>
          <w:p w14:paraId="0CCCE85F" w14:textId="77777777" w:rsidR="00A61FF5" w:rsidRPr="004B6C01" w:rsidRDefault="00A61FF5" w:rsidP="00E139AD">
            <w:pPr>
              <w:pStyle w:val="ESTableBody"/>
              <w:jc w:val="right"/>
              <w:rPr>
                <w:lang w:val="en-AU"/>
              </w:rPr>
            </w:pPr>
            <w:r w:rsidRPr="004B6C01">
              <w:rPr>
                <w:lang w:val="en-AU"/>
              </w:rPr>
              <w:t>19,000</w:t>
            </w:r>
          </w:p>
        </w:tc>
        <w:tc>
          <w:tcPr>
            <w:tcW w:w="512" w:type="pct"/>
            <w:gridSpan w:val="2"/>
            <w:shd w:val="clear" w:color="auto" w:fill="auto"/>
            <w:vAlign w:val="center"/>
          </w:tcPr>
          <w:p w14:paraId="2BFB3298" w14:textId="77777777" w:rsidR="00A61FF5" w:rsidRPr="004B6C01" w:rsidRDefault="00A61FF5" w:rsidP="00E139AD">
            <w:pPr>
              <w:pStyle w:val="ESTableBody"/>
              <w:jc w:val="right"/>
              <w:rPr>
                <w:lang w:val="en-AU"/>
              </w:rPr>
            </w:pPr>
            <w:r w:rsidRPr="004B6C01">
              <w:rPr>
                <w:lang w:val="en-AU"/>
              </w:rPr>
              <w:t>18,946</w:t>
            </w:r>
          </w:p>
        </w:tc>
        <w:tc>
          <w:tcPr>
            <w:tcW w:w="512" w:type="pct"/>
            <w:vAlign w:val="center"/>
          </w:tcPr>
          <w:p w14:paraId="5ED0BFE4" w14:textId="77777777" w:rsidR="00A61FF5" w:rsidRPr="004B6C01" w:rsidRDefault="00A61FF5" w:rsidP="00E139AD">
            <w:pPr>
              <w:pStyle w:val="ESTableBody"/>
              <w:jc w:val="right"/>
              <w:rPr>
                <w:lang w:val="en-AU"/>
              </w:rPr>
            </w:pPr>
            <w:r w:rsidRPr="004B6C01">
              <w:rPr>
                <w:lang w:val="en-AU"/>
              </w:rPr>
              <w:t>-0.3</w:t>
            </w:r>
          </w:p>
        </w:tc>
        <w:tc>
          <w:tcPr>
            <w:tcW w:w="514" w:type="pct"/>
            <w:vAlign w:val="center"/>
          </w:tcPr>
          <w:p w14:paraId="095E8365"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003FC4F8"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74D73CAE" w14:textId="77777777" w:rsidR="00A61FF5" w:rsidRPr="004B6C01" w:rsidRDefault="00A61FF5" w:rsidP="00D07480">
            <w:pPr>
              <w:pStyle w:val="ESTableBody"/>
              <w:rPr>
                <w:i/>
                <w:lang w:val="en-AU"/>
              </w:rPr>
            </w:pPr>
            <w:r w:rsidRPr="004B6C01">
              <w:rPr>
                <w:i/>
                <w:lang w:val="en-AU"/>
              </w:rPr>
              <w:t>The 2016–17 actual is lower than the 2016–17 target by only 54 students, representing slight variance on a base of nearly 19,000 students enrolled in VCAL.</w:t>
            </w:r>
          </w:p>
        </w:tc>
      </w:tr>
      <w:tr w:rsidR="00A61FF5" w:rsidRPr="00932A90" w14:paraId="324FAC46" w14:textId="77777777" w:rsidTr="00C86AF4">
        <w:trPr>
          <w:gridAfter w:val="1"/>
          <w:wAfter w:w="15" w:type="pct"/>
          <w:cantSplit/>
        </w:trPr>
        <w:tc>
          <w:tcPr>
            <w:tcW w:w="2424" w:type="pct"/>
            <w:gridSpan w:val="3"/>
            <w:shd w:val="clear" w:color="auto" w:fill="auto"/>
            <w:vAlign w:val="center"/>
          </w:tcPr>
          <w:p w14:paraId="297404FC" w14:textId="77777777" w:rsidR="00A61FF5" w:rsidRPr="004B6C01" w:rsidRDefault="00A61FF5" w:rsidP="00D07480">
            <w:pPr>
              <w:pStyle w:val="ESTableBody"/>
              <w:rPr>
                <w:lang w:val="en-AU"/>
              </w:rPr>
            </w:pPr>
            <w:r w:rsidRPr="004B6C01">
              <w:rPr>
                <w:lang w:val="en-AU"/>
              </w:rPr>
              <w:t>Number of school students participating in accredited vocational programs</w:t>
            </w:r>
          </w:p>
        </w:tc>
        <w:tc>
          <w:tcPr>
            <w:tcW w:w="512" w:type="pct"/>
            <w:shd w:val="clear" w:color="auto" w:fill="auto"/>
            <w:vAlign w:val="center"/>
          </w:tcPr>
          <w:p w14:paraId="62EFF570" w14:textId="77777777" w:rsidR="00A61FF5" w:rsidRPr="004B6C01" w:rsidRDefault="00A61FF5" w:rsidP="00D07480">
            <w:pPr>
              <w:pStyle w:val="ESTableBody"/>
              <w:rPr>
                <w:lang w:val="en-AU"/>
              </w:rPr>
            </w:pPr>
            <w:r w:rsidRPr="004B6C01">
              <w:rPr>
                <w:lang w:val="en-AU"/>
              </w:rPr>
              <w:t>number</w:t>
            </w:r>
          </w:p>
        </w:tc>
        <w:tc>
          <w:tcPr>
            <w:tcW w:w="512" w:type="pct"/>
            <w:shd w:val="clear" w:color="auto" w:fill="auto"/>
            <w:vAlign w:val="center"/>
          </w:tcPr>
          <w:p w14:paraId="2AA7B343" w14:textId="77777777" w:rsidR="00A61FF5" w:rsidRPr="004B6C01" w:rsidRDefault="00A61FF5" w:rsidP="00E139AD">
            <w:pPr>
              <w:pStyle w:val="ESTableBody"/>
              <w:jc w:val="right"/>
              <w:rPr>
                <w:lang w:val="en-AU"/>
              </w:rPr>
            </w:pPr>
            <w:r w:rsidRPr="004B6C01">
              <w:rPr>
                <w:lang w:val="en-AU"/>
              </w:rPr>
              <w:t>47,000</w:t>
            </w:r>
          </w:p>
        </w:tc>
        <w:tc>
          <w:tcPr>
            <w:tcW w:w="512" w:type="pct"/>
            <w:gridSpan w:val="2"/>
            <w:shd w:val="clear" w:color="auto" w:fill="auto"/>
            <w:vAlign w:val="center"/>
          </w:tcPr>
          <w:p w14:paraId="7E94E88E" w14:textId="77777777" w:rsidR="00A61FF5" w:rsidRPr="004B6C01" w:rsidRDefault="00A61FF5" w:rsidP="00E139AD">
            <w:pPr>
              <w:pStyle w:val="ESTableBody"/>
              <w:jc w:val="right"/>
              <w:rPr>
                <w:lang w:val="en-AU"/>
              </w:rPr>
            </w:pPr>
            <w:r w:rsidRPr="004B6C01">
              <w:rPr>
                <w:lang w:val="en-AU"/>
              </w:rPr>
              <w:t>46,872</w:t>
            </w:r>
          </w:p>
        </w:tc>
        <w:tc>
          <w:tcPr>
            <w:tcW w:w="512" w:type="pct"/>
            <w:vAlign w:val="center"/>
          </w:tcPr>
          <w:p w14:paraId="31AA79E9" w14:textId="77777777" w:rsidR="00A61FF5" w:rsidRPr="004B6C01" w:rsidRDefault="00A61FF5" w:rsidP="00E139AD">
            <w:pPr>
              <w:pStyle w:val="ESTableBody"/>
              <w:jc w:val="right"/>
              <w:rPr>
                <w:lang w:val="en-AU"/>
              </w:rPr>
            </w:pPr>
            <w:r w:rsidRPr="004B6C01">
              <w:rPr>
                <w:lang w:val="en-AU"/>
              </w:rPr>
              <w:t>-0.3</w:t>
            </w:r>
          </w:p>
        </w:tc>
        <w:tc>
          <w:tcPr>
            <w:tcW w:w="514" w:type="pct"/>
            <w:vAlign w:val="center"/>
          </w:tcPr>
          <w:p w14:paraId="7413AFE4"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0E8A60D0" w14:textId="77777777" w:rsidTr="000F3176">
        <w:trPr>
          <w:gridAfter w:val="1"/>
          <w:wAfter w:w="13" w:type="pct"/>
          <w:cantSplit/>
        </w:trPr>
        <w:tc>
          <w:tcPr>
            <w:tcW w:w="4985" w:type="pct"/>
            <w:gridSpan w:val="9"/>
            <w:shd w:val="clear" w:color="auto" w:fill="auto"/>
            <w:vAlign w:val="center"/>
          </w:tcPr>
          <w:p w14:paraId="3590C961" w14:textId="77777777" w:rsidR="00A61FF5" w:rsidRPr="004B6C01" w:rsidRDefault="00A61FF5" w:rsidP="00D07480">
            <w:pPr>
              <w:pStyle w:val="ESTableBody"/>
              <w:rPr>
                <w:i/>
                <w:lang w:val="en-AU"/>
              </w:rPr>
            </w:pPr>
            <w:r w:rsidRPr="004B6C01">
              <w:rPr>
                <w:i/>
                <w:lang w:val="en-AU"/>
              </w:rPr>
              <w:t>The 2016–17 actual is lower than the 2016–17 target by 128 students, representing slight variance on a base of nearly 47,000 students participating in accredited vocational programs.</w:t>
            </w:r>
          </w:p>
        </w:tc>
      </w:tr>
      <w:tr w:rsidR="00A61FF5" w:rsidRPr="00932A90" w14:paraId="0E785D82" w14:textId="77777777" w:rsidTr="00C86AF4">
        <w:trPr>
          <w:gridAfter w:val="1"/>
          <w:wAfter w:w="15" w:type="pct"/>
          <w:cantSplit/>
        </w:trPr>
        <w:tc>
          <w:tcPr>
            <w:tcW w:w="2424" w:type="pct"/>
            <w:gridSpan w:val="3"/>
            <w:shd w:val="clear" w:color="auto" w:fill="auto"/>
            <w:vAlign w:val="center"/>
          </w:tcPr>
          <w:p w14:paraId="6DB0C57B" w14:textId="77777777" w:rsidR="00A61FF5" w:rsidRPr="004B6C01" w:rsidRDefault="00A61FF5" w:rsidP="00D07480">
            <w:pPr>
              <w:pStyle w:val="ESTableBody"/>
              <w:rPr>
                <w:lang w:val="en-AU"/>
              </w:rPr>
            </w:pPr>
            <w:r w:rsidRPr="004B6C01">
              <w:rPr>
                <w:lang w:val="en-AU"/>
              </w:rPr>
              <w:t>Number of school-based apprentices/trainees</w:t>
            </w:r>
          </w:p>
        </w:tc>
        <w:tc>
          <w:tcPr>
            <w:tcW w:w="512" w:type="pct"/>
            <w:shd w:val="clear" w:color="auto" w:fill="auto"/>
            <w:vAlign w:val="center"/>
          </w:tcPr>
          <w:p w14:paraId="3194E92F" w14:textId="77777777" w:rsidR="00A61FF5" w:rsidRPr="004B6C01" w:rsidRDefault="00A61FF5" w:rsidP="00D07480">
            <w:pPr>
              <w:pStyle w:val="ESTableBody"/>
              <w:rPr>
                <w:lang w:val="en-AU"/>
              </w:rPr>
            </w:pPr>
            <w:r w:rsidRPr="004B6C01">
              <w:rPr>
                <w:lang w:val="en-AU"/>
              </w:rPr>
              <w:t>number</w:t>
            </w:r>
          </w:p>
        </w:tc>
        <w:tc>
          <w:tcPr>
            <w:tcW w:w="512" w:type="pct"/>
            <w:shd w:val="clear" w:color="auto" w:fill="auto"/>
            <w:vAlign w:val="center"/>
          </w:tcPr>
          <w:p w14:paraId="38C28053" w14:textId="77777777" w:rsidR="00A61FF5" w:rsidRPr="004B6C01" w:rsidRDefault="00A61FF5" w:rsidP="00E139AD">
            <w:pPr>
              <w:pStyle w:val="ESTableBody"/>
              <w:jc w:val="right"/>
              <w:rPr>
                <w:lang w:val="en-AU"/>
              </w:rPr>
            </w:pPr>
            <w:r w:rsidRPr="004B6C01">
              <w:rPr>
                <w:lang w:val="en-AU"/>
              </w:rPr>
              <w:t>3,538</w:t>
            </w:r>
          </w:p>
        </w:tc>
        <w:tc>
          <w:tcPr>
            <w:tcW w:w="512" w:type="pct"/>
            <w:gridSpan w:val="2"/>
            <w:shd w:val="clear" w:color="auto" w:fill="auto"/>
            <w:vAlign w:val="center"/>
          </w:tcPr>
          <w:p w14:paraId="18C1B83C" w14:textId="77777777" w:rsidR="00A61FF5" w:rsidRPr="004B6C01" w:rsidRDefault="00A61FF5" w:rsidP="00E139AD">
            <w:pPr>
              <w:pStyle w:val="ESTableBody"/>
              <w:jc w:val="right"/>
              <w:rPr>
                <w:lang w:val="en-AU"/>
              </w:rPr>
            </w:pPr>
            <w:r w:rsidRPr="004B6C01">
              <w:rPr>
                <w:lang w:val="en-AU"/>
              </w:rPr>
              <w:t>3,243</w:t>
            </w:r>
          </w:p>
        </w:tc>
        <w:tc>
          <w:tcPr>
            <w:tcW w:w="512" w:type="pct"/>
            <w:vAlign w:val="center"/>
          </w:tcPr>
          <w:p w14:paraId="5AC5A598" w14:textId="77777777" w:rsidR="00A61FF5" w:rsidRPr="004B6C01" w:rsidRDefault="00A61FF5" w:rsidP="00E139AD">
            <w:pPr>
              <w:pStyle w:val="ESTableBody"/>
              <w:jc w:val="right"/>
              <w:rPr>
                <w:lang w:val="en-AU"/>
              </w:rPr>
            </w:pPr>
            <w:r w:rsidRPr="004B6C01">
              <w:rPr>
                <w:lang w:val="en-AU"/>
              </w:rPr>
              <w:t>-8.3</w:t>
            </w:r>
          </w:p>
        </w:tc>
        <w:tc>
          <w:tcPr>
            <w:tcW w:w="514" w:type="pct"/>
            <w:vAlign w:val="center"/>
          </w:tcPr>
          <w:p w14:paraId="6B6EA337"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5B156C32"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3AA806B0" w14:textId="2BD6AF01" w:rsidR="00A61FF5" w:rsidRPr="004B6C01" w:rsidRDefault="00A61FF5" w:rsidP="008C1498">
            <w:pPr>
              <w:pStyle w:val="ESTableBody"/>
              <w:rPr>
                <w:i/>
                <w:lang w:val="en-AU"/>
              </w:rPr>
            </w:pPr>
            <w:r w:rsidRPr="004B6C01">
              <w:rPr>
                <w:i/>
                <w:lang w:val="en-AU"/>
              </w:rPr>
              <w:t>The 2016–17 actual is lower than the 2016–17 target as a result of the VRQA’s regulatory work in 2015</w:t>
            </w:r>
            <w:r w:rsidR="008C1498" w:rsidRPr="004B6C01">
              <w:rPr>
                <w:i/>
                <w:lang w:val="en-AU"/>
              </w:rPr>
              <w:t>–</w:t>
            </w:r>
            <w:r w:rsidRPr="004B6C01">
              <w:rPr>
                <w:i/>
                <w:lang w:val="en-AU"/>
              </w:rPr>
              <w:t>16, which resulted in the discontinuation of some school-based apprenticeship and traineeship and other vocational programs that did not meet regulatory requirements.</w:t>
            </w:r>
          </w:p>
        </w:tc>
      </w:tr>
      <w:tr w:rsidR="00A61FF5" w:rsidRPr="00932A90" w14:paraId="5961C7F9" w14:textId="77777777" w:rsidTr="00C86AF4">
        <w:trPr>
          <w:gridAfter w:val="1"/>
          <w:wAfter w:w="15" w:type="pct"/>
          <w:cantSplit/>
        </w:trPr>
        <w:tc>
          <w:tcPr>
            <w:tcW w:w="2424" w:type="pct"/>
            <w:gridSpan w:val="3"/>
            <w:shd w:val="clear" w:color="auto" w:fill="auto"/>
            <w:vAlign w:val="center"/>
          </w:tcPr>
          <w:p w14:paraId="5FE4A755" w14:textId="77777777" w:rsidR="00A61FF5" w:rsidRPr="004B6C01" w:rsidRDefault="00A61FF5" w:rsidP="00D07480">
            <w:pPr>
              <w:pStyle w:val="ESTableBody"/>
              <w:rPr>
                <w:lang w:val="en-AU"/>
              </w:rPr>
            </w:pPr>
            <w:r w:rsidRPr="004B6C01">
              <w:rPr>
                <w:lang w:val="en-AU"/>
              </w:rPr>
              <w:t>Proportion of all secondary schools offering vocational options to students as part of their secondary school certificate</w:t>
            </w:r>
          </w:p>
        </w:tc>
        <w:tc>
          <w:tcPr>
            <w:tcW w:w="512" w:type="pct"/>
            <w:shd w:val="clear" w:color="auto" w:fill="auto"/>
            <w:vAlign w:val="center"/>
          </w:tcPr>
          <w:p w14:paraId="61F45AAB"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76473672" w14:textId="77777777" w:rsidR="00A61FF5" w:rsidRPr="004B6C01" w:rsidRDefault="00A61FF5" w:rsidP="00E139AD">
            <w:pPr>
              <w:pStyle w:val="ESTableBody"/>
              <w:jc w:val="right"/>
              <w:rPr>
                <w:lang w:val="en-AU"/>
              </w:rPr>
            </w:pPr>
            <w:r w:rsidRPr="004B6C01">
              <w:rPr>
                <w:lang w:val="en-AU"/>
              </w:rPr>
              <w:t>95.0</w:t>
            </w:r>
          </w:p>
        </w:tc>
        <w:tc>
          <w:tcPr>
            <w:tcW w:w="512" w:type="pct"/>
            <w:gridSpan w:val="2"/>
            <w:shd w:val="clear" w:color="auto" w:fill="auto"/>
            <w:vAlign w:val="center"/>
          </w:tcPr>
          <w:p w14:paraId="2500BBEF" w14:textId="77777777" w:rsidR="00A61FF5" w:rsidRPr="004B6C01" w:rsidRDefault="00A61FF5" w:rsidP="00E139AD">
            <w:pPr>
              <w:pStyle w:val="ESTableBody"/>
              <w:jc w:val="right"/>
              <w:rPr>
                <w:lang w:val="en-AU"/>
              </w:rPr>
            </w:pPr>
            <w:r w:rsidRPr="004B6C01">
              <w:rPr>
                <w:lang w:val="en-AU"/>
              </w:rPr>
              <w:t>94.5</w:t>
            </w:r>
          </w:p>
        </w:tc>
        <w:tc>
          <w:tcPr>
            <w:tcW w:w="512" w:type="pct"/>
            <w:vAlign w:val="center"/>
          </w:tcPr>
          <w:p w14:paraId="283697DE" w14:textId="77777777" w:rsidR="00A61FF5" w:rsidRPr="004B6C01" w:rsidRDefault="00A61FF5" w:rsidP="00E139AD">
            <w:pPr>
              <w:pStyle w:val="ESTableBody"/>
              <w:jc w:val="right"/>
              <w:rPr>
                <w:lang w:val="en-AU"/>
              </w:rPr>
            </w:pPr>
            <w:r w:rsidRPr="004B6C01">
              <w:rPr>
                <w:lang w:val="en-AU"/>
              </w:rPr>
              <w:t>-0.5</w:t>
            </w:r>
          </w:p>
        </w:tc>
        <w:tc>
          <w:tcPr>
            <w:tcW w:w="514" w:type="pct"/>
            <w:vAlign w:val="center"/>
          </w:tcPr>
          <w:p w14:paraId="516CE388"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47E6F7A1" w14:textId="77777777" w:rsidTr="000F3176">
        <w:tblPrEx>
          <w:tblBorders>
            <w:bottom w:val="single" w:sz="12" w:space="0" w:color="777777"/>
          </w:tblBorders>
        </w:tblPrEx>
        <w:trPr>
          <w:gridAfter w:val="1"/>
          <w:wAfter w:w="13" w:type="pct"/>
          <w:cantSplit/>
        </w:trPr>
        <w:tc>
          <w:tcPr>
            <w:tcW w:w="4985" w:type="pct"/>
            <w:gridSpan w:val="9"/>
            <w:tcBorders>
              <w:top w:val="nil"/>
            </w:tcBorders>
            <w:shd w:val="clear" w:color="auto" w:fill="auto"/>
            <w:vAlign w:val="center"/>
          </w:tcPr>
          <w:p w14:paraId="1741870F" w14:textId="4F09EBAB" w:rsidR="00A61FF5" w:rsidRPr="004B6C01" w:rsidRDefault="00A61FF5" w:rsidP="00D07480">
            <w:pPr>
              <w:pStyle w:val="ESTableBody"/>
              <w:rPr>
                <w:i/>
                <w:lang w:val="en-AU"/>
              </w:rPr>
            </w:pPr>
            <w:r w:rsidRPr="004B6C01">
              <w:rPr>
                <w:i/>
                <w:lang w:val="en-AU"/>
              </w:rPr>
              <w:t>The 2016–17 actual is lower than the 2016–17 target by the equivalent of three fewer Victorian schools offering vocational options as part of their secondary school certificate. "Offering" VET is constituted by having at least one student enrolled in a VET certificate.</w:t>
            </w:r>
            <w:r w:rsidR="00366F71" w:rsidRPr="004B6C01">
              <w:rPr>
                <w:i/>
                <w:lang w:val="en-AU"/>
              </w:rPr>
              <w:t xml:space="preserve"> </w:t>
            </w:r>
            <w:r w:rsidRPr="004B6C01">
              <w:rPr>
                <w:i/>
                <w:lang w:val="en-AU"/>
              </w:rPr>
              <w:t>Some year-to-year variation would be expected, according to changes in student preference.</w:t>
            </w:r>
          </w:p>
        </w:tc>
      </w:tr>
      <w:tr w:rsidR="00A61FF5" w:rsidRPr="00932A90" w14:paraId="471E958E" w14:textId="77777777" w:rsidTr="00C86AF4">
        <w:trPr>
          <w:gridAfter w:val="1"/>
          <w:wAfter w:w="15" w:type="pct"/>
          <w:cantSplit/>
        </w:trPr>
        <w:tc>
          <w:tcPr>
            <w:tcW w:w="2424" w:type="pct"/>
            <w:gridSpan w:val="3"/>
            <w:shd w:val="clear" w:color="auto" w:fill="auto"/>
            <w:vAlign w:val="center"/>
          </w:tcPr>
          <w:p w14:paraId="02B6C9A3" w14:textId="77777777" w:rsidR="00A61FF5" w:rsidRPr="004B6C01" w:rsidRDefault="00A61FF5" w:rsidP="00D07480">
            <w:pPr>
              <w:pStyle w:val="ESTableBody"/>
              <w:rPr>
                <w:lang w:val="en-AU"/>
              </w:rPr>
            </w:pPr>
            <w:r w:rsidRPr="004B6C01">
              <w:rPr>
                <w:lang w:val="en-AU"/>
              </w:rPr>
              <w:t>Number of students for which government secondary schools are funded to ‘catch up’</w:t>
            </w:r>
          </w:p>
        </w:tc>
        <w:tc>
          <w:tcPr>
            <w:tcW w:w="512" w:type="pct"/>
            <w:shd w:val="clear" w:color="auto" w:fill="auto"/>
            <w:vAlign w:val="center"/>
          </w:tcPr>
          <w:p w14:paraId="39622624" w14:textId="77777777" w:rsidR="00A61FF5" w:rsidRPr="004B6C01" w:rsidRDefault="00A61FF5" w:rsidP="00D07480">
            <w:pPr>
              <w:pStyle w:val="ESTableBody"/>
              <w:rPr>
                <w:lang w:val="en-AU"/>
              </w:rPr>
            </w:pPr>
            <w:r w:rsidRPr="004B6C01">
              <w:rPr>
                <w:lang w:val="en-AU"/>
              </w:rPr>
              <w:t>number</w:t>
            </w:r>
          </w:p>
        </w:tc>
        <w:tc>
          <w:tcPr>
            <w:tcW w:w="512" w:type="pct"/>
            <w:shd w:val="clear" w:color="auto" w:fill="auto"/>
            <w:vAlign w:val="center"/>
          </w:tcPr>
          <w:p w14:paraId="055E0834" w14:textId="77777777" w:rsidR="00A61FF5" w:rsidRPr="004B6C01" w:rsidRDefault="00A61FF5" w:rsidP="00D07480">
            <w:pPr>
              <w:pStyle w:val="ESTableBody"/>
              <w:rPr>
                <w:lang w:val="en-AU"/>
              </w:rPr>
            </w:pPr>
            <w:r w:rsidRPr="004B6C01">
              <w:rPr>
                <w:lang w:val="en-AU"/>
              </w:rPr>
              <w:t>8,500</w:t>
            </w:r>
          </w:p>
        </w:tc>
        <w:tc>
          <w:tcPr>
            <w:tcW w:w="512" w:type="pct"/>
            <w:gridSpan w:val="2"/>
            <w:shd w:val="clear" w:color="auto" w:fill="auto"/>
            <w:vAlign w:val="center"/>
          </w:tcPr>
          <w:p w14:paraId="036D6433" w14:textId="77777777" w:rsidR="00A61FF5" w:rsidRPr="004B6C01" w:rsidRDefault="00A61FF5" w:rsidP="00D07480">
            <w:pPr>
              <w:pStyle w:val="ESTableBody"/>
              <w:rPr>
                <w:lang w:val="en-AU"/>
              </w:rPr>
            </w:pPr>
            <w:r w:rsidRPr="004B6C01">
              <w:rPr>
                <w:lang w:val="en-AU"/>
              </w:rPr>
              <w:t>8,500</w:t>
            </w:r>
          </w:p>
        </w:tc>
        <w:tc>
          <w:tcPr>
            <w:tcW w:w="512" w:type="pct"/>
            <w:vAlign w:val="center"/>
          </w:tcPr>
          <w:p w14:paraId="16A99993" w14:textId="77777777" w:rsidR="00A61FF5" w:rsidRPr="004B6C01" w:rsidRDefault="00A61FF5" w:rsidP="00D07480">
            <w:pPr>
              <w:pStyle w:val="ESTableBody"/>
              <w:rPr>
                <w:lang w:val="en-AU"/>
              </w:rPr>
            </w:pPr>
            <w:r w:rsidRPr="004B6C01">
              <w:rPr>
                <w:lang w:val="en-AU"/>
              </w:rPr>
              <w:t>0.0</w:t>
            </w:r>
          </w:p>
        </w:tc>
        <w:tc>
          <w:tcPr>
            <w:tcW w:w="514" w:type="pct"/>
            <w:vAlign w:val="center"/>
          </w:tcPr>
          <w:p w14:paraId="037553DA"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1F1F2DBE" w14:textId="77777777" w:rsidTr="000F3176">
        <w:tblPrEx>
          <w:tblBorders>
            <w:bottom w:val="single" w:sz="12" w:space="0" w:color="777777"/>
          </w:tblBorders>
        </w:tblPrEx>
        <w:trPr>
          <w:gridAfter w:val="1"/>
          <w:wAfter w:w="13" w:type="pct"/>
          <w:cantSplit/>
        </w:trPr>
        <w:tc>
          <w:tcPr>
            <w:tcW w:w="4985" w:type="pct"/>
            <w:gridSpan w:val="9"/>
            <w:tcBorders>
              <w:top w:val="nil"/>
            </w:tcBorders>
            <w:shd w:val="clear" w:color="auto" w:fill="auto"/>
            <w:vAlign w:val="center"/>
          </w:tcPr>
          <w:p w14:paraId="7B5C4DBC" w14:textId="77777777" w:rsidR="00A61FF5" w:rsidRPr="004B6C01" w:rsidRDefault="00A61FF5" w:rsidP="00D07480">
            <w:pPr>
              <w:pStyle w:val="ESTableBody"/>
              <w:rPr>
                <w:i/>
                <w:lang w:val="en-AU"/>
              </w:rPr>
            </w:pPr>
            <w:r w:rsidRPr="004B6C01">
              <w:rPr>
                <w:i/>
                <w:lang w:val="en-AU"/>
              </w:rPr>
              <w:t>New performance measure for 2016–17 to reflect government’s Education State priorities.</w:t>
            </w:r>
          </w:p>
        </w:tc>
      </w:tr>
      <w:tr w:rsidR="00A61FF5" w:rsidRPr="00932A90" w14:paraId="7FE1CE99" w14:textId="77777777" w:rsidTr="00C86AF4">
        <w:trPr>
          <w:gridAfter w:val="1"/>
          <w:wAfter w:w="15" w:type="pct"/>
          <w:cantSplit/>
        </w:trPr>
        <w:tc>
          <w:tcPr>
            <w:tcW w:w="2424" w:type="pct"/>
            <w:gridSpan w:val="3"/>
            <w:shd w:val="clear" w:color="auto" w:fill="auto"/>
            <w:vAlign w:val="center"/>
          </w:tcPr>
          <w:p w14:paraId="0A2AA306" w14:textId="77777777" w:rsidR="00A61FF5" w:rsidRPr="004B6C01" w:rsidRDefault="00A61FF5" w:rsidP="00D07480">
            <w:pPr>
              <w:pStyle w:val="ESTableBody"/>
              <w:rPr>
                <w:lang w:val="en-AU"/>
              </w:rPr>
            </w:pPr>
            <w:r w:rsidRPr="004B6C01">
              <w:rPr>
                <w:lang w:val="en-AU"/>
              </w:rPr>
              <w:t>Percentage of government secondary school students receiving equity funding</w:t>
            </w:r>
          </w:p>
        </w:tc>
        <w:tc>
          <w:tcPr>
            <w:tcW w:w="512" w:type="pct"/>
            <w:shd w:val="clear" w:color="auto" w:fill="auto"/>
            <w:vAlign w:val="center"/>
          </w:tcPr>
          <w:p w14:paraId="20BCDE38"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08A5D74C" w14:textId="77777777" w:rsidR="00A61FF5" w:rsidRPr="004B6C01" w:rsidRDefault="00A61FF5" w:rsidP="00D07480">
            <w:pPr>
              <w:pStyle w:val="ESTableBody"/>
              <w:rPr>
                <w:lang w:val="en-AU"/>
              </w:rPr>
            </w:pPr>
            <w:r w:rsidRPr="004B6C01">
              <w:rPr>
                <w:lang w:val="en-AU"/>
              </w:rPr>
              <w:t>35</w:t>
            </w:r>
          </w:p>
        </w:tc>
        <w:tc>
          <w:tcPr>
            <w:tcW w:w="512" w:type="pct"/>
            <w:gridSpan w:val="2"/>
            <w:shd w:val="clear" w:color="auto" w:fill="auto"/>
            <w:vAlign w:val="center"/>
          </w:tcPr>
          <w:p w14:paraId="5D4146FD" w14:textId="77777777" w:rsidR="00A61FF5" w:rsidRPr="004B6C01" w:rsidRDefault="00A61FF5" w:rsidP="00D07480">
            <w:pPr>
              <w:pStyle w:val="ESTableBody"/>
              <w:rPr>
                <w:lang w:val="en-AU"/>
              </w:rPr>
            </w:pPr>
            <w:r w:rsidRPr="004B6C01">
              <w:rPr>
                <w:lang w:val="en-AU"/>
              </w:rPr>
              <w:t>34</w:t>
            </w:r>
          </w:p>
        </w:tc>
        <w:tc>
          <w:tcPr>
            <w:tcW w:w="512" w:type="pct"/>
            <w:vAlign w:val="center"/>
          </w:tcPr>
          <w:p w14:paraId="2C4D4395" w14:textId="77777777" w:rsidR="00A61FF5" w:rsidRPr="004B6C01" w:rsidRDefault="00A61FF5" w:rsidP="00D07480">
            <w:pPr>
              <w:pStyle w:val="ESTableBody"/>
              <w:rPr>
                <w:lang w:val="en-AU"/>
              </w:rPr>
            </w:pPr>
            <w:r w:rsidRPr="004B6C01">
              <w:rPr>
                <w:lang w:val="en-AU"/>
              </w:rPr>
              <w:t>-2.9</w:t>
            </w:r>
          </w:p>
        </w:tc>
        <w:tc>
          <w:tcPr>
            <w:tcW w:w="514" w:type="pct"/>
            <w:vAlign w:val="center"/>
          </w:tcPr>
          <w:p w14:paraId="2B2685A5"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70F3F73A" w14:textId="77777777" w:rsidTr="000F3176">
        <w:tblPrEx>
          <w:tblBorders>
            <w:bottom w:val="single" w:sz="12" w:space="0" w:color="777777"/>
          </w:tblBorders>
        </w:tblPrEx>
        <w:trPr>
          <w:gridAfter w:val="1"/>
          <w:wAfter w:w="13" w:type="pct"/>
          <w:cantSplit/>
        </w:trPr>
        <w:tc>
          <w:tcPr>
            <w:tcW w:w="4985" w:type="pct"/>
            <w:gridSpan w:val="9"/>
            <w:tcBorders>
              <w:top w:val="nil"/>
              <w:bottom w:val="single" w:sz="4" w:space="0" w:color="auto"/>
            </w:tcBorders>
            <w:shd w:val="clear" w:color="auto" w:fill="auto"/>
            <w:vAlign w:val="center"/>
          </w:tcPr>
          <w:p w14:paraId="14BFC49D" w14:textId="77777777" w:rsidR="00A61FF5" w:rsidRPr="004B6C01" w:rsidRDefault="00A61FF5" w:rsidP="00D07480">
            <w:pPr>
              <w:pStyle w:val="ESTableBody"/>
              <w:rPr>
                <w:i/>
                <w:lang w:val="en-AU"/>
              </w:rPr>
            </w:pPr>
            <w:r w:rsidRPr="004B6C01">
              <w:rPr>
                <w:i/>
                <w:lang w:val="en-AU"/>
              </w:rPr>
              <w:t>New performance measure for 2016–17 to reflect government’s Education State priorities.</w:t>
            </w:r>
          </w:p>
          <w:p w14:paraId="1BE6666C" w14:textId="77777777" w:rsidR="00A61FF5" w:rsidRPr="004B6C01" w:rsidRDefault="00A61FF5" w:rsidP="00D07480">
            <w:pPr>
              <w:pStyle w:val="ESTableBody"/>
              <w:rPr>
                <w:lang w:val="en-AU"/>
              </w:rPr>
            </w:pPr>
            <w:r w:rsidRPr="004B6C01">
              <w:rPr>
                <w:i/>
                <w:lang w:val="en-AU"/>
              </w:rPr>
              <w:t>The 2016–17 actual is lower than the 2016–17 target as fewer students are meeting eligibility requirements, as more parents reported in enrolment data as having a bachelor or higher degree than in previous data.</w:t>
            </w:r>
          </w:p>
        </w:tc>
      </w:tr>
      <w:tr w:rsidR="00A61FF5" w:rsidRPr="00932A90" w14:paraId="3DCAE656" w14:textId="77777777" w:rsidTr="000F3176">
        <w:tblPrEx>
          <w:tblBorders>
            <w:bottom w:val="single" w:sz="12" w:space="0" w:color="777777"/>
          </w:tblBorders>
        </w:tblPrEx>
        <w:trPr>
          <w:gridAfter w:val="1"/>
          <w:wAfter w:w="13" w:type="pct"/>
          <w:cantSplit/>
        </w:trPr>
        <w:tc>
          <w:tcPr>
            <w:tcW w:w="4985" w:type="pct"/>
            <w:gridSpan w:val="9"/>
            <w:tcBorders>
              <w:top w:val="nil"/>
            </w:tcBorders>
            <w:shd w:val="clear" w:color="auto" w:fill="auto"/>
            <w:vAlign w:val="center"/>
          </w:tcPr>
          <w:p w14:paraId="5A605C89" w14:textId="77777777" w:rsidR="00A61FF5" w:rsidRPr="004B6C01" w:rsidRDefault="00A61FF5" w:rsidP="009A0BAD">
            <w:pPr>
              <w:pStyle w:val="ESTableheading"/>
              <w:rPr>
                <w:lang w:val="en-AU"/>
              </w:rPr>
            </w:pPr>
            <w:r w:rsidRPr="004B6C01">
              <w:rPr>
                <w:lang w:val="en-AU"/>
              </w:rPr>
              <w:t>Quality</w:t>
            </w:r>
          </w:p>
        </w:tc>
      </w:tr>
      <w:tr w:rsidR="00A61FF5" w:rsidRPr="00932A90" w14:paraId="0D3B17D5" w14:textId="77777777" w:rsidTr="00C86AF4">
        <w:trPr>
          <w:gridAfter w:val="1"/>
          <w:wAfter w:w="15" w:type="pct"/>
          <w:cantSplit/>
        </w:trPr>
        <w:tc>
          <w:tcPr>
            <w:tcW w:w="2424" w:type="pct"/>
            <w:gridSpan w:val="3"/>
            <w:shd w:val="clear" w:color="auto" w:fill="auto"/>
            <w:vAlign w:val="center"/>
          </w:tcPr>
          <w:p w14:paraId="2BF340AB" w14:textId="77777777" w:rsidR="00A61FF5" w:rsidRPr="004B6C01" w:rsidRDefault="00A61FF5" w:rsidP="00D07480">
            <w:pPr>
              <w:pStyle w:val="ESTableBody"/>
              <w:rPr>
                <w:lang w:val="en-AU"/>
              </w:rPr>
            </w:pPr>
            <w:r w:rsidRPr="004B6C01">
              <w:rPr>
                <w:lang w:val="en-AU"/>
              </w:rPr>
              <w:t>Average days lost due to absence in Years 11 and 12</w:t>
            </w:r>
          </w:p>
        </w:tc>
        <w:tc>
          <w:tcPr>
            <w:tcW w:w="512" w:type="pct"/>
            <w:shd w:val="clear" w:color="auto" w:fill="auto"/>
            <w:vAlign w:val="center"/>
          </w:tcPr>
          <w:p w14:paraId="2E04A847" w14:textId="77777777" w:rsidR="00A61FF5" w:rsidRPr="004B6C01" w:rsidRDefault="00A61FF5" w:rsidP="00D07480">
            <w:pPr>
              <w:pStyle w:val="ESTableBody"/>
              <w:rPr>
                <w:lang w:val="en-AU"/>
              </w:rPr>
            </w:pPr>
            <w:r w:rsidRPr="004B6C01">
              <w:rPr>
                <w:lang w:val="en-AU"/>
              </w:rPr>
              <w:t>number</w:t>
            </w:r>
          </w:p>
        </w:tc>
        <w:tc>
          <w:tcPr>
            <w:tcW w:w="512" w:type="pct"/>
            <w:shd w:val="clear" w:color="auto" w:fill="auto"/>
            <w:vAlign w:val="center"/>
          </w:tcPr>
          <w:p w14:paraId="03B88290" w14:textId="77777777" w:rsidR="00A61FF5" w:rsidRPr="004B6C01" w:rsidRDefault="00A61FF5" w:rsidP="00E139AD">
            <w:pPr>
              <w:pStyle w:val="ESTableBody"/>
              <w:jc w:val="right"/>
              <w:rPr>
                <w:lang w:val="en-AU"/>
              </w:rPr>
            </w:pPr>
            <w:r w:rsidRPr="004B6C01">
              <w:rPr>
                <w:lang w:val="en-AU"/>
              </w:rPr>
              <w:t>16.1</w:t>
            </w:r>
          </w:p>
        </w:tc>
        <w:tc>
          <w:tcPr>
            <w:tcW w:w="512" w:type="pct"/>
            <w:gridSpan w:val="2"/>
            <w:shd w:val="clear" w:color="auto" w:fill="auto"/>
            <w:vAlign w:val="center"/>
          </w:tcPr>
          <w:p w14:paraId="58758ED3" w14:textId="77777777" w:rsidR="00A61FF5" w:rsidRPr="004B6C01" w:rsidRDefault="00A61FF5" w:rsidP="00E139AD">
            <w:pPr>
              <w:pStyle w:val="ESTableBody"/>
              <w:jc w:val="right"/>
              <w:rPr>
                <w:lang w:val="en-AU"/>
              </w:rPr>
            </w:pPr>
            <w:r w:rsidRPr="004B6C01">
              <w:rPr>
                <w:lang w:val="en-AU"/>
              </w:rPr>
              <w:t>16.6</w:t>
            </w:r>
          </w:p>
        </w:tc>
        <w:tc>
          <w:tcPr>
            <w:tcW w:w="512" w:type="pct"/>
            <w:vAlign w:val="center"/>
          </w:tcPr>
          <w:p w14:paraId="30F51D8E" w14:textId="77777777" w:rsidR="00A61FF5" w:rsidRPr="004B6C01" w:rsidRDefault="00A61FF5" w:rsidP="00E139AD">
            <w:pPr>
              <w:pStyle w:val="ESTableBody"/>
              <w:jc w:val="right"/>
              <w:rPr>
                <w:lang w:val="en-AU"/>
              </w:rPr>
            </w:pPr>
            <w:r w:rsidRPr="004B6C01">
              <w:rPr>
                <w:lang w:val="en-AU"/>
              </w:rPr>
              <w:t>-3.0</w:t>
            </w:r>
          </w:p>
        </w:tc>
        <w:tc>
          <w:tcPr>
            <w:tcW w:w="514" w:type="pct"/>
            <w:vAlign w:val="center"/>
          </w:tcPr>
          <w:p w14:paraId="467B8F73"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4442EEBC"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2F0DECD2" w14:textId="77777777" w:rsidR="00A61FF5" w:rsidRPr="004B6C01" w:rsidRDefault="00A61FF5" w:rsidP="00D07480">
            <w:pPr>
              <w:pStyle w:val="ESTableBody"/>
              <w:rPr>
                <w:i/>
                <w:lang w:val="en-AU"/>
              </w:rPr>
            </w:pPr>
            <w:r w:rsidRPr="004B6C01">
              <w:rPr>
                <w:i/>
                <w:lang w:val="en-AU"/>
              </w:rPr>
              <w:t xml:space="preserve">This performance measure refers to government schools only. Average days lost covers all student absences, including those due to illness, approved family holidays and unapproved absences. A lower figure is more desirable, as it indicates that students are having fewer days away from school. </w:t>
            </w:r>
            <w:r w:rsidRPr="004B6C01">
              <w:rPr>
                <w:i/>
                <w:lang w:val="en-AU"/>
              </w:rPr>
              <w:br/>
              <w:t>The 2016–17 actual is higher than the 2016–17 target due to an increase in student absence across most year levels, with some indication of a ‘reporting effect’ resulting from the system’s increased focus on identifying student absence relative to previous years.</w:t>
            </w:r>
          </w:p>
        </w:tc>
      </w:tr>
      <w:tr w:rsidR="00A61FF5" w:rsidRPr="00932A90" w14:paraId="23A47E56" w14:textId="77777777" w:rsidTr="00C86AF4">
        <w:trPr>
          <w:gridAfter w:val="1"/>
          <w:wAfter w:w="15" w:type="pct"/>
          <w:cantSplit/>
        </w:trPr>
        <w:tc>
          <w:tcPr>
            <w:tcW w:w="2424" w:type="pct"/>
            <w:gridSpan w:val="3"/>
            <w:shd w:val="clear" w:color="auto" w:fill="auto"/>
            <w:vAlign w:val="center"/>
          </w:tcPr>
          <w:p w14:paraId="56CD6FD9" w14:textId="77777777" w:rsidR="00A61FF5" w:rsidRPr="004B6C01" w:rsidRDefault="00A61FF5" w:rsidP="00D07480">
            <w:pPr>
              <w:pStyle w:val="ESTableBody"/>
              <w:rPr>
                <w:lang w:val="en-AU"/>
              </w:rPr>
            </w:pPr>
            <w:r w:rsidRPr="004B6C01">
              <w:rPr>
                <w:lang w:val="en-AU"/>
              </w:rPr>
              <w:t>Average days lost due to absence in Years 7–10</w:t>
            </w:r>
          </w:p>
        </w:tc>
        <w:tc>
          <w:tcPr>
            <w:tcW w:w="512" w:type="pct"/>
            <w:shd w:val="clear" w:color="auto" w:fill="auto"/>
            <w:vAlign w:val="center"/>
          </w:tcPr>
          <w:p w14:paraId="2248B199" w14:textId="77777777" w:rsidR="00A61FF5" w:rsidRPr="004B6C01" w:rsidRDefault="00A61FF5" w:rsidP="00D07480">
            <w:pPr>
              <w:pStyle w:val="ESTableBody"/>
              <w:rPr>
                <w:lang w:val="en-AU"/>
              </w:rPr>
            </w:pPr>
            <w:r w:rsidRPr="004B6C01">
              <w:rPr>
                <w:lang w:val="en-AU"/>
              </w:rPr>
              <w:t>number</w:t>
            </w:r>
          </w:p>
        </w:tc>
        <w:tc>
          <w:tcPr>
            <w:tcW w:w="512" w:type="pct"/>
            <w:shd w:val="clear" w:color="auto" w:fill="auto"/>
            <w:vAlign w:val="center"/>
          </w:tcPr>
          <w:p w14:paraId="59D20549" w14:textId="77777777" w:rsidR="00A61FF5" w:rsidRPr="004B6C01" w:rsidRDefault="00A61FF5" w:rsidP="00E139AD">
            <w:pPr>
              <w:pStyle w:val="ESTableBody"/>
              <w:jc w:val="right"/>
              <w:rPr>
                <w:lang w:val="en-AU"/>
              </w:rPr>
            </w:pPr>
            <w:r w:rsidRPr="004B6C01">
              <w:rPr>
                <w:lang w:val="en-AU"/>
              </w:rPr>
              <w:t>19.0</w:t>
            </w:r>
          </w:p>
        </w:tc>
        <w:tc>
          <w:tcPr>
            <w:tcW w:w="512" w:type="pct"/>
            <w:gridSpan w:val="2"/>
            <w:shd w:val="clear" w:color="auto" w:fill="auto"/>
            <w:vAlign w:val="center"/>
          </w:tcPr>
          <w:p w14:paraId="69219F07" w14:textId="77777777" w:rsidR="00A61FF5" w:rsidRPr="004B6C01" w:rsidRDefault="00A61FF5" w:rsidP="00E139AD">
            <w:pPr>
              <w:pStyle w:val="ESTableBody"/>
              <w:jc w:val="right"/>
              <w:rPr>
                <w:lang w:val="en-AU"/>
              </w:rPr>
            </w:pPr>
            <w:r w:rsidRPr="004B6C01">
              <w:rPr>
                <w:lang w:val="en-AU"/>
              </w:rPr>
              <w:t>19.7</w:t>
            </w:r>
          </w:p>
        </w:tc>
        <w:tc>
          <w:tcPr>
            <w:tcW w:w="512" w:type="pct"/>
            <w:vAlign w:val="center"/>
          </w:tcPr>
          <w:p w14:paraId="49DEC3C2" w14:textId="77777777" w:rsidR="00A61FF5" w:rsidRPr="004B6C01" w:rsidRDefault="00A61FF5" w:rsidP="00E139AD">
            <w:pPr>
              <w:pStyle w:val="ESTableBody"/>
              <w:jc w:val="right"/>
              <w:rPr>
                <w:lang w:val="en-AU"/>
              </w:rPr>
            </w:pPr>
            <w:r w:rsidRPr="004B6C01">
              <w:rPr>
                <w:lang w:val="en-AU"/>
              </w:rPr>
              <w:t>-3.6</w:t>
            </w:r>
          </w:p>
        </w:tc>
        <w:tc>
          <w:tcPr>
            <w:tcW w:w="514" w:type="pct"/>
            <w:vAlign w:val="center"/>
          </w:tcPr>
          <w:p w14:paraId="0208B8C1" w14:textId="7BECDAEF" w:rsidR="00A61FF5" w:rsidRPr="004B6C01" w:rsidRDefault="00A61FF5" w:rsidP="00046452">
            <w:pPr>
              <w:pStyle w:val="ESTableBody"/>
              <w:jc w:val="center"/>
              <w:rPr>
                <w:lang w:val="en-AU"/>
              </w:rPr>
            </w:pPr>
            <w:r w:rsidRPr="004B6C01">
              <w:rPr>
                <w:lang w:val="en-AU"/>
              </w:rPr>
              <w:sym w:font="Wingdings" w:char="F06E"/>
            </w:r>
          </w:p>
        </w:tc>
      </w:tr>
      <w:tr w:rsidR="00A61FF5" w:rsidRPr="00932A90" w14:paraId="578D343E"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788F61E3" w14:textId="77777777" w:rsidR="00A61FF5" w:rsidRPr="004B6C01" w:rsidRDefault="00A61FF5" w:rsidP="00D07480">
            <w:pPr>
              <w:pStyle w:val="ESTableBody"/>
              <w:rPr>
                <w:i/>
                <w:lang w:val="en-AU"/>
              </w:rPr>
            </w:pPr>
            <w:r w:rsidRPr="004B6C01">
              <w:rPr>
                <w:i/>
                <w:lang w:val="en-AU"/>
              </w:rPr>
              <w:t>This performance measure refers to government schools only. Average days lost covers all student absences, including those due to illness, approved family holidays and unapproved absences. A lower figure is more desirable, as it indicates that students are having fewer days away from school.</w:t>
            </w:r>
          </w:p>
          <w:p w14:paraId="2FAB3E99" w14:textId="77777777" w:rsidR="00A61FF5" w:rsidRPr="004B6C01" w:rsidRDefault="00A61FF5" w:rsidP="00D07480">
            <w:pPr>
              <w:pStyle w:val="ESTableBody"/>
              <w:rPr>
                <w:lang w:val="en-AU"/>
              </w:rPr>
            </w:pPr>
            <w:r w:rsidRPr="004B6C01">
              <w:rPr>
                <w:i/>
                <w:lang w:val="en-AU"/>
              </w:rPr>
              <w:t>The 2016–17 actual is higher than the 2016–17 target due to an increase in student absence across most year levels, with some indication of a ‘reporting effect’ resulting from the system’s increased focus on identifying student absence relative to previous years</w:t>
            </w:r>
            <w:r w:rsidRPr="004B6C01">
              <w:rPr>
                <w:lang w:val="en-AU"/>
              </w:rPr>
              <w:t>.</w:t>
            </w:r>
          </w:p>
        </w:tc>
      </w:tr>
      <w:tr w:rsidR="00A61FF5" w:rsidRPr="00932A90" w14:paraId="0F1F4EFF" w14:textId="77777777" w:rsidTr="00C86AF4">
        <w:trPr>
          <w:gridAfter w:val="1"/>
          <w:wAfter w:w="15" w:type="pct"/>
          <w:cantSplit/>
        </w:trPr>
        <w:tc>
          <w:tcPr>
            <w:tcW w:w="2424" w:type="pct"/>
            <w:gridSpan w:val="3"/>
            <w:shd w:val="clear" w:color="auto" w:fill="auto"/>
            <w:vAlign w:val="center"/>
          </w:tcPr>
          <w:p w14:paraId="5F1A255C" w14:textId="77777777" w:rsidR="00A61FF5" w:rsidRPr="004B6C01" w:rsidRDefault="00A61FF5" w:rsidP="00D07480">
            <w:pPr>
              <w:pStyle w:val="ESTableBody"/>
              <w:rPr>
                <w:lang w:val="en-AU"/>
              </w:rPr>
            </w:pPr>
            <w:r w:rsidRPr="004B6C01">
              <w:rPr>
                <w:lang w:val="en-AU"/>
              </w:rPr>
              <w:t>Median VCE study score</w:t>
            </w:r>
          </w:p>
        </w:tc>
        <w:tc>
          <w:tcPr>
            <w:tcW w:w="512" w:type="pct"/>
            <w:shd w:val="clear" w:color="auto" w:fill="auto"/>
            <w:vAlign w:val="center"/>
          </w:tcPr>
          <w:p w14:paraId="09181769" w14:textId="77777777" w:rsidR="00A61FF5" w:rsidRPr="004B6C01" w:rsidRDefault="00A61FF5" w:rsidP="00D07480">
            <w:pPr>
              <w:pStyle w:val="ESTableBody"/>
              <w:rPr>
                <w:lang w:val="en-AU"/>
              </w:rPr>
            </w:pPr>
            <w:r w:rsidRPr="004B6C01">
              <w:rPr>
                <w:lang w:val="en-AU"/>
              </w:rPr>
              <w:t>number</w:t>
            </w:r>
          </w:p>
        </w:tc>
        <w:tc>
          <w:tcPr>
            <w:tcW w:w="512" w:type="pct"/>
            <w:shd w:val="clear" w:color="auto" w:fill="auto"/>
            <w:vAlign w:val="center"/>
          </w:tcPr>
          <w:p w14:paraId="7C46DA94" w14:textId="77777777" w:rsidR="00A61FF5" w:rsidRPr="004B6C01" w:rsidRDefault="00A61FF5" w:rsidP="00E139AD">
            <w:pPr>
              <w:pStyle w:val="ESTableBody"/>
              <w:jc w:val="right"/>
              <w:rPr>
                <w:lang w:val="en-AU"/>
              </w:rPr>
            </w:pPr>
            <w:r w:rsidRPr="004B6C01">
              <w:rPr>
                <w:lang w:val="en-AU"/>
              </w:rPr>
              <w:t>29</w:t>
            </w:r>
          </w:p>
        </w:tc>
        <w:tc>
          <w:tcPr>
            <w:tcW w:w="512" w:type="pct"/>
            <w:gridSpan w:val="2"/>
            <w:shd w:val="clear" w:color="auto" w:fill="auto"/>
            <w:vAlign w:val="center"/>
          </w:tcPr>
          <w:p w14:paraId="453C4BE3" w14:textId="77777777" w:rsidR="00A61FF5" w:rsidRPr="004B6C01" w:rsidRDefault="00A61FF5" w:rsidP="00E139AD">
            <w:pPr>
              <w:pStyle w:val="ESTableBody"/>
              <w:jc w:val="right"/>
              <w:rPr>
                <w:lang w:val="en-AU"/>
              </w:rPr>
            </w:pPr>
            <w:r w:rsidRPr="004B6C01">
              <w:rPr>
                <w:lang w:val="en-AU"/>
              </w:rPr>
              <w:t>29</w:t>
            </w:r>
          </w:p>
        </w:tc>
        <w:tc>
          <w:tcPr>
            <w:tcW w:w="512" w:type="pct"/>
            <w:vAlign w:val="center"/>
          </w:tcPr>
          <w:p w14:paraId="35382180" w14:textId="77777777" w:rsidR="00A61FF5" w:rsidRPr="004B6C01" w:rsidRDefault="00A61FF5" w:rsidP="00E139AD">
            <w:pPr>
              <w:pStyle w:val="ESTableBody"/>
              <w:jc w:val="right"/>
              <w:rPr>
                <w:lang w:val="en-AU"/>
              </w:rPr>
            </w:pPr>
            <w:r w:rsidRPr="004B6C01">
              <w:rPr>
                <w:lang w:val="en-AU"/>
              </w:rPr>
              <w:t>0.0</w:t>
            </w:r>
          </w:p>
        </w:tc>
        <w:tc>
          <w:tcPr>
            <w:tcW w:w="514" w:type="pct"/>
            <w:vAlign w:val="center"/>
          </w:tcPr>
          <w:p w14:paraId="456A03C4"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3ADDBA0B"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3F26497B" w14:textId="77777777" w:rsidR="00A61FF5" w:rsidRPr="004B6C01" w:rsidRDefault="00A61FF5" w:rsidP="00D07480">
            <w:pPr>
              <w:pStyle w:val="ESTableBody"/>
              <w:rPr>
                <w:i/>
                <w:lang w:val="en-AU"/>
              </w:rPr>
            </w:pPr>
            <w:r w:rsidRPr="004B6C01">
              <w:rPr>
                <w:i/>
                <w:lang w:val="en-AU"/>
              </w:rPr>
              <w:t>This performance measure refers to government schools only.</w:t>
            </w:r>
          </w:p>
        </w:tc>
      </w:tr>
      <w:tr w:rsidR="00A61FF5" w:rsidRPr="00932A90" w14:paraId="1DA2C378" w14:textId="77777777" w:rsidTr="00C86AF4">
        <w:trPr>
          <w:gridAfter w:val="1"/>
          <w:wAfter w:w="15" w:type="pct"/>
          <w:cantSplit/>
        </w:trPr>
        <w:tc>
          <w:tcPr>
            <w:tcW w:w="2424" w:type="pct"/>
            <w:gridSpan w:val="3"/>
            <w:shd w:val="clear" w:color="auto" w:fill="auto"/>
            <w:vAlign w:val="center"/>
          </w:tcPr>
          <w:p w14:paraId="673700F9" w14:textId="77777777" w:rsidR="00A61FF5" w:rsidRPr="004B6C01" w:rsidRDefault="00A61FF5" w:rsidP="00D07480">
            <w:pPr>
              <w:pStyle w:val="ESTableBody"/>
              <w:rPr>
                <w:lang w:val="en-AU"/>
              </w:rPr>
            </w:pPr>
            <w:r w:rsidRPr="004B6C01">
              <w:rPr>
                <w:lang w:val="en-AU"/>
              </w:rPr>
              <w:t>Parent satisfaction with secondary schooling on a 100-point scale</w:t>
            </w:r>
          </w:p>
        </w:tc>
        <w:tc>
          <w:tcPr>
            <w:tcW w:w="512" w:type="pct"/>
            <w:shd w:val="clear" w:color="auto" w:fill="auto"/>
            <w:vAlign w:val="center"/>
          </w:tcPr>
          <w:p w14:paraId="442D4D83" w14:textId="77777777" w:rsidR="00A61FF5" w:rsidRPr="004B6C01" w:rsidRDefault="00A61FF5" w:rsidP="00D07480">
            <w:pPr>
              <w:pStyle w:val="ESTableBody"/>
              <w:rPr>
                <w:lang w:val="en-AU"/>
              </w:rPr>
            </w:pPr>
            <w:r w:rsidRPr="004B6C01">
              <w:rPr>
                <w:lang w:val="en-AU"/>
              </w:rPr>
              <w:t>100-point scale</w:t>
            </w:r>
          </w:p>
        </w:tc>
        <w:tc>
          <w:tcPr>
            <w:tcW w:w="512" w:type="pct"/>
            <w:shd w:val="clear" w:color="auto" w:fill="auto"/>
            <w:vAlign w:val="center"/>
          </w:tcPr>
          <w:p w14:paraId="19037A80" w14:textId="77777777" w:rsidR="00A61FF5" w:rsidRPr="004B6C01" w:rsidRDefault="00A61FF5" w:rsidP="00E139AD">
            <w:pPr>
              <w:pStyle w:val="ESTableBody"/>
              <w:jc w:val="right"/>
              <w:rPr>
                <w:lang w:val="en-AU"/>
              </w:rPr>
            </w:pPr>
            <w:r w:rsidRPr="004B6C01">
              <w:rPr>
                <w:lang w:val="en-AU"/>
              </w:rPr>
              <w:t>76</w:t>
            </w:r>
          </w:p>
        </w:tc>
        <w:tc>
          <w:tcPr>
            <w:tcW w:w="512" w:type="pct"/>
            <w:gridSpan w:val="2"/>
            <w:shd w:val="clear" w:color="auto" w:fill="auto"/>
            <w:vAlign w:val="center"/>
          </w:tcPr>
          <w:p w14:paraId="357F4729" w14:textId="77777777" w:rsidR="00A61FF5" w:rsidRPr="004B6C01" w:rsidRDefault="00A61FF5" w:rsidP="00E139AD">
            <w:pPr>
              <w:pStyle w:val="ESTableBody"/>
              <w:jc w:val="right"/>
              <w:rPr>
                <w:lang w:val="en-AU"/>
              </w:rPr>
            </w:pPr>
            <w:r w:rsidRPr="004B6C01">
              <w:rPr>
                <w:lang w:val="en-AU"/>
              </w:rPr>
              <w:t>77</w:t>
            </w:r>
          </w:p>
        </w:tc>
        <w:tc>
          <w:tcPr>
            <w:tcW w:w="512" w:type="pct"/>
            <w:shd w:val="clear" w:color="auto" w:fill="auto"/>
            <w:vAlign w:val="center"/>
          </w:tcPr>
          <w:p w14:paraId="6ED9AE62" w14:textId="77777777" w:rsidR="00A61FF5" w:rsidRPr="004B6C01" w:rsidRDefault="00A61FF5" w:rsidP="00E139AD">
            <w:pPr>
              <w:pStyle w:val="ESTableBody"/>
              <w:jc w:val="right"/>
              <w:rPr>
                <w:lang w:val="en-AU"/>
              </w:rPr>
            </w:pPr>
            <w:r w:rsidRPr="004B6C01">
              <w:rPr>
                <w:lang w:val="en-AU"/>
              </w:rPr>
              <w:t>1.3</w:t>
            </w:r>
          </w:p>
        </w:tc>
        <w:tc>
          <w:tcPr>
            <w:tcW w:w="514" w:type="pct"/>
            <w:shd w:val="clear" w:color="auto" w:fill="auto"/>
            <w:vAlign w:val="center"/>
          </w:tcPr>
          <w:p w14:paraId="3003D22D"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70BFFD63"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08319223" w14:textId="77777777" w:rsidR="00A61FF5" w:rsidRPr="004B6C01" w:rsidRDefault="00A61FF5" w:rsidP="00D07480">
            <w:pPr>
              <w:pStyle w:val="ESTableBody"/>
              <w:rPr>
                <w:i/>
                <w:lang w:val="en-AU"/>
              </w:rPr>
            </w:pPr>
            <w:r w:rsidRPr="004B6C01">
              <w:rPr>
                <w:i/>
                <w:lang w:val="en-AU"/>
              </w:rPr>
              <w:t>This performance measure refers to government schools only. Data is drawn from the Parent Opinion Survey, where a higher score represents a higher level of satisfaction.</w:t>
            </w:r>
          </w:p>
        </w:tc>
      </w:tr>
      <w:tr w:rsidR="00A61FF5" w:rsidRPr="00932A90" w14:paraId="0BCA5103" w14:textId="77777777" w:rsidTr="00C86AF4">
        <w:trPr>
          <w:gridAfter w:val="1"/>
          <w:wAfter w:w="15" w:type="pct"/>
          <w:cantSplit/>
        </w:trPr>
        <w:tc>
          <w:tcPr>
            <w:tcW w:w="2424" w:type="pct"/>
            <w:gridSpan w:val="3"/>
            <w:shd w:val="clear" w:color="auto" w:fill="auto"/>
            <w:vAlign w:val="center"/>
          </w:tcPr>
          <w:p w14:paraId="1068B368" w14:textId="77777777" w:rsidR="00A61FF5" w:rsidRPr="004B6C01" w:rsidRDefault="00A61FF5" w:rsidP="00D07480">
            <w:pPr>
              <w:pStyle w:val="ESTableBody"/>
              <w:rPr>
                <w:lang w:val="en-AU"/>
              </w:rPr>
            </w:pPr>
            <w:r w:rsidRPr="004B6C01">
              <w:rPr>
                <w:lang w:val="en-AU"/>
              </w:rPr>
              <w:t>Percentage of Aboriginal students above the bottom three bands for numeracy in Year 7 (NAPLAN testing)</w:t>
            </w:r>
          </w:p>
        </w:tc>
        <w:tc>
          <w:tcPr>
            <w:tcW w:w="512" w:type="pct"/>
            <w:shd w:val="clear" w:color="auto" w:fill="auto"/>
            <w:vAlign w:val="center"/>
          </w:tcPr>
          <w:p w14:paraId="1BB75AC0"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6421338A" w14:textId="77777777" w:rsidR="00A61FF5" w:rsidRPr="004B6C01" w:rsidRDefault="00A61FF5" w:rsidP="00E139AD">
            <w:pPr>
              <w:pStyle w:val="ESTableBody"/>
              <w:jc w:val="right"/>
              <w:rPr>
                <w:lang w:val="en-AU"/>
              </w:rPr>
            </w:pPr>
            <w:r w:rsidRPr="004B6C01">
              <w:rPr>
                <w:lang w:val="en-AU"/>
              </w:rPr>
              <w:t>26.4</w:t>
            </w:r>
          </w:p>
        </w:tc>
        <w:tc>
          <w:tcPr>
            <w:tcW w:w="512" w:type="pct"/>
            <w:gridSpan w:val="2"/>
            <w:shd w:val="clear" w:color="auto" w:fill="auto"/>
            <w:vAlign w:val="center"/>
          </w:tcPr>
          <w:p w14:paraId="68C33363" w14:textId="77777777" w:rsidR="00A61FF5" w:rsidRPr="004B6C01" w:rsidRDefault="00A61FF5" w:rsidP="00E139AD">
            <w:pPr>
              <w:pStyle w:val="ESTableBody"/>
              <w:jc w:val="right"/>
              <w:rPr>
                <w:lang w:val="en-AU"/>
              </w:rPr>
            </w:pPr>
            <w:r w:rsidRPr="004B6C01">
              <w:rPr>
                <w:lang w:val="en-AU"/>
              </w:rPr>
              <w:t>29.1</w:t>
            </w:r>
          </w:p>
        </w:tc>
        <w:tc>
          <w:tcPr>
            <w:tcW w:w="512" w:type="pct"/>
            <w:vAlign w:val="center"/>
          </w:tcPr>
          <w:p w14:paraId="23973947" w14:textId="77777777" w:rsidR="00A61FF5" w:rsidRPr="004B6C01" w:rsidRDefault="00A61FF5" w:rsidP="00E139AD">
            <w:pPr>
              <w:pStyle w:val="ESTableBody"/>
              <w:jc w:val="right"/>
              <w:rPr>
                <w:lang w:val="en-AU"/>
              </w:rPr>
            </w:pPr>
            <w:r w:rsidRPr="004B6C01">
              <w:rPr>
                <w:lang w:val="en-AU"/>
              </w:rPr>
              <w:t>10.2</w:t>
            </w:r>
          </w:p>
        </w:tc>
        <w:tc>
          <w:tcPr>
            <w:tcW w:w="514" w:type="pct"/>
            <w:vAlign w:val="center"/>
          </w:tcPr>
          <w:p w14:paraId="7B7D2A3D"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1C586D90"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6B929476"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715671CB" w14:textId="77777777" w:rsidR="00A61FF5" w:rsidRPr="004B6C01" w:rsidRDefault="00A61FF5" w:rsidP="00D07480">
            <w:pPr>
              <w:pStyle w:val="ESTableBody"/>
              <w:rPr>
                <w:lang w:val="en-AU"/>
              </w:rPr>
            </w:pPr>
            <w:r w:rsidRPr="004B6C01">
              <w:rPr>
                <w:i/>
                <w:lang w:val="en-AU"/>
              </w:rPr>
              <w:t>When interpreting results, a 95 per cent confidence interval of +/- 3.73 percentage points needs to be considered as the reported number is an estimate of the student ability for which there is associated measurement error, standard to any such assessment.</w:t>
            </w:r>
            <w:r w:rsidRPr="004B6C01">
              <w:rPr>
                <w:lang w:val="en-AU"/>
              </w:rPr>
              <w:t xml:space="preserve"> </w:t>
            </w:r>
          </w:p>
        </w:tc>
      </w:tr>
      <w:tr w:rsidR="00A61FF5" w:rsidRPr="00932A90" w14:paraId="4C177A62" w14:textId="77777777" w:rsidTr="00C86AF4">
        <w:trPr>
          <w:gridAfter w:val="1"/>
          <w:wAfter w:w="15" w:type="pct"/>
          <w:cantSplit/>
        </w:trPr>
        <w:tc>
          <w:tcPr>
            <w:tcW w:w="2424" w:type="pct"/>
            <w:gridSpan w:val="3"/>
            <w:shd w:val="clear" w:color="auto" w:fill="auto"/>
            <w:vAlign w:val="center"/>
          </w:tcPr>
          <w:p w14:paraId="076FE7AF" w14:textId="77777777" w:rsidR="00A61FF5" w:rsidRPr="004B6C01" w:rsidRDefault="00A61FF5" w:rsidP="00D07480">
            <w:pPr>
              <w:pStyle w:val="ESTableBody"/>
              <w:rPr>
                <w:lang w:val="en-AU"/>
              </w:rPr>
            </w:pPr>
            <w:r w:rsidRPr="004B6C01">
              <w:rPr>
                <w:lang w:val="en-AU"/>
              </w:rPr>
              <w:t>Percentage of Aboriginal students above the bottom three bands for numeracy in Year 9 (NAPLAN testing)</w:t>
            </w:r>
          </w:p>
        </w:tc>
        <w:tc>
          <w:tcPr>
            <w:tcW w:w="512" w:type="pct"/>
            <w:shd w:val="clear" w:color="auto" w:fill="auto"/>
            <w:vAlign w:val="center"/>
          </w:tcPr>
          <w:p w14:paraId="6B17EB28"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0FA53B6B" w14:textId="77777777" w:rsidR="00A61FF5" w:rsidRPr="004B6C01" w:rsidRDefault="00A61FF5" w:rsidP="00E139AD">
            <w:pPr>
              <w:pStyle w:val="ESTableBody"/>
              <w:jc w:val="right"/>
              <w:rPr>
                <w:lang w:val="en-AU"/>
              </w:rPr>
            </w:pPr>
            <w:r w:rsidRPr="004B6C01">
              <w:rPr>
                <w:lang w:val="en-AU"/>
              </w:rPr>
              <w:t>25.2</w:t>
            </w:r>
          </w:p>
        </w:tc>
        <w:tc>
          <w:tcPr>
            <w:tcW w:w="512" w:type="pct"/>
            <w:gridSpan w:val="2"/>
            <w:shd w:val="clear" w:color="auto" w:fill="auto"/>
            <w:vAlign w:val="center"/>
          </w:tcPr>
          <w:p w14:paraId="50E54246" w14:textId="77777777" w:rsidR="00A61FF5" w:rsidRPr="004B6C01" w:rsidRDefault="00A61FF5" w:rsidP="00E139AD">
            <w:pPr>
              <w:pStyle w:val="ESTableBody"/>
              <w:jc w:val="right"/>
              <w:rPr>
                <w:lang w:val="en-AU"/>
              </w:rPr>
            </w:pPr>
            <w:r w:rsidRPr="004B6C01">
              <w:rPr>
                <w:lang w:val="en-AU"/>
              </w:rPr>
              <w:t>19.9</w:t>
            </w:r>
          </w:p>
        </w:tc>
        <w:tc>
          <w:tcPr>
            <w:tcW w:w="512" w:type="pct"/>
            <w:vAlign w:val="center"/>
          </w:tcPr>
          <w:p w14:paraId="062C5F6F" w14:textId="77777777" w:rsidR="00A61FF5" w:rsidRPr="004B6C01" w:rsidRDefault="00A61FF5" w:rsidP="00E139AD">
            <w:pPr>
              <w:pStyle w:val="ESTableBody"/>
              <w:jc w:val="right"/>
              <w:rPr>
                <w:lang w:val="en-AU"/>
              </w:rPr>
            </w:pPr>
            <w:r w:rsidRPr="004B6C01">
              <w:rPr>
                <w:lang w:val="en-AU"/>
              </w:rPr>
              <w:t>-21.0</w:t>
            </w:r>
          </w:p>
        </w:tc>
        <w:tc>
          <w:tcPr>
            <w:tcW w:w="514" w:type="pct"/>
            <w:vAlign w:val="center"/>
          </w:tcPr>
          <w:p w14:paraId="6F55DD4B"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61F28594"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3BBEF06C"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271A2B83" w14:textId="77777777" w:rsidR="00A61FF5" w:rsidRPr="004B6C01" w:rsidRDefault="00A61FF5" w:rsidP="00D07480">
            <w:pPr>
              <w:pStyle w:val="ESTableBody"/>
              <w:rPr>
                <w:i/>
                <w:lang w:val="en-AU"/>
              </w:rPr>
            </w:pPr>
            <w:r w:rsidRPr="004B6C01">
              <w:rPr>
                <w:i/>
                <w:lang w:val="en-AU"/>
              </w:rPr>
              <w:t>When interpreting results, a 95 per cent confidence interval of +/- 3.24 percentage points needs to be considered as the reported number is an estimate of the student ability for which there is associated measurement error, standard to any such assessment.</w:t>
            </w:r>
          </w:p>
          <w:p w14:paraId="320416FC" w14:textId="77777777" w:rsidR="00A61FF5" w:rsidRPr="004B6C01" w:rsidRDefault="00A61FF5" w:rsidP="00D07480">
            <w:pPr>
              <w:pStyle w:val="ESTableBody"/>
              <w:rPr>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and Marrung initiatives.</w:t>
            </w:r>
          </w:p>
        </w:tc>
      </w:tr>
      <w:tr w:rsidR="00A61FF5" w:rsidRPr="00932A90" w14:paraId="7A78E8E7" w14:textId="77777777" w:rsidTr="00C86AF4">
        <w:trPr>
          <w:gridAfter w:val="1"/>
          <w:wAfter w:w="15" w:type="pct"/>
          <w:cantSplit/>
        </w:trPr>
        <w:tc>
          <w:tcPr>
            <w:tcW w:w="2424" w:type="pct"/>
            <w:gridSpan w:val="3"/>
            <w:shd w:val="clear" w:color="auto" w:fill="auto"/>
            <w:vAlign w:val="center"/>
          </w:tcPr>
          <w:p w14:paraId="2FFB7C46" w14:textId="77777777" w:rsidR="00A61FF5" w:rsidRPr="004B6C01" w:rsidRDefault="00A61FF5" w:rsidP="00D07480">
            <w:pPr>
              <w:pStyle w:val="ESTableBody"/>
              <w:rPr>
                <w:lang w:val="en-AU"/>
              </w:rPr>
            </w:pPr>
            <w:r w:rsidRPr="004B6C01">
              <w:rPr>
                <w:lang w:val="en-AU"/>
              </w:rPr>
              <w:t>Percentage of Aboriginal students above the bottom three bands for reading in Year 7 (NAPLAN testing)</w:t>
            </w:r>
          </w:p>
        </w:tc>
        <w:tc>
          <w:tcPr>
            <w:tcW w:w="512" w:type="pct"/>
            <w:shd w:val="clear" w:color="auto" w:fill="auto"/>
            <w:vAlign w:val="center"/>
          </w:tcPr>
          <w:p w14:paraId="5DDB466B"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40297187" w14:textId="77777777" w:rsidR="00A61FF5" w:rsidRPr="004B6C01" w:rsidRDefault="00A61FF5" w:rsidP="00E139AD">
            <w:pPr>
              <w:pStyle w:val="ESTableBody"/>
              <w:jc w:val="right"/>
              <w:rPr>
                <w:lang w:val="en-AU"/>
              </w:rPr>
            </w:pPr>
            <w:r w:rsidRPr="004B6C01">
              <w:rPr>
                <w:lang w:val="en-AU"/>
              </w:rPr>
              <w:t>29.2</w:t>
            </w:r>
          </w:p>
        </w:tc>
        <w:tc>
          <w:tcPr>
            <w:tcW w:w="512" w:type="pct"/>
            <w:gridSpan w:val="2"/>
            <w:shd w:val="clear" w:color="auto" w:fill="auto"/>
            <w:vAlign w:val="center"/>
          </w:tcPr>
          <w:p w14:paraId="10F52F26" w14:textId="77777777" w:rsidR="00A61FF5" w:rsidRPr="004B6C01" w:rsidRDefault="00A61FF5" w:rsidP="00E139AD">
            <w:pPr>
              <w:pStyle w:val="ESTableBody"/>
              <w:jc w:val="right"/>
              <w:rPr>
                <w:lang w:val="en-AU"/>
              </w:rPr>
            </w:pPr>
            <w:r w:rsidRPr="004B6C01">
              <w:rPr>
                <w:lang w:val="en-AU"/>
              </w:rPr>
              <w:t>28.6</w:t>
            </w:r>
          </w:p>
        </w:tc>
        <w:tc>
          <w:tcPr>
            <w:tcW w:w="512" w:type="pct"/>
            <w:vAlign w:val="center"/>
          </w:tcPr>
          <w:p w14:paraId="291E75E2" w14:textId="77777777" w:rsidR="00A61FF5" w:rsidRPr="004B6C01" w:rsidRDefault="00A61FF5" w:rsidP="00E139AD">
            <w:pPr>
              <w:pStyle w:val="ESTableBody"/>
              <w:jc w:val="right"/>
              <w:rPr>
                <w:lang w:val="en-AU"/>
              </w:rPr>
            </w:pPr>
            <w:r w:rsidRPr="004B6C01">
              <w:rPr>
                <w:lang w:val="en-AU"/>
              </w:rPr>
              <w:t>-2.1</w:t>
            </w:r>
          </w:p>
        </w:tc>
        <w:tc>
          <w:tcPr>
            <w:tcW w:w="514" w:type="pct"/>
            <w:vAlign w:val="center"/>
          </w:tcPr>
          <w:p w14:paraId="109D37F8"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4B0DD2A8"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0B8BCE85" w14:textId="77777777" w:rsidR="00A61FF5" w:rsidRPr="004B6C01" w:rsidRDefault="00A61FF5" w:rsidP="00D07480">
            <w:pPr>
              <w:pStyle w:val="ESTableBody"/>
              <w:rPr>
                <w:lang w:val="en-AU"/>
              </w:rPr>
            </w:pPr>
            <w:r w:rsidRPr="004B6C01">
              <w:rPr>
                <w:lang w:val="en-AU"/>
              </w:rPr>
              <w:t>This performance measure relates to student performance assessed in May 2016.</w:t>
            </w:r>
          </w:p>
          <w:p w14:paraId="0D7E8DAD" w14:textId="77777777" w:rsidR="00A61FF5" w:rsidRPr="004B6C01" w:rsidRDefault="00A61FF5" w:rsidP="00D07480">
            <w:pPr>
              <w:pStyle w:val="ESTableBody"/>
              <w:rPr>
                <w:i/>
                <w:lang w:val="en-AU"/>
              </w:rPr>
            </w:pPr>
            <w:r w:rsidRPr="004B6C01">
              <w:rPr>
                <w:i/>
                <w:lang w:val="en-AU"/>
              </w:rPr>
              <w:t>When interpreting results, a 95 per cent confidence interval of +/- 3.25 percentage points needs to be considered as the reported number is an estimate of the student ability for which there is associated measurement error, standard to any such assessment.</w:t>
            </w:r>
          </w:p>
        </w:tc>
      </w:tr>
      <w:tr w:rsidR="00A61FF5" w:rsidRPr="00932A90" w14:paraId="00BD53D8" w14:textId="77777777" w:rsidTr="00C86AF4">
        <w:trPr>
          <w:gridAfter w:val="1"/>
          <w:wAfter w:w="15" w:type="pct"/>
          <w:cantSplit/>
        </w:trPr>
        <w:tc>
          <w:tcPr>
            <w:tcW w:w="2424" w:type="pct"/>
            <w:gridSpan w:val="3"/>
            <w:shd w:val="clear" w:color="auto" w:fill="auto"/>
            <w:vAlign w:val="center"/>
          </w:tcPr>
          <w:p w14:paraId="6C574255" w14:textId="77777777" w:rsidR="00A61FF5" w:rsidRPr="004B6C01" w:rsidRDefault="00A61FF5" w:rsidP="00D07480">
            <w:pPr>
              <w:pStyle w:val="ESTableBody"/>
              <w:rPr>
                <w:lang w:val="en-AU"/>
              </w:rPr>
            </w:pPr>
            <w:r w:rsidRPr="004B6C01">
              <w:rPr>
                <w:lang w:val="en-AU"/>
              </w:rPr>
              <w:t>Percentage of Aboriginal students above the bottom three bands for reading in Year 9 (NAPLAN testing)</w:t>
            </w:r>
          </w:p>
        </w:tc>
        <w:tc>
          <w:tcPr>
            <w:tcW w:w="512" w:type="pct"/>
            <w:shd w:val="clear" w:color="auto" w:fill="auto"/>
            <w:vAlign w:val="center"/>
          </w:tcPr>
          <w:p w14:paraId="6A98A5C5"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7D1C702C" w14:textId="77777777" w:rsidR="00A61FF5" w:rsidRPr="004B6C01" w:rsidRDefault="00A61FF5" w:rsidP="00E139AD">
            <w:pPr>
              <w:pStyle w:val="ESTableBody"/>
              <w:jc w:val="right"/>
              <w:rPr>
                <w:lang w:val="en-AU"/>
              </w:rPr>
            </w:pPr>
            <w:r w:rsidRPr="004B6C01">
              <w:rPr>
                <w:lang w:val="en-AU"/>
              </w:rPr>
              <w:t>26.3</w:t>
            </w:r>
          </w:p>
        </w:tc>
        <w:tc>
          <w:tcPr>
            <w:tcW w:w="512" w:type="pct"/>
            <w:gridSpan w:val="2"/>
            <w:shd w:val="clear" w:color="auto" w:fill="auto"/>
            <w:vAlign w:val="center"/>
          </w:tcPr>
          <w:p w14:paraId="4708409E" w14:textId="77777777" w:rsidR="00A61FF5" w:rsidRPr="004B6C01" w:rsidRDefault="00A61FF5" w:rsidP="00E139AD">
            <w:pPr>
              <w:pStyle w:val="ESTableBody"/>
              <w:jc w:val="right"/>
              <w:rPr>
                <w:lang w:val="en-AU"/>
              </w:rPr>
            </w:pPr>
            <w:r w:rsidRPr="004B6C01">
              <w:rPr>
                <w:lang w:val="en-AU"/>
              </w:rPr>
              <w:t>21.4</w:t>
            </w:r>
          </w:p>
        </w:tc>
        <w:tc>
          <w:tcPr>
            <w:tcW w:w="512" w:type="pct"/>
            <w:vAlign w:val="center"/>
          </w:tcPr>
          <w:p w14:paraId="22A3D853" w14:textId="77777777" w:rsidR="00A61FF5" w:rsidRPr="004B6C01" w:rsidRDefault="00A61FF5" w:rsidP="00E139AD">
            <w:pPr>
              <w:pStyle w:val="ESTableBody"/>
              <w:jc w:val="right"/>
              <w:rPr>
                <w:lang w:val="en-AU"/>
              </w:rPr>
            </w:pPr>
            <w:r w:rsidRPr="004B6C01">
              <w:rPr>
                <w:lang w:val="en-AU"/>
              </w:rPr>
              <w:t>-18.6</w:t>
            </w:r>
          </w:p>
        </w:tc>
        <w:tc>
          <w:tcPr>
            <w:tcW w:w="514" w:type="pct"/>
            <w:vAlign w:val="center"/>
          </w:tcPr>
          <w:p w14:paraId="02AEA35A"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12B64FFE"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7A463605"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729369A0" w14:textId="77777777" w:rsidR="00A61FF5" w:rsidRPr="004B6C01" w:rsidRDefault="00A61FF5" w:rsidP="00D07480">
            <w:pPr>
              <w:pStyle w:val="ESTableBody"/>
              <w:rPr>
                <w:i/>
                <w:lang w:val="en-AU"/>
              </w:rPr>
            </w:pPr>
            <w:r w:rsidRPr="004B6C01">
              <w:rPr>
                <w:i/>
                <w:lang w:val="en-AU"/>
              </w:rPr>
              <w:t>When interpreting results, a 95 per cent confidence interval of +/- 3.45 percentage points needs to be considered as the reported number is an estimate of the student ability for which there is associated measurement error, standard to any such assessment.</w:t>
            </w:r>
          </w:p>
          <w:p w14:paraId="1C480A0D" w14:textId="77777777" w:rsidR="00A61FF5" w:rsidRPr="004B6C01" w:rsidRDefault="00A61FF5" w:rsidP="00D07480">
            <w:pPr>
              <w:pStyle w:val="ESTableBody"/>
              <w:rPr>
                <w:lang w:val="en-AU"/>
              </w:rPr>
            </w:pPr>
            <w:r w:rsidRPr="004B6C01">
              <w:rPr>
                <w:i/>
                <w:lang w:val="en-AU"/>
              </w:rPr>
              <w:t>The 2016–17 expected outcome is lower than the 2016–17 target as NAPLAN results reflect student performance as assessed in May 2016, and student achievement during this reporting period therefore does not reflect the full impact of recent Education State and Marrung initiatives.</w:t>
            </w:r>
          </w:p>
        </w:tc>
      </w:tr>
      <w:tr w:rsidR="00A61FF5" w:rsidRPr="00932A90" w14:paraId="6CAAEDF5" w14:textId="77777777" w:rsidTr="00C86AF4">
        <w:trPr>
          <w:gridAfter w:val="1"/>
          <w:wAfter w:w="15" w:type="pct"/>
          <w:cantSplit/>
        </w:trPr>
        <w:tc>
          <w:tcPr>
            <w:tcW w:w="2424" w:type="pct"/>
            <w:gridSpan w:val="3"/>
            <w:shd w:val="clear" w:color="auto" w:fill="auto"/>
            <w:vAlign w:val="center"/>
          </w:tcPr>
          <w:p w14:paraId="772790BF" w14:textId="77777777" w:rsidR="00A61FF5" w:rsidRPr="004B6C01" w:rsidRDefault="00A61FF5" w:rsidP="00D07480">
            <w:pPr>
              <w:pStyle w:val="ESTableBody"/>
              <w:rPr>
                <w:lang w:val="en-AU"/>
              </w:rPr>
            </w:pPr>
            <w:r w:rsidRPr="004B6C01">
              <w:rPr>
                <w:lang w:val="en-AU"/>
              </w:rPr>
              <w:t>Percentage of school leavers completing a VCE VET program in a school progressing to further education, training or work</w:t>
            </w:r>
          </w:p>
        </w:tc>
        <w:tc>
          <w:tcPr>
            <w:tcW w:w="512" w:type="pct"/>
            <w:shd w:val="clear" w:color="auto" w:fill="auto"/>
            <w:vAlign w:val="center"/>
          </w:tcPr>
          <w:p w14:paraId="43E8E88C"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592E11C2" w14:textId="77777777" w:rsidR="00A61FF5" w:rsidRPr="004B6C01" w:rsidRDefault="00A61FF5" w:rsidP="00E139AD">
            <w:pPr>
              <w:pStyle w:val="ESTableBody"/>
              <w:jc w:val="right"/>
              <w:rPr>
                <w:lang w:val="en-AU"/>
              </w:rPr>
            </w:pPr>
            <w:r w:rsidRPr="004B6C01">
              <w:rPr>
                <w:lang w:val="en-AU"/>
              </w:rPr>
              <w:t>95</w:t>
            </w:r>
          </w:p>
        </w:tc>
        <w:tc>
          <w:tcPr>
            <w:tcW w:w="512" w:type="pct"/>
            <w:gridSpan w:val="2"/>
            <w:shd w:val="clear" w:color="auto" w:fill="auto"/>
            <w:vAlign w:val="center"/>
          </w:tcPr>
          <w:p w14:paraId="576C2394" w14:textId="77777777" w:rsidR="00A61FF5" w:rsidRPr="004B6C01" w:rsidRDefault="00A61FF5" w:rsidP="00E139AD">
            <w:pPr>
              <w:pStyle w:val="ESTableBody"/>
              <w:jc w:val="right"/>
              <w:rPr>
                <w:lang w:val="en-AU"/>
              </w:rPr>
            </w:pPr>
            <w:r w:rsidRPr="004B6C01">
              <w:rPr>
                <w:lang w:val="en-AU"/>
              </w:rPr>
              <w:t>95</w:t>
            </w:r>
          </w:p>
        </w:tc>
        <w:tc>
          <w:tcPr>
            <w:tcW w:w="512" w:type="pct"/>
            <w:vAlign w:val="center"/>
          </w:tcPr>
          <w:p w14:paraId="6A9DD861" w14:textId="77777777" w:rsidR="00A61FF5" w:rsidRPr="004B6C01" w:rsidRDefault="00A61FF5" w:rsidP="00E139AD">
            <w:pPr>
              <w:pStyle w:val="ESTableBody"/>
              <w:jc w:val="right"/>
              <w:rPr>
                <w:lang w:val="en-AU"/>
              </w:rPr>
            </w:pPr>
            <w:r w:rsidRPr="004B6C01">
              <w:rPr>
                <w:lang w:val="en-AU"/>
              </w:rPr>
              <w:t>0.0</w:t>
            </w:r>
          </w:p>
        </w:tc>
        <w:tc>
          <w:tcPr>
            <w:tcW w:w="514" w:type="pct"/>
            <w:vAlign w:val="center"/>
          </w:tcPr>
          <w:p w14:paraId="4482E57E"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33CEAF2D"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7477D260" w14:textId="77777777" w:rsidR="00A61FF5" w:rsidRPr="004B6C01" w:rsidRDefault="00A61FF5" w:rsidP="00D07480">
            <w:pPr>
              <w:pStyle w:val="ESTableBody"/>
              <w:rPr>
                <w:i/>
                <w:lang w:val="en-AU"/>
              </w:rPr>
            </w:pPr>
            <w:r w:rsidRPr="004B6C01">
              <w:rPr>
                <w:i/>
                <w:lang w:val="en-AU"/>
              </w:rPr>
              <w:t xml:space="preserve">The final result is currently not available due to timing of the data collection. The result provided under the 2016–17 actual is the expected outcome published in the 2017–18 Budget Paper No.3. </w:t>
            </w:r>
          </w:p>
        </w:tc>
      </w:tr>
      <w:tr w:rsidR="00A61FF5" w:rsidRPr="00932A90" w14:paraId="5019360C" w14:textId="77777777" w:rsidTr="00C86AF4">
        <w:trPr>
          <w:gridAfter w:val="1"/>
          <w:wAfter w:w="15" w:type="pct"/>
          <w:cantSplit/>
        </w:trPr>
        <w:tc>
          <w:tcPr>
            <w:tcW w:w="2424" w:type="pct"/>
            <w:gridSpan w:val="3"/>
            <w:shd w:val="clear" w:color="auto" w:fill="auto"/>
            <w:vAlign w:val="center"/>
          </w:tcPr>
          <w:p w14:paraId="1B232665" w14:textId="77777777" w:rsidR="00A61FF5" w:rsidRPr="004B6C01" w:rsidRDefault="00A61FF5" w:rsidP="00D07480">
            <w:pPr>
              <w:pStyle w:val="ESTableBody"/>
              <w:rPr>
                <w:lang w:val="en-AU"/>
              </w:rPr>
            </w:pPr>
            <w:r w:rsidRPr="004B6C01">
              <w:rPr>
                <w:lang w:val="en-AU"/>
              </w:rPr>
              <w:t>Percentage of school leavers completing an Intermediate or Senior Victorian Certificate of Applied Learning in a school progressing to further education, training or work</w:t>
            </w:r>
          </w:p>
        </w:tc>
        <w:tc>
          <w:tcPr>
            <w:tcW w:w="512" w:type="pct"/>
            <w:shd w:val="clear" w:color="auto" w:fill="auto"/>
            <w:vAlign w:val="center"/>
          </w:tcPr>
          <w:p w14:paraId="2E84AA63"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32896C8F" w14:textId="77777777" w:rsidR="00A61FF5" w:rsidRPr="004B6C01" w:rsidRDefault="00A61FF5" w:rsidP="00E139AD">
            <w:pPr>
              <w:pStyle w:val="ESTableBody"/>
              <w:jc w:val="right"/>
              <w:rPr>
                <w:lang w:val="en-AU"/>
              </w:rPr>
            </w:pPr>
            <w:r w:rsidRPr="004B6C01">
              <w:rPr>
                <w:lang w:val="en-AU"/>
              </w:rPr>
              <w:t>85</w:t>
            </w:r>
          </w:p>
        </w:tc>
        <w:tc>
          <w:tcPr>
            <w:tcW w:w="512" w:type="pct"/>
            <w:gridSpan w:val="2"/>
            <w:shd w:val="clear" w:color="auto" w:fill="auto"/>
            <w:vAlign w:val="center"/>
          </w:tcPr>
          <w:p w14:paraId="5D16868F" w14:textId="77777777" w:rsidR="00A61FF5" w:rsidRPr="004B6C01" w:rsidRDefault="00A61FF5" w:rsidP="00E139AD">
            <w:pPr>
              <w:pStyle w:val="ESTableBody"/>
              <w:jc w:val="right"/>
              <w:rPr>
                <w:lang w:val="en-AU"/>
              </w:rPr>
            </w:pPr>
            <w:r w:rsidRPr="004B6C01">
              <w:rPr>
                <w:lang w:val="en-AU"/>
              </w:rPr>
              <w:t>85</w:t>
            </w:r>
          </w:p>
        </w:tc>
        <w:tc>
          <w:tcPr>
            <w:tcW w:w="512" w:type="pct"/>
            <w:shd w:val="clear" w:color="auto" w:fill="auto"/>
            <w:vAlign w:val="center"/>
          </w:tcPr>
          <w:p w14:paraId="44350945" w14:textId="77777777" w:rsidR="00A61FF5" w:rsidRPr="004B6C01" w:rsidRDefault="00A61FF5" w:rsidP="00E139AD">
            <w:pPr>
              <w:pStyle w:val="ESTableBody"/>
              <w:jc w:val="right"/>
              <w:rPr>
                <w:lang w:val="en-AU"/>
              </w:rPr>
            </w:pPr>
            <w:r w:rsidRPr="004B6C01">
              <w:rPr>
                <w:lang w:val="en-AU"/>
              </w:rPr>
              <w:t>0.0</w:t>
            </w:r>
          </w:p>
        </w:tc>
        <w:tc>
          <w:tcPr>
            <w:tcW w:w="514" w:type="pct"/>
            <w:shd w:val="clear" w:color="auto" w:fill="auto"/>
            <w:vAlign w:val="center"/>
          </w:tcPr>
          <w:p w14:paraId="41B1766E"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680FFA8C"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723B4D43" w14:textId="63A98FB4" w:rsidR="00A61FF5" w:rsidRPr="004B6C01" w:rsidRDefault="00A61FF5" w:rsidP="00D07480">
            <w:pPr>
              <w:pStyle w:val="ESTableBody"/>
              <w:rPr>
                <w:i/>
                <w:lang w:val="en-AU"/>
              </w:rPr>
            </w:pPr>
            <w:r w:rsidRPr="004B6C01">
              <w:rPr>
                <w:i/>
                <w:lang w:val="en-AU"/>
              </w:rPr>
              <w:t>The final result is currently not available due to timing of the data collection.</w:t>
            </w:r>
            <w:r w:rsidR="00366F71" w:rsidRPr="004B6C01">
              <w:rPr>
                <w:i/>
                <w:lang w:val="en-AU"/>
              </w:rPr>
              <w:t xml:space="preserve"> </w:t>
            </w:r>
            <w:r w:rsidRPr="004B6C01">
              <w:rPr>
                <w:i/>
                <w:lang w:val="en-AU"/>
              </w:rPr>
              <w:t>The result provided under the 2016–17 actual is the expected outcome published in the 2017–18 Budget Paper No.3.</w:t>
            </w:r>
          </w:p>
        </w:tc>
      </w:tr>
      <w:tr w:rsidR="00A61FF5" w:rsidRPr="00932A90" w14:paraId="28940E31" w14:textId="77777777" w:rsidTr="00C86AF4">
        <w:trPr>
          <w:gridAfter w:val="1"/>
          <w:wAfter w:w="15" w:type="pct"/>
          <w:cantSplit/>
        </w:trPr>
        <w:tc>
          <w:tcPr>
            <w:tcW w:w="2424" w:type="pct"/>
            <w:gridSpan w:val="3"/>
            <w:shd w:val="clear" w:color="auto" w:fill="auto"/>
            <w:vAlign w:val="center"/>
          </w:tcPr>
          <w:p w14:paraId="480BCCC3" w14:textId="77777777" w:rsidR="00A61FF5" w:rsidRPr="004B6C01" w:rsidRDefault="00A61FF5" w:rsidP="00D07480">
            <w:pPr>
              <w:pStyle w:val="ESTableBody"/>
              <w:rPr>
                <w:lang w:val="en-AU"/>
              </w:rPr>
            </w:pPr>
            <w:r w:rsidRPr="004B6C01">
              <w:rPr>
                <w:lang w:val="en-AU"/>
              </w:rPr>
              <w:t>Percentage of students above the bottom three bands for numeracy in Year 7 (NAPLAN testing)</w:t>
            </w:r>
          </w:p>
        </w:tc>
        <w:tc>
          <w:tcPr>
            <w:tcW w:w="512" w:type="pct"/>
            <w:shd w:val="clear" w:color="auto" w:fill="auto"/>
            <w:vAlign w:val="center"/>
          </w:tcPr>
          <w:p w14:paraId="07BB3101"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3353B6E0" w14:textId="77777777" w:rsidR="00A61FF5" w:rsidRPr="004B6C01" w:rsidRDefault="00A61FF5" w:rsidP="00E139AD">
            <w:pPr>
              <w:pStyle w:val="ESTableBody"/>
              <w:jc w:val="right"/>
              <w:rPr>
                <w:lang w:val="en-AU"/>
              </w:rPr>
            </w:pPr>
            <w:r w:rsidRPr="004B6C01">
              <w:rPr>
                <w:lang w:val="en-AU"/>
              </w:rPr>
              <w:t>56.4</w:t>
            </w:r>
          </w:p>
        </w:tc>
        <w:tc>
          <w:tcPr>
            <w:tcW w:w="512" w:type="pct"/>
            <w:gridSpan w:val="2"/>
            <w:shd w:val="clear" w:color="auto" w:fill="auto"/>
            <w:vAlign w:val="center"/>
          </w:tcPr>
          <w:p w14:paraId="2D9B7C1A" w14:textId="77777777" w:rsidR="00A61FF5" w:rsidRPr="004B6C01" w:rsidRDefault="00A61FF5" w:rsidP="00E139AD">
            <w:pPr>
              <w:pStyle w:val="ESTableBody"/>
              <w:jc w:val="right"/>
              <w:rPr>
                <w:lang w:val="en-AU"/>
              </w:rPr>
            </w:pPr>
            <w:r w:rsidRPr="004B6C01">
              <w:rPr>
                <w:lang w:val="en-AU"/>
              </w:rPr>
              <w:t>62.1</w:t>
            </w:r>
          </w:p>
        </w:tc>
        <w:tc>
          <w:tcPr>
            <w:tcW w:w="512" w:type="pct"/>
            <w:vAlign w:val="center"/>
          </w:tcPr>
          <w:p w14:paraId="40F4CB49" w14:textId="77777777" w:rsidR="00A61FF5" w:rsidRPr="004B6C01" w:rsidRDefault="00A61FF5" w:rsidP="00E139AD">
            <w:pPr>
              <w:pStyle w:val="ESTableBody"/>
              <w:jc w:val="right"/>
              <w:rPr>
                <w:lang w:val="en-AU"/>
              </w:rPr>
            </w:pPr>
            <w:r w:rsidRPr="004B6C01">
              <w:rPr>
                <w:lang w:val="en-AU"/>
              </w:rPr>
              <w:t>10.1</w:t>
            </w:r>
          </w:p>
        </w:tc>
        <w:tc>
          <w:tcPr>
            <w:tcW w:w="514" w:type="pct"/>
            <w:vAlign w:val="center"/>
          </w:tcPr>
          <w:p w14:paraId="0A278132"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31D33260"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52F13C06"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0B98A44D" w14:textId="77777777" w:rsidR="00A61FF5" w:rsidRPr="004B6C01" w:rsidRDefault="00A61FF5" w:rsidP="00D07480">
            <w:pPr>
              <w:pStyle w:val="ESTableBody"/>
              <w:rPr>
                <w:i/>
                <w:lang w:val="en-AU"/>
              </w:rPr>
            </w:pPr>
            <w:r w:rsidRPr="004B6C01">
              <w:rPr>
                <w:i/>
                <w:lang w:val="en-AU"/>
              </w:rPr>
              <w:t>When interpreting results, a 95 per cent confidence interval of +/- 1.64 percentage points needs to be considered as the reported number is an estimate of the student ability for which there is associated measurement error, standard to any such assessment.</w:t>
            </w:r>
          </w:p>
          <w:p w14:paraId="79E3C395" w14:textId="77777777" w:rsidR="00A61FF5" w:rsidRPr="004B6C01" w:rsidRDefault="00A61FF5" w:rsidP="00D07480">
            <w:pPr>
              <w:pStyle w:val="ESTableBody"/>
              <w:rPr>
                <w:lang w:val="en-AU"/>
              </w:rPr>
            </w:pPr>
            <w:r w:rsidRPr="004B6C01">
              <w:rPr>
                <w:i/>
                <w:lang w:val="en-AU"/>
              </w:rPr>
              <w:t>The 2016–17 actual is higher than the 2016–17 target, which may be attributable to year-on-year cohort and assessment variations.</w:t>
            </w:r>
          </w:p>
        </w:tc>
      </w:tr>
      <w:tr w:rsidR="00A61FF5" w:rsidRPr="00932A90" w14:paraId="6CF8354D" w14:textId="77777777" w:rsidTr="00C86AF4">
        <w:trPr>
          <w:gridAfter w:val="1"/>
          <w:wAfter w:w="15" w:type="pct"/>
          <w:cantSplit/>
        </w:trPr>
        <w:tc>
          <w:tcPr>
            <w:tcW w:w="2424" w:type="pct"/>
            <w:gridSpan w:val="3"/>
            <w:shd w:val="clear" w:color="auto" w:fill="auto"/>
            <w:vAlign w:val="center"/>
          </w:tcPr>
          <w:p w14:paraId="0E406179" w14:textId="77777777" w:rsidR="00A61FF5" w:rsidRPr="004B6C01" w:rsidRDefault="00A61FF5" w:rsidP="00D07480">
            <w:pPr>
              <w:pStyle w:val="ESTableBody"/>
              <w:rPr>
                <w:lang w:val="en-AU"/>
              </w:rPr>
            </w:pPr>
            <w:r w:rsidRPr="004B6C01">
              <w:rPr>
                <w:lang w:val="en-AU"/>
              </w:rPr>
              <w:t>Percentage of students above the bottom three bands for numeracy in Year 9 (NAPLAN testing)</w:t>
            </w:r>
          </w:p>
        </w:tc>
        <w:tc>
          <w:tcPr>
            <w:tcW w:w="512" w:type="pct"/>
            <w:shd w:val="clear" w:color="auto" w:fill="auto"/>
            <w:vAlign w:val="center"/>
          </w:tcPr>
          <w:p w14:paraId="56E81534"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20825937" w14:textId="77777777" w:rsidR="00A61FF5" w:rsidRPr="004B6C01" w:rsidRDefault="00A61FF5" w:rsidP="00E139AD">
            <w:pPr>
              <w:pStyle w:val="ESTableBody"/>
              <w:jc w:val="right"/>
              <w:rPr>
                <w:lang w:val="en-AU"/>
              </w:rPr>
            </w:pPr>
            <w:r w:rsidRPr="004B6C01">
              <w:rPr>
                <w:lang w:val="en-AU"/>
              </w:rPr>
              <w:t>54.3</w:t>
            </w:r>
          </w:p>
        </w:tc>
        <w:tc>
          <w:tcPr>
            <w:tcW w:w="512" w:type="pct"/>
            <w:gridSpan w:val="2"/>
            <w:shd w:val="clear" w:color="auto" w:fill="auto"/>
            <w:vAlign w:val="center"/>
          </w:tcPr>
          <w:p w14:paraId="43A546FB" w14:textId="77777777" w:rsidR="00A61FF5" w:rsidRPr="004B6C01" w:rsidRDefault="00A61FF5" w:rsidP="00E139AD">
            <w:pPr>
              <w:pStyle w:val="ESTableBody"/>
              <w:jc w:val="right"/>
              <w:rPr>
                <w:lang w:val="en-AU"/>
              </w:rPr>
            </w:pPr>
            <w:r w:rsidRPr="004B6C01">
              <w:rPr>
                <w:lang w:val="en-AU"/>
              </w:rPr>
              <w:t>51.5</w:t>
            </w:r>
          </w:p>
        </w:tc>
        <w:tc>
          <w:tcPr>
            <w:tcW w:w="512" w:type="pct"/>
            <w:vAlign w:val="center"/>
          </w:tcPr>
          <w:p w14:paraId="36A0E745" w14:textId="77777777" w:rsidR="00A61FF5" w:rsidRPr="004B6C01" w:rsidRDefault="00A61FF5" w:rsidP="00E139AD">
            <w:pPr>
              <w:pStyle w:val="ESTableBody"/>
              <w:jc w:val="right"/>
              <w:rPr>
                <w:lang w:val="en-AU"/>
              </w:rPr>
            </w:pPr>
            <w:r w:rsidRPr="004B6C01">
              <w:rPr>
                <w:lang w:val="en-AU"/>
              </w:rPr>
              <w:t>-5.2</w:t>
            </w:r>
          </w:p>
        </w:tc>
        <w:tc>
          <w:tcPr>
            <w:tcW w:w="514" w:type="pct"/>
            <w:vAlign w:val="center"/>
          </w:tcPr>
          <w:p w14:paraId="55D524F9"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48B79E65"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0921CACE"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706DEFD0" w14:textId="77777777" w:rsidR="00A61FF5" w:rsidRPr="004B6C01" w:rsidRDefault="00A61FF5" w:rsidP="00D07480">
            <w:pPr>
              <w:pStyle w:val="ESTableBody"/>
              <w:rPr>
                <w:i/>
                <w:lang w:val="en-AU"/>
              </w:rPr>
            </w:pPr>
            <w:r w:rsidRPr="004B6C01">
              <w:rPr>
                <w:i/>
                <w:lang w:val="en-AU"/>
              </w:rPr>
              <w:t>When interpreting results, a 95 per cent confidence interval of +/- 1.95 percentage points needs to be considered as the reported number is an estimate of the student ability for which there is associated measurement error, standard to any such assessment.</w:t>
            </w:r>
          </w:p>
          <w:p w14:paraId="4495FA7E" w14:textId="77777777" w:rsidR="00A61FF5" w:rsidRPr="004B6C01" w:rsidRDefault="00A61FF5" w:rsidP="00D07480">
            <w:pPr>
              <w:pStyle w:val="ESTableBody"/>
              <w:rPr>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initiatives.</w:t>
            </w:r>
          </w:p>
        </w:tc>
      </w:tr>
      <w:tr w:rsidR="00A61FF5" w:rsidRPr="00932A90" w14:paraId="16E98D23" w14:textId="77777777" w:rsidTr="00C86AF4">
        <w:trPr>
          <w:gridAfter w:val="1"/>
          <w:wAfter w:w="15" w:type="pct"/>
          <w:cantSplit/>
        </w:trPr>
        <w:tc>
          <w:tcPr>
            <w:tcW w:w="2424" w:type="pct"/>
            <w:gridSpan w:val="3"/>
            <w:shd w:val="clear" w:color="auto" w:fill="auto"/>
            <w:vAlign w:val="center"/>
          </w:tcPr>
          <w:p w14:paraId="474474BD" w14:textId="77777777" w:rsidR="00A61FF5" w:rsidRPr="004B6C01" w:rsidRDefault="00A61FF5" w:rsidP="00D07480">
            <w:pPr>
              <w:pStyle w:val="ESTableBody"/>
              <w:rPr>
                <w:lang w:val="en-AU"/>
              </w:rPr>
            </w:pPr>
            <w:r w:rsidRPr="004B6C01">
              <w:rPr>
                <w:lang w:val="en-AU"/>
              </w:rPr>
              <w:t>Percentage of students above the bottom three bands for reading in Year 7 (NAPLAN testing)</w:t>
            </w:r>
          </w:p>
        </w:tc>
        <w:tc>
          <w:tcPr>
            <w:tcW w:w="512" w:type="pct"/>
            <w:shd w:val="clear" w:color="auto" w:fill="auto"/>
            <w:vAlign w:val="center"/>
          </w:tcPr>
          <w:p w14:paraId="283F4DA7"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1F92D517" w14:textId="77777777" w:rsidR="00A61FF5" w:rsidRPr="004B6C01" w:rsidRDefault="00A61FF5" w:rsidP="00E139AD">
            <w:pPr>
              <w:pStyle w:val="ESTableBody"/>
              <w:jc w:val="right"/>
              <w:rPr>
                <w:lang w:val="en-AU"/>
              </w:rPr>
            </w:pPr>
            <w:r w:rsidRPr="004B6C01">
              <w:rPr>
                <w:lang w:val="en-AU"/>
              </w:rPr>
              <w:t>60.0</w:t>
            </w:r>
          </w:p>
        </w:tc>
        <w:tc>
          <w:tcPr>
            <w:tcW w:w="512" w:type="pct"/>
            <w:gridSpan w:val="2"/>
            <w:shd w:val="clear" w:color="auto" w:fill="auto"/>
            <w:vAlign w:val="center"/>
          </w:tcPr>
          <w:p w14:paraId="5F058987" w14:textId="77777777" w:rsidR="00A61FF5" w:rsidRPr="004B6C01" w:rsidRDefault="00A61FF5" w:rsidP="00E139AD">
            <w:pPr>
              <w:pStyle w:val="ESTableBody"/>
              <w:jc w:val="right"/>
              <w:rPr>
                <w:lang w:val="en-AU"/>
              </w:rPr>
            </w:pPr>
            <w:r w:rsidRPr="004B6C01">
              <w:rPr>
                <w:lang w:val="en-AU"/>
              </w:rPr>
              <w:t>56.9</w:t>
            </w:r>
          </w:p>
        </w:tc>
        <w:tc>
          <w:tcPr>
            <w:tcW w:w="512" w:type="pct"/>
            <w:vAlign w:val="center"/>
          </w:tcPr>
          <w:p w14:paraId="7279E664" w14:textId="77777777" w:rsidR="00A61FF5" w:rsidRPr="004B6C01" w:rsidRDefault="00A61FF5" w:rsidP="00E139AD">
            <w:pPr>
              <w:pStyle w:val="ESTableBody"/>
              <w:jc w:val="right"/>
              <w:rPr>
                <w:lang w:val="en-AU"/>
              </w:rPr>
            </w:pPr>
            <w:r w:rsidRPr="004B6C01">
              <w:rPr>
                <w:lang w:val="en-AU"/>
              </w:rPr>
              <w:t>-5.2</w:t>
            </w:r>
          </w:p>
        </w:tc>
        <w:tc>
          <w:tcPr>
            <w:tcW w:w="514" w:type="pct"/>
            <w:vAlign w:val="center"/>
          </w:tcPr>
          <w:p w14:paraId="49888F2D"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7655207A"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18D83EC0"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3AEC06B8" w14:textId="77777777" w:rsidR="00A61FF5" w:rsidRPr="004B6C01" w:rsidRDefault="00A61FF5" w:rsidP="00D07480">
            <w:pPr>
              <w:pStyle w:val="ESTableBody"/>
              <w:rPr>
                <w:i/>
                <w:lang w:val="en-AU"/>
              </w:rPr>
            </w:pPr>
            <w:r w:rsidRPr="004B6C01">
              <w:rPr>
                <w:i/>
                <w:lang w:val="en-AU"/>
              </w:rPr>
              <w:t>When interpreting results, a 95 per cent confidence interval of +/- 1.54 percentage points needs to be considered as the reported number is an estimate of the student ability for which there is associated measurement error, standard to any such assessment.</w:t>
            </w:r>
          </w:p>
          <w:p w14:paraId="0BCA98D0" w14:textId="77777777" w:rsidR="00A61FF5" w:rsidRPr="004B6C01" w:rsidRDefault="00A61FF5" w:rsidP="00D07480">
            <w:pPr>
              <w:pStyle w:val="ESTableBody"/>
              <w:rPr>
                <w:i/>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initiatives.</w:t>
            </w:r>
          </w:p>
        </w:tc>
      </w:tr>
      <w:tr w:rsidR="00A61FF5" w:rsidRPr="00932A90" w14:paraId="61BE4389" w14:textId="77777777" w:rsidTr="00C86AF4">
        <w:trPr>
          <w:gridAfter w:val="1"/>
          <w:wAfter w:w="15" w:type="pct"/>
          <w:cantSplit/>
        </w:trPr>
        <w:tc>
          <w:tcPr>
            <w:tcW w:w="2424" w:type="pct"/>
            <w:gridSpan w:val="3"/>
            <w:shd w:val="clear" w:color="auto" w:fill="auto"/>
            <w:vAlign w:val="center"/>
          </w:tcPr>
          <w:p w14:paraId="3ACBDC03" w14:textId="77777777" w:rsidR="00A61FF5" w:rsidRPr="004B6C01" w:rsidRDefault="00A61FF5" w:rsidP="00D07480">
            <w:pPr>
              <w:pStyle w:val="ESTableBody"/>
              <w:rPr>
                <w:lang w:val="en-AU"/>
              </w:rPr>
            </w:pPr>
            <w:r w:rsidRPr="004B6C01">
              <w:rPr>
                <w:lang w:val="en-AU"/>
              </w:rPr>
              <w:t>Percentage of students above the bottom three bands for reading in Year 9 (NAPLAN testing)</w:t>
            </w:r>
          </w:p>
        </w:tc>
        <w:tc>
          <w:tcPr>
            <w:tcW w:w="512" w:type="pct"/>
            <w:shd w:val="clear" w:color="auto" w:fill="auto"/>
            <w:vAlign w:val="center"/>
          </w:tcPr>
          <w:p w14:paraId="39C423F3"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34A3F858" w14:textId="77777777" w:rsidR="00A61FF5" w:rsidRPr="004B6C01" w:rsidRDefault="00A61FF5" w:rsidP="00E139AD">
            <w:pPr>
              <w:pStyle w:val="ESTableBody"/>
              <w:jc w:val="right"/>
              <w:rPr>
                <w:lang w:val="en-AU"/>
              </w:rPr>
            </w:pPr>
            <w:r w:rsidRPr="004B6C01">
              <w:rPr>
                <w:lang w:val="en-AU"/>
              </w:rPr>
              <w:t>50.4</w:t>
            </w:r>
          </w:p>
        </w:tc>
        <w:tc>
          <w:tcPr>
            <w:tcW w:w="512" w:type="pct"/>
            <w:gridSpan w:val="2"/>
            <w:shd w:val="clear" w:color="auto" w:fill="auto"/>
            <w:vAlign w:val="center"/>
          </w:tcPr>
          <w:p w14:paraId="117B245C" w14:textId="77777777" w:rsidR="00A61FF5" w:rsidRPr="004B6C01" w:rsidRDefault="00A61FF5" w:rsidP="00E139AD">
            <w:pPr>
              <w:pStyle w:val="ESTableBody"/>
              <w:jc w:val="right"/>
              <w:rPr>
                <w:lang w:val="en-AU"/>
              </w:rPr>
            </w:pPr>
            <w:r w:rsidRPr="004B6C01">
              <w:rPr>
                <w:lang w:val="en-AU"/>
              </w:rPr>
              <w:t>48.9</w:t>
            </w:r>
          </w:p>
        </w:tc>
        <w:tc>
          <w:tcPr>
            <w:tcW w:w="512" w:type="pct"/>
            <w:vAlign w:val="center"/>
          </w:tcPr>
          <w:p w14:paraId="3C2E8F79" w14:textId="77777777" w:rsidR="00A61FF5" w:rsidRPr="004B6C01" w:rsidRDefault="00A61FF5" w:rsidP="00E139AD">
            <w:pPr>
              <w:pStyle w:val="ESTableBody"/>
              <w:jc w:val="right"/>
              <w:rPr>
                <w:lang w:val="en-AU"/>
              </w:rPr>
            </w:pPr>
            <w:r w:rsidRPr="004B6C01">
              <w:rPr>
                <w:lang w:val="en-AU"/>
              </w:rPr>
              <w:t>-3.0</w:t>
            </w:r>
          </w:p>
        </w:tc>
        <w:tc>
          <w:tcPr>
            <w:tcW w:w="514" w:type="pct"/>
            <w:vAlign w:val="center"/>
          </w:tcPr>
          <w:p w14:paraId="6142FBAF"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499E0AB6"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5B31CC3D"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20752876" w14:textId="77777777" w:rsidR="00A61FF5" w:rsidRPr="004B6C01" w:rsidRDefault="00A61FF5" w:rsidP="00D07480">
            <w:pPr>
              <w:pStyle w:val="ESTableBody"/>
              <w:rPr>
                <w:lang w:val="en-AU"/>
              </w:rPr>
            </w:pPr>
            <w:r w:rsidRPr="004B6C01">
              <w:rPr>
                <w:i/>
                <w:lang w:val="en-AU"/>
              </w:rPr>
              <w:t>When interpreting results, a 95 per cent confidence interval of +/- 1.73 percentage points needs to be considered as the reported number is an estimate of the student ability for which there is associated measurement error, standard to any such assessment.</w:t>
            </w:r>
          </w:p>
        </w:tc>
      </w:tr>
      <w:tr w:rsidR="00A61FF5" w:rsidRPr="00932A90" w14:paraId="7BEFC74B" w14:textId="77777777" w:rsidTr="00C86AF4">
        <w:trPr>
          <w:gridAfter w:val="1"/>
          <w:wAfter w:w="15" w:type="pct"/>
          <w:cantSplit/>
        </w:trPr>
        <w:tc>
          <w:tcPr>
            <w:tcW w:w="2424" w:type="pct"/>
            <w:gridSpan w:val="3"/>
            <w:shd w:val="clear" w:color="auto" w:fill="auto"/>
            <w:vAlign w:val="center"/>
          </w:tcPr>
          <w:p w14:paraId="4F0DCBC5" w14:textId="77777777" w:rsidR="00A61FF5" w:rsidRPr="004B6C01" w:rsidRDefault="00A61FF5" w:rsidP="00D07480">
            <w:pPr>
              <w:pStyle w:val="ESTableBody"/>
              <w:rPr>
                <w:lang w:val="en-AU"/>
              </w:rPr>
            </w:pPr>
            <w:r w:rsidRPr="004B6C01">
              <w:rPr>
                <w:lang w:val="en-AU"/>
              </w:rPr>
              <w:t>Percentage of students in the top two bands for numeracy in Year 7 (NAPLAN testing)</w:t>
            </w:r>
          </w:p>
        </w:tc>
        <w:tc>
          <w:tcPr>
            <w:tcW w:w="512" w:type="pct"/>
            <w:shd w:val="clear" w:color="auto" w:fill="auto"/>
            <w:vAlign w:val="center"/>
          </w:tcPr>
          <w:p w14:paraId="5F4F34BC"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7CA6E6E9" w14:textId="77777777" w:rsidR="00A61FF5" w:rsidRPr="004B6C01" w:rsidRDefault="00A61FF5" w:rsidP="00E139AD">
            <w:pPr>
              <w:pStyle w:val="ESTableBody"/>
              <w:jc w:val="right"/>
              <w:rPr>
                <w:lang w:val="en-AU"/>
              </w:rPr>
            </w:pPr>
            <w:r w:rsidRPr="004B6C01">
              <w:rPr>
                <w:lang w:val="en-AU"/>
              </w:rPr>
              <w:t>28.0</w:t>
            </w:r>
          </w:p>
        </w:tc>
        <w:tc>
          <w:tcPr>
            <w:tcW w:w="512" w:type="pct"/>
            <w:gridSpan w:val="2"/>
            <w:shd w:val="clear" w:color="auto" w:fill="auto"/>
            <w:vAlign w:val="center"/>
          </w:tcPr>
          <w:p w14:paraId="29F577F3" w14:textId="77777777" w:rsidR="00A61FF5" w:rsidRPr="004B6C01" w:rsidRDefault="00A61FF5" w:rsidP="00E139AD">
            <w:pPr>
              <w:pStyle w:val="ESTableBody"/>
              <w:jc w:val="right"/>
              <w:rPr>
                <w:lang w:val="en-AU"/>
              </w:rPr>
            </w:pPr>
            <w:r w:rsidRPr="004B6C01">
              <w:rPr>
                <w:lang w:val="en-AU"/>
              </w:rPr>
              <w:t>32.4</w:t>
            </w:r>
          </w:p>
        </w:tc>
        <w:tc>
          <w:tcPr>
            <w:tcW w:w="512" w:type="pct"/>
            <w:vAlign w:val="center"/>
          </w:tcPr>
          <w:p w14:paraId="49077021" w14:textId="77777777" w:rsidR="00A61FF5" w:rsidRPr="004B6C01" w:rsidRDefault="00A61FF5" w:rsidP="00E139AD">
            <w:pPr>
              <w:pStyle w:val="ESTableBody"/>
              <w:jc w:val="right"/>
              <w:rPr>
                <w:lang w:val="en-AU"/>
              </w:rPr>
            </w:pPr>
            <w:r w:rsidRPr="004B6C01">
              <w:rPr>
                <w:lang w:val="en-AU"/>
              </w:rPr>
              <w:t>15.7</w:t>
            </w:r>
          </w:p>
        </w:tc>
        <w:tc>
          <w:tcPr>
            <w:tcW w:w="514" w:type="pct"/>
            <w:vAlign w:val="center"/>
          </w:tcPr>
          <w:p w14:paraId="3D658D70"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2F36B349"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38BD7EA2"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58AFE664" w14:textId="77777777" w:rsidR="00A61FF5" w:rsidRPr="004B6C01" w:rsidRDefault="00A61FF5" w:rsidP="00D07480">
            <w:pPr>
              <w:pStyle w:val="ESTableBody"/>
              <w:rPr>
                <w:i/>
                <w:lang w:val="en-AU"/>
              </w:rPr>
            </w:pPr>
            <w:r w:rsidRPr="004B6C01">
              <w:rPr>
                <w:i/>
                <w:lang w:val="en-AU"/>
              </w:rPr>
              <w:t>When interpreting results, a 95 per cent confidence interval of +/- 1.68 percentage points needs to be considered as the reported number is an estimate of the student ability for which there is associated measurement error, standard to any such assessment.</w:t>
            </w:r>
          </w:p>
          <w:p w14:paraId="6F26667D" w14:textId="77777777" w:rsidR="00A61FF5" w:rsidRPr="004B6C01" w:rsidRDefault="00A61FF5" w:rsidP="00D07480">
            <w:pPr>
              <w:pStyle w:val="ESTableBody"/>
              <w:rPr>
                <w:lang w:val="en-AU"/>
              </w:rPr>
            </w:pPr>
            <w:r w:rsidRPr="004B6C01">
              <w:rPr>
                <w:i/>
                <w:lang w:val="en-AU"/>
              </w:rPr>
              <w:t>The 2016–17 actual is higher than the 2016–17 target, which may be attributable to year on year cohort and assessment variations.</w:t>
            </w:r>
          </w:p>
        </w:tc>
      </w:tr>
      <w:tr w:rsidR="00A61FF5" w:rsidRPr="00932A90" w14:paraId="3347EFA2" w14:textId="77777777" w:rsidTr="00C86AF4">
        <w:trPr>
          <w:gridAfter w:val="1"/>
          <w:wAfter w:w="15" w:type="pct"/>
          <w:cantSplit/>
        </w:trPr>
        <w:tc>
          <w:tcPr>
            <w:tcW w:w="2424" w:type="pct"/>
            <w:gridSpan w:val="3"/>
            <w:shd w:val="clear" w:color="auto" w:fill="auto"/>
            <w:vAlign w:val="center"/>
          </w:tcPr>
          <w:p w14:paraId="6088C452" w14:textId="77777777" w:rsidR="00A61FF5" w:rsidRPr="004B6C01" w:rsidRDefault="00A61FF5" w:rsidP="00D07480">
            <w:pPr>
              <w:pStyle w:val="ESTableBody"/>
              <w:rPr>
                <w:lang w:val="en-AU"/>
              </w:rPr>
            </w:pPr>
            <w:r w:rsidRPr="004B6C01">
              <w:rPr>
                <w:lang w:val="en-AU"/>
              </w:rPr>
              <w:t>Percentage of students in the top two bands for numeracy in Year 9 (NAPLAN testing)</w:t>
            </w:r>
          </w:p>
        </w:tc>
        <w:tc>
          <w:tcPr>
            <w:tcW w:w="512" w:type="pct"/>
            <w:shd w:val="clear" w:color="auto" w:fill="auto"/>
            <w:vAlign w:val="center"/>
          </w:tcPr>
          <w:p w14:paraId="79E05E98"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2F99E122" w14:textId="77777777" w:rsidR="00A61FF5" w:rsidRPr="004B6C01" w:rsidRDefault="00A61FF5" w:rsidP="00E139AD">
            <w:pPr>
              <w:pStyle w:val="ESTableBody"/>
              <w:jc w:val="right"/>
              <w:rPr>
                <w:lang w:val="en-AU"/>
              </w:rPr>
            </w:pPr>
            <w:r w:rsidRPr="004B6C01">
              <w:rPr>
                <w:lang w:val="en-AU"/>
              </w:rPr>
              <w:t>26.4</w:t>
            </w:r>
          </w:p>
        </w:tc>
        <w:tc>
          <w:tcPr>
            <w:tcW w:w="512" w:type="pct"/>
            <w:gridSpan w:val="2"/>
            <w:shd w:val="clear" w:color="auto" w:fill="auto"/>
            <w:vAlign w:val="center"/>
          </w:tcPr>
          <w:p w14:paraId="3D5EAF31" w14:textId="77777777" w:rsidR="00A61FF5" w:rsidRPr="004B6C01" w:rsidRDefault="00A61FF5" w:rsidP="00E139AD">
            <w:pPr>
              <w:pStyle w:val="ESTableBody"/>
              <w:jc w:val="right"/>
              <w:rPr>
                <w:lang w:val="en-AU"/>
              </w:rPr>
            </w:pPr>
            <w:r w:rsidRPr="004B6C01">
              <w:rPr>
                <w:lang w:val="en-AU"/>
              </w:rPr>
              <w:t>23.3</w:t>
            </w:r>
          </w:p>
        </w:tc>
        <w:tc>
          <w:tcPr>
            <w:tcW w:w="512" w:type="pct"/>
            <w:vAlign w:val="center"/>
          </w:tcPr>
          <w:p w14:paraId="7473BC78" w14:textId="77777777" w:rsidR="00A61FF5" w:rsidRPr="004B6C01" w:rsidRDefault="00A61FF5" w:rsidP="00E139AD">
            <w:pPr>
              <w:pStyle w:val="ESTableBody"/>
              <w:jc w:val="right"/>
              <w:rPr>
                <w:lang w:val="en-AU"/>
              </w:rPr>
            </w:pPr>
            <w:r w:rsidRPr="004B6C01">
              <w:rPr>
                <w:lang w:val="en-AU"/>
              </w:rPr>
              <w:t>-11.7</w:t>
            </w:r>
          </w:p>
        </w:tc>
        <w:tc>
          <w:tcPr>
            <w:tcW w:w="514" w:type="pct"/>
            <w:vAlign w:val="center"/>
          </w:tcPr>
          <w:p w14:paraId="17124759"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12E582CC"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69C0EC92"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29408B43" w14:textId="77777777" w:rsidR="00A61FF5" w:rsidRPr="004B6C01" w:rsidRDefault="00A61FF5" w:rsidP="00D07480">
            <w:pPr>
              <w:pStyle w:val="ESTableBody"/>
              <w:rPr>
                <w:i/>
                <w:lang w:val="en-AU"/>
              </w:rPr>
            </w:pPr>
            <w:r w:rsidRPr="004B6C01">
              <w:rPr>
                <w:i/>
                <w:lang w:val="en-AU"/>
              </w:rPr>
              <w:t>When interpreting results, a 95 per cent confidence interval of +/- 1.98 percentage points needs to be considered as the reported number is an estimate of the student ability for which there is associated measurement error, standard to any such assessment.</w:t>
            </w:r>
          </w:p>
          <w:p w14:paraId="2C2B443C" w14:textId="77777777" w:rsidR="00A61FF5" w:rsidRPr="004B6C01" w:rsidRDefault="00A61FF5" w:rsidP="00D07480">
            <w:pPr>
              <w:pStyle w:val="ESTableBody"/>
              <w:rPr>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initiatives.</w:t>
            </w:r>
          </w:p>
        </w:tc>
      </w:tr>
      <w:tr w:rsidR="00A61FF5" w:rsidRPr="00932A90" w14:paraId="102239DB" w14:textId="77777777" w:rsidTr="00C86AF4">
        <w:trPr>
          <w:gridAfter w:val="1"/>
          <w:wAfter w:w="15" w:type="pct"/>
          <w:cantSplit/>
        </w:trPr>
        <w:tc>
          <w:tcPr>
            <w:tcW w:w="2424" w:type="pct"/>
            <w:gridSpan w:val="3"/>
            <w:shd w:val="clear" w:color="auto" w:fill="auto"/>
            <w:vAlign w:val="center"/>
          </w:tcPr>
          <w:p w14:paraId="09D78D27" w14:textId="77777777" w:rsidR="00A61FF5" w:rsidRPr="004B6C01" w:rsidRDefault="00A61FF5" w:rsidP="00D07480">
            <w:pPr>
              <w:pStyle w:val="ESTableBody"/>
              <w:rPr>
                <w:lang w:val="en-AU"/>
              </w:rPr>
            </w:pPr>
            <w:r w:rsidRPr="004B6C01">
              <w:rPr>
                <w:lang w:val="en-AU"/>
              </w:rPr>
              <w:t>Percentage of students in the top two bands for reading in Year 7 (NAPLAN testing)</w:t>
            </w:r>
          </w:p>
        </w:tc>
        <w:tc>
          <w:tcPr>
            <w:tcW w:w="512" w:type="pct"/>
            <w:shd w:val="clear" w:color="auto" w:fill="auto"/>
            <w:vAlign w:val="center"/>
          </w:tcPr>
          <w:p w14:paraId="2D4EB7C2"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3FEC55DC" w14:textId="77777777" w:rsidR="00A61FF5" w:rsidRPr="004B6C01" w:rsidRDefault="00A61FF5" w:rsidP="00E139AD">
            <w:pPr>
              <w:pStyle w:val="ESTableBody"/>
              <w:jc w:val="right"/>
              <w:rPr>
                <w:lang w:val="en-AU"/>
              </w:rPr>
            </w:pPr>
            <w:r w:rsidRPr="004B6C01">
              <w:rPr>
                <w:lang w:val="en-AU"/>
              </w:rPr>
              <w:t>30.7</w:t>
            </w:r>
          </w:p>
        </w:tc>
        <w:tc>
          <w:tcPr>
            <w:tcW w:w="512" w:type="pct"/>
            <w:gridSpan w:val="2"/>
            <w:shd w:val="clear" w:color="auto" w:fill="auto"/>
            <w:vAlign w:val="center"/>
          </w:tcPr>
          <w:p w14:paraId="68A69E3A" w14:textId="77777777" w:rsidR="00A61FF5" w:rsidRPr="004B6C01" w:rsidRDefault="00A61FF5" w:rsidP="00E139AD">
            <w:pPr>
              <w:pStyle w:val="ESTableBody"/>
              <w:jc w:val="right"/>
              <w:rPr>
                <w:lang w:val="en-AU"/>
              </w:rPr>
            </w:pPr>
            <w:r w:rsidRPr="004B6C01">
              <w:rPr>
                <w:lang w:val="en-AU"/>
              </w:rPr>
              <w:t>27.4</w:t>
            </w:r>
          </w:p>
        </w:tc>
        <w:tc>
          <w:tcPr>
            <w:tcW w:w="512" w:type="pct"/>
            <w:vAlign w:val="center"/>
          </w:tcPr>
          <w:p w14:paraId="5B1117F2" w14:textId="77777777" w:rsidR="00A61FF5" w:rsidRPr="004B6C01" w:rsidRDefault="00A61FF5" w:rsidP="00E139AD">
            <w:pPr>
              <w:pStyle w:val="ESTableBody"/>
              <w:jc w:val="right"/>
              <w:rPr>
                <w:lang w:val="en-AU"/>
              </w:rPr>
            </w:pPr>
            <w:r w:rsidRPr="004B6C01">
              <w:rPr>
                <w:lang w:val="en-AU"/>
              </w:rPr>
              <w:t>-10.7</w:t>
            </w:r>
          </w:p>
        </w:tc>
        <w:tc>
          <w:tcPr>
            <w:tcW w:w="514" w:type="pct"/>
            <w:vAlign w:val="center"/>
          </w:tcPr>
          <w:p w14:paraId="39D088F0"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267FEF79"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0C1231CC"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310D0B2B" w14:textId="77777777" w:rsidR="00A61FF5" w:rsidRPr="004B6C01" w:rsidRDefault="00A61FF5" w:rsidP="00D07480">
            <w:pPr>
              <w:pStyle w:val="ESTableBody"/>
              <w:rPr>
                <w:i/>
                <w:lang w:val="en-AU"/>
              </w:rPr>
            </w:pPr>
            <w:r w:rsidRPr="004B6C01">
              <w:rPr>
                <w:i/>
                <w:lang w:val="en-AU"/>
              </w:rPr>
              <w:t>When interpreting results, a 95 per cent confidence interval of +/- 1.39 percentage points needs to be considered as the reported number is an estimate of the student ability for which there is associated measurement error, standard to any such assessment.</w:t>
            </w:r>
          </w:p>
          <w:p w14:paraId="5C7242F7" w14:textId="77777777" w:rsidR="00A61FF5" w:rsidRPr="004B6C01" w:rsidRDefault="00A61FF5" w:rsidP="00D07480">
            <w:pPr>
              <w:pStyle w:val="ESTableBody"/>
              <w:rPr>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initiatives.</w:t>
            </w:r>
          </w:p>
        </w:tc>
      </w:tr>
      <w:tr w:rsidR="00A61FF5" w:rsidRPr="00932A90" w14:paraId="297B64DB" w14:textId="77777777" w:rsidTr="00C86AF4">
        <w:trPr>
          <w:gridAfter w:val="1"/>
          <w:wAfter w:w="15" w:type="pct"/>
          <w:cantSplit/>
        </w:trPr>
        <w:tc>
          <w:tcPr>
            <w:tcW w:w="2424" w:type="pct"/>
            <w:gridSpan w:val="3"/>
            <w:shd w:val="clear" w:color="auto" w:fill="auto"/>
            <w:vAlign w:val="center"/>
          </w:tcPr>
          <w:p w14:paraId="1512C475" w14:textId="77777777" w:rsidR="00A61FF5" w:rsidRPr="004B6C01" w:rsidRDefault="00A61FF5" w:rsidP="00D07480">
            <w:pPr>
              <w:pStyle w:val="ESTableBody"/>
              <w:rPr>
                <w:lang w:val="en-AU"/>
              </w:rPr>
            </w:pPr>
            <w:r w:rsidRPr="004B6C01">
              <w:rPr>
                <w:lang w:val="en-AU"/>
              </w:rPr>
              <w:t>Percentage of students in the top two bands for reading in Year 9 (NAPLAN testing)</w:t>
            </w:r>
          </w:p>
        </w:tc>
        <w:tc>
          <w:tcPr>
            <w:tcW w:w="512" w:type="pct"/>
            <w:shd w:val="clear" w:color="auto" w:fill="auto"/>
            <w:vAlign w:val="center"/>
          </w:tcPr>
          <w:p w14:paraId="0C078BA2" w14:textId="77777777" w:rsidR="00A61FF5" w:rsidRPr="004B6C01" w:rsidRDefault="00A61FF5" w:rsidP="00D07480">
            <w:pPr>
              <w:pStyle w:val="ESTableBody"/>
              <w:rPr>
                <w:lang w:val="en-AU"/>
              </w:rPr>
            </w:pPr>
            <w:r w:rsidRPr="004B6C01">
              <w:rPr>
                <w:lang w:val="en-AU"/>
              </w:rPr>
              <w:t>number</w:t>
            </w:r>
          </w:p>
        </w:tc>
        <w:tc>
          <w:tcPr>
            <w:tcW w:w="512" w:type="pct"/>
            <w:shd w:val="clear" w:color="auto" w:fill="auto"/>
            <w:vAlign w:val="center"/>
          </w:tcPr>
          <w:p w14:paraId="18847223" w14:textId="77777777" w:rsidR="00A61FF5" w:rsidRPr="004B6C01" w:rsidRDefault="00A61FF5" w:rsidP="00E139AD">
            <w:pPr>
              <w:pStyle w:val="ESTableBody"/>
              <w:jc w:val="right"/>
              <w:rPr>
                <w:lang w:val="en-AU"/>
              </w:rPr>
            </w:pPr>
            <w:r w:rsidRPr="004B6C01">
              <w:rPr>
                <w:lang w:val="en-AU"/>
              </w:rPr>
              <w:t>23.0</w:t>
            </w:r>
          </w:p>
        </w:tc>
        <w:tc>
          <w:tcPr>
            <w:tcW w:w="512" w:type="pct"/>
            <w:gridSpan w:val="2"/>
            <w:shd w:val="clear" w:color="auto" w:fill="auto"/>
            <w:vAlign w:val="center"/>
          </w:tcPr>
          <w:p w14:paraId="2C1B699B" w14:textId="77777777" w:rsidR="00A61FF5" w:rsidRPr="004B6C01" w:rsidRDefault="00A61FF5" w:rsidP="00E139AD">
            <w:pPr>
              <w:pStyle w:val="ESTableBody"/>
              <w:jc w:val="right"/>
              <w:rPr>
                <w:lang w:val="en-AU"/>
              </w:rPr>
            </w:pPr>
            <w:r w:rsidRPr="004B6C01">
              <w:rPr>
                <w:lang w:val="en-AU"/>
              </w:rPr>
              <w:t>20.7</w:t>
            </w:r>
          </w:p>
        </w:tc>
        <w:tc>
          <w:tcPr>
            <w:tcW w:w="512" w:type="pct"/>
            <w:vAlign w:val="center"/>
          </w:tcPr>
          <w:p w14:paraId="32AF1E53" w14:textId="77777777" w:rsidR="00A61FF5" w:rsidRPr="004B6C01" w:rsidRDefault="00A61FF5" w:rsidP="00E139AD">
            <w:pPr>
              <w:pStyle w:val="ESTableBody"/>
              <w:jc w:val="right"/>
              <w:rPr>
                <w:lang w:val="en-AU"/>
              </w:rPr>
            </w:pPr>
            <w:r w:rsidRPr="004B6C01">
              <w:rPr>
                <w:lang w:val="en-AU"/>
              </w:rPr>
              <w:t>-10.0</w:t>
            </w:r>
          </w:p>
        </w:tc>
        <w:tc>
          <w:tcPr>
            <w:tcW w:w="514" w:type="pct"/>
            <w:vAlign w:val="center"/>
          </w:tcPr>
          <w:p w14:paraId="032B26C7"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1588C219"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7DD8E0C0" w14:textId="77777777" w:rsidR="00A61FF5" w:rsidRPr="004B6C01" w:rsidRDefault="00A61FF5" w:rsidP="00D07480">
            <w:pPr>
              <w:pStyle w:val="ESTableBody"/>
              <w:rPr>
                <w:i/>
                <w:lang w:val="en-AU"/>
              </w:rPr>
            </w:pPr>
            <w:r w:rsidRPr="004B6C01">
              <w:rPr>
                <w:i/>
                <w:lang w:val="en-AU"/>
              </w:rPr>
              <w:t>This performance measure relates to student performance assessed in May 2016.</w:t>
            </w:r>
          </w:p>
          <w:p w14:paraId="043329A1" w14:textId="77777777" w:rsidR="00A61FF5" w:rsidRPr="004B6C01" w:rsidRDefault="00A61FF5" w:rsidP="00D07480">
            <w:pPr>
              <w:pStyle w:val="ESTableBody"/>
              <w:rPr>
                <w:i/>
                <w:lang w:val="en-AU"/>
              </w:rPr>
            </w:pPr>
            <w:r w:rsidRPr="004B6C01">
              <w:rPr>
                <w:i/>
                <w:lang w:val="en-AU"/>
              </w:rPr>
              <w:t>When interpreting results, a 95 per cent confidence interval of +/- 1.50 percentage points needs to be considered as the reported number is an estimate of the student ability for which there is associated measurement error, standard to any such assessment.</w:t>
            </w:r>
          </w:p>
          <w:p w14:paraId="39D0ACFA" w14:textId="77777777" w:rsidR="00A61FF5" w:rsidRPr="004B6C01" w:rsidRDefault="00A61FF5" w:rsidP="00D07480">
            <w:pPr>
              <w:pStyle w:val="ESTableBody"/>
              <w:rPr>
                <w:lang w:val="en-AU"/>
              </w:rPr>
            </w:pPr>
            <w:r w:rsidRPr="004B6C01">
              <w:rPr>
                <w:i/>
                <w:lang w:val="en-AU"/>
              </w:rPr>
              <w:t>The 2016–17 actual is lower than the 2016–17 target as NAPLAN results reflect student performance as assessed in May 2016, and student achievement during this reporting period therefore does not reflect the full impact of recent Education State initiatives.</w:t>
            </w:r>
          </w:p>
        </w:tc>
      </w:tr>
      <w:tr w:rsidR="00A61FF5" w:rsidRPr="00932A90" w14:paraId="54C19A34" w14:textId="77777777" w:rsidTr="00C86AF4">
        <w:trPr>
          <w:gridAfter w:val="1"/>
          <w:wAfter w:w="15" w:type="pct"/>
          <w:cantSplit/>
        </w:trPr>
        <w:tc>
          <w:tcPr>
            <w:tcW w:w="2424" w:type="pct"/>
            <w:gridSpan w:val="3"/>
            <w:shd w:val="clear" w:color="auto" w:fill="auto"/>
            <w:vAlign w:val="center"/>
          </w:tcPr>
          <w:p w14:paraId="3A8AF34D" w14:textId="77777777" w:rsidR="00A61FF5" w:rsidRPr="004B6C01" w:rsidRDefault="00A61FF5" w:rsidP="00D07480">
            <w:pPr>
              <w:pStyle w:val="ESTableBody"/>
              <w:rPr>
                <w:lang w:val="en-AU"/>
              </w:rPr>
            </w:pPr>
            <w:r w:rsidRPr="004B6C01">
              <w:rPr>
                <w:lang w:val="en-AU"/>
              </w:rPr>
              <w:t>Percentage of students who remain at school from Year 7 to Year 12</w:t>
            </w:r>
          </w:p>
        </w:tc>
        <w:tc>
          <w:tcPr>
            <w:tcW w:w="512" w:type="pct"/>
            <w:shd w:val="clear" w:color="auto" w:fill="auto"/>
            <w:vAlign w:val="center"/>
          </w:tcPr>
          <w:p w14:paraId="7FA4AFFA"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6C00164F" w14:textId="77777777" w:rsidR="00A61FF5" w:rsidRPr="004B6C01" w:rsidRDefault="00A61FF5" w:rsidP="00E139AD">
            <w:pPr>
              <w:pStyle w:val="ESTableBody"/>
              <w:jc w:val="right"/>
              <w:rPr>
                <w:lang w:val="en-AU"/>
              </w:rPr>
            </w:pPr>
            <w:r w:rsidRPr="004B6C01">
              <w:rPr>
                <w:lang w:val="en-AU"/>
              </w:rPr>
              <w:t>92.2</w:t>
            </w:r>
          </w:p>
        </w:tc>
        <w:tc>
          <w:tcPr>
            <w:tcW w:w="512" w:type="pct"/>
            <w:gridSpan w:val="2"/>
            <w:shd w:val="clear" w:color="auto" w:fill="auto"/>
            <w:vAlign w:val="center"/>
          </w:tcPr>
          <w:p w14:paraId="5A64C4B7" w14:textId="77777777" w:rsidR="00A61FF5" w:rsidRPr="004B6C01" w:rsidRDefault="00A61FF5" w:rsidP="00E139AD">
            <w:pPr>
              <w:pStyle w:val="ESTableBody"/>
              <w:jc w:val="right"/>
              <w:rPr>
                <w:lang w:val="en-AU"/>
              </w:rPr>
            </w:pPr>
            <w:r w:rsidRPr="004B6C01">
              <w:rPr>
                <w:lang w:val="en-AU"/>
              </w:rPr>
              <w:t>91.8</w:t>
            </w:r>
          </w:p>
        </w:tc>
        <w:tc>
          <w:tcPr>
            <w:tcW w:w="512" w:type="pct"/>
            <w:vAlign w:val="center"/>
          </w:tcPr>
          <w:p w14:paraId="66DB8F99" w14:textId="77777777" w:rsidR="00A61FF5" w:rsidRPr="004B6C01" w:rsidRDefault="00A61FF5" w:rsidP="00E139AD">
            <w:pPr>
              <w:pStyle w:val="ESTableBody"/>
              <w:jc w:val="right"/>
              <w:rPr>
                <w:lang w:val="en-AU"/>
              </w:rPr>
            </w:pPr>
            <w:r w:rsidRPr="004B6C01">
              <w:rPr>
                <w:lang w:val="en-AU"/>
              </w:rPr>
              <w:t>-0.4</w:t>
            </w:r>
          </w:p>
        </w:tc>
        <w:tc>
          <w:tcPr>
            <w:tcW w:w="514" w:type="pct"/>
            <w:vAlign w:val="center"/>
          </w:tcPr>
          <w:p w14:paraId="1020C8BC"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65691670"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2245A8CA" w14:textId="77777777" w:rsidR="00A61FF5" w:rsidRPr="004B6C01" w:rsidRDefault="00A61FF5" w:rsidP="00D07480">
            <w:pPr>
              <w:pStyle w:val="ESTableBody"/>
              <w:rPr>
                <w:i/>
                <w:lang w:val="en-AU"/>
              </w:rPr>
            </w:pPr>
            <w:r w:rsidRPr="004B6C01">
              <w:rPr>
                <w:i/>
                <w:lang w:val="en-AU"/>
              </w:rPr>
              <w:t xml:space="preserve">The 2016–17 actual is lower than the 2016–17 target as the apparent retention rate is influenced by a range of factors and is subject to cohort variation. </w:t>
            </w:r>
          </w:p>
        </w:tc>
      </w:tr>
      <w:tr w:rsidR="00A61FF5" w:rsidRPr="00932A90" w14:paraId="2E73AD4F" w14:textId="77777777" w:rsidTr="00C86AF4">
        <w:trPr>
          <w:gridAfter w:val="1"/>
          <w:wAfter w:w="15" w:type="pct"/>
          <w:cantSplit/>
        </w:trPr>
        <w:tc>
          <w:tcPr>
            <w:tcW w:w="2424" w:type="pct"/>
            <w:gridSpan w:val="3"/>
            <w:shd w:val="clear" w:color="auto" w:fill="auto"/>
            <w:vAlign w:val="center"/>
          </w:tcPr>
          <w:p w14:paraId="0B8EA45A" w14:textId="77777777" w:rsidR="00A61FF5" w:rsidRPr="004B6C01" w:rsidRDefault="00A61FF5" w:rsidP="00D07480">
            <w:pPr>
              <w:pStyle w:val="ESTableBody"/>
              <w:rPr>
                <w:lang w:val="en-AU"/>
              </w:rPr>
            </w:pPr>
            <w:r w:rsidRPr="004B6C01">
              <w:rPr>
                <w:lang w:val="en-AU"/>
              </w:rPr>
              <w:t>Percentage of VCAL certificates satisfactorily completed by school students</w:t>
            </w:r>
          </w:p>
        </w:tc>
        <w:tc>
          <w:tcPr>
            <w:tcW w:w="512" w:type="pct"/>
            <w:shd w:val="clear" w:color="auto" w:fill="auto"/>
            <w:vAlign w:val="center"/>
          </w:tcPr>
          <w:p w14:paraId="7A43C61E" w14:textId="77777777" w:rsidR="00A61FF5" w:rsidRPr="004B6C01" w:rsidRDefault="00A61FF5" w:rsidP="00D07480">
            <w:pPr>
              <w:pStyle w:val="ESTableBody"/>
              <w:rPr>
                <w:lang w:val="en-AU"/>
              </w:rPr>
            </w:pPr>
            <w:r w:rsidRPr="004B6C01">
              <w:rPr>
                <w:lang w:val="en-AU"/>
              </w:rPr>
              <w:t>per cent</w:t>
            </w:r>
          </w:p>
        </w:tc>
        <w:tc>
          <w:tcPr>
            <w:tcW w:w="512" w:type="pct"/>
            <w:shd w:val="clear" w:color="auto" w:fill="auto"/>
            <w:vAlign w:val="center"/>
          </w:tcPr>
          <w:p w14:paraId="15145A4C" w14:textId="77777777" w:rsidR="00A61FF5" w:rsidRPr="004B6C01" w:rsidRDefault="00A61FF5" w:rsidP="00E139AD">
            <w:pPr>
              <w:pStyle w:val="ESTableBody"/>
              <w:jc w:val="right"/>
              <w:rPr>
                <w:lang w:val="en-AU"/>
              </w:rPr>
            </w:pPr>
            <w:r w:rsidRPr="004B6C01">
              <w:rPr>
                <w:lang w:val="en-AU"/>
              </w:rPr>
              <w:t>76.0</w:t>
            </w:r>
          </w:p>
        </w:tc>
        <w:tc>
          <w:tcPr>
            <w:tcW w:w="512" w:type="pct"/>
            <w:gridSpan w:val="2"/>
            <w:shd w:val="clear" w:color="auto" w:fill="auto"/>
            <w:vAlign w:val="center"/>
          </w:tcPr>
          <w:p w14:paraId="48D8D094" w14:textId="77777777" w:rsidR="00A61FF5" w:rsidRPr="004B6C01" w:rsidRDefault="00A61FF5" w:rsidP="00E139AD">
            <w:pPr>
              <w:pStyle w:val="ESTableBody"/>
              <w:jc w:val="right"/>
              <w:rPr>
                <w:lang w:val="en-AU"/>
              </w:rPr>
            </w:pPr>
            <w:r w:rsidRPr="004B6C01">
              <w:rPr>
                <w:lang w:val="en-AU"/>
              </w:rPr>
              <w:t>76.9</w:t>
            </w:r>
          </w:p>
        </w:tc>
        <w:tc>
          <w:tcPr>
            <w:tcW w:w="512" w:type="pct"/>
            <w:vAlign w:val="center"/>
          </w:tcPr>
          <w:p w14:paraId="40C695BB" w14:textId="77777777" w:rsidR="00A61FF5" w:rsidRPr="004B6C01" w:rsidRDefault="00A61FF5" w:rsidP="00E139AD">
            <w:pPr>
              <w:pStyle w:val="ESTableBody"/>
              <w:jc w:val="right"/>
              <w:rPr>
                <w:lang w:val="en-AU"/>
              </w:rPr>
            </w:pPr>
            <w:r w:rsidRPr="004B6C01">
              <w:rPr>
                <w:lang w:val="en-AU"/>
              </w:rPr>
              <w:t>1.2</w:t>
            </w:r>
          </w:p>
        </w:tc>
        <w:tc>
          <w:tcPr>
            <w:tcW w:w="514" w:type="pct"/>
            <w:vAlign w:val="center"/>
          </w:tcPr>
          <w:p w14:paraId="1D6B0A37"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7545A795" w14:textId="77777777" w:rsidTr="00C86AF4">
        <w:trPr>
          <w:gridAfter w:val="1"/>
          <w:wAfter w:w="15" w:type="pct"/>
          <w:cantSplit/>
        </w:trPr>
        <w:tc>
          <w:tcPr>
            <w:tcW w:w="2424" w:type="pct"/>
            <w:gridSpan w:val="3"/>
            <w:shd w:val="clear" w:color="auto" w:fill="auto"/>
            <w:vAlign w:val="center"/>
          </w:tcPr>
          <w:p w14:paraId="26CC748F" w14:textId="77777777" w:rsidR="00A61FF5" w:rsidRPr="004B6C01" w:rsidRDefault="00A61FF5" w:rsidP="00D07480">
            <w:pPr>
              <w:pStyle w:val="ESTableBody"/>
              <w:rPr>
                <w:lang w:val="en-AU"/>
              </w:rPr>
            </w:pPr>
            <w:r w:rsidRPr="004B6C01">
              <w:rPr>
                <w:lang w:val="en-AU"/>
              </w:rPr>
              <w:t>Years 7–9 students' opinion of their connectedness with the school</w:t>
            </w:r>
          </w:p>
        </w:tc>
        <w:tc>
          <w:tcPr>
            <w:tcW w:w="512" w:type="pct"/>
            <w:shd w:val="clear" w:color="auto" w:fill="auto"/>
            <w:vAlign w:val="center"/>
          </w:tcPr>
          <w:p w14:paraId="0CA06905" w14:textId="77777777" w:rsidR="00A61FF5" w:rsidRPr="004B6C01" w:rsidRDefault="00A61FF5" w:rsidP="00D07480">
            <w:pPr>
              <w:pStyle w:val="ESTableBody"/>
              <w:rPr>
                <w:lang w:val="en-AU"/>
              </w:rPr>
            </w:pPr>
            <w:r w:rsidRPr="004B6C01">
              <w:rPr>
                <w:lang w:val="en-AU"/>
              </w:rPr>
              <w:t>5-point scale</w:t>
            </w:r>
          </w:p>
        </w:tc>
        <w:tc>
          <w:tcPr>
            <w:tcW w:w="512" w:type="pct"/>
            <w:shd w:val="clear" w:color="auto" w:fill="auto"/>
            <w:vAlign w:val="center"/>
          </w:tcPr>
          <w:p w14:paraId="00E99AD8" w14:textId="77777777" w:rsidR="00A61FF5" w:rsidRPr="004B6C01" w:rsidRDefault="00A61FF5" w:rsidP="00E139AD">
            <w:pPr>
              <w:pStyle w:val="ESTableBody"/>
              <w:jc w:val="right"/>
              <w:rPr>
                <w:lang w:val="en-AU"/>
              </w:rPr>
            </w:pPr>
            <w:r w:rsidRPr="004B6C01">
              <w:rPr>
                <w:lang w:val="en-AU"/>
              </w:rPr>
              <w:t>3.7</w:t>
            </w:r>
          </w:p>
        </w:tc>
        <w:tc>
          <w:tcPr>
            <w:tcW w:w="512" w:type="pct"/>
            <w:gridSpan w:val="2"/>
            <w:shd w:val="clear" w:color="auto" w:fill="auto"/>
            <w:vAlign w:val="center"/>
          </w:tcPr>
          <w:p w14:paraId="1CE60286" w14:textId="77777777" w:rsidR="00A61FF5" w:rsidRPr="004B6C01" w:rsidRDefault="00A61FF5" w:rsidP="00E139AD">
            <w:pPr>
              <w:pStyle w:val="ESTableBody"/>
              <w:jc w:val="right"/>
              <w:rPr>
                <w:lang w:val="en-AU"/>
              </w:rPr>
            </w:pPr>
            <w:r w:rsidRPr="004B6C01">
              <w:rPr>
                <w:lang w:val="en-AU"/>
              </w:rPr>
              <w:t>3.7</w:t>
            </w:r>
          </w:p>
        </w:tc>
        <w:tc>
          <w:tcPr>
            <w:tcW w:w="512" w:type="pct"/>
            <w:vAlign w:val="center"/>
          </w:tcPr>
          <w:p w14:paraId="3EFB8F0B" w14:textId="77777777" w:rsidR="00A61FF5" w:rsidRPr="004B6C01" w:rsidRDefault="00A61FF5" w:rsidP="00E139AD">
            <w:pPr>
              <w:pStyle w:val="ESTableBody"/>
              <w:jc w:val="right"/>
              <w:rPr>
                <w:lang w:val="en-AU"/>
              </w:rPr>
            </w:pPr>
            <w:r w:rsidRPr="004B6C01">
              <w:rPr>
                <w:lang w:val="en-AU"/>
              </w:rPr>
              <w:t>0.0</w:t>
            </w:r>
          </w:p>
        </w:tc>
        <w:tc>
          <w:tcPr>
            <w:tcW w:w="514" w:type="pct"/>
            <w:vAlign w:val="center"/>
          </w:tcPr>
          <w:p w14:paraId="53AB7F76"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4D373F13" w14:textId="77777777" w:rsidTr="000F3176">
        <w:tblPrEx>
          <w:tblBorders>
            <w:bottom w:val="single" w:sz="12" w:space="0" w:color="777777"/>
          </w:tblBorders>
        </w:tblPrEx>
        <w:trPr>
          <w:gridAfter w:val="1"/>
          <w:wAfter w:w="13" w:type="pct"/>
          <w:cantSplit/>
        </w:trPr>
        <w:tc>
          <w:tcPr>
            <w:tcW w:w="4985" w:type="pct"/>
            <w:gridSpan w:val="9"/>
            <w:tcBorders>
              <w:bottom w:val="single" w:sz="6" w:space="0" w:color="777777"/>
            </w:tcBorders>
            <w:shd w:val="clear" w:color="auto" w:fill="auto"/>
            <w:vAlign w:val="center"/>
          </w:tcPr>
          <w:p w14:paraId="0C3AF78B" w14:textId="77777777" w:rsidR="00A61FF5" w:rsidRPr="004B6C01" w:rsidRDefault="00A61FF5" w:rsidP="00D07480">
            <w:pPr>
              <w:pStyle w:val="ESTableBody"/>
              <w:rPr>
                <w:i/>
                <w:lang w:val="en-AU"/>
              </w:rPr>
            </w:pPr>
            <w:r w:rsidRPr="004B6C01">
              <w:rPr>
                <w:i/>
                <w:lang w:val="en-AU"/>
              </w:rPr>
              <w:t>This performance measure refers to government schools only. Data is drawn from the Attitudes to School Survey, where responses are provided on a scale of 1 to 5 and a higher score represents a higher level of connectedness (that is, students feel they belong and enjoy attending school).</w:t>
            </w:r>
          </w:p>
        </w:tc>
      </w:tr>
      <w:tr w:rsidR="00A61FF5" w:rsidRPr="00932A90" w14:paraId="31237511" w14:textId="77777777" w:rsidTr="000F3176">
        <w:tblPrEx>
          <w:tblBorders>
            <w:bottom w:val="single" w:sz="12" w:space="0" w:color="777777"/>
          </w:tblBorders>
        </w:tblPrEx>
        <w:trPr>
          <w:gridAfter w:val="1"/>
          <w:wAfter w:w="13" w:type="pct"/>
          <w:cantSplit/>
        </w:trPr>
        <w:tc>
          <w:tcPr>
            <w:tcW w:w="4985" w:type="pct"/>
            <w:gridSpan w:val="9"/>
            <w:tcBorders>
              <w:top w:val="single" w:sz="6" w:space="0" w:color="777777"/>
              <w:bottom w:val="nil"/>
            </w:tcBorders>
            <w:shd w:val="clear" w:color="auto" w:fill="auto"/>
            <w:vAlign w:val="center"/>
          </w:tcPr>
          <w:p w14:paraId="5B7BA2DA" w14:textId="77777777" w:rsidR="00A61FF5" w:rsidRPr="004B6C01" w:rsidRDefault="00A61FF5" w:rsidP="009A0BAD">
            <w:pPr>
              <w:pStyle w:val="ESTableheading"/>
              <w:rPr>
                <w:lang w:val="en-AU"/>
              </w:rPr>
            </w:pPr>
            <w:r w:rsidRPr="004B6C01">
              <w:rPr>
                <w:lang w:val="en-AU"/>
              </w:rPr>
              <w:t>Cost</w:t>
            </w:r>
          </w:p>
        </w:tc>
      </w:tr>
      <w:tr w:rsidR="00A61FF5" w:rsidRPr="00932A90" w14:paraId="63F1C16D" w14:textId="77777777" w:rsidTr="00C86AF4">
        <w:trPr>
          <w:gridAfter w:val="1"/>
          <w:wAfter w:w="15" w:type="pct"/>
          <w:cantSplit/>
        </w:trPr>
        <w:tc>
          <w:tcPr>
            <w:tcW w:w="2424" w:type="pct"/>
            <w:gridSpan w:val="3"/>
            <w:shd w:val="clear" w:color="auto" w:fill="auto"/>
            <w:vAlign w:val="center"/>
          </w:tcPr>
          <w:p w14:paraId="384EC7EC" w14:textId="77777777" w:rsidR="00A61FF5" w:rsidRPr="00C86AF4" w:rsidRDefault="00A61FF5" w:rsidP="00D07480">
            <w:pPr>
              <w:pStyle w:val="ESTableBody"/>
              <w:rPr>
                <w:lang w:val="en-AU"/>
              </w:rPr>
            </w:pPr>
            <w:r w:rsidRPr="00C86AF4">
              <w:rPr>
                <w:lang w:val="en-AU"/>
              </w:rPr>
              <w:t>Total output cost</w:t>
            </w:r>
          </w:p>
        </w:tc>
        <w:tc>
          <w:tcPr>
            <w:tcW w:w="512" w:type="pct"/>
            <w:shd w:val="clear" w:color="auto" w:fill="auto"/>
            <w:vAlign w:val="center"/>
          </w:tcPr>
          <w:p w14:paraId="41586BCC" w14:textId="77777777" w:rsidR="00A61FF5" w:rsidRPr="00C86AF4" w:rsidRDefault="00A61FF5" w:rsidP="00D07480">
            <w:pPr>
              <w:pStyle w:val="ESTableBody"/>
              <w:rPr>
                <w:lang w:val="en-AU"/>
              </w:rPr>
            </w:pPr>
            <w:r w:rsidRPr="00C86AF4">
              <w:rPr>
                <w:lang w:val="en-AU"/>
              </w:rPr>
              <w:t>$ million</w:t>
            </w:r>
          </w:p>
        </w:tc>
        <w:tc>
          <w:tcPr>
            <w:tcW w:w="512" w:type="pct"/>
            <w:shd w:val="clear" w:color="auto" w:fill="auto"/>
            <w:vAlign w:val="center"/>
          </w:tcPr>
          <w:p w14:paraId="782C3A63" w14:textId="5F60875D" w:rsidR="00A61FF5" w:rsidRPr="00C86AF4" w:rsidRDefault="00A61FF5" w:rsidP="00E139AD">
            <w:pPr>
              <w:pStyle w:val="ESTableBody"/>
              <w:jc w:val="right"/>
              <w:rPr>
                <w:lang w:val="en-AU"/>
              </w:rPr>
            </w:pPr>
            <w:r w:rsidRPr="00C86AF4">
              <w:rPr>
                <w:lang w:val="en-AU"/>
              </w:rPr>
              <w:t>4</w:t>
            </w:r>
            <w:r w:rsidR="00C86AF4" w:rsidRPr="00C86AF4">
              <w:rPr>
                <w:lang w:val="en-AU"/>
              </w:rPr>
              <w:t>,</w:t>
            </w:r>
            <w:r w:rsidRPr="00C86AF4">
              <w:rPr>
                <w:lang w:val="en-AU"/>
              </w:rPr>
              <w:t>156.8</w:t>
            </w:r>
          </w:p>
        </w:tc>
        <w:tc>
          <w:tcPr>
            <w:tcW w:w="512" w:type="pct"/>
            <w:gridSpan w:val="2"/>
            <w:shd w:val="clear" w:color="auto" w:fill="auto"/>
            <w:vAlign w:val="center"/>
          </w:tcPr>
          <w:p w14:paraId="53C8DA88" w14:textId="214B703A" w:rsidR="00A61FF5" w:rsidRPr="00C86AF4" w:rsidRDefault="00C86AF4" w:rsidP="00E139AD">
            <w:pPr>
              <w:pStyle w:val="ESTableBody"/>
              <w:jc w:val="right"/>
              <w:rPr>
                <w:lang w:val="en-AU"/>
              </w:rPr>
            </w:pPr>
            <w:r w:rsidRPr="00C86AF4">
              <w:rPr>
                <w:lang w:val="en-AU"/>
              </w:rPr>
              <w:t>4,016.9</w:t>
            </w:r>
          </w:p>
        </w:tc>
        <w:tc>
          <w:tcPr>
            <w:tcW w:w="512" w:type="pct"/>
            <w:vAlign w:val="center"/>
          </w:tcPr>
          <w:p w14:paraId="5B7462E7" w14:textId="5CE741CC" w:rsidR="00A61FF5" w:rsidRPr="00C86AF4" w:rsidRDefault="00A61FF5" w:rsidP="00E139AD">
            <w:pPr>
              <w:pStyle w:val="ESTableBody"/>
              <w:jc w:val="right"/>
              <w:rPr>
                <w:lang w:val="en-AU"/>
              </w:rPr>
            </w:pPr>
            <w:r w:rsidRPr="00C86AF4">
              <w:rPr>
                <w:lang w:val="en-AU"/>
              </w:rPr>
              <w:t>-</w:t>
            </w:r>
            <w:r w:rsidR="00C86AF4" w:rsidRPr="00C86AF4">
              <w:rPr>
                <w:lang w:val="en-AU"/>
              </w:rPr>
              <w:t>3.4</w:t>
            </w:r>
          </w:p>
        </w:tc>
        <w:tc>
          <w:tcPr>
            <w:tcW w:w="514" w:type="pct"/>
            <w:vAlign w:val="center"/>
          </w:tcPr>
          <w:p w14:paraId="1B032D68" w14:textId="77777777" w:rsidR="00A61FF5" w:rsidRPr="00C86AF4" w:rsidRDefault="00A61FF5" w:rsidP="00046452">
            <w:pPr>
              <w:pStyle w:val="ESTableBody"/>
              <w:jc w:val="center"/>
              <w:rPr>
                <w:lang w:val="en-AU"/>
              </w:rPr>
            </w:pPr>
            <w:r w:rsidRPr="00C86AF4">
              <w:rPr>
                <w:lang w:val="en-AU"/>
              </w:rPr>
              <w:sym w:font="Wingdings" w:char="F0FC"/>
            </w:r>
          </w:p>
        </w:tc>
      </w:tr>
      <w:tr w:rsidR="000F3176" w:rsidRPr="00932A90" w14:paraId="60B13BB6" w14:textId="77777777" w:rsidTr="00C86AF4">
        <w:tblPrEx>
          <w:tblBorders>
            <w:bottom w:val="single" w:sz="4" w:space="0" w:color="auto"/>
          </w:tblBorders>
        </w:tblPrEx>
        <w:trPr>
          <w:cantSplit/>
        </w:trPr>
        <w:tc>
          <w:tcPr>
            <w:tcW w:w="386" w:type="pct"/>
            <w:tcBorders>
              <w:top w:val="single" w:sz="4" w:space="0" w:color="auto"/>
              <w:bottom w:val="single" w:sz="4" w:space="0" w:color="auto"/>
            </w:tcBorders>
            <w:shd w:val="clear" w:color="auto" w:fill="auto"/>
          </w:tcPr>
          <w:p w14:paraId="2BE46E28" w14:textId="77777777" w:rsidR="000F3176" w:rsidRPr="004B6C01" w:rsidRDefault="000F3176" w:rsidP="007B17A1">
            <w:pPr>
              <w:pStyle w:val="ESTableBody"/>
              <w:rPr>
                <w:lang w:val="en-AU"/>
              </w:rPr>
            </w:pPr>
            <w:r w:rsidRPr="004B6C01">
              <w:rPr>
                <w:lang w:val="en-AU"/>
              </w:rPr>
              <w:t>Key:</w:t>
            </w:r>
          </w:p>
        </w:tc>
        <w:tc>
          <w:tcPr>
            <w:tcW w:w="1820" w:type="pct"/>
            <w:tcBorders>
              <w:top w:val="single" w:sz="4" w:space="0" w:color="auto"/>
              <w:bottom w:val="single" w:sz="4" w:space="0" w:color="auto"/>
            </w:tcBorders>
            <w:shd w:val="clear" w:color="auto" w:fill="auto"/>
          </w:tcPr>
          <w:p w14:paraId="7562C899" w14:textId="77777777" w:rsidR="000F3176" w:rsidRPr="004B6C01" w:rsidRDefault="000F3176" w:rsidP="007B17A1">
            <w:pPr>
              <w:pStyle w:val="ESTableBody"/>
              <w:rPr>
                <w:lang w:val="en-AU"/>
              </w:rPr>
            </w:pPr>
            <w:r w:rsidRPr="004B6C01">
              <w:rPr>
                <w:lang w:val="en-AU"/>
              </w:rPr>
              <w:sym w:font="Wingdings" w:char="F0FC"/>
            </w:r>
            <w:r w:rsidRPr="004B6C01">
              <w:rPr>
                <w:lang w:val="en-AU"/>
              </w:rPr>
              <w:t xml:space="preserve"> Target achieved or exceeded</w:t>
            </w:r>
          </w:p>
        </w:tc>
        <w:tc>
          <w:tcPr>
            <w:tcW w:w="1342" w:type="pct"/>
            <w:gridSpan w:val="4"/>
            <w:tcBorders>
              <w:top w:val="single" w:sz="4" w:space="0" w:color="auto"/>
              <w:bottom w:val="single" w:sz="4" w:space="0" w:color="auto"/>
            </w:tcBorders>
            <w:shd w:val="clear" w:color="auto" w:fill="auto"/>
          </w:tcPr>
          <w:p w14:paraId="69B68E24" w14:textId="77777777" w:rsidR="000F3176" w:rsidRPr="004B6C01" w:rsidRDefault="000F3176" w:rsidP="007B17A1">
            <w:pPr>
              <w:pStyle w:val="ESTableBody"/>
              <w:rPr>
                <w:lang w:val="en-AU"/>
              </w:rPr>
            </w:pPr>
            <w:r w:rsidRPr="004B6C01">
              <w:rPr>
                <w:lang w:val="en-AU"/>
              </w:rPr>
              <w:sym w:font="Wingdings" w:char="F06E"/>
            </w:r>
            <w:r w:rsidRPr="004B6C01">
              <w:rPr>
                <w:lang w:val="en-AU"/>
              </w:rPr>
              <w:t xml:space="preserve"> Target not achieved—less than 5% variance</w:t>
            </w:r>
          </w:p>
        </w:tc>
        <w:tc>
          <w:tcPr>
            <w:tcW w:w="1451" w:type="pct"/>
            <w:gridSpan w:val="4"/>
            <w:tcBorders>
              <w:top w:val="single" w:sz="4" w:space="0" w:color="auto"/>
              <w:bottom w:val="single" w:sz="4" w:space="0" w:color="auto"/>
            </w:tcBorders>
            <w:shd w:val="clear" w:color="auto" w:fill="auto"/>
          </w:tcPr>
          <w:p w14:paraId="1B77DEF6" w14:textId="77777777" w:rsidR="000F3176" w:rsidRPr="004B6C01" w:rsidRDefault="000F3176" w:rsidP="007B17A1">
            <w:pPr>
              <w:pStyle w:val="ESTableBody"/>
              <w:rPr>
                <w:lang w:val="en-AU"/>
              </w:rPr>
            </w:pPr>
            <w:r w:rsidRPr="004B6C01">
              <w:rPr>
                <w:lang w:val="en-AU"/>
              </w:rPr>
              <w:sym w:font="Wingdings" w:char="F0FB"/>
            </w:r>
            <w:r w:rsidRPr="004B6C01">
              <w:rPr>
                <w:lang w:val="en-AU"/>
              </w:rPr>
              <w:t xml:space="preserve"> Target not achieved—more than 5% variance</w:t>
            </w:r>
          </w:p>
        </w:tc>
      </w:tr>
    </w:tbl>
    <w:p w14:paraId="14F404AD" w14:textId="77777777" w:rsidR="00A61FF5" w:rsidRPr="004B6C01" w:rsidRDefault="00A61FF5" w:rsidP="00A61FF5">
      <w:pPr>
        <w:pStyle w:val="ESHeading3"/>
        <w:rPr>
          <w:lang w:val="en-AU"/>
        </w:rPr>
      </w:pPr>
      <w:r w:rsidRPr="004B6C01">
        <w:rPr>
          <w:lang w:val="en-AU"/>
        </w:rPr>
        <w:t>Training, higher education, workforce development and skills</w:t>
      </w:r>
    </w:p>
    <w:p w14:paraId="70642076" w14:textId="77777777" w:rsidR="00A61FF5" w:rsidRPr="004B6C01" w:rsidRDefault="00A61FF5" w:rsidP="00A61FF5">
      <w:pPr>
        <w:pStyle w:val="ESBodyText"/>
        <w:rPr>
          <w:lang w:val="en-AU"/>
        </w:rPr>
      </w:pPr>
      <w:r w:rsidRPr="004B6C01">
        <w:rPr>
          <w:lang w:val="en-AU"/>
        </w:rPr>
        <w:t>This output promotes training quality. It supports Victorians to acquire knowledge and skills, and supports Victorian industries and businesses growing or adjusting through access to skilled workers. It achieved its measures by:</w:t>
      </w:r>
    </w:p>
    <w:p w14:paraId="4C3E30DF" w14:textId="77777777" w:rsidR="00A61FF5" w:rsidRPr="004B6C01" w:rsidRDefault="00A61FF5" w:rsidP="00A61FF5">
      <w:pPr>
        <w:pStyle w:val="ESBullet1indent"/>
        <w:rPr>
          <w:lang w:val="en-AU"/>
        </w:rPr>
      </w:pPr>
      <w:r w:rsidRPr="004B6C01">
        <w:rPr>
          <w:lang w:val="en-AU"/>
        </w:rPr>
        <w:t>developing strategic advice on Victoria’s skill requirements</w:t>
      </w:r>
    </w:p>
    <w:p w14:paraId="08E5CB55" w14:textId="77777777" w:rsidR="00A61FF5" w:rsidRPr="004B6C01" w:rsidRDefault="00A61FF5" w:rsidP="00A61FF5">
      <w:pPr>
        <w:pStyle w:val="ESBullet1indent"/>
        <w:rPr>
          <w:lang w:val="en-AU"/>
        </w:rPr>
      </w:pPr>
      <w:r w:rsidRPr="004B6C01">
        <w:rPr>
          <w:lang w:val="en-AU"/>
        </w:rPr>
        <w:t>supporting better training choices by individuals and employers through improved access to information and advice</w:t>
      </w:r>
    </w:p>
    <w:p w14:paraId="72B63A11" w14:textId="77777777" w:rsidR="00A61FF5" w:rsidRPr="004B6C01" w:rsidRDefault="00A61FF5" w:rsidP="00A61FF5">
      <w:pPr>
        <w:pStyle w:val="ESBullet1indent"/>
        <w:rPr>
          <w:lang w:val="en-AU"/>
        </w:rPr>
      </w:pPr>
      <w:r w:rsidRPr="004B6C01">
        <w:rPr>
          <w:lang w:val="en-AU"/>
        </w:rPr>
        <w:t>contracting training delivery by TAFE institutes, relevant universities, not-for-profit community providers and private registered training organisations</w:t>
      </w:r>
    </w:p>
    <w:p w14:paraId="53DE953C" w14:textId="77777777" w:rsidR="00A61FF5" w:rsidRPr="004B6C01" w:rsidRDefault="00A61FF5" w:rsidP="00A61FF5">
      <w:pPr>
        <w:pStyle w:val="ESBullet1indent"/>
        <w:rPr>
          <w:lang w:val="en-AU"/>
        </w:rPr>
      </w:pPr>
      <w:r w:rsidRPr="004B6C01">
        <w:rPr>
          <w:lang w:val="en-AU"/>
        </w:rPr>
        <w:t>ensuring there is a highly capable and diverse, internationally</w:t>
      </w:r>
      <w:r w:rsidRPr="004B6C01">
        <w:rPr>
          <w:lang w:val="en-AU"/>
        </w:rPr>
        <w:noBreakHyphen/>
        <w:t>focused VET system in Victoria to support high</w:t>
      </w:r>
      <w:r w:rsidRPr="004B6C01">
        <w:rPr>
          <w:lang w:val="en-AU"/>
        </w:rPr>
        <w:noBreakHyphen/>
        <w:t>quality training outcomes, workforce development and job creation</w:t>
      </w:r>
    </w:p>
    <w:p w14:paraId="1D1010C4" w14:textId="77777777" w:rsidR="00A61FF5" w:rsidRPr="004B6C01" w:rsidRDefault="00A61FF5" w:rsidP="00A61FF5">
      <w:pPr>
        <w:pStyle w:val="ESBullet1indent"/>
        <w:rPr>
          <w:lang w:val="en-AU"/>
        </w:rPr>
      </w:pPr>
      <w:r w:rsidRPr="004B6C01">
        <w:rPr>
          <w:lang w:val="en-AU"/>
        </w:rPr>
        <w:t>supporting growth industries (or those in adjustment), job creation and workforce development</w:t>
      </w:r>
    </w:p>
    <w:p w14:paraId="0C5FED3F" w14:textId="77777777" w:rsidR="00A61FF5" w:rsidRPr="004B6C01" w:rsidRDefault="00A61FF5" w:rsidP="00A61FF5">
      <w:pPr>
        <w:pStyle w:val="ESBullet1indent"/>
        <w:rPr>
          <w:lang w:val="en-AU"/>
        </w:rPr>
      </w:pPr>
      <w:r w:rsidRPr="004B6C01">
        <w:rPr>
          <w:lang w:val="en-AU"/>
        </w:rPr>
        <w:t xml:space="preserve">developing and implementing effective strategies for accredited and </w:t>
      </w:r>
      <w:r w:rsidRPr="004B6C01">
        <w:rPr>
          <w:lang w:val="en-AU"/>
        </w:rPr>
        <w:br/>
        <w:t>pre- accredited vocational education and training through adult community education and youth transition pathways to ensure access to and increased participation in life long skills development</w:t>
      </w:r>
    </w:p>
    <w:p w14:paraId="571D4CA6" w14:textId="77777777" w:rsidR="00A61FF5" w:rsidRPr="004B6C01" w:rsidRDefault="00A61FF5" w:rsidP="00A61FF5">
      <w:pPr>
        <w:pStyle w:val="ESBullet1indent"/>
        <w:rPr>
          <w:lang w:val="en-AU"/>
        </w:rPr>
      </w:pPr>
      <w:r w:rsidRPr="004B6C01">
        <w:rPr>
          <w:lang w:val="en-AU"/>
        </w:rPr>
        <w:t>growing TAFE institutes as public institutions that play a key role in helping the state to meet its economic and employment needs, as well as a unique community role promoting equity and addressing disadvantage.</w:t>
      </w:r>
    </w:p>
    <w:p w14:paraId="1A125014" w14:textId="77777777" w:rsidR="00A61FF5" w:rsidRPr="004B6C01" w:rsidRDefault="00A61FF5" w:rsidP="00A61FF5">
      <w:pPr>
        <w:pStyle w:val="ESBodyText"/>
        <w:rPr>
          <w:highlight w:val="yellow"/>
          <w:lang w:val="en-AU"/>
        </w:rPr>
      </w:pPr>
      <w:r w:rsidRPr="004B6C01">
        <w:rPr>
          <w:lang w:val="en-AU"/>
        </w:rPr>
        <w:t>Except where indicated, these performance measures relate to the 2016 calendar year rather than the 2016–17 financial year.</w:t>
      </w:r>
    </w:p>
    <w:p w14:paraId="4B96C597" w14:textId="447B13FA" w:rsidR="00A61FF5" w:rsidRPr="004B6C01" w:rsidRDefault="00A61FF5"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10</w:t>
      </w:r>
      <w:r w:rsidR="00D93BA2" w:rsidRPr="004B6C01">
        <w:rPr>
          <w:noProof/>
          <w:lang w:val="en-AU"/>
        </w:rPr>
        <w:fldChar w:fldCharType="end"/>
      </w:r>
      <w:r w:rsidRPr="004B6C01">
        <w:rPr>
          <w:lang w:val="en-AU"/>
        </w:rPr>
        <w:t xml:space="preserve"> – Training, higher education, workforce development and skills performance measures</w:t>
      </w:r>
    </w:p>
    <w:tbl>
      <w:tblPr>
        <w:tblW w:w="5015" w:type="pct"/>
        <w:tblInd w:w="-3" w:type="dxa"/>
        <w:tblLayout w:type="fixed"/>
        <w:tblCellMar>
          <w:left w:w="45" w:type="dxa"/>
          <w:right w:w="45" w:type="dxa"/>
        </w:tblCellMar>
        <w:tblLook w:val="0000" w:firstRow="0" w:lastRow="0" w:firstColumn="0" w:lastColumn="0" w:noHBand="0" w:noVBand="0"/>
      </w:tblPr>
      <w:tblGrid>
        <w:gridCol w:w="569"/>
        <w:gridCol w:w="2689"/>
        <w:gridCol w:w="425"/>
        <w:gridCol w:w="839"/>
        <w:gridCol w:w="700"/>
        <w:gridCol w:w="19"/>
        <w:gridCol w:w="681"/>
        <w:gridCol w:w="838"/>
        <w:gridCol w:w="604"/>
        <w:gridCol w:w="22"/>
      </w:tblGrid>
      <w:tr w:rsidR="00A61FF5" w:rsidRPr="00932A90" w14:paraId="0D82B422" w14:textId="77777777" w:rsidTr="000F3176">
        <w:trPr>
          <w:gridAfter w:val="1"/>
          <w:wAfter w:w="13" w:type="pct"/>
          <w:cantSplit/>
          <w:tblHeader/>
        </w:trPr>
        <w:tc>
          <w:tcPr>
            <w:tcW w:w="2493" w:type="pct"/>
            <w:gridSpan w:val="3"/>
            <w:shd w:val="clear" w:color="auto" w:fill="7F7F7F" w:themeFill="text1" w:themeFillTint="80"/>
          </w:tcPr>
          <w:p w14:paraId="7226FFC7" w14:textId="77777777" w:rsidR="00A61FF5" w:rsidRPr="004B6C01" w:rsidRDefault="00A61FF5" w:rsidP="00D07480">
            <w:pPr>
              <w:pStyle w:val="ESTableheadingwhite75"/>
              <w:rPr>
                <w:lang w:val="en-AU"/>
              </w:rPr>
            </w:pPr>
            <w:r w:rsidRPr="004B6C01">
              <w:rPr>
                <w:lang w:val="en-AU"/>
              </w:rPr>
              <w:t>Performance measures</w:t>
            </w:r>
          </w:p>
        </w:tc>
        <w:tc>
          <w:tcPr>
            <w:tcW w:w="568" w:type="pct"/>
            <w:shd w:val="clear" w:color="auto" w:fill="7F7F7F" w:themeFill="text1" w:themeFillTint="80"/>
          </w:tcPr>
          <w:p w14:paraId="5D2F71E6" w14:textId="77777777" w:rsidR="00A61FF5" w:rsidRPr="004B6C01" w:rsidRDefault="00A61FF5" w:rsidP="00D07480">
            <w:pPr>
              <w:pStyle w:val="ESTableheadingwhite75"/>
              <w:rPr>
                <w:lang w:val="en-AU"/>
              </w:rPr>
            </w:pPr>
            <w:r w:rsidRPr="004B6C01">
              <w:rPr>
                <w:lang w:val="en-AU"/>
              </w:rPr>
              <w:t>Unit of measure</w:t>
            </w:r>
          </w:p>
        </w:tc>
        <w:tc>
          <w:tcPr>
            <w:tcW w:w="474" w:type="pct"/>
            <w:shd w:val="clear" w:color="auto" w:fill="7F7F7F" w:themeFill="text1" w:themeFillTint="80"/>
          </w:tcPr>
          <w:p w14:paraId="00316118" w14:textId="77777777" w:rsidR="00A61FF5" w:rsidRPr="004B6C01" w:rsidRDefault="00A61FF5" w:rsidP="00D07480">
            <w:pPr>
              <w:pStyle w:val="ESTableheadingwhite75"/>
              <w:rPr>
                <w:lang w:val="en-AU"/>
              </w:rPr>
            </w:pPr>
            <w:r w:rsidRPr="004B6C01">
              <w:rPr>
                <w:lang w:val="en-AU"/>
              </w:rPr>
              <w:t>2016–17 Target</w:t>
            </w:r>
          </w:p>
        </w:tc>
        <w:tc>
          <w:tcPr>
            <w:tcW w:w="474" w:type="pct"/>
            <w:gridSpan w:val="2"/>
            <w:shd w:val="clear" w:color="auto" w:fill="7F7F7F" w:themeFill="text1" w:themeFillTint="80"/>
          </w:tcPr>
          <w:p w14:paraId="016695B6" w14:textId="77777777" w:rsidR="00A61FF5" w:rsidRPr="004B6C01" w:rsidRDefault="00A61FF5" w:rsidP="00D07480">
            <w:pPr>
              <w:pStyle w:val="ESTableheadingwhite75"/>
              <w:rPr>
                <w:lang w:val="en-AU"/>
              </w:rPr>
            </w:pPr>
            <w:r w:rsidRPr="004B6C01">
              <w:rPr>
                <w:lang w:val="en-AU"/>
              </w:rPr>
              <w:t>2016–17 Actual</w:t>
            </w:r>
          </w:p>
        </w:tc>
        <w:tc>
          <w:tcPr>
            <w:tcW w:w="567" w:type="pct"/>
            <w:shd w:val="clear" w:color="auto" w:fill="7F7F7F" w:themeFill="text1" w:themeFillTint="80"/>
          </w:tcPr>
          <w:p w14:paraId="578A1F3D" w14:textId="2833AF97" w:rsidR="00A61FF5" w:rsidRPr="004B6C01" w:rsidRDefault="00660627" w:rsidP="00D07480">
            <w:pPr>
              <w:pStyle w:val="ESTableheadingwhite75"/>
              <w:rPr>
                <w:lang w:val="en-AU"/>
              </w:rPr>
            </w:pPr>
            <w:r w:rsidRPr="004B6C01">
              <w:rPr>
                <w:lang w:val="en-AU"/>
              </w:rPr>
              <w:t xml:space="preserve">Per cent </w:t>
            </w:r>
            <w:r w:rsidR="00A61FF5" w:rsidRPr="004B6C01">
              <w:rPr>
                <w:lang w:val="en-AU"/>
              </w:rPr>
              <w:t>variation</w:t>
            </w:r>
          </w:p>
        </w:tc>
        <w:tc>
          <w:tcPr>
            <w:tcW w:w="409" w:type="pct"/>
            <w:shd w:val="clear" w:color="auto" w:fill="7F7F7F" w:themeFill="text1" w:themeFillTint="80"/>
          </w:tcPr>
          <w:p w14:paraId="68DD513E" w14:textId="77777777" w:rsidR="00A61FF5" w:rsidRPr="004B6C01" w:rsidRDefault="00A61FF5" w:rsidP="00D07480">
            <w:pPr>
              <w:pStyle w:val="ESTableheadingwhite75"/>
              <w:rPr>
                <w:lang w:val="en-AU"/>
              </w:rPr>
            </w:pPr>
            <w:r w:rsidRPr="004B6C01">
              <w:rPr>
                <w:lang w:val="en-AU"/>
              </w:rPr>
              <w:t>Result</w:t>
            </w:r>
          </w:p>
        </w:tc>
      </w:tr>
      <w:tr w:rsidR="00A61FF5" w:rsidRPr="00932A90" w14:paraId="7BAD4528"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6A453273" w14:textId="77777777" w:rsidR="00A61FF5" w:rsidRPr="004B6C01" w:rsidRDefault="00A61FF5" w:rsidP="009A0BAD">
            <w:pPr>
              <w:pStyle w:val="ESTableheading"/>
              <w:rPr>
                <w:lang w:val="en-AU"/>
              </w:rPr>
            </w:pPr>
            <w:r w:rsidRPr="004B6C01">
              <w:rPr>
                <w:lang w:val="en-AU"/>
              </w:rPr>
              <w:t>Quantity</w:t>
            </w:r>
          </w:p>
        </w:tc>
      </w:tr>
      <w:tr w:rsidR="00A61FF5" w:rsidRPr="00932A90" w14:paraId="455023AD" w14:textId="77777777" w:rsidTr="000F3176">
        <w:trPr>
          <w:gridAfter w:val="1"/>
          <w:wAfter w:w="13" w:type="pct"/>
          <w:cantSplit/>
        </w:trPr>
        <w:tc>
          <w:tcPr>
            <w:tcW w:w="2493" w:type="pct"/>
            <w:gridSpan w:val="3"/>
            <w:shd w:val="clear" w:color="auto" w:fill="auto"/>
            <w:vAlign w:val="center"/>
          </w:tcPr>
          <w:p w14:paraId="41431880" w14:textId="77777777" w:rsidR="00A61FF5" w:rsidRPr="004B6C01" w:rsidRDefault="00A61FF5" w:rsidP="00D07480">
            <w:pPr>
              <w:pStyle w:val="ESTableBody"/>
              <w:rPr>
                <w:lang w:val="en-AU"/>
              </w:rPr>
            </w:pPr>
            <w:r w:rsidRPr="004B6C01">
              <w:rPr>
                <w:lang w:val="en-AU"/>
              </w:rPr>
              <w:t>Annual government-subsidised module enrolments</w:t>
            </w:r>
          </w:p>
        </w:tc>
        <w:tc>
          <w:tcPr>
            <w:tcW w:w="568" w:type="pct"/>
            <w:shd w:val="clear" w:color="auto" w:fill="auto"/>
          </w:tcPr>
          <w:p w14:paraId="460FC1D6" w14:textId="77777777" w:rsidR="00A61FF5" w:rsidRPr="004B6C01" w:rsidRDefault="00A61FF5" w:rsidP="00D07480">
            <w:pPr>
              <w:pStyle w:val="ESTableBody"/>
              <w:rPr>
                <w:lang w:val="en-AU"/>
              </w:rPr>
            </w:pPr>
            <w:r w:rsidRPr="004B6C01">
              <w:rPr>
                <w:lang w:val="en-AU"/>
              </w:rPr>
              <w:t xml:space="preserve">number (million) </w:t>
            </w:r>
          </w:p>
        </w:tc>
        <w:tc>
          <w:tcPr>
            <w:tcW w:w="474" w:type="pct"/>
            <w:shd w:val="clear" w:color="auto" w:fill="auto"/>
          </w:tcPr>
          <w:p w14:paraId="658C18B0" w14:textId="77777777" w:rsidR="00A61FF5" w:rsidRPr="004B6C01" w:rsidRDefault="00A61FF5" w:rsidP="00E139AD">
            <w:pPr>
              <w:pStyle w:val="ESTableBody"/>
              <w:jc w:val="right"/>
              <w:rPr>
                <w:lang w:val="en-AU"/>
              </w:rPr>
            </w:pPr>
            <w:r w:rsidRPr="004B6C01">
              <w:rPr>
                <w:lang w:val="en-AU"/>
              </w:rPr>
              <w:t>4.5</w:t>
            </w:r>
          </w:p>
        </w:tc>
        <w:tc>
          <w:tcPr>
            <w:tcW w:w="474" w:type="pct"/>
            <w:gridSpan w:val="2"/>
            <w:shd w:val="clear" w:color="auto" w:fill="auto"/>
          </w:tcPr>
          <w:p w14:paraId="4A9C11FF" w14:textId="77777777" w:rsidR="00A61FF5" w:rsidRPr="004B6C01" w:rsidRDefault="00A61FF5" w:rsidP="00E139AD">
            <w:pPr>
              <w:pStyle w:val="ESTableBody"/>
              <w:jc w:val="right"/>
              <w:rPr>
                <w:lang w:val="en-AU"/>
              </w:rPr>
            </w:pPr>
            <w:r w:rsidRPr="004B6C01">
              <w:rPr>
                <w:lang w:val="en-AU"/>
              </w:rPr>
              <w:t>3.5</w:t>
            </w:r>
          </w:p>
        </w:tc>
        <w:tc>
          <w:tcPr>
            <w:tcW w:w="567" w:type="pct"/>
          </w:tcPr>
          <w:p w14:paraId="606B395A" w14:textId="77777777" w:rsidR="00A61FF5" w:rsidRPr="004B6C01" w:rsidRDefault="00A61FF5" w:rsidP="00E139AD">
            <w:pPr>
              <w:pStyle w:val="ESTableBody"/>
              <w:jc w:val="right"/>
              <w:rPr>
                <w:lang w:val="en-AU"/>
              </w:rPr>
            </w:pPr>
            <w:r w:rsidRPr="004B6C01">
              <w:rPr>
                <w:lang w:val="en-AU"/>
              </w:rPr>
              <w:t>-22.2</w:t>
            </w:r>
          </w:p>
        </w:tc>
        <w:tc>
          <w:tcPr>
            <w:tcW w:w="409" w:type="pct"/>
          </w:tcPr>
          <w:p w14:paraId="0C842A1C"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6D4F5001"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2E7583D5" w14:textId="77777777" w:rsidR="00A61FF5" w:rsidRPr="004B6C01" w:rsidRDefault="00A61FF5" w:rsidP="00D07480">
            <w:pPr>
              <w:pStyle w:val="ESTableBody"/>
              <w:rPr>
                <w:i/>
                <w:lang w:val="en-AU"/>
              </w:rPr>
            </w:pPr>
            <w:r w:rsidRPr="004B6C01">
              <w:rPr>
                <w:i/>
                <w:lang w:val="en-AU"/>
              </w:rPr>
              <w:t>The 2016–17 actual is lower than the 2016–17 target due to past policy changes such as tightened eligibility to subsidised training and foundation courses, and reduced subsidies. Enrolment numbers have also been impacted by the shift of students to VET FEE-HELP, and fewer enrolments in sub-standard training as part of the government’s implementation of the Review of Quality Assurance.</w:t>
            </w:r>
          </w:p>
        </w:tc>
      </w:tr>
      <w:tr w:rsidR="00A61FF5" w:rsidRPr="00932A90" w14:paraId="68A39B0F" w14:textId="77777777" w:rsidTr="000F3176">
        <w:trPr>
          <w:gridAfter w:val="1"/>
          <w:wAfter w:w="13" w:type="pct"/>
          <w:cantSplit/>
        </w:trPr>
        <w:tc>
          <w:tcPr>
            <w:tcW w:w="2493" w:type="pct"/>
            <w:gridSpan w:val="3"/>
            <w:shd w:val="clear" w:color="auto" w:fill="auto"/>
            <w:vAlign w:val="center"/>
          </w:tcPr>
          <w:p w14:paraId="16BD1719" w14:textId="77777777" w:rsidR="00A61FF5" w:rsidRPr="004B6C01" w:rsidRDefault="00A61FF5" w:rsidP="00D07480">
            <w:pPr>
              <w:pStyle w:val="ESTableBody"/>
              <w:rPr>
                <w:lang w:val="en-AU"/>
              </w:rPr>
            </w:pPr>
            <w:r w:rsidRPr="004B6C01">
              <w:rPr>
                <w:lang w:val="en-AU"/>
              </w:rPr>
              <w:t>Government-subsidised student contact hours of training and further education provided</w:t>
            </w:r>
          </w:p>
        </w:tc>
        <w:tc>
          <w:tcPr>
            <w:tcW w:w="568" w:type="pct"/>
            <w:shd w:val="clear" w:color="auto" w:fill="auto"/>
          </w:tcPr>
          <w:p w14:paraId="6F2BE0BD" w14:textId="77777777" w:rsidR="00A61FF5" w:rsidRPr="004B6C01" w:rsidRDefault="00A61FF5" w:rsidP="00D07480">
            <w:pPr>
              <w:pStyle w:val="ESTableBody"/>
              <w:rPr>
                <w:lang w:val="en-AU"/>
              </w:rPr>
            </w:pPr>
            <w:r w:rsidRPr="004B6C01">
              <w:rPr>
                <w:lang w:val="en-AU"/>
              </w:rPr>
              <w:t>number (million)</w:t>
            </w:r>
          </w:p>
        </w:tc>
        <w:tc>
          <w:tcPr>
            <w:tcW w:w="474" w:type="pct"/>
            <w:shd w:val="clear" w:color="auto" w:fill="auto"/>
          </w:tcPr>
          <w:p w14:paraId="01599785" w14:textId="77777777" w:rsidR="00A61FF5" w:rsidRPr="004B6C01" w:rsidRDefault="00A61FF5" w:rsidP="00E139AD">
            <w:pPr>
              <w:pStyle w:val="ESTableBody"/>
              <w:jc w:val="right"/>
              <w:rPr>
                <w:lang w:val="en-AU"/>
              </w:rPr>
            </w:pPr>
            <w:r w:rsidRPr="004B6C01">
              <w:rPr>
                <w:lang w:val="en-AU"/>
              </w:rPr>
              <w:t>154</w:t>
            </w:r>
          </w:p>
        </w:tc>
        <w:tc>
          <w:tcPr>
            <w:tcW w:w="474" w:type="pct"/>
            <w:gridSpan w:val="2"/>
            <w:shd w:val="clear" w:color="auto" w:fill="auto"/>
          </w:tcPr>
          <w:p w14:paraId="6516694F" w14:textId="77777777" w:rsidR="00A61FF5" w:rsidRPr="004B6C01" w:rsidRDefault="00A61FF5" w:rsidP="00E139AD">
            <w:pPr>
              <w:pStyle w:val="ESTableBody"/>
              <w:jc w:val="right"/>
              <w:rPr>
                <w:lang w:val="en-AU"/>
              </w:rPr>
            </w:pPr>
            <w:r w:rsidRPr="004B6C01">
              <w:rPr>
                <w:lang w:val="en-AU"/>
              </w:rPr>
              <w:t>125</w:t>
            </w:r>
          </w:p>
        </w:tc>
        <w:tc>
          <w:tcPr>
            <w:tcW w:w="567" w:type="pct"/>
          </w:tcPr>
          <w:p w14:paraId="27D2EB0C" w14:textId="77777777" w:rsidR="00A61FF5" w:rsidRPr="004B6C01" w:rsidRDefault="00A61FF5" w:rsidP="00E139AD">
            <w:pPr>
              <w:pStyle w:val="ESTableBody"/>
              <w:jc w:val="right"/>
              <w:rPr>
                <w:lang w:val="en-AU"/>
              </w:rPr>
            </w:pPr>
            <w:r w:rsidRPr="004B6C01">
              <w:rPr>
                <w:lang w:val="en-AU"/>
              </w:rPr>
              <w:t>-18.8</w:t>
            </w:r>
          </w:p>
        </w:tc>
        <w:tc>
          <w:tcPr>
            <w:tcW w:w="409" w:type="pct"/>
          </w:tcPr>
          <w:p w14:paraId="618FE727"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448C8C49"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67806AC2" w14:textId="77777777" w:rsidR="00A61FF5" w:rsidRPr="004B6C01" w:rsidRDefault="00A61FF5" w:rsidP="00D07480">
            <w:pPr>
              <w:pStyle w:val="ESTableBody"/>
              <w:rPr>
                <w:i/>
                <w:lang w:val="en-AU"/>
              </w:rPr>
            </w:pPr>
            <w:r w:rsidRPr="004B6C01">
              <w:rPr>
                <w:i/>
                <w:lang w:val="en-AU"/>
              </w:rPr>
              <w:t>The 2016–17 actual is lower than the 2016–17 target due to past policy changes such as tightened eligibility to subsidised training and foundation courses, and reduced subsidies. Enrolment numbers have also been impacted by the shift of students to VET FEE-HELP, and fewer enrolments in sub-standard training as part of the government’s implementation of the Review of Quality Assurance.</w:t>
            </w:r>
          </w:p>
        </w:tc>
      </w:tr>
      <w:tr w:rsidR="00A61FF5" w:rsidRPr="00932A90" w14:paraId="39842A09" w14:textId="77777777" w:rsidTr="000F3176">
        <w:trPr>
          <w:gridAfter w:val="1"/>
          <w:wAfter w:w="13" w:type="pct"/>
          <w:cantSplit/>
        </w:trPr>
        <w:tc>
          <w:tcPr>
            <w:tcW w:w="2493" w:type="pct"/>
            <w:gridSpan w:val="3"/>
            <w:shd w:val="clear" w:color="auto" w:fill="auto"/>
            <w:vAlign w:val="center"/>
          </w:tcPr>
          <w:p w14:paraId="5EEEB75E" w14:textId="77777777" w:rsidR="00A61FF5" w:rsidRPr="004B6C01" w:rsidRDefault="00A61FF5" w:rsidP="00D07480">
            <w:pPr>
              <w:pStyle w:val="ESTableBody"/>
              <w:rPr>
                <w:lang w:val="en-AU"/>
              </w:rPr>
            </w:pPr>
            <w:r w:rsidRPr="004B6C01">
              <w:rPr>
                <w:lang w:val="en-AU"/>
              </w:rPr>
              <w:t>Number of apprenticeship/ traineeship commencements by new employees</w:t>
            </w:r>
          </w:p>
        </w:tc>
        <w:tc>
          <w:tcPr>
            <w:tcW w:w="568" w:type="pct"/>
            <w:shd w:val="clear" w:color="auto" w:fill="auto"/>
          </w:tcPr>
          <w:p w14:paraId="06FD6BBE" w14:textId="77777777" w:rsidR="00A61FF5" w:rsidRPr="004B6C01" w:rsidRDefault="00A61FF5" w:rsidP="00D07480">
            <w:pPr>
              <w:pStyle w:val="ESTableBody"/>
              <w:rPr>
                <w:lang w:val="en-AU"/>
              </w:rPr>
            </w:pPr>
            <w:r w:rsidRPr="004B6C01">
              <w:rPr>
                <w:lang w:val="en-AU"/>
              </w:rPr>
              <w:t>number</w:t>
            </w:r>
          </w:p>
        </w:tc>
        <w:tc>
          <w:tcPr>
            <w:tcW w:w="474" w:type="pct"/>
            <w:shd w:val="clear" w:color="auto" w:fill="auto"/>
          </w:tcPr>
          <w:p w14:paraId="431AFC4A" w14:textId="77777777" w:rsidR="00A61FF5" w:rsidRPr="004B6C01" w:rsidRDefault="00A61FF5" w:rsidP="00E139AD">
            <w:pPr>
              <w:pStyle w:val="ESTableBody"/>
              <w:jc w:val="right"/>
              <w:rPr>
                <w:lang w:val="en-AU"/>
              </w:rPr>
            </w:pPr>
            <w:r w:rsidRPr="004B6C01">
              <w:rPr>
                <w:lang w:val="en-AU"/>
              </w:rPr>
              <w:t>36,100</w:t>
            </w:r>
          </w:p>
        </w:tc>
        <w:tc>
          <w:tcPr>
            <w:tcW w:w="474" w:type="pct"/>
            <w:gridSpan w:val="2"/>
            <w:shd w:val="clear" w:color="auto" w:fill="auto"/>
          </w:tcPr>
          <w:p w14:paraId="7D4D796C" w14:textId="77777777" w:rsidR="00A61FF5" w:rsidRPr="004B6C01" w:rsidRDefault="00A61FF5" w:rsidP="00E139AD">
            <w:pPr>
              <w:pStyle w:val="ESTableBody"/>
              <w:jc w:val="right"/>
              <w:rPr>
                <w:lang w:val="en-AU"/>
              </w:rPr>
            </w:pPr>
            <w:r w:rsidRPr="004B6C01">
              <w:rPr>
                <w:lang w:val="en-AU"/>
              </w:rPr>
              <w:t>38,000</w:t>
            </w:r>
          </w:p>
        </w:tc>
        <w:tc>
          <w:tcPr>
            <w:tcW w:w="567" w:type="pct"/>
          </w:tcPr>
          <w:p w14:paraId="20381C92" w14:textId="77777777" w:rsidR="00A61FF5" w:rsidRPr="004B6C01" w:rsidRDefault="00A61FF5" w:rsidP="00E139AD">
            <w:pPr>
              <w:pStyle w:val="ESTableBody"/>
              <w:jc w:val="right"/>
              <w:rPr>
                <w:lang w:val="en-AU"/>
              </w:rPr>
            </w:pPr>
            <w:r w:rsidRPr="004B6C01">
              <w:rPr>
                <w:lang w:val="en-AU"/>
              </w:rPr>
              <w:t>5.3</w:t>
            </w:r>
          </w:p>
        </w:tc>
        <w:tc>
          <w:tcPr>
            <w:tcW w:w="409" w:type="pct"/>
          </w:tcPr>
          <w:p w14:paraId="23ACDC17"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6C1A60D2" w14:textId="77777777" w:rsidTr="000F3176">
        <w:trPr>
          <w:gridAfter w:val="1"/>
          <w:wAfter w:w="13" w:type="pct"/>
          <w:cantSplit/>
        </w:trPr>
        <w:tc>
          <w:tcPr>
            <w:tcW w:w="2493" w:type="pct"/>
            <w:gridSpan w:val="3"/>
            <w:shd w:val="clear" w:color="auto" w:fill="auto"/>
            <w:vAlign w:val="center"/>
          </w:tcPr>
          <w:p w14:paraId="1E4D6048" w14:textId="77777777" w:rsidR="00A61FF5" w:rsidRPr="004B6C01" w:rsidRDefault="00A61FF5" w:rsidP="00D07480">
            <w:pPr>
              <w:pStyle w:val="ESTableBody"/>
              <w:rPr>
                <w:lang w:val="en-AU"/>
              </w:rPr>
            </w:pPr>
            <w:r w:rsidRPr="004B6C01">
              <w:rPr>
                <w:lang w:val="en-AU"/>
              </w:rPr>
              <w:t>Number of government-subsidised course enrolments</w:t>
            </w:r>
          </w:p>
        </w:tc>
        <w:tc>
          <w:tcPr>
            <w:tcW w:w="568" w:type="pct"/>
            <w:shd w:val="clear" w:color="auto" w:fill="auto"/>
          </w:tcPr>
          <w:p w14:paraId="197368CD" w14:textId="77777777" w:rsidR="00A61FF5" w:rsidRPr="004B6C01" w:rsidRDefault="00A61FF5" w:rsidP="00D07480">
            <w:pPr>
              <w:pStyle w:val="ESTableBody"/>
              <w:rPr>
                <w:lang w:val="en-AU"/>
              </w:rPr>
            </w:pPr>
            <w:r w:rsidRPr="004B6C01">
              <w:rPr>
                <w:lang w:val="en-AU"/>
              </w:rPr>
              <w:t>number</w:t>
            </w:r>
          </w:p>
        </w:tc>
        <w:tc>
          <w:tcPr>
            <w:tcW w:w="474" w:type="pct"/>
            <w:shd w:val="clear" w:color="auto" w:fill="auto"/>
          </w:tcPr>
          <w:p w14:paraId="7B882E40" w14:textId="77777777" w:rsidR="00A61FF5" w:rsidRPr="004B6C01" w:rsidRDefault="00A61FF5" w:rsidP="00E139AD">
            <w:pPr>
              <w:pStyle w:val="ESTableBody"/>
              <w:jc w:val="right"/>
              <w:rPr>
                <w:lang w:val="en-AU"/>
              </w:rPr>
            </w:pPr>
            <w:r w:rsidRPr="004B6C01">
              <w:rPr>
                <w:lang w:val="en-AU"/>
              </w:rPr>
              <w:t>466,681</w:t>
            </w:r>
          </w:p>
        </w:tc>
        <w:tc>
          <w:tcPr>
            <w:tcW w:w="474" w:type="pct"/>
            <w:gridSpan w:val="2"/>
            <w:shd w:val="clear" w:color="auto" w:fill="auto"/>
          </w:tcPr>
          <w:p w14:paraId="32634CC7" w14:textId="77777777" w:rsidR="00A61FF5" w:rsidRPr="004B6C01" w:rsidRDefault="00A61FF5" w:rsidP="00E139AD">
            <w:pPr>
              <w:pStyle w:val="ESTableBody"/>
              <w:jc w:val="right"/>
              <w:rPr>
                <w:lang w:val="en-AU"/>
              </w:rPr>
            </w:pPr>
            <w:r w:rsidRPr="004B6C01">
              <w:rPr>
                <w:lang w:val="en-AU"/>
              </w:rPr>
              <w:t>389,414</w:t>
            </w:r>
          </w:p>
        </w:tc>
        <w:tc>
          <w:tcPr>
            <w:tcW w:w="567" w:type="pct"/>
          </w:tcPr>
          <w:p w14:paraId="26854E21" w14:textId="77777777" w:rsidR="00A61FF5" w:rsidRPr="004B6C01" w:rsidRDefault="00A61FF5" w:rsidP="00E139AD">
            <w:pPr>
              <w:pStyle w:val="ESTableBody"/>
              <w:jc w:val="right"/>
              <w:rPr>
                <w:lang w:val="en-AU"/>
              </w:rPr>
            </w:pPr>
            <w:r w:rsidRPr="004B6C01">
              <w:rPr>
                <w:lang w:val="en-AU"/>
              </w:rPr>
              <w:t>-16.6</w:t>
            </w:r>
          </w:p>
        </w:tc>
        <w:tc>
          <w:tcPr>
            <w:tcW w:w="409" w:type="pct"/>
          </w:tcPr>
          <w:p w14:paraId="631307AD"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0AAD2DFB"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4B01447C" w14:textId="77777777" w:rsidR="00A61FF5" w:rsidRPr="004B6C01" w:rsidRDefault="00A61FF5" w:rsidP="00D07480">
            <w:pPr>
              <w:pStyle w:val="ESTableBody"/>
              <w:rPr>
                <w:i/>
                <w:lang w:val="en-AU"/>
              </w:rPr>
            </w:pPr>
            <w:r w:rsidRPr="004B6C01">
              <w:rPr>
                <w:i/>
                <w:lang w:val="en-AU"/>
              </w:rPr>
              <w:t>The 2016–17 actual is lower than the 2016–17 target due to past policy changes such as tightened eligibility to subsidised training and foundation courses, and reduced subsidies. Enrolment numbers have also been impacted by the shift of students to VET FEE-HELP, and fewer enrolments in sub-standard training as part of the government’s implementation of the Review of Quality Assurance.</w:t>
            </w:r>
          </w:p>
        </w:tc>
      </w:tr>
      <w:tr w:rsidR="00A61FF5" w:rsidRPr="00932A90" w14:paraId="597DCF63" w14:textId="77777777" w:rsidTr="000F3176">
        <w:trPr>
          <w:gridAfter w:val="1"/>
          <w:wAfter w:w="13" w:type="pct"/>
          <w:cantSplit/>
        </w:trPr>
        <w:tc>
          <w:tcPr>
            <w:tcW w:w="2493" w:type="pct"/>
            <w:gridSpan w:val="3"/>
            <w:shd w:val="clear" w:color="auto" w:fill="auto"/>
            <w:vAlign w:val="center"/>
          </w:tcPr>
          <w:p w14:paraId="30C99CFF" w14:textId="77777777" w:rsidR="00A61FF5" w:rsidRPr="004B6C01" w:rsidRDefault="00A61FF5" w:rsidP="00D07480">
            <w:pPr>
              <w:pStyle w:val="ESTableBody"/>
              <w:rPr>
                <w:lang w:val="en-AU"/>
              </w:rPr>
            </w:pPr>
            <w:r w:rsidRPr="004B6C01">
              <w:rPr>
                <w:lang w:val="en-AU"/>
              </w:rPr>
              <w:t>Number of pre-accredited module enrolments government-subsidised through the Adult Community and Further Education (ACFE) Board—Adult Community Education organisations and Adult Education Institutes</w:t>
            </w:r>
          </w:p>
        </w:tc>
        <w:tc>
          <w:tcPr>
            <w:tcW w:w="568" w:type="pct"/>
            <w:shd w:val="clear" w:color="auto" w:fill="auto"/>
          </w:tcPr>
          <w:p w14:paraId="4198BFEC" w14:textId="77777777" w:rsidR="00A61FF5" w:rsidRPr="004B6C01" w:rsidRDefault="00A61FF5" w:rsidP="00D07480">
            <w:pPr>
              <w:pStyle w:val="ESTableBody"/>
              <w:rPr>
                <w:lang w:val="en-AU"/>
              </w:rPr>
            </w:pPr>
            <w:r w:rsidRPr="004B6C01">
              <w:rPr>
                <w:lang w:val="en-AU"/>
              </w:rPr>
              <w:t>number</w:t>
            </w:r>
          </w:p>
        </w:tc>
        <w:tc>
          <w:tcPr>
            <w:tcW w:w="474" w:type="pct"/>
            <w:shd w:val="clear" w:color="auto" w:fill="auto"/>
          </w:tcPr>
          <w:p w14:paraId="1C07A00C" w14:textId="77777777" w:rsidR="00A61FF5" w:rsidRPr="004B6C01" w:rsidRDefault="00A61FF5" w:rsidP="00E139AD">
            <w:pPr>
              <w:pStyle w:val="ESTableBody"/>
              <w:jc w:val="right"/>
              <w:rPr>
                <w:lang w:val="en-AU"/>
              </w:rPr>
            </w:pPr>
            <w:r w:rsidRPr="004B6C01">
              <w:rPr>
                <w:lang w:val="en-AU"/>
              </w:rPr>
              <w:t>45,000</w:t>
            </w:r>
          </w:p>
        </w:tc>
        <w:tc>
          <w:tcPr>
            <w:tcW w:w="474" w:type="pct"/>
            <w:gridSpan w:val="2"/>
            <w:shd w:val="clear" w:color="auto" w:fill="auto"/>
          </w:tcPr>
          <w:p w14:paraId="6B93A1A2" w14:textId="77777777" w:rsidR="00A61FF5" w:rsidRPr="004B6C01" w:rsidRDefault="00A61FF5" w:rsidP="00E139AD">
            <w:pPr>
              <w:pStyle w:val="ESTableBody"/>
              <w:jc w:val="right"/>
              <w:rPr>
                <w:lang w:val="en-AU"/>
              </w:rPr>
            </w:pPr>
            <w:r w:rsidRPr="004B6C01">
              <w:rPr>
                <w:lang w:val="en-AU"/>
              </w:rPr>
              <w:t>44,832</w:t>
            </w:r>
          </w:p>
        </w:tc>
        <w:tc>
          <w:tcPr>
            <w:tcW w:w="567" w:type="pct"/>
          </w:tcPr>
          <w:p w14:paraId="19ACA350" w14:textId="77777777" w:rsidR="00A61FF5" w:rsidRPr="004B6C01" w:rsidRDefault="00A61FF5" w:rsidP="00E139AD">
            <w:pPr>
              <w:pStyle w:val="ESTableBody"/>
              <w:jc w:val="right"/>
              <w:rPr>
                <w:lang w:val="en-AU"/>
              </w:rPr>
            </w:pPr>
            <w:r w:rsidRPr="004B6C01">
              <w:rPr>
                <w:lang w:val="en-AU"/>
              </w:rPr>
              <w:t>-0.4</w:t>
            </w:r>
          </w:p>
        </w:tc>
        <w:tc>
          <w:tcPr>
            <w:tcW w:w="409" w:type="pct"/>
          </w:tcPr>
          <w:p w14:paraId="0F01F76D"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280AFC49"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4A89EB0C" w14:textId="77777777" w:rsidR="00A61FF5" w:rsidRPr="004B6C01" w:rsidRDefault="00A61FF5" w:rsidP="00D07480">
            <w:pPr>
              <w:pStyle w:val="ESTableBody"/>
              <w:rPr>
                <w:i/>
                <w:lang w:val="en-AU"/>
              </w:rPr>
            </w:pPr>
            <w:r w:rsidRPr="004B6C01">
              <w:rPr>
                <w:i/>
                <w:lang w:val="en-AU"/>
              </w:rPr>
              <w:t>The 2016–17 actual was below target by 168 module enrolments, representing slight variance on a base of 44,832 pre-accredited module enrolments subsidised through the ACFE Board.</w:t>
            </w:r>
          </w:p>
        </w:tc>
      </w:tr>
      <w:tr w:rsidR="00A61FF5" w:rsidRPr="00932A90" w14:paraId="69A8F5BD" w14:textId="77777777" w:rsidTr="000F3176">
        <w:trPr>
          <w:gridAfter w:val="1"/>
          <w:wAfter w:w="13" w:type="pct"/>
          <w:cantSplit/>
        </w:trPr>
        <w:tc>
          <w:tcPr>
            <w:tcW w:w="2493" w:type="pct"/>
            <w:gridSpan w:val="3"/>
            <w:shd w:val="clear" w:color="auto" w:fill="auto"/>
            <w:vAlign w:val="center"/>
          </w:tcPr>
          <w:p w14:paraId="487D3697" w14:textId="77777777" w:rsidR="00A61FF5" w:rsidRPr="004B6C01" w:rsidRDefault="00A61FF5" w:rsidP="00D07480">
            <w:pPr>
              <w:pStyle w:val="ESTableBody"/>
              <w:rPr>
                <w:lang w:val="en-AU"/>
              </w:rPr>
            </w:pPr>
            <w:r w:rsidRPr="004B6C01">
              <w:rPr>
                <w:lang w:val="en-AU"/>
              </w:rPr>
              <w:t>Number of students enrolled in government-subsidised courses</w:t>
            </w:r>
          </w:p>
        </w:tc>
        <w:tc>
          <w:tcPr>
            <w:tcW w:w="568" w:type="pct"/>
            <w:shd w:val="clear" w:color="auto" w:fill="auto"/>
          </w:tcPr>
          <w:p w14:paraId="06A40FEF" w14:textId="77777777" w:rsidR="00A61FF5" w:rsidRPr="004B6C01" w:rsidRDefault="00A61FF5" w:rsidP="00D07480">
            <w:pPr>
              <w:pStyle w:val="ESTableBody"/>
              <w:rPr>
                <w:lang w:val="en-AU"/>
              </w:rPr>
            </w:pPr>
            <w:r w:rsidRPr="004B6C01">
              <w:rPr>
                <w:lang w:val="en-AU"/>
              </w:rPr>
              <w:t>number</w:t>
            </w:r>
          </w:p>
        </w:tc>
        <w:tc>
          <w:tcPr>
            <w:tcW w:w="474" w:type="pct"/>
            <w:shd w:val="clear" w:color="auto" w:fill="auto"/>
          </w:tcPr>
          <w:p w14:paraId="5F03E577" w14:textId="77777777" w:rsidR="00A61FF5" w:rsidRPr="004B6C01" w:rsidRDefault="00A61FF5" w:rsidP="00E139AD">
            <w:pPr>
              <w:pStyle w:val="ESTableBody"/>
              <w:jc w:val="right"/>
              <w:rPr>
                <w:lang w:val="en-AU"/>
              </w:rPr>
            </w:pPr>
            <w:r w:rsidRPr="004B6C01">
              <w:rPr>
                <w:lang w:val="en-AU"/>
              </w:rPr>
              <w:t>377,831</w:t>
            </w:r>
          </w:p>
        </w:tc>
        <w:tc>
          <w:tcPr>
            <w:tcW w:w="474" w:type="pct"/>
            <w:gridSpan w:val="2"/>
            <w:shd w:val="clear" w:color="auto" w:fill="auto"/>
          </w:tcPr>
          <w:p w14:paraId="3386F56D" w14:textId="77777777" w:rsidR="00A61FF5" w:rsidRPr="004B6C01" w:rsidRDefault="00A61FF5" w:rsidP="00E139AD">
            <w:pPr>
              <w:pStyle w:val="ESTableBody"/>
              <w:jc w:val="right"/>
              <w:rPr>
                <w:lang w:val="en-AU"/>
              </w:rPr>
            </w:pPr>
            <w:r w:rsidRPr="004B6C01">
              <w:rPr>
                <w:lang w:val="en-AU"/>
              </w:rPr>
              <w:t>321,090</w:t>
            </w:r>
          </w:p>
        </w:tc>
        <w:tc>
          <w:tcPr>
            <w:tcW w:w="567" w:type="pct"/>
          </w:tcPr>
          <w:p w14:paraId="5B821F5A" w14:textId="77777777" w:rsidR="00A61FF5" w:rsidRPr="004B6C01" w:rsidRDefault="00A61FF5" w:rsidP="00E139AD">
            <w:pPr>
              <w:pStyle w:val="ESTableBody"/>
              <w:jc w:val="right"/>
              <w:rPr>
                <w:lang w:val="en-AU"/>
              </w:rPr>
            </w:pPr>
            <w:r w:rsidRPr="004B6C01">
              <w:rPr>
                <w:lang w:val="en-AU"/>
              </w:rPr>
              <w:t>-15.0</w:t>
            </w:r>
          </w:p>
        </w:tc>
        <w:tc>
          <w:tcPr>
            <w:tcW w:w="409" w:type="pct"/>
          </w:tcPr>
          <w:p w14:paraId="29F9A7D9"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15DB1A02"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11E83F8F" w14:textId="77777777" w:rsidR="00A61FF5" w:rsidRPr="004B6C01" w:rsidRDefault="00A61FF5" w:rsidP="00D07480">
            <w:pPr>
              <w:pStyle w:val="ESTableBody"/>
              <w:rPr>
                <w:i/>
                <w:lang w:val="en-AU"/>
              </w:rPr>
            </w:pPr>
            <w:r w:rsidRPr="004B6C01">
              <w:rPr>
                <w:i/>
                <w:lang w:val="en-AU"/>
              </w:rPr>
              <w:t>The 2016–17 actual is lower than the 2016–17 target due to tighter eligibility rules, the removal of the Certificate I in Vocational Preparation from the foundation course list, and the establishment of the Foundation Skills approved provider list. Enrolment numbers have also been impacted by fewer enrolments in sub-standard training as part of the government’s implementation of the Review of Quality Assurance.</w:t>
            </w:r>
          </w:p>
        </w:tc>
      </w:tr>
      <w:tr w:rsidR="00A61FF5" w:rsidRPr="00932A90" w14:paraId="5867B733" w14:textId="77777777" w:rsidTr="000F3176">
        <w:trPr>
          <w:gridAfter w:val="1"/>
          <w:wAfter w:w="13" w:type="pct"/>
          <w:cantSplit/>
        </w:trPr>
        <w:tc>
          <w:tcPr>
            <w:tcW w:w="2493" w:type="pct"/>
            <w:gridSpan w:val="3"/>
            <w:shd w:val="clear" w:color="auto" w:fill="auto"/>
            <w:vAlign w:val="center"/>
          </w:tcPr>
          <w:p w14:paraId="11817607" w14:textId="77777777" w:rsidR="00A61FF5" w:rsidRPr="004B6C01" w:rsidRDefault="00A61FF5" w:rsidP="00D07480">
            <w:pPr>
              <w:pStyle w:val="ESTableBody"/>
              <w:rPr>
                <w:lang w:val="en-AU"/>
              </w:rPr>
            </w:pPr>
            <w:r w:rsidRPr="004B6C01">
              <w:rPr>
                <w:lang w:val="en-AU"/>
              </w:rPr>
              <w:t>Number of students without Year 12, Certificate II or above enrolled in foundation courses</w:t>
            </w:r>
          </w:p>
        </w:tc>
        <w:tc>
          <w:tcPr>
            <w:tcW w:w="568" w:type="pct"/>
            <w:shd w:val="clear" w:color="auto" w:fill="auto"/>
          </w:tcPr>
          <w:p w14:paraId="2E999FF8" w14:textId="77777777" w:rsidR="00A61FF5" w:rsidRPr="004B6C01" w:rsidRDefault="00A61FF5" w:rsidP="00D07480">
            <w:pPr>
              <w:pStyle w:val="ESTableBody"/>
              <w:rPr>
                <w:lang w:val="en-AU"/>
              </w:rPr>
            </w:pPr>
            <w:r w:rsidRPr="004B6C01">
              <w:rPr>
                <w:lang w:val="en-AU"/>
              </w:rPr>
              <w:t xml:space="preserve"> number</w:t>
            </w:r>
          </w:p>
        </w:tc>
        <w:tc>
          <w:tcPr>
            <w:tcW w:w="474" w:type="pct"/>
            <w:shd w:val="clear" w:color="auto" w:fill="auto"/>
          </w:tcPr>
          <w:p w14:paraId="569AB420" w14:textId="77777777" w:rsidR="00A61FF5" w:rsidRPr="004B6C01" w:rsidRDefault="00A61FF5" w:rsidP="00D07480">
            <w:pPr>
              <w:pStyle w:val="ESTableBody"/>
              <w:rPr>
                <w:lang w:val="en-AU"/>
              </w:rPr>
            </w:pPr>
            <w:r w:rsidRPr="004B6C01">
              <w:rPr>
                <w:lang w:val="en-AU"/>
              </w:rPr>
              <w:t>19,775</w:t>
            </w:r>
          </w:p>
        </w:tc>
        <w:tc>
          <w:tcPr>
            <w:tcW w:w="474" w:type="pct"/>
            <w:gridSpan w:val="2"/>
            <w:shd w:val="clear" w:color="auto" w:fill="auto"/>
          </w:tcPr>
          <w:p w14:paraId="07FD10F6" w14:textId="77777777" w:rsidR="00A61FF5" w:rsidRPr="004B6C01" w:rsidRDefault="00A61FF5" w:rsidP="00D07480">
            <w:pPr>
              <w:pStyle w:val="ESTableBody"/>
              <w:rPr>
                <w:lang w:val="en-AU"/>
              </w:rPr>
            </w:pPr>
            <w:r w:rsidRPr="004B6C01">
              <w:rPr>
                <w:lang w:val="en-AU"/>
              </w:rPr>
              <w:t>14,653</w:t>
            </w:r>
          </w:p>
        </w:tc>
        <w:tc>
          <w:tcPr>
            <w:tcW w:w="567" w:type="pct"/>
          </w:tcPr>
          <w:p w14:paraId="12805EF9" w14:textId="77777777" w:rsidR="00A61FF5" w:rsidRPr="004B6C01" w:rsidRDefault="00A61FF5" w:rsidP="00D07480">
            <w:pPr>
              <w:pStyle w:val="ESTableBody"/>
              <w:rPr>
                <w:lang w:val="en-AU"/>
              </w:rPr>
            </w:pPr>
            <w:r w:rsidRPr="004B6C01">
              <w:rPr>
                <w:lang w:val="en-AU"/>
              </w:rPr>
              <w:t>-25.9</w:t>
            </w:r>
          </w:p>
        </w:tc>
        <w:tc>
          <w:tcPr>
            <w:tcW w:w="409" w:type="pct"/>
          </w:tcPr>
          <w:p w14:paraId="61C8335F"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03653ED2"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1DEC0AC1" w14:textId="77777777" w:rsidR="00A61FF5" w:rsidRPr="004B6C01" w:rsidRDefault="00A61FF5" w:rsidP="00D07480">
            <w:pPr>
              <w:pStyle w:val="ESTableBody"/>
              <w:rPr>
                <w:i/>
                <w:lang w:val="en-AU"/>
              </w:rPr>
            </w:pPr>
            <w:r w:rsidRPr="004B6C01">
              <w:rPr>
                <w:i/>
                <w:lang w:val="en-AU"/>
              </w:rPr>
              <w:t>The 2016–17 actual is lower than the 2016–17 target due to a reduction in foundation course subsidy rates, tighter eligibility rules, the removal of the Certificate I in Vocational Preparation from the foundation course list, and the establishment of the Foundation Skills approved provider list. Enrolment numbers have also been impacted by fewer enrolments in sub-standard training as part of the government’s implementation of the Review of Quality Assurance.</w:t>
            </w:r>
          </w:p>
        </w:tc>
      </w:tr>
      <w:tr w:rsidR="00A61FF5" w:rsidRPr="00932A90" w14:paraId="01B829A4" w14:textId="77777777" w:rsidTr="000F3176">
        <w:trPr>
          <w:gridAfter w:val="1"/>
          <w:wAfter w:w="13" w:type="pct"/>
          <w:cantSplit/>
        </w:trPr>
        <w:tc>
          <w:tcPr>
            <w:tcW w:w="2493" w:type="pct"/>
            <w:gridSpan w:val="3"/>
            <w:shd w:val="clear" w:color="auto" w:fill="auto"/>
            <w:vAlign w:val="center"/>
          </w:tcPr>
          <w:p w14:paraId="5E27B450" w14:textId="77777777" w:rsidR="00A61FF5" w:rsidRPr="004B6C01" w:rsidRDefault="00A61FF5" w:rsidP="00D07480">
            <w:pPr>
              <w:pStyle w:val="ESTableBody"/>
              <w:rPr>
                <w:lang w:val="en-AU"/>
              </w:rPr>
            </w:pPr>
            <w:r w:rsidRPr="004B6C01">
              <w:rPr>
                <w:lang w:val="en-AU"/>
              </w:rPr>
              <w:t>Grants to support workforce development, skills sector reform, structural adjustment and job creation initiatives</w:t>
            </w:r>
          </w:p>
        </w:tc>
        <w:tc>
          <w:tcPr>
            <w:tcW w:w="568" w:type="pct"/>
            <w:shd w:val="clear" w:color="auto" w:fill="auto"/>
          </w:tcPr>
          <w:p w14:paraId="343D397B" w14:textId="02A4AAD3" w:rsidR="00A61FF5" w:rsidRPr="004B6C01" w:rsidRDefault="00366F71" w:rsidP="00D07480">
            <w:pPr>
              <w:pStyle w:val="ESTableBody"/>
              <w:rPr>
                <w:lang w:val="en-AU"/>
              </w:rPr>
            </w:pPr>
            <w:r w:rsidRPr="004B6C01">
              <w:rPr>
                <w:lang w:val="en-AU"/>
              </w:rPr>
              <w:t xml:space="preserve"> </w:t>
            </w:r>
            <w:r w:rsidR="00A61FF5" w:rsidRPr="004B6C01">
              <w:rPr>
                <w:lang w:val="en-AU"/>
              </w:rPr>
              <w:t>number</w:t>
            </w:r>
          </w:p>
        </w:tc>
        <w:tc>
          <w:tcPr>
            <w:tcW w:w="474" w:type="pct"/>
            <w:shd w:val="clear" w:color="auto" w:fill="auto"/>
          </w:tcPr>
          <w:p w14:paraId="2BD2E40C" w14:textId="77777777" w:rsidR="00A61FF5" w:rsidRPr="004B6C01" w:rsidRDefault="00A61FF5" w:rsidP="00E139AD">
            <w:pPr>
              <w:pStyle w:val="ESTableBody"/>
              <w:jc w:val="right"/>
              <w:rPr>
                <w:lang w:val="en-AU"/>
              </w:rPr>
            </w:pPr>
            <w:r w:rsidRPr="004B6C01">
              <w:rPr>
                <w:lang w:val="en-AU"/>
              </w:rPr>
              <w:t>10</w:t>
            </w:r>
          </w:p>
        </w:tc>
        <w:tc>
          <w:tcPr>
            <w:tcW w:w="474" w:type="pct"/>
            <w:gridSpan w:val="2"/>
            <w:shd w:val="clear" w:color="auto" w:fill="auto"/>
          </w:tcPr>
          <w:p w14:paraId="54837B52" w14:textId="77777777" w:rsidR="00A61FF5" w:rsidRPr="004B6C01" w:rsidRDefault="00A61FF5" w:rsidP="00E139AD">
            <w:pPr>
              <w:pStyle w:val="ESTableBody"/>
              <w:jc w:val="right"/>
              <w:rPr>
                <w:lang w:val="en-AU"/>
              </w:rPr>
            </w:pPr>
            <w:r w:rsidRPr="004B6C01">
              <w:rPr>
                <w:lang w:val="en-AU"/>
              </w:rPr>
              <w:t>10</w:t>
            </w:r>
          </w:p>
        </w:tc>
        <w:tc>
          <w:tcPr>
            <w:tcW w:w="567" w:type="pct"/>
          </w:tcPr>
          <w:p w14:paraId="531EE642" w14:textId="77777777" w:rsidR="00A61FF5" w:rsidRPr="004B6C01" w:rsidRDefault="00A61FF5" w:rsidP="00E139AD">
            <w:pPr>
              <w:pStyle w:val="ESTableBody"/>
              <w:jc w:val="right"/>
              <w:rPr>
                <w:lang w:val="en-AU"/>
              </w:rPr>
            </w:pPr>
            <w:r w:rsidRPr="004B6C01">
              <w:rPr>
                <w:lang w:val="en-AU"/>
              </w:rPr>
              <w:t>0.0</w:t>
            </w:r>
          </w:p>
        </w:tc>
        <w:tc>
          <w:tcPr>
            <w:tcW w:w="409" w:type="pct"/>
          </w:tcPr>
          <w:p w14:paraId="63745A46"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687975D1"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112235DF" w14:textId="77777777" w:rsidR="00A61FF5" w:rsidRPr="004B6C01" w:rsidRDefault="00A61FF5" w:rsidP="00D07480">
            <w:pPr>
              <w:pStyle w:val="ESTableBody"/>
              <w:rPr>
                <w:i/>
                <w:lang w:val="en-AU"/>
              </w:rPr>
            </w:pPr>
            <w:r w:rsidRPr="004B6C01">
              <w:rPr>
                <w:i/>
                <w:lang w:val="en-AU"/>
              </w:rPr>
              <w:t>This performance measure relates to the financial year.</w:t>
            </w:r>
          </w:p>
        </w:tc>
      </w:tr>
      <w:tr w:rsidR="00A61FF5" w:rsidRPr="00932A90" w14:paraId="1DFE502A" w14:textId="77777777" w:rsidTr="000F3176">
        <w:trPr>
          <w:gridAfter w:val="1"/>
          <w:wAfter w:w="13" w:type="pct"/>
          <w:cantSplit/>
        </w:trPr>
        <w:tc>
          <w:tcPr>
            <w:tcW w:w="2493" w:type="pct"/>
            <w:gridSpan w:val="3"/>
            <w:shd w:val="clear" w:color="auto" w:fill="auto"/>
            <w:vAlign w:val="center"/>
          </w:tcPr>
          <w:p w14:paraId="16A9C08C" w14:textId="77777777" w:rsidR="00A61FF5" w:rsidRPr="004B6C01" w:rsidRDefault="00A61FF5" w:rsidP="00D07480">
            <w:pPr>
              <w:pStyle w:val="ESTableBody"/>
              <w:rPr>
                <w:lang w:val="en-AU"/>
              </w:rPr>
            </w:pPr>
            <w:r w:rsidRPr="004B6C01">
              <w:rPr>
                <w:lang w:val="en-AU"/>
              </w:rPr>
              <w:t>Participation rate of 15–24-year-olds in government-subsidised training and further education in Victoria</w:t>
            </w:r>
          </w:p>
        </w:tc>
        <w:tc>
          <w:tcPr>
            <w:tcW w:w="568" w:type="pct"/>
            <w:shd w:val="clear" w:color="auto" w:fill="auto"/>
          </w:tcPr>
          <w:p w14:paraId="094C8ABD" w14:textId="77777777" w:rsidR="00A61FF5" w:rsidRPr="004B6C01" w:rsidRDefault="00A61FF5" w:rsidP="00D07480">
            <w:pPr>
              <w:pStyle w:val="ESTableBody"/>
              <w:rPr>
                <w:lang w:val="en-AU"/>
              </w:rPr>
            </w:pPr>
            <w:r w:rsidRPr="004B6C01">
              <w:rPr>
                <w:lang w:val="en-AU"/>
              </w:rPr>
              <w:t xml:space="preserve"> per cent</w:t>
            </w:r>
          </w:p>
        </w:tc>
        <w:tc>
          <w:tcPr>
            <w:tcW w:w="474" w:type="pct"/>
            <w:shd w:val="clear" w:color="auto" w:fill="auto"/>
          </w:tcPr>
          <w:p w14:paraId="587319E6" w14:textId="77777777" w:rsidR="00A61FF5" w:rsidRPr="004B6C01" w:rsidRDefault="00A61FF5" w:rsidP="00E139AD">
            <w:pPr>
              <w:pStyle w:val="ESTableBody"/>
              <w:jc w:val="right"/>
              <w:rPr>
                <w:lang w:val="en-AU"/>
              </w:rPr>
            </w:pPr>
            <w:r w:rsidRPr="004B6C01">
              <w:rPr>
                <w:lang w:val="en-AU"/>
              </w:rPr>
              <w:t>18.7</w:t>
            </w:r>
          </w:p>
        </w:tc>
        <w:tc>
          <w:tcPr>
            <w:tcW w:w="474" w:type="pct"/>
            <w:gridSpan w:val="2"/>
            <w:shd w:val="clear" w:color="auto" w:fill="auto"/>
          </w:tcPr>
          <w:p w14:paraId="52B570F5" w14:textId="77777777" w:rsidR="00A61FF5" w:rsidRPr="004B6C01" w:rsidRDefault="00A61FF5" w:rsidP="00E139AD">
            <w:pPr>
              <w:pStyle w:val="ESTableBody"/>
              <w:jc w:val="right"/>
              <w:rPr>
                <w:lang w:val="en-AU"/>
              </w:rPr>
            </w:pPr>
            <w:r w:rsidRPr="004B6C01">
              <w:rPr>
                <w:lang w:val="en-AU"/>
              </w:rPr>
              <w:t>15.9</w:t>
            </w:r>
          </w:p>
        </w:tc>
        <w:tc>
          <w:tcPr>
            <w:tcW w:w="567" w:type="pct"/>
          </w:tcPr>
          <w:p w14:paraId="15BB5022" w14:textId="77777777" w:rsidR="00A61FF5" w:rsidRPr="004B6C01" w:rsidRDefault="00A61FF5" w:rsidP="00E139AD">
            <w:pPr>
              <w:pStyle w:val="ESTableBody"/>
              <w:jc w:val="right"/>
              <w:rPr>
                <w:lang w:val="en-AU"/>
              </w:rPr>
            </w:pPr>
            <w:r w:rsidRPr="004B6C01">
              <w:rPr>
                <w:lang w:val="en-AU"/>
              </w:rPr>
              <w:t>-15.0</w:t>
            </w:r>
          </w:p>
        </w:tc>
        <w:tc>
          <w:tcPr>
            <w:tcW w:w="409" w:type="pct"/>
          </w:tcPr>
          <w:p w14:paraId="4DFDD5C2"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4476C651"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4056292F" w14:textId="07E6D5E4" w:rsidR="00A61FF5" w:rsidRPr="004B6C01" w:rsidRDefault="00A61FF5" w:rsidP="00D07480">
            <w:pPr>
              <w:pStyle w:val="ESTableBody"/>
              <w:rPr>
                <w:i/>
                <w:lang w:val="en-AU"/>
              </w:rPr>
            </w:pPr>
            <w:r w:rsidRPr="004B6C01">
              <w:rPr>
                <w:i/>
                <w:lang w:val="en-AU"/>
              </w:rPr>
              <w:t>The 2016–17 actual is lower than the 2016–17 target due to past policy changes such as tightened eligibility to subsidised training and foundation courses, and reduced subsidies. Enrolment numbers have also been impacted by the shift of students to VET FEE-HELP, and fewer enrolments in sub-standard training as part of the government’s implementation of the Review of Quality Assurance, and an increasing participation in university education.</w:t>
            </w:r>
            <w:r w:rsidR="00366F71" w:rsidRPr="004B6C01">
              <w:rPr>
                <w:i/>
                <w:lang w:val="en-AU"/>
              </w:rPr>
              <w:t xml:space="preserve"> </w:t>
            </w:r>
          </w:p>
        </w:tc>
      </w:tr>
      <w:tr w:rsidR="00A61FF5" w:rsidRPr="00932A90" w14:paraId="7C0D874A" w14:textId="77777777" w:rsidTr="000F3176">
        <w:trPr>
          <w:gridAfter w:val="1"/>
          <w:wAfter w:w="13" w:type="pct"/>
          <w:cantSplit/>
        </w:trPr>
        <w:tc>
          <w:tcPr>
            <w:tcW w:w="2493" w:type="pct"/>
            <w:gridSpan w:val="3"/>
            <w:shd w:val="clear" w:color="auto" w:fill="auto"/>
            <w:vAlign w:val="center"/>
          </w:tcPr>
          <w:p w14:paraId="1BA2EDE4" w14:textId="77777777" w:rsidR="00A61FF5" w:rsidRPr="004B6C01" w:rsidRDefault="00A61FF5" w:rsidP="00D07480">
            <w:pPr>
              <w:pStyle w:val="ESTableBody"/>
              <w:rPr>
                <w:lang w:val="en-AU"/>
              </w:rPr>
            </w:pPr>
            <w:r w:rsidRPr="004B6C01">
              <w:rPr>
                <w:lang w:val="en-AU"/>
              </w:rPr>
              <w:t>Participation rate of 25–64-year-olds in government-subsidised training and further education in Victoria</w:t>
            </w:r>
          </w:p>
        </w:tc>
        <w:tc>
          <w:tcPr>
            <w:tcW w:w="568" w:type="pct"/>
            <w:shd w:val="clear" w:color="auto" w:fill="auto"/>
          </w:tcPr>
          <w:p w14:paraId="548CFCD9" w14:textId="77777777" w:rsidR="00A61FF5" w:rsidRPr="004B6C01" w:rsidRDefault="00A61FF5" w:rsidP="00D07480">
            <w:pPr>
              <w:pStyle w:val="ESTableBody"/>
              <w:rPr>
                <w:lang w:val="en-AU"/>
              </w:rPr>
            </w:pPr>
            <w:r w:rsidRPr="004B6C01">
              <w:rPr>
                <w:lang w:val="en-AU"/>
              </w:rPr>
              <w:t>per cent</w:t>
            </w:r>
          </w:p>
        </w:tc>
        <w:tc>
          <w:tcPr>
            <w:tcW w:w="474" w:type="pct"/>
            <w:shd w:val="clear" w:color="auto" w:fill="auto"/>
          </w:tcPr>
          <w:p w14:paraId="3FCCF370" w14:textId="77777777" w:rsidR="00A61FF5" w:rsidRPr="004B6C01" w:rsidRDefault="00A61FF5" w:rsidP="00E139AD">
            <w:pPr>
              <w:pStyle w:val="ESTableBody"/>
              <w:jc w:val="right"/>
              <w:rPr>
                <w:lang w:val="en-AU"/>
              </w:rPr>
            </w:pPr>
            <w:r w:rsidRPr="004B6C01">
              <w:rPr>
                <w:lang w:val="en-AU"/>
              </w:rPr>
              <w:t>6.7</w:t>
            </w:r>
          </w:p>
        </w:tc>
        <w:tc>
          <w:tcPr>
            <w:tcW w:w="474" w:type="pct"/>
            <w:gridSpan w:val="2"/>
            <w:shd w:val="clear" w:color="auto" w:fill="auto"/>
          </w:tcPr>
          <w:p w14:paraId="34A3EB07" w14:textId="77777777" w:rsidR="00A61FF5" w:rsidRPr="004B6C01" w:rsidRDefault="00A61FF5" w:rsidP="00E139AD">
            <w:pPr>
              <w:pStyle w:val="ESTableBody"/>
              <w:jc w:val="right"/>
              <w:rPr>
                <w:lang w:val="en-AU"/>
              </w:rPr>
            </w:pPr>
            <w:r w:rsidRPr="004B6C01">
              <w:rPr>
                <w:lang w:val="en-AU"/>
              </w:rPr>
              <w:t>5.6</w:t>
            </w:r>
          </w:p>
        </w:tc>
        <w:tc>
          <w:tcPr>
            <w:tcW w:w="567" w:type="pct"/>
          </w:tcPr>
          <w:p w14:paraId="0F7C2F22" w14:textId="77777777" w:rsidR="00A61FF5" w:rsidRPr="004B6C01" w:rsidRDefault="00A61FF5" w:rsidP="00E139AD">
            <w:pPr>
              <w:pStyle w:val="ESTableBody"/>
              <w:jc w:val="right"/>
              <w:rPr>
                <w:lang w:val="en-AU"/>
              </w:rPr>
            </w:pPr>
            <w:r w:rsidRPr="004B6C01">
              <w:rPr>
                <w:lang w:val="en-AU"/>
              </w:rPr>
              <w:t>-16.4</w:t>
            </w:r>
          </w:p>
        </w:tc>
        <w:tc>
          <w:tcPr>
            <w:tcW w:w="409" w:type="pct"/>
          </w:tcPr>
          <w:p w14:paraId="2A28D8AF"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21598531" w14:textId="77777777" w:rsidTr="000F3176">
        <w:tblPrEx>
          <w:tblBorders>
            <w:bottom w:val="single" w:sz="12" w:space="0" w:color="777777"/>
          </w:tblBorders>
        </w:tblPrEx>
        <w:trPr>
          <w:gridAfter w:val="1"/>
          <w:wAfter w:w="13" w:type="pct"/>
          <w:cantSplit/>
        </w:trPr>
        <w:tc>
          <w:tcPr>
            <w:tcW w:w="4985" w:type="pct"/>
            <w:gridSpan w:val="9"/>
            <w:tcBorders>
              <w:bottom w:val="single" w:sz="6" w:space="0" w:color="777777"/>
            </w:tcBorders>
            <w:shd w:val="clear" w:color="auto" w:fill="auto"/>
            <w:vAlign w:val="center"/>
          </w:tcPr>
          <w:p w14:paraId="2E0C1A4B" w14:textId="7CE43C3F" w:rsidR="00A61FF5" w:rsidRPr="004B6C01" w:rsidRDefault="00A61FF5" w:rsidP="00D07480">
            <w:pPr>
              <w:pStyle w:val="ESTableBody"/>
              <w:rPr>
                <w:i/>
                <w:lang w:val="en-AU"/>
              </w:rPr>
            </w:pPr>
            <w:r w:rsidRPr="004B6C01">
              <w:rPr>
                <w:i/>
                <w:lang w:val="en-AU"/>
              </w:rPr>
              <w:t>The 2016–17 actual is lower than the 2016–17 target due to past policy changes such as tightened eligibility to subsidised training and foundation courses, and reduced subsidies. Enrolment numbers have also been impacted by the shift of students to VET FEE-HELP, and fewer enrolments in sub-standard training as part of the government’s implementation of the Review of Quality Assurance, and an increasing participation in university education.</w:t>
            </w:r>
            <w:r w:rsidR="00366F71" w:rsidRPr="004B6C01">
              <w:rPr>
                <w:i/>
                <w:lang w:val="en-AU"/>
              </w:rPr>
              <w:t xml:space="preserve"> </w:t>
            </w:r>
          </w:p>
        </w:tc>
      </w:tr>
      <w:tr w:rsidR="00A61FF5" w:rsidRPr="00932A90" w14:paraId="6E72EAD5" w14:textId="77777777" w:rsidTr="000F3176">
        <w:tblPrEx>
          <w:tblBorders>
            <w:bottom w:val="single" w:sz="12" w:space="0" w:color="777777"/>
          </w:tblBorders>
        </w:tblPrEx>
        <w:trPr>
          <w:gridAfter w:val="1"/>
          <w:wAfter w:w="13" w:type="pct"/>
          <w:cantSplit/>
        </w:trPr>
        <w:tc>
          <w:tcPr>
            <w:tcW w:w="4985" w:type="pct"/>
            <w:gridSpan w:val="9"/>
            <w:tcBorders>
              <w:top w:val="single" w:sz="6" w:space="0" w:color="777777"/>
            </w:tcBorders>
            <w:shd w:val="clear" w:color="auto" w:fill="auto"/>
            <w:vAlign w:val="center"/>
          </w:tcPr>
          <w:p w14:paraId="02576965" w14:textId="77777777" w:rsidR="00A61FF5" w:rsidRPr="004B6C01" w:rsidRDefault="00A61FF5" w:rsidP="009A0BAD">
            <w:pPr>
              <w:pStyle w:val="ESTableheading"/>
              <w:rPr>
                <w:lang w:val="en-AU"/>
              </w:rPr>
            </w:pPr>
            <w:r w:rsidRPr="004B6C01">
              <w:rPr>
                <w:lang w:val="en-AU"/>
              </w:rPr>
              <w:t>Quality</w:t>
            </w:r>
          </w:p>
        </w:tc>
      </w:tr>
      <w:tr w:rsidR="00A61FF5" w:rsidRPr="00932A90" w14:paraId="0D104AE3" w14:textId="77777777" w:rsidTr="000F3176">
        <w:trPr>
          <w:gridAfter w:val="1"/>
          <w:wAfter w:w="13" w:type="pct"/>
          <w:cantSplit/>
        </w:trPr>
        <w:tc>
          <w:tcPr>
            <w:tcW w:w="2493" w:type="pct"/>
            <w:gridSpan w:val="3"/>
            <w:shd w:val="clear" w:color="auto" w:fill="auto"/>
            <w:vAlign w:val="center"/>
          </w:tcPr>
          <w:p w14:paraId="49A7CE7D" w14:textId="77777777" w:rsidR="00A61FF5" w:rsidRPr="004B6C01" w:rsidRDefault="00A61FF5" w:rsidP="00D07480">
            <w:pPr>
              <w:pStyle w:val="ESTableBody"/>
              <w:rPr>
                <w:lang w:val="en-AU"/>
              </w:rPr>
            </w:pPr>
            <w:r w:rsidRPr="004B6C01">
              <w:rPr>
                <w:lang w:val="en-AU"/>
              </w:rPr>
              <w:t>Proportion of employers satisfied with the training provided by the Registered Training Organisation for apprenticeship and traineeship completers</w:t>
            </w:r>
          </w:p>
        </w:tc>
        <w:tc>
          <w:tcPr>
            <w:tcW w:w="568" w:type="pct"/>
            <w:shd w:val="clear" w:color="auto" w:fill="auto"/>
          </w:tcPr>
          <w:p w14:paraId="45A96B8D" w14:textId="77777777" w:rsidR="00A61FF5" w:rsidRPr="004B6C01" w:rsidRDefault="00A61FF5" w:rsidP="00D07480">
            <w:pPr>
              <w:pStyle w:val="ESTableBody"/>
              <w:rPr>
                <w:lang w:val="en-AU"/>
              </w:rPr>
            </w:pPr>
            <w:r w:rsidRPr="004B6C01">
              <w:rPr>
                <w:lang w:val="en-AU"/>
              </w:rPr>
              <w:t>per cent</w:t>
            </w:r>
          </w:p>
        </w:tc>
        <w:tc>
          <w:tcPr>
            <w:tcW w:w="474" w:type="pct"/>
            <w:shd w:val="clear" w:color="auto" w:fill="auto"/>
          </w:tcPr>
          <w:p w14:paraId="0F8FC768" w14:textId="77777777" w:rsidR="00A61FF5" w:rsidRPr="004B6C01" w:rsidRDefault="00A61FF5" w:rsidP="00E139AD">
            <w:pPr>
              <w:pStyle w:val="ESTableBody"/>
              <w:jc w:val="right"/>
              <w:rPr>
                <w:lang w:val="en-AU"/>
              </w:rPr>
            </w:pPr>
            <w:r w:rsidRPr="004B6C01">
              <w:rPr>
                <w:lang w:val="en-AU"/>
              </w:rPr>
              <w:t>85</w:t>
            </w:r>
          </w:p>
        </w:tc>
        <w:tc>
          <w:tcPr>
            <w:tcW w:w="474" w:type="pct"/>
            <w:gridSpan w:val="2"/>
            <w:shd w:val="clear" w:color="auto" w:fill="auto"/>
          </w:tcPr>
          <w:p w14:paraId="19E1A9B0" w14:textId="77777777" w:rsidR="00A61FF5" w:rsidRPr="004B6C01" w:rsidRDefault="00A61FF5" w:rsidP="00E139AD">
            <w:pPr>
              <w:pStyle w:val="ESTableBody"/>
              <w:jc w:val="right"/>
              <w:rPr>
                <w:lang w:val="en-AU"/>
              </w:rPr>
            </w:pPr>
            <w:r w:rsidRPr="004B6C01">
              <w:rPr>
                <w:lang w:val="en-AU"/>
              </w:rPr>
              <w:t>78</w:t>
            </w:r>
          </w:p>
        </w:tc>
        <w:tc>
          <w:tcPr>
            <w:tcW w:w="567" w:type="pct"/>
          </w:tcPr>
          <w:p w14:paraId="013794AA" w14:textId="77777777" w:rsidR="00A61FF5" w:rsidRPr="004B6C01" w:rsidRDefault="00A61FF5" w:rsidP="00E139AD">
            <w:pPr>
              <w:pStyle w:val="ESTableBody"/>
              <w:jc w:val="right"/>
              <w:rPr>
                <w:lang w:val="en-AU"/>
              </w:rPr>
            </w:pPr>
            <w:r w:rsidRPr="004B6C01">
              <w:rPr>
                <w:lang w:val="en-AU"/>
              </w:rPr>
              <w:t>-8.2</w:t>
            </w:r>
          </w:p>
        </w:tc>
        <w:tc>
          <w:tcPr>
            <w:tcW w:w="409" w:type="pct"/>
          </w:tcPr>
          <w:p w14:paraId="4C4EFB6C"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66E5398F"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45158D94" w14:textId="77777777" w:rsidR="00A61FF5" w:rsidRPr="004B6C01" w:rsidRDefault="00A61FF5" w:rsidP="00D07480">
            <w:pPr>
              <w:pStyle w:val="ESTableBody"/>
              <w:rPr>
                <w:i/>
                <w:lang w:val="en-AU"/>
              </w:rPr>
            </w:pPr>
            <w:r w:rsidRPr="004B6C01">
              <w:rPr>
                <w:i/>
                <w:lang w:val="en-AU"/>
              </w:rPr>
              <w:t>The 2016–17 actual is lower than the 2016–17 target as there were quality issues with some providers that may have impacted on employer satisfaction.</w:t>
            </w:r>
          </w:p>
        </w:tc>
      </w:tr>
      <w:tr w:rsidR="00A61FF5" w:rsidRPr="00932A90" w14:paraId="0EF0FE9A" w14:textId="77777777" w:rsidTr="000F3176">
        <w:trPr>
          <w:gridAfter w:val="1"/>
          <w:wAfter w:w="13" w:type="pct"/>
          <w:cantSplit/>
        </w:trPr>
        <w:tc>
          <w:tcPr>
            <w:tcW w:w="2493" w:type="pct"/>
            <w:gridSpan w:val="3"/>
            <w:shd w:val="clear" w:color="auto" w:fill="auto"/>
            <w:vAlign w:val="center"/>
          </w:tcPr>
          <w:p w14:paraId="02DE1824" w14:textId="77777777" w:rsidR="00A61FF5" w:rsidRPr="004B6C01" w:rsidRDefault="00A61FF5" w:rsidP="00D07480">
            <w:pPr>
              <w:pStyle w:val="ESTableBody"/>
              <w:rPr>
                <w:lang w:val="en-AU"/>
              </w:rPr>
            </w:pPr>
            <w:r w:rsidRPr="004B6C01">
              <w:rPr>
                <w:lang w:val="en-AU"/>
              </w:rPr>
              <w:t>Proportion of VET completers who are satisfied with their training</w:t>
            </w:r>
          </w:p>
        </w:tc>
        <w:tc>
          <w:tcPr>
            <w:tcW w:w="568" w:type="pct"/>
            <w:shd w:val="clear" w:color="auto" w:fill="auto"/>
          </w:tcPr>
          <w:p w14:paraId="1D50D3DA" w14:textId="77777777" w:rsidR="00A61FF5" w:rsidRPr="004B6C01" w:rsidRDefault="00A61FF5" w:rsidP="00D07480">
            <w:pPr>
              <w:pStyle w:val="ESTableBody"/>
              <w:rPr>
                <w:lang w:val="en-AU"/>
              </w:rPr>
            </w:pPr>
            <w:r w:rsidRPr="004B6C01">
              <w:rPr>
                <w:lang w:val="en-AU"/>
              </w:rPr>
              <w:t>per cent</w:t>
            </w:r>
          </w:p>
        </w:tc>
        <w:tc>
          <w:tcPr>
            <w:tcW w:w="474" w:type="pct"/>
            <w:shd w:val="clear" w:color="auto" w:fill="auto"/>
          </w:tcPr>
          <w:p w14:paraId="40DC2392" w14:textId="77777777" w:rsidR="00A61FF5" w:rsidRPr="004B6C01" w:rsidRDefault="00A61FF5" w:rsidP="00E139AD">
            <w:pPr>
              <w:pStyle w:val="ESTableBody"/>
              <w:jc w:val="right"/>
              <w:rPr>
                <w:lang w:val="en-AU"/>
              </w:rPr>
            </w:pPr>
            <w:r w:rsidRPr="004B6C01">
              <w:rPr>
                <w:lang w:val="en-AU"/>
              </w:rPr>
              <w:t>80.8</w:t>
            </w:r>
          </w:p>
        </w:tc>
        <w:tc>
          <w:tcPr>
            <w:tcW w:w="474" w:type="pct"/>
            <w:gridSpan w:val="2"/>
            <w:shd w:val="clear" w:color="auto" w:fill="auto"/>
          </w:tcPr>
          <w:p w14:paraId="584D6C8F" w14:textId="77777777" w:rsidR="00A61FF5" w:rsidRPr="004B6C01" w:rsidRDefault="00A61FF5" w:rsidP="00E139AD">
            <w:pPr>
              <w:pStyle w:val="ESTableBody"/>
              <w:jc w:val="right"/>
              <w:rPr>
                <w:lang w:val="en-AU"/>
              </w:rPr>
            </w:pPr>
            <w:r w:rsidRPr="004B6C01">
              <w:rPr>
                <w:lang w:val="en-AU"/>
              </w:rPr>
              <w:t>82.5</w:t>
            </w:r>
          </w:p>
        </w:tc>
        <w:tc>
          <w:tcPr>
            <w:tcW w:w="567" w:type="pct"/>
          </w:tcPr>
          <w:p w14:paraId="2D4A7F98" w14:textId="77777777" w:rsidR="00A61FF5" w:rsidRPr="004B6C01" w:rsidRDefault="00A61FF5" w:rsidP="00E139AD">
            <w:pPr>
              <w:pStyle w:val="ESTableBody"/>
              <w:jc w:val="right"/>
              <w:rPr>
                <w:lang w:val="en-AU"/>
              </w:rPr>
            </w:pPr>
            <w:r w:rsidRPr="004B6C01">
              <w:rPr>
                <w:lang w:val="en-AU"/>
              </w:rPr>
              <w:t>2.1</w:t>
            </w:r>
          </w:p>
        </w:tc>
        <w:tc>
          <w:tcPr>
            <w:tcW w:w="409" w:type="pct"/>
          </w:tcPr>
          <w:p w14:paraId="1E0DB54D"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70410FF2"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4E641331" w14:textId="77777777" w:rsidR="00A61FF5" w:rsidRPr="004B6C01" w:rsidRDefault="00A61FF5" w:rsidP="00D07480">
            <w:pPr>
              <w:pStyle w:val="ESTableBody"/>
              <w:rPr>
                <w:i/>
                <w:lang w:val="en-AU"/>
              </w:rPr>
            </w:pPr>
            <w:r w:rsidRPr="004B6C01">
              <w:rPr>
                <w:i/>
                <w:lang w:val="en-AU"/>
              </w:rPr>
              <w:t>The 2016–17 result refers to the 2016 survey of 2015 VET graduates and early leavers.</w:t>
            </w:r>
          </w:p>
        </w:tc>
      </w:tr>
      <w:tr w:rsidR="00A61FF5" w:rsidRPr="00932A90" w14:paraId="4993F997" w14:textId="77777777" w:rsidTr="000F3176">
        <w:trPr>
          <w:gridAfter w:val="1"/>
          <w:wAfter w:w="13" w:type="pct"/>
          <w:cantSplit/>
        </w:trPr>
        <w:tc>
          <w:tcPr>
            <w:tcW w:w="2493" w:type="pct"/>
            <w:gridSpan w:val="3"/>
            <w:shd w:val="clear" w:color="auto" w:fill="auto"/>
            <w:vAlign w:val="center"/>
          </w:tcPr>
          <w:p w14:paraId="0B0DAC41" w14:textId="77777777" w:rsidR="00A61FF5" w:rsidRPr="004B6C01" w:rsidRDefault="00A61FF5" w:rsidP="00D07480">
            <w:pPr>
              <w:pStyle w:val="ESTableBody"/>
              <w:rPr>
                <w:lang w:val="en-AU"/>
              </w:rPr>
            </w:pPr>
            <w:r w:rsidRPr="004B6C01">
              <w:rPr>
                <w:lang w:val="en-AU"/>
              </w:rPr>
              <w:t>Proportion of VET completers with an improved employment status after training</w:t>
            </w:r>
          </w:p>
        </w:tc>
        <w:tc>
          <w:tcPr>
            <w:tcW w:w="568" w:type="pct"/>
            <w:shd w:val="clear" w:color="auto" w:fill="auto"/>
          </w:tcPr>
          <w:p w14:paraId="2695FE79" w14:textId="77777777" w:rsidR="00A61FF5" w:rsidRPr="004B6C01" w:rsidRDefault="00A61FF5" w:rsidP="00D07480">
            <w:pPr>
              <w:pStyle w:val="ESTableBody"/>
              <w:rPr>
                <w:lang w:val="en-AU"/>
              </w:rPr>
            </w:pPr>
            <w:r w:rsidRPr="004B6C01">
              <w:rPr>
                <w:lang w:val="en-AU"/>
              </w:rPr>
              <w:t>per cent</w:t>
            </w:r>
          </w:p>
        </w:tc>
        <w:tc>
          <w:tcPr>
            <w:tcW w:w="474" w:type="pct"/>
            <w:shd w:val="clear" w:color="auto" w:fill="auto"/>
          </w:tcPr>
          <w:p w14:paraId="63503F06" w14:textId="77777777" w:rsidR="00A61FF5" w:rsidRPr="004B6C01" w:rsidRDefault="00A61FF5" w:rsidP="00E139AD">
            <w:pPr>
              <w:pStyle w:val="ESTableBody"/>
              <w:jc w:val="right"/>
              <w:rPr>
                <w:lang w:val="en-AU"/>
              </w:rPr>
            </w:pPr>
            <w:r w:rsidRPr="004B6C01">
              <w:rPr>
                <w:lang w:val="en-AU"/>
              </w:rPr>
              <w:t>53.2</w:t>
            </w:r>
          </w:p>
        </w:tc>
        <w:tc>
          <w:tcPr>
            <w:tcW w:w="474" w:type="pct"/>
            <w:gridSpan w:val="2"/>
            <w:shd w:val="clear" w:color="auto" w:fill="auto"/>
          </w:tcPr>
          <w:p w14:paraId="188EA592" w14:textId="77777777" w:rsidR="00A61FF5" w:rsidRPr="004B6C01" w:rsidRDefault="00A61FF5" w:rsidP="00E139AD">
            <w:pPr>
              <w:pStyle w:val="ESTableBody"/>
              <w:jc w:val="right"/>
              <w:rPr>
                <w:lang w:val="en-AU"/>
              </w:rPr>
            </w:pPr>
            <w:r w:rsidRPr="004B6C01">
              <w:rPr>
                <w:lang w:val="en-AU"/>
              </w:rPr>
              <w:t>50.6</w:t>
            </w:r>
          </w:p>
        </w:tc>
        <w:tc>
          <w:tcPr>
            <w:tcW w:w="567" w:type="pct"/>
          </w:tcPr>
          <w:p w14:paraId="33728418" w14:textId="77777777" w:rsidR="00A61FF5" w:rsidRPr="004B6C01" w:rsidRDefault="00A61FF5" w:rsidP="00E139AD">
            <w:pPr>
              <w:pStyle w:val="ESTableBody"/>
              <w:jc w:val="right"/>
              <w:rPr>
                <w:lang w:val="en-AU"/>
              </w:rPr>
            </w:pPr>
            <w:r w:rsidRPr="004B6C01">
              <w:rPr>
                <w:lang w:val="en-AU"/>
              </w:rPr>
              <w:t>-4.9</w:t>
            </w:r>
          </w:p>
        </w:tc>
        <w:tc>
          <w:tcPr>
            <w:tcW w:w="409" w:type="pct"/>
          </w:tcPr>
          <w:p w14:paraId="4B424D15"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091B6F75"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4CDB0353" w14:textId="77777777" w:rsidR="00A61FF5" w:rsidRPr="004B6C01" w:rsidRDefault="00A61FF5" w:rsidP="00D07480">
            <w:pPr>
              <w:pStyle w:val="ESTableBody"/>
              <w:rPr>
                <w:i/>
                <w:lang w:val="en-AU"/>
              </w:rPr>
            </w:pPr>
            <w:r w:rsidRPr="004B6C01">
              <w:rPr>
                <w:i/>
                <w:lang w:val="en-AU"/>
              </w:rPr>
              <w:t>The 2016–17 result refers to the 2016 survey result of 2015 VET graduates and early leavers. The 2016–17 actual is lower than the 2016–17 target as there were quality issues with some providers in 2015 that may have impacted on employment outcomes following training.</w:t>
            </w:r>
          </w:p>
        </w:tc>
      </w:tr>
      <w:tr w:rsidR="00A61FF5" w:rsidRPr="00932A90" w14:paraId="5D30A824" w14:textId="77777777" w:rsidTr="000F3176">
        <w:trPr>
          <w:gridAfter w:val="1"/>
          <w:wAfter w:w="13" w:type="pct"/>
          <w:cantSplit/>
        </w:trPr>
        <w:tc>
          <w:tcPr>
            <w:tcW w:w="2493" w:type="pct"/>
            <w:gridSpan w:val="3"/>
            <w:shd w:val="clear" w:color="auto" w:fill="auto"/>
            <w:vAlign w:val="center"/>
          </w:tcPr>
          <w:p w14:paraId="7C8F88FB" w14:textId="77777777" w:rsidR="00A61FF5" w:rsidRPr="004B6C01" w:rsidRDefault="00A61FF5" w:rsidP="00D07480">
            <w:pPr>
              <w:pStyle w:val="ESTableBody"/>
              <w:rPr>
                <w:lang w:val="en-AU"/>
              </w:rPr>
            </w:pPr>
            <w:r w:rsidRPr="004B6C01">
              <w:rPr>
                <w:lang w:val="en-AU"/>
              </w:rPr>
              <w:t>Successful training completions as measured by module load completion rate</w:t>
            </w:r>
          </w:p>
        </w:tc>
        <w:tc>
          <w:tcPr>
            <w:tcW w:w="568" w:type="pct"/>
            <w:shd w:val="clear" w:color="auto" w:fill="auto"/>
          </w:tcPr>
          <w:p w14:paraId="29870F34" w14:textId="77777777" w:rsidR="00A61FF5" w:rsidRPr="004B6C01" w:rsidRDefault="00A61FF5" w:rsidP="00D07480">
            <w:pPr>
              <w:pStyle w:val="ESTableBody"/>
              <w:rPr>
                <w:lang w:val="en-AU"/>
              </w:rPr>
            </w:pPr>
            <w:r w:rsidRPr="004B6C01">
              <w:rPr>
                <w:lang w:val="en-AU"/>
              </w:rPr>
              <w:t>per cent</w:t>
            </w:r>
          </w:p>
        </w:tc>
        <w:tc>
          <w:tcPr>
            <w:tcW w:w="474" w:type="pct"/>
            <w:shd w:val="clear" w:color="auto" w:fill="auto"/>
          </w:tcPr>
          <w:p w14:paraId="3D5F07D8" w14:textId="77777777" w:rsidR="00A61FF5" w:rsidRPr="004B6C01" w:rsidRDefault="00A61FF5" w:rsidP="00E139AD">
            <w:pPr>
              <w:pStyle w:val="ESTableBody"/>
              <w:jc w:val="right"/>
              <w:rPr>
                <w:lang w:val="en-AU"/>
              </w:rPr>
            </w:pPr>
            <w:r w:rsidRPr="004B6C01">
              <w:rPr>
                <w:lang w:val="en-AU"/>
              </w:rPr>
              <w:t>80.7</w:t>
            </w:r>
          </w:p>
        </w:tc>
        <w:tc>
          <w:tcPr>
            <w:tcW w:w="474" w:type="pct"/>
            <w:gridSpan w:val="2"/>
            <w:shd w:val="clear" w:color="auto" w:fill="auto"/>
          </w:tcPr>
          <w:p w14:paraId="01BCCE07" w14:textId="77777777" w:rsidR="00A61FF5" w:rsidRPr="004B6C01" w:rsidRDefault="00A61FF5" w:rsidP="00E139AD">
            <w:pPr>
              <w:pStyle w:val="ESTableBody"/>
              <w:jc w:val="right"/>
              <w:rPr>
                <w:lang w:val="en-AU"/>
              </w:rPr>
            </w:pPr>
            <w:r w:rsidRPr="004B6C01">
              <w:rPr>
                <w:lang w:val="en-AU"/>
              </w:rPr>
              <w:t>80.8</w:t>
            </w:r>
          </w:p>
        </w:tc>
        <w:tc>
          <w:tcPr>
            <w:tcW w:w="567" w:type="pct"/>
          </w:tcPr>
          <w:p w14:paraId="43388CE1" w14:textId="77777777" w:rsidR="00A61FF5" w:rsidRPr="004B6C01" w:rsidRDefault="00A61FF5" w:rsidP="00E139AD">
            <w:pPr>
              <w:pStyle w:val="ESTableBody"/>
              <w:jc w:val="right"/>
              <w:rPr>
                <w:lang w:val="en-AU"/>
              </w:rPr>
            </w:pPr>
            <w:r w:rsidRPr="004B6C01">
              <w:rPr>
                <w:lang w:val="en-AU"/>
              </w:rPr>
              <w:t>0.1</w:t>
            </w:r>
          </w:p>
        </w:tc>
        <w:tc>
          <w:tcPr>
            <w:tcW w:w="409" w:type="pct"/>
          </w:tcPr>
          <w:p w14:paraId="6B815F44"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16D2E4F1"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2EAF5169" w14:textId="77777777" w:rsidR="00A61FF5" w:rsidRPr="004B6C01" w:rsidRDefault="00A61FF5" w:rsidP="00D07480">
            <w:pPr>
              <w:pStyle w:val="ESTableBody"/>
              <w:rPr>
                <w:i/>
                <w:lang w:val="en-AU"/>
              </w:rPr>
            </w:pPr>
            <w:r w:rsidRPr="004B6C01">
              <w:rPr>
                <w:i/>
                <w:lang w:val="en-AU"/>
              </w:rPr>
              <w:t>This performance measure relates to the calendar year.</w:t>
            </w:r>
          </w:p>
        </w:tc>
      </w:tr>
      <w:tr w:rsidR="00A61FF5" w:rsidRPr="00932A90" w14:paraId="746E1293" w14:textId="77777777" w:rsidTr="000F3176">
        <w:tblPrEx>
          <w:tblBorders>
            <w:bottom w:val="single" w:sz="12" w:space="0" w:color="777777"/>
          </w:tblBorders>
        </w:tblPrEx>
        <w:trPr>
          <w:gridAfter w:val="1"/>
          <w:wAfter w:w="13" w:type="pct"/>
          <w:cantSplit/>
        </w:trPr>
        <w:tc>
          <w:tcPr>
            <w:tcW w:w="4985" w:type="pct"/>
            <w:gridSpan w:val="9"/>
            <w:tcBorders>
              <w:top w:val="single" w:sz="6" w:space="0" w:color="777777"/>
            </w:tcBorders>
            <w:shd w:val="clear" w:color="auto" w:fill="auto"/>
            <w:vAlign w:val="center"/>
          </w:tcPr>
          <w:p w14:paraId="33A5A314" w14:textId="77777777" w:rsidR="00A61FF5" w:rsidRPr="004B6C01" w:rsidRDefault="00A61FF5" w:rsidP="009A0BAD">
            <w:pPr>
              <w:pStyle w:val="ESTableheading"/>
              <w:rPr>
                <w:lang w:val="en-AU"/>
              </w:rPr>
            </w:pPr>
            <w:r w:rsidRPr="004B6C01">
              <w:rPr>
                <w:lang w:val="en-AU"/>
              </w:rPr>
              <w:t>Cost</w:t>
            </w:r>
          </w:p>
        </w:tc>
      </w:tr>
      <w:tr w:rsidR="00A61FF5" w:rsidRPr="00932A90" w14:paraId="33DB61FE" w14:textId="77777777" w:rsidTr="000F3176">
        <w:trPr>
          <w:gridAfter w:val="1"/>
          <w:wAfter w:w="13" w:type="pct"/>
          <w:cantSplit/>
        </w:trPr>
        <w:tc>
          <w:tcPr>
            <w:tcW w:w="2493" w:type="pct"/>
            <w:gridSpan w:val="3"/>
            <w:shd w:val="clear" w:color="auto" w:fill="auto"/>
            <w:vAlign w:val="center"/>
          </w:tcPr>
          <w:p w14:paraId="3DCB8937" w14:textId="77777777" w:rsidR="00A61FF5" w:rsidRPr="00C86AF4" w:rsidRDefault="00A61FF5" w:rsidP="00D07480">
            <w:pPr>
              <w:pStyle w:val="ESTableBody"/>
              <w:rPr>
                <w:lang w:val="en-AU"/>
              </w:rPr>
            </w:pPr>
            <w:r w:rsidRPr="00C86AF4">
              <w:rPr>
                <w:lang w:val="en-AU"/>
              </w:rPr>
              <w:t>Total output cost</w:t>
            </w:r>
          </w:p>
        </w:tc>
        <w:tc>
          <w:tcPr>
            <w:tcW w:w="568" w:type="pct"/>
            <w:shd w:val="clear" w:color="auto" w:fill="auto"/>
          </w:tcPr>
          <w:p w14:paraId="445BC78A" w14:textId="77777777" w:rsidR="00A61FF5" w:rsidRPr="00C86AF4" w:rsidRDefault="00A61FF5" w:rsidP="00D07480">
            <w:pPr>
              <w:pStyle w:val="ESTableBody"/>
              <w:rPr>
                <w:lang w:val="en-AU"/>
              </w:rPr>
            </w:pPr>
            <w:r w:rsidRPr="00C86AF4">
              <w:rPr>
                <w:lang w:val="en-AU"/>
              </w:rPr>
              <w:t>$ million</w:t>
            </w:r>
          </w:p>
        </w:tc>
        <w:tc>
          <w:tcPr>
            <w:tcW w:w="474" w:type="pct"/>
            <w:shd w:val="clear" w:color="auto" w:fill="auto"/>
          </w:tcPr>
          <w:p w14:paraId="1002DAB1" w14:textId="005F3CB6" w:rsidR="00A61FF5" w:rsidRPr="00C86AF4" w:rsidRDefault="00A61FF5" w:rsidP="00E139AD">
            <w:pPr>
              <w:pStyle w:val="ESTableBody"/>
              <w:jc w:val="right"/>
              <w:rPr>
                <w:lang w:val="en-AU"/>
              </w:rPr>
            </w:pPr>
            <w:r w:rsidRPr="00C86AF4">
              <w:rPr>
                <w:lang w:val="en-AU"/>
              </w:rPr>
              <w:t>2</w:t>
            </w:r>
            <w:r w:rsidR="009452EC" w:rsidRPr="00C86AF4">
              <w:rPr>
                <w:lang w:val="en-AU"/>
              </w:rPr>
              <w:t>,</w:t>
            </w:r>
            <w:r w:rsidRPr="00C86AF4">
              <w:rPr>
                <w:lang w:val="en-AU"/>
              </w:rPr>
              <w:t>477.5</w:t>
            </w:r>
          </w:p>
        </w:tc>
        <w:tc>
          <w:tcPr>
            <w:tcW w:w="474" w:type="pct"/>
            <w:gridSpan w:val="2"/>
            <w:shd w:val="clear" w:color="auto" w:fill="auto"/>
          </w:tcPr>
          <w:p w14:paraId="588C7ECF" w14:textId="0CC749C4" w:rsidR="00A61FF5" w:rsidRPr="00C86AF4" w:rsidRDefault="00A61FF5" w:rsidP="00E139AD">
            <w:pPr>
              <w:pStyle w:val="ESTableBody"/>
              <w:jc w:val="right"/>
              <w:rPr>
                <w:lang w:val="en-AU"/>
              </w:rPr>
            </w:pPr>
            <w:r w:rsidRPr="00C86AF4">
              <w:rPr>
                <w:lang w:val="en-AU"/>
              </w:rPr>
              <w:t>2</w:t>
            </w:r>
            <w:r w:rsidR="009452EC" w:rsidRPr="00C86AF4">
              <w:rPr>
                <w:lang w:val="en-AU"/>
              </w:rPr>
              <w:t>,</w:t>
            </w:r>
            <w:r w:rsidR="00F50C19">
              <w:rPr>
                <w:lang w:val="en-AU"/>
              </w:rPr>
              <w:t>17</w:t>
            </w:r>
            <w:r w:rsidR="00C86AF4" w:rsidRPr="00C86AF4">
              <w:rPr>
                <w:lang w:val="en-AU"/>
              </w:rPr>
              <w:t>4.5</w:t>
            </w:r>
          </w:p>
        </w:tc>
        <w:tc>
          <w:tcPr>
            <w:tcW w:w="567" w:type="pct"/>
          </w:tcPr>
          <w:p w14:paraId="20E9A21E" w14:textId="06459985" w:rsidR="00A61FF5" w:rsidRPr="00C86AF4" w:rsidRDefault="00A61FF5" w:rsidP="00E139AD">
            <w:pPr>
              <w:pStyle w:val="ESTableBody"/>
              <w:jc w:val="right"/>
              <w:rPr>
                <w:lang w:val="en-AU"/>
              </w:rPr>
            </w:pPr>
            <w:r w:rsidRPr="00C86AF4">
              <w:rPr>
                <w:lang w:val="en-AU"/>
              </w:rPr>
              <w:t>-</w:t>
            </w:r>
            <w:r w:rsidR="00C86AF4" w:rsidRPr="00C86AF4">
              <w:rPr>
                <w:lang w:val="en-AU"/>
              </w:rPr>
              <w:t>12.</w:t>
            </w:r>
            <w:r w:rsidRPr="00C86AF4">
              <w:rPr>
                <w:lang w:val="en-AU"/>
              </w:rPr>
              <w:t>2</w:t>
            </w:r>
          </w:p>
        </w:tc>
        <w:tc>
          <w:tcPr>
            <w:tcW w:w="409" w:type="pct"/>
          </w:tcPr>
          <w:p w14:paraId="3DFD2759" w14:textId="77777777" w:rsidR="00A61FF5" w:rsidRPr="00C86AF4" w:rsidRDefault="00A61FF5" w:rsidP="00046452">
            <w:pPr>
              <w:pStyle w:val="ESTableBody"/>
              <w:jc w:val="center"/>
              <w:rPr>
                <w:lang w:val="en-AU"/>
              </w:rPr>
            </w:pPr>
            <w:r w:rsidRPr="00C86AF4">
              <w:rPr>
                <w:lang w:val="en-AU"/>
              </w:rPr>
              <w:sym w:font="Wingdings" w:char="F0FC"/>
            </w:r>
          </w:p>
        </w:tc>
      </w:tr>
      <w:tr w:rsidR="00A61FF5" w:rsidRPr="00932A90" w14:paraId="143A4279" w14:textId="77777777" w:rsidTr="000F3176">
        <w:tblPrEx>
          <w:tblBorders>
            <w:bottom w:val="single" w:sz="12" w:space="0" w:color="777777"/>
          </w:tblBorders>
        </w:tblPrEx>
        <w:trPr>
          <w:gridAfter w:val="1"/>
          <w:wAfter w:w="13" w:type="pct"/>
          <w:cantSplit/>
        </w:trPr>
        <w:tc>
          <w:tcPr>
            <w:tcW w:w="4985" w:type="pct"/>
            <w:gridSpan w:val="9"/>
            <w:tcBorders>
              <w:bottom w:val="single" w:sz="6" w:space="0" w:color="auto"/>
            </w:tcBorders>
            <w:shd w:val="clear" w:color="auto" w:fill="auto"/>
            <w:vAlign w:val="center"/>
          </w:tcPr>
          <w:p w14:paraId="024B0CE4" w14:textId="036C8ABC" w:rsidR="00A61FF5" w:rsidRPr="004B6C01" w:rsidRDefault="00C86AF4" w:rsidP="00D07480">
            <w:pPr>
              <w:pStyle w:val="ESTableBody"/>
              <w:rPr>
                <w:i/>
                <w:lang w:val="en-AU"/>
              </w:rPr>
            </w:pPr>
            <w:r w:rsidRPr="00C86AF4">
              <w:rPr>
                <w:i/>
                <w:lang w:val="en-AU"/>
              </w:rPr>
              <w:t>This performance measure relates to t</w:t>
            </w:r>
            <w:r w:rsidR="00CA3A49">
              <w:rPr>
                <w:i/>
                <w:lang w:val="en-AU"/>
              </w:rPr>
              <w:t xml:space="preserve">he financial year. </w:t>
            </w:r>
            <w:r w:rsidR="00A61FF5">
              <w:rPr>
                <w:i/>
                <w:lang w:val="en-AU"/>
              </w:rPr>
              <w:t>The 2016</w:t>
            </w:r>
            <w:r w:rsidR="00564192">
              <w:rPr>
                <w:i/>
                <w:lang w:val="en-AU"/>
              </w:rPr>
              <w:t>–</w:t>
            </w:r>
            <w:r w:rsidR="00A61FF5">
              <w:rPr>
                <w:i/>
                <w:lang w:val="en-AU"/>
              </w:rPr>
              <w:t xml:space="preserve">17 </w:t>
            </w:r>
            <w:r w:rsidR="00943EF8">
              <w:rPr>
                <w:i/>
                <w:lang w:val="en-AU"/>
              </w:rPr>
              <w:t>a</w:t>
            </w:r>
            <w:r w:rsidR="00943EF8" w:rsidRPr="00C86AF4">
              <w:rPr>
                <w:i/>
                <w:lang w:val="en-AU"/>
              </w:rPr>
              <w:t>ctual</w:t>
            </w:r>
            <w:r w:rsidR="00A61FF5" w:rsidRPr="00C86AF4">
              <w:rPr>
                <w:i/>
                <w:lang w:val="en-AU"/>
              </w:rPr>
              <w:t xml:space="preserve"> is </w:t>
            </w:r>
            <w:r w:rsidRPr="00C86AF4">
              <w:rPr>
                <w:i/>
                <w:lang w:val="en-AU"/>
              </w:rPr>
              <w:t>lower</w:t>
            </w:r>
            <w:r w:rsidR="00A61FF5" w:rsidRPr="00C86AF4">
              <w:rPr>
                <w:i/>
                <w:lang w:val="en-AU"/>
              </w:rPr>
              <w:t xml:space="preserve"> than </w:t>
            </w:r>
            <w:r w:rsidRPr="00C86AF4">
              <w:rPr>
                <w:i/>
                <w:lang w:val="en-AU"/>
              </w:rPr>
              <w:t xml:space="preserve">the </w:t>
            </w:r>
            <w:r w:rsidR="00A61FF5" w:rsidRPr="00C86AF4">
              <w:rPr>
                <w:i/>
                <w:lang w:val="en-AU"/>
              </w:rPr>
              <w:t>2016</w:t>
            </w:r>
            <w:r w:rsidR="00564192">
              <w:rPr>
                <w:i/>
                <w:lang w:val="en-AU"/>
              </w:rPr>
              <w:t>–</w:t>
            </w:r>
            <w:r w:rsidR="00A61FF5" w:rsidRPr="00C86AF4">
              <w:rPr>
                <w:i/>
                <w:lang w:val="en-AU"/>
              </w:rPr>
              <w:t xml:space="preserve">17 </w:t>
            </w:r>
            <w:r w:rsidRPr="00C86AF4">
              <w:rPr>
                <w:i/>
                <w:lang w:val="en-AU"/>
              </w:rPr>
              <w:t xml:space="preserve">Target primarily due to lower </w:t>
            </w:r>
            <w:r w:rsidR="00A61FF5" w:rsidRPr="00C86AF4">
              <w:rPr>
                <w:i/>
                <w:lang w:val="en-AU"/>
              </w:rPr>
              <w:t>than</w:t>
            </w:r>
            <w:r w:rsidRPr="00C86AF4">
              <w:rPr>
                <w:i/>
                <w:lang w:val="en-AU"/>
              </w:rPr>
              <w:t xml:space="preserve"> </w:t>
            </w:r>
            <w:r w:rsidR="00A61FF5" w:rsidRPr="00C86AF4">
              <w:rPr>
                <w:i/>
                <w:lang w:val="en-AU"/>
              </w:rPr>
              <w:t xml:space="preserve">expected third party revenue </w:t>
            </w:r>
            <w:r w:rsidRPr="00C86AF4">
              <w:rPr>
                <w:i/>
                <w:lang w:val="en-AU"/>
              </w:rPr>
              <w:t xml:space="preserve">from TAFEs </w:t>
            </w:r>
            <w:r w:rsidR="00A61FF5" w:rsidRPr="00C86AF4">
              <w:rPr>
                <w:i/>
                <w:lang w:val="en-AU"/>
              </w:rPr>
              <w:t xml:space="preserve">compared to </w:t>
            </w:r>
            <w:r w:rsidRPr="00C86AF4">
              <w:rPr>
                <w:i/>
                <w:lang w:val="en-AU"/>
              </w:rPr>
              <w:t>target</w:t>
            </w:r>
            <w:r w:rsidR="00A61FF5" w:rsidRPr="00C86AF4">
              <w:rPr>
                <w:i/>
                <w:lang w:val="en-AU"/>
              </w:rPr>
              <w:t xml:space="preserve"> due to a decline in enrolment numbers</w:t>
            </w:r>
            <w:r w:rsidRPr="00C86AF4">
              <w:rPr>
                <w:i/>
                <w:lang w:val="en-AU"/>
              </w:rPr>
              <w:t xml:space="preserve"> and the timing in delivery of certain programs</w:t>
            </w:r>
            <w:r w:rsidR="00A61FF5" w:rsidRPr="00C86AF4">
              <w:rPr>
                <w:i/>
                <w:lang w:val="en-AU"/>
              </w:rPr>
              <w:t>.</w:t>
            </w:r>
          </w:p>
        </w:tc>
      </w:tr>
      <w:tr w:rsidR="000F3176" w:rsidRPr="00932A90" w14:paraId="2C72DB34" w14:textId="77777777" w:rsidTr="000F3176">
        <w:tblPrEx>
          <w:tblBorders>
            <w:bottom w:val="single" w:sz="4" w:space="0" w:color="auto"/>
          </w:tblBorders>
        </w:tblPrEx>
        <w:trPr>
          <w:cantSplit/>
        </w:trPr>
        <w:tc>
          <w:tcPr>
            <w:tcW w:w="385" w:type="pct"/>
            <w:tcBorders>
              <w:top w:val="single" w:sz="4" w:space="0" w:color="auto"/>
              <w:bottom w:val="single" w:sz="4" w:space="0" w:color="auto"/>
            </w:tcBorders>
            <w:shd w:val="clear" w:color="auto" w:fill="auto"/>
          </w:tcPr>
          <w:p w14:paraId="13E9AC08" w14:textId="77777777" w:rsidR="000F3176" w:rsidRPr="004B6C01" w:rsidRDefault="000F3176" w:rsidP="007B17A1">
            <w:pPr>
              <w:pStyle w:val="ESTableBody"/>
              <w:rPr>
                <w:lang w:val="en-AU"/>
              </w:rPr>
            </w:pPr>
            <w:r w:rsidRPr="004B6C01">
              <w:rPr>
                <w:lang w:val="en-AU"/>
              </w:rPr>
              <w:t>Key:</w:t>
            </w:r>
          </w:p>
        </w:tc>
        <w:tc>
          <w:tcPr>
            <w:tcW w:w="1820" w:type="pct"/>
            <w:tcBorders>
              <w:top w:val="single" w:sz="4" w:space="0" w:color="auto"/>
              <w:bottom w:val="single" w:sz="4" w:space="0" w:color="auto"/>
            </w:tcBorders>
            <w:shd w:val="clear" w:color="auto" w:fill="auto"/>
          </w:tcPr>
          <w:p w14:paraId="067957E5" w14:textId="77777777" w:rsidR="000F3176" w:rsidRPr="004B6C01" w:rsidRDefault="000F3176" w:rsidP="007B17A1">
            <w:pPr>
              <w:pStyle w:val="ESTableBody"/>
              <w:rPr>
                <w:lang w:val="en-AU"/>
              </w:rPr>
            </w:pPr>
            <w:r w:rsidRPr="004B6C01">
              <w:rPr>
                <w:lang w:val="en-AU"/>
              </w:rPr>
              <w:sym w:font="Wingdings" w:char="F0FC"/>
            </w:r>
            <w:r w:rsidRPr="004B6C01">
              <w:rPr>
                <w:lang w:val="en-AU"/>
              </w:rPr>
              <w:t xml:space="preserve"> Target achieved or exceeded</w:t>
            </w:r>
          </w:p>
        </w:tc>
        <w:tc>
          <w:tcPr>
            <w:tcW w:w="1343" w:type="pct"/>
            <w:gridSpan w:val="4"/>
            <w:tcBorders>
              <w:top w:val="single" w:sz="4" w:space="0" w:color="auto"/>
              <w:bottom w:val="single" w:sz="4" w:space="0" w:color="auto"/>
            </w:tcBorders>
            <w:shd w:val="clear" w:color="auto" w:fill="auto"/>
          </w:tcPr>
          <w:p w14:paraId="782DAD60" w14:textId="77777777" w:rsidR="000F3176" w:rsidRPr="004B6C01" w:rsidRDefault="000F3176" w:rsidP="007B17A1">
            <w:pPr>
              <w:pStyle w:val="ESTableBody"/>
              <w:rPr>
                <w:lang w:val="en-AU"/>
              </w:rPr>
            </w:pPr>
            <w:r w:rsidRPr="004B6C01">
              <w:rPr>
                <w:lang w:val="en-AU"/>
              </w:rPr>
              <w:sym w:font="Wingdings" w:char="F06E"/>
            </w:r>
            <w:r w:rsidRPr="004B6C01">
              <w:rPr>
                <w:lang w:val="en-AU"/>
              </w:rPr>
              <w:t xml:space="preserve"> Target not achieved—less than 5% variance</w:t>
            </w:r>
          </w:p>
        </w:tc>
        <w:tc>
          <w:tcPr>
            <w:tcW w:w="1452" w:type="pct"/>
            <w:gridSpan w:val="4"/>
            <w:tcBorders>
              <w:top w:val="single" w:sz="4" w:space="0" w:color="auto"/>
              <w:bottom w:val="single" w:sz="4" w:space="0" w:color="auto"/>
            </w:tcBorders>
            <w:shd w:val="clear" w:color="auto" w:fill="auto"/>
          </w:tcPr>
          <w:p w14:paraId="0B613D21" w14:textId="77777777" w:rsidR="000F3176" w:rsidRPr="004B6C01" w:rsidRDefault="000F3176" w:rsidP="007B17A1">
            <w:pPr>
              <w:pStyle w:val="ESTableBody"/>
              <w:rPr>
                <w:lang w:val="en-AU"/>
              </w:rPr>
            </w:pPr>
            <w:r w:rsidRPr="004B6C01">
              <w:rPr>
                <w:lang w:val="en-AU"/>
              </w:rPr>
              <w:sym w:font="Wingdings" w:char="F0FB"/>
            </w:r>
            <w:r w:rsidRPr="004B6C01">
              <w:rPr>
                <w:lang w:val="en-AU"/>
              </w:rPr>
              <w:t xml:space="preserve"> Target not achieved—more than 5% variance</w:t>
            </w:r>
          </w:p>
        </w:tc>
      </w:tr>
    </w:tbl>
    <w:p w14:paraId="786986DC" w14:textId="77777777" w:rsidR="00A61FF5" w:rsidRPr="004B6C01" w:rsidRDefault="00A61FF5" w:rsidP="00A61FF5">
      <w:pPr>
        <w:pStyle w:val="ESHeading3"/>
        <w:rPr>
          <w:lang w:val="en-AU"/>
        </w:rPr>
      </w:pPr>
      <w:r w:rsidRPr="004B6C01">
        <w:rPr>
          <w:lang w:val="en-AU"/>
        </w:rPr>
        <w:t>Support Services Delivery</w:t>
      </w:r>
    </w:p>
    <w:p w14:paraId="03678BFA" w14:textId="77777777" w:rsidR="00A61FF5" w:rsidRPr="004B6C01" w:rsidRDefault="00A61FF5" w:rsidP="00A61FF5">
      <w:pPr>
        <w:pStyle w:val="ESBodyText"/>
        <w:rPr>
          <w:lang w:val="en-AU"/>
        </w:rPr>
      </w:pPr>
      <w:r w:rsidRPr="004B6C01">
        <w:rPr>
          <w:lang w:val="en-AU"/>
        </w:rPr>
        <w:t>The Support Services Delivery output group primarily covers the Department’s Regional Services Group. It provides student welfare and support, student transport (excluding transport for special needs students) and health services. This output group contributes to providing and improving services that support all the Department’s objectives of achievement, engagement, wellbeing and productivity.</w:t>
      </w:r>
    </w:p>
    <w:p w14:paraId="3671B895" w14:textId="77777777" w:rsidR="00A61FF5" w:rsidRPr="004B6C01" w:rsidRDefault="00A61FF5" w:rsidP="00A61FF5">
      <w:pPr>
        <w:pStyle w:val="ESBodyText"/>
        <w:rPr>
          <w:lang w:val="en-AU"/>
        </w:rPr>
      </w:pPr>
      <w:r w:rsidRPr="004B6C01">
        <w:rPr>
          <w:lang w:val="en-AU"/>
        </w:rPr>
        <w:t>Except where indicated, these performance measures relate to the 2016 calendar year rather than the 2016–17 financial year.</w:t>
      </w:r>
    </w:p>
    <w:p w14:paraId="43C2FFE6" w14:textId="43F8D46D" w:rsidR="00A61FF5" w:rsidRPr="004B6C01" w:rsidRDefault="00A61FF5"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11</w:t>
      </w:r>
      <w:r w:rsidR="00D93BA2" w:rsidRPr="004B6C01">
        <w:rPr>
          <w:noProof/>
          <w:lang w:val="en-AU"/>
        </w:rPr>
        <w:fldChar w:fldCharType="end"/>
      </w:r>
      <w:r w:rsidRPr="004B6C01">
        <w:rPr>
          <w:lang w:val="en-AU"/>
        </w:rPr>
        <w:t xml:space="preserve"> – Support services delivery performance measures</w:t>
      </w:r>
    </w:p>
    <w:tbl>
      <w:tblPr>
        <w:tblW w:w="5015" w:type="pct"/>
        <w:tblInd w:w="-3" w:type="dxa"/>
        <w:tblLayout w:type="fixed"/>
        <w:tblCellMar>
          <w:left w:w="45" w:type="dxa"/>
          <w:right w:w="45" w:type="dxa"/>
        </w:tblCellMar>
        <w:tblLook w:val="0000" w:firstRow="0" w:lastRow="0" w:firstColumn="0" w:lastColumn="0" w:noHBand="0" w:noVBand="0"/>
      </w:tblPr>
      <w:tblGrid>
        <w:gridCol w:w="568"/>
        <w:gridCol w:w="2689"/>
        <w:gridCol w:w="564"/>
        <w:gridCol w:w="839"/>
        <w:gridCol w:w="581"/>
        <w:gridCol w:w="120"/>
        <w:gridCol w:w="675"/>
        <w:gridCol w:w="725"/>
        <w:gridCol w:w="604"/>
        <w:gridCol w:w="21"/>
      </w:tblGrid>
      <w:tr w:rsidR="00A61FF5" w:rsidRPr="00932A90" w14:paraId="0F1DCC42" w14:textId="77777777" w:rsidTr="000F3176">
        <w:trPr>
          <w:gridAfter w:val="1"/>
          <w:wAfter w:w="13" w:type="pct"/>
          <w:cantSplit/>
          <w:tblHeader/>
        </w:trPr>
        <w:tc>
          <w:tcPr>
            <w:tcW w:w="2587" w:type="pct"/>
            <w:gridSpan w:val="3"/>
            <w:shd w:val="clear" w:color="auto" w:fill="7F7F7F" w:themeFill="text1" w:themeFillTint="80"/>
          </w:tcPr>
          <w:p w14:paraId="2ADFF73E" w14:textId="77777777" w:rsidR="00A61FF5" w:rsidRPr="004B6C01" w:rsidRDefault="00A61FF5" w:rsidP="00D07480">
            <w:pPr>
              <w:pStyle w:val="ESTableheadingwhite75"/>
              <w:rPr>
                <w:lang w:val="en-AU"/>
              </w:rPr>
            </w:pPr>
            <w:r w:rsidRPr="004B6C01">
              <w:rPr>
                <w:lang w:val="en-AU"/>
              </w:rPr>
              <w:t>Performance measures</w:t>
            </w:r>
          </w:p>
        </w:tc>
        <w:tc>
          <w:tcPr>
            <w:tcW w:w="568" w:type="pct"/>
            <w:shd w:val="clear" w:color="auto" w:fill="7F7F7F" w:themeFill="text1" w:themeFillTint="80"/>
          </w:tcPr>
          <w:p w14:paraId="6D1CD372" w14:textId="77777777" w:rsidR="00A61FF5" w:rsidRPr="004B6C01" w:rsidRDefault="00A61FF5" w:rsidP="00D07480">
            <w:pPr>
              <w:pStyle w:val="ESTableheadingwhite75"/>
              <w:rPr>
                <w:lang w:val="en-AU"/>
              </w:rPr>
            </w:pPr>
            <w:r w:rsidRPr="004B6C01">
              <w:rPr>
                <w:lang w:val="en-AU"/>
              </w:rPr>
              <w:t>Unit of measure</w:t>
            </w:r>
          </w:p>
        </w:tc>
        <w:tc>
          <w:tcPr>
            <w:tcW w:w="474" w:type="pct"/>
            <w:gridSpan w:val="2"/>
            <w:shd w:val="clear" w:color="auto" w:fill="7F7F7F" w:themeFill="text1" w:themeFillTint="80"/>
          </w:tcPr>
          <w:p w14:paraId="05E8B906" w14:textId="77777777" w:rsidR="00A61FF5" w:rsidRPr="004B6C01" w:rsidRDefault="00A61FF5" w:rsidP="00D07480">
            <w:pPr>
              <w:pStyle w:val="ESTableheadingwhite75"/>
              <w:rPr>
                <w:lang w:val="en-AU"/>
              </w:rPr>
            </w:pPr>
            <w:r w:rsidRPr="004B6C01">
              <w:rPr>
                <w:lang w:val="en-AU"/>
              </w:rPr>
              <w:t>2016–17 Target</w:t>
            </w:r>
          </w:p>
        </w:tc>
        <w:tc>
          <w:tcPr>
            <w:tcW w:w="457" w:type="pct"/>
            <w:shd w:val="clear" w:color="auto" w:fill="7F7F7F" w:themeFill="text1" w:themeFillTint="80"/>
          </w:tcPr>
          <w:p w14:paraId="4C0ED15A" w14:textId="77777777" w:rsidR="00A61FF5" w:rsidRPr="004B6C01" w:rsidRDefault="00A61FF5" w:rsidP="00D07480">
            <w:pPr>
              <w:pStyle w:val="ESTableheadingwhite75"/>
              <w:rPr>
                <w:lang w:val="en-AU"/>
              </w:rPr>
            </w:pPr>
            <w:r w:rsidRPr="004B6C01">
              <w:rPr>
                <w:lang w:val="en-AU"/>
              </w:rPr>
              <w:t>2016–17 Actual</w:t>
            </w:r>
          </w:p>
        </w:tc>
        <w:tc>
          <w:tcPr>
            <w:tcW w:w="491" w:type="pct"/>
            <w:shd w:val="clear" w:color="auto" w:fill="7F7F7F" w:themeFill="text1" w:themeFillTint="80"/>
          </w:tcPr>
          <w:p w14:paraId="6F82500B" w14:textId="4BAB3722" w:rsidR="00A61FF5" w:rsidRPr="004B6C01" w:rsidRDefault="00660627" w:rsidP="00D07480">
            <w:pPr>
              <w:pStyle w:val="ESTableheadingwhite75"/>
              <w:rPr>
                <w:lang w:val="en-AU"/>
              </w:rPr>
            </w:pPr>
            <w:r w:rsidRPr="004B6C01">
              <w:rPr>
                <w:lang w:val="en-AU"/>
              </w:rPr>
              <w:t xml:space="preserve">Per cent </w:t>
            </w:r>
            <w:r w:rsidR="00A61FF5" w:rsidRPr="004B6C01">
              <w:rPr>
                <w:lang w:val="en-AU"/>
              </w:rPr>
              <w:t>variation</w:t>
            </w:r>
          </w:p>
        </w:tc>
        <w:tc>
          <w:tcPr>
            <w:tcW w:w="409" w:type="pct"/>
            <w:shd w:val="clear" w:color="auto" w:fill="7F7F7F" w:themeFill="text1" w:themeFillTint="80"/>
          </w:tcPr>
          <w:p w14:paraId="7545BAD7" w14:textId="77777777" w:rsidR="00A61FF5" w:rsidRPr="004B6C01" w:rsidRDefault="00A61FF5" w:rsidP="00D07480">
            <w:pPr>
              <w:pStyle w:val="ESTableheadingwhite75"/>
              <w:rPr>
                <w:lang w:val="en-AU"/>
              </w:rPr>
            </w:pPr>
            <w:r w:rsidRPr="004B6C01">
              <w:rPr>
                <w:lang w:val="en-AU"/>
              </w:rPr>
              <w:t>Result</w:t>
            </w:r>
          </w:p>
        </w:tc>
      </w:tr>
      <w:tr w:rsidR="00A61FF5" w:rsidRPr="00932A90" w14:paraId="61AF58ED" w14:textId="77777777" w:rsidTr="000F3176">
        <w:tblPrEx>
          <w:tblBorders>
            <w:bottom w:val="single" w:sz="12" w:space="0" w:color="777777"/>
          </w:tblBorders>
        </w:tblPrEx>
        <w:trPr>
          <w:gridAfter w:val="1"/>
          <w:wAfter w:w="13" w:type="pct"/>
          <w:cantSplit/>
        </w:trPr>
        <w:tc>
          <w:tcPr>
            <w:tcW w:w="4985" w:type="pct"/>
            <w:gridSpan w:val="9"/>
            <w:tcBorders>
              <w:top w:val="nil"/>
              <w:bottom w:val="nil"/>
            </w:tcBorders>
            <w:shd w:val="clear" w:color="auto" w:fill="auto"/>
            <w:vAlign w:val="center"/>
          </w:tcPr>
          <w:p w14:paraId="0531C716" w14:textId="77777777" w:rsidR="00A61FF5" w:rsidRPr="004B6C01" w:rsidRDefault="00A61FF5" w:rsidP="009A0BAD">
            <w:pPr>
              <w:pStyle w:val="ESTableheading"/>
              <w:rPr>
                <w:lang w:val="en-AU"/>
              </w:rPr>
            </w:pPr>
            <w:r w:rsidRPr="004B6C01">
              <w:rPr>
                <w:lang w:val="en-AU"/>
              </w:rPr>
              <w:t>Quantity</w:t>
            </w:r>
          </w:p>
        </w:tc>
      </w:tr>
      <w:tr w:rsidR="00A61FF5" w:rsidRPr="00932A90" w14:paraId="0369FF9E" w14:textId="77777777" w:rsidTr="000F3176">
        <w:trPr>
          <w:gridAfter w:val="1"/>
          <w:wAfter w:w="13" w:type="pct"/>
          <w:cantSplit/>
        </w:trPr>
        <w:tc>
          <w:tcPr>
            <w:tcW w:w="2587" w:type="pct"/>
            <w:gridSpan w:val="3"/>
            <w:shd w:val="clear" w:color="auto" w:fill="auto"/>
            <w:vAlign w:val="center"/>
          </w:tcPr>
          <w:p w14:paraId="1EF3764F" w14:textId="1A992BD0" w:rsidR="00A61FF5" w:rsidRPr="004B6C01" w:rsidRDefault="00A61FF5" w:rsidP="00D07480">
            <w:pPr>
              <w:pStyle w:val="ESTableBody"/>
              <w:rPr>
                <w:lang w:val="en-AU"/>
              </w:rPr>
            </w:pPr>
            <w:r w:rsidRPr="004B6C01">
              <w:rPr>
                <w:lang w:val="en-AU"/>
              </w:rPr>
              <w:t>Eligible Primary School students in receipt of</w:t>
            </w:r>
            <w:r w:rsidR="00366F71" w:rsidRPr="004B6C01">
              <w:rPr>
                <w:lang w:val="en-AU"/>
              </w:rPr>
              <w:t xml:space="preserve"> </w:t>
            </w:r>
            <w:r w:rsidRPr="004B6C01">
              <w:rPr>
                <w:lang w:val="en-AU"/>
              </w:rPr>
              <w:t xml:space="preserve"> Camps, Sports and Excursions Fund</w:t>
            </w:r>
          </w:p>
        </w:tc>
        <w:tc>
          <w:tcPr>
            <w:tcW w:w="568" w:type="pct"/>
            <w:shd w:val="clear" w:color="auto" w:fill="auto"/>
          </w:tcPr>
          <w:p w14:paraId="7D0E71FD" w14:textId="77777777" w:rsidR="00A61FF5" w:rsidRPr="004B6C01" w:rsidRDefault="00A61FF5" w:rsidP="00D07480">
            <w:pPr>
              <w:pStyle w:val="ESTableBody"/>
              <w:rPr>
                <w:lang w:val="en-AU"/>
              </w:rPr>
            </w:pPr>
            <w:r w:rsidRPr="004B6C01">
              <w:rPr>
                <w:lang w:val="en-AU"/>
              </w:rPr>
              <w:t>number</w:t>
            </w:r>
          </w:p>
        </w:tc>
        <w:tc>
          <w:tcPr>
            <w:tcW w:w="474" w:type="pct"/>
            <w:gridSpan w:val="2"/>
            <w:shd w:val="clear" w:color="auto" w:fill="auto"/>
          </w:tcPr>
          <w:p w14:paraId="2E37E714" w14:textId="77777777" w:rsidR="00A61FF5" w:rsidRPr="004B6C01" w:rsidRDefault="00A61FF5" w:rsidP="00E139AD">
            <w:pPr>
              <w:pStyle w:val="ESTableBody"/>
              <w:jc w:val="right"/>
              <w:rPr>
                <w:lang w:val="en-AU"/>
              </w:rPr>
            </w:pPr>
            <w:r w:rsidRPr="004B6C01">
              <w:rPr>
                <w:lang w:val="en-AU"/>
              </w:rPr>
              <w:t>139,000</w:t>
            </w:r>
          </w:p>
        </w:tc>
        <w:tc>
          <w:tcPr>
            <w:tcW w:w="457" w:type="pct"/>
            <w:shd w:val="clear" w:color="auto" w:fill="auto"/>
          </w:tcPr>
          <w:p w14:paraId="31A8C0F5" w14:textId="77777777" w:rsidR="00A61FF5" w:rsidRPr="004B6C01" w:rsidRDefault="00A61FF5" w:rsidP="00E139AD">
            <w:pPr>
              <w:pStyle w:val="ESTableBody"/>
              <w:jc w:val="right"/>
              <w:rPr>
                <w:lang w:val="en-AU"/>
              </w:rPr>
            </w:pPr>
            <w:r w:rsidRPr="004B6C01">
              <w:rPr>
                <w:lang w:val="en-AU"/>
              </w:rPr>
              <w:t>127,022</w:t>
            </w:r>
          </w:p>
        </w:tc>
        <w:tc>
          <w:tcPr>
            <w:tcW w:w="491" w:type="pct"/>
          </w:tcPr>
          <w:p w14:paraId="31FF56EA" w14:textId="77777777" w:rsidR="00A61FF5" w:rsidRPr="004B6C01" w:rsidRDefault="00A61FF5" w:rsidP="00E139AD">
            <w:pPr>
              <w:pStyle w:val="ESTableBody"/>
              <w:jc w:val="right"/>
              <w:rPr>
                <w:lang w:val="en-AU"/>
              </w:rPr>
            </w:pPr>
            <w:r w:rsidRPr="004B6C01">
              <w:rPr>
                <w:lang w:val="en-AU"/>
              </w:rPr>
              <w:t>-8.6</w:t>
            </w:r>
          </w:p>
        </w:tc>
        <w:tc>
          <w:tcPr>
            <w:tcW w:w="409" w:type="pct"/>
          </w:tcPr>
          <w:p w14:paraId="2BB615AB" w14:textId="77777777" w:rsidR="00A61FF5" w:rsidRPr="004B6C01" w:rsidRDefault="00A61FF5" w:rsidP="00046452">
            <w:pPr>
              <w:pStyle w:val="ESTableBody"/>
              <w:jc w:val="center"/>
              <w:rPr>
                <w:lang w:val="en-AU"/>
              </w:rPr>
            </w:pPr>
            <w:r w:rsidRPr="004B6C01">
              <w:rPr>
                <w:lang w:val="en-AU"/>
              </w:rPr>
              <w:sym w:font="Wingdings" w:char="F0FB"/>
            </w:r>
          </w:p>
        </w:tc>
      </w:tr>
      <w:tr w:rsidR="00A61FF5" w:rsidRPr="00932A90" w14:paraId="0B305BEF"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147FF03F" w14:textId="77777777" w:rsidR="00A61FF5" w:rsidRPr="004B6C01" w:rsidRDefault="00A61FF5" w:rsidP="00D07480">
            <w:pPr>
              <w:pStyle w:val="ESTableBody"/>
              <w:rPr>
                <w:i/>
                <w:lang w:val="en-AU"/>
              </w:rPr>
            </w:pPr>
            <w:r w:rsidRPr="004B6C01">
              <w:rPr>
                <w:i/>
                <w:lang w:val="en-AU"/>
              </w:rPr>
              <w:t>New performance measure for 2016–17 to reflect Government priorities regarding assisting families, ensuring all Victorian students can take part in school camps, excursions and sporting activities. The 2016–17 actual is lower than the 2016–17 target due to a lower number of applications from eligible families (concession card holders).</w:t>
            </w:r>
          </w:p>
        </w:tc>
      </w:tr>
      <w:tr w:rsidR="00A61FF5" w:rsidRPr="00932A90" w14:paraId="63117D90" w14:textId="77777777" w:rsidTr="000F3176">
        <w:trPr>
          <w:gridAfter w:val="1"/>
          <w:wAfter w:w="13" w:type="pct"/>
          <w:cantSplit/>
        </w:trPr>
        <w:tc>
          <w:tcPr>
            <w:tcW w:w="2587" w:type="pct"/>
            <w:gridSpan w:val="3"/>
            <w:shd w:val="clear" w:color="auto" w:fill="auto"/>
            <w:vAlign w:val="center"/>
          </w:tcPr>
          <w:p w14:paraId="59439865" w14:textId="7B5B4130" w:rsidR="00A61FF5" w:rsidRPr="004B6C01" w:rsidRDefault="00A61FF5" w:rsidP="003E66EB">
            <w:pPr>
              <w:pStyle w:val="ESTableBody"/>
              <w:rPr>
                <w:lang w:val="en-AU"/>
              </w:rPr>
            </w:pPr>
            <w:r w:rsidRPr="004B6C01">
              <w:rPr>
                <w:lang w:val="en-AU"/>
              </w:rPr>
              <w:t>Eligible Secondary School students in receipt of Camps, Sports and Excursions Fund</w:t>
            </w:r>
          </w:p>
        </w:tc>
        <w:tc>
          <w:tcPr>
            <w:tcW w:w="568" w:type="pct"/>
            <w:shd w:val="clear" w:color="auto" w:fill="auto"/>
          </w:tcPr>
          <w:p w14:paraId="113A39DB" w14:textId="77777777" w:rsidR="00A61FF5" w:rsidRPr="004B6C01" w:rsidRDefault="00A61FF5" w:rsidP="00D07480">
            <w:pPr>
              <w:pStyle w:val="ESTableBody"/>
              <w:rPr>
                <w:lang w:val="en-AU"/>
              </w:rPr>
            </w:pPr>
            <w:r w:rsidRPr="004B6C01">
              <w:rPr>
                <w:lang w:val="en-AU"/>
              </w:rPr>
              <w:t>number</w:t>
            </w:r>
          </w:p>
        </w:tc>
        <w:tc>
          <w:tcPr>
            <w:tcW w:w="474" w:type="pct"/>
            <w:gridSpan w:val="2"/>
            <w:shd w:val="clear" w:color="auto" w:fill="auto"/>
          </w:tcPr>
          <w:p w14:paraId="01CA2DE6" w14:textId="77777777" w:rsidR="00A61FF5" w:rsidRPr="004B6C01" w:rsidRDefault="00A61FF5" w:rsidP="00E139AD">
            <w:pPr>
              <w:pStyle w:val="ESTableBody"/>
              <w:jc w:val="right"/>
              <w:rPr>
                <w:lang w:val="en-AU"/>
              </w:rPr>
            </w:pPr>
            <w:r w:rsidRPr="004B6C01">
              <w:rPr>
                <w:lang w:val="en-AU"/>
              </w:rPr>
              <w:t>81,000</w:t>
            </w:r>
          </w:p>
        </w:tc>
        <w:tc>
          <w:tcPr>
            <w:tcW w:w="457" w:type="pct"/>
            <w:shd w:val="clear" w:color="auto" w:fill="auto"/>
          </w:tcPr>
          <w:p w14:paraId="444F91E4" w14:textId="77777777" w:rsidR="00A61FF5" w:rsidRPr="004B6C01" w:rsidRDefault="00A61FF5" w:rsidP="00E139AD">
            <w:pPr>
              <w:pStyle w:val="ESTableBody"/>
              <w:jc w:val="right"/>
              <w:rPr>
                <w:lang w:val="en-AU"/>
              </w:rPr>
            </w:pPr>
            <w:r w:rsidRPr="004B6C01">
              <w:rPr>
                <w:lang w:val="en-AU"/>
              </w:rPr>
              <w:t>78,637</w:t>
            </w:r>
          </w:p>
        </w:tc>
        <w:tc>
          <w:tcPr>
            <w:tcW w:w="491" w:type="pct"/>
          </w:tcPr>
          <w:p w14:paraId="3B9CC0A8" w14:textId="77777777" w:rsidR="00A61FF5" w:rsidRPr="004B6C01" w:rsidRDefault="00A61FF5" w:rsidP="00E139AD">
            <w:pPr>
              <w:pStyle w:val="ESTableBody"/>
              <w:jc w:val="right"/>
              <w:rPr>
                <w:lang w:val="en-AU"/>
              </w:rPr>
            </w:pPr>
            <w:r w:rsidRPr="004B6C01">
              <w:rPr>
                <w:lang w:val="en-AU"/>
              </w:rPr>
              <w:t>-2.9</w:t>
            </w:r>
          </w:p>
        </w:tc>
        <w:tc>
          <w:tcPr>
            <w:tcW w:w="409" w:type="pct"/>
          </w:tcPr>
          <w:p w14:paraId="0797BBEF"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0BC9985B"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310AF0EE" w14:textId="4A7AE73B" w:rsidR="00A61FF5" w:rsidRPr="004B6C01" w:rsidRDefault="00A61FF5" w:rsidP="00D07480">
            <w:pPr>
              <w:pStyle w:val="ESTableBody"/>
              <w:rPr>
                <w:i/>
                <w:lang w:val="en-AU"/>
              </w:rPr>
            </w:pPr>
            <w:r w:rsidRPr="004B6C01">
              <w:rPr>
                <w:i/>
                <w:lang w:val="en-AU"/>
              </w:rPr>
              <w:t>New performance measure for 2016–17 to reflect Government priorities regarding assisting families,</w:t>
            </w:r>
            <w:r w:rsidR="00366F71" w:rsidRPr="004B6C01">
              <w:rPr>
                <w:i/>
                <w:lang w:val="en-AU"/>
              </w:rPr>
              <w:t xml:space="preserve"> </w:t>
            </w:r>
            <w:r w:rsidRPr="004B6C01">
              <w:rPr>
                <w:i/>
                <w:lang w:val="en-AU"/>
              </w:rPr>
              <w:t>ensuring all Victorian students can take part in school camps, excursions and sporting activities. The 2016–17 actual is lower than the 2016–17 target due to a lower number of applications from eligible families (concession card holders).</w:t>
            </w:r>
            <w:r w:rsidR="00366F71" w:rsidRPr="004B6C01">
              <w:rPr>
                <w:i/>
                <w:lang w:val="en-AU"/>
              </w:rPr>
              <w:t xml:space="preserve"> </w:t>
            </w:r>
          </w:p>
        </w:tc>
      </w:tr>
      <w:tr w:rsidR="00A61FF5" w:rsidRPr="00932A90" w14:paraId="2DC8C668" w14:textId="77777777" w:rsidTr="000F3176">
        <w:trPr>
          <w:gridAfter w:val="1"/>
          <w:wAfter w:w="13" w:type="pct"/>
          <w:cantSplit/>
        </w:trPr>
        <w:tc>
          <w:tcPr>
            <w:tcW w:w="2587" w:type="pct"/>
            <w:gridSpan w:val="3"/>
            <w:shd w:val="clear" w:color="auto" w:fill="auto"/>
            <w:vAlign w:val="center"/>
          </w:tcPr>
          <w:p w14:paraId="4FE68FE2" w14:textId="77777777" w:rsidR="00A61FF5" w:rsidRPr="00C86AF4" w:rsidRDefault="00A61FF5" w:rsidP="00D07480">
            <w:pPr>
              <w:pStyle w:val="ESTableBody"/>
              <w:rPr>
                <w:lang w:val="en-AU"/>
              </w:rPr>
            </w:pPr>
            <w:r w:rsidRPr="00C86AF4">
              <w:rPr>
                <w:lang w:val="en-AU"/>
              </w:rPr>
              <w:t>Investment in student welfare and support</w:t>
            </w:r>
          </w:p>
        </w:tc>
        <w:tc>
          <w:tcPr>
            <w:tcW w:w="568" w:type="pct"/>
            <w:shd w:val="clear" w:color="auto" w:fill="auto"/>
          </w:tcPr>
          <w:p w14:paraId="5B2AAD1D" w14:textId="77777777" w:rsidR="00A61FF5" w:rsidRPr="00C86AF4" w:rsidRDefault="00A61FF5" w:rsidP="00D07480">
            <w:pPr>
              <w:pStyle w:val="ESTableBody"/>
              <w:rPr>
                <w:lang w:val="en-AU"/>
              </w:rPr>
            </w:pPr>
            <w:r w:rsidRPr="00C86AF4">
              <w:rPr>
                <w:lang w:val="en-AU"/>
              </w:rPr>
              <w:t>$ million</w:t>
            </w:r>
          </w:p>
        </w:tc>
        <w:tc>
          <w:tcPr>
            <w:tcW w:w="474" w:type="pct"/>
            <w:gridSpan w:val="2"/>
            <w:shd w:val="clear" w:color="auto" w:fill="auto"/>
          </w:tcPr>
          <w:p w14:paraId="0F400D7A" w14:textId="77777777" w:rsidR="00A61FF5" w:rsidRPr="00C86AF4" w:rsidRDefault="00A61FF5" w:rsidP="00E139AD">
            <w:pPr>
              <w:pStyle w:val="ESTableBody"/>
              <w:jc w:val="right"/>
              <w:rPr>
                <w:lang w:val="en-AU"/>
              </w:rPr>
            </w:pPr>
            <w:r w:rsidRPr="00C86AF4">
              <w:rPr>
                <w:lang w:val="en-AU"/>
              </w:rPr>
              <w:t>274.8</w:t>
            </w:r>
          </w:p>
        </w:tc>
        <w:tc>
          <w:tcPr>
            <w:tcW w:w="457" w:type="pct"/>
            <w:shd w:val="clear" w:color="auto" w:fill="auto"/>
          </w:tcPr>
          <w:p w14:paraId="2751AFED" w14:textId="4E7741D8" w:rsidR="00A61FF5" w:rsidRPr="00C86AF4" w:rsidRDefault="00C86AF4" w:rsidP="00E139AD">
            <w:pPr>
              <w:pStyle w:val="ESTableBody"/>
              <w:jc w:val="right"/>
              <w:rPr>
                <w:lang w:val="en-AU"/>
              </w:rPr>
            </w:pPr>
            <w:r w:rsidRPr="00C86AF4">
              <w:rPr>
                <w:lang w:val="en-AU"/>
              </w:rPr>
              <w:t>321.6</w:t>
            </w:r>
          </w:p>
        </w:tc>
        <w:tc>
          <w:tcPr>
            <w:tcW w:w="491" w:type="pct"/>
          </w:tcPr>
          <w:p w14:paraId="03D6F031" w14:textId="085D4924" w:rsidR="00A61FF5" w:rsidRPr="00C86AF4" w:rsidRDefault="00C86AF4" w:rsidP="00E139AD">
            <w:pPr>
              <w:pStyle w:val="ESTableBody"/>
              <w:jc w:val="right"/>
              <w:rPr>
                <w:lang w:val="en-AU"/>
              </w:rPr>
            </w:pPr>
            <w:r w:rsidRPr="00C86AF4">
              <w:rPr>
                <w:lang w:val="en-AU"/>
              </w:rPr>
              <w:t>17.0</w:t>
            </w:r>
          </w:p>
        </w:tc>
        <w:tc>
          <w:tcPr>
            <w:tcW w:w="409" w:type="pct"/>
          </w:tcPr>
          <w:p w14:paraId="67C93A27" w14:textId="77777777" w:rsidR="00A61FF5" w:rsidRPr="00C86AF4" w:rsidRDefault="00A61FF5" w:rsidP="00046452">
            <w:pPr>
              <w:pStyle w:val="ESTableBody"/>
              <w:jc w:val="center"/>
              <w:rPr>
                <w:lang w:val="en-AU"/>
              </w:rPr>
            </w:pPr>
            <w:r w:rsidRPr="00C86AF4">
              <w:rPr>
                <w:lang w:val="en-AU"/>
              </w:rPr>
              <w:sym w:font="Wingdings" w:char="F0FB"/>
            </w:r>
          </w:p>
        </w:tc>
      </w:tr>
      <w:tr w:rsidR="00A61FF5" w:rsidRPr="00932A90" w14:paraId="117728F3"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0A704E43" w14:textId="6C27D2C1" w:rsidR="00A61FF5" w:rsidRPr="004B6C01" w:rsidRDefault="001B57F4" w:rsidP="00D07480">
            <w:pPr>
              <w:pStyle w:val="ESTableBody"/>
              <w:rPr>
                <w:i/>
                <w:highlight w:val="yellow"/>
                <w:lang w:val="en-AU"/>
              </w:rPr>
            </w:pPr>
            <w:r>
              <w:rPr>
                <w:i/>
                <w:lang w:val="en-AU"/>
              </w:rPr>
              <w:t>The 2016</w:t>
            </w:r>
            <w:r w:rsidRPr="004B6C01">
              <w:rPr>
                <w:i/>
                <w:lang w:val="en-AU"/>
              </w:rPr>
              <w:t>–</w:t>
            </w:r>
            <w:r w:rsidR="00C86AF4" w:rsidRPr="00C86AF4">
              <w:rPr>
                <w:i/>
                <w:lang w:val="en-AU"/>
              </w:rPr>
              <w:t>17</w:t>
            </w:r>
            <w:r w:rsidR="003B3E24">
              <w:rPr>
                <w:i/>
                <w:lang w:val="en-AU"/>
              </w:rPr>
              <w:t xml:space="preserve"> Actual is higher than the 2016</w:t>
            </w:r>
            <w:r w:rsidR="003B3E24" w:rsidRPr="004B6C01">
              <w:rPr>
                <w:i/>
                <w:lang w:val="en-AU"/>
              </w:rPr>
              <w:t>–</w:t>
            </w:r>
            <w:r w:rsidR="00C86AF4" w:rsidRPr="00C86AF4">
              <w:rPr>
                <w:i/>
                <w:lang w:val="en-AU"/>
              </w:rPr>
              <w:t xml:space="preserve">17 </w:t>
            </w:r>
            <w:r w:rsidR="00C86AF4">
              <w:rPr>
                <w:i/>
                <w:lang w:val="en-AU"/>
              </w:rPr>
              <w:t>t</w:t>
            </w:r>
            <w:r w:rsidR="00C86AF4" w:rsidRPr="00C86AF4">
              <w:rPr>
                <w:i/>
                <w:lang w:val="en-AU"/>
              </w:rPr>
              <w:t>arget primarily due to the better reclassification of regional support services such as Learning Places, Navigator and Lookout programs under support services delivery output.</w:t>
            </w:r>
          </w:p>
        </w:tc>
      </w:tr>
      <w:tr w:rsidR="00A61FF5" w:rsidRPr="00932A90" w14:paraId="06DD32C3" w14:textId="77777777" w:rsidTr="000F3176">
        <w:trPr>
          <w:gridAfter w:val="1"/>
          <w:wAfter w:w="13" w:type="pct"/>
          <w:cantSplit/>
        </w:trPr>
        <w:tc>
          <w:tcPr>
            <w:tcW w:w="2587" w:type="pct"/>
            <w:gridSpan w:val="3"/>
            <w:shd w:val="clear" w:color="auto" w:fill="auto"/>
            <w:vAlign w:val="center"/>
          </w:tcPr>
          <w:p w14:paraId="236AA621" w14:textId="77777777" w:rsidR="00A61FF5" w:rsidRPr="00C86AF4" w:rsidRDefault="00A61FF5" w:rsidP="00D07480">
            <w:pPr>
              <w:pStyle w:val="ESTableBody"/>
              <w:rPr>
                <w:lang w:val="en-AU"/>
              </w:rPr>
            </w:pPr>
            <w:r w:rsidRPr="00C86AF4">
              <w:rPr>
                <w:lang w:val="en-AU"/>
              </w:rPr>
              <w:t>Investment in travelling allowances and transport support (excluding special needs students)</w:t>
            </w:r>
          </w:p>
        </w:tc>
        <w:tc>
          <w:tcPr>
            <w:tcW w:w="568" w:type="pct"/>
            <w:shd w:val="clear" w:color="auto" w:fill="auto"/>
          </w:tcPr>
          <w:p w14:paraId="4D740E23" w14:textId="77777777" w:rsidR="00A61FF5" w:rsidRPr="00C86AF4" w:rsidRDefault="00A61FF5" w:rsidP="00D07480">
            <w:pPr>
              <w:pStyle w:val="ESTableBody"/>
              <w:rPr>
                <w:lang w:val="en-AU"/>
              </w:rPr>
            </w:pPr>
            <w:r w:rsidRPr="00C86AF4">
              <w:rPr>
                <w:lang w:val="en-AU"/>
              </w:rPr>
              <w:t>$ million</w:t>
            </w:r>
          </w:p>
        </w:tc>
        <w:tc>
          <w:tcPr>
            <w:tcW w:w="474" w:type="pct"/>
            <w:gridSpan w:val="2"/>
            <w:shd w:val="clear" w:color="auto" w:fill="auto"/>
          </w:tcPr>
          <w:p w14:paraId="784F3FDC" w14:textId="77777777" w:rsidR="00A61FF5" w:rsidRPr="00C86AF4" w:rsidRDefault="00A61FF5" w:rsidP="00E139AD">
            <w:pPr>
              <w:pStyle w:val="ESTableBody"/>
              <w:jc w:val="right"/>
              <w:rPr>
                <w:lang w:val="en-AU"/>
              </w:rPr>
            </w:pPr>
            <w:r w:rsidRPr="00C86AF4">
              <w:rPr>
                <w:lang w:val="en-AU"/>
              </w:rPr>
              <w:t>39.2</w:t>
            </w:r>
          </w:p>
        </w:tc>
        <w:tc>
          <w:tcPr>
            <w:tcW w:w="457" w:type="pct"/>
            <w:shd w:val="clear" w:color="auto" w:fill="auto"/>
          </w:tcPr>
          <w:p w14:paraId="1351D163" w14:textId="57B24A67" w:rsidR="00A61FF5" w:rsidRPr="00C86AF4" w:rsidRDefault="00A61FF5" w:rsidP="00E139AD">
            <w:pPr>
              <w:pStyle w:val="ESTableBody"/>
              <w:jc w:val="right"/>
              <w:rPr>
                <w:lang w:val="en-AU"/>
              </w:rPr>
            </w:pPr>
            <w:r w:rsidRPr="00C86AF4">
              <w:rPr>
                <w:lang w:val="en-AU"/>
              </w:rPr>
              <w:t>41.</w:t>
            </w:r>
            <w:r w:rsidR="00C86AF4" w:rsidRPr="00C86AF4">
              <w:rPr>
                <w:lang w:val="en-AU"/>
              </w:rPr>
              <w:t>0</w:t>
            </w:r>
          </w:p>
        </w:tc>
        <w:tc>
          <w:tcPr>
            <w:tcW w:w="491" w:type="pct"/>
          </w:tcPr>
          <w:p w14:paraId="44DA7D2F" w14:textId="6DE3BCC7" w:rsidR="00A61FF5" w:rsidRPr="00C86AF4" w:rsidRDefault="00C86AF4" w:rsidP="00E139AD">
            <w:pPr>
              <w:pStyle w:val="ESTableBody"/>
              <w:jc w:val="right"/>
              <w:rPr>
                <w:lang w:val="en-AU"/>
              </w:rPr>
            </w:pPr>
            <w:r w:rsidRPr="00C86AF4">
              <w:rPr>
                <w:lang w:val="en-AU"/>
              </w:rPr>
              <w:t>4.7</w:t>
            </w:r>
          </w:p>
        </w:tc>
        <w:tc>
          <w:tcPr>
            <w:tcW w:w="409" w:type="pct"/>
          </w:tcPr>
          <w:p w14:paraId="0D015316" w14:textId="461741BF" w:rsidR="00A61FF5" w:rsidRPr="00C86AF4" w:rsidRDefault="00F50C19" w:rsidP="00046452">
            <w:pPr>
              <w:pStyle w:val="ESTableBody"/>
              <w:jc w:val="center"/>
              <w:rPr>
                <w:lang w:val="en-AU"/>
              </w:rPr>
            </w:pPr>
            <w:r w:rsidRPr="004B6C01">
              <w:rPr>
                <w:lang w:val="en-AU"/>
              </w:rPr>
              <w:sym w:font="Wingdings" w:char="F06E"/>
            </w:r>
          </w:p>
        </w:tc>
      </w:tr>
      <w:tr w:rsidR="00A61FF5" w:rsidRPr="00932A90" w14:paraId="2F822F2A"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6EF1060E" w14:textId="670DDB89" w:rsidR="00A61FF5" w:rsidRPr="00C86AF4" w:rsidRDefault="00A61FF5" w:rsidP="00D07480">
            <w:pPr>
              <w:pStyle w:val="ESTableBody"/>
              <w:rPr>
                <w:i/>
                <w:lang w:val="en-AU"/>
              </w:rPr>
            </w:pPr>
            <w:r w:rsidRPr="00C86AF4">
              <w:rPr>
                <w:i/>
                <w:lang w:val="en-AU"/>
              </w:rPr>
              <w:t xml:space="preserve">The </w:t>
            </w:r>
            <w:r w:rsidR="001B57F4">
              <w:rPr>
                <w:i/>
                <w:lang w:val="en-AU"/>
              </w:rPr>
              <w:t>2016</w:t>
            </w:r>
            <w:r w:rsidR="001B57F4" w:rsidRPr="004B6C01">
              <w:rPr>
                <w:i/>
                <w:lang w:val="en-AU"/>
              </w:rPr>
              <w:t>–</w:t>
            </w:r>
            <w:r w:rsidR="00C86AF4" w:rsidRPr="00C86AF4">
              <w:rPr>
                <w:i/>
                <w:lang w:val="en-AU"/>
              </w:rPr>
              <w:t xml:space="preserve">17 Actual is </w:t>
            </w:r>
            <w:r w:rsidRPr="00C86AF4">
              <w:rPr>
                <w:i/>
                <w:lang w:val="en-AU"/>
              </w:rPr>
              <w:t xml:space="preserve">higher </w:t>
            </w:r>
            <w:r w:rsidR="00C86AF4" w:rsidRPr="00C86AF4">
              <w:rPr>
                <w:i/>
                <w:lang w:val="en-AU"/>
              </w:rPr>
              <w:t>than</w:t>
            </w:r>
            <w:r w:rsidRPr="00C86AF4">
              <w:rPr>
                <w:i/>
                <w:lang w:val="en-AU"/>
              </w:rPr>
              <w:t xml:space="preserve"> the 2016</w:t>
            </w:r>
            <w:r w:rsidR="003B3E24" w:rsidRPr="004B6C01">
              <w:rPr>
                <w:i/>
                <w:lang w:val="en-AU"/>
              </w:rPr>
              <w:t>–</w:t>
            </w:r>
            <w:r w:rsidRPr="00C86AF4">
              <w:rPr>
                <w:i/>
                <w:lang w:val="en-AU"/>
              </w:rPr>
              <w:t xml:space="preserve">17 </w:t>
            </w:r>
            <w:r w:rsidR="00C86AF4" w:rsidRPr="00C86AF4">
              <w:rPr>
                <w:i/>
                <w:lang w:val="en-AU"/>
              </w:rPr>
              <w:t>Target</w:t>
            </w:r>
            <w:r w:rsidRPr="00C86AF4">
              <w:rPr>
                <w:i/>
                <w:lang w:val="en-AU"/>
              </w:rPr>
              <w:t xml:space="preserve"> primarily </w:t>
            </w:r>
            <w:r w:rsidR="00C86AF4" w:rsidRPr="00C86AF4">
              <w:rPr>
                <w:i/>
                <w:lang w:val="en-AU"/>
              </w:rPr>
              <w:t>due to</w:t>
            </w:r>
            <w:r w:rsidRPr="00C86AF4">
              <w:rPr>
                <w:i/>
                <w:lang w:val="en-AU"/>
              </w:rPr>
              <w:t xml:space="preserve"> growth in enrolment</w:t>
            </w:r>
            <w:r w:rsidR="00C86AF4" w:rsidRPr="00C86AF4">
              <w:rPr>
                <w:i/>
                <w:lang w:val="en-AU"/>
              </w:rPr>
              <w:t xml:space="preserve"> numbers</w:t>
            </w:r>
            <w:r w:rsidRPr="00C86AF4">
              <w:rPr>
                <w:i/>
                <w:lang w:val="en-AU"/>
              </w:rPr>
              <w:t>.</w:t>
            </w:r>
          </w:p>
        </w:tc>
      </w:tr>
      <w:tr w:rsidR="00A61FF5" w:rsidRPr="00932A90" w14:paraId="03FFFB44" w14:textId="77777777" w:rsidTr="000F3176">
        <w:trPr>
          <w:gridAfter w:val="1"/>
          <w:wAfter w:w="13" w:type="pct"/>
          <w:cantSplit/>
        </w:trPr>
        <w:tc>
          <w:tcPr>
            <w:tcW w:w="2587" w:type="pct"/>
            <w:gridSpan w:val="3"/>
            <w:shd w:val="clear" w:color="auto" w:fill="auto"/>
            <w:vAlign w:val="center"/>
          </w:tcPr>
          <w:p w14:paraId="30581D46" w14:textId="77777777" w:rsidR="00A61FF5" w:rsidRPr="004B6C01" w:rsidRDefault="00A61FF5" w:rsidP="00D07480">
            <w:pPr>
              <w:pStyle w:val="ESTableBody"/>
              <w:rPr>
                <w:lang w:val="en-AU"/>
              </w:rPr>
            </w:pPr>
            <w:r w:rsidRPr="004B6C01">
              <w:rPr>
                <w:lang w:val="en-AU"/>
              </w:rPr>
              <w:t>Prep-aged students assessed by school nurses</w:t>
            </w:r>
          </w:p>
        </w:tc>
        <w:tc>
          <w:tcPr>
            <w:tcW w:w="568" w:type="pct"/>
            <w:shd w:val="clear" w:color="auto" w:fill="auto"/>
          </w:tcPr>
          <w:p w14:paraId="3F67D70E" w14:textId="77777777" w:rsidR="00A61FF5" w:rsidRPr="004B6C01" w:rsidRDefault="00A61FF5" w:rsidP="00D07480">
            <w:pPr>
              <w:pStyle w:val="ESTableBody"/>
              <w:rPr>
                <w:lang w:val="en-AU"/>
              </w:rPr>
            </w:pPr>
            <w:r w:rsidRPr="004B6C01">
              <w:rPr>
                <w:lang w:val="en-AU"/>
              </w:rPr>
              <w:t>number</w:t>
            </w:r>
          </w:p>
        </w:tc>
        <w:tc>
          <w:tcPr>
            <w:tcW w:w="474" w:type="pct"/>
            <w:gridSpan w:val="2"/>
            <w:shd w:val="clear" w:color="auto" w:fill="auto"/>
          </w:tcPr>
          <w:p w14:paraId="0DB1F8A6" w14:textId="77777777" w:rsidR="00A61FF5" w:rsidRPr="004B6C01" w:rsidRDefault="00A61FF5" w:rsidP="00E139AD">
            <w:pPr>
              <w:pStyle w:val="ESTableBody"/>
              <w:jc w:val="right"/>
              <w:rPr>
                <w:lang w:val="en-AU"/>
              </w:rPr>
            </w:pPr>
            <w:r w:rsidRPr="004B6C01">
              <w:rPr>
                <w:lang w:val="en-AU"/>
              </w:rPr>
              <w:t>60,000</w:t>
            </w:r>
          </w:p>
        </w:tc>
        <w:tc>
          <w:tcPr>
            <w:tcW w:w="457" w:type="pct"/>
            <w:shd w:val="clear" w:color="auto" w:fill="auto"/>
          </w:tcPr>
          <w:p w14:paraId="7F9CB37F" w14:textId="77777777" w:rsidR="00A61FF5" w:rsidRPr="004B6C01" w:rsidRDefault="00A61FF5" w:rsidP="00E139AD">
            <w:pPr>
              <w:pStyle w:val="ESTableBody"/>
              <w:jc w:val="right"/>
              <w:rPr>
                <w:lang w:val="en-AU"/>
              </w:rPr>
            </w:pPr>
            <w:r w:rsidRPr="004B6C01">
              <w:rPr>
                <w:lang w:val="en-AU"/>
              </w:rPr>
              <w:t>64,110</w:t>
            </w:r>
          </w:p>
        </w:tc>
        <w:tc>
          <w:tcPr>
            <w:tcW w:w="491" w:type="pct"/>
          </w:tcPr>
          <w:p w14:paraId="399EFC02" w14:textId="77777777" w:rsidR="00A61FF5" w:rsidRPr="004B6C01" w:rsidRDefault="00A61FF5" w:rsidP="00E139AD">
            <w:pPr>
              <w:pStyle w:val="ESTableBody"/>
              <w:jc w:val="right"/>
              <w:rPr>
                <w:lang w:val="en-AU"/>
              </w:rPr>
            </w:pPr>
            <w:r w:rsidRPr="004B6C01">
              <w:rPr>
                <w:lang w:val="en-AU"/>
              </w:rPr>
              <w:t>6.9</w:t>
            </w:r>
          </w:p>
        </w:tc>
        <w:tc>
          <w:tcPr>
            <w:tcW w:w="409" w:type="pct"/>
          </w:tcPr>
          <w:p w14:paraId="2336AFB8"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3DEF18BA"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0E5715E1" w14:textId="77777777" w:rsidR="00A61FF5" w:rsidRPr="004B6C01" w:rsidRDefault="00A61FF5" w:rsidP="00D07480">
            <w:pPr>
              <w:pStyle w:val="ESTableBody"/>
              <w:rPr>
                <w:i/>
                <w:lang w:val="en-AU"/>
              </w:rPr>
            </w:pPr>
            <w:r w:rsidRPr="004B6C01">
              <w:rPr>
                <w:i/>
                <w:lang w:val="en-AU"/>
              </w:rPr>
              <w:t>This performance measure includes government and non-government schools. The 2016–17 actual is higher than the 2016–17 target due to population growth and increased demand on Primary School Nursing Program services.</w:t>
            </w:r>
          </w:p>
        </w:tc>
      </w:tr>
      <w:tr w:rsidR="00A61FF5" w:rsidRPr="00932A90" w14:paraId="150DD4F3" w14:textId="77777777" w:rsidTr="000F3176">
        <w:trPr>
          <w:gridAfter w:val="1"/>
          <w:wAfter w:w="13" w:type="pct"/>
          <w:cantSplit/>
        </w:trPr>
        <w:tc>
          <w:tcPr>
            <w:tcW w:w="2587" w:type="pct"/>
            <w:gridSpan w:val="3"/>
            <w:shd w:val="clear" w:color="auto" w:fill="auto"/>
            <w:vAlign w:val="center"/>
          </w:tcPr>
          <w:p w14:paraId="1894760F" w14:textId="77777777" w:rsidR="00A61FF5" w:rsidRPr="004B6C01" w:rsidRDefault="00A61FF5" w:rsidP="00D07480">
            <w:pPr>
              <w:pStyle w:val="ESTableBody"/>
              <w:rPr>
                <w:lang w:val="en-AU"/>
              </w:rPr>
            </w:pPr>
            <w:r w:rsidRPr="004B6C01">
              <w:rPr>
                <w:lang w:val="en-AU"/>
              </w:rPr>
              <w:t>School students (government) supported by conveyance allowance</w:t>
            </w:r>
          </w:p>
        </w:tc>
        <w:tc>
          <w:tcPr>
            <w:tcW w:w="568" w:type="pct"/>
            <w:shd w:val="clear" w:color="auto" w:fill="auto"/>
          </w:tcPr>
          <w:p w14:paraId="1281D2CD" w14:textId="77777777" w:rsidR="00A61FF5" w:rsidRPr="004B6C01" w:rsidRDefault="00A61FF5" w:rsidP="00D07480">
            <w:pPr>
              <w:pStyle w:val="ESTableBody"/>
              <w:rPr>
                <w:lang w:val="en-AU"/>
              </w:rPr>
            </w:pPr>
            <w:r w:rsidRPr="004B6C01">
              <w:rPr>
                <w:lang w:val="en-AU"/>
              </w:rPr>
              <w:t>number</w:t>
            </w:r>
          </w:p>
        </w:tc>
        <w:tc>
          <w:tcPr>
            <w:tcW w:w="474" w:type="pct"/>
            <w:gridSpan w:val="2"/>
            <w:shd w:val="clear" w:color="auto" w:fill="auto"/>
          </w:tcPr>
          <w:p w14:paraId="1980C28A" w14:textId="1DF21DDD" w:rsidR="00A61FF5" w:rsidRPr="004B6C01" w:rsidRDefault="00A61FF5" w:rsidP="00E139AD">
            <w:pPr>
              <w:pStyle w:val="ESTableBody"/>
              <w:jc w:val="right"/>
              <w:rPr>
                <w:lang w:val="en-AU"/>
              </w:rPr>
            </w:pPr>
            <w:r w:rsidRPr="004B6C01">
              <w:rPr>
                <w:lang w:val="en-AU"/>
              </w:rPr>
              <w:t>9</w:t>
            </w:r>
            <w:r w:rsidR="009452EC" w:rsidRPr="004B6C01">
              <w:rPr>
                <w:lang w:val="en-AU"/>
              </w:rPr>
              <w:t>,</w:t>
            </w:r>
            <w:r w:rsidRPr="004B6C01">
              <w:rPr>
                <w:lang w:val="en-AU"/>
              </w:rPr>
              <w:t>600</w:t>
            </w:r>
          </w:p>
        </w:tc>
        <w:tc>
          <w:tcPr>
            <w:tcW w:w="457" w:type="pct"/>
            <w:shd w:val="clear" w:color="auto" w:fill="auto"/>
          </w:tcPr>
          <w:p w14:paraId="7BB3E738" w14:textId="74075F45" w:rsidR="00A61FF5" w:rsidRPr="004B6C01" w:rsidRDefault="00A61FF5" w:rsidP="00E139AD">
            <w:pPr>
              <w:pStyle w:val="ESTableBody"/>
              <w:jc w:val="right"/>
              <w:rPr>
                <w:lang w:val="en-AU"/>
              </w:rPr>
            </w:pPr>
            <w:r w:rsidRPr="004B6C01">
              <w:rPr>
                <w:lang w:val="en-AU"/>
              </w:rPr>
              <w:t>9</w:t>
            </w:r>
            <w:r w:rsidR="009452EC" w:rsidRPr="004B6C01">
              <w:rPr>
                <w:lang w:val="en-AU"/>
              </w:rPr>
              <w:t>,</w:t>
            </w:r>
            <w:r w:rsidRPr="004B6C01">
              <w:rPr>
                <w:lang w:val="en-AU"/>
              </w:rPr>
              <w:t>267</w:t>
            </w:r>
          </w:p>
        </w:tc>
        <w:tc>
          <w:tcPr>
            <w:tcW w:w="491" w:type="pct"/>
          </w:tcPr>
          <w:p w14:paraId="3FBA4D4C" w14:textId="77777777" w:rsidR="00A61FF5" w:rsidRPr="004B6C01" w:rsidRDefault="00A61FF5" w:rsidP="00E139AD">
            <w:pPr>
              <w:pStyle w:val="ESTableBody"/>
              <w:jc w:val="right"/>
              <w:rPr>
                <w:lang w:val="en-AU"/>
              </w:rPr>
            </w:pPr>
            <w:r w:rsidRPr="004B6C01">
              <w:rPr>
                <w:lang w:val="en-AU"/>
              </w:rPr>
              <w:t>-3.5</w:t>
            </w:r>
          </w:p>
        </w:tc>
        <w:tc>
          <w:tcPr>
            <w:tcW w:w="409" w:type="pct"/>
          </w:tcPr>
          <w:p w14:paraId="6934437C"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3163A721"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4EAF2D24" w14:textId="77777777" w:rsidR="00A61FF5" w:rsidRPr="004B6C01" w:rsidRDefault="00A61FF5" w:rsidP="00D07480">
            <w:pPr>
              <w:pStyle w:val="ESTableBody"/>
              <w:rPr>
                <w:i/>
                <w:lang w:val="en-AU"/>
              </w:rPr>
            </w:pPr>
            <w:r w:rsidRPr="004B6C01">
              <w:rPr>
                <w:i/>
                <w:lang w:val="en-AU"/>
              </w:rPr>
              <w:t>The 2016–17 actual is lower than the 2016–17 target due to changes to the Metropolitan Conveyance Allowance Boundary to account for population growth, school location and public transport changes.</w:t>
            </w:r>
          </w:p>
        </w:tc>
      </w:tr>
      <w:tr w:rsidR="00A61FF5" w:rsidRPr="00932A90" w14:paraId="1D781BDB" w14:textId="77777777" w:rsidTr="000F3176">
        <w:trPr>
          <w:gridAfter w:val="1"/>
          <w:wAfter w:w="13" w:type="pct"/>
          <w:cantSplit/>
        </w:trPr>
        <w:tc>
          <w:tcPr>
            <w:tcW w:w="2587" w:type="pct"/>
            <w:gridSpan w:val="3"/>
            <w:shd w:val="clear" w:color="auto" w:fill="auto"/>
            <w:vAlign w:val="center"/>
          </w:tcPr>
          <w:p w14:paraId="570F69CA" w14:textId="77777777" w:rsidR="00A61FF5" w:rsidRPr="004B6C01" w:rsidRDefault="00A61FF5" w:rsidP="00D07480">
            <w:pPr>
              <w:pStyle w:val="ESTableBody"/>
              <w:rPr>
                <w:lang w:val="en-AU"/>
              </w:rPr>
            </w:pPr>
            <w:r w:rsidRPr="004B6C01">
              <w:rPr>
                <w:lang w:val="en-AU"/>
              </w:rPr>
              <w:t>School students (non-government) supported by conveyance allowance</w:t>
            </w:r>
          </w:p>
        </w:tc>
        <w:tc>
          <w:tcPr>
            <w:tcW w:w="568" w:type="pct"/>
            <w:shd w:val="clear" w:color="auto" w:fill="auto"/>
          </w:tcPr>
          <w:p w14:paraId="055A4B32" w14:textId="77777777" w:rsidR="00A61FF5" w:rsidRPr="004B6C01" w:rsidRDefault="00A61FF5" w:rsidP="00D07480">
            <w:pPr>
              <w:pStyle w:val="ESTableBody"/>
              <w:rPr>
                <w:lang w:val="en-AU"/>
              </w:rPr>
            </w:pPr>
            <w:r w:rsidRPr="004B6C01">
              <w:rPr>
                <w:lang w:val="en-AU"/>
              </w:rPr>
              <w:t>number</w:t>
            </w:r>
          </w:p>
        </w:tc>
        <w:tc>
          <w:tcPr>
            <w:tcW w:w="474" w:type="pct"/>
            <w:gridSpan w:val="2"/>
            <w:shd w:val="clear" w:color="auto" w:fill="auto"/>
          </w:tcPr>
          <w:p w14:paraId="74036459" w14:textId="77777777" w:rsidR="00A61FF5" w:rsidRPr="004B6C01" w:rsidRDefault="00A61FF5" w:rsidP="00E139AD">
            <w:pPr>
              <w:pStyle w:val="ESTableBody"/>
              <w:jc w:val="right"/>
              <w:rPr>
                <w:lang w:val="en-AU"/>
              </w:rPr>
            </w:pPr>
            <w:r w:rsidRPr="004B6C01">
              <w:rPr>
                <w:lang w:val="en-AU"/>
              </w:rPr>
              <w:t>29,800</w:t>
            </w:r>
          </w:p>
        </w:tc>
        <w:tc>
          <w:tcPr>
            <w:tcW w:w="457" w:type="pct"/>
            <w:shd w:val="clear" w:color="auto" w:fill="auto"/>
          </w:tcPr>
          <w:p w14:paraId="412DAA76" w14:textId="77777777" w:rsidR="00A61FF5" w:rsidRPr="004B6C01" w:rsidRDefault="00A61FF5" w:rsidP="00E139AD">
            <w:pPr>
              <w:pStyle w:val="ESTableBody"/>
              <w:jc w:val="right"/>
              <w:rPr>
                <w:lang w:val="en-AU"/>
              </w:rPr>
            </w:pPr>
            <w:r w:rsidRPr="004B6C01">
              <w:rPr>
                <w:lang w:val="en-AU"/>
              </w:rPr>
              <w:t>29,468</w:t>
            </w:r>
          </w:p>
        </w:tc>
        <w:tc>
          <w:tcPr>
            <w:tcW w:w="491" w:type="pct"/>
          </w:tcPr>
          <w:p w14:paraId="0FF13BB9" w14:textId="77777777" w:rsidR="00A61FF5" w:rsidRPr="004B6C01" w:rsidRDefault="00A61FF5" w:rsidP="00E139AD">
            <w:pPr>
              <w:pStyle w:val="ESTableBody"/>
              <w:jc w:val="right"/>
              <w:rPr>
                <w:lang w:val="en-AU"/>
              </w:rPr>
            </w:pPr>
            <w:r w:rsidRPr="004B6C01">
              <w:rPr>
                <w:lang w:val="en-AU"/>
              </w:rPr>
              <w:t>-1.1</w:t>
            </w:r>
          </w:p>
        </w:tc>
        <w:tc>
          <w:tcPr>
            <w:tcW w:w="409" w:type="pct"/>
          </w:tcPr>
          <w:p w14:paraId="348CED4B"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34D8DDAB"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23D17096" w14:textId="77777777" w:rsidR="00A61FF5" w:rsidRPr="004B6C01" w:rsidRDefault="00A61FF5" w:rsidP="00D07480">
            <w:pPr>
              <w:pStyle w:val="ESTableBody"/>
              <w:rPr>
                <w:i/>
                <w:lang w:val="en-AU"/>
              </w:rPr>
            </w:pPr>
            <w:r w:rsidRPr="004B6C01">
              <w:rPr>
                <w:i/>
                <w:lang w:val="en-AU"/>
              </w:rPr>
              <w:t>The 2016–17 actual is lower than the 2016–17 target due to changes to the Metropolitan Conveyance Allowance Boundary to account for population growth, school location and public transport changes.</w:t>
            </w:r>
          </w:p>
        </w:tc>
      </w:tr>
      <w:tr w:rsidR="00A61FF5" w:rsidRPr="00932A90" w14:paraId="2A9C0E6E" w14:textId="77777777" w:rsidTr="000F3176">
        <w:trPr>
          <w:gridAfter w:val="1"/>
          <w:wAfter w:w="13" w:type="pct"/>
          <w:cantSplit/>
        </w:trPr>
        <w:tc>
          <w:tcPr>
            <w:tcW w:w="2587" w:type="pct"/>
            <w:gridSpan w:val="3"/>
            <w:shd w:val="clear" w:color="auto" w:fill="auto"/>
            <w:vAlign w:val="center"/>
          </w:tcPr>
          <w:p w14:paraId="7EBCC548" w14:textId="77777777" w:rsidR="00A61FF5" w:rsidRPr="004B6C01" w:rsidRDefault="00A61FF5" w:rsidP="00D07480">
            <w:pPr>
              <w:pStyle w:val="ESTableBody"/>
              <w:rPr>
                <w:lang w:val="en-AU"/>
              </w:rPr>
            </w:pPr>
            <w:r w:rsidRPr="004B6C01">
              <w:rPr>
                <w:lang w:val="en-AU"/>
              </w:rPr>
              <w:t>Schools allocated a nurse through the Secondary School Nursing Program</w:t>
            </w:r>
          </w:p>
        </w:tc>
        <w:tc>
          <w:tcPr>
            <w:tcW w:w="568" w:type="pct"/>
            <w:shd w:val="clear" w:color="auto" w:fill="auto"/>
          </w:tcPr>
          <w:p w14:paraId="2AE94508" w14:textId="77777777" w:rsidR="00A61FF5" w:rsidRPr="004B6C01" w:rsidRDefault="00A61FF5" w:rsidP="00D07480">
            <w:pPr>
              <w:pStyle w:val="ESTableBody"/>
              <w:rPr>
                <w:lang w:val="en-AU"/>
              </w:rPr>
            </w:pPr>
            <w:r w:rsidRPr="004B6C01">
              <w:rPr>
                <w:lang w:val="en-AU"/>
              </w:rPr>
              <w:t>number</w:t>
            </w:r>
          </w:p>
        </w:tc>
        <w:tc>
          <w:tcPr>
            <w:tcW w:w="474" w:type="pct"/>
            <w:gridSpan w:val="2"/>
            <w:shd w:val="clear" w:color="auto" w:fill="auto"/>
          </w:tcPr>
          <w:p w14:paraId="520A10B5" w14:textId="77777777" w:rsidR="00A61FF5" w:rsidRPr="004B6C01" w:rsidRDefault="00A61FF5" w:rsidP="00E139AD">
            <w:pPr>
              <w:pStyle w:val="ESTableBody"/>
              <w:jc w:val="right"/>
              <w:rPr>
                <w:lang w:val="en-AU"/>
              </w:rPr>
            </w:pPr>
            <w:r w:rsidRPr="004B6C01">
              <w:rPr>
                <w:lang w:val="en-AU"/>
              </w:rPr>
              <w:t>193</w:t>
            </w:r>
          </w:p>
        </w:tc>
        <w:tc>
          <w:tcPr>
            <w:tcW w:w="457" w:type="pct"/>
            <w:shd w:val="clear" w:color="auto" w:fill="auto"/>
          </w:tcPr>
          <w:p w14:paraId="672FD08F" w14:textId="77777777" w:rsidR="00A61FF5" w:rsidRPr="004B6C01" w:rsidRDefault="00A61FF5" w:rsidP="00E139AD">
            <w:pPr>
              <w:pStyle w:val="ESTableBody"/>
              <w:jc w:val="right"/>
              <w:rPr>
                <w:lang w:val="en-AU"/>
              </w:rPr>
            </w:pPr>
            <w:r w:rsidRPr="004B6C01">
              <w:rPr>
                <w:lang w:val="en-AU"/>
              </w:rPr>
              <w:t>200</w:t>
            </w:r>
          </w:p>
        </w:tc>
        <w:tc>
          <w:tcPr>
            <w:tcW w:w="491" w:type="pct"/>
          </w:tcPr>
          <w:p w14:paraId="3060F1DD" w14:textId="77777777" w:rsidR="00A61FF5" w:rsidRPr="004B6C01" w:rsidRDefault="00A61FF5" w:rsidP="00E139AD">
            <w:pPr>
              <w:pStyle w:val="ESTableBody"/>
              <w:jc w:val="right"/>
              <w:rPr>
                <w:lang w:val="en-AU"/>
              </w:rPr>
            </w:pPr>
            <w:r w:rsidRPr="004B6C01">
              <w:rPr>
                <w:lang w:val="en-AU"/>
              </w:rPr>
              <w:t>3.6</w:t>
            </w:r>
          </w:p>
        </w:tc>
        <w:tc>
          <w:tcPr>
            <w:tcW w:w="409" w:type="pct"/>
          </w:tcPr>
          <w:p w14:paraId="122B850D"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671B8505" w14:textId="77777777" w:rsidTr="000F3176">
        <w:tblPrEx>
          <w:tblBorders>
            <w:bottom w:val="single" w:sz="12" w:space="0" w:color="777777"/>
          </w:tblBorders>
        </w:tblPrEx>
        <w:trPr>
          <w:gridAfter w:val="1"/>
          <w:wAfter w:w="13" w:type="pct"/>
          <w:cantSplit/>
        </w:trPr>
        <w:tc>
          <w:tcPr>
            <w:tcW w:w="4985" w:type="pct"/>
            <w:gridSpan w:val="9"/>
            <w:tcBorders>
              <w:bottom w:val="nil"/>
            </w:tcBorders>
            <w:shd w:val="clear" w:color="auto" w:fill="auto"/>
            <w:vAlign w:val="center"/>
          </w:tcPr>
          <w:p w14:paraId="3FE2491C" w14:textId="77777777" w:rsidR="00A61FF5" w:rsidRPr="004B6C01" w:rsidRDefault="00A61FF5" w:rsidP="00D07480">
            <w:pPr>
              <w:pStyle w:val="ESTableBody"/>
              <w:rPr>
                <w:i/>
                <w:lang w:val="en-AU"/>
              </w:rPr>
            </w:pPr>
            <w:r w:rsidRPr="004B6C01">
              <w:rPr>
                <w:i/>
                <w:lang w:val="en-AU"/>
              </w:rPr>
              <w:t>This performance measure refers to government schools only.</w:t>
            </w:r>
          </w:p>
        </w:tc>
      </w:tr>
      <w:tr w:rsidR="00A61FF5" w:rsidRPr="00932A90" w14:paraId="51ED55D8" w14:textId="77777777" w:rsidTr="000F3176">
        <w:trPr>
          <w:gridAfter w:val="1"/>
          <w:wAfter w:w="13" w:type="pct"/>
          <w:cantSplit/>
        </w:trPr>
        <w:tc>
          <w:tcPr>
            <w:tcW w:w="2587" w:type="pct"/>
            <w:gridSpan w:val="3"/>
            <w:shd w:val="clear" w:color="auto" w:fill="auto"/>
            <w:vAlign w:val="center"/>
          </w:tcPr>
          <w:p w14:paraId="25CB0675" w14:textId="77777777" w:rsidR="00A61FF5" w:rsidRPr="004B6C01" w:rsidRDefault="00A61FF5" w:rsidP="00D07480">
            <w:pPr>
              <w:pStyle w:val="ESTableBody"/>
              <w:rPr>
                <w:lang w:val="en-AU"/>
              </w:rPr>
            </w:pPr>
            <w:r w:rsidRPr="004B6C01">
              <w:rPr>
                <w:lang w:val="en-AU"/>
              </w:rPr>
              <w:t>Schools funded for primary welfare officers</w:t>
            </w:r>
          </w:p>
        </w:tc>
        <w:tc>
          <w:tcPr>
            <w:tcW w:w="568" w:type="pct"/>
            <w:shd w:val="clear" w:color="auto" w:fill="auto"/>
          </w:tcPr>
          <w:p w14:paraId="78C370B8" w14:textId="77777777" w:rsidR="00A61FF5" w:rsidRPr="004B6C01" w:rsidRDefault="00A61FF5" w:rsidP="00D07480">
            <w:pPr>
              <w:pStyle w:val="ESTableBody"/>
              <w:rPr>
                <w:lang w:val="en-AU"/>
              </w:rPr>
            </w:pPr>
            <w:r w:rsidRPr="004B6C01">
              <w:rPr>
                <w:lang w:val="en-AU"/>
              </w:rPr>
              <w:t>number</w:t>
            </w:r>
          </w:p>
        </w:tc>
        <w:tc>
          <w:tcPr>
            <w:tcW w:w="474" w:type="pct"/>
            <w:gridSpan w:val="2"/>
            <w:shd w:val="clear" w:color="auto" w:fill="auto"/>
          </w:tcPr>
          <w:p w14:paraId="7CC84836" w14:textId="77777777" w:rsidR="00A61FF5" w:rsidRPr="004B6C01" w:rsidRDefault="00A61FF5" w:rsidP="00E139AD">
            <w:pPr>
              <w:pStyle w:val="ESTableBody"/>
              <w:jc w:val="right"/>
              <w:rPr>
                <w:lang w:val="en-AU"/>
              </w:rPr>
            </w:pPr>
            <w:r w:rsidRPr="004B6C01">
              <w:rPr>
                <w:lang w:val="en-AU"/>
              </w:rPr>
              <w:t>806</w:t>
            </w:r>
          </w:p>
        </w:tc>
        <w:tc>
          <w:tcPr>
            <w:tcW w:w="457" w:type="pct"/>
            <w:shd w:val="clear" w:color="auto" w:fill="auto"/>
          </w:tcPr>
          <w:p w14:paraId="2A874C1C" w14:textId="77777777" w:rsidR="00A61FF5" w:rsidRPr="004B6C01" w:rsidRDefault="00A61FF5" w:rsidP="00E139AD">
            <w:pPr>
              <w:pStyle w:val="ESTableBody"/>
              <w:jc w:val="right"/>
              <w:rPr>
                <w:lang w:val="en-AU"/>
              </w:rPr>
            </w:pPr>
            <w:r w:rsidRPr="004B6C01">
              <w:rPr>
                <w:lang w:val="en-AU"/>
              </w:rPr>
              <w:t>804</w:t>
            </w:r>
          </w:p>
        </w:tc>
        <w:tc>
          <w:tcPr>
            <w:tcW w:w="491" w:type="pct"/>
          </w:tcPr>
          <w:p w14:paraId="237F97D4" w14:textId="77777777" w:rsidR="00A61FF5" w:rsidRPr="004B6C01" w:rsidRDefault="00A61FF5" w:rsidP="00E139AD">
            <w:pPr>
              <w:pStyle w:val="ESTableBody"/>
              <w:jc w:val="right"/>
              <w:rPr>
                <w:lang w:val="en-AU"/>
              </w:rPr>
            </w:pPr>
            <w:r w:rsidRPr="004B6C01">
              <w:rPr>
                <w:lang w:val="en-AU"/>
              </w:rPr>
              <w:t>-0.2</w:t>
            </w:r>
          </w:p>
        </w:tc>
        <w:tc>
          <w:tcPr>
            <w:tcW w:w="409" w:type="pct"/>
          </w:tcPr>
          <w:p w14:paraId="70F068B2" w14:textId="77777777" w:rsidR="00A61FF5" w:rsidRPr="004B6C01" w:rsidRDefault="00A61FF5" w:rsidP="00046452">
            <w:pPr>
              <w:pStyle w:val="ESTableBody"/>
              <w:jc w:val="center"/>
              <w:rPr>
                <w:lang w:val="en-AU"/>
              </w:rPr>
            </w:pPr>
            <w:r w:rsidRPr="004B6C01">
              <w:rPr>
                <w:lang w:val="en-AU"/>
              </w:rPr>
              <w:sym w:font="Wingdings" w:char="F06E"/>
            </w:r>
          </w:p>
        </w:tc>
      </w:tr>
      <w:tr w:rsidR="00A61FF5" w:rsidRPr="00932A90" w14:paraId="2A52D651" w14:textId="77777777" w:rsidTr="000F3176">
        <w:tblPrEx>
          <w:tblBorders>
            <w:bottom w:val="single" w:sz="12" w:space="0" w:color="777777"/>
          </w:tblBorders>
        </w:tblPrEx>
        <w:trPr>
          <w:gridAfter w:val="1"/>
          <w:wAfter w:w="13" w:type="pct"/>
          <w:cantSplit/>
        </w:trPr>
        <w:tc>
          <w:tcPr>
            <w:tcW w:w="4985" w:type="pct"/>
            <w:gridSpan w:val="9"/>
            <w:tcBorders>
              <w:bottom w:val="single" w:sz="6" w:space="0" w:color="777777"/>
            </w:tcBorders>
            <w:shd w:val="clear" w:color="auto" w:fill="auto"/>
            <w:vAlign w:val="center"/>
          </w:tcPr>
          <w:p w14:paraId="19032FF0" w14:textId="77777777" w:rsidR="00A61FF5" w:rsidRPr="004B6C01" w:rsidRDefault="00A61FF5" w:rsidP="00D07480">
            <w:pPr>
              <w:pStyle w:val="ESTableBody"/>
              <w:rPr>
                <w:lang w:val="en-AU"/>
              </w:rPr>
            </w:pPr>
            <w:r w:rsidRPr="004B6C01">
              <w:rPr>
                <w:i/>
                <w:lang w:val="en-AU"/>
              </w:rPr>
              <w:t xml:space="preserve">The 2016–17 actual is lower than the 2016–17 target due to five schools closing or being de-staffed and three </w:t>
            </w:r>
            <w:r w:rsidRPr="004B6C01">
              <w:rPr>
                <w:i/>
                <w:iCs/>
                <w:lang w:val="en-AU"/>
              </w:rPr>
              <w:t xml:space="preserve">schools </w:t>
            </w:r>
            <w:r w:rsidRPr="004B6C01">
              <w:rPr>
                <w:i/>
                <w:lang w:val="en-AU"/>
              </w:rPr>
              <w:t>opening</w:t>
            </w:r>
            <w:r w:rsidRPr="004B6C01">
              <w:rPr>
                <w:lang w:val="en-AU"/>
              </w:rPr>
              <w:t>.</w:t>
            </w:r>
          </w:p>
        </w:tc>
      </w:tr>
      <w:tr w:rsidR="00A61FF5" w:rsidRPr="00932A90" w14:paraId="33260F61" w14:textId="77777777" w:rsidTr="000F3176">
        <w:tblPrEx>
          <w:tblBorders>
            <w:bottom w:val="single" w:sz="12" w:space="0" w:color="777777"/>
          </w:tblBorders>
        </w:tblPrEx>
        <w:trPr>
          <w:gridAfter w:val="1"/>
          <w:wAfter w:w="13" w:type="pct"/>
          <w:cantSplit/>
        </w:trPr>
        <w:tc>
          <w:tcPr>
            <w:tcW w:w="4985" w:type="pct"/>
            <w:gridSpan w:val="9"/>
            <w:shd w:val="clear" w:color="auto" w:fill="auto"/>
            <w:vAlign w:val="center"/>
          </w:tcPr>
          <w:p w14:paraId="46F4A9E2" w14:textId="77777777" w:rsidR="00A61FF5" w:rsidRPr="004B6C01" w:rsidRDefault="00A61FF5" w:rsidP="009A0BAD">
            <w:pPr>
              <w:pStyle w:val="ESTableheading"/>
              <w:rPr>
                <w:lang w:val="en-AU"/>
              </w:rPr>
            </w:pPr>
            <w:r w:rsidRPr="004B6C01">
              <w:rPr>
                <w:lang w:val="en-AU"/>
              </w:rPr>
              <w:t>Quality</w:t>
            </w:r>
          </w:p>
        </w:tc>
      </w:tr>
      <w:tr w:rsidR="00A61FF5" w:rsidRPr="00932A90" w14:paraId="3FFC6330" w14:textId="77777777" w:rsidTr="000F3176">
        <w:trPr>
          <w:gridAfter w:val="1"/>
          <w:wAfter w:w="13" w:type="pct"/>
          <w:cantSplit/>
        </w:trPr>
        <w:tc>
          <w:tcPr>
            <w:tcW w:w="2587" w:type="pct"/>
            <w:gridSpan w:val="3"/>
            <w:shd w:val="clear" w:color="auto" w:fill="auto"/>
            <w:vAlign w:val="center"/>
          </w:tcPr>
          <w:p w14:paraId="5628D2A1" w14:textId="77777777" w:rsidR="00A61FF5" w:rsidRPr="004B6C01" w:rsidRDefault="00A61FF5" w:rsidP="00D07480">
            <w:pPr>
              <w:pStyle w:val="ESTableBody"/>
              <w:rPr>
                <w:lang w:val="en-AU"/>
              </w:rPr>
            </w:pPr>
            <w:r w:rsidRPr="004B6C01">
              <w:rPr>
                <w:lang w:val="en-AU"/>
              </w:rPr>
              <w:t>School satisfaction with student support services</w:t>
            </w:r>
          </w:p>
        </w:tc>
        <w:tc>
          <w:tcPr>
            <w:tcW w:w="568" w:type="pct"/>
            <w:shd w:val="clear" w:color="auto" w:fill="auto"/>
          </w:tcPr>
          <w:p w14:paraId="772554E2" w14:textId="77777777" w:rsidR="00A61FF5" w:rsidRPr="004B6C01" w:rsidRDefault="00A61FF5" w:rsidP="00D07480">
            <w:pPr>
              <w:pStyle w:val="ESTableBody"/>
              <w:rPr>
                <w:lang w:val="en-AU"/>
              </w:rPr>
            </w:pPr>
            <w:r w:rsidRPr="004B6C01">
              <w:rPr>
                <w:lang w:val="en-AU"/>
              </w:rPr>
              <w:t>per cent</w:t>
            </w:r>
          </w:p>
        </w:tc>
        <w:tc>
          <w:tcPr>
            <w:tcW w:w="474" w:type="pct"/>
            <w:gridSpan w:val="2"/>
            <w:shd w:val="clear" w:color="auto" w:fill="auto"/>
          </w:tcPr>
          <w:p w14:paraId="6E365F9B" w14:textId="77777777" w:rsidR="00A61FF5" w:rsidRPr="004B6C01" w:rsidRDefault="00A61FF5" w:rsidP="00E139AD">
            <w:pPr>
              <w:pStyle w:val="ESTableBody"/>
              <w:jc w:val="right"/>
              <w:rPr>
                <w:lang w:val="en-AU"/>
              </w:rPr>
            </w:pPr>
            <w:r w:rsidRPr="004B6C01">
              <w:rPr>
                <w:lang w:val="en-AU"/>
              </w:rPr>
              <w:t>85.0</w:t>
            </w:r>
          </w:p>
        </w:tc>
        <w:tc>
          <w:tcPr>
            <w:tcW w:w="457" w:type="pct"/>
            <w:shd w:val="clear" w:color="auto" w:fill="auto"/>
          </w:tcPr>
          <w:p w14:paraId="36FEA0BD" w14:textId="77777777" w:rsidR="00A61FF5" w:rsidRPr="004B6C01" w:rsidRDefault="00A61FF5" w:rsidP="00E139AD">
            <w:pPr>
              <w:pStyle w:val="ESTableBody"/>
              <w:jc w:val="right"/>
              <w:rPr>
                <w:lang w:val="en-AU"/>
              </w:rPr>
            </w:pPr>
            <w:r w:rsidRPr="004B6C01">
              <w:rPr>
                <w:lang w:val="en-AU"/>
              </w:rPr>
              <w:t>85.2</w:t>
            </w:r>
          </w:p>
        </w:tc>
        <w:tc>
          <w:tcPr>
            <w:tcW w:w="491" w:type="pct"/>
          </w:tcPr>
          <w:p w14:paraId="61694DFF" w14:textId="77777777" w:rsidR="00A61FF5" w:rsidRPr="004B6C01" w:rsidRDefault="00A61FF5" w:rsidP="00E139AD">
            <w:pPr>
              <w:pStyle w:val="ESTableBody"/>
              <w:jc w:val="right"/>
              <w:rPr>
                <w:lang w:val="en-AU"/>
              </w:rPr>
            </w:pPr>
            <w:r w:rsidRPr="004B6C01">
              <w:rPr>
                <w:lang w:val="en-AU"/>
              </w:rPr>
              <w:t>0.2</w:t>
            </w:r>
          </w:p>
        </w:tc>
        <w:tc>
          <w:tcPr>
            <w:tcW w:w="409" w:type="pct"/>
          </w:tcPr>
          <w:p w14:paraId="1FE21996" w14:textId="77777777" w:rsidR="00A61FF5" w:rsidRPr="004B6C01" w:rsidRDefault="00A61FF5" w:rsidP="00046452">
            <w:pPr>
              <w:pStyle w:val="ESTableBody"/>
              <w:jc w:val="center"/>
              <w:rPr>
                <w:lang w:val="en-AU"/>
              </w:rPr>
            </w:pPr>
            <w:r w:rsidRPr="004B6C01">
              <w:rPr>
                <w:lang w:val="en-AU"/>
              </w:rPr>
              <w:sym w:font="Wingdings" w:char="F0FC"/>
            </w:r>
          </w:p>
        </w:tc>
      </w:tr>
      <w:tr w:rsidR="00A61FF5" w:rsidRPr="00932A90" w14:paraId="59A41694" w14:textId="77777777" w:rsidTr="000F3176">
        <w:tblPrEx>
          <w:tblBorders>
            <w:bottom w:val="single" w:sz="12" w:space="0" w:color="777777"/>
          </w:tblBorders>
        </w:tblPrEx>
        <w:trPr>
          <w:gridAfter w:val="1"/>
          <w:wAfter w:w="13" w:type="pct"/>
          <w:cantSplit/>
        </w:trPr>
        <w:tc>
          <w:tcPr>
            <w:tcW w:w="4985" w:type="pct"/>
            <w:gridSpan w:val="9"/>
            <w:tcBorders>
              <w:bottom w:val="single" w:sz="6" w:space="0" w:color="777777"/>
            </w:tcBorders>
            <w:shd w:val="clear" w:color="auto" w:fill="auto"/>
            <w:vAlign w:val="center"/>
          </w:tcPr>
          <w:p w14:paraId="5075FE28" w14:textId="77777777" w:rsidR="00A61FF5" w:rsidRPr="004B6C01" w:rsidRDefault="00A61FF5" w:rsidP="00D07480">
            <w:pPr>
              <w:pStyle w:val="ESTableBody"/>
              <w:rPr>
                <w:lang w:val="en-AU"/>
              </w:rPr>
            </w:pPr>
            <w:r w:rsidRPr="004B6C01">
              <w:rPr>
                <w:i/>
                <w:lang w:val="en-AU"/>
              </w:rPr>
              <w:t>This performance measure refers to government schools only</w:t>
            </w:r>
            <w:r w:rsidRPr="004B6C01">
              <w:rPr>
                <w:lang w:val="en-AU"/>
              </w:rPr>
              <w:t>.</w:t>
            </w:r>
          </w:p>
        </w:tc>
      </w:tr>
      <w:tr w:rsidR="00A61FF5" w:rsidRPr="00932A90" w14:paraId="196283D6" w14:textId="77777777" w:rsidTr="000F3176">
        <w:tblPrEx>
          <w:tblBorders>
            <w:bottom w:val="single" w:sz="12" w:space="0" w:color="777777"/>
          </w:tblBorders>
        </w:tblPrEx>
        <w:trPr>
          <w:gridAfter w:val="1"/>
          <w:wAfter w:w="13" w:type="pct"/>
          <w:cantSplit/>
        </w:trPr>
        <w:tc>
          <w:tcPr>
            <w:tcW w:w="4985" w:type="pct"/>
            <w:gridSpan w:val="9"/>
            <w:tcBorders>
              <w:top w:val="single" w:sz="6" w:space="0" w:color="777777"/>
            </w:tcBorders>
            <w:shd w:val="clear" w:color="auto" w:fill="auto"/>
            <w:vAlign w:val="center"/>
          </w:tcPr>
          <w:p w14:paraId="070301A3" w14:textId="77777777" w:rsidR="00A61FF5" w:rsidRPr="004B6C01" w:rsidRDefault="00A61FF5" w:rsidP="009A0BAD">
            <w:pPr>
              <w:pStyle w:val="ESTableheading"/>
              <w:rPr>
                <w:lang w:val="en-AU"/>
              </w:rPr>
            </w:pPr>
            <w:r w:rsidRPr="004B6C01">
              <w:rPr>
                <w:lang w:val="en-AU"/>
              </w:rPr>
              <w:t>Cost</w:t>
            </w:r>
          </w:p>
        </w:tc>
      </w:tr>
      <w:tr w:rsidR="00A61FF5" w:rsidRPr="00932A90" w14:paraId="16F456FE" w14:textId="77777777" w:rsidTr="000F3176">
        <w:trPr>
          <w:gridAfter w:val="1"/>
          <w:wAfter w:w="13" w:type="pct"/>
          <w:cantSplit/>
        </w:trPr>
        <w:tc>
          <w:tcPr>
            <w:tcW w:w="2587" w:type="pct"/>
            <w:gridSpan w:val="3"/>
            <w:shd w:val="clear" w:color="auto" w:fill="auto"/>
            <w:vAlign w:val="center"/>
          </w:tcPr>
          <w:p w14:paraId="7368765D" w14:textId="77777777" w:rsidR="00A61FF5" w:rsidRPr="00C86AF4" w:rsidRDefault="00A61FF5" w:rsidP="00D07480">
            <w:pPr>
              <w:pStyle w:val="ESTableBody"/>
              <w:rPr>
                <w:lang w:val="en-AU"/>
              </w:rPr>
            </w:pPr>
            <w:r w:rsidRPr="00C86AF4">
              <w:rPr>
                <w:lang w:val="en-AU"/>
              </w:rPr>
              <w:t>Total output cost</w:t>
            </w:r>
          </w:p>
        </w:tc>
        <w:tc>
          <w:tcPr>
            <w:tcW w:w="568" w:type="pct"/>
            <w:shd w:val="clear" w:color="auto" w:fill="auto"/>
          </w:tcPr>
          <w:p w14:paraId="0991D4E2" w14:textId="77777777" w:rsidR="00A61FF5" w:rsidRPr="00C86AF4" w:rsidRDefault="00A61FF5" w:rsidP="00D07480">
            <w:pPr>
              <w:pStyle w:val="ESTableBody"/>
              <w:rPr>
                <w:lang w:val="en-AU"/>
              </w:rPr>
            </w:pPr>
            <w:r w:rsidRPr="00C86AF4">
              <w:rPr>
                <w:lang w:val="en-AU"/>
              </w:rPr>
              <w:t>$ million</w:t>
            </w:r>
          </w:p>
        </w:tc>
        <w:tc>
          <w:tcPr>
            <w:tcW w:w="474" w:type="pct"/>
            <w:gridSpan w:val="2"/>
            <w:shd w:val="clear" w:color="auto" w:fill="auto"/>
          </w:tcPr>
          <w:p w14:paraId="3AA0A8C2" w14:textId="77777777" w:rsidR="00A61FF5" w:rsidRPr="00C86AF4" w:rsidRDefault="00A61FF5" w:rsidP="00E139AD">
            <w:pPr>
              <w:pStyle w:val="ESTableBody"/>
              <w:jc w:val="right"/>
              <w:rPr>
                <w:lang w:val="en-AU"/>
              </w:rPr>
            </w:pPr>
            <w:r w:rsidRPr="00C86AF4">
              <w:rPr>
                <w:lang w:val="en-AU"/>
              </w:rPr>
              <w:t>313.9</w:t>
            </w:r>
          </w:p>
        </w:tc>
        <w:tc>
          <w:tcPr>
            <w:tcW w:w="457" w:type="pct"/>
            <w:shd w:val="clear" w:color="auto" w:fill="auto"/>
          </w:tcPr>
          <w:p w14:paraId="4076FF55" w14:textId="2C980F9C" w:rsidR="00A61FF5" w:rsidRPr="00C86AF4" w:rsidRDefault="00C86AF4" w:rsidP="00E139AD">
            <w:pPr>
              <w:pStyle w:val="ESTableBody"/>
              <w:jc w:val="right"/>
              <w:rPr>
                <w:lang w:val="en-AU"/>
              </w:rPr>
            </w:pPr>
            <w:r w:rsidRPr="00C86AF4">
              <w:rPr>
                <w:lang w:val="en-AU"/>
              </w:rPr>
              <w:t>362.7</w:t>
            </w:r>
          </w:p>
        </w:tc>
        <w:tc>
          <w:tcPr>
            <w:tcW w:w="491" w:type="pct"/>
          </w:tcPr>
          <w:p w14:paraId="302E2617" w14:textId="45B0B38D" w:rsidR="00A61FF5" w:rsidRPr="00C86AF4" w:rsidRDefault="00A61FF5" w:rsidP="00E139AD">
            <w:pPr>
              <w:pStyle w:val="ESTableBody"/>
              <w:jc w:val="right"/>
              <w:rPr>
                <w:lang w:val="en-AU"/>
              </w:rPr>
            </w:pPr>
            <w:r w:rsidRPr="00C86AF4">
              <w:rPr>
                <w:lang w:val="en-AU"/>
              </w:rPr>
              <w:t>1</w:t>
            </w:r>
            <w:r w:rsidR="00C86AF4" w:rsidRPr="00C86AF4">
              <w:rPr>
                <w:lang w:val="en-AU"/>
              </w:rPr>
              <w:t>5.5</w:t>
            </w:r>
          </w:p>
        </w:tc>
        <w:tc>
          <w:tcPr>
            <w:tcW w:w="409" w:type="pct"/>
          </w:tcPr>
          <w:p w14:paraId="7577FB65" w14:textId="77777777" w:rsidR="00A61FF5" w:rsidRPr="00C86AF4" w:rsidRDefault="00A61FF5" w:rsidP="00046452">
            <w:pPr>
              <w:pStyle w:val="ESTableBody"/>
              <w:jc w:val="center"/>
              <w:rPr>
                <w:lang w:val="en-AU"/>
              </w:rPr>
            </w:pPr>
            <w:r w:rsidRPr="00C86AF4">
              <w:rPr>
                <w:lang w:val="en-AU"/>
              </w:rPr>
              <w:sym w:font="Wingdings" w:char="F0FB"/>
            </w:r>
          </w:p>
        </w:tc>
      </w:tr>
      <w:tr w:rsidR="00A61FF5" w:rsidRPr="00932A90" w14:paraId="19B0EB1D" w14:textId="77777777" w:rsidTr="000F3176">
        <w:tblPrEx>
          <w:tblBorders>
            <w:bottom w:val="single" w:sz="12" w:space="0" w:color="777777"/>
          </w:tblBorders>
        </w:tblPrEx>
        <w:trPr>
          <w:gridAfter w:val="1"/>
          <w:wAfter w:w="13" w:type="pct"/>
          <w:cantSplit/>
        </w:trPr>
        <w:tc>
          <w:tcPr>
            <w:tcW w:w="4985" w:type="pct"/>
            <w:gridSpan w:val="9"/>
            <w:tcBorders>
              <w:bottom w:val="single" w:sz="6" w:space="0" w:color="auto"/>
            </w:tcBorders>
            <w:shd w:val="clear" w:color="auto" w:fill="auto"/>
            <w:vAlign w:val="center"/>
          </w:tcPr>
          <w:p w14:paraId="36BA0725" w14:textId="147FB3B5" w:rsidR="00A61FF5" w:rsidRPr="004B6C01" w:rsidRDefault="00564192" w:rsidP="00D07480">
            <w:pPr>
              <w:pStyle w:val="ESTableBody"/>
              <w:rPr>
                <w:i/>
                <w:highlight w:val="yellow"/>
                <w:lang w:val="en-AU"/>
              </w:rPr>
            </w:pPr>
            <w:r>
              <w:rPr>
                <w:i/>
                <w:lang w:val="en-AU"/>
              </w:rPr>
              <w:t>The 2016–</w:t>
            </w:r>
            <w:r w:rsidR="00C86AF4" w:rsidRPr="00C86AF4">
              <w:rPr>
                <w:i/>
                <w:lang w:val="en-AU"/>
              </w:rPr>
              <w:t xml:space="preserve">17 </w:t>
            </w:r>
            <w:r w:rsidR="00C86AF4">
              <w:rPr>
                <w:i/>
                <w:lang w:val="en-AU"/>
              </w:rPr>
              <w:t>a</w:t>
            </w:r>
            <w:r>
              <w:rPr>
                <w:i/>
                <w:lang w:val="en-AU"/>
              </w:rPr>
              <w:t>ctual is higher than the 2016–</w:t>
            </w:r>
            <w:r w:rsidR="00C86AF4" w:rsidRPr="00C86AF4">
              <w:rPr>
                <w:i/>
                <w:lang w:val="en-AU"/>
              </w:rPr>
              <w:t xml:space="preserve">17 </w:t>
            </w:r>
            <w:r w:rsidR="00C86AF4">
              <w:rPr>
                <w:i/>
                <w:lang w:val="en-AU"/>
              </w:rPr>
              <w:t>t</w:t>
            </w:r>
            <w:r w:rsidR="00C86AF4" w:rsidRPr="00C86AF4">
              <w:rPr>
                <w:i/>
                <w:lang w:val="en-AU"/>
              </w:rPr>
              <w:t>arget primarily due to the better reclassification of regional support services such as Learning Places, Navigator and Lookout programs under support services delivery output.</w:t>
            </w:r>
          </w:p>
        </w:tc>
      </w:tr>
      <w:tr w:rsidR="000F3176" w:rsidRPr="00932A90" w14:paraId="025CFF7F" w14:textId="77777777" w:rsidTr="000F3176">
        <w:tblPrEx>
          <w:tblBorders>
            <w:bottom w:val="single" w:sz="4" w:space="0" w:color="auto"/>
          </w:tblBorders>
        </w:tblPrEx>
        <w:trPr>
          <w:cantSplit/>
        </w:trPr>
        <w:tc>
          <w:tcPr>
            <w:tcW w:w="385" w:type="pct"/>
            <w:tcBorders>
              <w:top w:val="single" w:sz="4" w:space="0" w:color="auto"/>
              <w:bottom w:val="single" w:sz="4" w:space="0" w:color="auto"/>
            </w:tcBorders>
            <w:shd w:val="clear" w:color="auto" w:fill="auto"/>
          </w:tcPr>
          <w:p w14:paraId="730EEB44" w14:textId="77777777" w:rsidR="000F3176" w:rsidRPr="004B6C01" w:rsidRDefault="000F3176" w:rsidP="007B17A1">
            <w:pPr>
              <w:pStyle w:val="ESTableBody"/>
              <w:rPr>
                <w:lang w:val="en-AU"/>
              </w:rPr>
            </w:pPr>
            <w:r w:rsidRPr="004B6C01">
              <w:rPr>
                <w:lang w:val="en-AU"/>
              </w:rPr>
              <w:t>Key:</w:t>
            </w:r>
          </w:p>
        </w:tc>
        <w:tc>
          <w:tcPr>
            <w:tcW w:w="1820" w:type="pct"/>
            <w:tcBorders>
              <w:top w:val="single" w:sz="4" w:space="0" w:color="auto"/>
              <w:bottom w:val="single" w:sz="4" w:space="0" w:color="auto"/>
            </w:tcBorders>
            <w:shd w:val="clear" w:color="auto" w:fill="auto"/>
          </w:tcPr>
          <w:p w14:paraId="1E647C20" w14:textId="77777777" w:rsidR="000F3176" w:rsidRPr="004B6C01" w:rsidRDefault="000F3176" w:rsidP="007B17A1">
            <w:pPr>
              <w:pStyle w:val="ESTableBody"/>
              <w:rPr>
                <w:lang w:val="en-AU"/>
              </w:rPr>
            </w:pPr>
            <w:r w:rsidRPr="004B6C01">
              <w:rPr>
                <w:lang w:val="en-AU"/>
              </w:rPr>
              <w:sym w:font="Wingdings" w:char="F0FC"/>
            </w:r>
            <w:r w:rsidRPr="004B6C01">
              <w:rPr>
                <w:lang w:val="en-AU"/>
              </w:rPr>
              <w:t xml:space="preserve"> Target achieved or exceeded</w:t>
            </w:r>
          </w:p>
        </w:tc>
        <w:tc>
          <w:tcPr>
            <w:tcW w:w="1343" w:type="pct"/>
            <w:gridSpan w:val="3"/>
            <w:tcBorders>
              <w:top w:val="single" w:sz="4" w:space="0" w:color="auto"/>
              <w:bottom w:val="single" w:sz="4" w:space="0" w:color="auto"/>
            </w:tcBorders>
            <w:shd w:val="clear" w:color="auto" w:fill="auto"/>
          </w:tcPr>
          <w:p w14:paraId="0FFAAB2C" w14:textId="77777777" w:rsidR="000F3176" w:rsidRPr="004B6C01" w:rsidRDefault="000F3176" w:rsidP="007B17A1">
            <w:pPr>
              <w:pStyle w:val="ESTableBody"/>
              <w:rPr>
                <w:lang w:val="en-AU"/>
              </w:rPr>
            </w:pPr>
            <w:r w:rsidRPr="004B6C01">
              <w:rPr>
                <w:lang w:val="en-AU"/>
              </w:rPr>
              <w:sym w:font="Wingdings" w:char="F06E"/>
            </w:r>
            <w:r w:rsidRPr="004B6C01">
              <w:rPr>
                <w:lang w:val="en-AU"/>
              </w:rPr>
              <w:t xml:space="preserve"> Target not achieved—less than 5% variance</w:t>
            </w:r>
          </w:p>
        </w:tc>
        <w:tc>
          <w:tcPr>
            <w:tcW w:w="1452" w:type="pct"/>
            <w:gridSpan w:val="5"/>
            <w:tcBorders>
              <w:top w:val="single" w:sz="4" w:space="0" w:color="auto"/>
              <w:bottom w:val="single" w:sz="4" w:space="0" w:color="auto"/>
            </w:tcBorders>
            <w:shd w:val="clear" w:color="auto" w:fill="auto"/>
          </w:tcPr>
          <w:p w14:paraId="1E857EC5" w14:textId="77777777" w:rsidR="000F3176" w:rsidRPr="004B6C01" w:rsidRDefault="000F3176" w:rsidP="007B17A1">
            <w:pPr>
              <w:pStyle w:val="ESTableBody"/>
              <w:rPr>
                <w:lang w:val="en-AU"/>
              </w:rPr>
            </w:pPr>
            <w:r w:rsidRPr="004B6C01">
              <w:rPr>
                <w:lang w:val="en-AU"/>
              </w:rPr>
              <w:sym w:font="Wingdings" w:char="F0FB"/>
            </w:r>
            <w:r w:rsidRPr="004B6C01">
              <w:rPr>
                <w:lang w:val="en-AU"/>
              </w:rPr>
              <w:t xml:space="preserve"> Target not achieved—more than 5% variance</w:t>
            </w:r>
          </w:p>
        </w:tc>
      </w:tr>
    </w:tbl>
    <w:p w14:paraId="7A2534B1" w14:textId="77777777" w:rsidR="00A61FF5" w:rsidRPr="004B6C01" w:rsidRDefault="00A61FF5" w:rsidP="00A61FF5">
      <w:pPr>
        <w:pStyle w:val="ESHeading3"/>
        <w:rPr>
          <w:lang w:val="en-AU"/>
        </w:rPr>
      </w:pPr>
      <w:r w:rsidRPr="004B6C01">
        <w:rPr>
          <w:lang w:val="en-AU"/>
        </w:rPr>
        <w:t>Support for students with disabilities</w:t>
      </w:r>
    </w:p>
    <w:p w14:paraId="00635F7E" w14:textId="77777777" w:rsidR="00A61FF5" w:rsidRPr="004B6C01" w:rsidRDefault="00A61FF5" w:rsidP="00A61FF5">
      <w:pPr>
        <w:pStyle w:val="ESBodyText"/>
        <w:rPr>
          <w:lang w:val="en-AU"/>
        </w:rPr>
      </w:pPr>
      <w:r w:rsidRPr="004B6C01">
        <w:rPr>
          <w:lang w:val="en-AU"/>
        </w:rPr>
        <w:t>The Support for Students with Disabilities output group covers the program for students with disabilities, as well as transport, welfare and support services for students with special needs. This output group contributes to providing and improving services that support all the Department’s objectives of achievement, engagement, wellbeing and productivity.</w:t>
      </w:r>
    </w:p>
    <w:p w14:paraId="7F531B8B" w14:textId="77777777" w:rsidR="00A61FF5" w:rsidRPr="004B6C01" w:rsidRDefault="00A61FF5" w:rsidP="00A61FF5">
      <w:pPr>
        <w:pStyle w:val="ESBodyText"/>
        <w:rPr>
          <w:b/>
          <w:i/>
          <w:lang w:val="en-AU"/>
        </w:rPr>
      </w:pPr>
      <w:r w:rsidRPr="004B6C01">
        <w:rPr>
          <w:lang w:val="en-AU"/>
        </w:rPr>
        <w:t>Except where indicated, these performance measures relate to the 2016 calendar year rather than the 2016–17 financial year. These performance measures relate to government schools.</w:t>
      </w:r>
    </w:p>
    <w:p w14:paraId="32549B3C" w14:textId="0A6B8C27" w:rsidR="00A61FF5" w:rsidRPr="004B6C01" w:rsidRDefault="00A61FF5"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12</w:t>
      </w:r>
      <w:r w:rsidR="00D93BA2" w:rsidRPr="004B6C01">
        <w:rPr>
          <w:noProof/>
          <w:lang w:val="en-AU"/>
        </w:rPr>
        <w:fldChar w:fldCharType="end"/>
      </w:r>
      <w:r w:rsidRPr="004B6C01">
        <w:rPr>
          <w:lang w:val="en-AU"/>
        </w:rPr>
        <w:t xml:space="preserve"> – Support for students with disabilities performance measures</w:t>
      </w:r>
    </w:p>
    <w:tbl>
      <w:tblPr>
        <w:tblW w:w="5015" w:type="pct"/>
        <w:tblInd w:w="-3" w:type="dxa"/>
        <w:tblLayout w:type="fixed"/>
        <w:tblCellMar>
          <w:left w:w="45" w:type="dxa"/>
          <w:right w:w="45" w:type="dxa"/>
        </w:tblCellMar>
        <w:tblLook w:val="0000" w:firstRow="0" w:lastRow="0" w:firstColumn="0" w:lastColumn="0" w:noHBand="0" w:noVBand="0"/>
      </w:tblPr>
      <w:tblGrid>
        <w:gridCol w:w="568"/>
        <w:gridCol w:w="2689"/>
        <w:gridCol w:w="566"/>
        <w:gridCol w:w="839"/>
        <w:gridCol w:w="579"/>
        <w:gridCol w:w="121"/>
        <w:gridCol w:w="675"/>
        <w:gridCol w:w="725"/>
        <w:gridCol w:w="603"/>
        <w:gridCol w:w="21"/>
      </w:tblGrid>
      <w:tr w:rsidR="00A61FF5" w:rsidRPr="00932A90" w14:paraId="4EFD19BB" w14:textId="77777777" w:rsidTr="000F3176">
        <w:trPr>
          <w:gridAfter w:val="1"/>
          <w:wAfter w:w="13" w:type="pct"/>
          <w:cantSplit/>
          <w:tblHeader/>
        </w:trPr>
        <w:tc>
          <w:tcPr>
            <w:tcW w:w="2588" w:type="pct"/>
            <w:gridSpan w:val="3"/>
            <w:shd w:val="clear" w:color="auto" w:fill="7F7F7F" w:themeFill="text1" w:themeFillTint="80"/>
          </w:tcPr>
          <w:p w14:paraId="72D418B2" w14:textId="77777777" w:rsidR="00A61FF5" w:rsidRPr="004B6C01" w:rsidRDefault="00A61FF5" w:rsidP="00D07480">
            <w:pPr>
              <w:pStyle w:val="ESTableheadingwhite75"/>
              <w:rPr>
                <w:lang w:val="en-AU"/>
              </w:rPr>
            </w:pPr>
            <w:r w:rsidRPr="004B6C01">
              <w:rPr>
                <w:lang w:val="en-AU"/>
              </w:rPr>
              <w:t>Performance measures</w:t>
            </w:r>
          </w:p>
        </w:tc>
        <w:tc>
          <w:tcPr>
            <w:tcW w:w="568" w:type="pct"/>
            <w:shd w:val="clear" w:color="auto" w:fill="7F7F7F" w:themeFill="text1" w:themeFillTint="80"/>
          </w:tcPr>
          <w:p w14:paraId="4DC464F1" w14:textId="77777777" w:rsidR="00A61FF5" w:rsidRPr="004B6C01" w:rsidRDefault="00A61FF5" w:rsidP="00D07480">
            <w:pPr>
              <w:pStyle w:val="ESTableheadingwhite75"/>
              <w:rPr>
                <w:lang w:val="en-AU"/>
              </w:rPr>
            </w:pPr>
            <w:r w:rsidRPr="004B6C01">
              <w:rPr>
                <w:lang w:val="en-AU"/>
              </w:rPr>
              <w:t>Unit of measure</w:t>
            </w:r>
          </w:p>
        </w:tc>
        <w:tc>
          <w:tcPr>
            <w:tcW w:w="474" w:type="pct"/>
            <w:gridSpan w:val="2"/>
            <w:shd w:val="clear" w:color="auto" w:fill="7F7F7F" w:themeFill="text1" w:themeFillTint="80"/>
          </w:tcPr>
          <w:p w14:paraId="02614A32" w14:textId="77777777" w:rsidR="00A61FF5" w:rsidRPr="004B6C01" w:rsidRDefault="00A61FF5" w:rsidP="00D07480">
            <w:pPr>
              <w:pStyle w:val="ESTableheadingwhite75"/>
              <w:rPr>
                <w:lang w:val="en-AU"/>
              </w:rPr>
            </w:pPr>
            <w:r w:rsidRPr="004B6C01">
              <w:rPr>
                <w:lang w:val="en-AU"/>
              </w:rPr>
              <w:t>2016–17 Target</w:t>
            </w:r>
          </w:p>
        </w:tc>
        <w:tc>
          <w:tcPr>
            <w:tcW w:w="457" w:type="pct"/>
            <w:shd w:val="clear" w:color="auto" w:fill="7F7F7F" w:themeFill="text1" w:themeFillTint="80"/>
          </w:tcPr>
          <w:p w14:paraId="69680F11" w14:textId="77777777" w:rsidR="00A61FF5" w:rsidRPr="004B6C01" w:rsidRDefault="00A61FF5" w:rsidP="00D07480">
            <w:pPr>
              <w:pStyle w:val="ESTableheadingwhite75"/>
              <w:rPr>
                <w:lang w:val="en-AU"/>
              </w:rPr>
            </w:pPr>
            <w:r w:rsidRPr="004B6C01">
              <w:rPr>
                <w:lang w:val="en-AU"/>
              </w:rPr>
              <w:t>2016–17 Actual</w:t>
            </w:r>
          </w:p>
        </w:tc>
        <w:tc>
          <w:tcPr>
            <w:tcW w:w="491" w:type="pct"/>
            <w:shd w:val="clear" w:color="auto" w:fill="7F7F7F" w:themeFill="text1" w:themeFillTint="80"/>
          </w:tcPr>
          <w:p w14:paraId="5816F424" w14:textId="026EE2EE" w:rsidR="00A61FF5" w:rsidRPr="004B6C01" w:rsidRDefault="00660627" w:rsidP="00D07480">
            <w:pPr>
              <w:pStyle w:val="ESTableheadingwhite75"/>
              <w:rPr>
                <w:lang w:val="en-AU"/>
              </w:rPr>
            </w:pPr>
            <w:r w:rsidRPr="004B6C01">
              <w:rPr>
                <w:lang w:val="en-AU"/>
              </w:rPr>
              <w:t xml:space="preserve">Per cent </w:t>
            </w:r>
            <w:r w:rsidR="00A61FF5" w:rsidRPr="004B6C01">
              <w:rPr>
                <w:lang w:val="en-AU"/>
              </w:rPr>
              <w:t>variation</w:t>
            </w:r>
          </w:p>
        </w:tc>
        <w:tc>
          <w:tcPr>
            <w:tcW w:w="408" w:type="pct"/>
            <w:shd w:val="clear" w:color="auto" w:fill="7F7F7F" w:themeFill="text1" w:themeFillTint="80"/>
          </w:tcPr>
          <w:p w14:paraId="03A0E851" w14:textId="77777777" w:rsidR="00A61FF5" w:rsidRPr="004B6C01" w:rsidRDefault="00A61FF5" w:rsidP="00D07480">
            <w:pPr>
              <w:pStyle w:val="ESTableheadingwhite75"/>
              <w:rPr>
                <w:lang w:val="en-AU"/>
              </w:rPr>
            </w:pPr>
            <w:r w:rsidRPr="004B6C01">
              <w:rPr>
                <w:lang w:val="en-AU"/>
              </w:rPr>
              <w:t>Result</w:t>
            </w:r>
          </w:p>
        </w:tc>
      </w:tr>
      <w:tr w:rsidR="00A61FF5" w:rsidRPr="00932A90" w14:paraId="12C0D0CB" w14:textId="77777777" w:rsidTr="00CA3A49">
        <w:tblPrEx>
          <w:tblBorders>
            <w:bottom w:val="single" w:sz="12" w:space="0" w:color="777777"/>
          </w:tblBorders>
        </w:tblPrEx>
        <w:trPr>
          <w:gridAfter w:val="1"/>
          <w:wAfter w:w="14" w:type="pct"/>
          <w:cantSplit/>
        </w:trPr>
        <w:tc>
          <w:tcPr>
            <w:tcW w:w="4986" w:type="pct"/>
            <w:gridSpan w:val="9"/>
            <w:tcBorders>
              <w:top w:val="nil"/>
              <w:bottom w:val="nil"/>
            </w:tcBorders>
            <w:shd w:val="clear" w:color="auto" w:fill="auto"/>
            <w:vAlign w:val="center"/>
          </w:tcPr>
          <w:p w14:paraId="5ED0FE83" w14:textId="77777777" w:rsidR="00A61FF5" w:rsidRPr="004B6C01" w:rsidRDefault="00A61FF5" w:rsidP="009A0BAD">
            <w:pPr>
              <w:pStyle w:val="ESTableheading"/>
              <w:rPr>
                <w:lang w:val="en-AU"/>
              </w:rPr>
            </w:pPr>
            <w:r w:rsidRPr="004B6C01">
              <w:rPr>
                <w:lang w:val="en-AU"/>
              </w:rPr>
              <w:t>Quantity</w:t>
            </w:r>
          </w:p>
        </w:tc>
      </w:tr>
      <w:tr w:rsidR="00A61FF5" w:rsidRPr="00932A90" w14:paraId="4FFE822B" w14:textId="77777777" w:rsidTr="000F3176">
        <w:trPr>
          <w:gridAfter w:val="1"/>
          <w:wAfter w:w="13" w:type="pct"/>
          <w:cantSplit/>
        </w:trPr>
        <w:tc>
          <w:tcPr>
            <w:tcW w:w="2588" w:type="pct"/>
            <w:gridSpan w:val="3"/>
            <w:shd w:val="clear" w:color="auto" w:fill="auto"/>
            <w:vAlign w:val="center"/>
          </w:tcPr>
          <w:p w14:paraId="0A16B020" w14:textId="77777777" w:rsidR="00A61FF5" w:rsidRPr="004B6C01" w:rsidRDefault="00A61FF5" w:rsidP="00D07480">
            <w:pPr>
              <w:pStyle w:val="ESTableBody"/>
              <w:rPr>
                <w:lang w:val="en-AU"/>
              </w:rPr>
            </w:pPr>
            <w:r w:rsidRPr="004B6C01">
              <w:rPr>
                <w:lang w:val="en-AU"/>
              </w:rPr>
              <w:t>Eligible special school students provided with appropriate travel</w:t>
            </w:r>
          </w:p>
        </w:tc>
        <w:tc>
          <w:tcPr>
            <w:tcW w:w="568" w:type="pct"/>
            <w:shd w:val="clear" w:color="auto" w:fill="auto"/>
          </w:tcPr>
          <w:p w14:paraId="236F6DD4" w14:textId="77777777" w:rsidR="00A61FF5" w:rsidRPr="004B6C01" w:rsidRDefault="00A61FF5" w:rsidP="00D07480">
            <w:pPr>
              <w:pStyle w:val="ESTableBody"/>
              <w:rPr>
                <w:lang w:val="en-AU"/>
              </w:rPr>
            </w:pPr>
            <w:r w:rsidRPr="004B6C01">
              <w:rPr>
                <w:lang w:val="en-AU"/>
              </w:rPr>
              <w:t>number</w:t>
            </w:r>
          </w:p>
        </w:tc>
        <w:tc>
          <w:tcPr>
            <w:tcW w:w="474" w:type="pct"/>
            <w:gridSpan w:val="2"/>
            <w:shd w:val="clear" w:color="auto" w:fill="auto"/>
          </w:tcPr>
          <w:p w14:paraId="04D52C52" w14:textId="77777777" w:rsidR="00A61FF5" w:rsidRPr="004B6C01" w:rsidRDefault="00A61FF5" w:rsidP="00E139AD">
            <w:pPr>
              <w:pStyle w:val="ESTableBody"/>
              <w:jc w:val="right"/>
              <w:rPr>
                <w:lang w:val="en-AU"/>
              </w:rPr>
            </w:pPr>
            <w:r w:rsidRPr="004B6C01">
              <w:rPr>
                <w:lang w:val="en-AU"/>
              </w:rPr>
              <w:t>9217</w:t>
            </w:r>
          </w:p>
        </w:tc>
        <w:tc>
          <w:tcPr>
            <w:tcW w:w="457" w:type="pct"/>
            <w:shd w:val="clear" w:color="auto" w:fill="auto"/>
          </w:tcPr>
          <w:p w14:paraId="0111F227" w14:textId="77777777" w:rsidR="00A61FF5" w:rsidRPr="004B6C01" w:rsidRDefault="00A61FF5" w:rsidP="00E139AD">
            <w:pPr>
              <w:pStyle w:val="ESTableBody"/>
              <w:jc w:val="right"/>
              <w:rPr>
                <w:lang w:val="en-AU"/>
              </w:rPr>
            </w:pPr>
            <w:r w:rsidRPr="004B6C01">
              <w:rPr>
                <w:lang w:val="en-AU"/>
              </w:rPr>
              <w:t>9003</w:t>
            </w:r>
          </w:p>
        </w:tc>
        <w:tc>
          <w:tcPr>
            <w:tcW w:w="491" w:type="pct"/>
          </w:tcPr>
          <w:p w14:paraId="288363AA" w14:textId="77777777" w:rsidR="00A61FF5" w:rsidRPr="004B6C01" w:rsidRDefault="00A61FF5" w:rsidP="00E139AD">
            <w:pPr>
              <w:pStyle w:val="ESTableBody"/>
              <w:jc w:val="right"/>
              <w:rPr>
                <w:lang w:val="en-AU"/>
              </w:rPr>
            </w:pPr>
            <w:r w:rsidRPr="004B6C01">
              <w:rPr>
                <w:lang w:val="en-AU"/>
              </w:rPr>
              <w:t>-2.3</w:t>
            </w:r>
          </w:p>
        </w:tc>
        <w:tc>
          <w:tcPr>
            <w:tcW w:w="408" w:type="pct"/>
          </w:tcPr>
          <w:p w14:paraId="53932BA7" w14:textId="0A0C7D0E" w:rsidR="00A61FF5" w:rsidRPr="004B6C01" w:rsidRDefault="00A61FF5" w:rsidP="00046452">
            <w:pPr>
              <w:pStyle w:val="ESTableBody"/>
              <w:jc w:val="center"/>
              <w:rPr>
                <w:lang w:val="en-AU"/>
              </w:rPr>
            </w:pPr>
            <w:r w:rsidRPr="004B6C01">
              <w:rPr>
                <w:lang w:val="en-AU"/>
              </w:rPr>
              <w:sym w:font="Wingdings" w:char="F06E"/>
            </w:r>
          </w:p>
        </w:tc>
      </w:tr>
      <w:tr w:rsidR="00A61FF5" w:rsidRPr="00932A90" w14:paraId="7F8CC2FF" w14:textId="77777777" w:rsidTr="00CA3A49">
        <w:tblPrEx>
          <w:tblBorders>
            <w:bottom w:val="single" w:sz="12" w:space="0" w:color="777777"/>
          </w:tblBorders>
        </w:tblPrEx>
        <w:trPr>
          <w:gridAfter w:val="1"/>
          <w:wAfter w:w="14" w:type="pct"/>
          <w:cantSplit/>
        </w:trPr>
        <w:tc>
          <w:tcPr>
            <w:tcW w:w="4986" w:type="pct"/>
            <w:gridSpan w:val="9"/>
            <w:tcBorders>
              <w:bottom w:val="nil"/>
            </w:tcBorders>
            <w:shd w:val="clear" w:color="auto" w:fill="auto"/>
            <w:vAlign w:val="center"/>
          </w:tcPr>
          <w:p w14:paraId="71D47B58" w14:textId="77777777" w:rsidR="00A61FF5" w:rsidRPr="004B6C01" w:rsidRDefault="00A61FF5" w:rsidP="00D07480">
            <w:pPr>
              <w:pStyle w:val="ESTableBody"/>
              <w:rPr>
                <w:i/>
                <w:lang w:val="en-AU"/>
              </w:rPr>
            </w:pPr>
            <w:r w:rsidRPr="004B6C01">
              <w:rPr>
                <w:i/>
                <w:lang w:val="en-AU"/>
              </w:rPr>
              <w:t>The 2016–17 actual is lower than the 2016–17 target due to a slower-than-anticipated growth rate in enrolments at specialist schools.</w:t>
            </w:r>
          </w:p>
        </w:tc>
      </w:tr>
      <w:tr w:rsidR="00A61FF5" w:rsidRPr="00932A90" w14:paraId="5E1881E1" w14:textId="77777777" w:rsidTr="000F3176">
        <w:trPr>
          <w:gridAfter w:val="1"/>
          <w:wAfter w:w="13" w:type="pct"/>
          <w:cantSplit/>
        </w:trPr>
        <w:tc>
          <w:tcPr>
            <w:tcW w:w="2588" w:type="pct"/>
            <w:gridSpan w:val="3"/>
            <w:shd w:val="clear" w:color="auto" w:fill="auto"/>
            <w:vAlign w:val="center"/>
          </w:tcPr>
          <w:p w14:paraId="56219D5B" w14:textId="77777777" w:rsidR="00A61FF5" w:rsidRPr="004B6C01" w:rsidRDefault="00A61FF5" w:rsidP="00D07480">
            <w:pPr>
              <w:pStyle w:val="ESTableBody"/>
              <w:rPr>
                <w:lang w:val="en-AU"/>
              </w:rPr>
            </w:pPr>
            <w:r w:rsidRPr="004B6C01">
              <w:rPr>
                <w:lang w:val="en-AU"/>
              </w:rPr>
              <w:t>Students funded under the disabilities program in government schools as a proportion of the total student population</w:t>
            </w:r>
          </w:p>
        </w:tc>
        <w:tc>
          <w:tcPr>
            <w:tcW w:w="568" w:type="pct"/>
            <w:shd w:val="clear" w:color="auto" w:fill="auto"/>
          </w:tcPr>
          <w:p w14:paraId="629E9B7A" w14:textId="77777777" w:rsidR="00A61FF5" w:rsidRPr="004B6C01" w:rsidRDefault="00A61FF5" w:rsidP="00D07480">
            <w:pPr>
              <w:pStyle w:val="ESTableBody"/>
              <w:rPr>
                <w:lang w:val="en-AU"/>
              </w:rPr>
            </w:pPr>
            <w:r w:rsidRPr="004B6C01">
              <w:rPr>
                <w:lang w:val="en-AU"/>
              </w:rPr>
              <w:t>per cent</w:t>
            </w:r>
          </w:p>
        </w:tc>
        <w:tc>
          <w:tcPr>
            <w:tcW w:w="474" w:type="pct"/>
            <w:gridSpan w:val="2"/>
            <w:shd w:val="clear" w:color="auto" w:fill="auto"/>
          </w:tcPr>
          <w:p w14:paraId="79BF74FA" w14:textId="77777777" w:rsidR="00A61FF5" w:rsidRPr="004B6C01" w:rsidRDefault="00A61FF5" w:rsidP="00E139AD">
            <w:pPr>
              <w:pStyle w:val="ESTableBody"/>
              <w:jc w:val="right"/>
              <w:rPr>
                <w:lang w:val="en-AU"/>
              </w:rPr>
            </w:pPr>
            <w:r w:rsidRPr="004B6C01">
              <w:rPr>
                <w:lang w:val="en-AU"/>
              </w:rPr>
              <w:t>4.2</w:t>
            </w:r>
          </w:p>
        </w:tc>
        <w:tc>
          <w:tcPr>
            <w:tcW w:w="457" w:type="pct"/>
            <w:shd w:val="clear" w:color="auto" w:fill="auto"/>
          </w:tcPr>
          <w:p w14:paraId="40F79CF9" w14:textId="77777777" w:rsidR="00A61FF5" w:rsidRPr="004B6C01" w:rsidRDefault="00A61FF5" w:rsidP="00E139AD">
            <w:pPr>
              <w:pStyle w:val="ESTableBody"/>
              <w:jc w:val="right"/>
              <w:rPr>
                <w:lang w:val="en-AU"/>
              </w:rPr>
            </w:pPr>
            <w:r w:rsidRPr="004B6C01">
              <w:rPr>
                <w:lang w:val="en-AU"/>
              </w:rPr>
              <w:t>4.2</w:t>
            </w:r>
          </w:p>
        </w:tc>
        <w:tc>
          <w:tcPr>
            <w:tcW w:w="491" w:type="pct"/>
          </w:tcPr>
          <w:p w14:paraId="764DC390" w14:textId="77777777" w:rsidR="00A61FF5" w:rsidRPr="004B6C01" w:rsidRDefault="00A61FF5" w:rsidP="00E139AD">
            <w:pPr>
              <w:pStyle w:val="ESTableBody"/>
              <w:jc w:val="right"/>
              <w:rPr>
                <w:lang w:val="en-AU"/>
              </w:rPr>
            </w:pPr>
            <w:r w:rsidRPr="004B6C01">
              <w:rPr>
                <w:lang w:val="en-AU"/>
              </w:rPr>
              <w:t>0.0</w:t>
            </w:r>
          </w:p>
        </w:tc>
        <w:tc>
          <w:tcPr>
            <w:tcW w:w="408" w:type="pct"/>
          </w:tcPr>
          <w:p w14:paraId="2054539D" w14:textId="1C2626CE" w:rsidR="00A61FF5" w:rsidRPr="004B6C01" w:rsidRDefault="00A61FF5" w:rsidP="00046452">
            <w:pPr>
              <w:pStyle w:val="ESTableBody"/>
              <w:jc w:val="center"/>
              <w:rPr>
                <w:lang w:val="en-AU"/>
              </w:rPr>
            </w:pPr>
            <w:r w:rsidRPr="004B6C01">
              <w:rPr>
                <w:lang w:val="en-AU"/>
              </w:rPr>
              <w:sym w:font="Wingdings" w:char="F0FC"/>
            </w:r>
          </w:p>
        </w:tc>
      </w:tr>
      <w:tr w:rsidR="00A61FF5" w:rsidRPr="00932A90" w14:paraId="1D868480" w14:textId="77777777" w:rsidTr="00CA3A49">
        <w:tblPrEx>
          <w:tblBorders>
            <w:bottom w:val="single" w:sz="12" w:space="0" w:color="777777"/>
          </w:tblBorders>
        </w:tblPrEx>
        <w:trPr>
          <w:gridAfter w:val="1"/>
          <w:wAfter w:w="14" w:type="pct"/>
          <w:cantSplit/>
        </w:trPr>
        <w:tc>
          <w:tcPr>
            <w:tcW w:w="4986" w:type="pct"/>
            <w:gridSpan w:val="9"/>
            <w:tcBorders>
              <w:top w:val="single" w:sz="4" w:space="0" w:color="auto"/>
              <w:bottom w:val="nil"/>
            </w:tcBorders>
            <w:shd w:val="clear" w:color="auto" w:fill="auto"/>
            <w:vAlign w:val="center"/>
          </w:tcPr>
          <w:p w14:paraId="6D3B7864" w14:textId="77777777" w:rsidR="00A61FF5" w:rsidRPr="004B6C01" w:rsidRDefault="00A61FF5" w:rsidP="009A0BAD">
            <w:pPr>
              <w:pStyle w:val="ESTableheading"/>
              <w:rPr>
                <w:lang w:val="en-AU"/>
              </w:rPr>
            </w:pPr>
            <w:r w:rsidRPr="004B6C01">
              <w:rPr>
                <w:lang w:val="en-AU"/>
              </w:rPr>
              <w:t>Quality</w:t>
            </w:r>
          </w:p>
        </w:tc>
      </w:tr>
      <w:tr w:rsidR="00A61FF5" w:rsidRPr="00932A90" w14:paraId="15CD670C" w14:textId="77777777" w:rsidTr="000F3176">
        <w:trPr>
          <w:gridAfter w:val="1"/>
          <w:wAfter w:w="13" w:type="pct"/>
          <w:cantSplit/>
        </w:trPr>
        <w:tc>
          <w:tcPr>
            <w:tcW w:w="2588" w:type="pct"/>
            <w:gridSpan w:val="3"/>
            <w:shd w:val="clear" w:color="auto" w:fill="auto"/>
            <w:vAlign w:val="center"/>
          </w:tcPr>
          <w:p w14:paraId="4C95D2D4" w14:textId="77777777" w:rsidR="00A61FF5" w:rsidRPr="004B6C01" w:rsidRDefault="00A61FF5" w:rsidP="00D07480">
            <w:pPr>
              <w:pStyle w:val="ESTableBody"/>
              <w:rPr>
                <w:lang w:val="en-AU"/>
              </w:rPr>
            </w:pPr>
            <w:r w:rsidRPr="004B6C01">
              <w:rPr>
                <w:lang w:val="en-AU"/>
              </w:rPr>
              <w:t xml:space="preserve">Parent satisfaction with special education on a </w:t>
            </w:r>
            <w:r w:rsidRPr="004B6C01">
              <w:rPr>
                <w:lang w:val="en-AU"/>
              </w:rPr>
              <w:br/>
              <w:t>100-point scale</w:t>
            </w:r>
          </w:p>
        </w:tc>
        <w:tc>
          <w:tcPr>
            <w:tcW w:w="568" w:type="pct"/>
            <w:shd w:val="clear" w:color="auto" w:fill="auto"/>
          </w:tcPr>
          <w:p w14:paraId="2AC5EEED" w14:textId="77777777" w:rsidR="00A61FF5" w:rsidRPr="004B6C01" w:rsidRDefault="00A61FF5" w:rsidP="00D07480">
            <w:pPr>
              <w:pStyle w:val="ESTableBody"/>
              <w:rPr>
                <w:lang w:val="en-AU"/>
              </w:rPr>
            </w:pPr>
            <w:r w:rsidRPr="004B6C01">
              <w:rPr>
                <w:lang w:val="en-AU"/>
              </w:rPr>
              <w:t>100-point scale</w:t>
            </w:r>
          </w:p>
        </w:tc>
        <w:tc>
          <w:tcPr>
            <w:tcW w:w="474" w:type="pct"/>
            <w:gridSpan w:val="2"/>
            <w:shd w:val="clear" w:color="auto" w:fill="auto"/>
          </w:tcPr>
          <w:p w14:paraId="066BC0C2" w14:textId="77777777" w:rsidR="00A61FF5" w:rsidRPr="004B6C01" w:rsidRDefault="00A61FF5" w:rsidP="00E139AD">
            <w:pPr>
              <w:pStyle w:val="ESTableBody"/>
              <w:jc w:val="right"/>
              <w:rPr>
                <w:lang w:val="en-AU"/>
              </w:rPr>
            </w:pPr>
            <w:r w:rsidRPr="004B6C01">
              <w:rPr>
                <w:lang w:val="en-AU"/>
              </w:rPr>
              <w:t>85</w:t>
            </w:r>
          </w:p>
        </w:tc>
        <w:tc>
          <w:tcPr>
            <w:tcW w:w="457" w:type="pct"/>
            <w:shd w:val="clear" w:color="auto" w:fill="auto"/>
          </w:tcPr>
          <w:p w14:paraId="6ECE90F7" w14:textId="77777777" w:rsidR="00A61FF5" w:rsidRPr="004B6C01" w:rsidRDefault="00A61FF5" w:rsidP="00E139AD">
            <w:pPr>
              <w:pStyle w:val="ESTableBody"/>
              <w:jc w:val="right"/>
              <w:rPr>
                <w:lang w:val="en-AU"/>
              </w:rPr>
            </w:pPr>
            <w:r w:rsidRPr="004B6C01">
              <w:rPr>
                <w:lang w:val="en-AU"/>
              </w:rPr>
              <w:t>85</w:t>
            </w:r>
          </w:p>
        </w:tc>
        <w:tc>
          <w:tcPr>
            <w:tcW w:w="491" w:type="pct"/>
          </w:tcPr>
          <w:p w14:paraId="059C404E" w14:textId="77777777" w:rsidR="00A61FF5" w:rsidRPr="004B6C01" w:rsidRDefault="00A61FF5" w:rsidP="00E139AD">
            <w:pPr>
              <w:pStyle w:val="ESTableBody"/>
              <w:jc w:val="right"/>
              <w:rPr>
                <w:lang w:val="en-AU"/>
              </w:rPr>
            </w:pPr>
            <w:r w:rsidRPr="004B6C01">
              <w:rPr>
                <w:lang w:val="en-AU"/>
              </w:rPr>
              <w:t>0.0</w:t>
            </w:r>
          </w:p>
        </w:tc>
        <w:tc>
          <w:tcPr>
            <w:tcW w:w="408" w:type="pct"/>
          </w:tcPr>
          <w:p w14:paraId="565BAB74" w14:textId="7EAB6075" w:rsidR="00A61FF5" w:rsidRPr="004B6C01" w:rsidRDefault="00A61FF5" w:rsidP="00046452">
            <w:pPr>
              <w:pStyle w:val="ESTableBody"/>
              <w:jc w:val="center"/>
              <w:rPr>
                <w:lang w:val="en-AU"/>
              </w:rPr>
            </w:pPr>
            <w:r w:rsidRPr="004B6C01">
              <w:rPr>
                <w:lang w:val="en-AU"/>
              </w:rPr>
              <w:sym w:font="Wingdings" w:char="F0FC"/>
            </w:r>
          </w:p>
        </w:tc>
      </w:tr>
      <w:tr w:rsidR="00A61FF5" w:rsidRPr="00932A90" w14:paraId="32C9E359" w14:textId="77777777" w:rsidTr="00CA3A49">
        <w:tblPrEx>
          <w:tblBorders>
            <w:bottom w:val="single" w:sz="12" w:space="0" w:color="777777"/>
          </w:tblBorders>
        </w:tblPrEx>
        <w:trPr>
          <w:gridAfter w:val="1"/>
          <w:wAfter w:w="14" w:type="pct"/>
          <w:cantSplit/>
        </w:trPr>
        <w:tc>
          <w:tcPr>
            <w:tcW w:w="4986" w:type="pct"/>
            <w:gridSpan w:val="9"/>
            <w:tcBorders>
              <w:bottom w:val="nil"/>
            </w:tcBorders>
            <w:shd w:val="clear" w:color="auto" w:fill="auto"/>
            <w:vAlign w:val="center"/>
          </w:tcPr>
          <w:p w14:paraId="03F6EC0A" w14:textId="77777777" w:rsidR="00A61FF5" w:rsidRPr="004B6C01" w:rsidRDefault="00A61FF5" w:rsidP="00D07480">
            <w:pPr>
              <w:pStyle w:val="ESTableBody"/>
              <w:rPr>
                <w:i/>
                <w:lang w:val="en-AU"/>
              </w:rPr>
            </w:pPr>
            <w:r w:rsidRPr="004B6C01">
              <w:rPr>
                <w:i/>
                <w:lang w:val="en-AU"/>
              </w:rPr>
              <w:t>Data is drawn from the Parent Opinion Survey, where a higher score represents a higher level of satisfaction.</w:t>
            </w:r>
          </w:p>
        </w:tc>
      </w:tr>
      <w:tr w:rsidR="00A61FF5" w:rsidRPr="00932A90" w14:paraId="1C9E0507" w14:textId="77777777" w:rsidTr="00CA3A49">
        <w:tblPrEx>
          <w:tblBorders>
            <w:bottom w:val="single" w:sz="12" w:space="0" w:color="777777"/>
          </w:tblBorders>
        </w:tblPrEx>
        <w:trPr>
          <w:gridAfter w:val="1"/>
          <w:wAfter w:w="14" w:type="pct"/>
          <w:cantSplit/>
        </w:trPr>
        <w:tc>
          <w:tcPr>
            <w:tcW w:w="4986" w:type="pct"/>
            <w:gridSpan w:val="9"/>
            <w:tcBorders>
              <w:top w:val="single" w:sz="6" w:space="0" w:color="auto"/>
            </w:tcBorders>
            <w:shd w:val="clear" w:color="auto" w:fill="auto"/>
            <w:vAlign w:val="center"/>
          </w:tcPr>
          <w:p w14:paraId="06238B27" w14:textId="77777777" w:rsidR="00A61FF5" w:rsidRPr="004B6C01" w:rsidRDefault="00A61FF5" w:rsidP="009A0BAD">
            <w:pPr>
              <w:pStyle w:val="ESTableheading"/>
              <w:rPr>
                <w:lang w:val="en-AU"/>
              </w:rPr>
            </w:pPr>
            <w:r w:rsidRPr="004B6C01">
              <w:rPr>
                <w:lang w:val="en-AU"/>
              </w:rPr>
              <w:t>Cost</w:t>
            </w:r>
          </w:p>
        </w:tc>
      </w:tr>
      <w:tr w:rsidR="00A61FF5" w:rsidRPr="00932A90" w14:paraId="4759FD72" w14:textId="77777777" w:rsidTr="000F3176">
        <w:trPr>
          <w:gridAfter w:val="1"/>
          <w:wAfter w:w="13" w:type="pct"/>
          <w:cantSplit/>
        </w:trPr>
        <w:tc>
          <w:tcPr>
            <w:tcW w:w="2588" w:type="pct"/>
            <w:gridSpan w:val="3"/>
            <w:shd w:val="clear" w:color="auto" w:fill="auto"/>
            <w:vAlign w:val="center"/>
          </w:tcPr>
          <w:p w14:paraId="7533974F" w14:textId="77777777" w:rsidR="00A61FF5" w:rsidRPr="004B6C01" w:rsidRDefault="00A61FF5" w:rsidP="00D07480">
            <w:pPr>
              <w:pStyle w:val="ESTableBody"/>
              <w:rPr>
                <w:lang w:val="en-AU"/>
              </w:rPr>
            </w:pPr>
            <w:r w:rsidRPr="004B6C01">
              <w:rPr>
                <w:lang w:val="en-AU"/>
              </w:rPr>
              <w:t>Total output cost</w:t>
            </w:r>
          </w:p>
        </w:tc>
        <w:tc>
          <w:tcPr>
            <w:tcW w:w="568" w:type="pct"/>
            <w:shd w:val="clear" w:color="auto" w:fill="auto"/>
          </w:tcPr>
          <w:p w14:paraId="5740B3A0" w14:textId="77777777" w:rsidR="00A61FF5" w:rsidRPr="004B6C01" w:rsidRDefault="00A61FF5" w:rsidP="00D07480">
            <w:pPr>
              <w:pStyle w:val="ESTableBody"/>
              <w:rPr>
                <w:lang w:val="en-AU"/>
              </w:rPr>
            </w:pPr>
            <w:r w:rsidRPr="004B6C01">
              <w:rPr>
                <w:lang w:val="en-AU"/>
              </w:rPr>
              <w:t>$ million</w:t>
            </w:r>
          </w:p>
        </w:tc>
        <w:tc>
          <w:tcPr>
            <w:tcW w:w="474" w:type="pct"/>
            <w:gridSpan w:val="2"/>
            <w:shd w:val="clear" w:color="auto" w:fill="auto"/>
          </w:tcPr>
          <w:p w14:paraId="6837D9C3" w14:textId="77777777" w:rsidR="00A61FF5" w:rsidRPr="004B6C01" w:rsidRDefault="00A61FF5" w:rsidP="00E139AD">
            <w:pPr>
              <w:pStyle w:val="ESTableBody"/>
              <w:jc w:val="right"/>
              <w:rPr>
                <w:lang w:val="en-AU"/>
              </w:rPr>
            </w:pPr>
            <w:r w:rsidRPr="004B6C01">
              <w:rPr>
                <w:lang w:val="en-AU"/>
              </w:rPr>
              <w:t>932.4</w:t>
            </w:r>
          </w:p>
        </w:tc>
        <w:tc>
          <w:tcPr>
            <w:tcW w:w="457" w:type="pct"/>
            <w:shd w:val="clear" w:color="auto" w:fill="auto"/>
          </w:tcPr>
          <w:p w14:paraId="41AA0979" w14:textId="6778D666" w:rsidR="00A61FF5" w:rsidRPr="004B6C01" w:rsidRDefault="00A61FF5" w:rsidP="00E139AD">
            <w:pPr>
              <w:pStyle w:val="ESTableBody"/>
              <w:jc w:val="right"/>
              <w:rPr>
                <w:lang w:val="en-AU"/>
              </w:rPr>
            </w:pPr>
            <w:r w:rsidRPr="004B6C01">
              <w:rPr>
                <w:lang w:val="en-AU"/>
              </w:rPr>
              <w:t>9</w:t>
            </w:r>
            <w:r w:rsidR="00CA3A49">
              <w:rPr>
                <w:lang w:val="en-AU"/>
              </w:rPr>
              <w:t>21.0</w:t>
            </w:r>
          </w:p>
        </w:tc>
        <w:tc>
          <w:tcPr>
            <w:tcW w:w="491" w:type="pct"/>
          </w:tcPr>
          <w:p w14:paraId="333A358F" w14:textId="4BF15984" w:rsidR="00A61FF5" w:rsidRPr="004B6C01" w:rsidRDefault="00CA3A49" w:rsidP="00E139AD">
            <w:pPr>
              <w:pStyle w:val="ESTableBody"/>
              <w:jc w:val="right"/>
              <w:rPr>
                <w:lang w:val="en-AU"/>
              </w:rPr>
            </w:pPr>
            <w:r>
              <w:rPr>
                <w:lang w:val="en-AU"/>
              </w:rPr>
              <w:t>-1.2</w:t>
            </w:r>
          </w:p>
        </w:tc>
        <w:tc>
          <w:tcPr>
            <w:tcW w:w="408" w:type="pct"/>
          </w:tcPr>
          <w:p w14:paraId="5B25772E" w14:textId="4E982F56" w:rsidR="00A61FF5" w:rsidRPr="004B6C01" w:rsidRDefault="00F50C19" w:rsidP="00046452">
            <w:pPr>
              <w:pStyle w:val="ESTableBody"/>
              <w:jc w:val="center"/>
              <w:rPr>
                <w:lang w:val="en-AU"/>
              </w:rPr>
            </w:pPr>
            <w:r w:rsidRPr="004B6C01">
              <w:rPr>
                <w:lang w:val="en-AU"/>
              </w:rPr>
              <w:sym w:font="Wingdings" w:char="F0FC"/>
            </w:r>
          </w:p>
        </w:tc>
      </w:tr>
      <w:tr w:rsidR="000F3176" w:rsidRPr="00932A90" w14:paraId="3F522268" w14:textId="77777777" w:rsidTr="000F3176">
        <w:tblPrEx>
          <w:tblBorders>
            <w:bottom w:val="single" w:sz="4" w:space="0" w:color="auto"/>
          </w:tblBorders>
        </w:tblPrEx>
        <w:trPr>
          <w:cantSplit/>
        </w:trPr>
        <w:tc>
          <w:tcPr>
            <w:tcW w:w="385" w:type="pct"/>
            <w:tcBorders>
              <w:top w:val="single" w:sz="4" w:space="0" w:color="auto"/>
              <w:bottom w:val="single" w:sz="4" w:space="0" w:color="auto"/>
            </w:tcBorders>
            <w:shd w:val="clear" w:color="auto" w:fill="auto"/>
          </w:tcPr>
          <w:p w14:paraId="5719C709" w14:textId="77777777" w:rsidR="000F3176" w:rsidRPr="004B6C01" w:rsidRDefault="000F3176" w:rsidP="007B17A1">
            <w:pPr>
              <w:pStyle w:val="ESTableBody"/>
              <w:rPr>
                <w:lang w:val="en-AU"/>
              </w:rPr>
            </w:pPr>
            <w:r w:rsidRPr="004B6C01">
              <w:rPr>
                <w:lang w:val="en-AU"/>
              </w:rPr>
              <w:t>Key:</w:t>
            </w:r>
          </w:p>
        </w:tc>
        <w:tc>
          <w:tcPr>
            <w:tcW w:w="1820" w:type="pct"/>
            <w:tcBorders>
              <w:top w:val="single" w:sz="4" w:space="0" w:color="auto"/>
              <w:bottom w:val="single" w:sz="4" w:space="0" w:color="auto"/>
            </w:tcBorders>
            <w:shd w:val="clear" w:color="auto" w:fill="auto"/>
          </w:tcPr>
          <w:p w14:paraId="12F57844" w14:textId="77777777" w:rsidR="000F3176" w:rsidRPr="004B6C01" w:rsidRDefault="000F3176" w:rsidP="007B17A1">
            <w:pPr>
              <w:pStyle w:val="ESTableBody"/>
              <w:rPr>
                <w:lang w:val="en-AU"/>
              </w:rPr>
            </w:pPr>
            <w:r w:rsidRPr="004B6C01">
              <w:rPr>
                <w:lang w:val="en-AU"/>
              </w:rPr>
              <w:sym w:font="Wingdings" w:char="F0FC"/>
            </w:r>
            <w:r w:rsidRPr="004B6C01">
              <w:rPr>
                <w:lang w:val="en-AU"/>
              </w:rPr>
              <w:t xml:space="preserve"> Target achieved or exceeded</w:t>
            </w:r>
          </w:p>
        </w:tc>
        <w:tc>
          <w:tcPr>
            <w:tcW w:w="1343" w:type="pct"/>
            <w:gridSpan w:val="3"/>
            <w:tcBorders>
              <w:top w:val="single" w:sz="4" w:space="0" w:color="auto"/>
              <w:bottom w:val="single" w:sz="4" w:space="0" w:color="auto"/>
            </w:tcBorders>
            <w:shd w:val="clear" w:color="auto" w:fill="auto"/>
          </w:tcPr>
          <w:p w14:paraId="6E1393EE" w14:textId="77777777" w:rsidR="000F3176" w:rsidRPr="004B6C01" w:rsidRDefault="000F3176" w:rsidP="007B17A1">
            <w:pPr>
              <w:pStyle w:val="ESTableBody"/>
              <w:rPr>
                <w:lang w:val="en-AU"/>
              </w:rPr>
            </w:pPr>
            <w:r w:rsidRPr="004B6C01">
              <w:rPr>
                <w:lang w:val="en-AU"/>
              </w:rPr>
              <w:sym w:font="Wingdings" w:char="F06E"/>
            </w:r>
            <w:r w:rsidRPr="004B6C01">
              <w:rPr>
                <w:lang w:val="en-AU"/>
              </w:rPr>
              <w:t xml:space="preserve"> Target not achieved—less than 5% variance</w:t>
            </w:r>
          </w:p>
        </w:tc>
        <w:tc>
          <w:tcPr>
            <w:tcW w:w="1452" w:type="pct"/>
            <w:gridSpan w:val="5"/>
            <w:tcBorders>
              <w:top w:val="single" w:sz="4" w:space="0" w:color="auto"/>
              <w:bottom w:val="single" w:sz="4" w:space="0" w:color="auto"/>
            </w:tcBorders>
            <w:shd w:val="clear" w:color="auto" w:fill="auto"/>
          </w:tcPr>
          <w:p w14:paraId="001EF964" w14:textId="77777777" w:rsidR="000F3176" w:rsidRPr="004B6C01" w:rsidRDefault="000F3176" w:rsidP="007B17A1">
            <w:pPr>
              <w:pStyle w:val="ESTableBody"/>
              <w:rPr>
                <w:lang w:val="en-AU"/>
              </w:rPr>
            </w:pPr>
            <w:r w:rsidRPr="004B6C01">
              <w:rPr>
                <w:lang w:val="en-AU"/>
              </w:rPr>
              <w:sym w:font="Wingdings" w:char="F0FB"/>
            </w:r>
            <w:r w:rsidRPr="004B6C01">
              <w:rPr>
                <w:lang w:val="en-AU"/>
              </w:rPr>
              <w:t xml:space="preserve"> Target not achieved—more than 5% variance</w:t>
            </w:r>
          </w:p>
        </w:tc>
      </w:tr>
    </w:tbl>
    <w:p w14:paraId="035FABCB" w14:textId="77777777" w:rsidR="00A61FF5" w:rsidRPr="004B6C01" w:rsidRDefault="00A61FF5" w:rsidP="00A61FF5">
      <w:pPr>
        <w:pStyle w:val="ESTableBody"/>
        <w:rPr>
          <w:color w:val="000000" w:themeColor="text1"/>
          <w:sz w:val="22"/>
          <w:lang w:val="en-AU"/>
        </w:rPr>
      </w:pPr>
      <w:r w:rsidRPr="004B6C01">
        <w:rPr>
          <w:lang w:val="en-AU"/>
        </w:rPr>
        <w:br w:type="page"/>
      </w:r>
    </w:p>
    <w:p w14:paraId="084E469E" w14:textId="77777777" w:rsidR="00A61FF5" w:rsidRPr="004B6C01" w:rsidRDefault="00A61FF5" w:rsidP="00A61FF5">
      <w:pPr>
        <w:pStyle w:val="ESHeading3"/>
        <w:rPr>
          <w:lang w:val="en-AU"/>
        </w:rPr>
      </w:pPr>
      <w:r w:rsidRPr="004B6C01">
        <w:rPr>
          <w:lang w:val="en-AU"/>
        </w:rPr>
        <w:t>Discontinued measures for 2016–17</w:t>
      </w:r>
    </w:p>
    <w:p w14:paraId="3DF7DF64" w14:textId="77777777" w:rsidR="00A61FF5" w:rsidRPr="004B6C01" w:rsidRDefault="00A61FF5" w:rsidP="00A61FF5">
      <w:pPr>
        <w:pStyle w:val="ESBodyText"/>
        <w:rPr>
          <w:lang w:val="en-AU"/>
        </w:rPr>
      </w:pPr>
      <w:r w:rsidRPr="004B6C01">
        <w:rPr>
          <w:lang w:val="en-AU"/>
        </w:rPr>
        <w:t>Following assessment by the Public Accounts and Estimates Committee, the following performance measure listed below was discontinued for 2016–17.</w:t>
      </w:r>
    </w:p>
    <w:p w14:paraId="6941DE8B" w14:textId="3C731E0B" w:rsidR="00A61FF5" w:rsidRPr="004B6C01" w:rsidRDefault="00A61FF5" w:rsidP="009A0BAD">
      <w:pPr>
        <w:pStyle w:val="ESTableintroheading"/>
        <w:rPr>
          <w:lang w:val="en-AU"/>
        </w:rPr>
      </w:pPr>
      <w:r w:rsidRPr="004B6C01">
        <w:rPr>
          <w:lang w:val="en-AU"/>
        </w:rPr>
        <w:t xml:space="preserve">Table </w:t>
      </w:r>
      <w:r w:rsidR="00D93BA2" w:rsidRPr="004B6C01">
        <w:rPr>
          <w:lang w:val="en-AU"/>
        </w:rPr>
        <w:fldChar w:fldCharType="begin"/>
      </w:r>
      <w:r w:rsidR="00D93BA2" w:rsidRPr="004B6C01">
        <w:rPr>
          <w:lang w:val="en-AU"/>
        </w:rPr>
        <w:instrText xml:space="preserve"> SEQ Table \* MERGEFORMAT </w:instrText>
      </w:r>
      <w:r w:rsidR="00D93BA2" w:rsidRPr="004B6C01">
        <w:rPr>
          <w:lang w:val="en-AU"/>
        </w:rPr>
        <w:fldChar w:fldCharType="separate"/>
      </w:r>
      <w:r w:rsidR="00F36F52">
        <w:rPr>
          <w:noProof/>
          <w:lang w:val="en-AU"/>
        </w:rPr>
        <w:t>13</w:t>
      </w:r>
      <w:r w:rsidR="00D93BA2" w:rsidRPr="004B6C01">
        <w:rPr>
          <w:noProof/>
          <w:lang w:val="en-AU"/>
        </w:rPr>
        <w:fldChar w:fldCharType="end"/>
      </w:r>
      <w:r w:rsidRPr="004B6C01">
        <w:rPr>
          <w:lang w:val="en-AU"/>
        </w:rPr>
        <w:t xml:space="preserve"> – Discontinued performance measures</w:t>
      </w:r>
    </w:p>
    <w:tbl>
      <w:tblPr>
        <w:tblW w:w="5000" w:type="pct"/>
        <w:tblLook w:val="04A0" w:firstRow="1" w:lastRow="0" w:firstColumn="1" w:lastColumn="0" w:noHBand="0" w:noVBand="1"/>
      </w:tblPr>
      <w:tblGrid>
        <w:gridCol w:w="1560"/>
        <w:gridCol w:w="5804"/>
      </w:tblGrid>
      <w:tr w:rsidR="00C755D0" w:rsidRPr="00932A90" w14:paraId="40C62676" w14:textId="77777777" w:rsidTr="00C755D0">
        <w:trPr>
          <w:trHeight w:val="300"/>
          <w:tblHeader/>
        </w:trPr>
        <w:tc>
          <w:tcPr>
            <w:tcW w:w="1059" w:type="pct"/>
            <w:shd w:val="clear" w:color="auto" w:fill="7F7F7F" w:themeFill="text1" w:themeFillTint="80"/>
            <w:hideMark/>
          </w:tcPr>
          <w:p w14:paraId="1F035709" w14:textId="77777777" w:rsidR="00A61FF5" w:rsidRPr="004B6C01" w:rsidRDefault="00A61FF5" w:rsidP="004B6C01">
            <w:pPr>
              <w:pStyle w:val="ESTableheadingwhite"/>
              <w:rPr>
                <w:lang w:val="en-AU"/>
              </w:rPr>
            </w:pPr>
            <w:r w:rsidRPr="004B6C01">
              <w:rPr>
                <w:lang w:val="en-AU"/>
              </w:rPr>
              <w:t>Output group</w:t>
            </w:r>
          </w:p>
        </w:tc>
        <w:tc>
          <w:tcPr>
            <w:tcW w:w="3941" w:type="pct"/>
            <w:shd w:val="clear" w:color="auto" w:fill="7F7F7F" w:themeFill="text1" w:themeFillTint="80"/>
            <w:hideMark/>
          </w:tcPr>
          <w:p w14:paraId="5E2EB442" w14:textId="77777777" w:rsidR="00A61FF5" w:rsidRPr="004B6C01" w:rsidRDefault="00A61FF5" w:rsidP="004B6C01">
            <w:pPr>
              <w:pStyle w:val="ESTableheadingwhite"/>
              <w:rPr>
                <w:lang w:val="en-AU"/>
              </w:rPr>
            </w:pPr>
            <w:r w:rsidRPr="004B6C01">
              <w:rPr>
                <w:lang w:val="en-AU"/>
              </w:rPr>
              <w:t>Performance measure name</w:t>
            </w:r>
          </w:p>
        </w:tc>
      </w:tr>
      <w:tr w:rsidR="00C755D0" w:rsidRPr="00932A90" w14:paraId="5C359941" w14:textId="77777777" w:rsidTr="00C755D0">
        <w:trPr>
          <w:trHeight w:val="690"/>
        </w:trPr>
        <w:tc>
          <w:tcPr>
            <w:tcW w:w="1059" w:type="pct"/>
            <w:tcBorders>
              <w:bottom w:val="single" w:sz="4" w:space="0" w:color="7F7F7F" w:themeColor="text1" w:themeTint="80"/>
            </w:tcBorders>
            <w:shd w:val="clear" w:color="auto" w:fill="auto"/>
            <w:hideMark/>
          </w:tcPr>
          <w:p w14:paraId="0CBE5895" w14:textId="77777777" w:rsidR="00A61FF5" w:rsidRPr="004B6C01" w:rsidRDefault="00A61FF5" w:rsidP="00D07480">
            <w:pPr>
              <w:pStyle w:val="ESTableBody"/>
              <w:rPr>
                <w:lang w:val="en-AU"/>
              </w:rPr>
            </w:pPr>
            <w:r w:rsidRPr="004B6C01">
              <w:rPr>
                <w:lang w:val="en-AU"/>
              </w:rPr>
              <w:t>Strategy Review and Regulation</w:t>
            </w:r>
          </w:p>
        </w:tc>
        <w:tc>
          <w:tcPr>
            <w:tcW w:w="3941" w:type="pct"/>
            <w:tcBorders>
              <w:bottom w:val="single" w:sz="4" w:space="0" w:color="7F7F7F" w:themeColor="text1" w:themeTint="80"/>
            </w:tcBorders>
            <w:shd w:val="clear" w:color="auto" w:fill="auto"/>
            <w:hideMark/>
          </w:tcPr>
          <w:p w14:paraId="7D590C30" w14:textId="77777777" w:rsidR="00A61FF5" w:rsidRPr="004B6C01" w:rsidRDefault="00A61FF5" w:rsidP="00D07480">
            <w:pPr>
              <w:pStyle w:val="ESTableBody"/>
              <w:rPr>
                <w:lang w:val="en-AU"/>
              </w:rPr>
            </w:pPr>
            <w:r w:rsidRPr="004B6C01">
              <w:rPr>
                <w:lang w:val="en-AU"/>
              </w:rPr>
              <w:t>Education provider satisfaction with the Victorian Registration and Qualifications Authority and its regulatory processes</w:t>
            </w:r>
          </w:p>
        </w:tc>
      </w:tr>
    </w:tbl>
    <w:p w14:paraId="0F452A5C" w14:textId="77777777" w:rsidR="00A61FF5" w:rsidRPr="004B6C01" w:rsidRDefault="00A61FF5" w:rsidP="00A61FF5">
      <w:pPr>
        <w:pStyle w:val="ESHeading3"/>
        <w:rPr>
          <w:lang w:val="en-AU"/>
        </w:rPr>
      </w:pPr>
      <w:r w:rsidRPr="004B6C01">
        <w:rPr>
          <w:lang w:val="en-AU"/>
        </w:rPr>
        <w:t>Discontinued operations</w:t>
      </w:r>
    </w:p>
    <w:p w14:paraId="6B76B36E" w14:textId="77777777" w:rsidR="00A61FF5" w:rsidRPr="004B6C01" w:rsidRDefault="00A61FF5" w:rsidP="00A61FF5">
      <w:pPr>
        <w:pStyle w:val="ESBodyText"/>
        <w:rPr>
          <w:lang w:val="en-AU"/>
        </w:rPr>
      </w:pPr>
      <w:r w:rsidRPr="004B6C01">
        <w:rPr>
          <w:lang w:val="en-AU"/>
        </w:rPr>
        <w:t>There were no discontinued operations under the Department’s output structure.</w:t>
      </w:r>
    </w:p>
    <w:p w14:paraId="1686CCAE" w14:textId="77777777" w:rsidR="008277E3" w:rsidRPr="004B6C01" w:rsidRDefault="008277E3">
      <w:pPr>
        <w:rPr>
          <w:rFonts w:ascii="Arial" w:eastAsiaTheme="majorEastAsia" w:hAnsi="Arial" w:cstheme="majorBidi"/>
          <w:bCs/>
          <w:color w:val="000000" w:themeColor="text1"/>
          <w:spacing w:val="5"/>
          <w:kern w:val="28"/>
          <w:sz w:val="28"/>
          <w:szCs w:val="20"/>
          <w:lang w:val="en-AU"/>
        </w:rPr>
      </w:pPr>
      <w:bookmarkStart w:id="76" w:name="_Toc488410102"/>
      <w:bookmarkStart w:id="77" w:name="_Toc488767574"/>
      <w:bookmarkStart w:id="78" w:name="_Toc488768986"/>
      <w:bookmarkStart w:id="79" w:name="_Toc489526701"/>
      <w:bookmarkStart w:id="80" w:name="_Toc491070300"/>
      <w:r w:rsidRPr="004B6C01">
        <w:rPr>
          <w:lang w:val="en-AU"/>
        </w:rPr>
        <w:br w:type="page"/>
      </w:r>
    </w:p>
    <w:p w14:paraId="43CE8303" w14:textId="5A33F690" w:rsidR="00A61FF5" w:rsidRPr="004B6C01" w:rsidRDefault="00A61FF5" w:rsidP="00D2232D">
      <w:pPr>
        <w:pStyle w:val="ESHeading2"/>
      </w:pPr>
      <w:bookmarkStart w:id="81" w:name="_Toc491409526"/>
      <w:bookmarkStart w:id="82" w:name="_Toc491414655"/>
      <w:r w:rsidRPr="004B6C01">
        <w:t>Five-year financial summary</w:t>
      </w:r>
      <w:bookmarkEnd w:id="76"/>
      <w:bookmarkEnd w:id="77"/>
      <w:bookmarkEnd w:id="78"/>
      <w:bookmarkEnd w:id="79"/>
      <w:bookmarkEnd w:id="80"/>
      <w:bookmarkEnd w:id="81"/>
      <w:bookmarkEnd w:id="82"/>
    </w:p>
    <w:p w14:paraId="57922C64" w14:textId="77777777" w:rsidR="00A9593E" w:rsidRPr="004B6C01" w:rsidRDefault="00A61FF5" w:rsidP="00A61FF5">
      <w:pPr>
        <w:pStyle w:val="ESBodyText"/>
        <w:rPr>
          <w:lang w:val="en-AU"/>
        </w:rPr>
      </w:pPr>
      <w:r w:rsidRPr="004B6C01">
        <w:rPr>
          <w:lang w:val="en-AU"/>
        </w:rPr>
        <w:t>The financial statements presented in this annual report relate to the controlled operations of the Department, including government schools.</w:t>
      </w:r>
    </w:p>
    <w:p w14:paraId="05DD96D3" w14:textId="77777777" w:rsidR="00A9593E" w:rsidRPr="004B6C01" w:rsidRDefault="00A61FF5" w:rsidP="00A61FF5">
      <w:pPr>
        <w:pStyle w:val="ESBodyText"/>
        <w:rPr>
          <w:lang w:val="en-AU"/>
        </w:rPr>
      </w:pPr>
      <w:r w:rsidRPr="004B6C01">
        <w:rPr>
          <w:lang w:val="en-AU"/>
        </w:rPr>
        <w:t>Other agencies within the portfolio report separately and their results are not included within the controlled financial transactions of the Department. These agencies include the Adult, Community and Further Education Board, Adult Multicultural Education Services, the Victorian Curriculum and Assessment Authority, the Victorian Institute of Teaching, the Victorian Registration and Qualifications Authority, and TAFE institutes.</w:t>
      </w:r>
    </w:p>
    <w:p w14:paraId="7AFA64E7" w14:textId="3C0779EF" w:rsidR="00A61FF5" w:rsidRPr="004B6C01" w:rsidRDefault="00A61FF5" w:rsidP="00A61FF5">
      <w:pPr>
        <w:pStyle w:val="ESBodyText"/>
        <w:rPr>
          <w:lang w:val="en-AU"/>
        </w:rPr>
      </w:pPr>
      <w:r w:rsidRPr="004B6C01">
        <w:rPr>
          <w:lang w:val="en-AU"/>
        </w:rPr>
        <w:t>The following table provides information on the Department’s financial result for the financial year ending 30 June 2017, and comparative information for the preceding four financial years.</w:t>
      </w:r>
    </w:p>
    <w:tbl>
      <w:tblPr>
        <w:tblW w:w="7416" w:type="dxa"/>
        <w:tblBorders>
          <w:bottom w:val="single" w:sz="12" w:space="0" w:color="777777"/>
        </w:tblBorders>
        <w:tblLayout w:type="fixed"/>
        <w:tblCellMar>
          <w:left w:w="45" w:type="dxa"/>
          <w:right w:w="45" w:type="dxa"/>
        </w:tblCellMar>
        <w:tblLook w:val="0000" w:firstRow="0" w:lastRow="0" w:firstColumn="0" w:lastColumn="0" w:noHBand="0" w:noVBand="0"/>
      </w:tblPr>
      <w:tblGrid>
        <w:gridCol w:w="3261"/>
        <w:gridCol w:w="850"/>
        <w:gridCol w:w="851"/>
        <w:gridCol w:w="850"/>
        <w:gridCol w:w="851"/>
        <w:gridCol w:w="753"/>
      </w:tblGrid>
      <w:tr w:rsidR="00A61FF5" w:rsidRPr="00932A90" w14:paraId="06AA6CB6" w14:textId="77777777" w:rsidTr="00D07480">
        <w:trPr>
          <w:cantSplit/>
          <w:tblHeader/>
        </w:trPr>
        <w:tc>
          <w:tcPr>
            <w:tcW w:w="3261" w:type="dxa"/>
            <w:tcBorders>
              <w:top w:val="nil"/>
              <w:left w:val="nil"/>
              <w:bottom w:val="nil"/>
              <w:right w:val="nil"/>
            </w:tcBorders>
            <w:shd w:val="clear" w:color="auto" w:fill="808080" w:themeFill="background1" w:themeFillShade="80"/>
            <w:vAlign w:val="center"/>
          </w:tcPr>
          <w:p w14:paraId="72FDEB73" w14:textId="77777777" w:rsidR="00A61FF5" w:rsidRPr="00932A90" w:rsidRDefault="00A61FF5" w:rsidP="00D07480">
            <w:pPr>
              <w:pStyle w:val="DETTablecolumnheading"/>
              <w:jc w:val="left"/>
              <w:rPr>
                <w:sz w:val="16"/>
                <w:szCs w:val="16"/>
              </w:rPr>
            </w:pPr>
            <w:bookmarkStart w:id="83" w:name="_Toc488410103"/>
            <w:bookmarkStart w:id="84" w:name="_Toc488767575"/>
            <w:bookmarkStart w:id="85" w:name="_Toc488768987"/>
            <w:r w:rsidRPr="00932A90">
              <w:rPr>
                <w:sz w:val="16"/>
                <w:szCs w:val="16"/>
              </w:rPr>
              <w:t>Five-year financial summary</w:t>
            </w:r>
          </w:p>
        </w:tc>
        <w:tc>
          <w:tcPr>
            <w:tcW w:w="850" w:type="dxa"/>
            <w:tcBorders>
              <w:top w:val="nil"/>
              <w:left w:val="nil"/>
              <w:right w:val="nil"/>
            </w:tcBorders>
            <w:shd w:val="clear" w:color="auto" w:fill="808080" w:themeFill="background1" w:themeFillShade="80"/>
            <w:vAlign w:val="center"/>
          </w:tcPr>
          <w:p w14:paraId="123E8C99" w14:textId="77777777" w:rsidR="00A61FF5" w:rsidRPr="00932A90" w:rsidRDefault="00A61FF5" w:rsidP="00D07480">
            <w:pPr>
              <w:pStyle w:val="DETTablecolumnheading"/>
              <w:rPr>
                <w:sz w:val="16"/>
                <w:szCs w:val="16"/>
              </w:rPr>
            </w:pPr>
            <w:r w:rsidRPr="00932A90">
              <w:rPr>
                <w:sz w:val="16"/>
                <w:szCs w:val="16"/>
              </w:rPr>
              <w:t>2016–17</w:t>
            </w:r>
          </w:p>
        </w:tc>
        <w:tc>
          <w:tcPr>
            <w:tcW w:w="851" w:type="dxa"/>
            <w:tcBorders>
              <w:top w:val="nil"/>
              <w:left w:val="nil"/>
              <w:right w:val="nil"/>
            </w:tcBorders>
            <w:shd w:val="clear" w:color="auto" w:fill="808080" w:themeFill="background1" w:themeFillShade="80"/>
            <w:vAlign w:val="center"/>
          </w:tcPr>
          <w:p w14:paraId="04A479C4" w14:textId="77777777" w:rsidR="00A61FF5" w:rsidRPr="00932A90" w:rsidRDefault="00A61FF5" w:rsidP="00D07480">
            <w:pPr>
              <w:pStyle w:val="DETTablecolumnheading"/>
              <w:rPr>
                <w:sz w:val="16"/>
                <w:szCs w:val="16"/>
              </w:rPr>
            </w:pPr>
            <w:r w:rsidRPr="00932A90">
              <w:rPr>
                <w:sz w:val="16"/>
                <w:szCs w:val="16"/>
              </w:rPr>
              <w:t>2015–16</w:t>
            </w:r>
          </w:p>
        </w:tc>
        <w:tc>
          <w:tcPr>
            <w:tcW w:w="850" w:type="dxa"/>
            <w:tcBorders>
              <w:top w:val="nil"/>
              <w:left w:val="nil"/>
              <w:right w:val="nil"/>
            </w:tcBorders>
            <w:shd w:val="clear" w:color="auto" w:fill="808080" w:themeFill="background1" w:themeFillShade="80"/>
            <w:vAlign w:val="center"/>
          </w:tcPr>
          <w:p w14:paraId="34DFFFD0" w14:textId="77777777" w:rsidR="00A61FF5" w:rsidRPr="00932A90" w:rsidRDefault="00A61FF5" w:rsidP="00D07480">
            <w:pPr>
              <w:pStyle w:val="DETTablecolumnheading"/>
              <w:rPr>
                <w:sz w:val="16"/>
                <w:szCs w:val="16"/>
              </w:rPr>
            </w:pPr>
            <w:r w:rsidRPr="00932A90">
              <w:rPr>
                <w:sz w:val="16"/>
                <w:szCs w:val="16"/>
              </w:rPr>
              <w:t>2014–15</w:t>
            </w:r>
          </w:p>
        </w:tc>
        <w:tc>
          <w:tcPr>
            <w:tcW w:w="851" w:type="dxa"/>
            <w:tcBorders>
              <w:top w:val="nil"/>
              <w:left w:val="nil"/>
              <w:right w:val="nil"/>
            </w:tcBorders>
            <w:shd w:val="clear" w:color="auto" w:fill="808080" w:themeFill="background1" w:themeFillShade="80"/>
            <w:vAlign w:val="center"/>
          </w:tcPr>
          <w:p w14:paraId="10659D77" w14:textId="77777777" w:rsidR="00A61FF5" w:rsidRPr="00932A90" w:rsidRDefault="00A61FF5" w:rsidP="00D07480">
            <w:pPr>
              <w:pStyle w:val="DETTablecolumnheading"/>
              <w:rPr>
                <w:sz w:val="16"/>
                <w:szCs w:val="16"/>
              </w:rPr>
            </w:pPr>
            <w:r w:rsidRPr="00932A90">
              <w:rPr>
                <w:sz w:val="16"/>
                <w:szCs w:val="16"/>
              </w:rPr>
              <w:t>2013–14</w:t>
            </w:r>
          </w:p>
        </w:tc>
        <w:tc>
          <w:tcPr>
            <w:tcW w:w="753" w:type="dxa"/>
            <w:tcBorders>
              <w:top w:val="nil"/>
              <w:left w:val="nil"/>
              <w:bottom w:val="nil"/>
              <w:right w:val="nil"/>
            </w:tcBorders>
            <w:shd w:val="clear" w:color="auto" w:fill="808080" w:themeFill="background1" w:themeFillShade="80"/>
            <w:vAlign w:val="center"/>
          </w:tcPr>
          <w:p w14:paraId="25569BF9" w14:textId="77777777" w:rsidR="00A61FF5" w:rsidRPr="00932A90" w:rsidRDefault="00A61FF5" w:rsidP="00D07480">
            <w:pPr>
              <w:pStyle w:val="DETTablecolumnheading"/>
              <w:rPr>
                <w:sz w:val="16"/>
                <w:szCs w:val="16"/>
              </w:rPr>
            </w:pPr>
            <w:r w:rsidRPr="00932A90">
              <w:rPr>
                <w:sz w:val="16"/>
                <w:szCs w:val="16"/>
              </w:rPr>
              <w:t>2012–13</w:t>
            </w:r>
          </w:p>
        </w:tc>
      </w:tr>
      <w:tr w:rsidR="00A61FF5" w:rsidRPr="00932A90" w14:paraId="111119A3" w14:textId="77777777" w:rsidTr="00D07480">
        <w:trPr>
          <w:cantSplit/>
          <w:tblHeader/>
        </w:trPr>
        <w:tc>
          <w:tcPr>
            <w:tcW w:w="3261" w:type="dxa"/>
            <w:tcBorders>
              <w:top w:val="nil"/>
              <w:left w:val="nil"/>
              <w:bottom w:val="nil"/>
              <w:right w:val="nil"/>
            </w:tcBorders>
            <w:shd w:val="clear" w:color="auto" w:fill="A6A6A6" w:themeFill="background1" w:themeFillShade="A6"/>
            <w:vAlign w:val="center"/>
          </w:tcPr>
          <w:p w14:paraId="53194002" w14:textId="77777777" w:rsidR="00A61FF5" w:rsidRPr="00932A90" w:rsidRDefault="00A61FF5" w:rsidP="00D07480">
            <w:pPr>
              <w:pStyle w:val="DETTablecolumnheading"/>
              <w:jc w:val="left"/>
              <w:rPr>
                <w:sz w:val="16"/>
                <w:szCs w:val="16"/>
              </w:rPr>
            </w:pPr>
          </w:p>
        </w:tc>
        <w:tc>
          <w:tcPr>
            <w:tcW w:w="850" w:type="dxa"/>
            <w:tcBorders>
              <w:left w:val="nil"/>
              <w:right w:val="nil"/>
            </w:tcBorders>
            <w:shd w:val="clear" w:color="auto" w:fill="A6A6A6" w:themeFill="background1" w:themeFillShade="A6"/>
            <w:vAlign w:val="center"/>
          </w:tcPr>
          <w:p w14:paraId="0AB967EB" w14:textId="77777777" w:rsidR="00A61FF5" w:rsidRPr="00932A90" w:rsidRDefault="00A61FF5" w:rsidP="00D07480">
            <w:pPr>
              <w:pStyle w:val="DETTablecolumnheading"/>
              <w:rPr>
                <w:sz w:val="16"/>
                <w:szCs w:val="16"/>
              </w:rPr>
            </w:pPr>
            <w:r w:rsidRPr="00932A90">
              <w:rPr>
                <w:sz w:val="16"/>
                <w:szCs w:val="16"/>
              </w:rPr>
              <w:t>$m</w:t>
            </w:r>
          </w:p>
        </w:tc>
        <w:tc>
          <w:tcPr>
            <w:tcW w:w="851" w:type="dxa"/>
            <w:tcBorders>
              <w:left w:val="nil"/>
              <w:right w:val="nil"/>
            </w:tcBorders>
            <w:shd w:val="clear" w:color="auto" w:fill="A6A6A6" w:themeFill="background1" w:themeFillShade="A6"/>
            <w:vAlign w:val="center"/>
          </w:tcPr>
          <w:p w14:paraId="05D45806" w14:textId="77777777" w:rsidR="00A61FF5" w:rsidRPr="00932A90" w:rsidRDefault="00A61FF5" w:rsidP="00D07480">
            <w:pPr>
              <w:pStyle w:val="DETTablecolumnheading"/>
              <w:rPr>
                <w:sz w:val="16"/>
                <w:szCs w:val="16"/>
              </w:rPr>
            </w:pPr>
            <w:r w:rsidRPr="00932A90">
              <w:rPr>
                <w:sz w:val="16"/>
                <w:szCs w:val="16"/>
              </w:rPr>
              <w:t>$m</w:t>
            </w:r>
          </w:p>
        </w:tc>
        <w:tc>
          <w:tcPr>
            <w:tcW w:w="850" w:type="dxa"/>
            <w:tcBorders>
              <w:left w:val="nil"/>
              <w:right w:val="nil"/>
            </w:tcBorders>
            <w:shd w:val="clear" w:color="auto" w:fill="A6A6A6" w:themeFill="background1" w:themeFillShade="A6"/>
            <w:vAlign w:val="center"/>
          </w:tcPr>
          <w:p w14:paraId="3E4193C1" w14:textId="77777777" w:rsidR="00A61FF5" w:rsidRPr="00932A90" w:rsidRDefault="00A61FF5" w:rsidP="00D07480">
            <w:pPr>
              <w:pStyle w:val="DETTablecolumnheading"/>
              <w:rPr>
                <w:sz w:val="16"/>
                <w:szCs w:val="16"/>
              </w:rPr>
            </w:pPr>
            <w:r w:rsidRPr="00932A90">
              <w:rPr>
                <w:sz w:val="16"/>
                <w:szCs w:val="16"/>
              </w:rPr>
              <w:t>$m</w:t>
            </w:r>
          </w:p>
        </w:tc>
        <w:tc>
          <w:tcPr>
            <w:tcW w:w="851" w:type="dxa"/>
            <w:tcBorders>
              <w:left w:val="nil"/>
              <w:right w:val="nil"/>
            </w:tcBorders>
            <w:shd w:val="clear" w:color="auto" w:fill="A6A6A6" w:themeFill="background1" w:themeFillShade="A6"/>
            <w:vAlign w:val="center"/>
          </w:tcPr>
          <w:p w14:paraId="74CE2814" w14:textId="77777777" w:rsidR="00A61FF5" w:rsidRPr="00932A90" w:rsidRDefault="00A61FF5" w:rsidP="00D07480">
            <w:pPr>
              <w:pStyle w:val="DETTablecolumnheading"/>
              <w:rPr>
                <w:sz w:val="16"/>
                <w:szCs w:val="16"/>
              </w:rPr>
            </w:pPr>
            <w:r w:rsidRPr="00932A90">
              <w:rPr>
                <w:sz w:val="16"/>
                <w:szCs w:val="16"/>
              </w:rPr>
              <w:t>$m</w:t>
            </w:r>
          </w:p>
        </w:tc>
        <w:tc>
          <w:tcPr>
            <w:tcW w:w="753" w:type="dxa"/>
            <w:tcBorders>
              <w:top w:val="nil"/>
              <w:left w:val="nil"/>
              <w:bottom w:val="nil"/>
              <w:right w:val="nil"/>
            </w:tcBorders>
            <w:shd w:val="clear" w:color="auto" w:fill="A6A6A6" w:themeFill="background1" w:themeFillShade="A6"/>
            <w:vAlign w:val="center"/>
          </w:tcPr>
          <w:p w14:paraId="23E486B8" w14:textId="77777777" w:rsidR="00A61FF5" w:rsidRPr="00932A90" w:rsidRDefault="00A61FF5" w:rsidP="00D07480">
            <w:pPr>
              <w:pStyle w:val="DETTablecolumnheading"/>
              <w:rPr>
                <w:sz w:val="16"/>
                <w:szCs w:val="16"/>
              </w:rPr>
            </w:pPr>
            <w:r w:rsidRPr="00932A90">
              <w:rPr>
                <w:sz w:val="16"/>
                <w:szCs w:val="16"/>
              </w:rPr>
              <w:t>$m</w:t>
            </w:r>
          </w:p>
        </w:tc>
      </w:tr>
      <w:tr w:rsidR="00A61FF5" w:rsidRPr="00932A90" w14:paraId="4B37E9D6" w14:textId="77777777" w:rsidTr="00D07480">
        <w:trPr>
          <w:cantSplit/>
          <w:tblHeader/>
        </w:trPr>
        <w:tc>
          <w:tcPr>
            <w:tcW w:w="3261" w:type="dxa"/>
            <w:tcBorders>
              <w:top w:val="nil"/>
              <w:left w:val="nil"/>
              <w:bottom w:val="nil"/>
              <w:right w:val="nil"/>
            </w:tcBorders>
            <w:shd w:val="clear" w:color="auto" w:fill="auto"/>
            <w:vAlign w:val="center"/>
          </w:tcPr>
          <w:p w14:paraId="58113F0E" w14:textId="77777777" w:rsidR="00A61FF5" w:rsidRPr="00932A90" w:rsidRDefault="00A61FF5" w:rsidP="00D07480">
            <w:pPr>
              <w:pStyle w:val="DETTablecolumnheading"/>
              <w:jc w:val="left"/>
              <w:rPr>
                <w:color w:val="auto"/>
              </w:rPr>
            </w:pPr>
            <w:r w:rsidRPr="00932A90">
              <w:rPr>
                <w:color w:val="auto"/>
              </w:rPr>
              <w:t>Operating revenue</w:t>
            </w:r>
          </w:p>
        </w:tc>
        <w:tc>
          <w:tcPr>
            <w:tcW w:w="850" w:type="dxa"/>
            <w:tcBorders>
              <w:left w:val="nil"/>
              <w:right w:val="nil"/>
            </w:tcBorders>
            <w:shd w:val="clear" w:color="auto" w:fill="auto"/>
            <w:vAlign w:val="center"/>
          </w:tcPr>
          <w:p w14:paraId="28ACE8CF" w14:textId="77777777" w:rsidR="00A61FF5" w:rsidRPr="00932A90" w:rsidRDefault="00A61FF5" w:rsidP="00D07480">
            <w:pPr>
              <w:pStyle w:val="DETTablecolumnheading"/>
              <w:jc w:val="left"/>
              <w:rPr>
                <w:color w:val="auto"/>
              </w:rPr>
            </w:pPr>
          </w:p>
        </w:tc>
        <w:tc>
          <w:tcPr>
            <w:tcW w:w="851" w:type="dxa"/>
            <w:tcBorders>
              <w:left w:val="nil"/>
              <w:right w:val="nil"/>
            </w:tcBorders>
            <w:shd w:val="clear" w:color="auto" w:fill="auto"/>
            <w:vAlign w:val="center"/>
          </w:tcPr>
          <w:p w14:paraId="0C6C162F" w14:textId="77777777" w:rsidR="00A61FF5" w:rsidRPr="00932A90" w:rsidRDefault="00A61FF5" w:rsidP="00D07480">
            <w:pPr>
              <w:pStyle w:val="DETTablecolumnheading"/>
              <w:jc w:val="left"/>
              <w:rPr>
                <w:color w:val="auto"/>
              </w:rPr>
            </w:pPr>
          </w:p>
        </w:tc>
        <w:tc>
          <w:tcPr>
            <w:tcW w:w="850" w:type="dxa"/>
            <w:tcBorders>
              <w:left w:val="nil"/>
              <w:right w:val="nil"/>
            </w:tcBorders>
            <w:shd w:val="clear" w:color="auto" w:fill="auto"/>
            <w:vAlign w:val="center"/>
          </w:tcPr>
          <w:p w14:paraId="299BB968" w14:textId="77777777" w:rsidR="00A61FF5" w:rsidRPr="00932A90" w:rsidRDefault="00A61FF5" w:rsidP="00D07480">
            <w:pPr>
              <w:pStyle w:val="DETTablecolumnheading"/>
              <w:jc w:val="left"/>
              <w:rPr>
                <w:color w:val="auto"/>
              </w:rPr>
            </w:pPr>
          </w:p>
        </w:tc>
        <w:tc>
          <w:tcPr>
            <w:tcW w:w="851" w:type="dxa"/>
            <w:tcBorders>
              <w:left w:val="nil"/>
              <w:right w:val="nil"/>
            </w:tcBorders>
            <w:shd w:val="clear" w:color="auto" w:fill="auto"/>
            <w:vAlign w:val="center"/>
          </w:tcPr>
          <w:p w14:paraId="56248453" w14:textId="77777777" w:rsidR="00A61FF5" w:rsidRPr="00932A90" w:rsidRDefault="00A61FF5" w:rsidP="00D07480">
            <w:pPr>
              <w:pStyle w:val="DETTablecolumnheading"/>
              <w:jc w:val="left"/>
              <w:rPr>
                <w:color w:val="auto"/>
              </w:rPr>
            </w:pPr>
          </w:p>
        </w:tc>
        <w:tc>
          <w:tcPr>
            <w:tcW w:w="753" w:type="dxa"/>
            <w:tcBorders>
              <w:top w:val="nil"/>
              <w:left w:val="nil"/>
              <w:bottom w:val="nil"/>
              <w:right w:val="nil"/>
            </w:tcBorders>
            <w:shd w:val="clear" w:color="auto" w:fill="auto"/>
            <w:vAlign w:val="center"/>
          </w:tcPr>
          <w:p w14:paraId="51F5512C" w14:textId="77777777" w:rsidR="00A61FF5" w:rsidRPr="00932A90" w:rsidRDefault="00A61FF5" w:rsidP="00D07480">
            <w:pPr>
              <w:pStyle w:val="DETTablecolumnheading"/>
              <w:jc w:val="left"/>
              <w:rPr>
                <w:color w:val="auto"/>
              </w:rPr>
            </w:pPr>
          </w:p>
        </w:tc>
      </w:tr>
      <w:tr w:rsidR="00A61FF5" w:rsidRPr="00932A90" w14:paraId="11C8DD6A" w14:textId="77777777" w:rsidTr="00D07480">
        <w:trPr>
          <w:cantSplit/>
          <w:tblHeader/>
        </w:trPr>
        <w:tc>
          <w:tcPr>
            <w:tcW w:w="3261" w:type="dxa"/>
            <w:tcBorders>
              <w:top w:val="nil"/>
              <w:left w:val="nil"/>
              <w:bottom w:val="nil"/>
              <w:right w:val="nil"/>
            </w:tcBorders>
            <w:shd w:val="clear" w:color="auto" w:fill="auto"/>
            <w:vAlign w:val="center"/>
          </w:tcPr>
          <w:p w14:paraId="3B12A350" w14:textId="77777777" w:rsidR="00A61FF5" w:rsidRPr="00932A90" w:rsidRDefault="00A61FF5" w:rsidP="00D07480">
            <w:pPr>
              <w:pStyle w:val="DETTablecolumnheading"/>
              <w:jc w:val="left"/>
              <w:rPr>
                <w:b w:val="0"/>
                <w:color w:val="auto"/>
              </w:rPr>
            </w:pPr>
            <w:r w:rsidRPr="00932A90">
              <w:rPr>
                <w:b w:val="0"/>
                <w:color w:val="auto"/>
              </w:rPr>
              <w:t>Revenue from State Government</w:t>
            </w:r>
          </w:p>
        </w:tc>
        <w:tc>
          <w:tcPr>
            <w:tcW w:w="850" w:type="dxa"/>
            <w:tcBorders>
              <w:left w:val="nil"/>
              <w:right w:val="nil"/>
            </w:tcBorders>
            <w:shd w:val="clear" w:color="auto" w:fill="auto"/>
          </w:tcPr>
          <w:p w14:paraId="55101578" w14:textId="6D3AAF78" w:rsidR="00A61FF5" w:rsidRPr="00932A90" w:rsidRDefault="00A61FF5" w:rsidP="00D07480">
            <w:pPr>
              <w:pStyle w:val="DETTablecolumnheading"/>
              <w:jc w:val="right"/>
              <w:rPr>
                <w:b w:val="0"/>
                <w:color w:val="auto"/>
              </w:rPr>
            </w:pPr>
            <w:r w:rsidRPr="00932A90">
              <w:rPr>
                <w:b w:val="0"/>
                <w:color w:val="auto"/>
              </w:rPr>
              <w:t>12,197.</w:t>
            </w:r>
            <w:r w:rsidR="00C16B9D">
              <w:rPr>
                <w:b w:val="0"/>
                <w:color w:val="auto"/>
              </w:rPr>
              <w:t>3</w:t>
            </w:r>
          </w:p>
        </w:tc>
        <w:tc>
          <w:tcPr>
            <w:tcW w:w="851" w:type="dxa"/>
            <w:tcBorders>
              <w:left w:val="nil"/>
              <w:right w:val="nil"/>
            </w:tcBorders>
            <w:shd w:val="clear" w:color="auto" w:fill="auto"/>
          </w:tcPr>
          <w:p w14:paraId="65147B87" w14:textId="77777777" w:rsidR="00A61FF5" w:rsidRPr="00932A90" w:rsidRDefault="00A61FF5" w:rsidP="00D07480">
            <w:pPr>
              <w:pStyle w:val="DETTablecolumnheading"/>
              <w:jc w:val="right"/>
              <w:rPr>
                <w:b w:val="0"/>
                <w:color w:val="auto"/>
              </w:rPr>
            </w:pPr>
            <w:r w:rsidRPr="00932A90">
              <w:rPr>
                <w:b w:val="0"/>
                <w:color w:val="auto"/>
              </w:rPr>
              <w:t>11,194.0</w:t>
            </w:r>
          </w:p>
        </w:tc>
        <w:tc>
          <w:tcPr>
            <w:tcW w:w="850" w:type="dxa"/>
            <w:tcBorders>
              <w:left w:val="nil"/>
              <w:right w:val="nil"/>
            </w:tcBorders>
            <w:shd w:val="clear" w:color="auto" w:fill="auto"/>
          </w:tcPr>
          <w:p w14:paraId="5DD3C933" w14:textId="77777777" w:rsidR="00A61FF5" w:rsidRPr="00932A90" w:rsidRDefault="00A61FF5" w:rsidP="00D07480">
            <w:pPr>
              <w:pStyle w:val="DETTablecolumnheading"/>
              <w:jc w:val="right"/>
              <w:rPr>
                <w:b w:val="0"/>
                <w:color w:val="auto"/>
              </w:rPr>
            </w:pPr>
            <w:r w:rsidRPr="00932A90">
              <w:rPr>
                <w:b w:val="0"/>
                <w:color w:val="auto"/>
              </w:rPr>
              <w:t>10,683.5</w:t>
            </w:r>
          </w:p>
        </w:tc>
        <w:tc>
          <w:tcPr>
            <w:tcW w:w="851" w:type="dxa"/>
            <w:tcBorders>
              <w:left w:val="nil"/>
              <w:right w:val="nil"/>
            </w:tcBorders>
            <w:shd w:val="clear" w:color="auto" w:fill="auto"/>
          </w:tcPr>
          <w:p w14:paraId="20DA9D98" w14:textId="77777777" w:rsidR="00A61FF5" w:rsidRPr="00932A90" w:rsidRDefault="00A61FF5" w:rsidP="00D07480">
            <w:pPr>
              <w:pStyle w:val="DETTablecolumnheading"/>
              <w:jc w:val="right"/>
              <w:rPr>
                <w:b w:val="0"/>
                <w:color w:val="auto"/>
              </w:rPr>
            </w:pPr>
            <w:r w:rsidRPr="00932A90">
              <w:rPr>
                <w:b w:val="0"/>
                <w:color w:val="auto"/>
              </w:rPr>
              <w:t>10,517.1</w:t>
            </w:r>
          </w:p>
        </w:tc>
        <w:tc>
          <w:tcPr>
            <w:tcW w:w="753" w:type="dxa"/>
            <w:tcBorders>
              <w:top w:val="nil"/>
              <w:left w:val="nil"/>
              <w:bottom w:val="nil"/>
              <w:right w:val="nil"/>
            </w:tcBorders>
            <w:shd w:val="clear" w:color="auto" w:fill="auto"/>
          </w:tcPr>
          <w:p w14:paraId="7DDC918E" w14:textId="77777777" w:rsidR="00A61FF5" w:rsidRPr="00932A90" w:rsidRDefault="00A61FF5" w:rsidP="00D07480">
            <w:pPr>
              <w:pStyle w:val="DETTablecolumnheading"/>
              <w:jc w:val="right"/>
              <w:rPr>
                <w:b w:val="0"/>
                <w:color w:val="auto"/>
              </w:rPr>
            </w:pPr>
            <w:r w:rsidRPr="00932A90">
              <w:rPr>
                <w:b w:val="0"/>
                <w:color w:val="auto"/>
              </w:rPr>
              <w:t>10,382.3</w:t>
            </w:r>
          </w:p>
        </w:tc>
      </w:tr>
      <w:tr w:rsidR="00A61FF5" w:rsidRPr="00932A90" w14:paraId="11F09820" w14:textId="77777777" w:rsidTr="00D07480">
        <w:trPr>
          <w:cantSplit/>
          <w:tblHeader/>
        </w:trPr>
        <w:tc>
          <w:tcPr>
            <w:tcW w:w="3261" w:type="dxa"/>
            <w:tcBorders>
              <w:top w:val="nil"/>
              <w:left w:val="nil"/>
              <w:bottom w:val="nil"/>
              <w:right w:val="nil"/>
            </w:tcBorders>
            <w:shd w:val="clear" w:color="auto" w:fill="auto"/>
            <w:vAlign w:val="center"/>
          </w:tcPr>
          <w:p w14:paraId="61E2E37A" w14:textId="77777777" w:rsidR="00A61FF5" w:rsidRPr="00932A90" w:rsidRDefault="00A61FF5" w:rsidP="00D07480">
            <w:pPr>
              <w:pStyle w:val="DETTablecolumnheading"/>
              <w:jc w:val="left"/>
              <w:rPr>
                <w:b w:val="0"/>
                <w:color w:val="auto"/>
              </w:rPr>
            </w:pPr>
            <w:r w:rsidRPr="00932A90">
              <w:rPr>
                <w:b w:val="0"/>
                <w:color w:val="auto"/>
              </w:rPr>
              <w:t>Other revenue</w:t>
            </w:r>
          </w:p>
        </w:tc>
        <w:tc>
          <w:tcPr>
            <w:tcW w:w="850" w:type="dxa"/>
            <w:tcBorders>
              <w:left w:val="nil"/>
              <w:right w:val="nil"/>
            </w:tcBorders>
            <w:shd w:val="clear" w:color="auto" w:fill="auto"/>
          </w:tcPr>
          <w:p w14:paraId="583DB375" w14:textId="77777777" w:rsidR="00A61FF5" w:rsidRPr="00932A90" w:rsidRDefault="00A61FF5" w:rsidP="00D07480">
            <w:pPr>
              <w:pStyle w:val="DETTablecolumnheading"/>
              <w:jc w:val="right"/>
              <w:rPr>
                <w:b w:val="0"/>
                <w:color w:val="auto"/>
              </w:rPr>
            </w:pPr>
            <w:r w:rsidRPr="00932A90">
              <w:rPr>
                <w:b w:val="0"/>
                <w:color w:val="auto"/>
              </w:rPr>
              <w:t>751.1</w:t>
            </w:r>
          </w:p>
        </w:tc>
        <w:tc>
          <w:tcPr>
            <w:tcW w:w="851" w:type="dxa"/>
            <w:tcBorders>
              <w:left w:val="nil"/>
              <w:right w:val="nil"/>
            </w:tcBorders>
            <w:shd w:val="clear" w:color="auto" w:fill="auto"/>
          </w:tcPr>
          <w:p w14:paraId="521A7E2C" w14:textId="77777777" w:rsidR="00A61FF5" w:rsidRPr="00932A90" w:rsidRDefault="00A61FF5" w:rsidP="00D07480">
            <w:pPr>
              <w:pStyle w:val="DETTablecolumnheading"/>
              <w:jc w:val="right"/>
              <w:rPr>
                <w:b w:val="0"/>
                <w:color w:val="auto"/>
              </w:rPr>
            </w:pPr>
            <w:r w:rsidRPr="00932A90">
              <w:rPr>
                <w:b w:val="0"/>
                <w:color w:val="auto"/>
              </w:rPr>
              <w:t>776.9</w:t>
            </w:r>
          </w:p>
        </w:tc>
        <w:tc>
          <w:tcPr>
            <w:tcW w:w="850" w:type="dxa"/>
            <w:tcBorders>
              <w:left w:val="nil"/>
              <w:right w:val="nil"/>
            </w:tcBorders>
            <w:shd w:val="clear" w:color="auto" w:fill="auto"/>
          </w:tcPr>
          <w:p w14:paraId="5D6742B0" w14:textId="77777777" w:rsidR="00A61FF5" w:rsidRPr="00932A90" w:rsidRDefault="00A61FF5" w:rsidP="00D07480">
            <w:pPr>
              <w:pStyle w:val="DETTablecolumnheading"/>
              <w:jc w:val="right"/>
              <w:rPr>
                <w:b w:val="0"/>
                <w:color w:val="auto"/>
              </w:rPr>
            </w:pPr>
            <w:r w:rsidRPr="00932A90">
              <w:rPr>
                <w:b w:val="0"/>
                <w:color w:val="auto"/>
              </w:rPr>
              <w:t>777.2</w:t>
            </w:r>
          </w:p>
        </w:tc>
        <w:tc>
          <w:tcPr>
            <w:tcW w:w="851" w:type="dxa"/>
            <w:tcBorders>
              <w:left w:val="nil"/>
              <w:right w:val="nil"/>
            </w:tcBorders>
            <w:shd w:val="clear" w:color="auto" w:fill="auto"/>
          </w:tcPr>
          <w:p w14:paraId="5D763892" w14:textId="77777777" w:rsidR="00A61FF5" w:rsidRPr="00932A90" w:rsidRDefault="00A61FF5" w:rsidP="00D07480">
            <w:pPr>
              <w:pStyle w:val="DETTablecolumnheading"/>
              <w:jc w:val="right"/>
              <w:rPr>
                <w:b w:val="0"/>
                <w:color w:val="auto"/>
              </w:rPr>
            </w:pPr>
            <w:r w:rsidRPr="00932A90">
              <w:rPr>
                <w:b w:val="0"/>
                <w:color w:val="auto"/>
              </w:rPr>
              <w:t>749.9</w:t>
            </w:r>
          </w:p>
        </w:tc>
        <w:tc>
          <w:tcPr>
            <w:tcW w:w="753" w:type="dxa"/>
            <w:tcBorders>
              <w:top w:val="nil"/>
              <w:left w:val="nil"/>
              <w:bottom w:val="nil"/>
              <w:right w:val="nil"/>
            </w:tcBorders>
            <w:shd w:val="clear" w:color="auto" w:fill="auto"/>
          </w:tcPr>
          <w:p w14:paraId="1B6522B1" w14:textId="77777777" w:rsidR="00A61FF5" w:rsidRPr="00932A90" w:rsidRDefault="00A61FF5" w:rsidP="00D07480">
            <w:pPr>
              <w:pStyle w:val="DETTablecolumnheading"/>
              <w:jc w:val="right"/>
              <w:rPr>
                <w:b w:val="0"/>
                <w:color w:val="auto"/>
              </w:rPr>
            </w:pPr>
            <w:r w:rsidRPr="00932A90">
              <w:rPr>
                <w:b w:val="0"/>
                <w:color w:val="auto"/>
              </w:rPr>
              <w:t>734.8</w:t>
            </w:r>
          </w:p>
        </w:tc>
      </w:tr>
      <w:tr w:rsidR="00A61FF5" w:rsidRPr="00932A90" w14:paraId="5453E345" w14:textId="77777777" w:rsidTr="00D07480">
        <w:trPr>
          <w:cantSplit/>
          <w:tblHeader/>
        </w:trPr>
        <w:tc>
          <w:tcPr>
            <w:tcW w:w="3261" w:type="dxa"/>
            <w:tcBorders>
              <w:top w:val="nil"/>
              <w:left w:val="nil"/>
              <w:bottom w:val="nil"/>
              <w:right w:val="nil"/>
            </w:tcBorders>
            <w:shd w:val="clear" w:color="auto" w:fill="auto"/>
            <w:vAlign w:val="center"/>
          </w:tcPr>
          <w:p w14:paraId="5608C376" w14:textId="77777777" w:rsidR="00A61FF5" w:rsidRPr="00932A90" w:rsidRDefault="00A61FF5" w:rsidP="00D07480">
            <w:pPr>
              <w:pStyle w:val="DETTablecolumnheading"/>
              <w:jc w:val="left"/>
              <w:rPr>
                <w:b w:val="0"/>
                <w:color w:val="auto"/>
              </w:rPr>
            </w:pPr>
            <w:r w:rsidRPr="00932A90">
              <w:rPr>
                <w:b w:val="0"/>
                <w:color w:val="auto"/>
              </w:rPr>
              <w:t>Total income from transactions</w:t>
            </w:r>
          </w:p>
        </w:tc>
        <w:tc>
          <w:tcPr>
            <w:tcW w:w="850" w:type="dxa"/>
            <w:tcBorders>
              <w:left w:val="nil"/>
              <w:right w:val="nil"/>
            </w:tcBorders>
            <w:shd w:val="clear" w:color="auto" w:fill="auto"/>
          </w:tcPr>
          <w:p w14:paraId="293F7CC8" w14:textId="77777777" w:rsidR="00A61FF5" w:rsidRPr="00932A90" w:rsidRDefault="00A61FF5" w:rsidP="00D07480">
            <w:pPr>
              <w:pStyle w:val="DETTablecolumnheading"/>
              <w:jc w:val="right"/>
              <w:rPr>
                <w:b w:val="0"/>
                <w:color w:val="auto"/>
              </w:rPr>
            </w:pPr>
            <w:r w:rsidRPr="00932A90">
              <w:rPr>
                <w:b w:val="0"/>
                <w:color w:val="auto"/>
              </w:rPr>
              <w:t>12,948.4</w:t>
            </w:r>
          </w:p>
        </w:tc>
        <w:tc>
          <w:tcPr>
            <w:tcW w:w="851" w:type="dxa"/>
            <w:tcBorders>
              <w:left w:val="nil"/>
              <w:right w:val="nil"/>
            </w:tcBorders>
            <w:shd w:val="clear" w:color="auto" w:fill="auto"/>
          </w:tcPr>
          <w:p w14:paraId="03A2C240" w14:textId="77777777" w:rsidR="00A61FF5" w:rsidRPr="00932A90" w:rsidRDefault="00A61FF5" w:rsidP="00D07480">
            <w:pPr>
              <w:pStyle w:val="DETTablecolumnheading"/>
              <w:jc w:val="right"/>
              <w:rPr>
                <w:b w:val="0"/>
                <w:color w:val="auto"/>
              </w:rPr>
            </w:pPr>
            <w:r w:rsidRPr="00932A90">
              <w:rPr>
                <w:b w:val="0"/>
                <w:color w:val="auto"/>
              </w:rPr>
              <w:t>11,970.9</w:t>
            </w:r>
          </w:p>
        </w:tc>
        <w:tc>
          <w:tcPr>
            <w:tcW w:w="850" w:type="dxa"/>
            <w:tcBorders>
              <w:left w:val="nil"/>
              <w:right w:val="nil"/>
            </w:tcBorders>
            <w:shd w:val="clear" w:color="auto" w:fill="auto"/>
          </w:tcPr>
          <w:p w14:paraId="1602D091" w14:textId="77777777" w:rsidR="00A61FF5" w:rsidRPr="00932A90" w:rsidRDefault="00A61FF5" w:rsidP="00D07480">
            <w:pPr>
              <w:pStyle w:val="DETTablecolumnheading"/>
              <w:jc w:val="right"/>
              <w:rPr>
                <w:b w:val="0"/>
                <w:color w:val="auto"/>
              </w:rPr>
            </w:pPr>
            <w:r w:rsidRPr="00932A90">
              <w:rPr>
                <w:b w:val="0"/>
                <w:color w:val="auto"/>
              </w:rPr>
              <w:t>11,460.7</w:t>
            </w:r>
          </w:p>
        </w:tc>
        <w:tc>
          <w:tcPr>
            <w:tcW w:w="851" w:type="dxa"/>
            <w:tcBorders>
              <w:left w:val="nil"/>
              <w:right w:val="nil"/>
            </w:tcBorders>
            <w:shd w:val="clear" w:color="auto" w:fill="auto"/>
          </w:tcPr>
          <w:p w14:paraId="050810D0" w14:textId="77777777" w:rsidR="00A61FF5" w:rsidRPr="00932A90" w:rsidRDefault="00A61FF5" w:rsidP="00D07480">
            <w:pPr>
              <w:pStyle w:val="DETTablecolumnheading"/>
              <w:jc w:val="right"/>
              <w:rPr>
                <w:b w:val="0"/>
                <w:color w:val="auto"/>
              </w:rPr>
            </w:pPr>
            <w:r w:rsidRPr="00932A90">
              <w:rPr>
                <w:b w:val="0"/>
                <w:color w:val="auto"/>
              </w:rPr>
              <w:t>11,267.0</w:t>
            </w:r>
          </w:p>
        </w:tc>
        <w:tc>
          <w:tcPr>
            <w:tcW w:w="753" w:type="dxa"/>
            <w:tcBorders>
              <w:top w:val="nil"/>
              <w:left w:val="nil"/>
              <w:bottom w:val="nil"/>
              <w:right w:val="nil"/>
            </w:tcBorders>
            <w:shd w:val="clear" w:color="auto" w:fill="auto"/>
          </w:tcPr>
          <w:p w14:paraId="2179AFA4" w14:textId="77777777" w:rsidR="00A61FF5" w:rsidRPr="00932A90" w:rsidRDefault="00A61FF5" w:rsidP="00D07480">
            <w:pPr>
              <w:pStyle w:val="DETTablecolumnheading"/>
              <w:jc w:val="right"/>
              <w:rPr>
                <w:b w:val="0"/>
                <w:color w:val="auto"/>
              </w:rPr>
            </w:pPr>
            <w:r w:rsidRPr="00932A90">
              <w:rPr>
                <w:b w:val="0"/>
                <w:color w:val="auto"/>
              </w:rPr>
              <w:t>11,117.0</w:t>
            </w:r>
          </w:p>
        </w:tc>
      </w:tr>
      <w:tr w:rsidR="00A61FF5" w:rsidRPr="00932A90" w14:paraId="57332BBF" w14:textId="77777777" w:rsidTr="00D07480">
        <w:trPr>
          <w:cantSplit/>
          <w:tblHeader/>
        </w:trPr>
        <w:tc>
          <w:tcPr>
            <w:tcW w:w="3261" w:type="dxa"/>
            <w:tcBorders>
              <w:top w:val="nil"/>
              <w:left w:val="nil"/>
              <w:bottom w:val="nil"/>
              <w:right w:val="nil"/>
            </w:tcBorders>
            <w:shd w:val="clear" w:color="auto" w:fill="auto"/>
            <w:vAlign w:val="center"/>
          </w:tcPr>
          <w:p w14:paraId="3142ACDA" w14:textId="77777777" w:rsidR="00A61FF5" w:rsidRPr="00932A90" w:rsidRDefault="00A61FF5" w:rsidP="00D07480">
            <w:pPr>
              <w:pStyle w:val="DETTablecolumnheading"/>
              <w:jc w:val="left"/>
              <w:rPr>
                <w:b w:val="0"/>
                <w:color w:val="auto"/>
              </w:rPr>
            </w:pPr>
            <w:r w:rsidRPr="00932A90">
              <w:rPr>
                <w:b w:val="0"/>
                <w:color w:val="auto"/>
              </w:rPr>
              <w:t>Total expenses from transactions</w:t>
            </w:r>
          </w:p>
        </w:tc>
        <w:tc>
          <w:tcPr>
            <w:tcW w:w="850" w:type="dxa"/>
            <w:tcBorders>
              <w:left w:val="nil"/>
              <w:right w:val="nil"/>
            </w:tcBorders>
            <w:shd w:val="clear" w:color="auto" w:fill="auto"/>
          </w:tcPr>
          <w:p w14:paraId="65EDF86A" w14:textId="77777777" w:rsidR="00A61FF5" w:rsidRPr="00932A90" w:rsidRDefault="00A61FF5" w:rsidP="00D07480">
            <w:pPr>
              <w:pStyle w:val="DETTablecolumnheading"/>
              <w:jc w:val="right"/>
              <w:rPr>
                <w:b w:val="0"/>
                <w:color w:val="auto"/>
              </w:rPr>
            </w:pPr>
            <w:r w:rsidRPr="00932A90">
              <w:rPr>
                <w:b w:val="0"/>
                <w:color w:val="auto"/>
              </w:rPr>
              <w:t>12,626.2</w:t>
            </w:r>
          </w:p>
        </w:tc>
        <w:tc>
          <w:tcPr>
            <w:tcW w:w="851" w:type="dxa"/>
            <w:tcBorders>
              <w:left w:val="nil"/>
              <w:right w:val="nil"/>
            </w:tcBorders>
            <w:shd w:val="clear" w:color="auto" w:fill="auto"/>
          </w:tcPr>
          <w:p w14:paraId="755FF6D0" w14:textId="77777777" w:rsidR="00A61FF5" w:rsidRPr="00932A90" w:rsidRDefault="00A61FF5" w:rsidP="00D07480">
            <w:pPr>
              <w:pStyle w:val="DETTablecolumnheading"/>
              <w:jc w:val="right"/>
              <w:rPr>
                <w:b w:val="0"/>
                <w:color w:val="auto"/>
              </w:rPr>
            </w:pPr>
            <w:r w:rsidRPr="00932A90">
              <w:rPr>
                <w:b w:val="0"/>
                <w:color w:val="auto"/>
              </w:rPr>
              <w:t>11,740.0</w:t>
            </w:r>
          </w:p>
        </w:tc>
        <w:tc>
          <w:tcPr>
            <w:tcW w:w="850" w:type="dxa"/>
            <w:tcBorders>
              <w:left w:val="nil"/>
              <w:right w:val="nil"/>
            </w:tcBorders>
            <w:shd w:val="clear" w:color="auto" w:fill="auto"/>
          </w:tcPr>
          <w:p w14:paraId="7D8C7083" w14:textId="77777777" w:rsidR="00A61FF5" w:rsidRPr="00932A90" w:rsidRDefault="00A61FF5" w:rsidP="00D07480">
            <w:pPr>
              <w:pStyle w:val="DETTablecolumnheading"/>
              <w:jc w:val="right"/>
              <w:rPr>
                <w:b w:val="0"/>
                <w:color w:val="auto"/>
              </w:rPr>
            </w:pPr>
            <w:r w:rsidRPr="00932A90">
              <w:rPr>
                <w:b w:val="0"/>
                <w:color w:val="auto"/>
              </w:rPr>
              <w:t>11,280.3</w:t>
            </w:r>
          </w:p>
        </w:tc>
        <w:tc>
          <w:tcPr>
            <w:tcW w:w="851" w:type="dxa"/>
            <w:tcBorders>
              <w:left w:val="nil"/>
              <w:right w:val="nil"/>
            </w:tcBorders>
            <w:shd w:val="clear" w:color="auto" w:fill="auto"/>
          </w:tcPr>
          <w:p w14:paraId="0FC5419C" w14:textId="77777777" w:rsidR="00A61FF5" w:rsidRPr="00932A90" w:rsidRDefault="00A61FF5" w:rsidP="00D07480">
            <w:pPr>
              <w:pStyle w:val="DETTablecolumnheading"/>
              <w:jc w:val="right"/>
              <w:rPr>
                <w:b w:val="0"/>
                <w:color w:val="auto"/>
              </w:rPr>
            </w:pPr>
            <w:r w:rsidRPr="00932A90">
              <w:rPr>
                <w:b w:val="0"/>
                <w:color w:val="auto"/>
              </w:rPr>
              <w:t>11,101.5</w:t>
            </w:r>
          </w:p>
        </w:tc>
        <w:tc>
          <w:tcPr>
            <w:tcW w:w="753" w:type="dxa"/>
            <w:tcBorders>
              <w:top w:val="nil"/>
              <w:left w:val="nil"/>
              <w:bottom w:val="nil"/>
              <w:right w:val="nil"/>
            </w:tcBorders>
            <w:shd w:val="clear" w:color="auto" w:fill="auto"/>
          </w:tcPr>
          <w:p w14:paraId="1D72C66E" w14:textId="77777777" w:rsidR="00A61FF5" w:rsidRPr="00932A90" w:rsidRDefault="00A61FF5" w:rsidP="00D07480">
            <w:pPr>
              <w:pStyle w:val="DETTablecolumnheading"/>
              <w:jc w:val="right"/>
              <w:rPr>
                <w:b w:val="0"/>
                <w:color w:val="auto"/>
              </w:rPr>
            </w:pPr>
            <w:r w:rsidRPr="00932A90">
              <w:rPr>
                <w:b w:val="0"/>
                <w:color w:val="auto"/>
              </w:rPr>
              <w:t>11,028.1</w:t>
            </w:r>
          </w:p>
        </w:tc>
      </w:tr>
      <w:tr w:rsidR="00A61FF5" w:rsidRPr="00932A90" w14:paraId="617BE5FF" w14:textId="77777777" w:rsidTr="00D07480">
        <w:trPr>
          <w:cantSplit/>
          <w:tblHeader/>
        </w:trPr>
        <w:tc>
          <w:tcPr>
            <w:tcW w:w="3261" w:type="dxa"/>
            <w:tcBorders>
              <w:top w:val="nil"/>
              <w:left w:val="nil"/>
              <w:bottom w:val="nil"/>
              <w:right w:val="nil"/>
            </w:tcBorders>
            <w:shd w:val="clear" w:color="auto" w:fill="auto"/>
            <w:vAlign w:val="center"/>
          </w:tcPr>
          <w:p w14:paraId="61222AA8" w14:textId="77777777" w:rsidR="00A61FF5" w:rsidRPr="00932A90" w:rsidRDefault="00A61FF5" w:rsidP="00D07480">
            <w:pPr>
              <w:pStyle w:val="DETTablecolumnheading"/>
              <w:jc w:val="left"/>
              <w:rPr>
                <w:color w:val="auto"/>
              </w:rPr>
            </w:pPr>
            <w:r w:rsidRPr="00932A90">
              <w:rPr>
                <w:color w:val="auto"/>
              </w:rPr>
              <w:t>Net results from transactions</w:t>
            </w:r>
          </w:p>
        </w:tc>
        <w:tc>
          <w:tcPr>
            <w:tcW w:w="850" w:type="dxa"/>
            <w:tcBorders>
              <w:left w:val="nil"/>
              <w:right w:val="nil"/>
            </w:tcBorders>
            <w:shd w:val="clear" w:color="auto" w:fill="auto"/>
          </w:tcPr>
          <w:p w14:paraId="76CB5AED" w14:textId="77777777" w:rsidR="00A61FF5" w:rsidRPr="00932A90" w:rsidRDefault="00A61FF5" w:rsidP="00D07480">
            <w:pPr>
              <w:pStyle w:val="DETTablecolumnheading"/>
              <w:jc w:val="right"/>
              <w:rPr>
                <w:b w:val="0"/>
                <w:color w:val="auto"/>
              </w:rPr>
            </w:pPr>
            <w:r w:rsidRPr="00932A90">
              <w:rPr>
                <w:b w:val="0"/>
                <w:color w:val="auto"/>
              </w:rPr>
              <w:t>322.2</w:t>
            </w:r>
          </w:p>
        </w:tc>
        <w:tc>
          <w:tcPr>
            <w:tcW w:w="851" w:type="dxa"/>
            <w:tcBorders>
              <w:left w:val="nil"/>
              <w:right w:val="nil"/>
            </w:tcBorders>
            <w:shd w:val="clear" w:color="auto" w:fill="auto"/>
          </w:tcPr>
          <w:p w14:paraId="726C2583" w14:textId="77777777" w:rsidR="00A61FF5" w:rsidRPr="00932A90" w:rsidRDefault="00A61FF5" w:rsidP="00D07480">
            <w:pPr>
              <w:pStyle w:val="DETTablecolumnheading"/>
              <w:jc w:val="right"/>
              <w:rPr>
                <w:b w:val="0"/>
                <w:color w:val="auto"/>
              </w:rPr>
            </w:pPr>
            <w:r w:rsidRPr="00932A90">
              <w:rPr>
                <w:b w:val="0"/>
                <w:color w:val="auto"/>
              </w:rPr>
              <w:t>230.9</w:t>
            </w:r>
          </w:p>
        </w:tc>
        <w:tc>
          <w:tcPr>
            <w:tcW w:w="850" w:type="dxa"/>
            <w:tcBorders>
              <w:left w:val="nil"/>
              <w:right w:val="nil"/>
            </w:tcBorders>
            <w:shd w:val="clear" w:color="auto" w:fill="auto"/>
          </w:tcPr>
          <w:p w14:paraId="39E816B0" w14:textId="77777777" w:rsidR="00A61FF5" w:rsidRPr="00932A90" w:rsidRDefault="00A61FF5" w:rsidP="00D07480">
            <w:pPr>
              <w:pStyle w:val="DETTablecolumnheading"/>
              <w:jc w:val="right"/>
              <w:rPr>
                <w:b w:val="0"/>
                <w:color w:val="auto"/>
              </w:rPr>
            </w:pPr>
            <w:r w:rsidRPr="00932A90">
              <w:rPr>
                <w:b w:val="0"/>
                <w:color w:val="auto"/>
              </w:rPr>
              <w:t>180.5</w:t>
            </w:r>
          </w:p>
        </w:tc>
        <w:tc>
          <w:tcPr>
            <w:tcW w:w="851" w:type="dxa"/>
            <w:tcBorders>
              <w:left w:val="nil"/>
              <w:right w:val="nil"/>
            </w:tcBorders>
            <w:shd w:val="clear" w:color="auto" w:fill="auto"/>
          </w:tcPr>
          <w:p w14:paraId="17BB40C5" w14:textId="77777777" w:rsidR="00A61FF5" w:rsidRPr="00932A90" w:rsidRDefault="00A61FF5" w:rsidP="00D07480">
            <w:pPr>
              <w:pStyle w:val="DETTablecolumnheading"/>
              <w:jc w:val="right"/>
              <w:rPr>
                <w:b w:val="0"/>
                <w:color w:val="auto"/>
              </w:rPr>
            </w:pPr>
            <w:r w:rsidRPr="00932A90">
              <w:rPr>
                <w:b w:val="0"/>
                <w:color w:val="auto"/>
              </w:rPr>
              <w:t>165.6</w:t>
            </w:r>
          </w:p>
        </w:tc>
        <w:tc>
          <w:tcPr>
            <w:tcW w:w="753" w:type="dxa"/>
            <w:tcBorders>
              <w:top w:val="nil"/>
              <w:left w:val="nil"/>
              <w:bottom w:val="nil"/>
              <w:right w:val="nil"/>
            </w:tcBorders>
            <w:shd w:val="clear" w:color="auto" w:fill="auto"/>
          </w:tcPr>
          <w:p w14:paraId="05B08F73" w14:textId="77777777" w:rsidR="00A61FF5" w:rsidRPr="00932A90" w:rsidRDefault="00A61FF5" w:rsidP="00D07480">
            <w:pPr>
              <w:pStyle w:val="DETTablecolumnheading"/>
              <w:jc w:val="right"/>
              <w:rPr>
                <w:b w:val="0"/>
                <w:color w:val="auto"/>
              </w:rPr>
            </w:pPr>
            <w:r w:rsidRPr="00932A90">
              <w:rPr>
                <w:b w:val="0"/>
                <w:color w:val="auto"/>
              </w:rPr>
              <w:t>88.9</w:t>
            </w:r>
          </w:p>
        </w:tc>
      </w:tr>
      <w:tr w:rsidR="00A61FF5" w:rsidRPr="00932A90" w14:paraId="4D14324C" w14:textId="77777777" w:rsidTr="00D07480">
        <w:trPr>
          <w:cantSplit/>
          <w:tblHeader/>
        </w:trPr>
        <w:tc>
          <w:tcPr>
            <w:tcW w:w="3261" w:type="dxa"/>
            <w:tcBorders>
              <w:top w:val="nil"/>
              <w:left w:val="nil"/>
              <w:bottom w:val="nil"/>
              <w:right w:val="nil"/>
            </w:tcBorders>
            <w:shd w:val="clear" w:color="auto" w:fill="auto"/>
            <w:vAlign w:val="center"/>
          </w:tcPr>
          <w:p w14:paraId="693362D1" w14:textId="77777777" w:rsidR="00A61FF5" w:rsidRPr="00932A90" w:rsidRDefault="00A61FF5" w:rsidP="00D07480">
            <w:pPr>
              <w:pStyle w:val="DETTablecolumnheading"/>
              <w:jc w:val="left"/>
              <w:rPr>
                <w:color w:val="auto"/>
              </w:rPr>
            </w:pPr>
            <w:r w:rsidRPr="00932A90">
              <w:rPr>
                <w:color w:val="auto"/>
              </w:rPr>
              <w:t>Total other economic flows</w:t>
            </w:r>
          </w:p>
        </w:tc>
        <w:tc>
          <w:tcPr>
            <w:tcW w:w="850" w:type="dxa"/>
            <w:tcBorders>
              <w:left w:val="nil"/>
              <w:right w:val="nil"/>
            </w:tcBorders>
            <w:shd w:val="clear" w:color="auto" w:fill="auto"/>
          </w:tcPr>
          <w:p w14:paraId="7362DD70" w14:textId="77777777" w:rsidR="00A61FF5" w:rsidRPr="00932A90" w:rsidRDefault="00A61FF5" w:rsidP="00D07480">
            <w:pPr>
              <w:pStyle w:val="DETTablecolumnheading"/>
              <w:jc w:val="right"/>
              <w:rPr>
                <w:b w:val="0"/>
                <w:color w:val="auto"/>
              </w:rPr>
            </w:pPr>
            <w:r w:rsidRPr="00932A90">
              <w:rPr>
                <w:b w:val="0"/>
                <w:color w:val="auto"/>
              </w:rPr>
              <w:t>86</w:t>
            </w:r>
          </w:p>
        </w:tc>
        <w:tc>
          <w:tcPr>
            <w:tcW w:w="851" w:type="dxa"/>
            <w:tcBorders>
              <w:left w:val="nil"/>
              <w:right w:val="nil"/>
            </w:tcBorders>
            <w:shd w:val="clear" w:color="auto" w:fill="auto"/>
          </w:tcPr>
          <w:p w14:paraId="32D61902" w14:textId="77777777" w:rsidR="00A61FF5" w:rsidRPr="00932A90" w:rsidRDefault="00A61FF5" w:rsidP="00D07480">
            <w:pPr>
              <w:pStyle w:val="DETTablecolumnheading"/>
              <w:jc w:val="right"/>
              <w:rPr>
                <w:b w:val="0"/>
                <w:color w:val="auto"/>
              </w:rPr>
            </w:pPr>
            <w:r w:rsidRPr="00932A90">
              <w:rPr>
                <w:b w:val="0"/>
                <w:color w:val="auto"/>
              </w:rPr>
              <w:t>(48.4)</w:t>
            </w:r>
          </w:p>
        </w:tc>
        <w:tc>
          <w:tcPr>
            <w:tcW w:w="850" w:type="dxa"/>
            <w:tcBorders>
              <w:left w:val="nil"/>
              <w:right w:val="nil"/>
            </w:tcBorders>
            <w:shd w:val="clear" w:color="auto" w:fill="auto"/>
          </w:tcPr>
          <w:p w14:paraId="5A8A3D5D" w14:textId="77777777" w:rsidR="00A61FF5" w:rsidRPr="00932A90" w:rsidRDefault="00A61FF5" w:rsidP="00D07480">
            <w:pPr>
              <w:pStyle w:val="DETTablecolumnheading"/>
              <w:jc w:val="right"/>
              <w:rPr>
                <w:b w:val="0"/>
                <w:color w:val="auto"/>
              </w:rPr>
            </w:pPr>
            <w:r w:rsidRPr="00932A90">
              <w:rPr>
                <w:b w:val="0"/>
                <w:color w:val="auto"/>
              </w:rPr>
              <w:t>(21.7)</w:t>
            </w:r>
          </w:p>
        </w:tc>
        <w:tc>
          <w:tcPr>
            <w:tcW w:w="851" w:type="dxa"/>
            <w:tcBorders>
              <w:left w:val="nil"/>
              <w:right w:val="nil"/>
            </w:tcBorders>
            <w:shd w:val="clear" w:color="auto" w:fill="auto"/>
          </w:tcPr>
          <w:p w14:paraId="0460F83F" w14:textId="77777777" w:rsidR="00A61FF5" w:rsidRPr="00932A90" w:rsidRDefault="00A61FF5" w:rsidP="00D07480">
            <w:pPr>
              <w:pStyle w:val="DETTablecolumnheading"/>
              <w:jc w:val="right"/>
              <w:rPr>
                <w:b w:val="0"/>
                <w:color w:val="auto"/>
              </w:rPr>
            </w:pPr>
            <w:r w:rsidRPr="00932A90">
              <w:rPr>
                <w:b w:val="0"/>
                <w:color w:val="auto"/>
              </w:rPr>
              <w:t>(1.2)</w:t>
            </w:r>
          </w:p>
        </w:tc>
        <w:tc>
          <w:tcPr>
            <w:tcW w:w="753" w:type="dxa"/>
            <w:tcBorders>
              <w:top w:val="nil"/>
              <w:left w:val="nil"/>
              <w:bottom w:val="nil"/>
              <w:right w:val="nil"/>
            </w:tcBorders>
            <w:shd w:val="clear" w:color="auto" w:fill="auto"/>
          </w:tcPr>
          <w:p w14:paraId="17204C1A" w14:textId="77777777" w:rsidR="00A61FF5" w:rsidRPr="00932A90" w:rsidRDefault="00A61FF5" w:rsidP="00D07480">
            <w:pPr>
              <w:pStyle w:val="DETTablecolumnheading"/>
              <w:jc w:val="right"/>
              <w:rPr>
                <w:b w:val="0"/>
                <w:color w:val="auto"/>
              </w:rPr>
            </w:pPr>
            <w:r w:rsidRPr="00932A90">
              <w:rPr>
                <w:b w:val="0"/>
                <w:color w:val="auto"/>
              </w:rPr>
              <w:t>34.6</w:t>
            </w:r>
          </w:p>
        </w:tc>
      </w:tr>
      <w:tr w:rsidR="00A61FF5" w:rsidRPr="00932A90" w14:paraId="67CB9453" w14:textId="77777777" w:rsidTr="00D07480">
        <w:trPr>
          <w:cantSplit/>
          <w:tblHeader/>
        </w:trPr>
        <w:tc>
          <w:tcPr>
            <w:tcW w:w="3261" w:type="dxa"/>
            <w:tcBorders>
              <w:top w:val="nil"/>
              <w:left w:val="nil"/>
              <w:bottom w:val="nil"/>
              <w:right w:val="nil"/>
            </w:tcBorders>
            <w:shd w:val="clear" w:color="auto" w:fill="auto"/>
            <w:vAlign w:val="center"/>
          </w:tcPr>
          <w:p w14:paraId="1ADA77EF" w14:textId="77777777" w:rsidR="00A61FF5" w:rsidRPr="00932A90" w:rsidRDefault="00A61FF5" w:rsidP="00D07480">
            <w:pPr>
              <w:pStyle w:val="DETTablecolumnheading"/>
              <w:jc w:val="left"/>
              <w:rPr>
                <w:color w:val="auto"/>
              </w:rPr>
            </w:pPr>
            <w:r w:rsidRPr="00932A90">
              <w:rPr>
                <w:color w:val="auto"/>
              </w:rPr>
              <w:t>Net results for period</w:t>
            </w:r>
          </w:p>
        </w:tc>
        <w:tc>
          <w:tcPr>
            <w:tcW w:w="850" w:type="dxa"/>
            <w:tcBorders>
              <w:left w:val="nil"/>
              <w:right w:val="nil"/>
            </w:tcBorders>
            <w:shd w:val="clear" w:color="auto" w:fill="auto"/>
          </w:tcPr>
          <w:p w14:paraId="4A37DBFF" w14:textId="50A1D533" w:rsidR="00A61FF5" w:rsidRPr="00932A90" w:rsidRDefault="00A61FF5" w:rsidP="00D07480">
            <w:pPr>
              <w:pStyle w:val="DETTablecolumnheading"/>
              <w:jc w:val="right"/>
              <w:rPr>
                <w:b w:val="0"/>
                <w:color w:val="auto"/>
              </w:rPr>
            </w:pPr>
            <w:r w:rsidRPr="00932A90">
              <w:rPr>
                <w:b w:val="0"/>
                <w:color w:val="auto"/>
              </w:rPr>
              <w:t>408.</w:t>
            </w:r>
            <w:r w:rsidR="00C16B9D">
              <w:rPr>
                <w:b w:val="0"/>
                <w:color w:val="auto"/>
              </w:rPr>
              <w:t>2</w:t>
            </w:r>
          </w:p>
        </w:tc>
        <w:tc>
          <w:tcPr>
            <w:tcW w:w="851" w:type="dxa"/>
            <w:tcBorders>
              <w:left w:val="nil"/>
              <w:right w:val="nil"/>
            </w:tcBorders>
            <w:shd w:val="clear" w:color="auto" w:fill="auto"/>
          </w:tcPr>
          <w:p w14:paraId="5BFFAD1C" w14:textId="77777777" w:rsidR="00A61FF5" w:rsidRPr="00932A90" w:rsidRDefault="00A61FF5" w:rsidP="00D07480">
            <w:pPr>
              <w:pStyle w:val="DETTablecolumnheading"/>
              <w:jc w:val="right"/>
              <w:rPr>
                <w:b w:val="0"/>
                <w:color w:val="auto"/>
              </w:rPr>
            </w:pPr>
            <w:r w:rsidRPr="00932A90">
              <w:rPr>
                <w:b w:val="0"/>
                <w:color w:val="auto"/>
              </w:rPr>
              <w:t>182.5</w:t>
            </w:r>
          </w:p>
        </w:tc>
        <w:tc>
          <w:tcPr>
            <w:tcW w:w="850" w:type="dxa"/>
            <w:tcBorders>
              <w:left w:val="nil"/>
              <w:right w:val="nil"/>
            </w:tcBorders>
            <w:shd w:val="clear" w:color="auto" w:fill="auto"/>
          </w:tcPr>
          <w:p w14:paraId="7AA10574" w14:textId="77777777" w:rsidR="00A61FF5" w:rsidRPr="00932A90" w:rsidRDefault="00A61FF5" w:rsidP="00D07480">
            <w:pPr>
              <w:pStyle w:val="DETTablecolumnheading"/>
              <w:jc w:val="right"/>
              <w:rPr>
                <w:b w:val="0"/>
                <w:color w:val="auto"/>
              </w:rPr>
            </w:pPr>
            <w:r w:rsidRPr="00932A90">
              <w:rPr>
                <w:b w:val="0"/>
                <w:color w:val="auto"/>
              </w:rPr>
              <w:t>158.8</w:t>
            </w:r>
          </w:p>
        </w:tc>
        <w:tc>
          <w:tcPr>
            <w:tcW w:w="851" w:type="dxa"/>
            <w:tcBorders>
              <w:left w:val="nil"/>
              <w:right w:val="nil"/>
            </w:tcBorders>
            <w:shd w:val="clear" w:color="auto" w:fill="auto"/>
          </w:tcPr>
          <w:p w14:paraId="0E5B1DC4" w14:textId="77777777" w:rsidR="00A61FF5" w:rsidRPr="00932A90" w:rsidRDefault="00A61FF5" w:rsidP="00D07480">
            <w:pPr>
              <w:pStyle w:val="DETTablecolumnheading"/>
              <w:jc w:val="right"/>
              <w:rPr>
                <w:b w:val="0"/>
                <w:color w:val="auto"/>
              </w:rPr>
            </w:pPr>
            <w:r w:rsidRPr="00932A90">
              <w:rPr>
                <w:b w:val="0"/>
                <w:color w:val="auto"/>
              </w:rPr>
              <w:t>164.3</w:t>
            </w:r>
          </w:p>
        </w:tc>
        <w:tc>
          <w:tcPr>
            <w:tcW w:w="753" w:type="dxa"/>
            <w:tcBorders>
              <w:top w:val="nil"/>
              <w:left w:val="nil"/>
              <w:bottom w:val="nil"/>
              <w:right w:val="nil"/>
            </w:tcBorders>
            <w:shd w:val="clear" w:color="auto" w:fill="auto"/>
          </w:tcPr>
          <w:p w14:paraId="5891ADF6" w14:textId="77777777" w:rsidR="00A61FF5" w:rsidRPr="00932A90" w:rsidRDefault="00A61FF5" w:rsidP="00D07480">
            <w:pPr>
              <w:pStyle w:val="DETTablecolumnheading"/>
              <w:jc w:val="right"/>
              <w:rPr>
                <w:b w:val="0"/>
                <w:color w:val="auto"/>
              </w:rPr>
            </w:pPr>
            <w:r w:rsidRPr="00932A90">
              <w:rPr>
                <w:b w:val="0"/>
                <w:color w:val="auto"/>
              </w:rPr>
              <w:t>123.5</w:t>
            </w:r>
          </w:p>
        </w:tc>
      </w:tr>
      <w:tr w:rsidR="00A61FF5" w:rsidRPr="00932A90" w14:paraId="58943DC4" w14:textId="77777777" w:rsidTr="00D07480">
        <w:trPr>
          <w:cantSplit/>
          <w:tblHeader/>
        </w:trPr>
        <w:tc>
          <w:tcPr>
            <w:tcW w:w="3261" w:type="dxa"/>
            <w:tcBorders>
              <w:top w:val="nil"/>
              <w:left w:val="nil"/>
              <w:bottom w:val="nil"/>
              <w:right w:val="nil"/>
            </w:tcBorders>
            <w:shd w:val="clear" w:color="auto" w:fill="auto"/>
            <w:vAlign w:val="center"/>
          </w:tcPr>
          <w:p w14:paraId="08062BD1" w14:textId="77777777" w:rsidR="00A61FF5" w:rsidRPr="00932A90" w:rsidRDefault="00A61FF5" w:rsidP="00D07480">
            <w:pPr>
              <w:pStyle w:val="DETTablecolumnheading"/>
              <w:jc w:val="left"/>
              <w:rPr>
                <w:color w:val="auto"/>
              </w:rPr>
            </w:pPr>
          </w:p>
        </w:tc>
        <w:tc>
          <w:tcPr>
            <w:tcW w:w="850" w:type="dxa"/>
            <w:tcBorders>
              <w:left w:val="nil"/>
              <w:right w:val="nil"/>
            </w:tcBorders>
            <w:shd w:val="clear" w:color="auto" w:fill="auto"/>
          </w:tcPr>
          <w:p w14:paraId="6FCBA779" w14:textId="77777777" w:rsidR="00A61FF5" w:rsidRPr="00932A90" w:rsidRDefault="00A61FF5" w:rsidP="00D07480">
            <w:pPr>
              <w:pStyle w:val="DETTablecolumnheading"/>
              <w:jc w:val="right"/>
              <w:rPr>
                <w:b w:val="0"/>
                <w:color w:val="auto"/>
              </w:rPr>
            </w:pPr>
          </w:p>
        </w:tc>
        <w:tc>
          <w:tcPr>
            <w:tcW w:w="851" w:type="dxa"/>
            <w:tcBorders>
              <w:left w:val="nil"/>
              <w:right w:val="nil"/>
            </w:tcBorders>
            <w:shd w:val="clear" w:color="auto" w:fill="auto"/>
          </w:tcPr>
          <w:p w14:paraId="72E4AFC9" w14:textId="77777777" w:rsidR="00A61FF5" w:rsidRPr="00932A90" w:rsidRDefault="00A61FF5" w:rsidP="00D07480">
            <w:pPr>
              <w:pStyle w:val="DETTablecolumnheading"/>
              <w:jc w:val="right"/>
              <w:rPr>
                <w:b w:val="0"/>
                <w:color w:val="auto"/>
              </w:rPr>
            </w:pPr>
          </w:p>
        </w:tc>
        <w:tc>
          <w:tcPr>
            <w:tcW w:w="850" w:type="dxa"/>
            <w:tcBorders>
              <w:left w:val="nil"/>
              <w:right w:val="nil"/>
            </w:tcBorders>
            <w:shd w:val="clear" w:color="auto" w:fill="auto"/>
          </w:tcPr>
          <w:p w14:paraId="4A38A256" w14:textId="77777777" w:rsidR="00A61FF5" w:rsidRPr="00932A90" w:rsidRDefault="00A61FF5" w:rsidP="00D07480">
            <w:pPr>
              <w:pStyle w:val="DETTablecolumnheading"/>
              <w:jc w:val="right"/>
              <w:rPr>
                <w:b w:val="0"/>
                <w:color w:val="auto"/>
              </w:rPr>
            </w:pPr>
          </w:p>
        </w:tc>
        <w:tc>
          <w:tcPr>
            <w:tcW w:w="851" w:type="dxa"/>
            <w:tcBorders>
              <w:left w:val="nil"/>
              <w:right w:val="nil"/>
            </w:tcBorders>
            <w:shd w:val="clear" w:color="auto" w:fill="auto"/>
          </w:tcPr>
          <w:p w14:paraId="79B8A1DE" w14:textId="77777777" w:rsidR="00A61FF5" w:rsidRPr="00932A90" w:rsidRDefault="00A61FF5" w:rsidP="00D07480">
            <w:pPr>
              <w:pStyle w:val="DETTablecolumnheading"/>
              <w:jc w:val="right"/>
              <w:rPr>
                <w:b w:val="0"/>
                <w:color w:val="auto"/>
              </w:rPr>
            </w:pPr>
          </w:p>
        </w:tc>
        <w:tc>
          <w:tcPr>
            <w:tcW w:w="753" w:type="dxa"/>
            <w:tcBorders>
              <w:top w:val="nil"/>
              <w:left w:val="nil"/>
              <w:bottom w:val="nil"/>
              <w:right w:val="nil"/>
            </w:tcBorders>
            <w:shd w:val="clear" w:color="auto" w:fill="auto"/>
          </w:tcPr>
          <w:p w14:paraId="3B26BFAE" w14:textId="77777777" w:rsidR="00A61FF5" w:rsidRPr="00932A90" w:rsidRDefault="00A61FF5" w:rsidP="00D07480">
            <w:pPr>
              <w:pStyle w:val="DETTablecolumnheading"/>
              <w:jc w:val="right"/>
              <w:rPr>
                <w:b w:val="0"/>
                <w:color w:val="auto"/>
              </w:rPr>
            </w:pPr>
          </w:p>
        </w:tc>
      </w:tr>
      <w:tr w:rsidR="00A61FF5" w:rsidRPr="00932A90" w14:paraId="735DF04F" w14:textId="77777777" w:rsidTr="00D07480">
        <w:trPr>
          <w:cantSplit/>
          <w:tblHeader/>
        </w:trPr>
        <w:tc>
          <w:tcPr>
            <w:tcW w:w="3261" w:type="dxa"/>
            <w:tcBorders>
              <w:top w:val="nil"/>
              <w:left w:val="nil"/>
              <w:bottom w:val="nil"/>
              <w:right w:val="nil"/>
            </w:tcBorders>
            <w:shd w:val="clear" w:color="auto" w:fill="auto"/>
            <w:vAlign w:val="center"/>
          </w:tcPr>
          <w:p w14:paraId="4A1273F3" w14:textId="395070D3" w:rsidR="00A61FF5" w:rsidRPr="00932A90" w:rsidRDefault="00A61FF5" w:rsidP="00D07480">
            <w:pPr>
              <w:pStyle w:val="DETTablecolumnheading"/>
              <w:jc w:val="left"/>
              <w:rPr>
                <w:color w:val="auto"/>
              </w:rPr>
            </w:pPr>
            <w:r w:rsidRPr="00932A90">
              <w:rPr>
                <w:color w:val="auto"/>
              </w:rPr>
              <w:t xml:space="preserve">Net cash flow from </w:t>
            </w:r>
            <w:r w:rsidR="008C5F6E">
              <w:rPr>
                <w:color w:val="auto"/>
              </w:rPr>
              <w:t>operating activities</w:t>
            </w:r>
          </w:p>
        </w:tc>
        <w:tc>
          <w:tcPr>
            <w:tcW w:w="850" w:type="dxa"/>
            <w:tcBorders>
              <w:left w:val="nil"/>
              <w:right w:val="nil"/>
            </w:tcBorders>
            <w:shd w:val="clear" w:color="auto" w:fill="auto"/>
          </w:tcPr>
          <w:p w14:paraId="40F712C2" w14:textId="10EA9BAB" w:rsidR="00A61FF5" w:rsidRPr="00932A90" w:rsidRDefault="00F567DF" w:rsidP="00D07480">
            <w:pPr>
              <w:pStyle w:val="DETTablecolumnheading"/>
              <w:jc w:val="right"/>
              <w:rPr>
                <w:color w:val="auto"/>
              </w:rPr>
            </w:pPr>
            <w:r>
              <w:rPr>
                <w:color w:val="auto"/>
              </w:rPr>
              <w:t>63</w:t>
            </w:r>
            <w:r w:rsidR="00A61FF5" w:rsidRPr="00932A90">
              <w:rPr>
                <w:color w:val="auto"/>
              </w:rPr>
              <w:t>8.</w:t>
            </w:r>
            <w:r w:rsidR="00C16B9D">
              <w:rPr>
                <w:color w:val="auto"/>
              </w:rPr>
              <w:t>5</w:t>
            </w:r>
          </w:p>
        </w:tc>
        <w:tc>
          <w:tcPr>
            <w:tcW w:w="851" w:type="dxa"/>
            <w:tcBorders>
              <w:left w:val="nil"/>
              <w:right w:val="nil"/>
            </w:tcBorders>
            <w:shd w:val="clear" w:color="auto" w:fill="auto"/>
          </w:tcPr>
          <w:p w14:paraId="61978261" w14:textId="77777777" w:rsidR="00A61FF5" w:rsidRPr="00932A90" w:rsidRDefault="00A61FF5" w:rsidP="00D07480">
            <w:pPr>
              <w:pStyle w:val="DETTablecolumnheading"/>
              <w:jc w:val="right"/>
              <w:rPr>
                <w:color w:val="auto"/>
              </w:rPr>
            </w:pPr>
            <w:r w:rsidRPr="00932A90">
              <w:rPr>
                <w:color w:val="auto"/>
              </w:rPr>
              <w:t>455.4</w:t>
            </w:r>
          </w:p>
        </w:tc>
        <w:tc>
          <w:tcPr>
            <w:tcW w:w="850" w:type="dxa"/>
            <w:tcBorders>
              <w:left w:val="nil"/>
              <w:right w:val="nil"/>
            </w:tcBorders>
            <w:shd w:val="clear" w:color="auto" w:fill="auto"/>
          </w:tcPr>
          <w:p w14:paraId="0C719E48" w14:textId="77777777" w:rsidR="00A61FF5" w:rsidRPr="00932A90" w:rsidRDefault="00A61FF5" w:rsidP="00D07480">
            <w:pPr>
              <w:pStyle w:val="DETTablecolumnheading"/>
              <w:jc w:val="right"/>
              <w:rPr>
                <w:color w:val="auto"/>
              </w:rPr>
            </w:pPr>
            <w:r w:rsidRPr="00932A90">
              <w:rPr>
                <w:color w:val="auto"/>
              </w:rPr>
              <w:t>187.8</w:t>
            </w:r>
          </w:p>
        </w:tc>
        <w:tc>
          <w:tcPr>
            <w:tcW w:w="851" w:type="dxa"/>
            <w:tcBorders>
              <w:left w:val="nil"/>
              <w:right w:val="nil"/>
            </w:tcBorders>
            <w:shd w:val="clear" w:color="auto" w:fill="auto"/>
          </w:tcPr>
          <w:p w14:paraId="7DD1D7DD" w14:textId="77777777" w:rsidR="00A61FF5" w:rsidRPr="00932A90" w:rsidRDefault="00A61FF5" w:rsidP="00D07480">
            <w:pPr>
              <w:pStyle w:val="DETTablecolumnheading"/>
              <w:jc w:val="right"/>
              <w:rPr>
                <w:color w:val="auto"/>
              </w:rPr>
            </w:pPr>
            <w:r w:rsidRPr="00932A90">
              <w:rPr>
                <w:color w:val="auto"/>
              </w:rPr>
              <w:t>364.3</w:t>
            </w:r>
          </w:p>
        </w:tc>
        <w:tc>
          <w:tcPr>
            <w:tcW w:w="753" w:type="dxa"/>
            <w:tcBorders>
              <w:top w:val="nil"/>
              <w:left w:val="nil"/>
              <w:bottom w:val="nil"/>
              <w:right w:val="nil"/>
            </w:tcBorders>
            <w:shd w:val="clear" w:color="auto" w:fill="auto"/>
          </w:tcPr>
          <w:p w14:paraId="765343D3" w14:textId="77777777" w:rsidR="00A61FF5" w:rsidRPr="00932A90" w:rsidRDefault="00A61FF5" w:rsidP="00D07480">
            <w:pPr>
              <w:pStyle w:val="DETTablecolumnheading"/>
              <w:jc w:val="right"/>
              <w:rPr>
                <w:color w:val="auto"/>
              </w:rPr>
            </w:pPr>
            <w:r w:rsidRPr="00932A90">
              <w:rPr>
                <w:color w:val="auto"/>
              </w:rPr>
              <w:t>451.9</w:t>
            </w:r>
          </w:p>
        </w:tc>
      </w:tr>
      <w:tr w:rsidR="00A61FF5" w:rsidRPr="00932A90" w14:paraId="6797CBA4" w14:textId="77777777" w:rsidTr="00D07480">
        <w:trPr>
          <w:cantSplit/>
          <w:tblHeader/>
        </w:trPr>
        <w:tc>
          <w:tcPr>
            <w:tcW w:w="3261" w:type="dxa"/>
            <w:tcBorders>
              <w:top w:val="nil"/>
              <w:left w:val="nil"/>
              <w:bottom w:val="nil"/>
              <w:right w:val="nil"/>
            </w:tcBorders>
            <w:shd w:val="clear" w:color="auto" w:fill="auto"/>
            <w:vAlign w:val="center"/>
          </w:tcPr>
          <w:p w14:paraId="75D8EDDF" w14:textId="77777777" w:rsidR="00A61FF5" w:rsidRPr="00932A90" w:rsidRDefault="00A61FF5" w:rsidP="00D07480">
            <w:pPr>
              <w:pStyle w:val="DETTablecolumnheading"/>
              <w:jc w:val="left"/>
              <w:rPr>
                <w:color w:val="auto"/>
              </w:rPr>
            </w:pPr>
          </w:p>
        </w:tc>
        <w:tc>
          <w:tcPr>
            <w:tcW w:w="850" w:type="dxa"/>
            <w:tcBorders>
              <w:left w:val="nil"/>
              <w:right w:val="nil"/>
            </w:tcBorders>
            <w:shd w:val="clear" w:color="auto" w:fill="auto"/>
          </w:tcPr>
          <w:p w14:paraId="1E2A88DD" w14:textId="77777777" w:rsidR="00A61FF5" w:rsidRPr="00932A90" w:rsidRDefault="00A61FF5" w:rsidP="00D07480">
            <w:pPr>
              <w:pStyle w:val="DETTablecolumnheading"/>
              <w:jc w:val="right"/>
              <w:rPr>
                <w:b w:val="0"/>
                <w:color w:val="auto"/>
              </w:rPr>
            </w:pPr>
          </w:p>
        </w:tc>
        <w:tc>
          <w:tcPr>
            <w:tcW w:w="851" w:type="dxa"/>
            <w:tcBorders>
              <w:left w:val="nil"/>
              <w:right w:val="nil"/>
            </w:tcBorders>
            <w:shd w:val="clear" w:color="auto" w:fill="auto"/>
          </w:tcPr>
          <w:p w14:paraId="60D13BB5" w14:textId="77777777" w:rsidR="00A61FF5" w:rsidRPr="00932A90" w:rsidRDefault="00A61FF5" w:rsidP="00D07480">
            <w:pPr>
              <w:pStyle w:val="DETTablecolumnheading"/>
              <w:jc w:val="right"/>
              <w:rPr>
                <w:b w:val="0"/>
                <w:color w:val="auto"/>
              </w:rPr>
            </w:pPr>
          </w:p>
        </w:tc>
        <w:tc>
          <w:tcPr>
            <w:tcW w:w="850" w:type="dxa"/>
            <w:tcBorders>
              <w:left w:val="nil"/>
              <w:right w:val="nil"/>
            </w:tcBorders>
            <w:shd w:val="clear" w:color="auto" w:fill="auto"/>
          </w:tcPr>
          <w:p w14:paraId="55EC7C26" w14:textId="77777777" w:rsidR="00A61FF5" w:rsidRPr="00932A90" w:rsidRDefault="00A61FF5" w:rsidP="00D07480">
            <w:pPr>
              <w:pStyle w:val="DETTablecolumnheading"/>
              <w:jc w:val="right"/>
              <w:rPr>
                <w:b w:val="0"/>
                <w:color w:val="auto"/>
              </w:rPr>
            </w:pPr>
          </w:p>
        </w:tc>
        <w:tc>
          <w:tcPr>
            <w:tcW w:w="851" w:type="dxa"/>
            <w:tcBorders>
              <w:left w:val="nil"/>
              <w:right w:val="nil"/>
            </w:tcBorders>
            <w:shd w:val="clear" w:color="auto" w:fill="auto"/>
          </w:tcPr>
          <w:p w14:paraId="6C639F22" w14:textId="77777777" w:rsidR="00A61FF5" w:rsidRPr="00932A90" w:rsidRDefault="00A61FF5" w:rsidP="00D07480">
            <w:pPr>
              <w:pStyle w:val="DETTablecolumnheading"/>
              <w:jc w:val="right"/>
              <w:rPr>
                <w:b w:val="0"/>
                <w:color w:val="auto"/>
              </w:rPr>
            </w:pPr>
          </w:p>
        </w:tc>
        <w:tc>
          <w:tcPr>
            <w:tcW w:w="753" w:type="dxa"/>
            <w:tcBorders>
              <w:top w:val="nil"/>
              <w:left w:val="nil"/>
              <w:bottom w:val="nil"/>
              <w:right w:val="nil"/>
            </w:tcBorders>
            <w:shd w:val="clear" w:color="auto" w:fill="auto"/>
          </w:tcPr>
          <w:p w14:paraId="44DCD9AE" w14:textId="77777777" w:rsidR="00A61FF5" w:rsidRPr="00932A90" w:rsidRDefault="00A61FF5" w:rsidP="00D07480">
            <w:pPr>
              <w:pStyle w:val="DETTablecolumnheading"/>
              <w:jc w:val="right"/>
              <w:rPr>
                <w:b w:val="0"/>
                <w:color w:val="auto"/>
              </w:rPr>
            </w:pPr>
          </w:p>
        </w:tc>
      </w:tr>
      <w:tr w:rsidR="00A61FF5" w:rsidRPr="00932A90" w14:paraId="519B91A1" w14:textId="77777777" w:rsidTr="00D07480">
        <w:trPr>
          <w:cantSplit/>
          <w:tblHeader/>
        </w:trPr>
        <w:tc>
          <w:tcPr>
            <w:tcW w:w="3261" w:type="dxa"/>
            <w:tcBorders>
              <w:top w:val="nil"/>
              <w:left w:val="nil"/>
              <w:bottom w:val="nil"/>
              <w:right w:val="nil"/>
            </w:tcBorders>
            <w:shd w:val="clear" w:color="auto" w:fill="auto"/>
            <w:vAlign w:val="center"/>
          </w:tcPr>
          <w:p w14:paraId="456C2DD7" w14:textId="77777777" w:rsidR="00A61FF5" w:rsidRPr="00932A90" w:rsidRDefault="00A61FF5" w:rsidP="00D07480">
            <w:pPr>
              <w:pStyle w:val="DETTablecolumnheading"/>
              <w:jc w:val="left"/>
              <w:rPr>
                <w:b w:val="0"/>
                <w:color w:val="auto"/>
              </w:rPr>
            </w:pPr>
            <w:r w:rsidRPr="00932A90">
              <w:rPr>
                <w:b w:val="0"/>
                <w:color w:val="auto"/>
              </w:rPr>
              <w:t>Total assets</w:t>
            </w:r>
          </w:p>
        </w:tc>
        <w:tc>
          <w:tcPr>
            <w:tcW w:w="850" w:type="dxa"/>
            <w:tcBorders>
              <w:left w:val="nil"/>
              <w:right w:val="nil"/>
            </w:tcBorders>
            <w:shd w:val="clear" w:color="auto" w:fill="auto"/>
          </w:tcPr>
          <w:p w14:paraId="62277415" w14:textId="330BCF3A" w:rsidR="00A61FF5" w:rsidRPr="00932A90" w:rsidRDefault="00F567DF" w:rsidP="00F567DF">
            <w:pPr>
              <w:pStyle w:val="DETTablecolumnheading"/>
              <w:jc w:val="right"/>
              <w:rPr>
                <w:b w:val="0"/>
                <w:color w:val="auto"/>
              </w:rPr>
            </w:pPr>
            <w:r>
              <w:rPr>
                <w:b w:val="0"/>
                <w:color w:val="auto"/>
              </w:rPr>
              <w:t>23,818</w:t>
            </w:r>
            <w:r w:rsidR="00A61FF5" w:rsidRPr="00932A90">
              <w:rPr>
                <w:b w:val="0"/>
                <w:color w:val="auto"/>
              </w:rPr>
              <w:t>.</w:t>
            </w:r>
            <w:r>
              <w:rPr>
                <w:b w:val="0"/>
                <w:color w:val="auto"/>
              </w:rPr>
              <w:t>6</w:t>
            </w:r>
          </w:p>
        </w:tc>
        <w:tc>
          <w:tcPr>
            <w:tcW w:w="851" w:type="dxa"/>
            <w:tcBorders>
              <w:left w:val="nil"/>
              <w:right w:val="nil"/>
            </w:tcBorders>
            <w:shd w:val="clear" w:color="auto" w:fill="auto"/>
          </w:tcPr>
          <w:p w14:paraId="1E9D47CF" w14:textId="77777777" w:rsidR="00A61FF5" w:rsidRPr="00932A90" w:rsidRDefault="00A61FF5" w:rsidP="00D07480">
            <w:pPr>
              <w:pStyle w:val="DETTablecolumnheading"/>
              <w:jc w:val="right"/>
              <w:rPr>
                <w:b w:val="0"/>
                <w:color w:val="auto"/>
              </w:rPr>
            </w:pPr>
            <w:r w:rsidRPr="00932A90">
              <w:rPr>
                <w:b w:val="0"/>
                <w:color w:val="auto"/>
              </w:rPr>
              <w:t>22,955.5</w:t>
            </w:r>
          </w:p>
        </w:tc>
        <w:tc>
          <w:tcPr>
            <w:tcW w:w="850" w:type="dxa"/>
            <w:tcBorders>
              <w:left w:val="nil"/>
              <w:right w:val="nil"/>
            </w:tcBorders>
            <w:shd w:val="clear" w:color="auto" w:fill="auto"/>
          </w:tcPr>
          <w:p w14:paraId="12D8A58C" w14:textId="77777777" w:rsidR="00A61FF5" w:rsidRPr="00932A90" w:rsidRDefault="00A61FF5" w:rsidP="00D07480">
            <w:pPr>
              <w:pStyle w:val="DETTablecolumnheading"/>
              <w:jc w:val="right"/>
              <w:rPr>
                <w:b w:val="0"/>
                <w:color w:val="auto"/>
              </w:rPr>
            </w:pPr>
            <w:r w:rsidRPr="00932A90">
              <w:rPr>
                <w:b w:val="0"/>
                <w:color w:val="auto"/>
              </w:rPr>
              <w:t>19,608.5</w:t>
            </w:r>
          </w:p>
        </w:tc>
        <w:tc>
          <w:tcPr>
            <w:tcW w:w="851" w:type="dxa"/>
            <w:tcBorders>
              <w:left w:val="nil"/>
              <w:right w:val="nil"/>
            </w:tcBorders>
            <w:shd w:val="clear" w:color="auto" w:fill="auto"/>
          </w:tcPr>
          <w:p w14:paraId="1C539B11" w14:textId="77777777" w:rsidR="00A61FF5" w:rsidRPr="00932A90" w:rsidRDefault="00A61FF5" w:rsidP="00D07480">
            <w:pPr>
              <w:pStyle w:val="DETTablecolumnheading"/>
              <w:jc w:val="right"/>
              <w:rPr>
                <w:b w:val="0"/>
                <w:color w:val="auto"/>
              </w:rPr>
            </w:pPr>
            <w:r w:rsidRPr="00932A90">
              <w:rPr>
                <w:b w:val="0"/>
                <w:color w:val="auto"/>
              </w:rPr>
              <w:t>18,516.8</w:t>
            </w:r>
          </w:p>
        </w:tc>
        <w:tc>
          <w:tcPr>
            <w:tcW w:w="753" w:type="dxa"/>
            <w:tcBorders>
              <w:top w:val="nil"/>
              <w:left w:val="nil"/>
              <w:bottom w:val="nil"/>
              <w:right w:val="nil"/>
            </w:tcBorders>
            <w:shd w:val="clear" w:color="auto" w:fill="auto"/>
          </w:tcPr>
          <w:p w14:paraId="4E709F49" w14:textId="77777777" w:rsidR="00A61FF5" w:rsidRPr="00932A90" w:rsidRDefault="00A61FF5" w:rsidP="00D07480">
            <w:pPr>
              <w:pStyle w:val="DETTablecolumnheading"/>
              <w:jc w:val="right"/>
              <w:rPr>
                <w:b w:val="0"/>
                <w:color w:val="auto"/>
              </w:rPr>
            </w:pPr>
            <w:r w:rsidRPr="00932A90">
              <w:rPr>
                <w:b w:val="0"/>
                <w:color w:val="auto"/>
              </w:rPr>
              <w:t>18,392.4</w:t>
            </w:r>
          </w:p>
        </w:tc>
      </w:tr>
      <w:tr w:rsidR="00A61FF5" w:rsidRPr="00932A90" w14:paraId="2CCFAA92" w14:textId="77777777" w:rsidTr="004B6C01">
        <w:trPr>
          <w:cantSplit/>
          <w:tblHeader/>
        </w:trPr>
        <w:tc>
          <w:tcPr>
            <w:tcW w:w="3261" w:type="dxa"/>
            <w:tcBorders>
              <w:top w:val="nil"/>
              <w:left w:val="nil"/>
              <w:bottom w:val="nil"/>
              <w:right w:val="nil"/>
            </w:tcBorders>
            <w:shd w:val="clear" w:color="auto" w:fill="auto"/>
            <w:vAlign w:val="center"/>
          </w:tcPr>
          <w:p w14:paraId="582EACB9" w14:textId="77777777" w:rsidR="00A61FF5" w:rsidRPr="00932A90" w:rsidRDefault="00A61FF5" w:rsidP="00D07480">
            <w:pPr>
              <w:pStyle w:val="DETTablecolumnheading"/>
              <w:jc w:val="left"/>
              <w:rPr>
                <w:b w:val="0"/>
                <w:color w:val="auto"/>
              </w:rPr>
            </w:pPr>
            <w:r w:rsidRPr="00932A90">
              <w:rPr>
                <w:b w:val="0"/>
                <w:color w:val="auto"/>
              </w:rPr>
              <w:t>Total liabilities</w:t>
            </w:r>
          </w:p>
        </w:tc>
        <w:tc>
          <w:tcPr>
            <w:tcW w:w="850" w:type="dxa"/>
            <w:tcBorders>
              <w:left w:val="nil"/>
              <w:bottom w:val="nil"/>
              <w:right w:val="nil"/>
            </w:tcBorders>
            <w:shd w:val="clear" w:color="auto" w:fill="auto"/>
          </w:tcPr>
          <w:p w14:paraId="11A509E1" w14:textId="564BB622" w:rsidR="00A61FF5" w:rsidRPr="00932A90" w:rsidRDefault="00A61FF5" w:rsidP="00F567DF">
            <w:pPr>
              <w:pStyle w:val="DETTablecolumnheading"/>
              <w:jc w:val="right"/>
              <w:rPr>
                <w:b w:val="0"/>
                <w:color w:val="auto"/>
              </w:rPr>
            </w:pPr>
            <w:r w:rsidRPr="00932A90">
              <w:rPr>
                <w:b w:val="0"/>
                <w:color w:val="auto"/>
              </w:rPr>
              <w:t>2</w:t>
            </w:r>
            <w:r w:rsidR="009452EC" w:rsidRPr="00932A90">
              <w:rPr>
                <w:b w:val="0"/>
                <w:color w:val="auto"/>
              </w:rPr>
              <w:t>,</w:t>
            </w:r>
            <w:r w:rsidR="00F567DF">
              <w:rPr>
                <w:b w:val="0"/>
                <w:color w:val="auto"/>
              </w:rPr>
              <w:t>607</w:t>
            </w:r>
            <w:r w:rsidRPr="00932A90">
              <w:rPr>
                <w:b w:val="0"/>
                <w:color w:val="auto"/>
              </w:rPr>
              <w:t>.</w:t>
            </w:r>
            <w:r w:rsidR="00F567DF">
              <w:rPr>
                <w:b w:val="0"/>
                <w:color w:val="auto"/>
              </w:rPr>
              <w:t>1</w:t>
            </w:r>
          </w:p>
        </w:tc>
        <w:tc>
          <w:tcPr>
            <w:tcW w:w="851" w:type="dxa"/>
            <w:tcBorders>
              <w:left w:val="nil"/>
              <w:bottom w:val="nil"/>
              <w:right w:val="nil"/>
            </w:tcBorders>
            <w:shd w:val="clear" w:color="auto" w:fill="auto"/>
          </w:tcPr>
          <w:p w14:paraId="0378B9F5" w14:textId="58E7AE7D" w:rsidR="00A61FF5" w:rsidRPr="00932A90" w:rsidRDefault="00A61FF5" w:rsidP="00D07480">
            <w:pPr>
              <w:pStyle w:val="DETTablecolumnheading"/>
              <w:jc w:val="right"/>
              <w:rPr>
                <w:b w:val="0"/>
                <w:color w:val="auto"/>
              </w:rPr>
            </w:pPr>
            <w:r w:rsidRPr="00932A90">
              <w:rPr>
                <w:b w:val="0"/>
                <w:color w:val="auto"/>
              </w:rPr>
              <w:t>2</w:t>
            </w:r>
            <w:r w:rsidR="009452EC" w:rsidRPr="00932A90">
              <w:rPr>
                <w:b w:val="0"/>
                <w:color w:val="auto"/>
              </w:rPr>
              <w:t>,</w:t>
            </w:r>
            <w:r w:rsidRPr="00932A90">
              <w:rPr>
                <w:b w:val="0"/>
                <w:color w:val="auto"/>
              </w:rPr>
              <w:t>166.9</w:t>
            </w:r>
          </w:p>
        </w:tc>
        <w:tc>
          <w:tcPr>
            <w:tcW w:w="850" w:type="dxa"/>
            <w:tcBorders>
              <w:left w:val="nil"/>
              <w:bottom w:val="nil"/>
              <w:right w:val="nil"/>
            </w:tcBorders>
            <w:shd w:val="clear" w:color="auto" w:fill="auto"/>
          </w:tcPr>
          <w:p w14:paraId="4982AED7" w14:textId="4B1DC5B4" w:rsidR="00A61FF5" w:rsidRPr="00932A90" w:rsidRDefault="00A61FF5" w:rsidP="00D07480">
            <w:pPr>
              <w:pStyle w:val="DETTablecolumnheading"/>
              <w:jc w:val="right"/>
              <w:rPr>
                <w:b w:val="0"/>
                <w:color w:val="auto"/>
              </w:rPr>
            </w:pPr>
            <w:r w:rsidRPr="00932A90">
              <w:rPr>
                <w:b w:val="0"/>
                <w:color w:val="auto"/>
              </w:rPr>
              <w:t>1</w:t>
            </w:r>
            <w:r w:rsidR="009452EC" w:rsidRPr="00932A90">
              <w:rPr>
                <w:b w:val="0"/>
                <w:color w:val="auto"/>
              </w:rPr>
              <w:t>,</w:t>
            </w:r>
            <w:r w:rsidRPr="00932A90">
              <w:rPr>
                <w:b w:val="0"/>
                <w:color w:val="auto"/>
              </w:rPr>
              <w:t>940.8</w:t>
            </w:r>
          </w:p>
        </w:tc>
        <w:tc>
          <w:tcPr>
            <w:tcW w:w="851" w:type="dxa"/>
            <w:tcBorders>
              <w:left w:val="nil"/>
              <w:bottom w:val="nil"/>
              <w:right w:val="nil"/>
            </w:tcBorders>
            <w:shd w:val="clear" w:color="auto" w:fill="auto"/>
          </w:tcPr>
          <w:p w14:paraId="357A48D8" w14:textId="5036717E" w:rsidR="00A61FF5" w:rsidRPr="00932A90" w:rsidRDefault="00A61FF5" w:rsidP="00D07480">
            <w:pPr>
              <w:pStyle w:val="DETTablecolumnheading"/>
              <w:jc w:val="right"/>
              <w:rPr>
                <w:b w:val="0"/>
                <w:color w:val="auto"/>
              </w:rPr>
            </w:pPr>
            <w:r w:rsidRPr="00932A90">
              <w:rPr>
                <w:b w:val="0"/>
                <w:color w:val="auto"/>
              </w:rPr>
              <w:t>1</w:t>
            </w:r>
            <w:r w:rsidR="009452EC" w:rsidRPr="00932A90">
              <w:rPr>
                <w:b w:val="0"/>
                <w:color w:val="auto"/>
              </w:rPr>
              <w:t>,</w:t>
            </w:r>
            <w:r w:rsidRPr="00932A90">
              <w:rPr>
                <w:b w:val="0"/>
                <w:color w:val="auto"/>
              </w:rPr>
              <w:t>889.0</w:t>
            </w:r>
          </w:p>
        </w:tc>
        <w:tc>
          <w:tcPr>
            <w:tcW w:w="753" w:type="dxa"/>
            <w:tcBorders>
              <w:top w:val="nil"/>
              <w:left w:val="nil"/>
              <w:bottom w:val="nil"/>
              <w:right w:val="nil"/>
            </w:tcBorders>
            <w:shd w:val="clear" w:color="auto" w:fill="auto"/>
          </w:tcPr>
          <w:p w14:paraId="2F495F09" w14:textId="5CDCB451" w:rsidR="00A61FF5" w:rsidRPr="00932A90" w:rsidRDefault="00A61FF5" w:rsidP="00D07480">
            <w:pPr>
              <w:pStyle w:val="DETTablecolumnheading"/>
              <w:jc w:val="right"/>
              <w:rPr>
                <w:b w:val="0"/>
                <w:color w:val="auto"/>
              </w:rPr>
            </w:pPr>
            <w:r w:rsidRPr="00932A90">
              <w:rPr>
                <w:b w:val="0"/>
                <w:color w:val="auto"/>
              </w:rPr>
              <w:t>1</w:t>
            </w:r>
            <w:r w:rsidR="009452EC" w:rsidRPr="00932A90">
              <w:rPr>
                <w:b w:val="0"/>
                <w:color w:val="auto"/>
              </w:rPr>
              <w:t>,</w:t>
            </w:r>
            <w:r w:rsidRPr="00932A90">
              <w:rPr>
                <w:b w:val="0"/>
                <w:color w:val="auto"/>
              </w:rPr>
              <w:t>843.9</w:t>
            </w:r>
          </w:p>
        </w:tc>
      </w:tr>
      <w:tr w:rsidR="00A61FF5" w:rsidRPr="00932A90" w14:paraId="09575BF4" w14:textId="77777777" w:rsidTr="004B6C01">
        <w:trPr>
          <w:cantSplit/>
          <w:tblHeader/>
        </w:trPr>
        <w:tc>
          <w:tcPr>
            <w:tcW w:w="3261" w:type="dxa"/>
            <w:tcBorders>
              <w:top w:val="nil"/>
              <w:left w:val="nil"/>
              <w:bottom w:val="single" w:sz="4" w:space="0" w:color="000000" w:themeColor="text1"/>
              <w:right w:val="nil"/>
            </w:tcBorders>
            <w:shd w:val="clear" w:color="auto" w:fill="auto"/>
            <w:vAlign w:val="center"/>
          </w:tcPr>
          <w:p w14:paraId="35CF75C3" w14:textId="77777777" w:rsidR="00A61FF5" w:rsidRPr="00932A90" w:rsidRDefault="00A61FF5" w:rsidP="00D07480">
            <w:pPr>
              <w:pStyle w:val="DETTablecolumnheading"/>
              <w:jc w:val="left"/>
              <w:rPr>
                <w:color w:val="auto"/>
              </w:rPr>
            </w:pPr>
            <w:r w:rsidRPr="00932A90">
              <w:rPr>
                <w:color w:val="auto"/>
              </w:rPr>
              <w:t>Net assets</w:t>
            </w:r>
          </w:p>
        </w:tc>
        <w:tc>
          <w:tcPr>
            <w:tcW w:w="850" w:type="dxa"/>
            <w:tcBorders>
              <w:left w:val="nil"/>
              <w:bottom w:val="single" w:sz="4" w:space="0" w:color="000000" w:themeColor="text1"/>
              <w:right w:val="nil"/>
            </w:tcBorders>
            <w:shd w:val="clear" w:color="auto" w:fill="auto"/>
          </w:tcPr>
          <w:p w14:paraId="72E581B1" w14:textId="77777777" w:rsidR="00A61FF5" w:rsidRPr="00932A90" w:rsidRDefault="00A61FF5" w:rsidP="00D07480">
            <w:pPr>
              <w:pStyle w:val="DETTablecolumnheading"/>
              <w:jc w:val="right"/>
              <w:rPr>
                <w:color w:val="auto"/>
              </w:rPr>
            </w:pPr>
            <w:r w:rsidRPr="00932A90">
              <w:rPr>
                <w:color w:val="auto"/>
              </w:rPr>
              <w:t>21,211.5</w:t>
            </w:r>
          </w:p>
        </w:tc>
        <w:tc>
          <w:tcPr>
            <w:tcW w:w="851" w:type="dxa"/>
            <w:tcBorders>
              <w:left w:val="nil"/>
              <w:bottom w:val="single" w:sz="4" w:space="0" w:color="000000" w:themeColor="text1"/>
              <w:right w:val="nil"/>
            </w:tcBorders>
            <w:shd w:val="clear" w:color="auto" w:fill="auto"/>
          </w:tcPr>
          <w:p w14:paraId="69AD6AEB" w14:textId="77777777" w:rsidR="00A61FF5" w:rsidRPr="00932A90" w:rsidRDefault="00A61FF5" w:rsidP="00D07480">
            <w:pPr>
              <w:pStyle w:val="DETTablecolumnheading"/>
              <w:jc w:val="right"/>
              <w:rPr>
                <w:color w:val="auto"/>
              </w:rPr>
            </w:pPr>
            <w:r w:rsidRPr="00932A90">
              <w:rPr>
                <w:color w:val="auto"/>
              </w:rPr>
              <w:t>20,788.6</w:t>
            </w:r>
          </w:p>
        </w:tc>
        <w:tc>
          <w:tcPr>
            <w:tcW w:w="850" w:type="dxa"/>
            <w:tcBorders>
              <w:left w:val="nil"/>
              <w:bottom w:val="single" w:sz="4" w:space="0" w:color="000000" w:themeColor="text1"/>
              <w:right w:val="nil"/>
            </w:tcBorders>
            <w:shd w:val="clear" w:color="auto" w:fill="auto"/>
          </w:tcPr>
          <w:p w14:paraId="3CEBB0E2" w14:textId="77777777" w:rsidR="00A61FF5" w:rsidRPr="00932A90" w:rsidRDefault="00A61FF5" w:rsidP="00D07480">
            <w:pPr>
              <w:pStyle w:val="DETTablecolumnheading"/>
              <w:jc w:val="right"/>
              <w:rPr>
                <w:color w:val="auto"/>
              </w:rPr>
            </w:pPr>
            <w:r w:rsidRPr="00932A90">
              <w:rPr>
                <w:color w:val="auto"/>
              </w:rPr>
              <w:t>17,667.7</w:t>
            </w:r>
          </w:p>
        </w:tc>
        <w:tc>
          <w:tcPr>
            <w:tcW w:w="851" w:type="dxa"/>
            <w:tcBorders>
              <w:left w:val="nil"/>
              <w:bottom w:val="single" w:sz="4" w:space="0" w:color="000000" w:themeColor="text1"/>
              <w:right w:val="nil"/>
            </w:tcBorders>
            <w:shd w:val="clear" w:color="auto" w:fill="auto"/>
          </w:tcPr>
          <w:p w14:paraId="38ED9D14" w14:textId="77777777" w:rsidR="00A61FF5" w:rsidRPr="00932A90" w:rsidRDefault="00A61FF5" w:rsidP="00D07480">
            <w:pPr>
              <w:pStyle w:val="DETTablecolumnheading"/>
              <w:jc w:val="right"/>
              <w:rPr>
                <w:color w:val="auto"/>
              </w:rPr>
            </w:pPr>
            <w:r w:rsidRPr="00932A90">
              <w:rPr>
                <w:color w:val="auto"/>
              </w:rPr>
              <w:t>16,627.9</w:t>
            </w:r>
          </w:p>
        </w:tc>
        <w:tc>
          <w:tcPr>
            <w:tcW w:w="753" w:type="dxa"/>
            <w:tcBorders>
              <w:top w:val="nil"/>
              <w:left w:val="nil"/>
              <w:bottom w:val="single" w:sz="4" w:space="0" w:color="000000" w:themeColor="text1"/>
              <w:right w:val="nil"/>
            </w:tcBorders>
            <w:shd w:val="clear" w:color="auto" w:fill="auto"/>
          </w:tcPr>
          <w:p w14:paraId="0EAFCCFA" w14:textId="77777777" w:rsidR="00A61FF5" w:rsidRPr="00932A90" w:rsidRDefault="00A61FF5" w:rsidP="00D07480">
            <w:pPr>
              <w:pStyle w:val="DETTablecolumnheading"/>
              <w:jc w:val="right"/>
              <w:rPr>
                <w:color w:val="auto"/>
              </w:rPr>
            </w:pPr>
            <w:r w:rsidRPr="00932A90">
              <w:rPr>
                <w:color w:val="auto"/>
              </w:rPr>
              <w:t>16,548.5</w:t>
            </w:r>
          </w:p>
        </w:tc>
      </w:tr>
    </w:tbl>
    <w:p w14:paraId="776F5DE7" w14:textId="77777777" w:rsidR="00A61FF5" w:rsidRPr="004B6C01" w:rsidRDefault="00A61FF5" w:rsidP="00A61FF5">
      <w:pPr>
        <w:pStyle w:val="FootnoteText"/>
        <w:rPr>
          <w:lang w:val="en-AU"/>
        </w:rPr>
      </w:pPr>
    </w:p>
    <w:p w14:paraId="39572439" w14:textId="74071DA0" w:rsidR="001F1282" w:rsidRPr="004B6C01" w:rsidRDefault="00A61FF5" w:rsidP="00A61FF5">
      <w:pPr>
        <w:pStyle w:val="FootnoteText"/>
        <w:rPr>
          <w:lang w:val="en-AU"/>
        </w:rPr>
      </w:pPr>
      <w:r w:rsidRPr="004B6C01">
        <w:rPr>
          <w:lang w:val="en-AU"/>
        </w:rPr>
        <w:t xml:space="preserve">Note: Figures for 2014–15, 2013–14, and 2012–13 have been revised </w:t>
      </w:r>
      <w:r w:rsidR="00C16B9D">
        <w:rPr>
          <w:lang w:val="en-AU"/>
        </w:rPr>
        <w:t>compared to</w:t>
      </w:r>
      <w:r w:rsidRPr="004B6C01">
        <w:rPr>
          <w:lang w:val="en-AU"/>
        </w:rPr>
        <w:t xml:space="preserve"> the previously-published annual reports.</w:t>
      </w:r>
    </w:p>
    <w:p w14:paraId="35BFEA71" w14:textId="77777777" w:rsidR="008277E3" w:rsidRPr="004B6C01" w:rsidRDefault="008277E3">
      <w:pPr>
        <w:rPr>
          <w:rFonts w:ascii="Arial" w:eastAsiaTheme="majorEastAsia" w:hAnsi="Arial" w:cstheme="majorBidi"/>
          <w:bCs/>
          <w:color w:val="000000" w:themeColor="text1"/>
          <w:spacing w:val="5"/>
          <w:kern w:val="28"/>
          <w:sz w:val="28"/>
          <w:szCs w:val="20"/>
          <w:lang w:val="en-AU"/>
        </w:rPr>
      </w:pPr>
      <w:bookmarkStart w:id="86" w:name="_Toc489526702"/>
      <w:bookmarkStart w:id="87" w:name="_Toc491070301"/>
      <w:r w:rsidRPr="004B6C01">
        <w:rPr>
          <w:lang w:val="en-AU"/>
        </w:rPr>
        <w:br w:type="page"/>
      </w:r>
    </w:p>
    <w:p w14:paraId="68F62820" w14:textId="46C95B49" w:rsidR="00A61FF5" w:rsidRPr="004B6C01" w:rsidRDefault="00A61FF5" w:rsidP="00D2232D">
      <w:pPr>
        <w:pStyle w:val="ESHeading2"/>
      </w:pPr>
      <w:bookmarkStart w:id="88" w:name="_Toc491409527"/>
      <w:bookmarkStart w:id="89" w:name="_Toc491414656"/>
      <w:r w:rsidRPr="004B6C01">
        <w:t>Current year financial summary</w:t>
      </w:r>
      <w:bookmarkEnd w:id="83"/>
      <w:bookmarkEnd w:id="84"/>
      <w:bookmarkEnd w:id="85"/>
      <w:bookmarkEnd w:id="86"/>
      <w:bookmarkEnd w:id="87"/>
      <w:bookmarkEnd w:id="88"/>
      <w:bookmarkEnd w:id="89"/>
    </w:p>
    <w:p w14:paraId="466E3542" w14:textId="77777777" w:rsidR="00A61FF5" w:rsidRPr="004B6C01" w:rsidRDefault="00A61FF5" w:rsidP="00A61FF5">
      <w:pPr>
        <w:pStyle w:val="ESHeading3"/>
        <w:rPr>
          <w:lang w:val="en-AU"/>
        </w:rPr>
      </w:pPr>
      <w:r w:rsidRPr="004B6C01">
        <w:rPr>
          <w:lang w:val="en-AU"/>
        </w:rPr>
        <w:t>Financial performance</w:t>
      </w:r>
    </w:p>
    <w:p w14:paraId="0CFDF275" w14:textId="0CAB48A7" w:rsidR="00A61FF5" w:rsidRPr="004B6C01" w:rsidRDefault="00A61FF5" w:rsidP="00A61FF5">
      <w:pPr>
        <w:pStyle w:val="ESBodyText"/>
        <w:rPr>
          <w:lang w:val="en-AU"/>
        </w:rPr>
      </w:pPr>
      <w:r w:rsidRPr="004B6C01">
        <w:rPr>
          <w:lang w:val="en-AU"/>
        </w:rPr>
        <w:t xml:space="preserve">The Department’s net result from transactions </w:t>
      </w:r>
      <w:r w:rsidR="00DB5655">
        <w:rPr>
          <w:lang w:val="en-AU"/>
        </w:rPr>
        <w:t>for the financial year ended</w:t>
      </w:r>
      <w:r w:rsidR="00F37A38">
        <w:rPr>
          <w:lang w:val="en-AU"/>
        </w:rPr>
        <w:t xml:space="preserve"> 30 June 2017 </w:t>
      </w:r>
      <w:r w:rsidRPr="004B6C01">
        <w:rPr>
          <w:lang w:val="en-AU"/>
        </w:rPr>
        <w:t>is a surplus of $322.2 million, compared with a surplus of $230.9 million in 2016. When the other economic flows of $86 million gain are included, the net result for</w:t>
      </w:r>
      <w:r w:rsidR="00F567DF">
        <w:rPr>
          <w:lang w:val="en-AU"/>
        </w:rPr>
        <w:t xml:space="preserve"> the year is a surplus of $408.2</w:t>
      </w:r>
      <w:r w:rsidRPr="004B6C01">
        <w:rPr>
          <w:lang w:val="en-AU"/>
        </w:rPr>
        <w:t xml:space="preserve"> million, compared to a surplus of $182.5 million in 2016.</w:t>
      </w:r>
    </w:p>
    <w:p w14:paraId="054B1EF1" w14:textId="3AB29CFF" w:rsidR="00A61FF5" w:rsidRPr="004B6C01" w:rsidRDefault="00A61FF5" w:rsidP="00A61FF5">
      <w:pPr>
        <w:pStyle w:val="ESBodyText"/>
        <w:rPr>
          <w:lang w:val="en-AU"/>
        </w:rPr>
      </w:pPr>
      <w:r w:rsidRPr="004B6C01">
        <w:rPr>
          <w:lang w:val="en-AU"/>
        </w:rPr>
        <w:t xml:space="preserve">The Department’s revenue growth primarily reflects the increased funding for </w:t>
      </w:r>
      <w:r w:rsidR="002B7AD4">
        <w:rPr>
          <w:lang w:val="en-AU"/>
        </w:rPr>
        <w:t>delivery of</w:t>
      </w:r>
      <w:r w:rsidRPr="004B6C01">
        <w:rPr>
          <w:lang w:val="en-AU"/>
        </w:rPr>
        <w:t xml:space="preserve"> output initiatives on behalf of the government, investment in government schools, and general inflation-related indexation.</w:t>
      </w:r>
    </w:p>
    <w:p w14:paraId="2DEEAC03" w14:textId="5B9A269B" w:rsidR="00A61FF5" w:rsidRPr="004B6C01" w:rsidRDefault="00A61FF5" w:rsidP="00A61FF5">
      <w:pPr>
        <w:pStyle w:val="ESBodyText"/>
        <w:rPr>
          <w:lang w:val="en-AU"/>
        </w:rPr>
      </w:pPr>
      <w:r w:rsidRPr="004B6C01">
        <w:rPr>
          <w:lang w:val="en-AU"/>
        </w:rPr>
        <w:t>The Department’s expenditure growth mainly reflects the increased expenditure under the Victorian Government Schools Agreement (VGSA) 2017. Other increases in expenditure include:</w:t>
      </w:r>
    </w:p>
    <w:p w14:paraId="3849CC3A" w14:textId="1B7ADC3C" w:rsidR="00A61FF5" w:rsidRPr="004B6C01" w:rsidRDefault="002B7AD4" w:rsidP="00A61FF5">
      <w:pPr>
        <w:pStyle w:val="ESBullet1indent"/>
        <w:rPr>
          <w:lang w:val="en-AU"/>
        </w:rPr>
      </w:pPr>
      <w:r>
        <w:rPr>
          <w:lang w:val="en-AU"/>
        </w:rPr>
        <w:t>increase</w:t>
      </w:r>
      <w:r w:rsidR="00A61FF5" w:rsidRPr="004B6C01">
        <w:rPr>
          <w:lang w:val="en-AU"/>
        </w:rPr>
        <w:t xml:space="preserve"> </w:t>
      </w:r>
      <w:r>
        <w:rPr>
          <w:lang w:val="en-AU"/>
        </w:rPr>
        <w:t>in</w:t>
      </w:r>
      <w:r w:rsidR="00A61FF5" w:rsidRPr="004B6C01">
        <w:rPr>
          <w:lang w:val="en-AU"/>
        </w:rPr>
        <w:t xml:space="preserve"> grants to external organisations</w:t>
      </w:r>
    </w:p>
    <w:p w14:paraId="022C9E72" w14:textId="50320BAA" w:rsidR="00A61FF5" w:rsidRPr="004B6C01" w:rsidRDefault="002B7AD4" w:rsidP="00A61FF5">
      <w:pPr>
        <w:pStyle w:val="ESBullet1indent"/>
        <w:rPr>
          <w:lang w:val="en-AU"/>
        </w:rPr>
      </w:pPr>
      <w:r>
        <w:rPr>
          <w:lang w:val="en-AU"/>
        </w:rPr>
        <w:t>increase</w:t>
      </w:r>
      <w:r w:rsidR="00A61FF5" w:rsidRPr="004B6C01">
        <w:rPr>
          <w:lang w:val="en-AU"/>
        </w:rPr>
        <w:t xml:space="preserve"> </w:t>
      </w:r>
      <w:r>
        <w:rPr>
          <w:lang w:val="en-AU"/>
        </w:rPr>
        <w:t>in</w:t>
      </w:r>
      <w:r w:rsidR="00A61FF5" w:rsidRPr="004B6C01">
        <w:rPr>
          <w:lang w:val="en-AU"/>
        </w:rPr>
        <w:t xml:space="preserve"> grant payments to TAFE institutes, including:</w:t>
      </w:r>
    </w:p>
    <w:p w14:paraId="7AC847B4" w14:textId="62FBFEB6" w:rsidR="00A9593E" w:rsidRPr="004B6C01" w:rsidRDefault="00A61FF5" w:rsidP="008277E3">
      <w:pPr>
        <w:pStyle w:val="ESbullet2"/>
        <w:rPr>
          <w:lang w:val="en-AU"/>
        </w:rPr>
      </w:pPr>
      <w:r w:rsidRPr="004B6C01">
        <w:rPr>
          <w:lang w:val="en-AU"/>
        </w:rPr>
        <w:t>TAFE transitional sustainability funding, and asset maintenance and operational costs</w:t>
      </w:r>
      <w:r w:rsidR="002B7AD4">
        <w:rPr>
          <w:lang w:val="en-AU"/>
        </w:rPr>
        <w:t>. This is funding for implementat</w:t>
      </w:r>
      <w:r w:rsidR="002B7AD4" w:rsidRPr="00343AA3">
        <w:rPr>
          <w:lang w:val="en-AU"/>
        </w:rPr>
        <w:t xml:space="preserve">ion of </w:t>
      </w:r>
      <w:r w:rsidR="00343AA3" w:rsidRPr="00343AA3">
        <w:rPr>
          <w:lang w:val="en-AU"/>
        </w:rPr>
        <w:t>s</w:t>
      </w:r>
      <w:r w:rsidR="002B7AD4" w:rsidRPr="00343AA3">
        <w:rPr>
          <w:lang w:val="en-AU"/>
        </w:rPr>
        <w:t>k</w:t>
      </w:r>
      <w:r w:rsidR="00343AA3" w:rsidRPr="00343AA3">
        <w:rPr>
          <w:lang w:val="en-AU"/>
        </w:rPr>
        <w:t>ills and j</w:t>
      </w:r>
      <w:r w:rsidR="002B7AD4" w:rsidRPr="00343AA3">
        <w:rPr>
          <w:lang w:val="en-AU"/>
        </w:rPr>
        <w:t>obs in the Education State.</w:t>
      </w:r>
    </w:p>
    <w:p w14:paraId="69DFE12C" w14:textId="5BC39F6F" w:rsidR="00A61FF5" w:rsidRPr="004B6C01" w:rsidRDefault="00A61FF5" w:rsidP="008277E3">
      <w:pPr>
        <w:pStyle w:val="ESbullet2"/>
        <w:rPr>
          <w:lang w:val="en-AU"/>
        </w:rPr>
      </w:pPr>
      <w:r w:rsidRPr="004B6C01">
        <w:rPr>
          <w:lang w:val="en-AU"/>
        </w:rPr>
        <w:t>TAFE Rescue Fund for rebuilding and growing the TAFE sector</w:t>
      </w:r>
    </w:p>
    <w:p w14:paraId="4CCE363B" w14:textId="69937FA5" w:rsidR="00A61FF5" w:rsidRPr="004B6C01" w:rsidRDefault="00A61FF5" w:rsidP="008277E3">
      <w:pPr>
        <w:pStyle w:val="ESbullet2"/>
        <w:rPr>
          <w:lang w:val="en-AU"/>
        </w:rPr>
      </w:pPr>
      <w:r w:rsidRPr="004B6C01">
        <w:rPr>
          <w:lang w:val="en-AU"/>
        </w:rPr>
        <w:t xml:space="preserve">TAFE Workforce </w:t>
      </w:r>
      <w:r w:rsidRPr="00343AA3">
        <w:rPr>
          <w:lang w:val="en-AU"/>
        </w:rPr>
        <w:t xml:space="preserve">and </w:t>
      </w:r>
      <w:r w:rsidR="00343AA3" w:rsidRPr="00343AA3">
        <w:rPr>
          <w:lang w:val="en-AU"/>
        </w:rPr>
        <w:t>d</w:t>
      </w:r>
      <w:r w:rsidR="002B7AD4" w:rsidRPr="00343AA3">
        <w:rPr>
          <w:lang w:val="en-AU"/>
        </w:rPr>
        <w:t>u</w:t>
      </w:r>
      <w:r w:rsidR="00343AA3" w:rsidRPr="00343AA3">
        <w:rPr>
          <w:lang w:val="en-AU"/>
        </w:rPr>
        <w:t>al s</w:t>
      </w:r>
      <w:r w:rsidRPr="00343AA3">
        <w:rPr>
          <w:lang w:val="en-AU"/>
        </w:rPr>
        <w:t xml:space="preserve">ector </w:t>
      </w:r>
      <w:r w:rsidR="002B7AD4" w:rsidRPr="00343AA3">
        <w:rPr>
          <w:lang w:val="en-AU"/>
        </w:rPr>
        <w:t>which</w:t>
      </w:r>
      <w:r w:rsidR="002B7AD4">
        <w:rPr>
          <w:lang w:val="en-AU"/>
        </w:rPr>
        <w:t xml:space="preserve"> is funding for workforce</w:t>
      </w:r>
      <w:r w:rsidRPr="004B6C01">
        <w:rPr>
          <w:lang w:val="en-AU"/>
        </w:rPr>
        <w:t xml:space="preserve"> initiatives.</w:t>
      </w:r>
    </w:p>
    <w:p w14:paraId="1E035D83" w14:textId="77777777" w:rsidR="00A61FF5" w:rsidRPr="004B6C01" w:rsidRDefault="00A61FF5" w:rsidP="00A61FF5">
      <w:pPr>
        <w:pStyle w:val="ESHeading3"/>
        <w:rPr>
          <w:lang w:val="en-AU"/>
        </w:rPr>
      </w:pPr>
      <w:r w:rsidRPr="004B6C01">
        <w:rPr>
          <w:lang w:val="en-AU"/>
        </w:rPr>
        <w:t>Balance sheet</w:t>
      </w:r>
    </w:p>
    <w:p w14:paraId="02272989" w14:textId="77777777" w:rsidR="00A61FF5" w:rsidRPr="004B6C01" w:rsidRDefault="00A61FF5" w:rsidP="00A61FF5">
      <w:pPr>
        <w:pStyle w:val="ESBodyText"/>
        <w:rPr>
          <w:lang w:val="en-AU"/>
        </w:rPr>
      </w:pPr>
      <w:r w:rsidRPr="004B6C01">
        <w:rPr>
          <w:lang w:val="en-AU"/>
        </w:rPr>
        <w:t>The Department’s net asset base as at 30 June 2017 was $21.2 billion, comprising total assets of $23.8 billion and total liabilities of $2.6 billion.</w:t>
      </w:r>
    </w:p>
    <w:p w14:paraId="33711010" w14:textId="71C47657" w:rsidR="00A61FF5" w:rsidRPr="004B6C01" w:rsidRDefault="00A61FF5" w:rsidP="00A61FF5">
      <w:pPr>
        <w:pStyle w:val="ESBodyText"/>
        <w:rPr>
          <w:lang w:val="en-AU"/>
        </w:rPr>
      </w:pPr>
      <w:r w:rsidRPr="004B6C01">
        <w:rPr>
          <w:lang w:val="en-AU"/>
        </w:rPr>
        <w:t xml:space="preserve">The major assets </w:t>
      </w:r>
      <w:r w:rsidR="002B7AD4">
        <w:rPr>
          <w:lang w:val="en-AU"/>
        </w:rPr>
        <w:t xml:space="preserve">of the Department </w:t>
      </w:r>
      <w:r w:rsidRPr="004B6C01">
        <w:rPr>
          <w:lang w:val="en-AU"/>
        </w:rPr>
        <w:t>are schools’ property, plant and equipment</w:t>
      </w:r>
      <w:r w:rsidR="002B7AD4">
        <w:rPr>
          <w:lang w:val="en-AU"/>
        </w:rPr>
        <w:t>. These assets represent</w:t>
      </w:r>
      <w:r w:rsidRPr="004B6C01">
        <w:rPr>
          <w:lang w:val="en-AU"/>
        </w:rPr>
        <w:t xml:space="preserve"> 86 per cent ($20.4 billion) of the Department’s total assets. In 2017, the value of the Department’s property, plant and equipment increased by $0.5 billion due to the government’s continued investment in schools as part of the commitment to make Victoria the Education State.</w:t>
      </w:r>
    </w:p>
    <w:p w14:paraId="1381FE80" w14:textId="196B5979" w:rsidR="00A61FF5" w:rsidRPr="00F567DF" w:rsidRDefault="009D0543" w:rsidP="00A61FF5">
      <w:pPr>
        <w:pStyle w:val="ESBodyText"/>
        <w:rPr>
          <w:lang w:val="en-AU"/>
        </w:rPr>
      </w:pPr>
      <w:r>
        <w:rPr>
          <w:lang w:val="en-AU"/>
        </w:rPr>
        <w:t>L</w:t>
      </w:r>
      <w:r w:rsidR="00A61FF5" w:rsidRPr="004B6C01">
        <w:rPr>
          <w:lang w:val="en-AU"/>
        </w:rPr>
        <w:t xml:space="preserve">iabilities </w:t>
      </w:r>
      <w:r>
        <w:rPr>
          <w:lang w:val="en-AU"/>
        </w:rPr>
        <w:t xml:space="preserve">of the Department </w:t>
      </w:r>
      <w:r w:rsidR="00A61FF5" w:rsidRPr="004B6C01">
        <w:rPr>
          <w:lang w:val="en-AU"/>
        </w:rPr>
        <w:t>mainly consist of payables, borrowings and employee be</w:t>
      </w:r>
      <w:r w:rsidR="00F567DF">
        <w:rPr>
          <w:lang w:val="en-AU"/>
        </w:rPr>
        <w:t xml:space="preserve">nefit provisions, totalling $2.6 billion. The </w:t>
      </w:r>
      <w:r>
        <w:rPr>
          <w:lang w:val="en-AU"/>
        </w:rPr>
        <w:t>increase of</w:t>
      </w:r>
      <w:r w:rsidR="00F567DF">
        <w:rPr>
          <w:lang w:val="en-AU"/>
        </w:rPr>
        <w:t xml:space="preserve"> $440.2</w:t>
      </w:r>
      <w:r w:rsidR="00A61FF5" w:rsidRPr="004B6C01">
        <w:rPr>
          <w:lang w:val="en-AU"/>
        </w:rPr>
        <w:t xml:space="preserve"> million in liabilities</w:t>
      </w:r>
      <w:r>
        <w:rPr>
          <w:lang w:val="en-AU"/>
        </w:rPr>
        <w:t xml:space="preserve"> in 2017</w:t>
      </w:r>
      <w:r w:rsidR="00A61FF5" w:rsidRPr="004B6C01">
        <w:rPr>
          <w:lang w:val="en-AU"/>
        </w:rPr>
        <w:t xml:space="preserve"> mainly reflects an increase in financial lease liabilities for Public Private Partnerships (PPP) – </w:t>
      </w:r>
      <w:r w:rsidR="00A61FF5" w:rsidRPr="00F567DF">
        <w:rPr>
          <w:lang w:val="en-AU"/>
        </w:rPr>
        <w:t>new schools, payables and operating accruals due to the timing of payments.</w:t>
      </w:r>
    </w:p>
    <w:p w14:paraId="7D0D1FF4" w14:textId="77777777" w:rsidR="00A61FF5" w:rsidRPr="00F567DF" w:rsidRDefault="00A61FF5" w:rsidP="00A61FF5">
      <w:pPr>
        <w:pStyle w:val="ESHeading3"/>
        <w:rPr>
          <w:lang w:val="en-AU"/>
        </w:rPr>
      </w:pPr>
      <w:r w:rsidRPr="00F567DF">
        <w:rPr>
          <w:lang w:val="en-AU"/>
        </w:rPr>
        <w:t>Cash flows</w:t>
      </w:r>
    </w:p>
    <w:p w14:paraId="7B8FE154" w14:textId="0FD16DFF" w:rsidR="00A61FF5" w:rsidRPr="00F567DF" w:rsidRDefault="00A61FF5" w:rsidP="00A61FF5">
      <w:pPr>
        <w:pStyle w:val="ESBodyText"/>
        <w:rPr>
          <w:lang w:val="en-AU"/>
        </w:rPr>
      </w:pPr>
      <w:r w:rsidRPr="00F567DF">
        <w:rPr>
          <w:lang w:val="en-AU"/>
        </w:rPr>
        <w:t xml:space="preserve">The increased net cash flows from operations is mainly due to the increase in </w:t>
      </w:r>
      <w:r w:rsidR="009D0543">
        <w:rPr>
          <w:lang w:val="en-AU"/>
        </w:rPr>
        <w:t xml:space="preserve">receipts from </w:t>
      </w:r>
      <w:r w:rsidRPr="00F567DF">
        <w:rPr>
          <w:lang w:val="en-AU"/>
        </w:rPr>
        <w:t xml:space="preserve">government, </w:t>
      </w:r>
      <w:r w:rsidR="009D0543">
        <w:rPr>
          <w:lang w:val="en-AU"/>
        </w:rPr>
        <w:t>and</w:t>
      </w:r>
      <w:r w:rsidRPr="00F567DF">
        <w:rPr>
          <w:lang w:val="en-AU"/>
        </w:rPr>
        <w:t xml:space="preserve"> changes in receivables, payables and provisions arising from the timing of cash payments and receipts against these items.</w:t>
      </w:r>
    </w:p>
    <w:p w14:paraId="59C43FF0" w14:textId="77777777" w:rsidR="00A61FF5" w:rsidRPr="00F567DF" w:rsidRDefault="00A61FF5" w:rsidP="00A61FF5">
      <w:pPr>
        <w:pStyle w:val="ESHeading3"/>
        <w:rPr>
          <w:lang w:val="en-AU"/>
        </w:rPr>
      </w:pPr>
      <w:r w:rsidRPr="00F567DF">
        <w:rPr>
          <w:lang w:val="en-AU"/>
        </w:rPr>
        <w:t>Disclosure of grants and transfer payments</w:t>
      </w:r>
    </w:p>
    <w:p w14:paraId="1876CD15" w14:textId="312211C9" w:rsidR="00A61FF5" w:rsidRPr="00F567DF" w:rsidRDefault="00A61FF5" w:rsidP="008277E3">
      <w:pPr>
        <w:pStyle w:val="ESBodyText"/>
        <w:rPr>
          <w:lang w:val="en-AU"/>
        </w:rPr>
      </w:pPr>
      <w:r w:rsidRPr="00F567DF">
        <w:rPr>
          <w:lang w:val="en-AU"/>
        </w:rPr>
        <w:t>The Department has provided assistance to certain companies and organisations. Financial assistance provided in 2016–17 is outlined in Appendix 5.</w:t>
      </w:r>
    </w:p>
    <w:p w14:paraId="20A6528E" w14:textId="77777777" w:rsidR="00A61FF5" w:rsidRPr="00F567DF" w:rsidRDefault="00A61FF5" w:rsidP="00A61FF5">
      <w:pPr>
        <w:pStyle w:val="ESHeading3"/>
        <w:rPr>
          <w:lang w:val="en-AU"/>
        </w:rPr>
        <w:sectPr w:rsidR="00A61FF5" w:rsidRPr="00F567DF" w:rsidSect="00457C10">
          <w:footerReference w:type="even" r:id="rId17"/>
          <w:footerReference w:type="default" r:id="rId18"/>
          <w:pgSz w:w="11900" w:h="16840"/>
          <w:pgMar w:top="1440" w:right="1701" w:bottom="1440" w:left="2835" w:header="708" w:footer="708" w:gutter="0"/>
          <w:cols w:space="708"/>
          <w:docGrid w:linePitch="360"/>
        </w:sectPr>
      </w:pPr>
    </w:p>
    <w:p w14:paraId="27B9E6B5" w14:textId="77777777" w:rsidR="00A61FF5" w:rsidRPr="00F567DF" w:rsidRDefault="00A61FF5" w:rsidP="00A61FF5">
      <w:pPr>
        <w:pStyle w:val="ESHeading3"/>
        <w:rPr>
          <w:lang w:val="en-AU"/>
        </w:rPr>
      </w:pPr>
      <w:r w:rsidRPr="00F567DF">
        <w:rPr>
          <w:lang w:val="en-AU"/>
        </w:rPr>
        <w:t>Capital projects</w:t>
      </w:r>
    </w:p>
    <w:p w14:paraId="21D46E6B" w14:textId="77777777" w:rsidR="00A61FF5" w:rsidRPr="00F567DF" w:rsidRDefault="00A61FF5" w:rsidP="00A61FF5">
      <w:pPr>
        <w:pStyle w:val="ESBodyText"/>
        <w:rPr>
          <w:lang w:val="en-AU"/>
        </w:rPr>
      </w:pPr>
      <w:r w:rsidRPr="00F567DF">
        <w:rPr>
          <w:lang w:val="en-AU"/>
        </w:rPr>
        <w:t>The Department and its related portfolio entities manage a range of capital projects to deliver services for government.</w:t>
      </w:r>
    </w:p>
    <w:p w14:paraId="6D9CCF57" w14:textId="6BA897A3" w:rsidR="00A61FF5" w:rsidRPr="00F567DF" w:rsidRDefault="00A61FF5" w:rsidP="00A61FF5">
      <w:pPr>
        <w:pStyle w:val="ESBodyText"/>
        <w:rPr>
          <w:lang w:val="en-AU"/>
        </w:rPr>
      </w:pPr>
      <w:r w:rsidRPr="00F567DF">
        <w:rPr>
          <w:lang w:val="en-AU"/>
        </w:rPr>
        <w:t>Information on the new and</w:t>
      </w:r>
      <w:r w:rsidR="00564192">
        <w:rPr>
          <w:lang w:val="en-AU"/>
        </w:rPr>
        <w:t xml:space="preserve"> existing capital projects for d</w:t>
      </w:r>
      <w:r w:rsidRPr="00F567DF">
        <w:rPr>
          <w:lang w:val="en-AU"/>
        </w:rPr>
        <w:t>epartments and the broader Victorian public sector is contained in the most recent Budget Paper No. 4 State Capital Program (BP4) which is available on the Department of Treasury and Finance’s website (DTF) (</w:t>
      </w:r>
      <w:hyperlink r:id="rId19" w:history="1">
        <w:r w:rsidRPr="00F567DF">
          <w:rPr>
            <w:rStyle w:val="Hyperlink"/>
            <w:lang w:val="en-AU"/>
          </w:rPr>
          <w:t>www.dtf.vic.gov.au/State-Budget/2016-17-State-Budget/State-Capital-Program</w:t>
        </w:r>
      </w:hyperlink>
      <w:r w:rsidRPr="00F567DF">
        <w:rPr>
          <w:lang w:val="en-AU"/>
        </w:rPr>
        <w:t>).</w:t>
      </w:r>
    </w:p>
    <w:p w14:paraId="33CB3FF5" w14:textId="6D9F4615" w:rsidR="00A61FF5" w:rsidRPr="00F567DF" w:rsidRDefault="00A61FF5" w:rsidP="00A61FF5">
      <w:pPr>
        <w:pStyle w:val="ESBodyText"/>
        <w:rPr>
          <w:lang w:val="en-AU"/>
        </w:rPr>
      </w:pPr>
      <w:r w:rsidRPr="00F567DF">
        <w:rPr>
          <w:lang w:val="en-AU"/>
        </w:rPr>
        <w:t>During the</w:t>
      </w:r>
      <w:r w:rsidR="00F567DF">
        <w:rPr>
          <w:lang w:val="en-AU"/>
        </w:rPr>
        <w:t xml:space="preserve"> year, the Department or agenc</w:t>
      </w:r>
      <w:r w:rsidRPr="00F567DF">
        <w:rPr>
          <w:lang w:val="en-AU"/>
        </w:rPr>
        <w:t>ies completed the following capital projects with a $10 million or greater Total Estimated Investment</w:t>
      </w:r>
      <w:r w:rsidR="00564192">
        <w:rPr>
          <w:lang w:val="en-AU"/>
        </w:rPr>
        <w:t xml:space="preserve"> (TEI)</w:t>
      </w:r>
      <w:r w:rsidRPr="00F567DF">
        <w:rPr>
          <w:lang w:val="en-AU"/>
        </w:rPr>
        <w:t>. The details related to these projects are reported below:</w:t>
      </w:r>
    </w:p>
    <w:p w14:paraId="17615D84" w14:textId="6966B059" w:rsidR="00A61FF5" w:rsidRPr="00F567DF" w:rsidRDefault="00A61FF5" w:rsidP="009A0BAD">
      <w:pPr>
        <w:pStyle w:val="ESTableintroheading"/>
        <w:rPr>
          <w:lang w:val="en-AU"/>
        </w:rPr>
      </w:pPr>
      <w:r w:rsidRPr="00F567DF">
        <w:rPr>
          <w:lang w:val="en-AU"/>
        </w:rPr>
        <w:t xml:space="preserve">Table </w:t>
      </w:r>
      <w:r w:rsidR="00D93BA2" w:rsidRPr="00F567DF">
        <w:rPr>
          <w:lang w:val="en-AU"/>
        </w:rPr>
        <w:fldChar w:fldCharType="begin"/>
      </w:r>
      <w:r w:rsidR="00D93BA2" w:rsidRPr="00F567DF">
        <w:rPr>
          <w:lang w:val="en-AU"/>
        </w:rPr>
        <w:instrText xml:space="preserve"> SEQ Table \* MERGEFORMAT </w:instrText>
      </w:r>
      <w:r w:rsidR="00D93BA2" w:rsidRPr="00F567DF">
        <w:rPr>
          <w:lang w:val="en-AU"/>
        </w:rPr>
        <w:fldChar w:fldCharType="separate"/>
      </w:r>
      <w:r w:rsidR="00F36F52">
        <w:rPr>
          <w:noProof/>
          <w:lang w:val="en-AU"/>
        </w:rPr>
        <w:t>14</w:t>
      </w:r>
      <w:r w:rsidR="00D93BA2" w:rsidRPr="00F567DF">
        <w:rPr>
          <w:noProof/>
          <w:lang w:val="en-AU"/>
        </w:rPr>
        <w:fldChar w:fldCharType="end"/>
      </w:r>
      <w:r w:rsidRPr="00F567DF">
        <w:rPr>
          <w:lang w:val="en-AU"/>
        </w:rPr>
        <w:t xml:space="preserve"> – Capital projects with a TEI of $10 million or greater completed during the financial year ended 30 June 2017</w:t>
      </w:r>
    </w:p>
    <w:tbl>
      <w:tblPr>
        <w:tblW w:w="13467" w:type="dxa"/>
        <w:tblInd w:w="85" w:type="dxa"/>
        <w:tblBorders>
          <w:bottom w:val="single" w:sz="8" w:space="0" w:color="auto"/>
        </w:tblBorders>
        <w:tblCellMar>
          <w:left w:w="0" w:type="dxa"/>
          <w:right w:w="0" w:type="dxa"/>
        </w:tblCellMar>
        <w:tblLook w:val="04A0" w:firstRow="1" w:lastRow="0" w:firstColumn="1" w:lastColumn="0" w:noHBand="0" w:noVBand="1"/>
      </w:tblPr>
      <w:tblGrid>
        <w:gridCol w:w="1560"/>
        <w:gridCol w:w="1488"/>
        <w:gridCol w:w="1488"/>
        <w:gridCol w:w="1489"/>
        <w:gridCol w:w="1488"/>
        <w:gridCol w:w="1488"/>
        <w:gridCol w:w="1489"/>
        <w:gridCol w:w="1488"/>
        <w:gridCol w:w="1489"/>
      </w:tblGrid>
      <w:tr w:rsidR="00A61FF5" w:rsidRPr="00932A90" w14:paraId="7935D1FC" w14:textId="77777777" w:rsidTr="00A018BA">
        <w:trPr>
          <w:trHeight w:val="795"/>
        </w:trPr>
        <w:tc>
          <w:tcPr>
            <w:tcW w:w="1560" w:type="dxa"/>
            <w:shd w:val="clear" w:color="auto" w:fill="7F7F7F" w:themeFill="text1" w:themeFillTint="80"/>
            <w:tcMar>
              <w:top w:w="0" w:type="dxa"/>
              <w:left w:w="85" w:type="dxa"/>
              <w:bottom w:w="0" w:type="dxa"/>
              <w:right w:w="85" w:type="dxa"/>
            </w:tcMar>
            <w:vAlign w:val="center"/>
            <w:hideMark/>
          </w:tcPr>
          <w:p w14:paraId="0D4D5DAF" w14:textId="77777777" w:rsidR="00A61FF5" w:rsidRPr="00932A90" w:rsidRDefault="00A61FF5" w:rsidP="00D07480">
            <w:pPr>
              <w:pStyle w:val="DETTablecolumnheading"/>
              <w:jc w:val="left"/>
              <w:rPr>
                <w:sz w:val="16"/>
                <w:szCs w:val="16"/>
              </w:rPr>
            </w:pPr>
            <w:r w:rsidRPr="00F567DF">
              <w:rPr>
                <w:sz w:val="16"/>
                <w:szCs w:val="16"/>
              </w:rPr>
              <w:t>Project Name</w:t>
            </w:r>
          </w:p>
        </w:tc>
        <w:tc>
          <w:tcPr>
            <w:tcW w:w="1488" w:type="dxa"/>
            <w:shd w:val="clear" w:color="auto" w:fill="7F7F7F" w:themeFill="text1" w:themeFillTint="80"/>
            <w:tcMar>
              <w:top w:w="0" w:type="dxa"/>
              <w:left w:w="85" w:type="dxa"/>
              <w:bottom w:w="0" w:type="dxa"/>
              <w:right w:w="85" w:type="dxa"/>
            </w:tcMar>
            <w:vAlign w:val="center"/>
            <w:hideMark/>
          </w:tcPr>
          <w:p w14:paraId="6C0FB60C" w14:textId="77777777" w:rsidR="00A61FF5" w:rsidRPr="00932A90" w:rsidRDefault="00A61FF5" w:rsidP="00D07480">
            <w:pPr>
              <w:pStyle w:val="DETTablecolumnheading"/>
              <w:jc w:val="left"/>
              <w:rPr>
                <w:sz w:val="16"/>
                <w:szCs w:val="16"/>
              </w:rPr>
            </w:pPr>
            <w:r w:rsidRPr="00F567DF">
              <w:rPr>
                <w:sz w:val="16"/>
                <w:szCs w:val="16"/>
              </w:rPr>
              <w:t>Original completion date</w:t>
            </w:r>
          </w:p>
        </w:tc>
        <w:tc>
          <w:tcPr>
            <w:tcW w:w="1488" w:type="dxa"/>
            <w:shd w:val="clear" w:color="auto" w:fill="7F7F7F" w:themeFill="text1" w:themeFillTint="80"/>
            <w:tcMar>
              <w:top w:w="0" w:type="dxa"/>
              <w:left w:w="85" w:type="dxa"/>
              <w:bottom w:w="0" w:type="dxa"/>
              <w:right w:w="85" w:type="dxa"/>
            </w:tcMar>
            <w:vAlign w:val="center"/>
            <w:hideMark/>
          </w:tcPr>
          <w:p w14:paraId="31C7E265" w14:textId="77777777" w:rsidR="00A61FF5" w:rsidRPr="00932A90" w:rsidRDefault="00A61FF5" w:rsidP="00D07480">
            <w:pPr>
              <w:pStyle w:val="DETTablecolumnheading"/>
              <w:jc w:val="left"/>
              <w:rPr>
                <w:sz w:val="16"/>
                <w:szCs w:val="16"/>
              </w:rPr>
            </w:pPr>
            <w:r w:rsidRPr="00F567DF">
              <w:rPr>
                <w:sz w:val="16"/>
                <w:szCs w:val="16"/>
              </w:rPr>
              <w:t>Latest approved completion date</w:t>
            </w:r>
          </w:p>
        </w:tc>
        <w:tc>
          <w:tcPr>
            <w:tcW w:w="1489" w:type="dxa"/>
            <w:shd w:val="clear" w:color="auto" w:fill="7F7F7F" w:themeFill="text1" w:themeFillTint="80"/>
            <w:tcMar>
              <w:top w:w="0" w:type="dxa"/>
              <w:left w:w="85" w:type="dxa"/>
              <w:bottom w:w="0" w:type="dxa"/>
              <w:right w:w="85" w:type="dxa"/>
            </w:tcMar>
            <w:vAlign w:val="center"/>
            <w:hideMark/>
          </w:tcPr>
          <w:p w14:paraId="5C45163B" w14:textId="77777777" w:rsidR="00A61FF5" w:rsidRPr="00932A90" w:rsidRDefault="00A61FF5" w:rsidP="00D07480">
            <w:pPr>
              <w:pStyle w:val="DETTablecolumnheading"/>
              <w:jc w:val="left"/>
              <w:rPr>
                <w:sz w:val="16"/>
                <w:szCs w:val="16"/>
              </w:rPr>
            </w:pPr>
            <w:r w:rsidRPr="00F567DF">
              <w:rPr>
                <w:sz w:val="16"/>
                <w:szCs w:val="16"/>
              </w:rPr>
              <w:t>Actual completion date</w:t>
            </w:r>
          </w:p>
        </w:tc>
        <w:tc>
          <w:tcPr>
            <w:tcW w:w="1488" w:type="dxa"/>
            <w:shd w:val="clear" w:color="auto" w:fill="7F7F7F" w:themeFill="text1" w:themeFillTint="80"/>
            <w:tcMar>
              <w:top w:w="0" w:type="dxa"/>
              <w:left w:w="85" w:type="dxa"/>
              <w:bottom w:w="0" w:type="dxa"/>
              <w:right w:w="85" w:type="dxa"/>
            </w:tcMar>
            <w:vAlign w:val="center"/>
            <w:hideMark/>
          </w:tcPr>
          <w:p w14:paraId="6172B198" w14:textId="01CA8BC9" w:rsidR="00A61FF5" w:rsidRPr="00932A90" w:rsidRDefault="00A61FF5" w:rsidP="00D07480">
            <w:pPr>
              <w:pStyle w:val="DETTablecolumnheading"/>
              <w:jc w:val="left"/>
              <w:rPr>
                <w:sz w:val="16"/>
                <w:szCs w:val="16"/>
              </w:rPr>
            </w:pPr>
            <w:r w:rsidRPr="00F567DF">
              <w:rPr>
                <w:sz w:val="16"/>
                <w:szCs w:val="16"/>
              </w:rPr>
              <w:t>Original approved TEI</w:t>
            </w:r>
            <w:r w:rsidRPr="00F567DF">
              <w:rPr>
                <w:sz w:val="16"/>
                <w:szCs w:val="16"/>
              </w:rPr>
              <w:br/>
              <w:t>budget $M</w:t>
            </w:r>
          </w:p>
        </w:tc>
        <w:tc>
          <w:tcPr>
            <w:tcW w:w="1488" w:type="dxa"/>
            <w:shd w:val="clear" w:color="auto" w:fill="7F7F7F" w:themeFill="text1" w:themeFillTint="80"/>
            <w:tcMar>
              <w:top w:w="0" w:type="dxa"/>
              <w:left w:w="85" w:type="dxa"/>
              <w:bottom w:w="0" w:type="dxa"/>
              <w:right w:w="85" w:type="dxa"/>
            </w:tcMar>
            <w:vAlign w:val="center"/>
            <w:hideMark/>
          </w:tcPr>
          <w:p w14:paraId="0813FE19" w14:textId="522754A8" w:rsidR="00A61FF5" w:rsidRPr="00932A90" w:rsidRDefault="00A61FF5" w:rsidP="00D07480">
            <w:pPr>
              <w:pStyle w:val="DETTablecolumnheading"/>
              <w:jc w:val="left"/>
              <w:rPr>
                <w:sz w:val="16"/>
                <w:szCs w:val="16"/>
              </w:rPr>
            </w:pPr>
            <w:r w:rsidRPr="00F567DF">
              <w:rPr>
                <w:sz w:val="16"/>
                <w:szCs w:val="16"/>
              </w:rPr>
              <w:t>Latest approved TEI</w:t>
            </w:r>
            <w:r w:rsidRPr="00F567DF">
              <w:rPr>
                <w:sz w:val="16"/>
                <w:szCs w:val="16"/>
              </w:rPr>
              <w:br/>
              <w:t>budget $M</w:t>
            </w:r>
          </w:p>
        </w:tc>
        <w:tc>
          <w:tcPr>
            <w:tcW w:w="1489" w:type="dxa"/>
            <w:shd w:val="clear" w:color="auto" w:fill="7F7F7F" w:themeFill="text1" w:themeFillTint="80"/>
            <w:tcMar>
              <w:top w:w="0" w:type="dxa"/>
              <w:left w:w="85" w:type="dxa"/>
              <w:bottom w:w="0" w:type="dxa"/>
              <w:right w:w="85" w:type="dxa"/>
            </w:tcMar>
            <w:vAlign w:val="center"/>
            <w:hideMark/>
          </w:tcPr>
          <w:p w14:paraId="0207AB73" w14:textId="3585F338" w:rsidR="00A61FF5" w:rsidRPr="00932A90" w:rsidRDefault="00A61FF5" w:rsidP="00564192">
            <w:pPr>
              <w:pStyle w:val="DETTablecolumnheading"/>
              <w:jc w:val="left"/>
              <w:rPr>
                <w:sz w:val="16"/>
                <w:szCs w:val="16"/>
              </w:rPr>
            </w:pPr>
            <w:r w:rsidRPr="00F567DF">
              <w:rPr>
                <w:sz w:val="16"/>
                <w:szCs w:val="16"/>
              </w:rPr>
              <w:t>Actual TEI</w:t>
            </w:r>
            <w:r w:rsidRPr="00F567DF">
              <w:rPr>
                <w:sz w:val="16"/>
                <w:szCs w:val="16"/>
              </w:rPr>
              <w:br/>
              <w:t>cost $M</w:t>
            </w:r>
          </w:p>
        </w:tc>
        <w:tc>
          <w:tcPr>
            <w:tcW w:w="1488" w:type="dxa"/>
            <w:shd w:val="clear" w:color="auto" w:fill="7F7F7F" w:themeFill="text1" w:themeFillTint="80"/>
            <w:tcMar>
              <w:top w:w="0" w:type="dxa"/>
              <w:left w:w="85" w:type="dxa"/>
              <w:bottom w:w="0" w:type="dxa"/>
              <w:right w:w="85" w:type="dxa"/>
            </w:tcMar>
            <w:vAlign w:val="center"/>
            <w:hideMark/>
          </w:tcPr>
          <w:p w14:paraId="7B490E40" w14:textId="32C14CDA" w:rsidR="00A61FF5" w:rsidRPr="00932A90" w:rsidRDefault="00A61FF5" w:rsidP="00D07480">
            <w:pPr>
              <w:pStyle w:val="DETTablecolumnheading"/>
              <w:jc w:val="left"/>
              <w:rPr>
                <w:sz w:val="16"/>
                <w:szCs w:val="16"/>
              </w:rPr>
            </w:pPr>
            <w:r w:rsidRPr="00F567DF">
              <w:rPr>
                <w:sz w:val="16"/>
                <w:szCs w:val="16"/>
              </w:rPr>
              <w:t>Variation between actual cost and latest approved TEI budget</w:t>
            </w:r>
          </w:p>
        </w:tc>
        <w:tc>
          <w:tcPr>
            <w:tcW w:w="1489" w:type="dxa"/>
            <w:shd w:val="clear" w:color="auto" w:fill="7F7F7F" w:themeFill="text1" w:themeFillTint="80"/>
            <w:tcMar>
              <w:top w:w="0" w:type="dxa"/>
              <w:left w:w="85" w:type="dxa"/>
              <w:bottom w:w="0" w:type="dxa"/>
              <w:right w:w="85" w:type="dxa"/>
            </w:tcMar>
            <w:vAlign w:val="center"/>
            <w:hideMark/>
          </w:tcPr>
          <w:p w14:paraId="3CB4A54A" w14:textId="77777777" w:rsidR="00A61FF5" w:rsidRPr="00932A90" w:rsidRDefault="00A61FF5" w:rsidP="00D07480">
            <w:pPr>
              <w:pStyle w:val="DETTablecolumnheading"/>
              <w:jc w:val="left"/>
              <w:rPr>
                <w:sz w:val="16"/>
                <w:szCs w:val="16"/>
              </w:rPr>
            </w:pPr>
            <w:r w:rsidRPr="00F567DF">
              <w:rPr>
                <w:sz w:val="16"/>
                <w:szCs w:val="16"/>
              </w:rPr>
              <w:t>Reason for variance from latest approved TEI</w:t>
            </w:r>
            <w:r w:rsidRPr="00F567DF">
              <w:rPr>
                <w:rStyle w:val="FootnoteReference"/>
                <w:sz w:val="16"/>
                <w:szCs w:val="16"/>
              </w:rPr>
              <w:t>1</w:t>
            </w:r>
            <w:r w:rsidRPr="00F567DF">
              <w:rPr>
                <w:sz w:val="16"/>
                <w:szCs w:val="16"/>
              </w:rPr>
              <w:t xml:space="preserve"> budget</w:t>
            </w:r>
          </w:p>
        </w:tc>
      </w:tr>
      <w:tr w:rsidR="00A61FF5" w:rsidRPr="00932A90" w14:paraId="55B8776D" w14:textId="77777777" w:rsidTr="00A018BA">
        <w:trPr>
          <w:trHeight w:val="453"/>
        </w:trPr>
        <w:tc>
          <w:tcPr>
            <w:tcW w:w="1560" w:type="dxa"/>
            <w:shd w:val="clear" w:color="auto" w:fill="D9D9D9" w:themeFill="background1" w:themeFillShade="D9"/>
            <w:tcMar>
              <w:top w:w="0" w:type="dxa"/>
              <w:left w:w="85" w:type="dxa"/>
              <w:bottom w:w="0" w:type="dxa"/>
              <w:right w:w="85" w:type="dxa"/>
            </w:tcMar>
            <w:hideMark/>
          </w:tcPr>
          <w:p w14:paraId="20C5A30A" w14:textId="77777777" w:rsidR="00A61FF5" w:rsidRPr="00F567DF" w:rsidRDefault="00A61FF5" w:rsidP="00D07480">
            <w:pPr>
              <w:pStyle w:val="ESTableBody"/>
              <w:rPr>
                <w:lang w:val="en-AU"/>
              </w:rPr>
            </w:pPr>
            <w:r w:rsidRPr="00F567DF">
              <w:rPr>
                <w:lang w:val="en-AU"/>
              </w:rPr>
              <w:t>Morwell Regeneration 2015–16 State Budget</w:t>
            </w:r>
          </w:p>
        </w:tc>
        <w:tc>
          <w:tcPr>
            <w:tcW w:w="1488" w:type="dxa"/>
            <w:tcMar>
              <w:top w:w="0" w:type="dxa"/>
              <w:left w:w="85" w:type="dxa"/>
              <w:bottom w:w="0" w:type="dxa"/>
              <w:right w:w="85" w:type="dxa"/>
            </w:tcMar>
            <w:hideMark/>
          </w:tcPr>
          <w:p w14:paraId="590C7F16" w14:textId="77777777" w:rsidR="00A61FF5" w:rsidRPr="00F567DF" w:rsidRDefault="00A61FF5" w:rsidP="00D07480">
            <w:pPr>
              <w:pStyle w:val="ESTableBody"/>
              <w:rPr>
                <w:lang w:val="en-AU"/>
              </w:rPr>
            </w:pPr>
            <w:r w:rsidRPr="00F567DF">
              <w:rPr>
                <w:lang w:val="en-AU"/>
              </w:rPr>
              <w:t>Q2 2016–17</w:t>
            </w:r>
          </w:p>
        </w:tc>
        <w:tc>
          <w:tcPr>
            <w:tcW w:w="1488" w:type="dxa"/>
            <w:tcMar>
              <w:top w:w="0" w:type="dxa"/>
              <w:left w:w="85" w:type="dxa"/>
              <w:bottom w:w="0" w:type="dxa"/>
              <w:right w:w="85" w:type="dxa"/>
            </w:tcMar>
            <w:hideMark/>
          </w:tcPr>
          <w:p w14:paraId="4F7461A2" w14:textId="77777777" w:rsidR="00A61FF5" w:rsidRPr="00F567DF" w:rsidRDefault="00A61FF5" w:rsidP="00D07480">
            <w:pPr>
              <w:pStyle w:val="ESTableBody"/>
              <w:rPr>
                <w:lang w:val="en-AU"/>
              </w:rPr>
            </w:pPr>
            <w:r w:rsidRPr="00F567DF">
              <w:rPr>
                <w:lang w:val="en-AU"/>
              </w:rPr>
              <w:t>Q2 2016–17</w:t>
            </w:r>
          </w:p>
        </w:tc>
        <w:tc>
          <w:tcPr>
            <w:tcW w:w="1489" w:type="dxa"/>
            <w:tcMar>
              <w:top w:w="0" w:type="dxa"/>
              <w:left w:w="85" w:type="dxa"/>
              <w:bottom w:w="0" w:type="dxa"/>
              <w:right w:w="85" w:type="dxa"/>
            </w:tcMar>
            <w:hideMark/>
          </w:tcPr>
          <w:p w14:paraId="3ED25A3F" w14:textId="77777777" w:rsidR="00A61FF5" w:rsidRPr="00F567DF" w:rsidRDefault="00A61FF5" w:rsidP="00D07480">
            <w:pPr>
              <w:pStyle w:val="ESTableBody"/>
              <w:rPr>
                <w:lang w:val="en-AU"/>
              </w:rPr>
            </w:pPr>
            <w:r w:rsidRPr="00F567DF">
              <w:rPr>
                <w:lang w:val="en-AU"/>
              </w:rPr>
              <w:t>Q3 2016–17</w:t>
            </w:r>
          </w:p>
        </w:tc>
        <w:tc>
          <w:tcPr>
            <w:tcW w:w="1488" w:type="dxa"/>
            <w:tcMar>
              <w:top w:w="0" w:type="dxa"/>
              <w:left w:w="85" w:type="dxa"/>
              <w:bottom w:w="0" w:type="dxa"/>
              <w:right w:w="85" w:type="dxa"/>
            </w:tcMar>
            <w:hideMark/>
          </w:tcPr>
          <w:p w14:paraId="26DCE6EC" w14:textId="77777777" w:rsidR="00A61FF5" w:rsidRPr="00F567DF" w:rsidRDefault="00A61FF5" w:rsidP="00D07480">
            <w:pPr>
              <w:pStyle w:val="ESTableBody"/>
              <w:rPr>
                <w:lang w:val="en-AU"/>
              </w:rPr>
            </w:pPr>
            <w:r w:rsidRPr="00F567DF">
              <w:rPr>
                <w:lang w:val="en-AU"/>
              </w:rPr>
              <w:t>10.450</w:t>
            </w:r>
          </w:p>
        </w:tc>
        <w:tc>
          <w:tcPr>
            <w:tcW w:w="1488" w:type="dxa"/>
            <w:tcMar>
              <w:top w:w="0" w:type="dxa"/>
              <w:left w:w="85" w:type="dxa"/>
              <w:bottom w:w="0" w:type="dxa"/>
              <w:right w:w="85" w:type="dxa"/>
            </w:tcMar>
            <w:hideMark/>
          </w:tcPr>
          <w:p w14:paraId="0393C2E1" w14:textId="77777777" w:rsidR="00A61FF5" w:rsidRPr="00F567DF" w:rsidRDefault="00A61FF5" w:rsidP="00D07480">
            <w:pPr>
              <w:pStyle w:val="ESTableBody"/>
              <w:rPr>
                <w:lang w:val="en-AU"/>
              </w:rPr>
            </w:pPr>
            <w:r w:rsidRPr="00F567DF">
              <w:rPr>
                <w:lang w:val="en-AU"/>
              </w:rPr>
              <w:t>10.450</w:t>
            </w:r>
          </w:p>
        </w:tc>
        <w:tc>
          <w:tcPr>
            <w:tcW w:w="1489" w:type="dxa"/>
            <w:tcMar>
              <w:top w:w="0" w:type="dxa"/>
              <w:left w:w="85" w:type="dxa"/>
              <w:bottom w:w="0" w:type="dxa"/>
              <w:right w:w="85" w:type="dxa"/>
            </w:tcMar>
            <w:hideMark/>
          </w:tcPr>
          <w:p w14:paraId="56A7EEBB" w14:textId="77777777" w:rsidR="00A61FF5" w:rsidRPr="00F567DF" w:rsidRDefault="00A61FF5" w:rsidP="00D07480">
            <w:pPr>
              <w:pStyle w:val="ESTableBody"/>
              <w:rPr>
                <w:lang w:val="en-AU"/>
              </w:rPr>
            </w:pPr>
            <w:r w:rsidRPr="00F567DF">
              <w:rPr>
                <w:lang w:val="en-AU"/>
              </w:rPr>
              <w:t>10.450</w:t>
            </w:r>
          </w:p>
        </w:tc>
        <w:tc>
          <w:tcPr>
            <w:tcW w:w="1488" w:type="dxa"/>
            <w:tcMar>
              <w:top w:w="0" w:type="dxa"/>
              <w:left w:w="85" w:type="dxa"/>
              <w:bottom w:w="0" w:type="dxa"/>
              <w:right w:w="85" w:type="dxa"/>
            </w:tcMar>
            <w:hideMark/>
          </w:tcPr>
          <w:p w14:paraId="037E503B" w14:textId="77777777" w:rsidR="00A61FF5" w:rsidRPr="00F567DF" w:rsidRDefault="00A61FF5" w:rsidP="00D07480">
            <w:pPr>
              <w:pStyle w:val="ESTableBody"/>
              <w:rPr>
                <w:lang w:val="en-AU"/>
              </w:rPr>
            </w:pPr>
            <w:r w:rsidRPr="00F567DF">
              <w:rPr>
                <w:lang w:val="en-AU"/>
              </w:rPr>
              <w:t>0</w:t>
            </w:r>
          </w:p>
        </w:tc>
        <w:tc>
          <w:tcPr>
            <w:tcW w:w="1489" w:type="dxa"/>
            <w:tcMar>
              <w:top w:w="0" w:type="dxa"/>
              <w:left w:w="85" w:type="dxa"/>
              <w:bottom w:w="0" w:type="dxa"/>
              <w:right w:w="85" w:type="dxa"/>
            </w:tcMar>
            <w:hideMark/>
          </w:tcPr>
          <w:p w14:paraId="1FD8A82D" w14:textId="77777777" w:rsidR="00A61FF5" w:rsidRPr="00F567DF" w:rsidRDefault="00A61FF5" w:rsidP="00D07480">
            <w:pPr>
              <w:pStyle w:val="ESTableBody"/>
              <w:rPr>
                <w:lang w:val="en-AU"/>
              </w:rPr>
            </w:pPr>
            <w:r w:rsidRPr="00F567DF">
              <w:rPr>
                <w:lang w:val="en-AU"/>
              </w:rPr>
              <w:t>N/A</w:t>
            </w:r>
          </w:p>
        </w:tc>
      </w:tr>
      <w:tr w:rsidR="00A61FF5" w:rsidRPr="00932A90" w14:paraId="4E9BEDB4" w14:textId="77777777" w:rsidTr="00A018BA">
        <w:trPr>
          <w:trHeight w:val="453"/>
        </w:trPr>
        <w:tc>
          <w:tcPr>
            <w:tcW w:w="1560" w:type="dxa"/>
            <w:shd w:val="clear" w:color="auto" w:fill="D9D9D9" w:themeFill="background1" w:themeFillShade="D9"/>
            <w:tcMar>
              <w:top w:w="0" w:type="dxa"/>
              <w:left w:w="85" w:type="dxa"/>
              <w:bottom w:w="0" w:type="dxa"/>
              <w:right w:w="85" w:type="dxa"/>
            </w:tcMar>
            <w:hideMark/>
          </w:tcPr>
          <w:p w14:paraId="20CA6977" w14:textId="77777777" w:rsidR="00A61FF5" w:rsidRPr="00F567DF" w:rsidRDefault="00A61FF5" w:rsidP="00D07480">
            <w:pPr>
              <w:pStyle w:val="ESTableBody"/>
              <w:rPr>
                <w:lang w:val="en-AU"/>
              </w:rPr>
            </w:pPr>
            <w:r w:rsidRPr="00F567DF">
              <w:rPr>
                <w:lang w:val="en-AU"/>
              </w:rPr>
              <w:t>Hazel Glen Secondary College (Doreen Secondary College) 2014–15 State Budget</w:t>
            </w:r>
          </w:p>
        </w:tc>
        <w:tc>
          <w:tcPr>
            <w:tcW w:w="1488" w:type="dxa"/>
            <w:tcMar>
              <w:top w:w="0" w:type="dxa"/>
              <w:left w:w="85" w:type="dxa"/>
              <w:bottom w:w="0" w:type="dxa"/>
              <w:right w:w="85" w:type="dxa"/>
            </w:tcMar>
            <w:hideMark/>
          </w:tcPr>
          <w:p w14:paraId="103CBE0B" w14:textId="77777777" w:rsidR="00A61FF5" w:rsidRPr="00F567DF" w:rsidRDefault="00A61FF5" w:rsidP="00D07480">
            <w:pPr>
              <w:pStyle w:val="ESTableBody"/>
              <w:rPr>
                <w:lang w:val="en-AU"/>
              </w:rPr>
            </w:pPr>
            <w:r w:rsidRPr="00F567DF">
              <w:rPr>
                <w:lang w:val="en-AU"/>
              </w:rPr>
              <w:t>Q3 2015–16</w:t>
            </w:r>
          </w:p>
        </w:tc>
        <w:tc>
          <w:tcPr>
            <w:tcW w:w="1488" w:type="dxa"/>
            <w:tcMar>
              <w:top w:w="0" w:type="dxa"/>
              <w:left w:w="85" w:type="dxa"/>
              <w:bottom w:w="0" w:type="dxa"/>
              <w:right w:w="85" w:type="dxa"/>
            </w:tcMar>
            <w:hideMark/>
          </w:tcPr>
          <w:p w14:paraId="05536E3D" w14:textId="77777777" w:rsidR="00A61FF5" w:rsidRPr="00F567DF" w:rsidRDefault="00A61FF5" w:rsidP="00D07480">
            <w:pPr>
              <w:pStyle w:val="ESTableBody"/>
              <w:rPr>
                <w:lang w:val="en-AU"/>
              </w:rPr>
            </w:pPr>
            <w:r w:rsidRPr="00F567DF">
              <w:rPr>
                <w:lang w:val="en-AU"/>
              </w:rPr>
              <w:t>Q1 2016–17</w:t>
            </w:r>
          </w:p>
        </w:tc>
        <w:tc>
          <w:tcPr>
            <w:tcW w:w="1489" w:type="dxa"/>
            <w:tcMar>
              <w:top w:w="0" w:type="dxa"/>
              <w:left w:w="85" w:type="dxa"/>
              <w:bottom w:w="0" w:type="dxa"/>
              <w:right w:w="85" w:type="dxa"/>
            </w:tcMar>
            <w:hideMark/>
          </w:tcPr>
          <w:p w14:paraId="6CB8BD26" w14:textId="77777777" w:rsidR="00A61FF5" w:rsidRPr="00F567DF" w:rsidRDefault="00A61FF5" w:rsidP="00D07480">
            <w:pPr>
              <w:pStyle w:val="ESTableBody"/>
              <w:rPr>
                <w:lang w:val="en-AU"/>
              </w:rPr>
            </w:pPr>
            <w:r w:rsidRPr="00F567DF">
              <w:rPr>
                <w:lang w:val="en-AU"/>
              </w:rPr>
              <w:t>Q1 2016–17</w:t>
            </w:r>
          </w:p>
        </w:tc>
        <w:tc>
          <w:tcPr>
            <w:tcW w:w="1488" w:type="dxa"/>
            <w:tcMar>
              <w:top w:w="0" w:type="dxa"/>
              <w:left w:w="85" w:type="dxa"/>
              <w:bottom w:w="0" w:type="dxa"/>
              <w:right w:w="85" w:type="dxa"/>
            </w:tcMar>
            <w:hideMark/>
          </w:tcPr>
          <w:p w14:paraId="063D5458" w14:textId="77777777" w:rsidR="00A61FF5" w:rsidRPr="00F567DF" w:rsidRDefault="00A61FF5" w:rsidP="00D07480">
            <w:pPr>
              <w:pStyle w:val="ESTableBody"/>
              <w:rPr>
                <w:lang w:val="en-AU"/>
              </w:rPr>
            </w:pPr>
            <w:r w:rsidRPr="00F567DF">
              <w:rPr>
                <w:lang w:val="en-AU"/>
              </w:rPr>
              <w:t>12.000</w:t>
            </w:r>
          </w:p>
        </w:tc>
        <w:tc>
          <w:tcPr>
            <w:tcW w:w="1488" w:type="dxa"/>
            <w:tcMar>
              <w:top w:w="0" w:type="dxa"/>
              <w:left w:w="85" w:type="dxa"/>
              <w:bottom w:w="0" w:type="dxa"/>
              <w:right w:w="85" w:type="dxa"/>
            </w:tcMar>
            <w:hideMark/>
          </w:tcPr>
          <w:p w14:paraId="79D9590E" w14:textId="77777777" w:rsidR="00A61FF5" w:rsidRPr="00F567DF" w:rsidRDefault="00A61FF5" w:rsidP="00D07480">
            <w:pPr>
              <w:pStyle w:val="ESTableBody"/>
              <w:rPr>
                <w:lang w:val="en-AU"/>
              </w:rPr>
            </w:pPr>
            <w:r w:rsidRPr="00F567DF">
              <w:rPr>
                <w:lang w:val="en-AU"/>
              </w:rPr>
              <w:t>12.308</w:t>
            </w:r>
          </w:p>
        </w:tc>
        <w:tc>
          <w:tcPr>
            <w:tcW w:w="1489" w:type="dxa"/>
            <w:tcMar>
              <w:top w:w="0" w:type="dxa"/>
              <w:left w:w="85" w:type="dxa"/>
              <w:bottom w:w="0" w:type="dxa"/>
              <w:right w:w="85" w:type="dxa"/>
            </w:tcMar>
            <w:hideMark/>
          </w:tcPr>
          <w:p w14:paraId="223A6AEB" w14:textId="77777777" w:rsidR="00A61FF5" w:rsidRPr="00F567DF" w:rsidRDefault="00A61FF5" w:rsidP="00D07480">
            <w:pPr>
              <w:pStyle w:val="ESTableBody"/>
              <w:rPr>
                <w:lang w:val="en-AU"/>
              </w:rPr>
            </w:pPr>
            <w:r w:rsidRPr="00F567DF">
              <w:rPr>
                <w:lang w:val="en-AU"/>
              </w:rPr>
              <w:t>12.308</w:t>
            </w:r>
          </w:p>
        </w:tc>
        <w:tc>
          <w:tcPr>
            <w:tcW w:w="1488" w:type="dxa"/>
            <w:tcMar>
              <w:top w:w="0" w:type="dxa"/>
              <w:left w:w="85" w:type="dxa"/>
              <w:bottom w:w="0" w:type="dxa"/>
              <w:right w:w="85" w:type="dxa"/>
            </w:tcMar>
            <w:hideMark/>
          </w:tcPr>
          <w:p w14:paraId="36248486" w14:textId="77777777" w:rsidR="00A61FF5" w:rsidRPr="00F567DF" w:rsidRDefault="00A61FF5" w:rsidP="00D07480">
            <w:pPr>
              <w:pStyle w:val="ESTableBody"/>
              <w:rPr>
                <w:lang w:val="en-AU"/>
              </w:rPr>
            </w:pPr>
            <w:r w:rsidRPr="00F567DF">
              <w:rPr>
                <w:lang w:val="en-AU"/>
              </w:rPr>
              <w:t>0</w:t>
            </w:r>
          </w:p>
        </w:tc>
        <w:tc>
          <w:tcPr>
            <w:tcW w:w="1489" w:type="dxa"/>
            <w:tcMar>
              <w:top w:w="0" w:type="dxa"/>
              <w:left w:w="85" w:type="dxa"/>
              <w:bottom w:w="0" w:type="dxa"/>
              <w:right w:w="85" w:type="dxa"/>
            </w:tcMar>
            <w:hideMark/>
          </w:tcPr>
          <w:p w14:paraId="31FCE9A3" w14:textId="77777777" w:rsidR="00A61FF5" w:rsidRPr="00F567DF" w:rsidRDefault="00A61FF5" w:rsidP="00D07480">
            <w:pPr>
              <w:pStyle w:val="ESTableBody"/>
              <w:rPr>
                <w:lang w:val="en-AU"/>
              </w:rPr>
            </w:pPr>
            <w:r w:rsidRPr="00F567DF">
              <w:rPr>
                <w:lang w:val="en-AU"/>
              </w:rPr>
              <w:t>N/A</w:t>
            </w:r>
          </w:p>
        </w:tc>
      </w:tr>
      <w:tr w:rsidR="00A61FF5" w:rsidRPr="00932A90" w14:paraId="24620CB7" w14:textId="77777777" w:rsidTr="00A018BA">
        <w:trPr>
          <w:trHeight w:val="453"/>
        </w:trPr>
        <w:tc>
          <w:tcPr>
            <w:tcW w:w="1560" w:type="dxa"/>
            <w:shd w:val="clear" w:color="auto" w:fill="D9D9D9" w:themeFill="background1" w:themeFillShade="D9"/>
            <w:tcMar>
              <w:top w:w="0" w:type="dxa"/>
              <w:left w:w="85" w:type="dxa"/>
              <w:bottom w:w="0" w:type="dxa"/>
              <w:right w:w="85" w:type="dxa"/>
            </w:tcMar>
            <w:vAlign w:val="center"/>
          </w:tcPr>
          <w:p w14:paraId="4EFAE3E9" w14:textId="77777777" w:rsidR="00A61FF5" w:rsidRPr="00F567DF" w:rsidRDefault="00A61FF5" w:rsidP="00D07480">
            <w:pPr>
              <w:pStyle w:val="ESTableBody"/>
              <w:rPr>
                <w:lang w:val="en-AU"/>
              </w:rPr>
            </w:pPr>
            <w:r w:rsidRPr="00F567DF">
              <w:rPr>
                <w:lang w:val="en-AU"/>
              </w:rPr>
              <w:t xml:space="preserve">Newbury Primary School (Craigieburn North West Primary School) 2015–16 State Budget </w:t>
            </w:r>
          </w:p>
        </w:tc>
        <w:tc>
          <w:tcPr>
            <w:tcW w:w="1488" w:type="dxa"/>
            <w:tcMar>
              <w:top w:w="0" w:type="dxa"/>
              <w:left w:w="85" w:type="dxa"/>
              <w:bottom w:w="0" w:type="dxa"/>
              <w:right w:w="85" w:type="dxa"/>
            </w:tcMar>
          </w:tcPr>
          <w:p w14:paraId="0A065377" w14:textId="77777777" w:rsidR="00A61FF5" w:rsidRPr="00F567DF" w:rsidRDefault="00A61FF5" w:rsidP="00D07480">
            <w:pPr>
              <w:pStyle w:val="ESTableBody"/>
              <w:rPr>
                <w:lang w:val="en-AU"/>
              </w:rPr>
            </w:pPr>
            <w:r w:rsidRPr="00F567DF">
              <w:rPr>
                <w:lang w:val="en-AU"/>
              </w:rPr>
              <w:t>Q1 2017–18</w:t>
            </w:r>
          </w:p>
        </w:tc>
        <w:tc>
          <w:tcPr>
            <w:tcW w:w="1488" w:type="dxa"/>
            <w:tcMar>
              <w:top w:w="0" w:type="dxa"/>
              <w:left w:w="85" w:type="dxa"/>
              <w:bottom w:w="0" w:type="dxa"/>
              <w:right w:w="85" w:type="dxa"/>
            </w:tcMar>
          </w:tcPr>
          <w:p w14:paraId="2FBCAC56" w14:textId="77777777" w:rsidR="00A61FF5" w:rsidRPr="00F567DF" w:rsidRDefault="00A61FF5" w:rsidP="00D07480">
            <w:pPr>
              <w:pStyle w:val="ESTableBody"/>
              <w:rPr>
                <w:lang w:val="en-AU"/>
              </w:rPr>
            </w:pPr>
            <w:r w:rsidRPr="00F567DF">
              <w:rPr>
                <w:lang w:val="en-AU"/>
              </w:rPr>
              <w:t>Q2 2016–17</w:t>
            </w:r>
          </w:p>
        </w:tc>
        <w:tc>
          <w:tcPr>
            <w:tcW w:w="1489" w:type="dxa"/>
            <w:tcMar>
              <w:top w:w="0" w:type="dxa"/>
              <w:left w:w="85" w:type="dxa"/>
              <w:bottom w:w="0" w:type="dxa"/>
              <w:right w:w="85" w:type="dxa"/>
            </w:tcMar>
          </w:tcPr>
          <w:p w14:paraId="742C2A3E" w14:textId="77777777" w:rsidR="00A61FF5" w:rsidRPr="00F567DF" w:rsidRDefault="00A61FF5" w:rsidP="00D07480">
            <w:pPr>
              <w:pStyle w:val="ESTableBody"/>
              <w:rPr>
                <w:lang w:val="en-AU"/>
              </w:rPr>
            </w:pPr>
            <w:r w:rsidRPr="00F567DF">
              <w:rPr>
                <w:lang w:val="en-AU"/>
              </w:rPr>
              <w:t>Q2 2016–17</w:t>
            </w:r>
          </w:p>
        </w:tc>
        <w:tc>
          <w:tcPr>
            <w:tcW w:w="1488" w:type="dxa"/>
            <w:tcMar>
              <w:top w:w="0" w:type="dxa"/>
              <w:left w:w="85" w:type="dxa"/>
              <w:bottom w:w="0" w:type="dxa"/>
              <w:right w:w="85" w:type="dxa"/>
            </w:tcMar>
          </w:tcPr>
          <w:p w14:paraId="5D5D85E8" w14:textId="77777777" w:rsidR="00A61FF5" w:rsidRPr="00F567DF" w:rsidRDefault="00A61FF5" w:rsidP="00D07480">
            <w:pPr>
              <w:pStyle w:val="ESTableBody"/>
              <w:rPr>
                <w:lang w:val="en-AU"/>
              </w:rPr>
            </w:pPr>
            <w:r w:rsidRPr="00F567DF">
              <w:rPr>
                <w:lang w:val="en-AU"/>
              </w:rPr>
              <w:t>12.200</w:t>
            </w:r>
          </w:p>
        </w:tc>
        <w:tc>
          <w:tcPr>
            <w:tcW w:w="1488" w:type="dxa"/>
            <w:tcMar>
              <w:top w:w="0" w:type="dxa"/>
              <w:left w:w="85" w:type="dxa"/>
              <w:bottom w:w="0" w:type="dxa"/>
              <w:right w:w="85" w:type="dxa"/>
            </w:tcMar>
          </w:tcPr>
          <w:p w14:paraId="67E6F902" w14:textId="77777777" w:rsidR="00A61FF5" w:rsidRPr="00F567DF" w:rsidRDefault="00A61FF5" w:rsidP="00D07480">
            <w:pPr>
              <w:pStyle w:val="ESTableBody"/>
              <w:rPr>
                <w:lang w:val="en-AU"/>
              </w:rPr>
            </w:pPr>
            <w:r w:rsidRPr="00F567DF">
              <w:rPr>
                <w:lang w:val="en-AU"/>
              </w:rPr>
              <w:t>12.200</w:t>
            </w:r>
          </w:p>
        </w:tc>
        <w:tc>
          <w:tcPr>
            <w:tcW w:w="1489" w:type="dxa"/>
            <w:tcMar>
              <w:top w:w="0" w:type="dxa"/>
              <w:left w:w="85" w:type="dxa"/>
              <w:bottom w:w="0" w:type="dxa"/>
              <w:right w:w="85" w:type="dxa"/>
            </w:tcMar>
          </w:tcPr>
          <w:p w14:paraId="22EBB8DD" w14:textId="77777777" w:rsidR="00A61FF5" w:rsidRPr="00F567DF" w:rsidRDefault="00A61FF5" w:rsidP="00D07480">
            <w:pPr>
              <w:pStyle w:val="ESTableBody"/>
              <w:rPr>
                <w:lang w:val="en-AU"/>
              </w:rPr>
            </w:pPr>
            <w:r w:rsidRPr="00F567DF">
              <w:rPr>
                <w:lang w:val="en-AU"/>
              </w:rPr>
              <w:t>11.427</w:t>
            </w:r>
          </w:p>
        </w:tc>
        <w:tc>
          <w:tcPr>
            <w:tcW w:w="1488" w:type="dxa"/>
            <w:tcMar>
              <w:top w:w="0" w:type="dxa"/>
              <w:left w:w="85" w:type="dxa"/>
              <w:bottom w:w="0" w:type="dxa"/>
              <w:right w:w="85" w:type="dxa"/>
            </w:tcMar>
          </w:tcPr>
          <w:p w14:paraId="481FC8C8" w14:textId="77777777" w:rsidR="00A61FF5" w:rsidRPr="00F567DF" w:rsidRDefault="00A61FF5" w:rsidP="00D07480">
            <w:pPr>
              <w:pStyle w:val="ESTableBody"/>
              <w:rPr>
                <w:lang w:val="en-AU"/>
              </w:rPr>
            </w:pPr>
            <w:r w:rsidRPr="00F567DF">
              <w:rPr>
                <w:lang w:val="en-AU"/>
              </w:rPr>
              <w:t>0.773</w:t>
            </w:r>
          </w:p>
        </w:tc>
        <w:tc>
          <w:tcPr>
            <w:tcW w:w="1489" w:type="dxa"/>
            <w:tcMar>
              <w:top w:w="0" w:type="dxa"/>
              <w:left w:w="85" w:type="dxa"/>
              <w:bottom w:w="0" w:type="dxa"/>
              <w:right w:w="85" w:type="dxa"/>
            </w:tcMar>
          </w:tcPr>
          <w:p w14:paraId="066679FA" w14:textId="77777777" w:rsidR="00A61FF5" w:rsidRPr="00F567DF" w:rsidRDefault="00A61FF5" w:rsidP="00D07480">
            <w:pPr>
              <w:pStyle w:val="ESTableBody"/>
              <w:rPr>
                <w:lang w:val="en-AU"/>
              </w:rPr>
            </w:pPr>
            <w:r w:rsidRPr="00F567DF">
              <w:rPr>
                <w:lang w:val="en-AU"/>
              </w:rPr>
              <w:t>The variation is expected contingency expenditure that will be incurred in future years</w:t>
            </w:r>
          </w:p>
        </w:tc>
      </w:tr>
    </w:tbl>
    <w:p w14:paraId="608E985A" w14:textId="77777777" w:rsidR="00A61FF5" w:rsidRPr="00F567DF" w:rsidRDefault="00A61FF5" w:rsidP="00A61FF5">
      <w:pPr>
        <w:pStyle w:val="ESBodyText"/>
        <w:rPr>
          <w:lang w:val="en-AU"/>
        </w:rPr>
        <w:sectPr w:rsidR="00A61FF5" w:rsidRPr="00F567DF" w:rsidSect="006D0155">
          <w:footerReference w:type="even" r:id="rId20"/>
          <w:pgSz w:w="16840" w:h="11900" w:orient="landscape"/>
          <w:pgMar w:top="2835" w:right="1440" w:bottom="1701" w:left="1440" w:header="708" w:footer="708" w:gutter="0"/>
          <w:cols w:space="708"/>
          <w:docGrid w:linePitch="360"/>
        </w:sectPr>
      </w:pPr>
    </w:p>
    <w:p w14:paraId="5977A6A9" w14:textId="7CF123E5" w:rsidR="00A61FF5" w:rsidRPr="00F567DF" w:rsidRDefault="00A61FF5" w:rsidP="00A61FF5">
      <w:pPr>
        <w:pStyle w:val="ESHeading1"/>
        <w:rPr>
          <w:lang w:val="en-AU"/>
        </w:rPr>
      </w:pPr>
      <w:bookmarkStart w:id="90" w:name="_Toc488410104"/>
      <w:bookmarkStart w:id="91" w:name="_Toc488767576"/>
      <w:bookmarkStart w:id="92" w:name="_Toc488768988"/>
      <w:bookmarkStart w:id="93" w:name="_Toc489526703"/>
      <w:bookmarkStart w:id="94" w:name="_Toc491070302"/>
      <w:bookmarkStart w:id="95" w:name="_Toc491409528"/>
      <w:bookmarkStart w:id="96" w:name="_Toc491410375"/>
      <w:bookmarkStart w:id="97" w:name="_Toc491410754"/>
      <w:bookmarkStart w:id="98" w:name="_Toc491414657"/>
      <w:r w:rsidRPr="00F567DF">
        <w:rPr>
          <w:lang w:val="en-AU"/>
        </w:rPr>
        <w:t>Governance and organisational structure</w:t>
      </w:r>
      <w:bookmarkEnd w:id="90"/>
      <w:bookmarkEnd w:id="91"/>
      <w:bookmarkEnd w:id="92"/>
      <w:bookmarkEnd w:id="93"/>
      <w:bookmarkEnd w:id="94"/>
      <w:bookmarkEnd w:id="95"/>
      <w:bookmarkEnd w:id="96"/>
      <w:bookmarkEnd w:id="97"/>
      <w:bookmarkEnd w:id="98"/>
    </w:p>
    <w:p w14:paraId="5E4185CC" w14:textId="0CF91EAB" w:rsidR="00A61FF5" w:rsidRPr="00F567DF" w:rsidRDefault="00A61FF5" w:rsidP="00D2232D">
      <w:pPr>
        <w:pStyle w:val="ESHeading2"/>
      </w:pPr>
      <w:bookmarkStart w:id="99" w:name="_Toc488410105"/>
      <w:bookmarkStart w:id="100" w:name="_Toc488767577"/>
      <w:bookmarkStart w:id="101" w:name="_Toc488768989"/>
      <w:bookmarkStart w:id="102" w:name="_Toc489526704"/>
      <w:bookmarkStart w:id="103" w:name="_Toc491070303"/>
      <w:bookmarkStart w:id="104" w:name="_Toc491409529"/>
      <w:bookmarkStart w:id="105" w:name="_Toc491414658"/>
      <w:r w:rsidRPr="00F567DF">
        <w:t>The Department’s ministers</w:t>
      </w:r>
      <w:bookmarkEnd w:id="99"/>
      <w:bookmarkEnd w:id="100"/>
      <w:bookmarkEnd w:id="101"/>
      <w:bookmarkEnd w:id="102"/>
      <w:bookmarkEnd w:id="103"/>
      <w:bookmarkEnd w:id="104"/>
      <w:bookmarkEnd w:id="105"/>
    </w:p>
    <w:p w14:paraId="12B6CC3D" w14:textId="77777777" w:rsidR="00A61FF5" w:rsidRPr="00F567DF" w:rsidRDefault="00A61FF5" w:rsidP="00A61FF5">
      <w:pPr>
        <w:pStyle w:val="ESBodyText"/>
        <w:rPr>
          <w:lang w:val="en-AU"/>
        </w:rPr>
      </w:pPr>
      <w:r w:rsidRPr="00F567DF">
        <w:rPr>
          <w:lang w:val="en-AU"/>
        </w:rPr>
        <w:t>The Department supports three ministers: the Hon. James Merlino MP, Deputy Premier, Minister for Education and Minister for Emergency Services; the Hon. Gayle Tierney MP, Minister for Training and Skills and Minister for Corrections; and the Hon. Jenny Mikakos MP, Minister for Families and Children and Minister for Youth Affairs.</w:t>
      </w:r>
    </w:p>
    <w:p w14:paraId="09C5ED92" w14:textId="77777777" w:rsidR="00A61FF5" w:rsidRPr="00F567DF" w:rsidRDefault="00A61FF5" w:rsidP="00A61FF5">
      <w:pPr>
        <w:pStyle w:val="StyleESBodyTextBoldAfter0pt1"/>
        <w:rPr>
          <w:lang w:val="en-AU"/>
        </w:rPr>
      </w:pPr>
      <w:r w:rsidRPr="00F567DF">
        <w:rPr>
          <w:lang w:val="en-AU"/>
        </w:rPr>
        <w:t>Deputy Premier, Minister for Education and Minister for Emergency Services</w:t>
      </w:r>
      <w:r w:rsidRPr="00F567DF">
        <w:rPr>
          <w:lang w:val="en-AU"/>
        </w:rPr>
        <w:br/>
        <w:t>The Hon James Merlino MP</w:t>
      </w:r>
    </w:p>
    <w:p w14:paraId="0937B05E" w14:textId="77777777" w:rsidR="00A61FF5" w:rsidRPr="00F567DF" w:rsidRDefault="00A61FF5" w:rsidP="00A61FF5">
      <w:pPr>
        <w:pStyle w:val="ESBodyText"/>
        <w:rPr>
          <w:lang w:val="en-AU"/>
        </w:rPr>
      </w:pPr>
      <w:r w:rsidRPr="00F567DF">
        <w:rPr>
          <w:lang w:val="en-AU"/>
        </w:rPr>
        <w:t>James Merlino MP is the Deputy Premier of Victoria, Minister for Education and Minister for Emergency Services. As Minister for Education, Minister Merlino is behind the drive to make Victoria the Education State by providing Victoria’s 950,000 students with access to a great school and the opportunity to thrive.</w:t>
      </w:r>
    </w:p>
    <w:p w14:paraId="3875ADB6" w14:textId="77777777" w:rsidR="00A61FF5" w:rsidRPr="00F567DF" w:rsidRDefault="00A61FF5" w:rsidP="00A61FF5">
      <w:pPr>
        <w:pStyle w:val="ESBodyText"/>
        <w:rPr>
          <w:lang w:val="en-AU"/>
        </w:rPr>
      </w:pPr>
      <w:r w:rsidRPr="00F567DF">
        <w:rPr>
          <w:lang w:val="en-AU"/>
        </w:rPr>
        <w:t>The Education State reforms are designed to lift outcomes in a number of key areas, including literacy, numeracy, science and the arts, as well as student wellbeing and engagement. They also include funding to address disadvantage and help students who have fallen behind.</w:t>
      </w:r>
    </w:p>
    <w:p w14:paraId="1595F55D" w14:textId="77777777" w:rsidR="00A61FF5" w:rsidRPr="00F567DF" w:rsidRDefault="00A61FF5" w:rsidP="00A61FF5">
      <w:pPr>
        <w:pStyle w:val="ESBodyText"/>
        <w:rPr>
          <w:lang w:val="en-AU"/>
        </w:rPr>
      </w:pPr>
      <w:r w:rsidRPr="00F567DF">
        <w:rPr>
          <w:lang w:val="en-AU"/>
        </w:rPr>
        <w:t>Minister Merlino is also responsible for record levels of investment in school infrastructure and has introduced programs to raise the quality of teaching, provide more local support to schools, and to help make all schools inclusive.</w:t>
      </w:r>
    </w:p>
    <w:p w14:paraId="34F2A6E2" w14:textId="77777777" w:rsidR="00A61FF5" w:rsidRPr="00F567DF" w:rsidRDefault="00A61FF5" w:rsidP="00A61FF5">
      <w:pPr>
        <w:pStyle w:val="StyleESBodyTextBoldAfter0pt1"/>
        <w:rPr>
          <w:lang w:val="en-AU"/>
        </w:rPr>
      </w:pPr>
      <w:r w:rsidRPr="00F567DF">
        <w:rPr>
          <w:lang w:val="en-AU"/>
        </w:rPr>
        <w:t>Minister for Training and Skills and Minister for Corrections</w:t>
      </w:r>
      <w:r w:rsidRPr="00F567DF">
        <w:rPr>
          <w:lang w:val="en-AU"/>
        </w:rPr>
        <w:br/>
        <w:t>The Hon. Gayle Tierney MP</w:t>
      </w:r>
    </w:p>
    <w:p w14:paraId="7C3A76A6" w14:textId="6BDD2276" w:rsidR="00A61FF5" w:rsidRPr="00F567DF" w:rsidRDefault="00A61FF5" w:rsidP="00A61FF5">
      <w:pPr>
        <w:pStyle w:val="ESBodyText"/>
        <w:rPr>
          <w:lang w:val="en-AU"/>
        </w:rPr>
      </w:pPr>
      <w:r w:rsidRPr="00F567DF">
        <w:rPr>
          <w:lang w:val="en-AU"/>
        </w:rPr>
        <w:t>Gayle Tierney is Minister for Training and Skills and Minister for Corrections.</w:t>
      </w:r>
      <w:r w:rsidR="00923400">
        <w:rPr>
          <w:lang w:val="en-AU"/>
        </w:rPr>
        <w:t xml:space="preserve"> She </w:t>
      </w:r>
      <w:r w:rsidRPr="00F567DF">
        <w:rPr>
          <w:lang w:val="en-AU"/>
        </w:rPr>
        <w:t xml:space="preserve">is responsible for overseeing and implementing Victoria’s biggest reforms to its VET system. These reforms will ensure Victoria has a </w:t>
      </w:r>
      <w:r w:rsidR="00BB15EE" w:rsidRPr="00F567DF">
        <w:rPr>
          <w:lang w:val="en-AU"/>
        </w:rPr>
        <w:t>high-</w:t>
      </w:r>
      <w:r w:rsidRPr="00F567DF">
        <w:rPr>
          <w:lang w:val="en-AU"/>
        </w:rPr>
        <w:t>quality VET system in place that meets the needs of individuals, industry and employers, and gets more Victorians into work.</w:t>
      </w:r>
    </w:p>
    <w:p w14:paraId="69E6C001" w14:textId="77777777" w:rsidR="00A61FF5" w:rsidRPr="00F567DF" w:rsidRDefault="00A61FF5" w:rsidP="00A61FF5">
      <w:pPr>
        <w:pStyle w:val="ESBodyText"/>
        <w:rPr>
          <w:lang w:val="en-AU"/>
        </w:rPr>
      </w:pPr>
      <w:r w:rsidRPr="00F567DF">
        <w:rPr>
          <w:lang w:val="en-AU"/>
        </w:rPr>
        <w:t>This includes rebuilding TAFE, restoring credibility to the sector, re-establishing industry and community confidence in training, and investing in training and skills to ensure a solid foundation that supports more people in the workforce.</w:t>
      </w:r>
    </w:p>
    <w:p w14:paraId="5460D063" w14:textId="77777777" w:rsidR="00A61FF5" w:rsidRPr="00F567DF" w:rsidRDefault="00A61FF5" w:rsidP="00A61FF5">
      <w:pPr>
        <w:pStyle w:val="ESBodyText"/>
        <w:rPr>
          <w:lang w:val="en-AU"/>
        </w:rPr>
      </w:pPr>
      <w:r w:rsidRPr="00F567DF">
        <w:rPr>
          <w:lang w:val="en-AU"/>
        </w:rPr>
        <w:t>Minister Tierney is committed to ensuring all Victorians have access to quality training that equips them with the skills they need to obtain and keep a job, and that industry has the skills required to boost productivity and help grow the Victorian economy.</w:t>
      </w:r>
    </w:p>
    <w:p w14:paraId="212740A1" w14:textId="77777777" w:rsidR="00A61FF5" w:rsidRPr="00F567DF" w:rsidRDefault="00A61FF5" w:rsidP="00A61FF5">
      <w:pPr>
        <w:pStyle w:val="StyleESBodyTextBoldAfter0pt1"/>
        <w:rPr>
          <w:lang w:val="en-AU"/>
        </w:rPr>
      </w:pPr>
      <w:r w:rsidRPr="00F567DF">
        <w:rPr>
          <w:lang w:val="en-AU"/>
        </w:rPr>
        <w:t>Minister for Families and Children and Minister for Youth Affairs</w:t>
      </w:r>
      <w:r w:rsidRPr="00F567DF">
        <w:rPr>
          <w:lang w:val="en-AU"/>
        </w:rPr>
        <w:br/>
        <w:t>The Hon. Jenny Mikakos MP</w:t>
      </w:r>
    </w:p>
    <w:p w14:paraId="3579486A" w14:textId="43A98581" w:rsidR="00A61FF5" w:rsidRPr="00F567DF" w:rsidRDefault="00A61FF5" w:rsidP="00A61FF5">
      <w:pPr>
        <w:pStyle w:val="ESBodyText"/>
        <w:rPr>
          <w:lang w:val="en-AU"/>
        </w:rPr>
      </w:pPr>
      <w:r w:rsidRPr="00F567DF">
        <w:rPr>
          <w:lang w:val="en-AU"/>
        </w:rPr>
        <w:t>Jenny Mikakos MP is the Minister for Families and Children and the Minister for Youth Affairs.</w:t>
      </w:r>
      <w:r w:rsidR="00655B66">
        <w:rPr>
          <w:lang w:val="en-AU"/>
        </w:rPr>
        <w:t xml:space="preserve"> </w:t>
      </w:r>
      <w:r w:rsidR="00923400">
        <w:rPr>
          <w:lang w:val="en-AU"/>
        </w:rPr>
        <w:t>She</w:t>
      </w:r>
      <w:r w:rsidRPr="00F567DF">
        <w:rPr>
          <w:lang w:val="en-AU"/>
        </w:rPr>
        <w:t xml:space="preserve"> has responsibility for early childhood education and development, including maternal and child health, parenting support services, supported playgroups, kindergarten programs, and early childhood services for children with a disability or developmental delay.</w:t>
      </w:r>
    </w:p>
    <w:p w14:paraId="0F3C9597" w14:textId="77777777" w:rsidR="00655B66" w:rsidRPr="00564192" w:rsidRDefault="00655B66" w:rsidP="00655B66">
      <w:pPr>
        <w:pStyle w:val="ESBodyText"/>
        <w:rPr>
          <w:lang w:val="en-AU"/>
        </w:rPr>
      </w:pPr>
      <w:r w:rsidRPr="00F567DF">
        <w:rPr>
          <w:lang w:val="en-AU"/>
        </w:rPr>
        <w:t xml:space="preserve">Minister Mikakos is committed to ensuring that all children (including the most vulnerable) have a strong start in life—children’s health, education and care before the </w:t>
      </w:r>
      <w:r w:rsidRPr="00564192">
        <w:rPr>
          <w:lang w:val="en-AU"/>
        </w:rPr>
        <w:t>age of five influences their lifelong happiness, wellbeing and success.</w:t>
      </w:r>
    </w:p>
    <w:p w14:paraId="29F62EB0" w14:textId="46A9FB3D" w:rsidR="00A61FF5" w:rsidRPr="00F567DF" w:rsidRDefault="00A61FF5" w:rsidP="00923400">
      <w:pPr>
        <w:pStyle w:val="ESBodyText"/>
        <w:rPr>
          <w:rFonts w:eastAsiaTheme="majorEastAsia" w:cstheme="majorBidi"/>
          <w:color w:val="000000" w:themeColor="text1"/>
          <w:spacing w:val="5"/>
          <w:kern w:val="28"/>
          <w:sz w:val="28"/>
          <w:szCs w:val="20"/>
          <w:lang w:val="en-AU"/>
        </w:rPr>
      </w:pPr>
      <w:r w:rsidRPr="00564192">
        <w:rPr>
          <w:lang w:val="en-AU"/>
        </w:rPr>
        <w:t xml:space="preserve">Her responsibilities in the Families and Children and Youth Affairs portfolios also include a range of services administered by the Department of Health and Human Services </w:t>
      </w:r>
      <w:r w:rsidR="00923400" w:rsidRPr="00564192">
        <w:rPr>
          <w:lang w:val="en-AU"/>
        </w:rPr>
        <w:t>and</w:t>
      </w:r>
      <w:r w:rsidR="00CE0F8C">
        <w:rPr>
          <w:lang w:val="en-AU"/>
        </w:rPr>
        <w:t xml:space="preserve"> the</w:t>
      </w:r>
      <w:r w:rsidR="00923400" w:rsidRPr="00564192">
        <w:rPr>
          <w:lang w:val="en-AU"/>
        </w:rPr>
        <w:t xml:space="preserve"> </w:t>
      </w:r>
      <w:r w:rsidR="000479FE">
        <w:rPr>
          <w:lang w:val="en-AU"/>
        </w:rPr>
        <w:t xml:space="preserve">Department of </w:t>
      </w:r>
      <w:r w:rsidR="00923400" w:rsidRPr="00564192">
        <w:rPr>
          <w:lang w:val="en-AU"/>
        </w:rPr>
        <w:t>Justice and Regulation. As the Minister for these portfolios, Minister Mikakos is focused on ways of assisting vulnerable families and their children to engage with universal platforms such as health and early years education, with the goal of preventing the need for later-life interactions with tertiary services, such as child protection and youth justice</w:t>
      </w:r>
      <w:r w:rsidR="004D6093" w:rsidRPr="00564192">
        <w:rPr>
          <w:lang w:val="en-AU"/>
        </w:rPr>
        <w:t>.</w:t>
      </w:r>
      <w:r w:rsidRPr="00F567DF">
        <w:rPr>
          <w:lang w:val="en-AU"/>
        </w:rPr>
        <w:br w:type="page"/>
      </w:r>
    </w:p>
    <w:p w14:paraId="6469E523" w14:textId="510E2F65" w:rsidR="00A61FF5" w:rsidRPr="00F567DF" w:rsidRDefault="00A61FF5" w:rsidP="00D2232D">
      <w:pPr>
        <w:pStyle w:val="ESHeading2"/>
      </w:pPr>
      <w:bookmarkStart w:id="106" w:name="_Toc488410106"/>
      <w:bookmarkStart w:id="107" w:name="_Toc488767578"/>
      <w:bookmarkStart w:id="108" w:name="_Toc488768990"/>
      <w:bookmarkStart w:id="109" w:name="_Toc489526705"/>
      <w:bookmarkStart w:id="110" w:name="_Toc491070304"/>
      <w:bookmarkStart w:id="111" w:name="_Toc491409530"/>
      <w:bookmarkStart w:id="112" w:name="_Toc491414659"/>
      <w:r w:rsidRPr="00F567DF">
        <w:t>The Department’s senior executives</w:t>
      </w:r>
      <w:bookmarkEnd w:id="106"/>
      <w:bookmarkEnd w:id="107"/>
      <w:bookmarkEnd w:id="108"/>
      <w:bookmarkEnd w:id="109"/>
      <w:bookmarkEnd w:id="110"/>
      <w:bookmarkEnd w:id="111"/>
      <w:bookmarkEnd w:id="112"/>
    </w:p>
    <w:p w14:paraId="4D884954" w14:textId="77777777" w:rsidR="00A61FF5" w:rsidRPr="00F567DF" w:rsidRDefault="00A61FF5" w:rsidP="00A61FF5">
      <w:pPr>
        <w:pStyle w:val="StyleESBodyTextBoldAfter0pt1"/>
        <w:rPr>
          <w:lang w:val="en-AU"/>
        </w:rPr>
      </w:pPr>
      <w:r w:rsidRPr="00F567DF">
        <w:rPr>
          <w:lang w:val="en-AU"/>
        </w:rPr>
        <w:t>Secretary</w:t>
      </w:r>
      <w:r w:rsidRPr="00F567DF">
        <w:rPr>
          <w:lang w:val="en-AU"/>
        </w:rPr>
        <w:br/>
      </w:r>
      <w:r w:rsidRPr="00F567DF">
        <w:rPr>
          <w:rFonts w:eastAsiaTheme="minorHAnsi"/>
          <w:lang w:val="en-AU"/>
        </w:rPr>
        <w:t>Ms Gill Callister</w:t>
      </w:r>
    </w:p>
    <w:p w14:paraId="0071FEA6" w14:textId="77777777" w:rsidR="00A61FF5" w:rsidRPr="00F567DF" w:rsidRDefault="00A61FF5" w:rsidP="00A61FF5">
      <w:pPr>
        <w:pStyle w:val="ESBodyText"/>
        <w:rPr>
          <w:rFonts w:eastAsiaTheme="minorHAnsi"/>
          <w:lang w:val="en-AU"/>
        </w:rPr>
      </w:pPr>
      <w:r w:rsidRPr="00F567DF">
        <w:rPr>
          <w:rFonts w:eastAsiaTheme="minorHAnsi"/>
          <w:lang w:val="en-AU"/>
        </w:rPr>
        <w:t>Since January 2015, Gill has been Secretary of the Department of Education and Training.</w:t>
      </w:r>
    </w:p>
    <w:p w14:paraId="3042E5B2" w14:textId="77777777" w:rsidR="00A61FF5" w:rsidRPr="00F567DF" w:rsidRDefault="00A61FF5" w:rsidP="00A61FF5">
      <w:pPr>
        <w:pStyle w:val="ESBodyText"/>
        <w:rPr>
          <w:rFonts w:eastAsiaTheme="minorHAnsi"/>
          <w:lang w:val="en-AU"/>
        </w:rPr>
      </w:pPr>
      <w:r w:rsidRPr="00F567DF">
        <w:rPr>
          <w:rFonts w:eastAsiaTheme="minorHAnsi"/>
          <w:lang w:val="en-AU"/>
        </w:rPr>
        <w:t>Prior to joining the Department, Gill was Secretary of the Victorian Department of Human Services (2009–14) where she oversaw significant policy, legislative and service delivery reform. In this role, Gill led an organisation of more than 11,000 staff with an annual budget of approximately $4 billion. She was responsible for the delivery of child protection, disability, youth, housing and family violence services.</w:t>
      </w:r>
    </w:p>
    <w:p w14:paraId="1172AAC5" w14:textId="77777777" w:rsidR="00A61FF5" w:rsidRPr="00F567DF" w:rsidRDefault="00A61FF5" w:rsidP="00A61FF5">
      <w:pPr>
        <w:pStyle w:val="ESBodyText"/>
        <w:rPr>
          <w:rFonts w:eastAsiaTheme="minorHAnsi"/>
          <w:lang w:val="en-AU"/>
        </w:rPr>
      </w:pPr>
      <w:r w:rsidRPr="00F567DF">
        <w:rPr>
          <w:rFonts w:eastAsiaTheme="minorHAnsi"/>
          <w:lang w:val="en-AU"/>
        </w:rPr>
        <w:t>Gill began her career in the community sector serving disadvantaged Victorians. She then led the child protection, family services and mental health units within the Department of Human Services and, in 2009, was Deputy Secretary at Skills Victoria.</w:t>
      </w:r>
    </w:p>
    <w:p w14:paraId="770E0305" w14:textId="5C5FB2E1" w:rsidR="00A61FF5" w:rsidRPr="00F567DF" w:rsidRDefault="00A61FF5" w:rsidP="00A61FF5">
      <w:pPr>
        <w:pStyle w:val="ESBodyText"/>
        <w:rPr>
          <w:rFonts w:eastAsiaTheme="minorHAnsi"/>
          <w:lang w:val="en-AU"/>
        </w:rPr>
      </w:pPr>
      <w:r w:rsidRPr="00F567DF">
        <w:rPr>
          <w:rFonts w:eastAsiaTheme="minorHAnsi"/>
          <w:lang w:val="en-AU"/>
        </w:rPr>
        <w:t>Gill is President of the Institute of Public Administration A</w:t>
      </w:r>
      <w:r w:rsidR="00564192">
        <w:rPr>
          <w:rFonts w:eastAsiaTheme="minorHAnsi"/>
          <w:lang w:val="en-AU"/>
        </w:rPr>
        <w:t>ustralia (Victoria). In October </w:t>
      </w:r>
      <w:r w:rsidRPr="00F567DF">
        <w:rPr>
          <w:rFonts w:eastAsiaTheme="minorHAnsi"/>
          <w:lang w:val="en-AU"/>
        </w:rPr>
        <w:t>2014, Gill was awarded the Institute of Public Administration Australia National Fellowship award and a Monash University Fellowship.</w:t>
      </w:r>
    </w:p>
    <w:p w14:paraId="6F96C8E4" w14:textId="77777777" w:rsidR="00A61FF5" w:rsidRPr="00F567DF" w:rsidRDefault="00A61FF5" w:rsidP="00A61FF5">
      <w:pPr>
        <w:pStyle w:val="ESBodyText"/>
        <w:rPr>
          <w:rFonts w:eastAsiaTheme="minorHAnsi"/>
          <w:lang w:val="en-AU"/>
        </w:rPr>
      </w:pPr>
      <w:r w:rsidRPr="00F567DF">
        <w:rPr>
          <w:rFonts w:eastAsiaTheme="minorHAnsi"/>
          <w:lang w:val="en-AU"/>
        </w:rPr>
        <w:t>Gill holds Bachelor degrees in Social Work (with Honours) and a Bachelor of Arts.</w:t>
      </w:r>
    </w:p>
    <w:p w14:paraId="06A5D4FB" w14:textId="77777777" w:rsidR="00A61FF5" w:rsidRPr="00F567DF" w:rsidRDefault="00A61FF5" w:rsidP="00A61FF5">
      <w:pPr>
        <w:pStyle w:val="StyleESBodyTextBoldAfter0pt1"/>
        <w:rPr>
          <w:rFonts w:eastAsiaTheme="minorHAnsi"/>
          <w:lang w:val="en-AU"/>
        </w:rPr>
      </w:pPr>
      <w:r w:rsidRPr="00F567DF">
        <w:rPr>
          <w:rFonts w:eastAsiaTheme="minorHAnsi"/>
          <w:lang w:val="en-AU"/>
        </w:rPr>
        <w:t>Deputy Secretary, Early Childhood and School Education Group</w:t>
      </w:r>
      <w:r w:rsidRPr="00F567DF">
        <w:rPr>
          <w:rFonts w:eastAsiaTheme="minorHAnsi"/>
          <w:lang w:val="en-AU"/>
        </w:rPr>
        <w:br/>
        <w:t>Ms Katy Haire</w:t>
      </w:r>
    </w:p>
    <w:p w14:paraId="22E8684B" w14:textId="77777777" w:rsidR="00A61FF5" w:rsidRPr="00F567DF" w:rsidRDefault="00A61FF5" w:rsidP="00A61FF5">
      <w:pPr>
        <w:pStyle w:val="ESBodyText"/>
        <w:rPr>
          <w:rFonts w:eastAsiaTheme="minorHAnsi"/>
          <w:lang w:val="en-AU"/>
        </w:rPr>
      </w:pPr>
      <w:r w:rsidRPr="00F567DF">
        <w:rPr>
          <w:rFonts w:eastAsiaTheme="minorHAnsi"/>
          <w:lang w:val="en-AU"/>
        </w:rPr>
        <w:t>Since September 2015, Katy Haire has been Deputy Secretary of the Early Childhood and School Education Group (ECSEG).</w:t>
      </w:r>
    </w:p>
    <w:p w14:paraId="48F5C72F" w14:textId="77777777" w:rsidR="00A61FF5" w:rsidRPr="00F567DF" w:rsidRDefault="00A61FF5" w:rsidP="00A61FF5">
      <w:pPr>
        <w:pStyle w:val="ESBodyText"/>
        <w:rPr>
          <w:rFonts w:eastAsiaTheme="minorHAnsi"/>
          <w:lang w:val="en-AU"/>
        </w:rPr>
      </w:pPr>
      <w:r w:rsidRPr="00F567DF">
        <w:rPr>
          <w:rFonts w:eastAsiaTheme="minorHAnsi"/>
          <w:lang w:val="en-AU"/>
        </w:rPr>
        <w:t>The Deputy Secretary ECSEG is responsible for designing a learning, development, wellbeing and child health system that delivers improved outcomes for all children and young people from birth to 18 years of age, and their families, without exception.</w:t>
      </w:r>
    </w:p>
    <w:p w14:paraId="17E729EC" w14:textId="77777777" w:rsidR="00A61FF5" w:rsidRPr="00F567DF" w:rsidRDefault="00A61FF5" w:rsidP="00A61FF5">
      <w:pPr>
        <w:pStyle w:val="ESBodyText"/>
        <w:rPr>
          <w:rFonts w:eastAsiaTheme="minorHAnsi"/>
          <w:lang w:val="en-AU"/>
        </w:rPr>
      </w:pPr>
      <w:r w:rsidRPr="00F567DF">
        <w:rPr>
          <w:rFonts w:eastAsiaTheme="minorHAnsi"/>
          <w:lang w:val="en-AU"/>
        </w:rPr>
        <w:t>Prior to joining the Department, Katy held a range of senior management and executive roles within the Victorian public sector, including Deputy Secretary of Service Design and Operations at the Department of Health and Human Services, and as Director of Social Policy at the Department of Premier and Cabinet (DPC).</w:t>
      </w:r>
    </w:p>
    <w:p w14:paraId="4D1C8DEC" w14:textId="77777777" w:rsidR="00A9593E" w:rsidRPr="00F567DF" w:rsidRDefault="00A61FF5" w:rsidP="00A61FF5">
      <w:pPr>
        <w:pStyle w:val="ESBodyText"/>
        <w:rPr>
          <w:rFonts w:eastAsiaTheme="minorHAnsi"/>
          <w:lang w:val="en-AU"/>
        </w:rPr>
      </w:pPr>
      <w:r w:rsidRPr="00F567DF">
        <w:rPr>
          <w:rFonts w:eastAsiaTheme="minorHAnsi"/>
          <w:lang w:val="en-AU"/>
        </w:rPr>
        <w:t>Katy holds a Graduate Diploma of Education (Secondary) from Monash University, a Bachelor of Arts (with Honours) in political science and history, and a Master of Arts in the history of education from the University of Melbourne. She also holds an Executive Master of Public Administration from the University of Melbourne and is a Senior Executive Fellow of the Harvard Kennedy School, and Graduate of the Australian Institute of Company Directors.</w:t>
      </w:r>
    </w:p>
    <w:p w14:paraId="244DD659" w14:textId="2D08FE9D" w:rsidR="00A61FF5" w:rsidRPr="00F567DF" w:rsidRDefault="00A61FF5" w:rsidP="00A61FF5">
      <w:pPr>
        <w:pStyle w:val="StyleESBodyTextBoldAfter0pt1"/>
        <w:rPr>
          <w:rFonts w:eastAsiaTheme="minorHAnsi"/>
          <w:lang w:val="en-AU"/>
        </w:rPr>
      </w:pPr>
      <w:r w:rsidRPr="00F567DF">
        <w:rPr>
          <w:rFonts w:eastAsiaTheme="minorHAnsi"/>
          <w:lang w:val="en-AU"/>
        </w:rPr>
        <w:t>Deputy Secretary, Higher Education and Skills Group</w:t>
      </w:r>
      <w:r w:rsidRPr="00F567DF">
        <w:rPr>
          <w:rFonts w:eastAsiaTheme="minorHAnsi"/>
          <w:lang w:val="en-AU"/>
        </w:rPr>
        <w:br/>
        <w:t>Mr David Latina</w:t>
      </w:r>
    </w:p>
    <w:p w14:paraId="5924EAF3" w14:textId="77777777" w:rsidR="00A61FF5" w:rsidRPr="00F567DF" w:rsidRDefault="00A61FF5" w:rsidP="00A61FF5">
      <w:pPr>
        <w:pStyle w:val="ESBodyText"/>
        <w:rPr>
          <w:rFonts w:eastAsiaTheme="minorHAnsi"/>
          <w:lang w:val="en-AU"/>
        </w:rPr>
      </w:pPr>
      <w:r w:rsidRPr="00F567DF">
        <w:rPr>
          <w:rFonts w:eastAsiaTheme="minorHAnsi"/>
          <w:lang w:val="en-AU"/>
        </w:rPr>
        <w:t>In June 2017, David Latina was appointed the Deputy Secretary, Higher Education and Skills Group (HESG).</w:t>
      </w:r>
    </w:p>
    <w:p w14:paraId="78564537" w14:textId="77777777" w:rsidR="00A61FF5" w:rsidRPr="00F567DF" w:rsidRDefault="00A61FF5" w:rsidP="00A61FF5">
      <w:pPr>
        <w:pStyle w:val="ESBodyText"/>
        <w:rPr>
          <w:rFonts w:eastAsiaTheme="minorHAnsi"/>
          <w:lang w:val="en-AU"/>
        </w:rPr>
      </w:pPr>
      <w:r w:rsidRPr="00F567DF">
        <w:rPr>
          <w:rFonts w:eastAsiaTheme="minorHAnsi"/>
          <w:lang w:val="en-AU"/>
        </w:rPr>
        <w:t>The Deputy Secretary HESG is responsible for Victorian Government policy and funding for tertiary education in Victoria, particularly for Vocational Education and Training, including TAFEs and Learn Local Organisations (as community providers).</w:t>
      </w:r>
    </w:p>
    <w:p w14:paraId="20AA4020" w14:textId="77777777" w:rsidR="00A61FF5" w:rsidRPr="00F567DF" w:rsidRDefault="00A61FF5" w:rsidP="00A61FF5">
      <w:pPr>
        <w:pStyle w:val="ESBodyText"/>
        <w:rPr>
          <w:rFonts w:eastAsiaTheme="minorHAnsi"/>
          <w:lang w:val="en-AU"/>
        </w:rPr>
      </w:pPr>
      <w:r w:rsidRPr="00F567DF">
        <w:rPr>
          <w:rFonts w:eastAsiaTheme="minorHAnsi"/>
          <w:lang w:val="en-AU"/>
        </w:rPr>
        <w:t>David joined the Department following a three-year period in DPC, where he held the position of Executive Director, Economic Development and International, with responsibility for economic and industry development and Victoria’s international engagement strategies.</w:t>
      </w:r>
    </w:p>
    <w:p w14:paraId="3E6AC9E4" w14:textId="77777777" w:rsidR="00A61FF5" w:rsidRPr="00F567DF" w:rsidRDefault="00A61FF5" w:rsidP="00A61FF5">
      <w:pPr>
        <w:pStyle w:val="ESBodyText"/>
        <w:rPr>
          <w:rFonts w:eastAsiaTheme="minorHAnsi"/>
          <w:lang w:val="en-AU"/>
        </w:rPr>
      </w:pPr>
      <w:r w:rsidRPr="00F567DF">
        <w:rPr>
          <w:rFonts w:eastAsiaTheme="minorHAnsi"/>
          <w:lang w:val="en-AU"/>
        </w:rPr>
        <w:t>David brings a commercial perspective to the public sector, drawing upon his recent experience as a director at the Melbourne office of the professional services firm Deloitte. David previously held a range of senior executive roles over 15 years in the Victorian Department of Economic Development, including in the areas of business engagement and industry development, regulation reform, and Small Business Victoria.</w:t>
      </w:r>
    </w:p>
    <w:p w14:paraId="21D0077F" w14:textId="77777777" w:rsidR="00A61FF5" w:rsidRPr="00F567DF" w:rsidRDefault="00A61FF5" w:rsidP="00A61FF5">
      <w:pPr>
        <w:pStyle w:val="ESBodyText"/>
        <w:rPr>
          <w:rFonts w:eastAsiaTheme="minorHAnsi"/>
          <w:lang w:val="en-AU"/>
        </w:rPr>
      </w:pPr>
      <w:r w:rsidRPr="00F567DF">
        <w:rPr>
          <w:rFonts w:eastAsiaTheme="minorHAnsi"/>
          <w:lang w:val="en-AU"/>
        </w:rPr>
        <w:t>Earlier in David’s career he worked as a senior economic adviser in the Australian Government's Department of Finance.</w:t>
      </w:r>
    </w:p>
    <w:p w14:paraId="44BC5A8B" w14:textId="77777777" w:rsidR="00A61FF5" w:rsidRPr="00F567DF" w:rsidRDefault="00A61FF5" w:rsidP="00A61FF5">
      <w:pPr>
        <w:pStyle w:val="ESBodyText"/>
        <w:rPr>
          <w:rFonts w:eastAsiaTheme="minorHAnsi"/>
          <w:lang w:val="en-AU"/>
        </w:rPr>
      </w:pPr>
      <w:r w:rsidRPr="00F567DF">
        <w:rPr>
          <w:rFonts w:eastAsiaTheme="minorHAnsi"/>
          <w:lang w:val="en-AU"/>
        </w:rPr>
        <w:t>David has degrees in Commerce (with Honours) and Arts from the University of Melbourne.</w:t>
      </w:r>
    </w:p>
    <w:p w14:paraId="08EA644F" w14:textId="77777777" w:rsidR="00A61FF5" w:rsidRPr="00F567DF" w:rsidRDefault="00A61FF5" w:rsidP="00A61FF5">
      <w:pPr>
        <w:pStyle w:val="ESBodyText"/>
        <w:rPr>
          <w:rFonts w:eastAsiaTheme="minorHAnsi"/>
          <w:lang w:val="en-AU"/>
        </w:rPr>
      </w:pPr>
      <w:r w:rsidRPr="00F567DF">
        <w:rPr>
          <w:rFonts w:eastAsiaTheme="minorHAnsi"/>
          <w:lang w:val="en-AU"/>
        </w:rPr>
        <w:t>Craig Robertson held the position of Deputy Secretary, HESG between July 2015 and 24 February 2017.</w:t>
      </w:r>
    </w:p>
    <w:p w14:paraId="2316EE10" w14:textId="77777777" w:rsidR="00A61FF5" w:rsidRPr="00F567DF" w:rsidRDefault="00A61FF5" w:rsidP="00A61FF5">
      <w:pPr>
        <w:pStyle w:val="ESBodyText"/>
        <w:rPr>
          <w:rFonts w:eastAsiaTheme="minorHAnsi"/>
          <w:lang w:val="en-AU"/>
        </w:rPr>
      </w:pPr>
      <w:r w:rsidRPr="00F567DF">
        <w:rPr>
          <w:rFonts w:eastAsiaTheme="minorHAnsi"/>
          <w:lang w:val="en-AU"/>
        </w:rPr>
        <w:t>Lee Watts held the position of Acting Deputy Secretary, HESG between 28 February and 23 June 2017.</w:t>
      </w:r>
    </w:p>
    <w:p w14:paraId="41B79A9A" w14:textId="77777777" w:rsidR="00A61FF5" w:rsidRPr="00F567DF" w:rsidRDefault="00A61FF5" w:rsidP="00A61FF5">
      <w:pPr>
        <w:pStyle w:val="StyleESBodyTextBoldAfter0pt1"/>
        <w:rPr>
          <w:rFonts w:eastAsiaTheme="minorHAnsi"/>
          <w:lang w:val="en-AU"/>
        </w:rPr>
      </w:pPr>
      <w:r w:rsidRPr="00F567DF">
        <w:rPr>
          <w:rFonts w:eastAsiaTheme="minorHAnsi"/>
          <w:lang w:val="en-AU"/>
        </w:rPr>
        <w:t>Deputy Secretary, Infrastructure and Finance Services Group</w:t>
      </w:r>
      <w:r w:rsidRPr="00F567DF">
        <w:rPr>
          <w:rFonts w:eastAsiaTheme="minorHAnsi"/>
          <w:lang w:val="en-AU"/>
        </w:rPr>
        <w:br/>
        <w:t>Ms Jenny Atta</w:t>
      </w:r>
    </w:p>
    <w:p w14:paraId="3BB2E807" w14:textId="77777777" w:rsidR="00A61FF5" w:rsidRPr="00F567DF" w:rsidRDefault="00A61FF5" w:rsidP="00A61FF5">
      <w:pPr>
        <w:pStyle w:val="ESBodyText"/>
        <w:rPr>
          <w:rFonts w:eastAsiaTheme="minorHAnsi"/>
          <w:lang w:val="en-AU"/>
        </w:rPr>
      </w:pPr>
      <w:r w:rsidRPr="00F567DF">
        <w:rPr>
          <w:rFonts w:eastAsiaTheme="minorHAnsi"/>
          <w:lang w:val="en-AU"/>
        </w:rPr>
        <w:t>In December 2015, Jenny Atta commenced as Deputy Secretary, Infrastructure and Finance Services Group (IFSG).</w:t>
      </w:r>
    </w:p>
    <w:p w14:paraId="597C2577" w14:textId="77777777" w:rsidR="00A61FF5" w:rsidRPr="00F567DF" w:rsidRDefault="00A61FF5" w:rsidP="00A61FF5">
      <w:pPr>
        <w:pStyle w:val="ESBodyText"/>
        <w:rPr>
          <w:rFonts w:eastAsiaTheme="minorHAnsi"/>
          <w:lang w:val="en-AU"/>
        </w:rPr>
      </w:pPr>
      <w:r w:rsidRPr="00F567DF">
        <w:rPr>
          <w:rFonts w:eastAsiaTheme="minorHAnsi"/>
          <w:lang w:val="en-AU"/>
        </w:rPr>
        <w:t>As Deputy Secretary, Jenny is responsible for the management and oversight of the Department’s financial, procurement and information technology services, along with strategic advice and planning for state budget processes, and infrastructure policy and delivery across the education and training portfolio.</w:t>
      </w:r>
    </w:p>
    <w:p w14:paraId="780F3528" w14:textId="77777777" w:rsidR="00A9593E" w:rsidRPr="00F567DF" w:rsidRDefault="00A61FF5" w:rsidP="00A61FF5">
      <w:pPr>
        <w:pStyle w:val="ESBodyText"/>
        <w:rPr>
          <w:rFonts w:eastAsiaTheme="minorHAnsi"/>
          <w:lang w:val="en-AU"/>
        </w:rPr>
      </w:pPr>
      <w:r w:rsidRPr="00F567DF">
        <w:rPr>
          <w:rFonts w:eastAsiaTheme="minorHAnsi"/>
          <w:lang w:val="en-AU"/>
        </w:rPr>
        <w:t>Jenny has many years’ experience in senior public service leadership roles, notably at the Department of Treasury and Finance where she led the portfolio analysis function within Budget and Finance. Jenny previously worked with the former Department of Human Services in a range of strategic policy and project management roles, and with the Victorian Auditor General’s Office.</w:t>
      </w:r>
    </w:p>
    <w:p w14:paraId="08F618D5" w14:textId="5B7D7C1C" w:rsidR="00A61FF5" w:rsidRPr="00F567DF" w:rsidRDefault="00A61FF5" w:rsidP="00A61FF5">
      <w:pPr>
        <w:pStyle w:val="ESBodyText"/>
        <w:rPr>
          <w:rFonts w:eastAsiaTheme="minorHAnsi"/>
          <w:lang w:val="en-AU"/>
        </w:rPr>
      </w:pPr>
      <w:r w:rsidRPr="00F567DF">
        <w:rPr>
          <w:rFonts w:eastAsiaTheme="minorHAnsi"/>
          <w:lang w:val="en-AU"/>
        </w:rPr>
        <w:t>Jenny holds a Bachelor degree in Applied Science and a Masters of Public Policy from the University of Melbourne.</w:t>
      </w:r>
    </w:p>
    <w:p w14:paraId="64236B62" w14:textId="77777777" w:rsidR="00A61FF5" w:rsidRPr="00F567DF" w:rsidRDefault="00A61FF5" w:rsidP="00A61FF5">
      <w:pPr>
        <w:pStyle w:val="StyleESBodyTextBoldAfter0pt1"/>
        <w:rPr>
          <w:rFonts w:eastAsiaTheme="minorHAnsi"/>
          <w:lang w:val="en-AU"/>
        </w:rPr>
      </w:pPr>
      <w:r w:rsidRPr="00F567DF">
        <w:rPr>
          <w:rFonts w:eastAsiaTheme="minorHAnsi"/>
          <w:lang w:val="en-AU"/>
        </w:rPr>
        <w:t>Deputy Secretary, People and Executive Services Group</w:t>
      </w:r>
      <w:r w:rsidRPr="00F567DF">
        <w:rPr>
          <w:rFonts w:eastAsiaTheme="minorHAnsi"/>
          <w:lang w:val="en-AU"/>
        </w:rPr>
        <w:br/>
        <w:t>Ms Kate Rattigan</w:t>
      </w:r>
    </w:p>
    <w:p w14:paraId="3DDB7DCC" w14:textId="77777777" w:rsidR="00A61FF5" w:rsidRPr="00F567DF" w:rsidRDefault="00A61FF5" w:rsidP="00A61FF5">
      <w:pPr>
        <w:pStyle w:val="ESBodyText"/>
        <w:rPr>
          <w:rFonts w:eastAsiaTheme="minorHAnsi"/>
          <w:lang w:val="en-AU"/>
        </w:rPr>
      </w:pPr>
      <w:r w:rsidRPr="00F567DF">
        <w:rPr>
          <w:rFonts w:eastAsiaTheme="minorHAnsi"/>
          <w:lang w:val="en-AU"/>
        </w:rPr>
        <w:t>In June 2016, Kate Rattigan was appointed Deputy Secretary, People and Executive Services Group (PESG) after acting in the role since October 2015.</w:t>
      </w:r>
    </w:p>
    <w:p w14:paraId="2875C3DE" w14:textId="1F17DDFC" w:rsidR="00A61FF5" w:rsidRPr="00F567DF" w:rsidRDefault="00A61FF5" w:rsidP="00A61FF5">
      <w:pPr>
        <w:pStyle w:val="ESBodyText"/>
        <w:rPr>
          <w:rFonts w:eastAsiaTheme="minorHAnsi"/>
          <w:lang w:val="en-AU"/>
        </w:rPr>
      </w:pPr>
      <w:r w:rsidRPr="00F567DF">
        <w:rPr>
          <w:rFonts w:eastAsiaTheme="minorHAnsi"/>
          <w:lang w:val="en-AU"/>
        </w:rPr>
        <w:t xml:space="preserve">As Deputy Secretary, Kate drives a complex agenda encompassing legal services, human resources, people and culture, </w:t>
      </w:r>
      <w:r w:rsidR="001E580A">
        <w:rPr>
          <w:rFonts w:eastAsiaTheme="minorHAnsi"/>
          <w:lang w:val="en-AU"/>
        </w:rPr>
        <w:t>workplace safety</w:t>
      </w:r>
      <w:r w:rsidRPr="00F567DF">
        <w:rPr>
          <w:rFonts w:eastAsiaTheme="minorHAnsi"/>
          <w:lang w:val="en-AU"/>
        </w:rPr>
        <w:t xml:space="preserve">, communications and media, change strategy, integrity reform, cabinet, ministerial support, executive services, knowledge and records management, information strategy, </w:t>
      </w:r>
      <w:r w:rsidR="001E580A">
        <w:rPr>
          <w:rFonts w:eastAsiaTheme="minorHAnsi"/>
          <w:lang w:val="en-AU"/>
        </w:rPr>
        <w:t xml:space="preserve">freedom of information, </w:t>
      </w:r>
      <w:r w:rsidRPr="00F567DF">
        <w:rPr>
          <w:rFonts w:eastAsiaTheme="minorHAnsi"/>
          <w:lang w:val="en-AU"/>
        </w:rPr>
        <w:t>privacy, and audit and assurance.</w:t>
      </w:r>
    </w:p>
    <w:p w14:paraId="48E7DD6F" w14:textId="77777777" w:rsidR="00A61FF5" w:rsidRPr="00F567DF" w:rsidRDefault="00A61FF5" w:rsidP="00A61FF5">
      <w:pPr>
        <w:pStyle w:val="ESBodyText"/>
        <w:rPr>
          <w:rFonts w:eastAsiaTheme="minorHAnsi"/>
          <w:lang w:val="en-AU"/>
        </w:rPr>
      </w:pPr>
      <w:r w:rsidRPr="00F567DF">
        <w:rPr>
          <w:rFonts w:eastAsiaTheme="minorHAnsi"/>
          <w:lang w:val="en-AU"/>
        </w:rPr>
        <w:t>Kate has worked at the Department in various capacities providing strategic oversight over matters including specialist and technical advice to ministers, the Secretary, executives, managers, regional directors, school principals and school councils.</w:t>
      </w:r>
    </w:p>
    <w:p w14:paraId="0226D79A" w14:textId="61AEC968" w:rsidR="00A61FF5" w:rsidRPr="00F567DF" w:rsidRDefault="00564192" w:rsidP="00A61FF5">
      <w:pPr>
        <w:pStyle w:val="ESBodyText"/>
        <w:rPr>
          <w:rFonts w:eastAsiaTheme="minorHAnsi"/>
          <w:lang w:val="en-AU"/>
        </w:rPr>
      </w:pPr>
      <w:r>
        <w:rPr>
          <w:rFonts w:eastAsiaTheme="minorHAnsi"/>
          <w:lang w:val="en-AU"/>
        </w:rPr>
        <w:t>Kate holds a Bachelor of Law</w:t>
      </w:r>
      <w:r w:rsidR="00A61FF5" w:rsidRPr="00F567DF">
        <w:rPr>
          <w:rFonts w:eastAsiaTheme="minorHAnsi"/>
          <w:lang w:val="en-AU"/>
        </w:rPr>
        <w:t xml:space="preserve"> (with Honours), Bachelor of Arts and a Masters in Employment and Labour Relations Law, each from the University of Melbourne.</w:t>
      </w:r>
    </w:p>
    <w:p w14:paraId="2729CE1E" w14:textId="77777777" w:rsidR="00A61FF5" w:rsidRPr="00F567DF" w:rsidRDefault="00A61FF5" w:rsidP="00A61FF5">
      <w:pPr>
        <w:pStyle w:val="StyleESBodyTextBoldAfter0pt1"/>
        <w:rPr>
          <w:rFonts w:eastAsiaTheme="minorHAnsi"/>
          <w:lang w:val="en-AU"/>
        </w:rPr>
      </w:pPr>
      <w:r w:rsidRPr="00F567DF">
        <w:rPr>
          <w:rFonts w:eastAsiaTheme="minorHAnsi"/>
          <w:lang w:val="en-AU"/>
        </w:rPr>
        <w:t>Deputy Secretary, Policy Reform Group</w:t>
      </w:r>
      <w:r w:rsidRPr="00F567DF">
        <w:rPr>
          <w:rFonts w:eastAsiaTheme="minorHAnsi"/>
          <w:lang w:val="en-AU"/>
        </w:rPr>
        <w:br/>
        <w:t>Mr Simon Kent</w:t>
      </w:r>
    </w:p>
    <w:p w14:paraId="09D51DF6" w14:textId="77777777" w:rsidR="00A61FF5" w:rsidRPr="00F567DF" w:rsidRDefault="00A61FF5" w:rsidP="00A61FF5">
      <w:pPr>
        <w:pStyle w:val="ESBodyText"/>
        <w:rPr>
          <w:rFonts w:eastAsiaTheme="minorHAnsi"/>
          <w:lang w:val="en-AU"/>
        </w:rPr>
      </w:pPr>
      <w:r w:rsidRPr="00F567DF">
        <w:rPr>
          <w:rFonts w:eastAsiaTheme="minorHAnsi"/>
          <w:lang w:val="en-AU"/>
        </w:rPr>
        <w:t>Simon Kent joined the Department in April 2013 from DPC, where he was the Director of the Social Policy Branch.</w:t>
      </w:r>
    </w:p>
    <w:p w14:paraId="4FEB0E4E" w14:textId="77777777" w:rsidR="00A61FF5" w:rsidRPr="00F567DF" w:rsidRDefault="00A61FF5" w:rsidP="00A61FF5">
      <w:pPr>
        <w:pStyle w:val="ESBodyText"/>
        <w:rPr>
          <w:rFonts w:eastAsiaTheme="minorHAnsi"/>
          <w:lang w:val="en-AU"/>
        </w:rPr>
      </w:pPr>
      <w:r w:rsidRPr="00F567DF">
        <w:rPr>
          <w:rFonts w:eastAsiaTheme="minorHAnsi"/>
          <w:lang w:val="en-AU"/>
        </w:rPr>
        <w:t>As Deputy Secretary, Policy Reform Group (PRG), Simon is responsible for providing policy leadership for the Department through the development of the future direction for education including early childhood education, and providing advice on system-wide trends and leading cross</w:t>
      </w:r>
      <w:r w:rsidRPr="00F567DF">
        <w:rPr>
          <w:rFonts w:eastAsiaTheme="minorHAnsi"/>
          <w:lang w:val="en-AU"/>
        </w:rPr>
        <w:noBreakHyphen/>
        <w:t>sector reforms.</w:t>
      </w:r>
    </w:p>
    <w:p w14:paraId="0790990F" w14:textId="478D82AB" w:rsidR="00A61FF5" w:rsidRPr="00F567DF" w:rsidRDefault="00A61FF5" w:rsidP="00A61FF5">
      <w:pPr>
        <w:pStyle w:val="ESBodyText"/>
        <w:rPr>
          <w:rFonts w:eastAsiaTheme="minorHAnsi"/>
          <w:lang w:val="en-AU"/>
        </w:rPr>
      </w:pPr>
      <w:r w:rsidRPr="00F567DF">
        <w:rPr>
          <w:rFonts w:eastAsiaTheme="minorHAnsi"/>
          <w:lang w:val="en-AU"/>
        </w:rPr>
        <w:t>Simon has extensive experience in policy</w:t>
      </w:r>
      <w:r w:rsidR="00564192">
        <w:rPr>
          <w:rFonts w:eastAsiaTheme="minorHAnsi"/>
          <w:lang w:val="en-AU"/>
        </w:rPr>
        <w:noBreakHyphen/>
      </w:r>
      <w:r w:rsidRPr="00F567DF">
        <w:rPr>
          <w:rFonts w:eastAsiaTheme="minorHAnsi"/>
          <w:lang w:val="en-AU"/>
        </w:rPr>
        <w:t>making across the education, human services, health, and justice portfolios. Simon has developed public policy in complex and contested interdepartmental and intergovernmental contexts. He develops policy using multi-disciplinary analysis, by drawing links across sectors and by drawing on analogous experiences.</w:t>
      </w:r>
    </w:p>
    <w:p w14:paraId="514C9C4E" w14:textId="77777777" w:rsidR="00A61FF5" w:rsidRPr="00F567DF" w:rsidRDefault="00A61FF5" w:rsidP="00A61FF5">
      <w:pPr>
        <w:pStyle w:val="ESBodyText"/>
        <w:rPr>
          <w:rFonts w:eastAsiaTheme="minorHAnsi"/>
          <w:lang w:val="en-AU"/>
        </w:rPr>
      </w:pPr>
      <w:r w:rsidRPr="00F567DF">
        <w:rPr>
          <w:rFonts w:eastAsiaTheme="minorHAnsi"/>
          <w:lang w:val="en-AU"/>
        </w:rPr>
        <w:t>Simon began his career in higher education advocacy and political advisory roles. His work during eight years at DPC included the reform of vocational education and early childhood development.</w:t>
      </w:r>
    </w:p>
    <w:p w14:paraId="03153D99" w14:textId="77777777" w:rsidR="00A61FF5" w:rsidRPr="00F567DF" w:rsidRDefault="00A61FF5" w:rsidP="00A61FF5">
      <w:pPr>
        <w:pStyle w:val="ESBodyText"/>
        <w:rPr>
          <w:rFonts w:eastAsiaTheme="minorHAnsi"/>
          <w:lang w:val="en-AU"/>
        </w:rPr>
      </w:pPr>
      <w:r w:rsidRPr="00F567DF">
        <w:rPr>
          <w:rFonts w:eastAsiaTheme="minorHAnsi"/>
          <w:lang w:val="en-AU"/>
        </w:rPr>
        <w:t>Simon holds a Bachelor of Arts and a Master of Public Administration from the University of Melbourne.</w:t>
      </w:r>
    </w:p>
    <w:p w14:paraId="48A485C6" w14:textId="77777777" w:rsidR="00A9593E" w:rsidRPr="00F567DF" w:rsidRDefault="00A61FF5" w:rsidP="00A61FF5">
      <w:pPr>
        <w:pStyle w:val="ESBodyText"/>
        <w:rPr>
          <w:rFonts w:eastAsiaTheme="minorHAnsi"/>
          <w:lang w:val="en-AU"/>
        </w:rPr>
      </w:pPr>
      <w:r w:rsidRPr="00F567DF">
        <w:rPr>
          <w:rFonts w:eastAsiaTheme="minorHAnsi"/>
          <w:lang w:val="en-AU"/>
        </w:rPr>
        <w:t>Andrew Nipe held the position of Acting Deputy Secretary, PRG between 15 May 2017 and 30 June 2017.</w:t>
      </w:r>
    </w:p>
    <w:p w14:paraId="01E0AA74" w14:textId="5026529E" w:rsidR="00A9593E" w:rsidRPr="00F567DF" w:rsidRDefault="00A61FF5" w:rsidP="00A61FF5">
      <w:pPr>
        <w:pStyle w:val="ESBodyText"/>
        <w:rPr>
          <w:rFonts w:eastAsiaTheme="minorHAnsi"/>
          <w:lang w:val="en-AU"/>
        </w:rPr>
      </w:pPr>
      <w:r w:rsidRPr="00F567DF">
        <w:rPr>
          <w:rFonts w:eastAsiaTheme="minorHAnsi"/>
          <w:lang w:val="en-AU"/>
        </w:rPr>
        <w:t>Andrew joined the Department in July 2013 from McKinsey and Company in Washington DC. Andrew has a long career as a public servant and strategic adviser having worked in central agencies in Victoria and the United Kingdom. Andrew has worked on a wide range of strategic policy issues in all</w:t>
      </w:r>
      <w:r w:rsidR="00564192">
        <w:rPr>
          <w:rFonts w:eastAsiaTheme="minorHAnsi"/>
          <w:lang w:val="en-AU"/>
        </w:rPr>
        <w:t xml:space="preserve"> three sectors, including needs</w:t>
      </w:r>
      <w:r w:rsidR="00564192">
        <w:rPr>
          <w:rFonts w:eastAsiaTheme="minorHAnsi"/>
          <w:lang w:val="en-AU"/>
        </w:rPr>
        <w:noBreakHyphen/>
      </w:r>
      <w:r w:rsidRPr="00F567DF">
        <w:rPr>
          <w:rFonts w:eastAsiaTheme="minorHAnsi"/>
          <w:lang w:val="en-AU"/>
        </w:rPr>
        <w:t>based funding reform.</w:t>
      </w:r>
    </w:p>
    <w:p w14:paraId="01848D8F" w14:textId="6AACCA7A" w:rsidR="00A61FF5" w:rsidRPr="00F567DF" w:rsidRDefault="00A61FF5" w:rsidP="00A61FF5">
      <w:pPr>
        <w:pStyle w:val="ESBodyText"/>
        <w:rPr>
          <w:rFonts w:eastAsiaTheme="minorHAnsi"/>
          <w:lang w:val="en-AU"/>
        </w:rPr>
      </w:pPr>
      <w:r w:rsidRPr="00F567DF">
        <w:rPr>
          <w:rFonts w:eastAsiaTheme="minorHAnsi"/>
          <w:lang w:val="en-AU"/>
        </w:rPr>
        <w:t>Andrew holds a Bachelor of Arts and Commerce from the University of Melbourne, and a Master of Public Policy from Harvard University.</w:t>
      </w:r>
    </w:p>
    <w:p w14:paraId="16D2F433" w14:textId="77777777" w:rsidR="00A9593E" w:rsidRPr="00F567DF" w:rsidRDefault="00A61FF5" w:rsidP="00A61FF5">
      <w:pPr>
        <w:pStyle w:val="StyleESBodyTextBoldAfter0pt1"/>
        <w:rPr>
          <w:rFonts w:eastAsiaTheme="minorHAnsi"/>
          <w:lang w:val="en-AU"/>
        </w:rPr>
      </w:pPr>
      <w:r w:rsidRPr="00F567DF">
        <w:rPr>
          <w:rFonts w:eastAsiaTheme="minorHAnsi"/>
          <w:lang w:val="en-AU"/>
        </w:rPr>
        <w:t>Deputy Secretary, Regional Services Group</w:t>
      </w:r>
      <w:r w:rsidRPr="00F567DF">
        <w:rPr>
          <w:rFonts w:eastAsiaTheme="minorHAnsi"/>
          <w:lang w:val="en-AU"/>
        </w:rPr>
        <w:br/>
        <w:t>Mr Bruce Armstrong</w:t>
      </w:r>
    </w:p>
    <w:p w14:paraId="2DED1107" w14:textId="77777777" w:rsidR="00A9593E" w:rsidRPr="00F567DF" w:rsidRDefault="00A61FF5" w:rsidP="00A61FF5">
      <w:pPr>
        <w:pStyle w:val="ESBodyText"/>
        <w:rPr>
          <w:rFonts w:eastAsiaTheme="minorHAnsi"/>
          <w:lang w:val="en-AU"/>
        </w:rPr>
      </w:pPr>
      <w:r w:rsidRPr="00F567DF">
        <w:rPr>
          <w:rFonts w:eastAsiaTheme="minorHAnsi"/>
          <w:lang w:val="en-AU"/>
        </w:rPr>
        <w:t>In April 2016, Bruce Armstrong was appointed Deputy Secretary, Regional Services Group (RSG) after acting in the role since July 2015. He is responsible for the interface between the Department’s regions and central office in the provision of early childhood development services and school education.</w:t>
      </w:r>
    </w:p>
    <w:p w14:paraId="3E5DFD6D" w14:textId="77777777" w:rsidR="00A9593E" w:rsidRPr="00F567DF" w:rsidRDefault="00A61FF5" w:rsidP="00A61FF5">
      <w:pPr>
        <w:pStyle w:val="ESBodyText"/>
        <w:rPr>
          <w:rFonts w:eastAsiaTheme="minorHAnsi"/>
          <w:lang w:val="en-AU"/>
        </w:rPr>
      </w:pPr>
      <w:r w:rsidRPr="00F567DF">
        <w:rPr>
          <w:rFonts w:eastAsiaTheme="minorHAnsi"/>
          <w:lang w:val="en-AU"/>
        </w:rPr>
        <w:t>Bruce’s career spans thirty years of active contribution to Victorian public education as a teacher, principal and executive within the Department.</w:t>
      </w:r>
    </w:p>
    <w:p w14:paraId="6915490C" w14:textId="77777777" w:rsidR="00A9593E" w:rsidRPr="00F567DF" w:rsidRDefault="00A61FF5" w:rsidP="00A61FF5">
      <w:pPr>
        <w:pStyle w:val="ESBodyText"/>
        <w:rPr>
          <w:rFonts w:eastAsiaTheme="minorHAnsi"/>
          <w:lang w:val="en-AU"/>
        </w:rPr>
      </w:pPr>
      <w:r w:rsidRPr="00F567DF">
        <w:rPr>
          <w:rFonts w:eastAsiaTheme="minorHAnsi"/>
          <w:lang w:val="en-AU"/>
        </w:rPr>
        <w:t>In June 2015, Bruce was awarded a Public Service Medal for outstanding service to educational improvement in Victoria through leadership, change management, policy development and innovation. This included his positive impact on more than 12,000 education leaders as the inaugural Director of the Bastow Institute of Educational Leadership.</w:t>
      </w:r>
    </w:p>
    <w:p w14:paraId="33613243" w14:textId="36D01DD5" w:rsidR="00A61FF5" w:rsidRPr="00F567DF" w:rsidRDefault="00A61FF5" w:rsidP="00A61FF5">
      <w:pPr>
        <w:pStyle w:val="ESBodyText"/>
        <w:rPr>
          <w:rFonts w:eastAsiaTheme="minorHAnsi"/>
          <w:lang w:val="en-AU"/>
        </w:rPr>
      </w:pPr>
      <w:r w:rsidRPr="00F567DF">
        <w:rPr>
          <w:rFonts w:eastAsiaTheme="minorHAnsi"/>
          <w:lang w:val="en-AU"/>
        </w:rPr>
        <w:t>As Deputy Secretary, Regional Services Group, Bruce continues to lead key Education State reforms, the implementation of the Framework for Improving Student Outcomes, the new Learning Places regional operating model, school workforce reform and performance improvement to lift student outcomes.</w:t>
      </w:r>
    </w:p>
    <w:p w14:paraId="32D1F24F" w14:textId="77777777" w:rsidR="00A61FF5" w:rsidRPr="00F567DF" w:rsidRDefault="00A61FF5" w:rsidP="00A61FF5">
      <w:pPr>
        <w:pStyle w:val="ESBodyText"/>
        <w:rPr>
          <w:rFonts w:eastAsiaTheme="minorHAnsi"/>
          <w:lang w:val="en-AU"/>
        </w:rPr>
      </w:pPr>
      <w:r w:rsidRPr="00F567DF">
        <w:rPr>
          <w:rFonts w:eastAsiaTheme="minorHAnsi"/>
          <w:lang w:val="en-AU"/>
        </w:rPr>
        <w:t>Bruce holds a Master of Education, Bachelor of Arts, Bachelor of Theology and a Graduate Diploma of Education. He is a Fellow of the Australian Council for Educational Leaders.</w:t>
      </w:r>
    </w:p>
    <w:p w14:paraId="3B497C7E" w14:textId="77777777" w:rsidR="00A61FF5" w:rsidRPr="00F567DF" w:rsidRDefault="00A61FF5" w:rsidP="00A61FF5">
      <w:pPr>
        <w:pStyle w:val="StyleESBodyTextBoldAfter0pt1"/>
        <w:rPr>
          <w:rFonts w:eastAsiaTheme="minorHAnsi"/>
          <w:lang w:val="en-AU"/>
        </w:rPr>
      </w:pPr>
      <w:r w:rsidRPr="00F567DF">
        <w:rPr>
          <w:rFonts w:eastAsiaTheme="minorHAnsi"/>
          <w:lang w:val="en-AU"/>
        </w:rPr>
        <w:t>Deputy Secretary, Strategy and Performance Group</w:t>
      </w:r>
      <w:r w:rsidRPr="00F567DF">
        <w:rPr>
          <w:rFonts w:eastAsiaTheme="minorHAnsi"/>
          <w:lang w:val="en-AU"/>
        </w:rPr>
        <w:br/>
        <w:t>Ms Katherine Whetton</w:t>
      </w:r>
    </w:p>
    <w:p w14:paraId="0D39C5AB" w14:textId="77777777" w:rsidR="00A61FF5" w:rsidRPr="00F567DF" w:rsidRDefault="00A61FF5" w:rsidP="00A61FF5">
      <w:pPr>
        <w:pStyle w:val="ESBodyText"/>
        <w:rPr>
          <w:rFonts w:eastAsiaTheme="minorHAnsi"/>
          <w:lang w:val="en-AU"/>
        </w:rPr>
      </w:pPr>
      <w:r w:rsidRPr="00F567DF">
        <w:rPr>
          <w:rFonts w:eastAsiaTheme="minorHAnsi"/>
          <w:lang w:val="en-AU"/>
        </w:rPr>
        <w:t>In March 2017, Katherine Whetton was appointed Deputy Secretary, Strategy and Performance Group (SPG) after acting in the role since April 2016.</w:t>
      </w:r>
    </w:p>
    <w:p w14:paraId="4D1BC463" w14:textId="77777777" w:rsidR="00A9593E" w:rsidRPr="00F567DF" w:rsidRDefault="00A61FF5" w:rsidP="00A61FF5">
      <w:pPr>
        <w:pStyle w:val="StyleESBodyTextBoldAfter0pt1"/>
        <w:rPr>
          <w:rFonts w:eastAsiaTheme="minorHAnsi" w:cs="Arial"/>
          <w:b w:val="0"/>
          <w:bCs w:val="0"/>
          <w:szCs w:val="18"/>
          <w:lang w:val="en-AU"/>
        </w:rPr>
      </w:pPr>
      <w:r w:rsidRPr="00F567DF">
        <w:rPr>
          <w:rFonts w:eastAsiaTheme="minorHAnsi" w:cs="Arial"/>
          <w:b w:val="0"/>
          <w:bCs w:val="0"/>
          <w:szCs w:val="18"/>
          <w:lang w:val="en-AU"/>
        </w:rPr>
        <w:t>The Group provides an integrated approach to strategy, governance, planning and performance, enabling the Department to make evidence-informed decisions that improve outcomes for all Victorians.</w:t>
      </w:r>
    </w:p>
    <w:p w14:paraId="56D7A5F4" w14:textId="77777777" w:rsidR="00A9593E" w:rsidRPr="00F567DF" w:rsidRDefault="00A61FF5" w:rsidP="00A61FF5">
      <w:pPr>
        <w:pStyle w:val="StyleESBodyTextBoldAfter0pt1"/>
        <w:rPr>
          <w:rFonts w:eastAsiaTheme="minorHAnsi" w:cs="Arial"/>
          <w:b w:val="0"/>
          <w:bCs w:val="0"/>
          <w:szCs w:val="18"/>
          <w:lang w:val="en-AU"/>
        </w:rPr>
      </w:pPr>
      <w:r w:rsidRPr="00F567DF">
        <w:rPr>
          <w:rFonts w:eastAsiaTheme="minorHAnsi" w:cs="Arial"/>
          <w:b w:val="0"/>
          <w:bCs w:val="0"/>
          <w:szCs w:val="18"/>
          <w:lang w:val="en-AU"/>
        </w:rPr>
        <w:t>Katherine was previously the Executive Director, Education State Policy and Design, where she was responsible for leading development and policy coherence of the overarching Education State agenda across the Department’s three portfolios—early childhood development, schools, and training and skills—and across government, including economic development, health and human services, justice and police.</w:t>
      </w:r>
    </w:p>
    <w:p w14:paraId="48E7A478" w14:textId="57BF82DC" w:rsidR="00A61FF5" w:rsidRPr="00F567DF" w:rsidRDefault="00A61FF5" w:rsidP="00A61FF5">
      <w:pPr>
        <w:pStyle w:val="StyleESBodyTextBoldAfter0pt1"/>
        <w:rPr>
          <w:rFonts w:eastAsiaTheme="minorHAnsi" w:cs="Arial"/>
          <w:b w:val="0"/>
          <w:bCs w:val="0"/>
          <w:szCs w:val="18"/>
          <w:lang w:val="en-AU"/>
        </w:rPr>
      </w:pPr>
      <w:r w:rsidRPr="00F567DF">
        <w:rPr>
          <w:rFonts w:eastAsiaTheme="minorHAnsi" w:cs="Arial"/>
          <w:b w:val="0"/>
          <w:bCs w:val="0"/>
          <w:szCs w:val="18"/>
          <w:lang w:val="en-AU"/>
        </w:rPr>
        <w:t>Before joining the D</w:t>
      </w:r>
      <w:r w:rsidR="00564192">
        <w:rPr>
          <w:rFonts w:eastAsiaTheme="minorHAnsi" w:cs="Arial"/>
          <w:b w:val="0"/>
          <w:bCs w:val="0"/>
          <w:szCs w:val="18"/>
          <w:lang w:val="en-AU"/>
        </w:rPr>
        <w:t>epartment, Katherine worked at DPC</w:t>
      </w:r>
      <w:r w:rsidRPr="00F567DF">
        <w:rPr>
          <w:rFonts w:eastAsiaTheme="minorHAnsi" w:cs="Arial"/>
          <w:b w:val="0"/>
          <w:bCs w:val="0"/>
          <w:szCs w:val="18"/>
          <w:lang w:val="en-AU"/>
        </w:rPr>
        <w:t xml:space="preserve"> for more than 10 years, most recently as Executive Director, Economic Strategy and Director Health and Human Services. She has extensive central agency policy development and advisory experience across social and economic policy areas, working across portfolios and intergovernmental contexts.</w:t>
      </w:r>
    </w:p>
    <w:p w14:paraId="799D7126" w14:textId="77777777" w:rsidR="00A61FF5" w:rsidRPr="00F567DF" w:rsidRDefault="00A61FF5" w:rsidP="00A61FF5">
      <w:pPr>
        <w:pStyle w:val="ESBodyText"/>
        <w:rPr>
          <w:rFonts w:eastAsiaTheme="minorHAnsi"/>
          <w:lang w:val="en-AU"/>
        </w:rPr>
      </w:pPr>
      <w:r w:rsidRPr="00F567DF">
        <w:rPr>
          <w:rFonts w:eastAsiaTheme="minorHAnsi"/>
          <w:lang w:val="en-AU"/>
        </w:rPr>
        <w:t>Katherine holds a Bachelor of Arts (with Honours) from the University of Melbourne and an Executive Master in Public Administration from the Australian and New Zealand School of Government.</w:t>
      </w:r>
    </w:p>
    <w:p w14:paraId="280AABAD" w14:textId="77777777" w:rsidR="00A61FF5" w:rsidRPr="00F567DF" w:rsidRDefault="00A61FF5" w:rsidP="00A61FF5">
      <w:pPr>
        <w:pStyle w:val="StyleESBodyTextBoldAfter0pt1"/>
        <w:rPr>
          <w:rFonts w:eastAsiaTheme="minorHAnsi"/>
          <w:lang w:val="en-AU"/>
        </w:rPr>
      </w:pPr>
      <w:r w:rsidRPr="00F567DF">
        <w:rPr>
          <w:rFonts w:eastAsiaTheme="minorHAnsi"/>
          <w:lang w:val="en-AU"/>
        </w:rPr>
        <w:t>Chief Executive Officer, Victorian Curriculum and Assessment Authority</w:t>
      </w:r>
      <w:r w:rsidRPr="00F567DF">
        <w:rPr>
          <w:rFonts w:eastAsiaTheme="minorHAnsi"/>
          <w:lang w:val="en-AU"/>
        </w:rPr>
        <w:br/>
        <w:t>Mr John Firth</w:t>
      </w:r>
    </w:p>
    <w:p w14:paraId="3C68E2D7" w14:textId="7EA7E725" w:rsidR="00A61FF5" w:rsidRPr="00F567DF" w:rsidRDefault="00A61FF5" w:rsidP="00A61FF5">
      <w:pPr>
        <w:pStyle w:val="ESBodyText"/>
        <w:rPr>
          <w:rFonts w:eastAsiaTheme="minorHAnsi"/>
          <w:lang w:val="en-AU"/>
        </w:rPr>
      </w:pPr>
      <w:r w:rsidRPr="00F567DF">
        <w:rPr>
          <w:rFonts w:eastAsiaTheme="minorHAnsi"/>
          <w:lang w:val="en-AU"/>
        </w:rPr>
        <w:t>John Firth has been Chief Executive Officer (CEO) of the Victorian Curriculum and Assessment Authority (VCAA) since August 2005. John managed curriculum for more than 12 years prior and developed the Victorian Essential Learning Standards</w:t>
      </w:r>
      <w:r w:rsidR="003761CC" w:rsidRPr="00F567DF">
        <w:rPr>
          <w:rFonts w:eastAsiaTheme="minorHAnsi"/>
          <w:lang w:val="en-AU"/>
        </w:rPr>
        <w:t>—</w:t>
      </w:r>
      <w:r w:rsidRPr="00F567DF">
        <w:rPr>
          <w:rFonts w:eastAsiaTheme="minorHAnsi"/>
          <w:lang w:val="en-AU"/>
        </w:rPr>
        <w:t>the curriculum for Victorian schools, prep to year 10.</w:t>
      </w:r>
    </w:p>
    <w:p w14:paraId="1ED32787" w14:textId="77777777" w:rsidR="00A61FF5" w:rsidRPr="00F567DF" w:rsidRDefault="00A61FF5" w:rsidP="00A61FF5">
      <w:pPr>
        <w:pStyle w:val="ESBodyText"/>
        <w:rPr>
          <w:rFonts w:eastAsiaTheme="minorHAnsi"/>
          <w:lang w:val="en-AU"/>
        </w:rPr>
      </w:pPr>
      <w:r w:rsidRPr="00F567DF">
        <w:rPr>
          <w:rFonts w:eastAsiaTheme="minorHAnsi"/>
          <w:lang w:val="en-AU"/>
        </w:rPr>
        <w:t>John also oversaw the development of the VCE as a Year 12 credential of international standing, the full recognition of VET within the VCE, and the implementation of the VCAL as an additional vocational pathway for senior secondary students. Under his leadership, the VCAA considerably expanded its international work, increasing the number of schools offering the VCE in conjunction with international partners. The VCAA also developed the first educational framework for preschool children, which was reviewed in 2015–16.</w:t>
      </w:r>
    </w:p>
    <w:p w14:paraId="25A01C38" w14:textId="0AAC05EB" w:rsidR="00A61FF5" w:rsidRPr="00F567DF" w:rsidRDefault="00A61FF5" w:rsidP="00A61FF5">
      <w:pPr>
        <w:pStyle w:val="ESBodyText"/>
        <w:rPr>
          <w:rFonts w:eastAsiaTheme="minorHAnsi"/>
          <w:lang w:val="en-AU"/>
        </w:rPr>
      </w:pPr>
      <w:r w:rsidRPr="00F567DF">
        <w:rPr>
          <w:rFonts w:eastAsiaTheme="minorHAnsi"/>
          <w:lang w:val="en-AU"/>
        </w:rPr>
        <w:t xml:space="preserve">John has been a member of many state and national groups and speaks frequently at state and national forums. In 2008, he was appointed </w:t>
      </w:r>
      <w:r w:rsidR="00564192">
        <w:rPr>
          <w:rFonts w:eastAsiaTheme="minorHAnsi"/>
          <w:lang w:val="en-AU"/>
        </w:rPr>
        <w:t xml:space="preserve">as a </w:t>
      </w:r>
      <w:r w:rsidRPr="00F567DF">
        <w:rPr>
          <w:rFonts w:eastAsiaTheme="minorHAnsi"/>
          <w:lang w:val="en-AU"/>
        </w:rPr>
        <w:t>member of the Interim National Curriculum Board and in 2009</w:t>
      </w:r>
      <w:r w:rsidR="00564192">
        <w:rPr>
          <w:rFonts w:eastAsiaTheme="minorHAnsi"/>
          <w:lang w:val="en-AU"/>
        </w:rPr>
        <w:t>,</w:t>
      </w:r>
      <w:r w:rsidRPr="00F567DF">
        <w:rPr>
          <w:rFonts w:eastAsiaTheme="minorHAnsi"/>
          <w:lang w:val="en-AU"/>
        </w:rPr>
        <w:t xml:space="preserve"> </w:t>
      </w:r>
      <w:r w:rsidR="00564192">
        <w:rPr>
          <w:rFonts w:eastAsiaTheme="minorHAnsi"/>
          <w:lang w:val="en-AU"/>
        </w:rPr>
        <w:t xml:space="preserve">a </w:t>
      </w:r>
      <w:r w:rsidRPr="00F567DF">
        <w:rPr>
          <w:rFonts w:eastAsiaTheme="minorHAnsi"/>
          <w:lang w:val="en-AU"/>
        </w:rPr>
        <w:t>member of the board of the Australian Curriculum, Assessment and Reporting Authority, where he served the maximum six-year term.</w:t>
      </w:r>
    </w:p>
    <w:p w14:paraId="0A675056" w14:textId="77777777" w:rsidR="00A61FF5" w:rsidRPr="00F567DF" w:rsidRDefault="00A61FF5" w:rsidP="00A61FF5">
      <w:pPr>
        <w:pStyle w:val="ESBodyText"/>
        <w:rPr>
          <w:rFonts w:eastAsiaTheme="minorHAnsi"/>
          <w:lang w:val="en-AU"/>
        </w:rPr>
      </w:pPr>
      <w:r w:rsidRPr="00F567DF">
        <w:rPr>
          <w:rFonts w:eastAsiaTheme="minorHAnsi"/>
          <w:lang w:val="en-AU"/>
        </w:rPr>
        <w:t>John holds a Bachelor of Commerce and a Diploma of Education, and is a Fellow of the Australian College of Educators.</w:t>
      </w:r>
    </w:p>
    <w:p w14:paraId="3881AB5D" w14:textId="77777777" w:rsidR="00A61FF5" w:rsidRPr="00F567DF" w:rsidRDefault="00A61FF5" w:rsidP="00A61FF5">
      <w:pPr>
        <w:pStyle w:val="StyleESBodyTextBoldAfter0pt1"/>
        <w:rPr>
          <w:rFonts w:eastAsiaTheme="minorHAnsi"/>
          <w:lang w:val="en-AU"/>
        </w:rPr>
      </w:pPr>
      <w:r w:rsidRPr="00F567DF">
        <w:rPr>
          <w:rFonts w:eastAsiaTheme="minorHAnsi"/>
          <w:lang w:val="en-AU"/>
        </w:rPr>
        <w:t>Chief Executive Officer, Victorian School Building Authority</w:t>
      </w:r>
      <w:r w:rsidRPr="00F567DF">
        <w:rPr>
          <w:rFonts w:eastAsiaTheme="minorHAnsi"/>
          <w:lang w:val="en-AU"/>
        </w:rPr>
        <w:br/>
        <w:t>Mr Christopher Keating</w:t>
      </w:r>
    </w:p>
    <w:p w14:paraId="54F5610E" w14:textId="77777777" w:rsidR="00A9593E" w:rsidRPr="00F567DF" w:rsidRDefault="00A61FF5" w:rsidP="00A61FF5">
      <w:pPr>
        <w:pStyle w:val="ESBodyText"/>
        <w:rPr>
          <w:rFonts w:eastAsiaTheme="minorHAnsi"/>
          <w:lang w:val="en-AU"/>
        </w:rPr>
      </w:pPr>
      <w:r w:rsidRPr="00F567DF">
        <w:rPr>
          <w:rFonts w:eastAsiaTheme="minorHAnsi"/>
          <w:lang w:val="en-AU"/>
        </w:rPr>
        <w:t>Chris Keating is the CEO of the Victorian School Building Authority (VSBA), which was established in August 2016 and Chris was appointed CEO soon after. Chris leads the planning and delivery of Victoria’s record investment in schools and early childhood centres. In 2017, Chris oversaw delivery of 10 new state-of-the-art schools, another 10 are due to open next year and a further 22 are at an advanced planning stage.</w:t>
      </w:r>
    </w:p>
    <w:p w14:paraId="66DE4597" w14:textId="77777777" w:rsidR="00A9593E" w:rsidRPr="00F567DF" w:rsidRDefault="00A61FF5" w:rsidP="00A61FF5">
      <w:pPr>
        <w:pStyle w:val="ESBodyText"/>
        <w:rPr>
          <w:rFonts w:eastAsiaTheme="minorHAnsi"/>
          <w:lang w:val="en-AU"/>
        </w:rPr>
      </w:pPr>
      <w:r w:rsidRPr="00F567DF">
        <w:rPr>
          <w:rFonts w:eastAsiaTheme="minorHAnsi"/>
          <w:lang w:val="en-AU"/>
        </w:rPr>
        <w:t>Before being appointed CEO of the VSBA, Chris led the Department’s Infrastructure and Sustainability Division and has more than nine years’ experience delivering public school building projects in Victoria.</w:t>
      </w:r>
    </w:p>
    <w:p w14:paraId="1118A9C5" w14:textId="6499444E" w:rsidR="00A61FF5" w:rsidRPr="00F567DF" w:rsidRDefault="00A61FF5" w:rsidP="00A61FF5">
      <w:pPr>
        <w:pStyle w:val="ESBodyText"/>
        <w:rPr>
          <w:rFonts w:eastAsiaTheme="minorHAnsi"/>
          <w:lang w:val="en-AU"/>
        </w:rPr>
      </w:pPr>
      <w:r w:rsidRPr="00F567DF">
        <w:rPr>
          <w:rFonts w:eastAsiaTheme="minorHAnsi"/>
          <w:lang w:val="en-AU"/>
        </w:rPr>
        <w:t>Chris holds a Bachelor of Arts and a Master in Computer Science.</w:t>
      </w:r>
    </w:p>
    <w:p w14:paraId="7A359BCB" w14:textId="77777777" w:rsidR="00A61FF5" w:rsidRPr="00F567DF" w:rsidRDefault="00A61FF5" w:rsidP="00A61FF5">
      <w:pPr>
        <w:pStyle w:val="StyleESBodyTextBoldAfter0pt1"/>
        <w:rPr>
          <w:rFonts w:eastAsiaTheme="minorHAnsi"/>
          <w:lang w:val="en-AU"/>
        </w:rPr>
      </w:pPr>
      <w:r w:rsidRPr="00F567DF">
        <w:rPr>
          <w:rFonts w:eastAsiaTheme="minorHAnsi"/>
          <w:lang w:val="en-AU"/>
        </w:rPr>
        <w:t>Assistant Deputy Secretary, Higher Education and Skills Group</w:t>
      </w:r>
      <w:r w:rsidRPr="00F567DF">
        <w:rPr>
          <w:rFonts w:eastAsiaTheme="minorHAnsi"/>
          <w:lang w:val="en-AU"/>
        </w:rPr>
        <w:br/>
        <w:t>Ms Lee Watts</w:t>
      </w:r>
    </w:p>
    <w:p w14:paraId="75A6A18B" w14:textId="77777777" w:rsidR="00A61FF5" w:rsidRPr="00F567DF" w:rsidRDefault="00A61FF5" w:rsidP="00A61FF5">
      <w:pPr>
        <w:pStyle w:val="ESBodyText"/>
        <w:rPr>
          <w:rFonts w:eastAsiaTheme="minorHAnsi"/>
          <w:lang w:val="en-AU"/>
        </w:rPr>
      </w:pPr>
      <w:r w:rsidRPr="00F567DF">
        <w:rPr>
          <w:rFonts w:eastAsiaTheme="minorHAnsi"/>
          <w:lang w:val="en-AU"/>
        </w:rPr>
        <w:t>In April 2016, Lee Watts was appointed Assistant Deputy Secretary, VET Reform, with responsibility for the design and implementation of a more managed, stable and competitive training system.</w:t>
      </w:r>
    </w:p>
    <w:p w14:paraId="149059CB" w14:textId="77777777" w:rsidR="00A61FF5" w:rsidRPr="00F567DF" w:rsidRDefault="00A61FF5" w:rsidP="00A61FF5">
      <w:pPr>
        <w:pStyle w:val="ESBodyText"/>
        <w:rPr>
          <w:rFonts w:eastAsiaTheme="minorHAnsi"/>
          <w:lang w:val="en-AU"/>
        </w:rPr>
      </w:pPr>
      <w:r w:rsidRPr="00F567DF">
        <w:rPr>
          <w:rFonts w:eastAsiaTheme="minorHAnsi"/>
          <w:lang w:val="en-AU"/>
        </w:rPr>
        <w:t>Lee has extensive experience in the skills and higher education portfolios including VET contract and program management, information system design, and provider quality. Before joining the Department, Lee worked as a senior consultant for a US consulting firm. She has previously held senior teaching and research positions at a number of Australian universities with a focus on workplace relations, alternative dispute resolution and change management.</w:t>
      </w:r>
    </w:p>
    <w:p w14:paraId="00D183D0" w14:textId="77777777" w:rsidR="00A61FF5" w:rsidRPr="00F567DF" w:rsidRDefault="00A61FF5" w:rsidP="00A61FF5">
      <w:pPr>
        <w:pStyle w:val="ESBodyText"/>
        <w:rPr>
          <w:rFonts w:eastAsiaTheme="minorHAnsi"/>
          <w:lang w:val="en-AU"/>
        </w:rPr>
      </w:pPr>
      <w:r w:rsidRPr="00F567DF">
        <w:rPr>
          <w:rFonts w:eastAsiaTheme="minorHAnsi"/>
          <w:lang w:val="en-AU"/>
        </w:rPr>
        <w:t>Lee holds a Master of Arts, Bachelor of Arts (Honours) from the University of Melbourne and is the author of a number of books.</w:t>
      </w:r>
    </w:p>
    <w:p w14:paraId="00BA657C" w14:textId="77777777" w:rsidR="00A61FF5" w:rsidRPr="00F567DF" w:rsidRDefault="00A61FF5" w:rsidP="00A61FF5">
      <w:pPr>
        <w:pStyle w:val="StyleESBodyTextBoldAfter0pt1"/>
        <w:rPr>
          <w:rFonts w:eastAsiaTheme="minorHAnsi"/>
          <w:lang w:val="en-AU"/>
        </w:rPr>
      </w:pPr>
      <w:r w:rsidRPr="00F567DF">
        <w:rPr>
          <w:lang w:val="en-AU"/>
        </w:rPr>
        <w:br w:type="page"/>
      </w:r>
      <w:r w:rsidRPr="00F567DF">
        <w:rPr>
          <w:rFonts w:eastAsiaTheme="minorHAnsi"/>
          <w:lang w:val="en-AU"/>
        </w:rPr>
        <w:t>Assistant Deputy Secretary, Early Childhood and School Education Group—Early Childhood Portfolio</w:t>
      </w:r>
      <w:r w:rsidRPr="00F567DF">
        <w:rPr>
          <w:rFonts w:eastAsiaTheme="minorHAnsi"/>
          <w:lang w:val="en-AU"/>
        </w:rPr>
        <w:br/>
        <w:t>Ms Kim Little</w:t>
      </w:r>
    </w:p>
    <w:p w14:paraId="18088A62" w14:textId="2D7F33C3" w:rsidR="00A9593E" w:rsidRPr="00F567DF" w:rsidRDefault="00A61FF5" w:rsidP="00A61FF5">
      <w:pPr>
        <w:pStyle w:val="ESBodyText"/>
        <w:rPr>
          <w:rFonts w:eastAsiaTheme="minorHAnsi"/>
          <w:lang w:val="en-AU"/>
        </w:rPr>
      </w:pPr>
      <w:r w:rsidRPr="00F567DF">
        <w:rPr>
          <w:lang w:val="en-AU"/>
        </w:rPr>
        <w:t xml:space="preserve">Since June 2015, Kim </w:t>
      </w:r>
      <w:r w:rsidR="00564192">
        <w:rPr>
          <w:lang w:val="en-AU"/>
        </w:rPr>
        <w:t xml:space="preserve">Little </w:t>
      </w:r>
      <w:r w:rsidRPr="00F567DF">
        <w:rPr>
          <w:lang w:val="en-AU"/>
        </w:rPr>
        <w:t xml:space="preserve">has been Assistant Deputy Secretary, Early Childhood and School Education Group—Early Childhood Portfolio, responsible for </w:t>
      </w:r>
      <w:r w:rsidRPr="00F567DF">
        <w:rPr>
          <w:rFonts w:eastAsiaTheme="minorHAnsi"/>
          <w:lang w:val="en-AU"/>
        </w:rPr>
        <w:t>three areas:</w:t>
      </w:r>
      <w:r w:rsidRPr="00F567DF">
        <w:rPr>
          <w:lang w:val="en-AU"/>
        </w:rPr>
        <w:t xml:space="preserve"> Early Years and Primary Reform</w:t>
      </w:r>
      <w:r w:rsidRPr="00F567DF">
        <w:rPr>
          <w:rFonts w:eastAsiaTheme="minorHAnsi"/>
          <w:lang w:val="en-AU"/>
        </w:rPr>
        <w:t>;</w:t>
      </w:r>
      <w:r w:rsidRPr="00F567DF">
        <w:rPr>
          <w:lang w:val="en-AU"/>
        </w:rPr>
        <w:t xml:space="preserve"> Quality Assessment and Regulation</w:t>
      </w:r>
      <w:r w:rsidRPr="00F567DF">
        <w:rPr>
          <w:rFonts w:eastAsiaTheme="minorHAnsi"/>
          <w:lang w:val="en-AU"/>
        </w:rPr>
        <w:t xml:space="preserve">; and the National and </w:t>
      </w:r>
      <w:r w:rsidRPr="00F567DF">
        <w:rPr>
          <w:lang w:val="en-AU"/>
        </w:rPr>
        <w:t xml:space="preserve">Disability Insurance Scheme Reform </w:t>
      </w:r>
      <w:r w:rsidRPr="00F567DF">
        <w:rPr>
          <w:rFonts w:eastAsiaTheme="minorHAnsi"/>
          <w:lang w:val="en-AU"/>
        </w:rPr>
        <w:t>b</w:t>
      </w:r>
      <w:r w:rsidRPr="00F567DF">
        <w:rPr>
          <w:lang w:val="en-AU"/>
        </w:rPr>
        <w:t>ranch. The position liaises with the Assistant Deputy Secretary—Schools regarding primary education and transitions from early childhood to school education.</w:t>
      </w:r>
    </w:p>
    <w:p w14:paraId="220D3E64" w14:textId="0A59D4B0" w:rsidR="00A61FF5" w:rsidRPr="00F567DF" w:rsidRDefault="00A61FF5" w:rsidP="00A61FF5">
      <w:pPr>
        <w:pStyle w:val="ESBodyText"/>
        <w:rPr>
          <w:rFonts w:eastAsiaTheme="minorHAnsi"/>
          <w:lang w:val="en-AU"/>
        </w:rPr>
      </w:pPr>
      <w:r w:rsidRPr="00F567DF">
        <w:rPr>
          <w:rFonts w:eastAsiaTheme="minorHAnsi"/>
          <w:lang w:val="en-AU"/>
        </w:rPr>
        <w:t>Previously in this Department and at DPC, Kim worked on a range of strategic social and economic policy issues focusing on education. Before joining the public service, Kim worked as a philosopher at Monash University and as a corporate lawyer. Ki</w:t>
      </w:r>
      <w:r w:rsidR="00564192">
        <w:rPr>
          <w:rFonts w:eastAsiaTheme="minorHAnsi"/>
          <w:lang w:val="en-AU"/>
        </w:rPr>
        <w:t>m holds a Bachelor of Arts (Honours), a Bachelor of Laws (Honours</w:t>
      </w:r>
      <w:r w:rsidRPr="00F567DF">
        <w:rPr>
          <w:rFonts w:eastAsiaTheme="minorHAnsi"/>
          <w:lang w:val="en-AU"/>
        </w:rPr>
        <w:t>) and a Master of</w:t>
      </w:r>
      <w:r w:rsidR="00564192">
        <w:rPr>
          <w:rFonts w:eastAsiaTheme="minorHAnsi"/>
          <w:lang w:val="en-AU"/>
        </w:rPr>
        <w:t xml:space="preserve"> Arts (Honours</w:t>
      </w:r>
      <w:r w:rsidRPr="00F567DF">
        <w:rPr>
          <w:rFonts w:eastAsiaTheme="minorHAnsi"/>
          <w:lang w:val="en-AU"/>
        </w:rPr>
        <w:t>).</w:t>
      </w:r>
    </w:p>
    <w:p w14:paraId="711F4223" w14:textId="77777777" w:rsidR="00A61FF5" w:rsidRPr="00F567DF" w:rsidRDefault="00A61FF5" w:rsidP="00A61FF5">
      <w:pPr>
        <w:pStyle w:val="StyleESBodyTextBoldAfter0pt1"/>
        <w:rPr>
          <w:rFonts w:eastAsiaTheme="minorHAnsi"/>
          <w:lang w:val="en-AU"/>
        </w:rPr>
      </w:pPr>
      <w:r w:rsidRPr="00F567DF">
        <w:rPr>
          <w:rFonts w:eastAsiaTheme="minorHAnsi"/>
          <w:lang w:val="en-AU"/>
        </w:rPr>
        <w:t>Assistant Deputy Secretary, Early Childhood and School Education Group—Schools</w:t>
      </w:r>
      <w:r w:rsidRPr="00F567DF">
        <w:rPr>
          <w:rFonts w:eastAsiaTheme="minorHAnsi"/>
          <w:lang w:val="en-AU"/>
        </w:rPr>
        <w:br/>
        <w:t>Dr David Howes</w:t>
      </w:r>
    </w:p>
    <w:p w14:paraId="57392835" w14:textId="77777777" w:rsidR="00A61FF5" w:rsidRPr="00F567DF" w:rsidRDefault="00A61FF5" w:rsidP="00A61FF5">
      <w:pPr>
        <w:pStyle w:val="ESBodyText"/>
        <w:rPr>
          <w:rFonts w:eastAsiaTheme="minorHAnsi"/>
          <w:lang w:val="en-AU"/>
        </w:rPr>
      </w:pPr>
      <w:r w:rsidRPr="00F567DF">
        <w:rPr>
          <w:rFonts w:eastAsiaTheme="minorHAnsi"/>
          <w:lang w:val="en-AU"/>
        </w:rPr>
        <w:t>Dr David Howes is Assistant Deputy Secretary—Schools, ECSEG. He is responsible for four divisions: Wellbeing, Health and Engagement; Secondary Reform Transitions and Priority Cohorts; International Education; and Health Advice and Policy. His role liaises with the Assistant Deputy Secretary—Early Childhood regarding primary education and transitions from early childhood to school education.</w:t>
      </w:r>
    </w:p>
    <w:p w14:paraId="46C85DE2" w14:textId="77777777" w:rsidR="00A61FF5" w:rsidRPr="00564192" w:rsidRDefault="00A61FF5" w:rsidP="00A61FF5">
      <w:pPr>
        <w:pStyle w:val="ESBodyText"/>
        <w:rPr>
          <w:rFonts w:eastAsiaTheme="minorHAnsi"/>
          <w:lang w:val="en-AU"/>
        </w:rPr>
      </w:pPr>
      <w:r w:rsidRPr="00F567DF">
        <w:rPr>
          <w:rFonts w:eastAsiaTheme="minorHAnsi"/>
          <w:lang w:val="en-AU"/>
        </w:rPr>
        <w:t xml:space="preserve">David was previously Executive Director, Curriculum Division at the VCAA, where he was responsible for the development and review of the curriculum for preschool to senior secondary education in Victoria. This included the Victorian Early Years Learning and Development Framework (VEYLDF), the Victorian Curriculum F–10, the VCE, VET and VCAL, and for setting senior secondary examinations in 44 subjects </w:t>
      </w:r>
      <w:r w:rsidRPr="00564192">
        <w:rPr>
          <w:rFonts w:eastAsiaTheme="minorHAnsi"/>
          <w:lang w:val="en-AU"/>
        </w:rPr>
        <w:t>across the curriculum.</w:t>
      </w:r>
    </w:p>
    <w:p w14:paraId="0FC67EC5" w14:textId="76130A37" w:rsidR="00A61FF5" w:rsidRPr="00F567DF" w:rsidRDefault="00A61FF5" w:rsidP="00A61FF5">
      <w:pPr>
        <w:pStyle w:val="ESBodyText"/>
        <w:rPr>
          <w:rFonts w:eastAsiaTheme="minorHAnsi"/>
          <w:lang w:val="en-AU"/>
        </w:rPr>
      </w:pPr>
      <w:r w:rsidRPr="00564192">
        <w:rPr>
          <w:rFonts w:eastAsiaTheme="minorHAnsi"/>
          <w:lang w:val="en-AU"/>
        </w:rPr>
        <w:t>David worked for more than 25 years as a teacher and educator in Australia and overseas, including the United Kingdom, the Middle East and Cambodia.</w:t>
      </w:r>
      <w:r w:rsidR="00F567DF" w:rsidRPr="00564192">
        <w:rPr>
          <w:rFonts w:eastAsiaTheme="minorHAnsi"/>
          <w:lang w:val="en-AU"/>
        </w:rPr>
        <w:t xml:space="preserve"> David holds a Bachelor of Arts (Hon</w:t>
      </w:r>
      <w:r w:rsidR="00564192">
        <w:rPr>
          <w:rFonts w:eastAsiaTheme="minorHAnsi"/>
          <w:lang w:val="en-AU"/>
        </w:rPr>
        <w:t>our</w:t>
      </w:r>
      <w:r w:rsidR="00F567DF" w:rsidRPr="00564192">
        <w:rPr>
          <w:rFonts w:eastAsiaTheme="minorHAnsi"/>
          <w:lang w:val="en-AU"/>
        </w:rPr>
        <w:t xml:space="preserve">s), a Graduate Diploma of Education, an Executive Masters in Public Administration and a </w:t>
      </w:r>
      <w:r w:rsidR="009D5999" w:rsidRPr="00564192">
        <w:rPr>
          <w:rFonts w:eastAsiaTheme="minorHAnsi"/>
          <w:lang w:val="en-AU"/>
        </w:rPr>
        <w:t>Doctor</w:t>
      </w:r>
      <w:r w:rsidR="00F567DF" w:rsidRPr="00564192">
        <w:rPr>
          <w:rFonts w:eastAsiaTheme="minorHAnsi"/>
          <w:lang w:val="en-AU"/>
        </w:rPr>
        <w:t xml:space="preserve"> of Philosophy.</w:t>
      </w:r>
    </w:p>
    <w:p w14:paraId="4CFA12F9" w14:textId="77777777" w:rsidR="00A61FF5" w:rsidRPr="00F567DF" w:rsidRDefault="00A61FF5" w:rsidP="00A61FF5">
      <w:pPr>
        <w:pStyle w:val="StyleESBodyTextBoldAfter0pt1"/>
        <w:rPr>
          <w:rFonts w:eastAsiaTheme="minorHAnsi"/>
          <w:lang w:val="en-AU"/>
        </w:rPr>
      </w:pPr>
      <w:r w:rsidRPr="00F567DF">
        <w:rPr>
          <w:rFonts w:eastAsiaTheme="minorHAnsi"/>
          <w:lang w:val="en-AU"/>
        </w:rPr>
        <w:t>Assistant Deputy Secretary, Regional Services Group</w:t>
      </w:r>
      <w:r w:rsidRPr="00F567DF">
        <w:rPr>
          <w:rFonts w:eastAsiaTheme="minorHAnsi"/>
          <w:lang w:val="en-AU"/>
        </w:rPr>
        <w:br/>
        <w:t>Ms Sue Buckley</w:t>
      </w:r>
    </w:p>
    <w:p w14:paraId="30B6B845" w14:textId="6E70B7DE" w:rsidR="00A61FF5" w:rsidRPr="00F567DF" w:rsidRDefault="00A61FF5" w:rsidP="00A61FF5">
      <w:pPr>
        <w:pStyle w:val="ESBodyText"/>
        <w:rPr>
          <w:rFonts w:eastAsiaTheme="minorHAnsi"/>
          <w:lang w:val="en-AU"/>
        </w:rPr>
      </w:pPr>
      <w:r w:rsidRPr="00F567DF">
        <w:rPr>
          <w:rFonts w:eastAsiaTheme="minorHAnsi"/>
          <w:lang w:val="en-AU"/>
        </w:rPr>
        <w:t xml:space="preserve">In June 2017, Sue </w:t>
      </w:r>
      <w:r w:rsidR="00564192">
        <w:rPr>
          <w:rFonts w:eastAsiaTheme="minorHAnsi"/>
          <w:lang w:val="en-AU"/>
        </w:rPr>
        <w:t xml:space="preserve">Buckley </w:t>
      </w:r>
      <w:r w:rsidRPr="00F567DF">
        <w:rPr>
          <w:rFonts w:eastAsiaTheme="minorHAnsi"/>
          <w:lang w:val="en-AU"/>
        </w:rPr>
        <w:t>was appointed Assistant Deputy Secretary, Strategic Implementation in RSG, a new senior executive position announced in March 2017 as part of the RSG realignment to sharpen the Department’s focus on the implementation of the Education State reforms.</w:t>
      </w:r>
    </w:p>
    <w:p w14:paraId="6CC7F26D" w14:textId="77777777" w:rsidR="00A61FF5" w:rsidRPr="00F567DF" w:rsidRDefault="00A61FF5" w:rsidP="00A61FF5">
      <w:pPr>
        <w:pStyle w:val="ESBodyText"/>
        <w:rPr>
          <w:rFonts w:eastAsiaTheme="minorHAnsi"/>
          <w:lang w:val="en-AU"/>
        </w:rPr>
      </w:pPr>
      <w:r w:rsidRPr="00F567DF">
        <w:rPr>
          <w:rFonts w:eastAsiaTheme="minorHAnsi"/>
          <w:lang w:val="en-AU"/>
        </w:rPr>
        <w:t>Before returning to the Department, Sue was the General Manager, Teaching and School Leadership at the Australian Institute of Teaching and School Leadership. She provided leadership on national reform projects with a focus on building capability and promoting excellence in the teaching profession.</w:t>
      </w:r>
    </w:p>
    <w:p w14:paraId="4DAC24C0" w14:textId="77777777" w:rsidR="00A61FF5" w:rsidRPr="00F567DF" w:rsidRDefault="00A61FF5" w:rsidP="00A61FF5">
      <w:pPr>
        <w:pStyle w:val="ESBodyText"/>
        <w:rPr>
          <w:lang w:val="en-AU"/>
        </w:rPr>
      </w:pPr>
      <w:r w:rsidRPr="00F567DF">
        <w:rPr>
          <w:rFonts w:eastAsiaTheme="minorHAnsi"/>
          <w:lang w:val="en-AU"/>
        </w:rPr>
        <w:t xml:space="preserve">Sue’s extensive career includes various senior level positions within the Department in both policy development and project implementation, in addition to teaching and leadership roles at school and regional levels. She </w:t>
      </w:r>
      <w:r w:rsidRPr="00F567DF">
        <w:rPr>
          <w:lang w:val="en-AU"/>
        </w:rPr>
        <w:t>holds the</w:t>
      </w:r>
      <w:r w:rsidRPr="00F567DF">
        <w:rPr>
          <w:rFonts w:eastAsiaTheme="minorHAnsi"/>
          <w:lang w:val="en-AU"/>
        </w:rPr>
        <w:t xml:space="preserve"> post-graduate qualifications </w:t>
      </w:r>
      <w:r w:rsidRPr="00F567DF">
        <w:rPr>
          <w:lang w:val="en-AU"/>
        </w:rPr>
        <w:t>of Executive Master of Public Administration</w:t>
      </w:r>
      <w:r w:rsidRPr="00F567DF">
        <w:rPr>
          <w:rFonts w:eastAsiaTheme="minorHAnsi"/>
          <w:lang w:val="en-AU"/>
        </w:rPr>
        <w:t xml:space="preserve"> and </w:t>
      </w:r>
      <w:r w:rsidRPr="00F567DF">
        <w:rPr>
          <w:lang w:val="en-AU"/>
        </w:rPr>
        <w:t>Master of Education</w:t>
      </w:r>
      <w:r w:rsidRPr="00F567DF">
        <w:rPr>
          <w:rFonts w:eastAsiaTheme="minorHAnsi"/>
          <w:lang w:val="en-AU"/>
        </w:rPr>
        <w:t>, providing a range of academic frameworks that she applies in daily practice.</w:t>
      </w:r>
    </w:p>
    <w:p w14:paraId="16DA6B0C" w14:textId="77777777" w:rsidR="00A61FF5" w:rsidRPr="00F567DF" w:rsidRDefault="00A61FF5" w:rsidP="00A61FF5">
      <w:pPr>
        <w:pStyle w:val="ESBodyText"/>
        <w:rPr>
          <w:lang w:val="en-AU"/>
        </w:rPr>
      </w:pPr>
      <w:r w:rsidRPr="00F567DF">
        <w:rPr>
          <w:lang w:val="en-AU"/>
        </w:rPr>
        <w:br w:type="page"/>
      </w:r>
    </w:p>
    <w:p w14:paraId="54495D30" w14:textId="4DA8F948" w:rsidR="00A61FF5" w:rsidRPr="00F567DF" w:rsidRDefault="00A61FF5" w:rsidP="00D2232D">
      <w:pPr>
        <w:pStyle w:val="ESHeading2"/>
      </w:pPr>
      <w:bookmarkStart w:id="113" w:name="_Toc488410107"/>
      <w:bookmarkStart w:id="114" w:name="_Toc488767579"/>
      <w:bookmarkStart w:id="115" w:name="_Toc488768991"/>
      <w:bookmarkStart w:id="116" w:name="_Toc489526706"/>
      <w:bookmarkStart w:id="117" w:name="_Toc491070305"/>
      <w:bookmarkStart w:id="118" w:name="_Toc491409531"/>
      <w:bookmarkStart w:id="119" w:name="_Toc491414660"/>
      <w:r w:rsidRPr="00F567DF">
        <w:t>Organisational structure</w:t>
      </w:r>
      <w:bookmarkEnd w:id="113"/>
      <w:bookmarkEnd w:id="114"/>
      <w:bookmarkEnd w:id="115"/>
      <w:bookmarkEnd w:id="116"/>
      <w:bookmarkEnd w:id="117"/>
      <w:bookmarkEnd w:id="118"/>
      <w:bookmarkEnd w:id="119"/>
    </w:p>
    <w:p w14:paraId="1D88CC43" w14:textId="359DDBBF" w:rsidR="00A61FF5" w:rsidRPr="004B6C01" w:rsidRDefault="00892F6F" w:rsidP="00F567DF">
      <w:pPr>
        <w:pStyle w:val="Caption"/>
      </w:pPr>
      <w:r>
        <w:t xml:space="preserve">Figure </w:t>
      </w:r>
      <w:r w:rsidR="00A61FF5" w:rsidRPr="004B6C01">
        <w:t>– Organisational structure at 30 June 2017</w:t>
      </w:r>
    </w:p>
    <w:p w14:paraId="3950534B" w14:textId="251A6F4B" w:rsidR="00A61FF5" w:rsidRPr="00F567DF" w:rsidRDefault="003F1CC7" w:rsidP="00A61FF5">
      <w:pPr>
        <w:pStyle w:val="ESTableBody"/>
        <w:rPr>
          <w:color w:val="000000" w:themeColor="text1"/>
          <w:sz w:val="22"/>
          <w:lang w:val="en-AU"/>
        </w:rPr>
      </w:pPr>
      <w:r>
        <w:object w:dxaOrig="8866" w:dyaOrig="14491" w14:anchorId="2125B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601.5pt" o:ole="">
            <v:imagedata r:id="rId21" o:title=""/>
          </v:shape>
          <o:OLEObject Type="Embed" ProgID="Visio.Drawing.15" ShapeID="_x0000_i1025" DrawAspect="Content" ObjectID="_1567343639" r:id="rId22"/>
        </w:object>
      </w:r>
      <w:r w:rsidR="00A61FF5" w:rsidRPr="00F567DF">
        <w:rPr>
          <w:lang w:val="en-AU"/>
        </w:rPr>
        <w:br w:type="page"/>
      </w:r>
    </w:p>
    <w:p w14:paraId="5998292E" w14:textId="77777777" w:rsidR="00A61FF5" w:rsidRPr="00F567DF" w:rsidRDefault="00A61FF5" w:rsidP="00A61FF5">
      <w:pPr>
        <w:pStyle w:val="ESHeading3"/>
        <w:rPr>
          <w:lang w:val="en-AU"/>
        </w:rPr>
      </w:pPr>
      <w:r w:rsidRPr="00F567DF">
        <w:rPr>
          <w:lang w:val="en-AU"/>
        </w:rPr>
        <w:t>Victorian School Building Authority</w:t>
      </w:r>
    </w:p>
    <w:p w14:paraId="3D70A7BF" w14:textId="77777777" w:rsidR="00A61FF5" w:rsidRPr="00F567DF" w:rsidRDefault="00A61FF5" w:rsidP="00A61FF5">
      <w:pPr>
        <w:pStyle w:val="ESBodyText"/>
        <w:rPr>
          <w:lang w:val="en-AU"/>
        </w:rPr>
      </w:pPr>
      <w:r w:rsidRPr="00F567DF">
        <w:rPr>
          <w:lang w:val="en-AU"/>
        </w:rPr>
        <w:t>The VSBA was established in August 2016 to oversee the planning, delivery and maintenance of over $2.5 billion in education infrastructure investment. The VSBA reports through the Infrastructure and Finance Services Group and is responsible for delivering 21st century learning environments that are safe and sustainable, in line with the Victorian Government’s priorities for educational infrastructure. The VSBA emphasises community and stakeholder engagement to ensure school building projects are meeting the needs of their local communities.</w:t>
      </w:r>
    </w:p>
    <w:p w14:paraId="25E022A7" w14:textId="77777777" w:rsidR="00A61FF5" w:rsidRPr="00F567DF" w:rsidRDefault="00A61FF5" w:rsidP="00A61FF5">
      <w:pPr>
        <w:pStyle w:val="ESHeading3"/>
        <w:rPr>
          <w:lang w:val="en-AU"/>
        </w:rPr>
      </w:pPr>
      <w:r w:rsidRPr="00F567DF">
        <w:rPr>
          <w:lang w:val="en-AU"/>
        </w:rPr>
        <w:t>Infrastructure and Finance Services Group</w:t>
      </w:r>
    </w:p>
    <w:p w14:paraId="229E3976" w14:textId="77777777" w:rsidR="00A61FF5" w:rsidRPr="00F567DF" w:rsidRDefault="00A61FF5" w:rsidP="00A61FF5">
      <w:pPr>
        <w:pStyle w:val="ESBodyText"/>
        <w:rPr>
          <w:lang w:val="en-AU"/>
        </w:rPr>
      </w:pPr>
      <w:r w:rsidRPr="00F567DF">
        <w:rPr>
          <w:lang w:val="en-AU"/>
        </w:rPr>
        <w:t>IFSG leads services delivery and the provision of strategic and technical advice in finance and resourcing, infrastructure, information management and technology, and procurement. It plays a key role in financial management, oversight and reporting across the education and training portfolio.</w:t>
      </w:r>
    </w:p>
    <w:p w14:paraId="2B0F20B6" w14:textId="77777777" w:rsidR="00A61FF5" w:rsidRPr="00F567DF" w:rsidRDefault="00A61FF5" w:rsidP="00A61FF5">
      <w:pPr>
        <w:pStyle w:val="ESHeading3"/>
        <w:rPr>
          <w:lang w:val="en-AU"/>
        </w:rPr>
      </w:pPr>
      <w:r w:rsidRPr="00F567DF">
        <w:rPr>
          <w:lang w:val="en-AU"/>
        </w:rPr>
        <w:t>People and Executive Services Group</w:t>
      </w:r>
    </w:p>
    <w:p w14:paraId="7E66AC79" w14:textId="77777777" w:rsidR="00A61FF5" w:rsidRPr="00F567DF" w:rsidRDefault="00A61FF5" w:rsidP="00A61FF5">
      <w:pPr>
        <w:pStyle w:val="ESBodyText"/>
        <w:rPr>
          <w:lang w:val="en-AU"/>
        </w:rPr>
      </w:pPr>
      <w:r w:rsidRPr="00F567DF">
        <w:rPr>
          <w:lang w:val="en-AU"/>
        </w:rPr>
        <w:t>PESG provides specialist advice and expertise to lead and shape the Department’s direction and to enhance both the Department’s culture and people’s capabilities. PESG provides critical support to the corporate and schools workforce in areas including legal services, human resources, people and culture, security, communications and media, change strategy, integrity reform, cabinet, ministerial support, knowledge and records management, information strategy, privacy, and audit and assurance.</w:t>
      </w:r>
    </w:p>
    <w:p w14:paraId="43F38D4D" w14:textId="77777777" w:rsidR="00A61FF5" w:rsidRPr="00F567DF" w:rsidRDefault="00A61FF5" w:rsidP="00A61FF5">
      <w:pPr>
        <w:pStyle w:val="ESHeading3"/>
        <w:rPr>
          <w:lang w:val="en-AU"/>
        </w:rPr>
      </w:pPr>
      <w:r w:rsidRPr="00F567DF">
        <w:rPr>
          <w:lang w:val="en-AU"/>
        </w:rPr>
        <w:t>Policy Reform Group</w:t>
      </w:r>
    </w:p>
    <w:p w14:paraId="718099D0" w14:textId="3FFB9F8C" w:rsidR="00A61FF5" w:rsidRPr="00F567DF" w:rsidRDefault="00A61FF5" w:rsidP="00A61FF5">
      <w:pPr>
        <w:pStyle w:val="ESBodyText"/>
        <w:rPr>
          <w:lang w:val="en-AU"/>
        </w:rPr>
      </w:pPr>
      <w:r w:rsidRPr="00F567DF">
        <w:rPr>
          <w:lang w:val="en-AU"/>
        </w:rPr>
        <w:t>PRG provides policy leadership for the Department, developing the future direction for education and early childhood in Victoria, providing advice on system-wide trends and leading key cross-sector reforms. PRG drives this reform through four key accountabilities:</w:t>
      </w:r>
    </w:p>
    <w:p w14:paraId="6D99AE68" w14:textId="77777777" w:rsidR="00A61FF5" w:rsidRPr="00F567DF" w:rsidRDefault="00A61FF5" w:rsidP="00A61FF5">
      <w:pPr>
        <w:pStyle w:val="ESBullet1indent"/>
        <w:rPr>
          <w:lang w:val="en-AU"/>
        </w:rPr>
      </w:pPr>
      <w:r w:rsidRPr="00F567DF">
        <w:rPr>
          <w:lang w:val="en-AU"/>
        </w:rPr>
        <w:t>Sets system-level policy developing the Department’s policy trajectory and leads priority projects and reforms.</w:t>
      </w:r>
    </w:p>
    <w:p w14:paraId="3BC4B0B6" w14:textId="77777777" w:rsidR="00A61FF5" w:rsidRPr="00F567DF" w:rsidRDefault="00A61FF5" w:rsidP="00A61FF5">
      <w:pPr>
        <w:pStyle w:val="ESBullet1indent"/>
        <w:rPr>
          <w:lang w:val="en-AU"/>
        </w:rPr>
      </w:pPr>
      <w:r w:rsidRPr="00F567DF">
        <w:rPr>
          <w:lang w:val="en-AU"/>
        </w:rPr>
        <w:t>Provides the overarching cross</w:t>
      </w:r>
      <w:r w:rsidRPr="00F567DF">
        <w:rPr>
          <w:lang w:val="en-AU"/>
        </w:rPr>
        <w:noBreakHyphen/>
        <w:t>government narrative for education and early childhood development in Victoria.</w:t>
      </w:r>
    </w:p>
    <w:p w14:paraId="03BC035F" w14:textId="77777777" w:rsidR="00A61FF5" w:rsidRPr="00F567DF" w:rsidRDefault="00A61FF5" w:rsidP="00A61FF5">
      <w:pPr>
        <w:pStyle w:val="ESBullet1indent"/>
        <w:rPr>
          <w:lang w:val="en-AU"/>
        </w:rPr>
      </w:pPr>
      <w:r w:rsidRPr="00F567DF">
        <w:rPr>
          <w:lang w:val="en-AU"/>
        </w:rPr>
        <w:t>Develops strategy and high level frameworks to guide the Department’s investment in human capital by assessing labour market economics and trends that impact on the Department’s objectives.</w:t>
      </w:r>
    </w:p>
    <w:p w14:paraId="5EDA1167" w14:textId="77777777" w:rsidR="00A61FF5" w:rsidRPr="00F567DF" w:rsidRDefault="00A61FF5" w:rsidP="00A61FF5">
      <w:pPr>
        <w:pStyle w:val="ESBullet1indent"/>
        <w:rPr>
          <w:lang w:val="en-AU"/>
        </w:rPr>
      </w:pPr>
      <w:r w:rsidRPr="00F567DF">
        <w:rPr>
          <w:lang w:val="en-AU"/>
        </w:rPr>
        <w:t>Provides economic advisory services to the Department.</w:t>
      </w:r>
    </w:p>
    <w:p w14:paraId="6EDA779A" w14:textId="77777777" w:rsidR="00A61FF5" w:rsidRPr="00F567DF" w:rsidRDefault="00A61FF5" w:rsidP="00A61FF5">
      <w:pPr>
        <w:pStyle w:val="ESHeading3"/>
        <w:rPr>
          <w:lang w:val="en-AU"/>
        </w:rPr>
      </w:pPr>
      <w:r w:rsidRPr="00F567DF">
        <w:rPr>
          <w:lang w:val="en-AU"/>
        </w:rPr>
        <w:t>Strategy and Performance Group</w:t>
      </w:r>
    </w:p>
    <w:p w14:paraId="4E2B5152" w14:textId="579A99BF" w:rsidR="00A61FF5" w:rsidRPr="00F567DF" w:rsidRDefault="00A61FF5" w:rsidP="00A61FF5">
      <w:pPr>
        <w:pStyle w:val="ESBodyText"/>
        <w:rPr>
          <w:lang w:val="en-AU"/>
        </w:rPr>
      </w:pPr>
      <w:r w:rsidRPr="00F567DF">
        <w:rPr>
          <w:lang w:val="en-AU"/>
        </w:rPr>
        <w:t>SPG brings together the Department’s strategic planning, data and evidence, program management office functions, and intergovernmental relations. SPG provides a system view of Departmental strategy, governance arrangements, evaluation, planning and performance reporting. SPG supports the Department’s operating model and way of working by defining corporate strategy, providing data, evidence and insights, and strengthening the way reform is implemented.</w:t>
      </w:r>
    </w:p>
    <w:p w14:paraId="6EDB92B9" w14:textId="77777777" w:rsidR="00A61FF5" w:rsidRPr="00F567DF" w:rsidRDefault="00A61FF5" w:rsidP="00A61FF5">
      <w:pPr>
        <w:pStyle w:val="ESHeading3"/>
        <w:rPr>
          <w:lang w:val="en-AU"/>
        </w:rPr>
      </w:pPr>
      <w:r w:rsidRPr="00F567DF">
        <w:rPr>
          <w:lang w:val="en-AU"/>
        </w:rPr>
        <w:t>Early Childhood and School Education Group</w:t>
      </w:r>
    </w:p>
    <w:p w14:paraId="7898BE89" w14:textId="77777777" w:rsidR="00A61FF5" w:rsidRPr="00F567DF" w:rsidRDefault="00A61FF5" w:rsidP="00A61FF5">
      <w:pPr>
        <w:pStyle w:val="ESBodyText"/>
        <w:rPr>
          <w:lang w:val="en-AU"/>
        </w:rPr>
      </w:pPr>
      <w:r w:rsidRPr="00F567DF">
        <w:rPr>
          <w:lang w:val="en-AU"/>
        </w:rPr>
        <w:t>ECSEG is responsible for the design and development of operational policy and programs to support improved outcomes for children, students and families from birth through school. ECSEG plays a key role in designing and developing policy to provide a person-centred, outcomes-focused and integrated service system. This is achieved through the group’s four key roles:</w:t>
      </w:r>
    </w:p>
    <w:p w14:paraId="16D28D60" w14:textId="77777777" w:rsidR="00A61FF5" w:rsidRPr="00F567DF" w:rsidRDefault="00A61FF5" w:rsidP="00A61FF5">
      <w:pPr>
        <w:pStyle w:val="ESBullet1indent"/>
        <w:rPr>
          <w:lang w:val="en-AU"/>
        </w:rPr>
      </w:pPr>
      <w:r w:rsidRPr="00F567DF">
        <w:rPr>
          <w:lang w:val="en-AU"/>
        </w:rPr>
        <w:t>System architect: providing advice to government on service system design, planning, funding, and regulation.</w:t>
      </w:r>
    </w:p>
    <w:p w14:paraId="26865C3E" w14:textId="77777777" w:rsidR="00A61FF5" w:rsidRPr="00F567DF" w:rsidRDefault="00A61FF5" w:rsidP="00A61FF5">
      <w:pPr>
        <w:pStyle w:val="ESBullet1indent"/>
        <w:rPr>
          <w:lang w:val="en-AU"/>
        </w:rPr>
      </w:pPr>
      <w:r w:rsidRPr="00F567DF">
        <w:rPr>
          <w:lang w:val="en-AU"/>
        </w:rPr>
        <w:t xml:space="preserve">Regulator: supporting regulation across the early childhood sector as required by the Education and Care Services National Law Act and </w:t>
      </w:r>
      <w:r w:rsidRPr="00F567DF">
        <w:rPr>
          <w:i/>
          <w:lang w:val="en-AU"/>
        </w:rPr>
        <w:t>Children’s Services Act 1996</w:t>
      </w:r>
      <w:r w:rsidRPr="00F567DF">
        <w:rPr>
          <w:lang w:val="en-AU"/>
        </w:rPr>
        <w:t>.</w:t>
      </w:r>
    </w:p>
    <w:p w14:paraId="0B8D6B20" w14:textId="77777777" w:rsidR="00A61FF5" w:rsidRPr="00F567DF" w:rsidRDefault="00A61FF5" w:rsidP="00A61FF5">
      <w:pPr>
        <w:pStyle w:val="ESBullet1indent"/>
        <w:rPr>
          <w:lang w:val="en-AU"/>
        </w:rPr>
      </w:pPr>
      <w:r w:rsidRPr="00F567DF">
        <w:rPr>
          <w:lang w:val="en-AU"/>
        </w:rPr>
        <w:t>Funder/purchaser: administering the funding and associated reporting requirements for service providers.</w:t>
      </w:r>
    </w:p>
    <w:p w14:paraId="4B5371BB" w14:textId="517649E6" w:rsidR="00A61FF5" w:rsidRPr="00F567DF" w:rsidRDefault="00A61FF5" w:rsidP="00A61FF5">
      <w:pPr>
        <w:pStyle w:val="ESBullet1indent"/>
        <w:rPr>
          <w:lang w:val="en-AU"/>
        </w:rPr>
      </w:pPr>
      <w:r w:rsidRPr="00F567DF">
        <w:rPr>
          <w:lang w:val="en-AU"/>
        </w:rPr>
        <w:t xml:space="preserve">System and program designer: developing operational policy to support the delivery of </w:t>
      </w:r>
      <w:r w:rsidR="00BB15EE" w:rsidRPr="00F567DF">
        <w:rPr>
          <w:lang w:val="en-AU"/>
        </w:rPr>
        <w:t>high-</w:t>
      </w:r>
      <w:r w:rsidRPr="00F567DF">
        <w:rPr>
          <w:lang w:val="en-AU"/>
        </w:rPr>
        <w:t>quality, effective educational and early years’ programs, services and supports.</w:t>
      </w:r>
    </w:p>
    <w:p w14:paraId="5B3EFB3C" w14:textId="77777777" w:rsidR="00A61FF5" w:rsidRPr="00F567DF" w:rsidRDefault="00A61FF5" w:rsidP="00A61FF5">
      <w:pPr>
        <w:pStyle w:val="ESHeading3"/>
        <w:rPr>
          <w:lang w:val="en-AU"/>
        </w:rPr>
      </w:pPr>
      <w:r w:rsidRPr="00F567DF">
        <w:rPr>
          <w:lang w:val="en-AU"/>
        </w:rPr>
        <w:t>Regional Services Group</w:t>
      </w:r>
    </w:p>
    <w:p w14:paraId="1A3900A5" w14:textId="77777777" w:rsidR="00A61FF5" w:rsidRPr="00F567DF" w:rsidRDefault="00A61FF5" w:rsidP="00A61FF5">
      <w:pPr>
        <w:pStyle w:val="ESBodyText"/>
        <w:rPr>
          <w:lang w:val="en-AU"/>
        </w:rPr>
      </w:pPr>
      <w:r w:rsidRPr="00F567DF">
        <w:rPr>
          <w:lang w:val="en-AU"/>
        </w:rPr>
        <w:t>RSG provides an interface between the Department's central office and our service providers to make sure that policy intent and outcomes are delivered on the ground. RSG has a strong focus on driving operational performance, accountability, workforce leadership and policy program design and implementation. Regional and area teams lead place-based approaches to service delivery and are responsible for managing this through our schools and early childhood providers in local communities across Victoria.</w:t>
      </w:r>
    </w:p>
    <w:p w14:paraId="17DA773C" w14:textId="77777777" w:rsidR="00A61FF5" w:rsidRPr="00F567DF" w:rsidRDefault="00A61FF5" w:rsidP="00A61FF5">
      <w:pPr>
        <w:pStyle w:val="ESHeading3"/>
        <w:rPr>
          <w:lang w:val="en-AU"/>
        </w:rPr>
      </w:pPr>
      <w:r w:rsidRPr="00F567DF">
        <w:rPr>
          <w:lang w:val="en-AU"/>
        </w:rPr>
        <w:t>Higher Education and Skills Group</w:t>
      </w:r>
    </w:p>
    <w:p w14:paraId="331D029A" w14:textId="77777777" w:rsidR="00A61FF5" w:rsidRPr="00F567DF" w:rsidRDefault="00A61FF5" w:rsidP="00A61FF5">
      <w:pPr>
        <w:pStyle w:val="ESBodyText"/>
        <w:rPr>
          <w:lang w:val="en-AU"/>
        </w:rPr>
      </w:pPr>
      <w:r w:rsidRPr="00F567DF">
        <w:rPr>
          <w:lang w:val="en-AU"/>
        </w:rPr>
        <w:t>HESG is responsible for the oversight of, capacity and effectiveness of tertiary education, adult education and lifelong learning in Victoria. The group ensures Victorians have access to quality post</w:t>
      </w:r>
      <w:r w:rsidRPr="00F567DF">
        <w:rPr>
          <w:lang w:val="en-AU"/>
        </w:rPr>
        <w:noBreakHyphen/>
        <w:t>school education and training that provides skills and knowledge relevant for actively participating in the Victorian economy and society. This includes responsibility for the effectiveness and sustainability of Victoria’s TAFEs, Learn Locals and adult education institutions. Effective tertiary education is central to the Victorian Government’s Education State objectives.</w:t>
      </w:r>
    </w:p>
    <w:p w14:paraId="7AF9A48F" w14:textId="5C57ABAF" w:rsidR="00A61FF5" w:rsidRPr="00F567DF" w:rsidRDefault="00A61FF5" w:rsidP="00D2232D">
      <w:pPr>
        <w:pStyle w:val="ESHeading2"/>
      </w:pPr>
      <w:bookmarkStart w:id="120" w:name="_Toc488410108"/>
      <w:bookmarkStart w:id="121" w:name="_Toc488767580"/>
      <w:bookmarkStart w:id="122" w:name="_Toc488768992"/>
      <w:bookmarkStart w:id="123" w:name="_Toc489526707"/>
      <w:bookmarkStart w:id="124" w:name="_Toc491070306"/>
      <w:bookmarkStart w:id="125" w:name="_Toc491409532"/>
      <w:bookmarkStart w:id="126" w:name="_Toc491414661"/>
      <w:r w:rsidRPr="00F567DF">
        <w:t>Governance structure</w:t>
      </w:r>
      <w:bookmarkEnd w:id="120"/>
      <w:bookmarkEnd w:id="121"/>
      <w:bookmarkEnd w:id="122"/>
      <w:bookmarkEnd w:id="123"/>
      <w:bookmarkEnd w:id="124"/>
      <w:bookmarkEnd w:id="125"/>
      <w:bookmarkEnd w:id="126"/>
    </w:p>
    <w:p w14:paraId="562B0140" w14:textId="77777777" w:rsidR="00A61FF5" w:rsidRPr="00F567DF" w:rsidRDefault="00A61FF5" w:rsidP="00A61FF5">
      <w:pPr>
        <w:pStyle w:val="ESBodyText"/>
        <w:rPr>
          <w:lang w:val="en-AU"/>
        </w:rPr>
      </w:pPr>
      <w:r w:rsidRPr="00F567DF">
        <w:rPr>
          <w:lang w:val="en-AU"/>
        </w:rPr>
        <w:t>The Department is led by the Secretary who reports to the Minister for Education, Minister for Training and Skills and Minister for Families and Children and Youth Affairs.</w:t>
      </w:r>
    </w:p>
    <w:p w14:paraId="4ADBE577" w14:textId="77777777" w:rsidR="00A61FF5" w:rsidRPr="00F567DF" w:rsidRDefault="00A61FF5" w:rsidP="00A61FF5">
      <w:pPr>
        <w:pStyle w:val="ESHeading3"/>
        <w:rPr>
          <w:lang w:val="en-AU"/>
        </w:rPr>
      </w:pPr>
      <w:r w:rsidRPr="00F567DF">
        <w:rPr>
          <w:lang w:val="en-AU"/>
        </w:rPr>
        <w:t>Executive Board</w:t>
      </w:r>
    </w:p>
    <w:p w14:paraId="70FEF1AD" w14:textId="77777777" w:rsidR="00A61FF5" w:rsidRPr="00F567DF" w:rsidRDefault="00A61FF5" w:rsidP="00A61FF5">
      <w:pPr>
        <w:pStyle w:val="ESBodyText"/>
        <w:rPr>
          <w:lang w:val="en-AU"/>
        </w:rPr>
      </w:pPr>
      <w:r w:rsidRPr="00F567DF">
        <w:rPr>
          <w:lang w:val="en-AU"/>
        </w:rPr>
        <w:t>The Department is managed by the Executive Board chaired by the Secretary. Its membership comprises the heads of the Department’s seven groups, the Chief Executive Officer of the VCAA, and an assistant deputy secretary on a rotation basis. The Executive Board provides stewardship of the Department and supports the Secretary with strategic leadership of the organisation, its agencies and portfolios. It is responsible for:</w:t>
      </w:r>
    </w:p>
    <w:p w14:paraId="7F8A65D1" w14:textId="77777777" w:rsidR="00A61FF5" w:rsidRPr="00F567DF" w:rsidRDefault="00A61FF5" w:rsidP="00A61FF5">
      <w:pPr>
        <w:pStyle w:val="ESBullet1indent"/>
        <w:rPr>
          <w:lang w:val="en-AU"/>
        </w:rPr>
      </w:pPr>
      <w:r w:rsidRPr="00F567DF">
        <w:rPr>
          <w:lang w:val="en-AU"/>
        </w:rPr>
        <w:t>the Department’s strategic direction, including vision, objectives and priorities</w:t>
      </w:r>
    </w:p>
    <w:p w14:paraId="7B70F962" w14:textId="77777777" w:rsidR="00A61FF5" w:rsidRPr="00F567DF" w:rsidRDefault="00A61FF5" w:rsidP="00A61FF5">
      <w:pPr>
        <w:pStyle w:val="ESBullet1indent"/>
        <w:rPr>
          <w:lang w:val="en-AU"/>
        </w:rPr>
      </w:pPr>
      <w:r w:rsidRPr="00F567DF">
        <w:rPr>
          <w:lang w:val="en-AU"/>
        </w:rPr>
        <w:t>performance and operations</w:t>
      </w:r>
    </w:p>
    <w:p w14:paraId="381C2B8C" w14:textId="77777777" w:rsidR="00A61FF5" w:rsidRPr="00F567DF" w:rsidRDefault="00A61FF5" w:rsidP="00A61FF5">
      <w:pPr>
        <w:pStyle w:val="ESBullet1indent"/>
        <w:rPr>
          <w:lang w:val="en-AU"/>
        </w:rPr>
      </w:pPr>
      <w:r w:rsidRPr="00F567DF">
        <w:rPr>
          <w:lang w:val="en-AU"/>
        </w:rPr>
        <w:t>strategic integration across the portfolio</w:t>
      </w:r>
    </w:p>
    <w:p w14:paraId="2BBF78F2" w14:textId="77777777" w:rsidR="00A61FF5" w:rsidRPr="00F567DF" w:rsidRDefault="00A61FF5" w:rsidP="00A61FF5">
      <w:pPr>
        <w:pStyle w:val="ESBullet1indent"/>
        <w:rPr>
          <w:lang w:val="en-AU"/>
        </w:rPr>
      </w:pPr>
      <w:r w:rsidRPr="00F567DF">
        <w:rPr>
          <w:lang w:val="en-AU"/>
        </w:rPr>
        <w:t>performance targets and compliance</w:t>
      </w:r>
    </w:p>
    <w:p w14:paraId="6B8FA2A5" w14:textId="77777777" w:rsidR="00A61FF5" w:rsidRPr="00F567DF" w:rsidRDefault="00A61FF5" w:rsidP="00A61FF5">
      <w:pPr>
        <w:pStyle w:val="ESBullet1indent"/>
        <w:rPr>
          <w:lang w:val="en-AU"/>
        </w:rPr>
      </w:pPr>
      <w:r w:rsidRPr="00F567DF">
        <w:rPr>
          <w:lang w:val="en-AU"/>
        </w:rPr>
        <w:t>leadership and culture</w:t>
      </w:r>
    </w:p>
    <w:p w14:paraId="005F7FC4" w14:textId="77777777" w:rsidR="00A61FF5" w:rsidRPr="00F567DF" w:rsidRDefault="00A61FF5" w:rsidP="00A61FF5">
      <w:pPr>
        <w:pStyle w:val="ESBullet1indent"/>
        <w:rPr>
          <w:lang w:val="en-AU"/>
        </w:rPr>
      </w:pPr>
      <w:r w:rsidRPr="00F567DF">
        <w:rPr>
          <w:lang w:val="en-AU"/>
        </w:rPr>
        <w:t>support to ministers and government</w:t>
      </w:r>
    </w:p>
    <w:p w14:paraId="6AB5445D" w14:textId="77777777" w:rsidR="00A61FF5" w:rsidRPr="00F567DF" w:rsidRDefault="00A61FF5" w:rsidP="00A61FF5">
      <w:pPr>
        <w:pStyle w:val="ESBullet1indent"/>
        <w:rPr>
          <w:lang w:val="en-AU"/>
        </w:rPr>
      </w:pPr>
      <w:r w:rsidRPr="00F567DF">
        <w:rPr>
          <w:lang w:val="en-AU"/>
        </w:rPr>
        <w:t>governance of departmental committees.</w:t>
      </w:r>
    </w:p>
    <w:p w14:paraId="470C8C89" w14:textId="77777777" w:rsidR="00A61FF5" w:rsidRPr="00F567DF" w:rsidRDefault="00A61FF5" w:rsidP="00A61FF5">
      <w:pPr>
        <w:rPr>
          <w:rFonts w:ascii="Arial" w:eastAsiaTheme="minorEastAsia" w:hAnsi="Arial" w:cs="Arial"/>
          <w:color w:val="000000" w:themeColor="text1"/>
          <w:sz w:val="22"/>
          <w:szCs w:val="18"/>
          <w:lang w:val="en-AU"/>
        </w:rPr>
      </w:pPr>
      <w:r w:rsidRPr="00F567DF">
        <w:rPr>
          <w:lang w:val="en-AU"/>
        </w:rPr>
        <w:br w:type="page"/>
      </w:r>
    </w:p>
    <w:p w14:paraId="47784972" w14:textId="77777777" w:rsidR="00A61FF5" w:rsidRPr="00F567DF" w:rsidRDefault="00A61FF5" w:rsidP="00A61FF5">
      <w:pPr>
        <w:pStyle w:val="ESHeading3"/>
        <w:rPr>
          <w:lang w:val="en-AU"/>
        </w:rPr>
      </w:pPr>
      <w:r w:rsidRPr="00F567DF">
        <w:rPr>
          <w:lang w:val="en-AU"/>
        </w:rPr>
        <w:t>Education State Board</w:t>
      </w:r>
    </w:p>
    <w:p w14:paraId="6CA686E8" w14:textId="77777777" w:rsidR="00A61FF5" w:rsidRPr="00F567DF" w:rsidRDefault="00A61FF5" w:rsidP="00A61FF5">
      <w:pPr>
        <w:pStyle w:val="ESBodyText"/>
        <w:rPr>
          <w:lang w:val="en-AU"/>
        </w:rPr>
      </w:pPr>
      <w:r w:rsidRPr="00F567DF">
        <w:rPr>
          <w:lang w:val="en-AU"/>
        </w:rPr>
        <w:t>The Department’s Education State Board is the key advisory body to the Secretary apropos progressing the Education State agenda. The Education State Board is chaired by the Secretary, and comprises the head of each of the Department’s seven groups as well as the Chief Executive Officer of the VCAA, the Chief Executive Officer of the VSBA, assistant deputy secretaries of the three portfolio level groups and regional directors of the Department’s four regions. The Education State Board is responsible for all matters related to developing and implementing the Education State reform agenda, including:</w:t>
      </w:r>
    </w:p>
    <w:p w14:paraId="4B927315" w14:textId="77777777" w:rsidR="00A61FF5" w:rsidRPr="00F567DF" w:rsidRDefault="00A61FF5" w:rsidP="00A61FF5">
      <w:pPr>
        <w:pStyle w:val="ESBullet1indent"/>
        <w:rPr>
          <w:lang w:val="en-AU"/>
        </w:rPr>
      </w:pPr>
      <w:r w:rsidRPr="00F567DF">
        <w:rPr>
          <w:lang w:val="en-AU"/>
        </w:rPr>
        <w:t>key election commitments</w:t>
      </w:r>
    </w:p>
    <w:p w14:paraId="4C55CFC2" w14:textId="77777777" w:rsidR="00A61FF5" w:rsidRPr="00F567DF" w:rsidRDefault="00A61FF5" w:rsidP="00A61FF5">
      <w:pPr>
        <w:pStyle w:val="ESBullet1indent"/>
        <w:rPr>
          <w:lang w:val="en-AU"/>
        </w:rPr>
      </w:pPr>
      <w:r w:rsidRPr="00F567DF">
        <w:rPr>
          <w:lang w:val="en-AU"/>
        </w:rPr>
        <w:t>Education State priority reform areas</w:t>
      </w:r>
    </w:p>
    <w:p w14:paraId="13102B3B" w14:textId="77777777" w:rsidR="00A61FF5" w:rsidRPr="00F567DF" w:rsidRDefault="00A61FF5" w:rsidP="00A61FF5">
      <w:pPr>
        <w:pStyle w:val="ESBullet1indent"/>
        <w:rPr>
          <w:lang w:val="en-AU"/>
        </w:rPr>
      </w:pPr>
      <w:r w:rsidRPr="00F567DF">
        <w:rPr>
          <w:lang w:val="en-AU"/>
        </w:rPr>
        <w:t>engagement with stakeholders and decision-makers</w:t>
      </w:r>
    </w:p>
    <w:p w14:paraId="6E574388" w14:textId="77777777" w:rsidR="00A61FF5" w:rsidRPr="00F567DF" w:rsidRDefault="00A61FF5" w:rsidP="00A61FF5">
      <w:pPr>
        <w:pStyle w:val="ESBullet1indent"/>
        <w:rPr>
          <w:lang w:val="en-AU"/>
        </w:rPr>
      </w:pPr>
      <w:r w:rsidRPr="00F567DF">
        <w:rPr>
          <w:lang w:val="en-AU"/>
        </w:rPr>
        <w:t>ongoing departmental continuous improvement that has material impact on the design and delivery of reform directions</w:t>
      </w:r>
    </w:p>
    <w:p w14:paraId="24C6B517" w14:textId="77777777" w:rsidR="00A61FF5" w:rsidRPr="00F567DF" w:rsidRDefault="00A61FF5" w:rsidP="00A61FF5">
      <w:pPr>
        <w:pStyle w:val="ESBullet1indent"/>
        <w:rPr>
          <w:lang w:val="en-AU"/>
        </w:rPr>
      </w:pPr>
      <w:r w:rsidRPr="00F567DF">
        <w:rPr>
          <w:lang w:val="en-AU"/>
        </w:rPr>
        <w:t>reform design and scope of the Education State strategy</w:t>
      </w:r>
    </w:p>
    <w:p w14:paraId="761DF06B" w14:textId="77777777" w:rsidR="00A61FF5" w:rsidRPr="00F567DF" w:rsidRDefault="00A61FF5" w:rsidP="00A61FF5">
      <w:pPr>
        <w:pStyle w:val="ESBullet1indent"/>
        <w:rPr>
          <w:lang w:val="en-AU"/>
        </w:rPr>
      </w:pPr>
      <w:r w:rsidRPr="00F567DF">
        <w:rPr>
          <w:lang w:val="en-AU"/>
        </w:rPr>
        <w:t>business case development and work program implementation</w:t>
      </w:r>
    </w:p>
    <w:p w14:paraId="759D3A7E" w14:textId="77777777" w:rsidR="00A61FF5" w:rsidRPr="00F567DF" w:rsidRDefault="00A61FF5" w:rsidP="00A61FF5">
      <w:pPr>
        <w:pStyle w:val="ESBullet1indent"/>
        <w:rPr>
          <w:lang w:val="en-AU"/>
        </w:rPr>
      </w:pPr>
      <w:r w:rsidRPr="00F567DF">
        <w:rPr>
          <w:lang w:val="en-AU"/>
        </w:rPr>
        <w:t>financial and risk management.</w:t>
      </w:r>
    </w:p>
    <w:p w14:paraId="2BD9FD45" w14:textId="5ACE9EBD" w:rsidR="00A61FF5" w:rsidRPr="00F567DF" w:rsidRDefault="00A61FF5" w:rsidP="00D2232D">
      <w:pPr>
        <w:pStyle w:val="ESHeading2"/>
      </w:pPr>
      <w:bookmarkStart w:id="127" w:name="_Toc489526708"/>
      <w:bookmarkStart w:id="128" w:name="_Toc491070307"/>
      <w:bookmarkStart w:id="129" w:name="_Toc491409533"/>
      <w:bookmarkStart w:id="130" w:name="_Toc491414662"/>
      <w:r w:rsidRPr="00F567DF">
        <w:t>Committee structure</w:t>
      </w:r>
      <w:bookmarkEnd w:id="127"/>
      <w:bookmarkEnd w:id="128"/>
      <w:bookmarkEnd w:id="129"/>
      <w:bookmarkEnd w:id="130"/>
    </w:p>
    <w:p w14:paraId="64D5FF87" w14:textId="77777777" w:rsidR="00A61FF5" w:rsidRPr="00F567DF" w:rsidRDefault="00A61FF5" w:rsidP="00A61FF5">
      <w:pPr>
        <w:pStyle w:val="ESBodyText"/>
        <w:rPr>
          <w:lang w:val="en-AU"/>
        </w:rPr>
      </w:pPr>
      <w:r w:rsidRPr="00F567DF">
        <w:rPr>
          <w:lang w:val="en-AU"/>
        </w:rPr>
        <w:t>There are three committees that report primarily to the Secretary:</w:t>
      </w:r>
    </w:p>
    <w:p w14:paraId="00B8D87B" w14:textId="77777777" w:rsidR="00A61FF5" w:rsidRPr="00F567DF" w:rsidRDefault="00A61FF5" w:rsidP="00A61FF5">
      <w:pPr>
        <w:pStyle w:val="ESHeading3"/>
        <w:rPr>
          <w:lang w:val="en-AU"/>
        </w:rPr>
      </w:pPr>
      <w:r w:rsidRPr="00F567DF">
        <w:rPr>
          <w:lang w:val="en-AU"/>
        </w:rPr>
        <w:t>Integrity Committee</w:t>
      </w:r>
    </w:p>
    <w:p w14:paraId="4E559284" w14:textId="77777777" w:rsidR="00A61FF5" w:rsidRPr="00F567DF" w:rsidRDefault="00A61FF5" w:rsidP="00A61FF5">
      <w:pPr>
        <w:pStyle w:val="ESBodyText"/>
        <w:rPr>
          <w:lang w:val="en-AU"/>
        </w:rPr>
      </w:pPr>
      <w:r w:rsidRPr="00F567DF">
        <w:rPr>
          <w:lang w:val="en-AU"/>
        </w:rPr>
        <w:t>The Integrity Committee supports the Secretary provide oversight and assurance that the actions and activities undertaken by staff employed by the Department (including schools) are conducted with integrity. The committee oversees work that supports all staff within corporate areas and schools to understand and uphold the highest standards of integrity and public trust, and to resist corruption.</w:t>
      </w:r>
    </w:p>
    <w:p w14:paraId="43E2B5C2" w14:textId="77777777" w:rsidR="00A61FF5" w:rsidRPr="00F567DF" w:rsidRDefault="00A61FF5" w:rsidP="00A61FF5">
      <w:pPr>
        <w:pStyle w:val="ESBodyText"/>
        <w:rPr>
          <w:lang w:val="en-AU"/>
        </w:rPr>
      </w:pPr>
      <w:r w:rsidRPr="00F567DF">
        <w:rPr>
          <w:lang w:val="en-AU"/>
        </w:rPr>
        <w:t>In relation to portfolio statutory entities, the TAFE sector and funded services, the Committee undertakes a stewardship role that reflects the Department’s governance responsibilities and operational relationships with these bodies.</w:t>
      </w:r>
    </w:p>
    <w:p w14:paraId="6B63B6AE" w14:textId="77777777" w:rsidR="00A61FF5" w:rsidRPr="00F567DF" w:rsidRDefault="00A61FF5" w:rsidP="00A61FF5">
      <w:pPr>
        <w:pStyle w:val="ESBodyText"/>
        <w:rPr>
          <w:lang w:val="en-AU"/>
        </w:rPr>
      </w:pPr>
      <w:r w:rsidRPr="00F567DF">
        <w:rPr>
          <w:lang w:val="en-AU"/>
        </w:rPr>
        <w:t>The Integrity Committee met on a six-weekly basis in 2016–17. The committee oversaw the effective implementation of the Integrity Reform Program with a focus on good governance and policy, ethical leadership, staff development and support, and smart systems and controls. The committee continued to lead the development of a culture inspired by the Department’s values of integrity, respect, responsiveness, accountability, impartiality, leadership and human rights.</w:t>
      </w:r>
    </w:p>
    <w:p w14:paraId="6B641DEE" w14:textId="77777777" w:rsidR="00A61FF5" w:rsidRPr="00F567DF" w:rsidRDefault="00A61FF5" w:rsidP="00A61FF5">
      <w:pPr>
        <w:pStyle w:val="StyleESBodyTextBoldAfter0pt1"/>
        <w:rPr>
          <w:lang w:val="en-AU"/>
        </w:rPr>
      </w:pPr>
      <w:r w:rsidRPr="00F567DF">
        <w:rPr>
          <w:lang w:val="en-AU"/>
        </w:rPr>
        <w:t>Independent member</w:t>
      </w:r>
      <w:r w:rsidRPr="00F567DF">
        <w:rPr>
          <w:lang w:val="en-AU"/>
        </w:rPr>
        <w:br/>
        <w:t>Neville Tiffen</w:t>
      </w:r>
    </w:p>
    <w:p w14:paraId="2B1C75F8" w14:textId="77777777" w:rsidR="00A9593E" w:rsidRPr="00F567DF" w:rsidRDefault="00A61FF5" w:rsidP="00A61FF5">
      <w:pPr>
        <w:pStyle w:val="ESBodyText"/>
        <w:rPr>
          <w:lang w:val="en-AU"/>
        </w:rPr>
      </w:pPr>
      <w:r w:rsidRPr="00F567DF">
        <w:rPr>
          <w:lang w:val="en-AU"/>
        </w:rPr>
        <w:t>Neville conducts a specialist consultancy in corporate governance, business integrity and compliance, drawing on his experience in compliance, legal and corporate governance roles, including Global Head of Compliance at Rio Tinto.</w:t>
      </w:r>
    </w:p>
    <w:p w14:paraId="108FEF7A" w14:textId="311F3C54" w:rsidR="00A61FF5" w:rsidRPr="00F567DF" w:rsidRDefault="00A61FF5" w:rsidP="00A61FF5">
      <w:pPr>
        <w:pStyle w:val="ESBodyText"/>
        <w:rPr>
          <w:lang w:val="en-AU"/>
        </w:rPr>
      </w:pPr>
      <w:r w:rsidRPr="00F567DF">
        <w:rPr>
          <w:lang w:val="en-AU"/>
        </w:rPr>
        <w:t xml:space="preserve">He is a Fellow of the Governance Institute of Australia. Neville is a member of the Secretary-General’s advisory group on integrity and anti–corruption at the Organisation for Economic Cooperation and Development. He is also a project lead on the World Economic Forum’s project, Infrastructure and Urban Development: Building Foundations for </w:t>
      </w:r>
      <w:r w:rsidR="00380D35">
        <w:rPr>
          <w:lang w:val="en-AU"/>
        </w:rPr>
        <w:t>Trust and Integrity. Previously,</w:t>
      </w:r>
      <w:r w:rsidRPr="00F567DF">
        <w:rPr>
          <w:lang w:val="en-AU"/>
        </w:rPr>
        <w:t xml:space="preserve"> he was a member of Transparency International’s steering committee for its Business Principles for Countering Bribery, and a board delegate on the World Economic Forum’s Partnering Against Corruption Initiative.</w:t>
      </w:r>
    </w:p>
    <w:p w14:paraId="7CE2D7C9" w14:textId="77777777" w:rsidR="00A61FF5" w:rsidRPr="00F567DF" w:rsidRDefault="00A61FF5" w:rsidP="00A61FF5">
      <w:pPr>
        <w:pStyle w:val="StyleESBodyTextBoldAfter0pt1"/>
        <w:rPr>
          <w:lang w:val="en-AU"/>
        </w:rPr>
      </w:pPr>
      <w:r w:rsidRPr="00F567DF">
        <w:rPr>
          <w:lang w:val="en-AU"/>
        </w:rPr>
        <w:t>Independent member</w:t>
      </w:r>
      <w:r w:rsidRPr="00F567DF">
        <w:rPr>
          <w:lang w:val="en-AU"/>
        </w:rPr>
        <w:br/>
        <w:t>Professor Robert Wood</w:t>
      </w:r>
    </w:p>
    <w:p w14:paraId="257D2A44" w14:textId="77777777" w:rsidR="00A61FF5" w:rsidRPr="00F567DF" w:rsidRDefault="00A61FF5" w:rsidP="00A61FF5">
      <w:pPr>
        <w:pStyle w:val="ESBodyText"/>
        <w:rPr>
          <w:lang w:val="en-AU"/>
        </w:rPr>
      </w:pPr>
      <w:r w:rsidRPr="00F567DF">
        <w:rPr>
          <w:lang w:val="en-AU"/>
        </w:rPr>
        <w:t>Professor Wood is a Professor at the Australian School of Management, Honorary Professor at the Florey Institute of Neuroscience and Mental Health and former Director of the Centre for Ethical Leadership. In this latter capacity, Professor Wood has been involved in the Vincent Fairfax Fellowship, which develops the ethical leadership capabilities of senior executive leaders in the public and private sectors.</w:t>
      </w:r>
    </w:p>
    <w:p w14:paraId="4DCB2A13" w14:textId="77777777" w:rsidR="00A61FF5" w:rsidRPr="00F567DF" w:rsidRDefault="00A61FF5" w:rsidP="00A61FF5">
      <w:pPr>
        <w:pStyle w:val="ESHeading3"/>
        <w:rPr>
          <w:lang w:val="en-AU"/>
        </w:rPr>
      </w:pPr>
      <w:r w:rsidRPr="00F567DF">
        <w:rPr>
          <w:lang w:val="en-AU"/>
        </w:rPr>
        <w:t>Audit and Risk Committee</w:t>
      </w:r>
    </w:p>
    <w:p w14:paraId="0619FDA9" w14:textId="77777777" w:rsidR="00A61FF5" w:rsidRPr="00F567DF" w:rsidRDefault="00A61FF5" w:rsidP="00A61FF5">
      <w:pPr>
        <w:pStyle w:val="ESBodyText"/>
        <w:rPr>
          <w:lang w:val="en-AU"/>
        </w:rPr>
      </w:pPr>
      <w:r w:rsidRPr="00F567DF">
        <w:rPr>
          <w:lang w:val="en-AU"/>
        </w:rPr>
        <w:t>The Audit and Risk Committee (ARC) assists the Secretary to fulfil governance responsibilities and obligations under the Financial Management Act.</w:t>
      </w:r>
    </w:p>
    <w:p w14:paraId="2E24FF4F" w14:textId="77777777" w:rsidR="00A61FF5" w:rsidRPr="00F567DF" w:rsidRDefault="00A61FF5" w:rsidP="00A61FF5">
      <w:pPr>
        <w:pStyle w:val="ESBodyText"/>
        <w:rPr>
          <w:lang w:val="en-AU"/>
        </w:rPr>
      </w:pPr>
      <w:r w:rsidRPr="00F567DF">
        <w:rPr>
          <w:lang w:val="en-AU"/>
        </w:rPr>
        <w:t>ARC was established in 2003 to meet the Standing Directions of the Minister for Finance under the Act, which require ‘each public sector agency to appoint an audit committee to oversee and advise the public sector agency on matters of accountability and internal control affecting the operations of the agency’.</w:t>
      </w:r>
    </w:p>
    <w:p w14:paraId="5C63350B" w14:textId="77777777" w:rsidR="00A61FF5" w:rsidRPr="00F567DF" w:rsidRDefault="00A61FF5" w:rsidP="00A61FF5">
      <w:pPr>
        <w:pStyle w:val="ESBodyText"/>
        <w:rPr>
          <w:lang w:val="en-AU"/>
        </w:rPr>
      </w:pPr>
      <w:r w:rsidRPr="00F567DF">
        <w:rPr>
          <w:lang w:val="en-AU"/>
        </w:rPr>
        <w:t>ARC provides the Secretary with direct advice on governance, risk management, audit and control assurance activities. It comprises four independent members appointed by the Secretary and two executive officers from within the Department. The Chief Finance Officer and Chief Audit Executive also attend all committee meetings.</w:t>
      </w:r>
    </w:p>
    <w:p w14:paraId="64F6BB70" w14:textId="114E906E" w:rsidR="00A61FF5" w:rsidRPr="00F567DF" w:rsidRDefault="00A61FF5" w:rsidP="00A61FF5">
      <w:pPr>
        <w:pStyle w:val="StyleESBodyTextBoldAfter0pt1"/>
        <w:rPr>
          <w:lang w:val="en-AU"/>
        </w:rPr>
      </w:pPr>
      <w:r w:rsidRPr="00F567DF">
        <w:rPr>
          <w:lang w:val="en-AU"/>
        </w:rPr>
        <w:t>Independent member</w:t>
      </w:r>
      <w:r w:rsidRPr="00F567DF">
        <w:rPr>
          <w:lang w:val="en-AU"/>
        </w:rPr>
        <w:br/>
        <w:t>Ms Fiona Bennett, Chair</w:t>
      </w:r>
      <w:r w:rsidRPr="00F567DF">
        <w:rPr>
          <w:lang w:val="en-AU"/>
        </w:rPr>
        <w:br/>
      </w:r>
      <w:r w:rsidRPr="00F567DF">
        <w:rPr>
          <w:b w:val="0"/>
          <w:lang w:val="en-AU"/>
        </w:rPr>
        <w:t>3 December 2013</w:t>
      </w:r>
      <w:r w:rsidR="003761CC" w:rsidRPr="00F567DF">
        <w:rPr>
          <w:b w:val="0"/>
          <w:lang w:val="en-AU"/>
        </w:rPr>
        <w:t>–</w:t>
      </w:r>
      <w:r w:rsidRPr="00F567DF">
        <w:rPr>
          <w:b w:val="0"/>
          <w:lang w:val="en-AU"/>
        </w:rPr>
        <w:t>30 December 2019</w:t>
      </w:r>
    </w:p>
    <w:p w14:paraId="6881ACB9" w14:textId="77777777" w:rsidR="00A61FF5" w:rsidRPr="00F567DF" w:rsidRDefault="00A61FF5" w:rsidP="00A61FF5">
      <w:pPr>
        <w:pStyle w:val="ESBodyText"/>
        <w:rPr>
          <w:lang w:val="en-AU"/>
        </w:rPr>
      </w:pPr>
      <w:r w:rsidRPr="00F567DF">
        <w:rPr>
          <w:lang w:val="en-AU"/>
        </w:rPr>
        <w:t>Fiona Bennett is a director of a number of entities including Beach Energy Limited, Hills Limited and Select Harvests Limited. She is also Chair of the Victorian Legal Services Board.</w:t>
      </w:r>
    </w:p>
    <w:p w14:paraId="51CC2AC5" w14:textId="77777777" w:rsidR="00A61FF5" w:rsidRPr="00F567DF" w:rsidRDefault="00A61FF5" w:rsidP="00A61FF5">
      <w:pPr>
        <w:pStyle w:val="ESBodyText"/>
        <w:rPr>
          <w:lang w:val="en-AU"/>
        </w:rPr>
      </w:pPr>
      <w:r w:rsidRPr="00F567DF">
        <w:rPr>
          <w:lang w:val="en-AU"/>
        </w:rPr>
        <w:t>Fiona is a Chartered Accountant with extensive experience in commercial and financial management, governance, risk management and auditing. She has held senior executive positions at BHP Billiton Ltd and Coles Group Ltd, and was chief financial officer of several health sector organisations.</w:t>
      </w:r>
    </w:p>
    <w:p w14:paraId="2091A12F" w14:textId="77777777" w:rsidR="00A61FF5" w:rsidRPr="00F567DF" w:rsidRDefault="00A61FF5" w:rsidP="00A61FF5">
      <w:pPr>
        <w:pStyle w:val="ESBodyText"/>
        <w:rPr>
          <w:lang w:val="en-AU"/>
        </w:rPr>
      </w:pPr>
      <w:r w:rsidRPr="00F567DF">
        <w:rPr>
          <w:lang w:val="en-AU"/>
        </w:rPr>
        <w:t>Fiona is a Fellow of the Institute of Chartered Accountants, the Australian Institute of Company Directors and the Institute of Managers and Leaders.</w:t>
      </w:r>
    </w:p>
    <w:p w14:paraId="0DE144D8" w14:textId="200AA813" w:rsidR="00A61FF5" w:rsidRPr="00F567DF" w:rsidRDefault="00A61FF5" w:rsidP="00A61FF5">
      <w:pPr>
        <w:pStyle w:val="StyleESBodyTextBoldAfter0pt1"/>
        <w:rPr>
          <w:lang w:val="en-AU"/>
        </w:rPr>
      </w:pPr>
      <w:r w:rsidRPr="00F567DF">
        <w:rPr>
          <w:lang w:val="en-AU"/>
        </w:rPr>
        <w:t>Independent Member</w:t>
      </w:r>
      <w:r w:rsidRPr="00F567DF">
        <w:rPr>
          <w:lang w:val="en-AU"/>
        </w:rPr>
        <w:br/>
        <w:t>Ms Kerrie Parker</w:t>
      </w:r>
      <w:r w:rsidRPr="00F567DF">
        <w:rPr>
          <w:lang w:val="en-AU"/>
        </w:rPr>
        <w:br/>
      </w:r>
      <w:r w:rsidRPr="00F567DF">
        <w:rPr>
          <w:b w:val="0"/>
          <w:lang w:val="en-AU"/>
        </w:rPr>
        <w:t>1 December 2015</w:t>
      </w:r>
      <w:r w:rsidR="003761CC" w:rsidRPr="00F567DF">
        <w:rPr>
          <w:b w:val="0"/>
          <w:lang w:val="en-AU"/>
        </w:rPr>
        <w:t>–</w:t>
      </w:r>
      <w:r w:rsidRPr="00F567DF">
        <w:rPr>
          <w:b w:val="0"/>
          <w:lang w:val="en-AU"/>
        </w:rPr>
        <w:t>31 December 2018</w:t>
      </w:r>
    </w:p>
    <w:p w14:paraId="161AD1DC" w14:textId="77777777" w:rsidR="00A61FF5" w:rsidRPr="00F567DF" w:rsidRDefault="00A61FF5" w:rsidP="00A61FF5">
      <w:pPr>
        <w:pStyle w:val="ESBodyText"/>
        <w:rPr>
          <w:lang w:val="en-AU"/>
        </w:rPr>
      </w:pPr>
      <w:r w:rsidRPr="00F567DF">
        <w:rPr>
          <w:lang w:val="en-AU"/>
        </w:rPr>
        <w:t>Kerrie Parker has held chief executive officer, chief finance officer and executive leadership roles in the fast-moving consumer goods sector, as well as agriculture, manufacturing, financial services and state government. With more than 30 years’ experience, Kerrie has led during times of growth, turnaround and crisis. Kerrie has strong financial and operational experience driving improvement via process optimisation, business improvements and structural change.</w:t>
      </w:r>
    </w:p>
    <w:p w14:paraId="1DF1B207" w14:textId="77777777" w:rsidR="00A61FF5" w:rsidRPr="00F567DF" w:rsidRDefault="00A61FF5" w:rsidP="00A61FF5">
      <w:pPr>
        <w:pStyle w:val="ESBodyText"/>
        <w:rPr>
          <w:lang w:val="en-AU"/>
        </w:rPr>
      </w:pPr>
      <w:r w:rsidRPr="00F567DF">
        <w:rPr>
          <w:lang w:val="en-AU"/>
        </w:rPr>
        <w:t>Kerrie has been involved in several successful business transformations and gained experience in ASX publicly-listed, multinational and private equity companies, as well as state government bodies and the higher education sector.</w:t>
      </w:r>
    </w:p>
    <w:p w14:paraId="5C47667F" w14:textId="77777777" w:rsidR="00A61FF5" w:rsidRPr="00F567DF" w:rsidRDefault="00A61FF5" w:rsidP="00A61FF5">
      <w:pPr>
        <w:pStyle w:val="ESBodyText"/>
        <w:rPr>
          <w:lang w:val="en-AU"/>
        </w:rPr>
      </w:pPr>
      <w:r w:rsidRPr="00F567DF">
        <w:rPr>
          <w:lang w:val="en-AU"/>
        </w:rPr>
        <w:t>Kerrie also managed large scale Victorian Government change projects during a period of major transformation and reform. She focused on adding value through strong and proper financial management practices and innovative business solutions.</w:t>
      </w:r>
    </w:p>
    <w:p w14:paraId="3A33F991" w14:textId="77777777" w:rsidR="00A61FF5" w:rsidRPr="00F567DF" w:rsidRDefault="00A61FF5" w:rsidP="00A61FF5">
      <w:pPr>
        <w:pStyle w:val="ESBodyText"/>
        <w:rPr>
          <w:lang w:val="en-AU"/>
        </w:rPr>
      </w:pPr>
      <w:r w:rsidRPr="00F567DF">
        <w:rPr>
          <w:lang w:val="en-AU"/>
        </w:rPr>
        <w:t>Kerrie is currently the Chief Financial Officer at Deakin University and is also an independent company director. She is a Fellow of Certified Practicing Accountants Australia and a graduate of the Australian Institute of Company Directors.</w:t>
      </w:r>
    </w:p>
    <w:p w14:paraId="76FA0AEF" w14:textId="77777777" w:rsidR="00A61FF5" w:rsidRPr="00F567DF" w:rsidRDefault="00A61FF5" w:rsidP="00A61FF5">
      <w:pPr>
        <w:rPr>
          <w:rFonts w:ascii="Arial" w:eastAsia="Times New Roman" w:hAnsi="Arial" w:cs="Times New Roman"/>
          <w:b/>
          <w:bCs/>
          <w:sz w:val="19"/>
          <w:szCs w:val="20"/>
          <w:lang w:val="en-AU"/>
        </w:rPr>
      </w:pPr>
      <w:r w:rsidRPr="00F567DF">
        <w:rPr>
          <w:lang w:val="en-AU"/>
        </w:rPr>
        <w:br w:type="page"/>
      </w:r>
    </w:p>
    <w:p w14:paraId="71827C2A" w14:textId="4A54C691" w:rsidR="00A61FF5" w:rsidRPr="00F567DF" w:rsidRDefault="00A61FF5" w:rsidP="00A61FF5">
      <w:pPr>
        <w:pStyle w:val="StyleESBodyTextBoldAfter0pt1"/>
        <w:rPr>
          <w:lang w:val="en-AU"/>
        </w:rPr>
      </w:pPr>
      <w:r w:rsidRPr="00F567DF">
        <w:rPr>
          <w:lang w:val="en-AU"/>
        </w:rPr>
        <w:t>Independent member</w:t>
      </w:r>
      <w:r w:rsidRPr="00F567DF">
        <w:rPr>
          <w:lang w:val="en-AU"/>
        </w:rPr>
        <w:br/>
        <w:t>Mr Stuart Alford, Deputy Chair</w:t>
      </w:r>
      <w:r w:rsidRPr="00F567DF">
        <w:rPr>
          <w:lang w:val="en-AU"/>
        </w:rPr>
        <w:br/>
      </w:r>
      <w:r w:rsidRPr="00F567DF">
        <w:rPr>
          <w:b w:val="0"/>
          <w:lang w:val="en-AU"/>
        </w:rPr>
        <w:t>9 July 2015</w:t>
      </w:r>
      <w:r w:rsidR="003761CC" w:rsidRPr="00F567DF">
        <w:rPr>
          <w:b w:val="0"/>
          <w:lang w:val="en-AU"/>
        </w:rPr>
        <w:t>–</w:t>
      </w:r>
      <w:r w:rsidRPr="00F567DF">
        <w:rPr>
          <w:b w:val="0"/>
          <w:lang w:val="en-AU"/>
        </w:rPr>
        <w:t>31 July 2018</w:t>
      </w:r>
    </w:p>
    <w:p w14:paraId="35E25583" w14:textId="7BB11010" w:rsidR="00A61FF5" w:rsidRPr="00F567DF" w:rsidRDefault="00A61FF5" w:rsidP="00A61FF5">
      <w:pPr>
        <w:pStyle w:val="ESBodyText"/>
        <w:rPr>
          <w:lang w:val="en-AU"/>
        </w:rPr>
      </w:pPr>
      <w:r w:rsidRPr="00F567DF">
        <w:rPr>
          <w:lang w:val="en-AU"/>
        </w:rPr>
        <w:t xml:space="preserve">Stuart Alford </w:t>
      </w:r>
      <w:r w:rsidR="00FD73CB">
        <w:rPr>
          <w:lang w:val="en-AU"/>
        </w:rPr>
        <w:t>previously had</w:t>
      </w:r>
      <w:r w:rsidRPr="00F567DF">
        <w:rPr>
          <w:lang w:val="en-AU"/>
        </w:rPr>
        <w:t xml:space="preserve"> 40 years in professional practice</w:t>
      </w:r>
      <w:r w:rsidR="00FD73CB">
        <w:rPr>
          <w:lang w:val="en-AU"/>
        </w:rPr>
        <w:t xml:space="preserve"> with Ernst &amp; Young</w:t>
      </w:r>
      <w:r w:rsidRPr="00F567DF">
        <w:rPr>
          <w:lang w:val="en-AU"/>
        </w:rPr>
        <w:t>, including 27 years as a partner. He is a non-executive director with extensive experience in governance, risk management and auditing.</w:t>
      </w:r>
    </w:p>
    <w:p w14:paraId="46F75EFA" w14:textId="72F0AF74" w:rsidR="00A61FF5" w:rsidRPr="00F567DF" w:rsidRDefault="00A61FF5" w:rsidP="00A61FF5">
      <w:pPr>
        <w:pStyle w:val="ESBodyText"/>
        <w:rPr>
          <w:lang w:val="en-AU"/>
        </w:rPr>
      </w:pPr>
      <w:r w:rsidRPr="00F567DF">
        <w:rPr>
          <w:lang w:val="en-AU"/>
        </w:rPr>
        <w:t>Stuart serves as the Chair of the Centre of Excellence for Intervention and Prevention Science and is on the boards of Eastern Health, Metropolitan Fire and Emergency Services, AMES Australia (Adult Multicultural Education Services) and Kilvington Grammar School. He also holds audit, risk and finance committee roles with a number of organisations, including the VCAA, the Office of the Australian Accounting Standards Board, and the Office of the Auditing and Assurance Standards Board.</w:t>
      </w:r>
      <w:r w:rsidR="00FD73CB">
        <w:rPr>
          <w:lang w:val="en-AU"/>
        </w:rPr>
        <w:t xml:space="preserve"> Stuart is also the independent chair of the National Audit Review Panel for Pitcher Partners.</w:t>
      </w:r>
    </w:p>
    <w:p w14:paraId="1B03753D" w14:textId="77777777" w:rsidR="00A61FF5" w:rsidRPr="00F567DF" w:rsidRDefault="00A61FF5" w:rsidP="00A61FF5">
      <w:pPr>
        <w:pStyle w:val="ESBodyText"/>
        <w:rPr>
          <w:lang w:val="en-AU"/>
        </w:rPr>
      </w:pPr>
      <w:r w:rsidRPr="00F567DF">
        <w:rPr>
          <w:lang w:val="en-AU"/>
        </w:rPr>
        <w:t>Stuart is a Fellow of the Institute of Chartered Accountant in Australia and an Associate member of the Australian Institute of Company Directors.</w:t>
      </w:r>
    </w:p>
    <w:p w14:paraId="6EB56585" w14:textId="2F687904" w:rsidR="00A61FF5" w:rsidRPr="00F567DF" w:rsidRDefault="00A61FF5" w:rsidP="00A61FF5">
      <w:pPr>
        <w:pStyle w:val="StyleESBodyTextBoldAfter0pt1"/>
        <w:rPr>
          <w:lang w:val="en-AU"/>
        </w:rPr>
      </w:pPr>
      <w:r w:rsidRPr="00F567DF">
        <w:rPr>
          <w:lang w:val="en-AU"/>
        </w:rPr>
        <w:t>Independent member</w:t>
      </w:r>
      <w:r w:rsidRPr="00F567DF">
        <w:rPr>
          <w:lang w:val="en-AU"/>
        </w:rPr>
        <w:br/>
        <w:t>Ms Carol Pagnon</w:t>
      </w:r>
      <w:r w:rsidRPr="00F567DF">
        <w:rPr>
          <w:lang w:val="en-AU"/>
        </w:rPr>
        <w:br/>
      </w:r>
      <w:r w:rsidRPr="00F567DF">
        <w:rPr>
          <w:b w:val="0"/>
          <w:lang w:val="en-AU"/>
        </w:rPr>
        <w:t>25 February 2014</w:t>
      </w:r>
      <w:r w:rsidR="003761CC" w:rsidRPr="00F567DF">
        <w:rPr>
          <w:b w:val="0"/>
          <w:lang w:val="en-AU"/>
        </w:rPr>
        <w:t>–</w:t>
      </w:r>
      <w:r w:rsidRPr="00F567DF">
        <w:rPr>
          <w:b w:val="0"/>
          <w:lang w:val="en-AU"/>
        </w:rPr>
        <w:t>24 February 2017</w:t>
      </w:r>
    </w:p>
    <w:p w14:paraId="4004A0A5" w14:textId="77777777" w:rsidR="00A61FF5" w:rsidRPr="00F567DF" w:rsidRDefault="00A61FF5" w:rsidP="00A61FF5">
      <w:pPr>
        <w:pStyle w:val="ESBodyText"/>
        <w:rPr>
          <w:lang w:val="en-AU"/>
        </w:rPr>
      </w:pPr>
      <w:r w:rsidRPr="00F567DF">
        <w:rPr>
          <w:lang w:val="en-AU"/>
        </w:rPr>
        <w:t>Carol Pagnon has extensive senior executive experience in strategic oversight and planning, decision making, and learning and development. She has gained specialist experience in accounting and assurance, governance, project and organisation risk management and compliance matters primarily within the Victorian public sector, while acting as Director, Assurance Operations in the Victorian Auditor-General’s Office.</w:t>
      </w:r>
    </w:p>
    <w:p w14:paraId="0C93A134" w14:textId="77777777" w:rsidR="00A61FF5" w:rsidRPr="00F567DF" w:rsidRDefault="00A61FF5" w:rsidP="00A61FF5">
      <w:pPr>
        <w:pStyle w:val="ESBodyText"/>
        <w:rPr>
          <w:lang w:val="en-AU"/>
        </w:rPr>
      </w:pPr>
      <w:r w:rsidRPr="00F567DF">
        <w:rPr>
          <w:lang w:val="en-AU"/>
        </w:rPr>
        <w:t>Carol facilitates and advises on governance, risk management, project management and change management in the public and not-for-profit sectors.</w:t>
      </w:r>
    </w:p>
    <w:p w14:paraId="169BF167" w14:textId="77777777" w:rsidR="00A61FF5" w:rsidRPr="00F567DF" w:rsidRDefault="00A61FF5" w:rsidP="00A61FF5">
      <w:pPr>
        <w:pStyle w:val="ESBodyText"/>
        <w:rPr>
          <w:lang w:val="en-AU"/>
        </w:rPr>
      </w:pPr>
      <w:r w:rsidRPr="00F567DF">
        <w:rPr>
          <w:lang w:val="en-AU"/>
        </w:rPr>
        <w:t>Carol is a Fellow of Certified Practicing Accountants (CPA) Australia and a graduate of the Australian Institute of Company Directors.</w:t>
      </w:r>
    </w:p>
    <w:p w14:paraId="7788C804" w14:textId="68B32CAC" w:rsidR="00A61FF5" w:rsidRPr="00F567DF" w:rsidRDefault="00A61FF5" w:rsidP="00A61FF5">
      <w:pPr>
        <w:pStyle w:val="StyleESBodyTextBoldAfter0pt1"/>
        <w:rPr>
          <w:lang w:val="en-AU"/>
        </w:rPr>
      </w:pPr>
      <w:r w:rsidRPr="00F567DF">
        <w:rPr>
          <w:lang w:val="en-AU"/>
        </w:rPr>
        <w:t>Independent member</w:t>
      </w:r>
      <w:r w:rsidRPr="00F567DF">
        <w:rPr>
          <w:lang w:val="en-AU"/>
        </w:rPr>
        <w:br/>
        <w:t>Ms Helen Thornton</w:t>
      </w:r>
      <w:r w:rsidRPr="00F567DF">
        <w:rPr>
          <w:lang w:val="en-AU"/>
        </w:rPr>
        <w:br/>
      </w:r>
      <w:r w:rsidRPr="00F567DF">
        <w:rPr>
          <w:b w:val="0"/>
          <w:lang w:val="en-AU"/>
        </w:rPr>
        <w:t>1 March 2017</w:t>
      </w:r>
      <w:r w:rsidR="003761CC" w:rsidRPr="00F567DF">
        <w:rPr>
          <w:b w:val="0"/>
          <w:lang w:val="en-AU"/>
        </w:rPr>
        <w:t>–</w:t>
      </w:r>
      <w:r w:rsidRPr="00F567DF">
        <w:rPr>
          <w:b w:val="0"/>
          <w:lang w:val="en-AU"/>
        </w:rPr>
        <w:t>28 February 2020</w:t>
      </w:r>
    </w:p>
    <w:p w14:paraId="556E4C38" w14:textId="62EC8448" w:rsidR="00A61FF5" w:rsidRPr="00F567DF" w:rsidRDefault="00A61FF5" w:rsidP="00A61FF5">
      <w:pPr>
        <w:pStyle w:val="ESBodyText"/>
        <w:rPr>
          <w:lang w:val="en-AU"/>
        </w:rPr>
      </w:pPr>
      <w:r w:rsidRPr="00F567DF">
        <w:rPr>
          <w:lang w:val="en-AU"/>
        </w:rPr>
        <w:t xml:space="preserve">Helen Thornton is an experienced non-executive director and is currently on the boards of </w:t>
      </w:r>
      <w:r w:rsidR="00FD73CB">
        <w:rPr>
          <w:lang w:val="en-AU"/>
        </w:rPr>
        <w:t xml:space="preserve">Treasury Corporation Victoria, </w:t>
      </w:r>
      <w:r w:rsidRPr="00F567DF">
        <w:rPr>
          <w:lang w:val="en-AU"/>
        </w:rPr>
        <w:t>Zoos Victoria, Yarra Valley Water and the Legal Practitioners’ Liability Committee.</w:t>
      </w:r>
    </w:p>
    <w:p w14:paraId="036EE979" w14:textId="285AA623" w:rsidR="00A61FF5" w:rsidRPr="00F567DF" w:rsidRDefault="00A61FF5" w:rsidP="00A61FF5">
      <w:pPr>
        <w:pStyle w:val="ESBodyText"/>
        <w:rPr>
          <w:lang w:val="en-AU"/>
        </w:rPr>
      </w:pPr>
      <w:r w:rsidRPr="00F567DF">
        <w:rPr>
          <w:lang w:val="en-AU"/>
        </w:rPr>
        <w:t>Helen is also an independent member of the audit and risk committees for the Department of Environment, Land, Water and Planning and the Department of Health and Human Services. She is a Chartered Accountant with extensive experience in finance, risk management, governance and both internal and external auditing. Helen was the Vice President Risk Management at BlueScope Steel Ltd and has held senior positions at BHP Billiton Ltd</w:t>
      </w:r>
      <w:r w:rsidR="00FD73CB">
        <w:rPr>
          <w:lang w:val="en-AU"/>
        </w:rPr>
        <w:t>, KPMG</w:t>
      </w:r>
      <w:r w:rsidRPr="00F567DF">
        <w:rPr>
          <w:lang w:val="en-AU"/>
        </w:rPr>
        <w:t xml:space="preserve"> and Deloitte.</w:t>
      </w:r>
    </w:p>
    <w:p w14:paraId="50FF745D" w14:textId="77777777" w:rsidR="00A61FF5" w:rsidRPr="00F567DF" w:rsidRDefault="00A61FF5" w:rsidP="00A61FF5">
      <w:pPr>
        <w:pStyle w:val="ESBodyText"/>
        <w:rPr>
          <w:lang w:val="en-AU"/>
        </w:rPr>
      </w:pPr>
      <w:r w:rsidRPr="00F567DF">
        <w:rPr>
          <w:lang w:val="en-AU"/>
        </w:rPr>
        <w:t>Helen is a member of the Institute of Chartered Accountants and the Australian Institute of Company Directors.</w:t>
      </w:r>
    </w:p>
    <w:p w14:paraId="731FF078" w14:textId="77777777" w:rsidR="00A61FF5" w:rsidRPr="00F567DF" w:rsidRDefault="00A61FF5" w:rsidP="00A61FF5">
      <w:pPr>
        <w:pStyle w:val="ESBodyText"/>
        <w:rPr>
          <w:b/>
          <w:bCs/>
          <w:lang w:val="en-AU"/>
        </w:rPr>
      </w:pPr>
      <w:r w:rsidRPr="00F567DF">
        <w:rPr>
          <w:b/>
          <w:bCs/>
          <w:lang w:val="en-AU"/>
        </w:rPr>
        <w:t>Department executive members</w:t>
      </w:r>
    </w:p>
    <w:p w14:paraId="2B591FE2" w14:textId="00D3918D" w:rsidR="00A61FF5" w:rsidRPr="00F567DF" w:rsidRDefault="00A61FF5" w:rsidP="00A61FF5">
      <w:pPr>
        <w:pStyle w:val="StyleESBodyTextBoldAfter0pt1"/>
        <w:rPr>
          <w:lang w:val="en-AU"/>
        </w:rPr>
      </w:pPr>
      <w:r w:rsidRPr="00F567DF">
        <w:rPr>
          <w:lang w:val="en-AU"/>
        </w:rPr>
        <w:t>Ms Kate Rattigan, Deputy Secretary, People and Executive Services Group</w:t>
      </w:r>
      <w:r w:rsidRPr="00F567DF">
        <w:rPr>
          <w:lang w:val="en-AU"/>
        </w:rPr>
        <w:br/>
      </w:r>
      <w:r w:rsidRPr="00F567DF">
        <w:rPr>
          <w:b w:val="0"/>
          <w:lang w:val="en-AU"/>
        </w:rPr>
        <w:t>8 December 2015</w:t>
      </w:r>
      <w:r w:rsidR="003761CC" w:rsidRPr="00F567DF">
        <w:rPr>
          <w:b w:val="0"/>
          <w:lang w:val="en-AU"/>
        </w:rPr>
        <w:t>–</w:t>
      </w:r>
      <w:r w:rsidRPr="00F567DF">
        <w:rPr>
          <w:b w:val="0"/>
          <w:lang w:val="en-AU"/>
        </w:rPr>
        <w:t>31 December 2018</w:t>
      </w:r>
    </w:p>
    <w:p w14:paraId="1528F759" w14:textId="134B043E" w:rsidR="00A61FF5" w:rsidRPr="00F567DF" w:rsidRDefault="00A61FF5" w:rsidP="00A61FF5">
      <w:pPr>
        <w:pStyle w:val="StyleESBodyTextBoldAfter0pt1"/>
        <w:rPr>
          <w:lang w:val="en-AU"/>
        </w:rPr>
      </w:pPr>
      <w:r w:rsidRPr="00F567DF">
        <w:rPr>
          <w:lang w:val="en-AU"/>
        </w:rPr>
        <w:t>Ms Lee Watts, Assistant Deputy Secretary, Vocational Education and Training Reform, Higher Education and Schools</w:t>
      </w:r>
      <w:r w:rsidRPr="00F567DF">
        <w:rPr>
          <w:lang w:val="en-AU"/>
        </w:rPr>
        <w:br/>
      </w:r>
      <w:r w:rsidRPr="00F567DF">
        <w:rPr>
          <w:b w:val="0"/>
          <w:lang w:val="en-AU"/>
        </w:rPr>
        <w:t>1 March 2017</w:t>
      </w:r>
      <w:r w:rsidR="003761CC" w:rsidRPr="00F567DF">
        <w:rPr>
          <w:b w:val="0"/>
          <w:lang w:val="en-AU"/>
        </w:rPr>
        <w:t>–</w:t>
      </w:r>
      <w:r w:rsidRPr="00F567DF">
        <w:rPr>
          <w:b w:val="0"/>
          <w:lang w:val="en-AU"/>
        </w:rPr>
        <w:t>28 February 2020</w:t>
      </w:r>
    </w:p>
    <w:p w14:paraId="5FA5C76E" w14:textId="58A4DF34" w:rsidR="00A61FF5" w:rsidRPr="00F567DF" w:rsidRDefault="00A61FF5" w:rsidP="00A61FF5">
      <w:pPr>
        <w:pStyle w:val="StyleESBodyTextBoldAfter0pt1"/>
        <w:rPr>
          <w:lang w:val="en-AU"/>
        </w:rPr>
      </w:pPr>
      <w:r w:rsidRPr="00F567DF">
        <w:rPr>
          <w:lang w:val="en-AU"/>
        </w:rPr>
        <w:t>Mr Craig Robertson, Deputy Secretary, Higher Education and Skills Group</w:t>
      </w:r>
      <w:r w:rsidRPr="00F567DF">
        <w:rPr>
          <w:lang w:val="en-AU"/>
        </w:rPr>
        <w:br/>
      </w:r>
      <w:r w:rsidRPr="00F567DF">
        <w:rPr>
          <w:b w:val="0"/>
          <w:lang w:val="en-AU"/>
        </w:rPr>
        <w:t>8 December 2015</w:t>
      </w:r>
      <w:r w:rsidR="003761CC" w:rsidRPr="00F567DF">
        <w:rPr>
          <w:b w:val="0"/>
          <w:lang w:val="en-AU"/>
        </w:rPr>
        <w:t>–</w:t>
      </w:r>
      <w:r w:rsidRPr="00F567DF">
        <w:rPr>
          <w:b w:val="0"/>
          <w:lang w:val="en-AU"/>
        </w:rPr>
        <w:t>28 February 2017</w:t>
      </w:r>
    </w:p>
    <w:p w14:paraId="465A6093" w14:textId="77777777" w:rsidR="00A61FF5" w:rsidRPr="00F567DF" w:rsidRDefault="00A61FF5" w:rsidP="00A61FF5">
      <w:pPr>
        <w:rPr>
          <w:rFonts w:ascii="Arial" w:eastAsiaTheme="minorEastAsia" w:hAnsi="Arial" w:cs="Arial"/>
          <w:color w:val="000000" w:themeColor="text1"/>
          <w:sz w:val="22"/>
          <w:szCs w:val="18"/>
          <w:lang w:val="en-AU"/>
        </w:rPr>
      </w:pPr>
      <w:r w:rsidRPr="00F567DF">
        <w:rPr>
          <w:lang w:val="en-AU"/>
        </w:rPr>
        <w:br w:type="page"/>
      </w:r>
    </w:p>
    <w:p w14:paraId="1437C2BE" w14:textId="77777777" w:rsidR="00A61FF5" w:rsidRPr="00F567DF" w:rsidRDefault="00A61FF5" w:rsidP="00A61FF5">
      <w:pPr>
        <w:pStyle w:val="ESHeading3"/>
        <w:rPr>
          <w:lang w:val="en-AU"/>
        </w:rPr>
      </w:pPr>
      <w:r w:rsidRPr="00F567DF">
        <w:rPr>
          <w:lang w:val="en-AU"/>
        </w:rPr>
        <w:t>Executive Development and Remuneration Committee</w:t>
      </w:r>
    </w:p>
    <w:p w14:paraId="0C72F9EF" w14:textId="77777777" w:rsidR="00A9593E" w:rsidRPr="00F567DF" w:rsidRDefault="00A61FF5" w:rsidP="00A61FF5">
      <w:pPr>
        <w:pStyle w:val="ESBodyText"/>
        <w:rPr>
          <w:lang w:val="en-AU"/>
        </w:rPr>
      </w:pPr>
      <w:r w:rsidRPr="00F567DF">
        <w:rPr>
          <w:lang w:val="en-AU"/>
        </w:rPr>
        <w:t>The Executive Development and Remuneration Committee ensures a consistent and rigorous approach to setting and adjusting executive officer remuneration as well as addressing their individual development needs.</w:t>
      </w:r>
    </w:p>
    <w:p w14:paraId="6008525D" w14:textId="7DE67066" w:rsidR="00A61FF5" w:rsidRPr="00F567DF" w:rsidRDefault="00A61FF5" w:rsidP="00A61FF5">
      <w:pPr>
        <w:pStyle w:val="StyleESBodyTextBoldAfter0pt1"/>
        <w:rPr>
          <w:lang w:val="en-AU"/>
        </w:rPr>
      </w:pPr>
      <w:r w:rsidRPr="00F567DF">
        <w:rPr>
          <w:lang w:val="en-AU"/>
        </w:rPr>
        <w:t>Independent member</w:t>
      </w:r>
      <w:r w:rsidRPr="00F567DF">
        <w:rPr>
          <w:lang w:val="en-AU"/>
        </w:rPr>
        <w:br/>
        <w:t>Ms Pam White</w:t>
      </w:r>
    </w:p>
    <w:p w14:paraId="3A4CB5DE" w14:textId="77777777" w:rsidR="00A61FF5" w:rsidRPr="00F567DF" w:rsidRDefault="00A61FF5" w:rsidP="00A61FF5">
      <w:pPr>
        <w:pStyle w:val="ESBodyText"/>
        <w:rPr>
          <w:lang w:val="en-AU"/>
        </w:rPr>
      </w:pPr>
      <w:r w:rsidRPr="00F567DF">
        <w:rPr>
          <w:lang w:val="en-AU"/>
        </w:rPr>
        <w:t>Pam has had more than 30 years’ experience in senior management and leadership positions in the Victorian Public Service in both policy development and operations. She has worked in child protection, disability, housing, youth justice and emergency management. For two years, she led the State Services Authority (now the Victorian Public Sector Commission), the body responsible for public sector administration, governance, service delivery, and workforce management and development.</w:t>
      </w:r>
    </w:p>
    <w:p w14:paraId="2BE9D7B2" w14:textId="77777777" w:rsidR="00A61FF5" w:rsidRPr="00F567DF" w:rsidRDefault="00A61FF5" w:rsidP="00A61FF5">
      <w:pPr>
        <w:pStyle w:val="ESBodyText"/>
        <w:rPr>
          <w:lang w:val="en-AU"/>
        </w:rPr>
      </w:pPr>
      <w:r w:rsidRPr="00F567DF">
        <w:rPr>
          <w:lang w:val="en-AU"/>
        </w:rPr>
        <w:t>In 2012, Pam was awarded the Public Service Medal for her work improving services for vulnerable children and emergency management recovery services.</w:t>
      </w:r>
    </w:p>
    <w:p w14:paraId="45049D88" w14:textId="77777777" w:rsidR="00A61FF5" w:rsidRPr="00F567DF" w:rsidRDefault="00A61FF5" w:rsidP="00A61FF5">
      <w:pPr>
        <w:pStyle w:val="ESBodyText"/>
        <w:rPr>
          <w:lang w:val="en-AU"/>
        </w:rPr>
      </w:pPr>
      <w:r w:rsidRPr="00F567DF">
        <w:rPr>
          <w:lang w:val="en-AU"/>
        </w:rPr>
        <w:t>Pam appreciates and understands the roles and workings of all levels of government, including the importance of good governance in delivering effective and integrated public services.</w:t>
      </w:r>
    </w:p>
    <w:p w14:paraId="5D1C4A63" w14:textId="77777777" w:rsidR="00A61FF5" w:rsidRPr="00F567DF" w:rsidRDefault="00A61FF5" w:rsidP="00A61FF5">
      <w:pPr>
        <w:pStyle w:val="ESBodyText"/>
        <w:rPr>
          <w:lang w:val="en-AU"/>
        </w:rPr>
      </w:pPr>
      <w:bookmarkStart w:id="131" w:name="_Toc488410109"/>
      <w:bookmarkStart w:id="132" w:name="_Toc488767581"/>
      <w:bookmarkStart w:id="133" w:name="_Toc488768993"/>
      <w:r w:rsidRPr="00F567DF">
        <w:rPr>
          <w:lang w:val="en-AU"/>
        </w:rPr>
        <w:t>There are six committees that report primarily to the Executive Board:</w:t>
      </w:r>
      <w:bookmarkEnd w:id="131"/>
      <w:bookmarkEnd w:id="132"/>
      <w:bookmarkEnd w:id="133"/>
    </w:p>
    <w:p w14:paraId="215EABF5" w14:textId="77777777" w:rsidR="00A61FF5" w:rsidRPr="00F567DF" w:rsidRDefault="00A61FF5" w:rsidP="00A61FF5">
      <w:pPr>
        <w:pStyle w:val="ESHeading3"/>
        <w:rPr>
          <w:lang w:val="en-AU"/>
        </w:rPr>
      </w:pPr>
      <w:r w:rsidRPr="00F567DF">
        <w:rPr>
          <w:lang w:val="en-AU"/>
        </w:rPr>
        <w:t>Budget and Financial Management Committee</w:t>
      </w:r>
    </w:p>
    <w:p w14:paraId="47F7905F" w14:textId="77777777" w:rsidR="00A61FF5" w:rsidRPr="00F567DF" w:rsidRDefault="00A61FF5" w:rsidP="00A61FF5">
      <w:pPr>
        <w:pStyle w:val="ESBodyText"/>
        <w:rPr>
          <w:lang w:val="en-AU"/>
        </w:rPr>
      </w:pPr>
      <w:r w:rsidRPr="00F567DF">
        <w:rPr>
          <w:lang w:val="en-AU"/>
        </w:rPr>
        <w:t>The purpose of the Budget and Financial Management Committee (BFMC) is to advise the Secretary on priorities for the budget, and oversee effective strategic development and coordination of Departmental finances and physical assets.</w:t>
      </w:r>
    </w:p>
    <w:p w14:paraId="7F6A7974" w14:textId="77777777" w:rsidR="00A61FF5" w:rsidRPr="00F567DF" w:rsidRDefault="00A61FF5" w:rsidP="00A61FF5">
      <w:pPr>
        <w:pStyle w:val="ESBodyText"/>
        <w:rPr>
          <w:lang w:val="en-AU"/>
        </w:rPr>
      </w:pPr>
      <w:r w:rsidRPr="00F567DF">
        <w:rPr>
          <w:lang w:val="en-AU"/>
        </w:rPr>
        <w:t>The BFMC leads the Department’s drive for improved financial sustainability, and ensures the effective oversight and allocation of financial resources in alignment with the Department’s objectives.</w:t>
      </w:r>
    </w:p>
    <w:p w14:paraId="32C25B64" w14:textId="77777777" w:rsidR="00A61FF5" w:rsidRPr="00F567DF" w:rsidRDefault="00A61FF5" w:rsidP="00A61FF5">
      <w:pPr>
        <w:pStyle w:val="StyleESBodyTextBoldAfter0pt1"/>
        <w:rPr>
          <w:lang w:val="en-AU"/>
        </w:rPr>
      </w:pPr>
      <w:r w:rsidRPr="00F567DF">
        <w:rPr>
          <w:lang w:val="en-AU"/>
        </w:rPr>
        <w:t>Independent member</w:t>
      </w:r>
      <w:r w:rsidRPr="00F567DF">
        <w:rPr>
          <w:lang w:val="en-AU"/>
        </w:rPr>
        <w:br/>
        <w:t>Mr Peter Fuhrmann</w:t>
      </w:r>
    </w:p>
    <w:p w14:paraId="6538D5BB" w14:textId="77777777" w:rsidR="00A61FF5" w:rsidRPr="00F567DF" w:rsidRDefault="00A61FF5" w:rsidP="00A61FF5">
      <w:pPr>
        <w:pStyle w:val="ESBodyText"/>
        <w:rPr>
          <w:lang w:val="en-AU"/>
        </w:rPr>
      </w:pPr>
      <w:r w:rsidRPr="00F567DF">
        <w:rPr>
          <w:lang w:val="en-AU"/>
        </w:rPr>
        <w:t>Peter came to the Victorian Public Service (VPS) following 22 years in the banking industry, including six years as Budget Manager, State Bank of Victoria.</w:t>
      </w:r>
    </w:p>
    <w:p w14:paraId="506C4EEF" w14:textId="77777777" w:rsidR="00A61FF5" w:rsidRPr="00F567DF" w:rsidRDefault="00A61FF5" w:rsidP="00A61FF5">
      <w:pPr>
        <w:pStyle w:val="ESBodyText"/>
        <w:rPr>
          <w:lang w:val="en-AU"/>
        </w:rPr>
      </w:pPr>
      <w:r w:rsidRPr="00F567DF">
        <w:rPr>
          <w:lang w:val="en-AU"/>
        </w:rPr>
        <w:t>Peter has more than 32 years’ experience in budget and financial management with the VPS, mostly as an executive officer, encompassing all facets of financial and public account management and budgeting.</w:t>
      </w:r>
    </w:p>
    <w:p w14:paraId="661D0528" w14:textId="61968A44" w:rsidR="00A61FF5" w:rsidRPr="00F567DF" w:rsidRDefault="00A61FF5" w:rsidP="00A61FF5">
      <w:pPr>
        <w:pStyle w:val="ESBodyText"/>
        <w:rPr>
          <w:lang w:val="en-AU"/>
        </w:rPr>
      </w:pPr>
      <w:r w:rsidRPr="00F567DF">
        <w:rPr>
          <w:lang w:val="en-AU"/>
        </w:rPr>
        <w:t xml:space="preserve">From 2006 to 2012, he was the Treasurer’s representative on the Finance Committee and the Audit Committee of the Cancer Council of Victoria. The committees were responsible to the Executive Committee </w:t>
      </w:r>
      <w:r w:rsidR="00380D35">
        <w:rPr>
          <w:lang w:val="en-AU"/>
        </w:rPr>
        <w:t>of</w:t>
      </w:r>
      <w:r w:rsidRPr="00F567DF">
        <w:rPr>
          <w:lang w:val="en-AU"/>
        </w:rPr>
        <w:t xml:space="preserve"> the </w:t>
      </w:r>
      <w:r w:rsidR="00380D35">
        <w:rPr>
          <w:lang w:val="en-AU"/>
        </w:rPr>
        <w:t xml:space="preserve">Cancer </w:t>
      </w:r>
      <w:r w:rsidRPr="00F567DF">
        <w:rPr>
          <w:lang w:val="en-AU"/>
        </w:rPr>
        <w:t>council for the council’s substantial investment program during the global financial crisis, development and monitoring of its operating budget, accommodation, risk management, fund raising strategies and statutory reporting. Peter is a Fellow of Certified Practicing Accountants and in 2010 was awarded the Australian Public Service Medal.</w:t>
      </w:r>
    </w:p>
    <w:p w14:paraId="025BC3AD" w14:textId="77777777" w:rsidR="00A61FF5" w:rsidRPr="00F567DF" w:rsidRDefault="00A61FF5" w:rsidP="00A61FF5">
      <w:pPr>
        <w:pStyle w:val="ESHeading3"/>
        <w:rPr>
          <w:lang w:val="en-AU"/>
        </w:rPr>
      </w:pPr>
      <w:r w:rsidRPr="00F567DF">
        <w:rPr>
          <w:lang w:val="en-AU"/>
        </w:rPr>
        <w:t>Information Management and Technology Committee</w:t>
      </w:r>
    </w:p>
    <w:p w14:paraId="156E65CB" w14:textId="3E94833A" w:rsidR="00A61FF5" w:rsidRPr="00F567DF" w:rsidRDefault="00A61FF5" w:rsidP="00A61FF5">
      <w:pPr>
        <w:pStyle w:val="ESBodyText"/>
        <w:rPr>
          <w:lang w:val="en-AU"/>
        </w:rPr>
      </w:pPr>
      <w:r w:rsidRPr="00F567DF">
        <w:rPr>
          <w:lang w:val="en-AU"/>
        </w:rPr>
        <w:t xml:space="preserve">The Information Management and Technology Committee (IMTC) provides strategic oversight of the Department’s informational management and technology functions, priorities and systems, including information security. All departmental informational management and technology initiatives must be presented to the IMTC for endorsement before their funding proposal is submitted to the BFMC or </w:t>
      </w:r>
      <w:r w:rsidR="00380D35">
        <w:rPr>
          <w:lang w:val="en-AU"/>
        </w:rPr>
        <w:t xml:space="preserve">before </w:t>
      </w:r>
      <w:r w:rsidRPr="00F567DF">
        <w:rPr>
          <w:lang w:val="en-AU"/>
        </w:rPr>
        <w:t>the Executive Board considers them for approval. The IMTC comprises 12 members and is chaired by a deputy secretary.</w:t>
      </w:r>
    </w:p>
    <w:p w14:paraId="4743DB17" w14:textId="77777777" w:rsidR="00A61FF5" w:rsidRPr="00F567DF" w:rsidRDefault="00A61FF5" w:rsidP="00A61FF5">
      <w:pPr>
        <w:rPr>
          <w:rFonts w:ascii="Arial" w:eastAsiaTheme="minorEastAsia" w:hAnsi="Arial" w:cs="Arial"/>
          <w:color w:val="000000" w:themeColor="text1"/>
          <w:sz w:val="22"/>
          <w:szCs w:val="18"/>
          <w:lang w:val="en-AU"/>
        </w:rPr>
      </w:pPr>
      <w:r w:rsidRPr="00F567DF">
        <w:rPr>
          <w:lang w:val="en-AU"/>
        </w:rPr>
        <w:br w:type="page"/>
      </w:r>
    </w:p>
    <w:p w14:paraId="1138D0A2" w14:textId="77777777" w:rsidR="00A61FF5" w:rsidRPr="00F567DF" w:rsidRDefault="00A61FF5" w:rsidP="00A61FF5">
      <w:pPr>
        <w:pStyle w:val="ESHeading3"/>
        <w:rPr>
          <w:lang w:val="en-AU"/>
        </w:rPr>
      </w:pPr>
      <w:r w:rsidRPr="00F567DF">
        <w:rPr>
          <w:lang w:val="en-AU"/>
        </w:rPr>
        <w:t>Policy and Implementation Committee</w:t>
      </w:r>
    </w:p>
    <w:p w14:paraId="4BA89112" w14:textId="77777777" w:rsidR="00A61FF5" w:rsidRPr="00F567DF" w:rsidRDefault="00A61FF5" w:rsidP="00A61FF5">
      <w:pPr>
        <w:pStyle w:val="ESBodyText"/>
        <w:rPr>
          <w:lang w:val="en-AU"/>
        </w:rPr>
      </w:pPr>
      <w:r w:rsidRPr="00F567DF">
        <w:rPr>
          <w:lang w:val="en-AU"/>
        </w:rPr>
        <w:t>The Policy and Implementation Committee (PIC) oversees the development, implementation and evaluation of strategically significant policy initiatives to strengthen Victoria's education services and assets. The committee draws on the expertise of all groups to bring a whole-of-lifecycle approach to policy development and execution. The PIC comprises 12 members and is chaired by a deputy secretary.</w:t>
      </w:r>
    </w:p>
    <w:p w14:paraId="1CD23E8D" w14:textId="77777777" w:rsidR="00A61FF5" w:rsidRPr="00F567DF" w:rsidRDefault="00A61FF5" w:rsidP="00A61FF5">
      <w:pPr>
        <w:pStyle w:val="ESHeading3"/>
        <w:rPr>
          <w:lang w:val="en-AU"/>
        </w:rPr>
      </w:pPr>
      <w:r w:rsidRPr="00F567DF">
        <w:rPr>
          <w:lang w:val="en-AU"/>
        </w:rPr>
        <w:t>Performance and Evaluation Committee</w:t>
      </w:r>
    </w:p>
    <w:p w14:paraId="48B666FD" w14:textId="77777777" w:rsidR="00A61FF5" w:rsidRPr="00F567DF" w:rsidRDefault="00A61FF5" w:rsidP="00A61FF5">
      <w:pPr>
        <w:pStyle w:val="ESBodyText"/>
        <w:rPr>
          <w:lang w:val="en-AU"/>
        </w:rPr>
      </w:pPr>
      <w:r w:rsidRPr="00F567DF">
        <w:rPr>
          <w:lang w:val="en-AU"/>
        </w:rPr>
        <w:t>The Performance and Evaluation Committee (PEC) provides oversight and assurance of performance monitoring, reporting and evaluation activities across the Department, monitors the implementation of these activities, and ensures that the Department applies the findings of these activities by identifying appropriate responses. The PEC comprises 11 members and is chaired by a deputy secretary.</w:t>
      </w:r>
    </w:p>
    <w:p w14:paraId="1899C17E" w14:textId="77777777" w:rsidR="00A61FF5" w:rsidRPr="00F567DF" w:rsidRDefault="00A61FF5" w:rsidP="00A61FF5">
      <w:pPr>
        <w:pStyle w:val="ESHeading3"/>
        <w:rPr>
          <w:lang w:val="en-AU"/>
        </w:rPr>
      </w:pPr>
      <w:r w:rsidRPr="00F567DF">
        <w:rPr>
          <w:lang w:val="en-AU"/>
        </w:rPr>
        <w:t>Procurement and Probity Committee</w:t>
      </w:r>
    </w:p>
    <w:p w14:paraId="5DA0C07C" w14:textId="77777777" w:rsidR="00A61FF5" w:rsidRPr="00F567DF" w:rsidRDefault="00A61FF5" w:rsidP="00A61FF5">
      <w:pPr>
        <w:pStyle w:val="ESBodyText"/>
        <w:rPr>
          <w:lang w:val="en-AU"/>
        </w:rPr>
      </w:pPr>
      <w:r w:rsidRPr="00F567DF">
        <w:rPr>
          <w:lang w:val="en-AU"/>
        </w:rPr>
        <w:t>The Procurement and Probity Committee (PPC) provides strategic oversight of procurement activities within the Department to ensure appropriate rigour has been exercised in accordance with the Department’s procurement policy. In doing so, the PPC supports the Secretary’s obligations in accordance with Victorian Government Purchasing Board (VGPB) policy, as set out by the Financial Management Act. The PPC considers procurement of goods and services in statutory authorities (VCAA, VRQA and Merit Protection Board). The PPC does not consider procurement related to construction or property. The PPC comprises 13 members and is chaired by a deputy secretary.</w:t>
      </w:r>
    </w:p>
    <w:p w14:paraId="7B053A59" w14:textId="77777777" w:rsidR="00A61FF5" w:rsidRPr="00F567DF" w:rsidRDefault="00A61FF5" w:rsidP="00A61FF5">
      <w:pPr>
        <w:pStyle w:val="ESHeading3"/>
        <w:rPr>
          <w:lang w:val="en-AU"/>
        </w:rPr>
      </w:pPr>
      <w:r w:rsidRPr="00F567DF">
        <w:rPr>
          <w:lang w:val="en-AU"/>
        </w:rPr>
        <w:t>Workforce Development and Culture Committee</w:t>
      </w:r>
    </w:p>
    <w:p w14:paraId="129C585A" w14:textId="77777777" w:rsidR="00A61FF5" w:rsidRPr="00F567DF" w:rsidRDefault="00A61FF5" w:rsidP="00A61FF5">
      <w:pPr>
        <w:pStyle w:val="ESBodyText"/>
        <w:rPr>
          <w:highlight w:val="yellow"/>
          <w:lang w:val="en-AU"/>
        </w:rPr>
      </w:pPr>
      <w:r w:rsidRPr="00F567DF">
        <w:rPr>
          <w:lang w:val="en-AU"/>
        </w:rPr>
        <w:t>The Workforce Development and Culture Committee (WDCC) monitors and oversees the development, implementation and evaluation of strategies and activities to promote exceptional organisational culture and capability across all head office, regional, statutory authority activities, and the teaching workforce. The WDCC comprises 11 members and is chaired by a deputy secretary.</w:t>
      </w:r>
    </w:p>
    <w:p w14:paraId="12F63D74" w14:textId="4961ED6D" w:rsidR="00A61FF5" w:rsidRPr="00F567DF" w:rsidRDefault="00A61FF5" w:rsidP="00D2232D">
      <w:pPr>
        <w:pStyle w:val="ESHeading2"/>
      </w:pPr>
      <w:bookmarkStart w:id="134" w:name="_Toc488410110"/>
      <w:bookmarkStart w:id="135" w:name="_Toc488767582"/>
      <w:bookmarkStart w:id="136" w:name="_Toc488768994"/>
      <w:bookmarkStart w:id="137" w:name="_Toc489526709"/>
      <w:bookmarkStart w:id="138" w:name="_Toc491070308"/>
      <w:bookmarkStart w:id="139" w:name="_Toc491409534"/>
      <w:bookmarkStart w:id="140" w:name="_Toc491414663"/>
      <w:r w:rsidRPr="00F567DF">
        <w:t>Statutory authorities and boards</w:t>
      </w:r>
      <w:bookmarkEnd w:id="134"/>
      <w:bookmarkEnd w:id="135"/>
      <w:bookmarkEnd w:id="136"/>
      <w:bookmarkEnd w:id="137"/>
      <w:bookmarkEnd w:id="138"/>
      <w:bookmarkEnd w:id="139"/>
      <w:bookmarkEnd w:id="140"/>
    </w:p>
    <w:p w14:paraId="0BA04CEE" w14:textId="77777777" w:rsidR="00A61FF5" w:rsidRPr="00F567DF" w:rsidRDefault="00A61FF5" w:rsidP="00A61FF5">
      <w:pPr>
        <w:pStyle w:val="ESBodyText"/>
        <w:rPr>
          <w:lang w:val="en-AU"/>
        </w:rPr>
      </w:pPr>
      <w:r w:rsidRPr="00F567DF">
        <w:rPr>
          <w:lang w:val="en-AU"/>
        </w:rPr>
        <w:t>The Department works in conjunction with the following statutory authorities and boards:</w:t>
      </w:r>
    </w:p>
    <w:p w14:paraId="1FB40C5F" w14:textId="77777777" w:rsidR="00A61FF5" w:rsidRPr="00F567DF" w:rsidRDefault="00A61FF5" w:rsidP="00A61FF5">
      <w:pPr>
        <w:pStyle w:val="ESBullet1indent"/>
        <w:rPr>
          <w:lang w:val="en-AU"/>
        </w:rPr>
      </w:pPr>
      <w:r w:rsidRPr="00F567DF">
        <w:rPr>
          <w:lang w:val="en-AU"/>
        </w:rPr>
        <w:t>Victorian Curriculum and Assessment Authority</w:t>
      </w:r>
    </w:p>
    <w:p w14:paraId="594B5E0B" w14:textId="77777777" w:rsidR="00A61FF5" w:rsidRPr="00F567DF" w:rsidRDefault="00A61FF5" w:rsidP="00A61FF5">
      <w:pPr>
        <w:pStyle w:val="ESBullet1indent"/>
        <w:rPr>
          <w:lang w:val="en-AU"/>
        </w:rPr>
      </w:pPr>
      <w:r w:rsidRPr="00F567DF">
        <w:rPr>
          <w:lang w:val="en-AU"/>
        </w:rPr>
        <w:t>Victorian Registration and Qualifications Authority</w:t>
      </w:r>
    </w:p>
    <w:p w14:paraId="3B63BB6A" w14:textId="77777777" w:rsidR="00A61FF5" w:rsidRPr="00F567DF" w:rsidRDefault="00A61FF5" w:rsidP="00A61FF5">
      <w:pPr>
        <w:pStyle w:val="ESBullet1indent"/>
        <w:rPr>
          <w:lang w:val="en-AU"/>
        </w:rPr>
      </w:pPr>
      <w:r w:rsidRPr="00F567DF">
        <w:rPr>
          <w:lang w:val="en-AU"/>
        </w:rPr>
        <w:t>Victorian Institute of Teaching</w:t>
      </w:r>
    </w:p>
    <w:p w14:paraId="7C19AF2A" w14:textId="77777777" w:rsidR="00A61FF5" w:rsidRPr="00F567DF" w:rsidRDefault="00A61FF5" w:rsidP="00A61FF5">
      <w:pPr>
        <w:pStyle w:val="ESBullet1indent"/>
        <w:rPr>
          <w:lang w:val="en-AU"/>
        </w:rPr>
      </w:pPr>
      <w:r w:rsidRPr="00F567DF">
        <w:rPr>
          <w:lang w:val="en-AU"/>
        </w:rPr>
        <w:t>Adult, Community and Further Education Board</w:t>
      </w:r>
    </w:p>
    <w:p w14:paraId="0061E06A" w14:textId="77777777" w:rsidR="00A61FF5" w:rsidRPr="00F567DF" w:rsidRDefault="00A61FF5" w:rsidP="00A61FF5">
      <w:pPr>
        <w:pStyle w:val="ESBullet1indent"/>
        <w:rPr>
          <w:lang w:val="en-AU"/>
        </w:rPr>
      </w:pPr>
      <w:r w:rsidRPr="00F567DF">
        <w:rPr>
          <w:lang w:val="en-AU"/>
        </w:rPr>
        <w:t>AMES Australia</w:t>
      </w:r>
    </w:p>
    <w:p w14:paraId="45EAE340" w14:textId="77777777" w:rsidR="00A61FF5" w:rsidRPr="00F567DF" w:rsidRDefault="00A61FF5" w:rsidP="00A61FF5">
      <w:pPr>
        <w:pStyle w:val="ESBullet1indent"/>
        <w:rPr>
          <w:lang w:val="en-AU"/>
        </w:rPr>
      </w:pPr>
      <w:r w:rsidRPr="00F567DF">
        <w:rPr>
          <w:lang w:val="en-AU"/>
        </w:rPr>
        <w:t>TAFE institutes</w:t>
      </w:r>
    </w:p>
    <w:p w14:paraId="5F1CF68D" w14:textId="77777777" w:rsidR="00A61FF5" w:rsidRPr="00F567DF" w:rsidRDefault="00A61FF5" w:rsidP="00A61FF5">
      <w:pPr>
        <w:pStyle w:val="ESBullet1indent"/>
        <w:rPr>
          <w:lang w:val="en-AU"/>
        </w:rPr>
      </w:pPr>
      <w:r w:rsidRPr="00F567DF">
        <w:rPr>
          <w:lang w:val="en-AU"/>
        </w:rPr>
        <w:t>Centre for Adult Education (CAE)</w:t>
      </w:r>
    </w:p>
    <w:p w14:paraId="752B6173" w14:textId="77777777" w:rsidR="00A61FF5" w:rsidRPr="00F567DF" w:rsidRDefault="00A61FF5" w:rsidP="00A61FF5">
      <w:pPr>
        <w:pStyle w:val="ESBullet1indent"/>
        <w:rPr>
          <w:lang w:val="en-AU"/>
        </w:rPr>
      </w:pPr>
      <w:r w:rsidRPr="00F567DF">
        <w:rPr>
          <w:lang w:val="en-AU"/>
        </w:rPr>
        <w:t>Children’s Services Coordination Board</w:t>
      </w:r>
    </w:p>
    <w:p w14:paraId="1C467E01" w14:textId="77777777" w:rsidR="00A61FF5" w:rsidRPr="00F567DF" w:rsidRDefault="00A61FF5" w:rsidP="00A61FF5">
      <w:pPr>
        <w:pStyle w:val="ESBullet1indent"/>
        <w:rPr>
          <w:lang w:val="en-AU"/>
        </w:rPr>
      </w:pPr>
      <w:r w:rsidRPr="00F567DF">
        <w:rPr>
          <w:lang w:val="en-AU"/>
        </w:rPr>
        <w:t>Disciplinary Appeals Boards</w:t>
      </w:r>
    </w:p>
    <w:p w14:paraId="575C9E57" w14:textId="77777777" w:rsidR="00A61FF5" w:rsidRPr="00F567DF" w:rsidRDefault="00A61FF5" w:rsidP="00A61FF5">
      <w:pPr>
        <w:pStyle w:val="ESBullet1indent"/>
        <w:rPr>
          <w:lang w:val="en-AU"/>
        </w:rPr>
      </w:pPr>
      <w:r w:rsidRPr="00F567DF">
        <w:rPr>
          <w:lang w:val="en-AU"/>
        </w:rPr>
        <w:t>Merit Protection Boards</w:t>
      </w:r>
    </w:p>
    <w:p w14:paraId="17334F5E" w14:textId="77777777" w:rsidR="00A61FF5" w:rsidRPr="00F567DF" w:rsidRDefault="00A61FF5" w:rsidP="00A61FF5">
      <w:pPr>
        <w:pStyle w:val="ESBullet1indent"/>
        <w:rPr>
          <w:lang w:val="en-AU"/>
        </w:rPr>
      </w:pPr>
      <w:r w:rsidRPr="00F567DF">
        <w:rPr>
          <w:lang w:val="en-AU"/>
        </w:rPr>
        <w:t>Victorian Children’s Council</w:t>
      </w:r>
    </w:p>
    <w:p w14:paraId="267881DF" w14:textId="196B02BD" w:rsidR="00A61FF5" w:rsidRPr="00F567DF" w:rsidRDefault="00A61FF5" w:rsidP="00A61FF5">
      <w:pPr>
        <w:pStyle w:val="ESBodyText"/>
        <w:rPr>
          <w:lang w:val="en-AU"/>
        </w:rPr>
      </w:pPr>
      <w:r w:rsidRPr="00F567DF">
        <w:rPr>
          <w:lang w:val="en-AU"/>
        </w:rPr>
        <w:t>Statutory authorities and boards make their own annual reports and produce them for financial years (1 July</w:t>
      </w:r>
      <w:r w:rsidR="003761CC" w:rsidRPr="00F567DF">
        <w:rPr>
          <w:lang w:val="en-AU"/>
        </w:rPr>
        <w:t>–</w:t>
      </w:r>
      <w:r w:rsidRPr="00F567DF">
        <w:rPr>
          <w:lang w:val="en-AU"/>
        </w:rPr>
        <w:t>30 June) or calendar years (1 January</w:t>
      </w:r>
      <w:r w:rsidR="003761CC" w:rsidRPr="00F567DF">
        <w:rPr>
          <w:lang w:val="en-AU"/>
        </w:rPr>
        <w:t>–</w:t>
      </w:r>
      <w:r w:rsidRPr="00F567DF">
        <w:rPr>
          <w:lang w:val="en-AU"/>
        </w:rPr>
        <w:t>31 December).</w:t>
      </w:r>
    </w:p>
    <w:p w14:paraId="781B0EBE" w14:textId="5FC77739" w:rsidR="00A61FF5" w:rsidRPr="00F567DF" w:rsidRDefault="00A61FF5" w:rsidP="00A61FF5">
      <w:pPr>
        <w:pStyle w:val="ESBullet1indent"/>
        <w:numPr>
          <w:ilvl w:val="0"/>
          <w:numId w:val="0"/>
        </w:numPr>
        <w:rPr>
          <w:lang w:val="en-AU"/>
        </w:rPr>
      </w:pPr>
      <w:r w:rsidRPr="00F567DF">
        <w:rPr>
          <w:lang w:val="en-AU"/>
        </w:rPr>
        <w:t>Financial year reports (1 July 2016</w:t>
      </w:r>
      <w:r w:rsidR="003761CC" w:rsidRPr="00F567DF">
        <w:rPr>
          <w:lang w:val="en-AU"/>
        </w:rPr>
        <w:t>–</w:t>
      </w:r>
      <w:r w:rsidRPr="00F567DF">
        <w:rPr>
          <w:lang w:val="en-AU"/>
        </w:rPr>
        <w:t>30 June 2017)</w:t>
      </w:r>
    </w:p>
    <w:p w14:paraId="41117AD8" w14:textId="77777777" w:rsidR="00A61FF5" w:rsidRPr="00F567DF" w:rsidRDefault="00A61FF5" w:rsidP="00A61FF5">
      <w:pPr>
        <w:pStyle w:val="ESBullet1indent"/>
        <w:rPr>
          <w:lang w:val="en-AU"/>
        </w:rPr>
      </w:pPr>
      <w:r w:rsidRPr="00F567DF">
        <w:rPr>
          <w:lang w:val="en-AU"/>
        </w:rPr>
        <w:t>Adult, Community and Further Education Board</w:t>
      </w:r>
    </w:p>
    <w:p w14:paraId="56A298FE" w14:textId="77777777" w:rsidR="00A61FF5" w:rsidRPr="00F567DF" w:rsidRDefault="00A61FF5" w:rsidP="00A61FF5">
      <w:pPr>
        <w:pStyle w:val="ESBullet1indent"/>
        <w:rPr>
          <w:lang w:val="en-AU"/>
        </w:rPr>
      </w:pPr>
      <w:r w:rsidRPr="00F567DF">
        <w:rPr>
          <w:lang w:val="en-AU"/>
        </w:rPr>
        <w:t>Victorian Curriculum and Assessment Authority</w:t>
      </w:r>
    </w:p>
    <w:p w14:paraId="36D43106" w14:textId="77777777" w:rsidR="00A61FF5" w:rsidRPr="00F567DF" w:rsidRDefault="00A61FF5" w:rsidP="00A61FF5">
      <w:pPr>
        <w:pStyle w:val="ESBullet1indent"/>
        <w:rPr>
          <w:lang w:val="en-AU"/>
        </w:rPr>
      </w:pPr>
      <w:r w:rsidRPr="00F567DF">
        <w:rPr>
          <w:lang w:val="en-AU"/>
        </w:rPr>
        <w:t>Victorian Institute of Teaching</w:t>
      </w:r>
    </w:p>
    <w:p w14:paraId="05698A7A" w14:textId="77777777" w:rsidR="00A61FF5" w:rsidRPr="00F567DF" w:rsidRDefault="00A61FF5" w:rsidP="00A61FF5">
      <w:pPr>
        <w:pStyle w:val="ESBullet1indent"/>
        <w:rPr>
          <w:lang w:val="en-AU"/>
        </w:rPr>
      </w:pPr>
      <w:r w:rsidRPr="00F567DF">
        <w:rPr>
          <w:lang w:val="en-AU"/>
        </w:rPr>
        <w:t>Victorian Registration and Qualifications Authority</w:t>
      </w:r>
    </w:p>
    <w:p w14:paraId="3CF20EE3" w14:textId="53F4520E" w:rsidR="00A61FF5" w:rsidRPr="00F567DF" w:rsidRDefault="00A61FF5" w:rsidP="00A61FF5">
      <w:pPr>
        <w:pStyle w:val="ESBodyText"/>
        <w:rPr>
          <w:lang w:val="en-AU"/>
        </w:rPr>
      </w:pPr>
      <w:r w:rsidRPr="00F567DF">
        <w:rPr>
          <w:lang w:val="en-AU"/>
        </w:rPr>
        <w:t>Calendar year reports (1 January 2017</w:t>
      </w:r>
      <w:r w:rsidR="003761CC" w:rsidRPr="00F567DF">
        <w:rPr>
          <w:lang w:val="en-AU"/>
        </w:rPr>
        <w:t>–</w:t>
      </w:r>
      <w:r w:rsidRPr="00F567DF">
        <w:rPr>
          <w:lang w:val="en-AU"/>
        </w:rPr>
        <w:t>31 December 2017)</w:t>
      </w:r>
    </w:p>
    <w:p w14:paraId="2D31E685" w14:textId="77777777" w:rsidR="00A61FF5" w:rsidRPr="00F567DF" w:rsidRDefault="00A61FF5" w:rsidP="00A61FF5">
      <w:pPr>
        <w:pStyle w:val="ESBullet1indent"/>
        <w:rPr>
          <w:lang w:val="en-AU"/>
        </w:rPr>
      </w:pPr>
      <w:r w:rsidRPr="00F567DF">
        <w:rPr>
          <w:lang w:val="en-AU"/>
        </w:rPr>
        <w:t>AMES Australia</w:t>
      </w:r>
    </w:p>
    <w:p w14:paraId="6E653DCD" w14:textId="77777777" w:rsidR="00A61FF5" w:rsidRPr="00F567DF" w:rsidRDefault="00A61FF5" w:rsidP="00A61FF5">
      <w:pPr>
        <w:pStyle w:val="ESBullet1indent"/>
        <w:rPr>
          <w:lang w:val="en-AU"/>
        </w:rPr>
      </w:pPr>
      <w:r w:rsidRPr="00F567DF">
        <w:rPr>
          <w:lang w:val="en-AU"/>
        </w:rPr>
        <w:t>Centre for Adult Education</w:t>
      </w:r>
    </w:p>
    <w:p w14:paraId="3D00D83C" w14:textId="77777777" w:rsidR="00A61FF5" w:rsidRPr="00F567DF" w:rsidRDefault="00A61FF5" w:rsidP="00A61FF5">
      <w:pPr>
        <w:pStyle w:val="ESBullet1indent"/>
        <w:rPr>
          <w:lang w:val="en-AU"/>
        </w:rPr>
      </w:pPr>
      <w:r w:rsidRPr="00F567DF">
        <w:rPr>
          <w:lang w:val="en-AU"/>
        </w:rPr>
        <w:t>TAFE institutes</w:t>
      </w:r>
    </w:p>
    <w:p w14:paraId="64744BE3" w14:textId="77777777" w:rsidR="00A61FF5" w:rsidRPr="00F567DF" w:rsidRDefault="00A61FF5" w:rsidP="00A61FF5">
      <w:pPr>
        <w:pStyle w:val="ESBodyText"/>
        <w:rPr>
          <w:lang w:val="en-AU"/>
        </w:rPr>
      </w:pPr>
      <w:r w:rsidRPr="00F567DF">
        <w:rPr>
          <w:lang w:val="en-AU"/>
        </w:rPr>
        <w:t>Reports of the Children’s Services Coordination Board, Disciplinary Appeals Board, Merit Protection Board and Victorian Children’s Council are included as Appendix 3 of this report.</w:t>
      </w:r>
    </w:p>
    <w:p w14:paraId="5C90385A" w14:textId="596C10DF" w:rsidR="00A61FF5" w:rsidRPr="00F567DF" w:rsidRDefault="00A61FF5" w:rsidP="00A61FF5">
      <w:pPr>
        <w:pStyle w:val="ESHeading1"/>
        <w:rPr>
          <w:lang w:val="en-AU"/>
        </w:rPr>
      </w:pPr>
      <w:bookmarkStart w:id="141" w:name="_Toc488410111"/>
      <w:bookmarkStart w:id="142" w:name="_Toc488767583"/>
      <w:bookmarkStart w:id="143" w:name="_Toc488768995"/>
      <w:bookmarkStart w:id="144" w:name="_Toc489526710"/>
      <w:bookmarkStart w:id="145" w:name="_Toc491070309"/>
      <w:bookmarkStart w:id="146" w:name="_Toc491409535"/>
      <w:bookmarkStart w:id="147" w:name="_Toc491410376"/>
      <w:bookmarkStart w:id="148" w:name="_Toc491410755"/>
      <w:bookmarkStart w:id="149" w:name="_Toc491414664"/>
      <w:r w:rsidRPr="00F567DF">
        <w:rPr>
          <w:lang w:val="en-AU"/>
        </w:rPr>
        <w:t>Workforce data</w:t>
      </w:r>
      <w:bookmarkEnd w:id="141"/>
      <w:bookmarkEnd w:id="142"/>
      <w:bookmarkEnd w:id="143"/>
      <w:bookmarkEnd w:id="144"/>
      <w:bookmarkEnd w:id="145"/>
      <w:bookmarkEnd w:id="146"/>
      <w:bookmarkEnd w:id="147"/>
      <w:bookmarkEnd w:id="148"/>
      <w:bookmarkEnd w:id="149"/>
    </w:p>
    <w:p w14:paraId="23CEBC53" w14:textId="08A6C6C7" w:rsidR="00A61FF5" w:rsidRPr="00F567DF" w:rsidRDefault="00A61FF5" w:rsidP="00D2232D">
      <w:pPr>
        <w:pStyle w:val="ESHeading2"/>
      </w:pPr>
      <w:bookmarkStart w:id="150" w:name="_Toc488410112"/>
      <w:bookmarkStart w:id="151" w:name="_Toc488767584"/>
      <w:bookmarkStart w:id="152" w:name="_Toc488768996"/>
      <w:bookmarkStart w:id="153" w:name="_Toc489526711"/>
      <w:bookmarkStart w:id="154" w:name="_Toc491070310"/>
      <w:bookmarkStart w:id="155" w:name="_Toc491409536"/>
      <w:bookmarkStart w:id="156" w:name="_Toc491414665"/>
      <w:r w:rsidRPr="00F567DF">
        <w:t>Public sector values and employment principles</w:t>
      </w:r>
      <w:bookmarkEnd w:id="150"/>
      <w:bookmarkEnd w:id="151"/>
      <w:bookmarkEnd w:id="152"/>
      <w:bookmarkEnd w:id="153"/>
      <w:bookmarkEnd w:id="154"/>
      <w:bookmarkEnd w:id="155"/>
      <w:bookmarkEnd w:id="156"/>
    </w:p>
    <w:p w14:paraId="20D7B4B6" w14:textId="3A0A110A" w:rsidR="00A9593E" w:rsidRPr="00C1479B" w:rsidRDefault="00A61FF5" w:rsidP="00A61FF5">
      <w:pPr>
        <w:pStyle w:val="ESBodyText"/>
        <w:rPr>
          <w:lang w:val="en-AU"/>
        </w:rPr>
      </w:pPr>
      <w:r w:rsidRPr="00F567DF">
        <w:rPr>
          <w:lang w:val="en-AU"/>
        </w:rPr>
        <w:t xml:space="preserve">The Department’s values, and how we live them, go to the heart of the integrity of our system. </w:t>
      </w:r>
      <w:r w:rsidR="00C1479B">
        <w:rPr>
          <w:lang w:val="en-AU"/>
        </w:rPr>
        <w:t xml:space="preserve">The Department has taken as the Department’s values, the public sector values set out in the code of conduct for Victorian Public Sector Employees. </w:t>
      </w:r>
      <w:r w:rsidRPr="00F567DF">
        <w:rPr>
          <w:lang w:val="en-AU"/>
        </w:rPr>
        <w:t xml:space="preserve">The Department’s Values underpin how we interact with colleagues, learners and families, members of the community, suppliers and Government. Values-driven </w:t>
      </w:r>
      <w:r w:rsidR="00932A90" w:rsidRPr="00932A90">
        <w:rPr>
          <w:lang w:val="en-AU"/>
        </w:rPr>
        <w:t>behaviour</w:t>
      </w:r>
      <w:r w:rsidRPr="00C1479B">
        <w:rPr>
          <w:lang w:val="en-AU"/>
        </w:rPr>
        <w:t xml:space="preserve"> strengthens our capabilities and</w:t>
      </w:r>
      <w:r w:rsidR="00C1479B">
        <w:rPr>
          <w:lang w:val="en-AU"/>
        </w:rPr>
        <w:t xml:space="preserve"> improves outcomes.</w:t>
      </w:r>
    </w:p>
    <w:p w14:paraId="4162EDE7" w14:textId="77777777" w:rsidR="00A9593E" w:rsidRPr="00C1479B" w:rsidRDefault="00A61FF5" w:rsidP="00A61FF5">
      <w:pPr>
        <w:pStyle w:val="ESBodyText"/>
        <w:rPr>
          <w:lang w:val="en-AU"/>
        </w:rPr>
      </w:pPr>
      <w:r w:rsidRPr="00C1479B">
        <w:rPr>
          <w:lang w:val="en-AU"/>
        </w:rPr>
        <w:t>When staff act in accordance with the department’s Values, our capacity to operate effectively, achieve outcomes and ensure the public has trust and confidence in our system is increased. It also builds trust between our staff and our leadership, with everyone operating from the same principles, confident that we are doing the right thing.</w:t>
      </w:r>
    </w:p>
    <w:p w14:paraId="27565196" w14:textId="0E3C7BB8" w:rsidR="00A61FF5" w:rsidRPr="00C1479B" w:rsidRDefault="00A61FF5" w:rsidP="00A61FF5">
      <w:pPr>
        <w:pStyle w:val="ESBodyText"/>
        <w:rPr>
          <w:lang w:val="en-AU"/>
        </w:rPr>
      </w:pPr>
      <w:r w:rsidRPr="00C1479B">
        <w:rPr>
          <w:lang w:val="en-AU"/>
        </w:rPr>
        <w:t>A suite of materials has been developed for use across the Department to ensure consistent interpretation, strong engagement and connection with the values. These materials provide information, education and guidance on what each of the seven values means in the Department’s context, and how we can demonstrate them every day through our actions and decisions.</w:t>
      </w:r>
    </w:p>
    <w:p w14:paraId="3584B771" w14:textId="7B1B9BBA" w:rsidR="00A61FF5" w:rsidRPr="00C1479B" w:rsidRDefault="00A61FF5" w:rsidP="00D2232D">
      <w:pPr>
        <w:pStyle w:val="ESHeading2"/>
      </w:pPr>
      <w:bookmarkStart w:id="157" w:name="_Toc488410113"/>
      <w:bookmarkStart w:id="158" w:name="_Toc488767585"/>
      <w:bookmarkStart w:id="159" w:name="_Toc488768997"/>
      <w:bookmarkStart w:id="160" w:name="_Toc489526712"/>
      <w:bookmarkStart w:id="161" w:name="_Toc491070311"/>
      <w:bookmarkStart w:id="162" w:name="_Toc491409537"/>
      <w:bookmarkStart w:id="163" w:name="_Toc491414666"/>
      <w:r w:rsidRPr="00C1479B">
        <w:t>Occupational health and safety</w:t>
      </w:r>
      <w:bookmarkEnd w:id="157"/>
      <w:bookmarkEnd w:id="158"/>
      <w:bookmarkEnd w:id="159"/>
      <w:bookmarkEnd w:id="160"/>
      <w:bookmarkEnd w:id="161"/>
      <w:bookmarkEnd w:id="162"/>
      <w:bookmarkEnd w:id="163"/>
    </w:p>
    <w:p w14:paraId="3F7E3C9F" w14:textId="77777777" w:rsidR="00A61FF5" w:rsidRPr="00C1479B" w:rsidRDefault="00A61FF5" w:rsidP="00A61FF5">
      <w:pPr>
        <w:pStyle w:val="ESBodyText"/>
        <w:rPr>
          <w:lang w:val="en-AU"/>
        </w:rPr>
      </w:pPr>
      <w:r w:rsidRPr="00C1479B">
        <w:rPr>
          <w:lang w:val="en-AU"/>
        </w:rPr>
        <w:t>The goal of the Department’s occupational health and safety (OHS) strategy is to ensure all staff remain safe and healthy at work. An OHS management system is in place and workplaces within the Department continue to implement local action plans aimed at enhancing safety performance and ensuring safe systems of work.</w:t>
      </w:r>
    </w:p>
    <w:p w14:paraId="68E8800B" w14:textId="16959B9E" w:rsidR="00A61FF5" w:rsidRPr="00C1479B" w:rsidRDefault="00A61FF5" w:rsidP="00A61FF5">
      <w:pPr>
        <w:pStyle w:val="ESBodyText"/>
        <w:rPr>
          <w:lang w:val="en-AU"/>
        </w:rPr>
      </w:pPr>
      <w:r w:rsidRPr="00C1479B">
        <w:rPr>
          <w:lang w:val="en-AU"/>
        </w:rPr>
        <w:t>During the 2016–17 financial year, the Department continued to develop and enhance a number of initiatives to improve the health and safety of staff including</w:t>
      </w:r>
      <w:r w:rsidR="00C1479B">
        <w:rPr>
          <w:lang w:val="en-AU"/>
        </w:rPr>
        <w:t>,</w:t>
      </w:r>
      <w:r w:rsidRPr="00C1479B">
        <w:rPr>
          <w:lang w:val="en-AU"/>
        </w:rPr>
        <w:t xml:space="preserve"> the </w:t>
      </w:r>
      <w:r w:rsidR="00C1479B">
        <w:rPr>
          <w:lang w:val="en-AU"/>
        </w:rPr>
        <w:t xml:space="preserve">adoption of the </w:t>
      </w:r>
      <w:r w:rsidRPr="00C1479B">
        <w:rPr>
          <w:lang w:val="en-AU"/>
        </w:rPr>
        <w:t>Whole-of–Victorian-Government Mental Health and Wellbeing Charter, the Coaching for Leadership Teams program, refreshed eLearning modules, quarterly safety inspections to identify and address any workplace risks, the school performance improvement program, and the OHS audit program.</w:t>
      </w:r>
    </w:p>
    <w:p w14:paraId="3A850F7F" w14:textId="77777777" w:rsidR="00A61FF5" w:rsidRPr="00C1479B" w:rsidRDefault="00A61FF5" w:rsidP="00A61FF5">
      <w:pPr>
        <w:pStyle w:val="ESBodyText"/>
        <w:rPr>
          <w:lang w:val="en-AU"/>
        </w:rPr>
      </w:pPr>
      <w:r w:rsidRPr="00C1479B">
        <w:rPr>
          <w:lang w:val="en-AU"/>
        </w:rPr>
        <w:t>During 2016–17, the Department progressed the following priority activities:</w:t>
      </w:r>
    </w:p>
    <w:p w14:paraId="1DB04B63" w14:textId="77777777" w:rsidR="00A61FF5" w:rsidRPr="00C1479B" w:rsidRDefault="00A61FF5" w:rsidP="00A61FF5">
      <w:pPr>
        <w:pStyle w:val="ESBullet1indent"/>
        <w:rPr>
          <w:lang w:val="en-AU"/>
        </w:rPr>
      </w:pPr>
      <w:r w:rsidRPr="00C1479B">
        <w:rPr>
          <w:lang w:val="en-AU"/>
        </w:rPr>
        <w:t>Continued implementing the OHS Management System (OHSMS) Performance Improvement Program where 305 schools were identified for high priority support. Of these, 110 (36 per cent) completed the audit criteria’s relevant corrective actions and qualified for removal from the program.</w:t>
      </w:r>
    </w:p>
    <w:p w14:paraId="3897C115" w14:textId="6C68BC1E" w:rsidR="00A9593E" w:rsidRPr="00C1479B" w:rsidRDefault="00A61FF5" w:rsidP="00A61FF5">
      <w:pPr>
        <w:pStyle w:val="ESBullet1indent"/>
        <w:rPr>
          <w:lang w:val="en-AU"/>
        </w:rPr>
      </w:pPr>
      <w:r w:rsidRPr="00C1479B">
        <w:rPr>
          <w:lang w:val="en-AU"/>
        </w:rPr>
        <w:t xml:space="preserve">Provided support and advice on implementing and maintaining the OHSMS in Department schools and workplaces, including more than 6787 phone and email communications. Of 789 site visits, 559 were </w:t>
      </w:r>
      <w:r w:rsidR="00FC7B68">
        <w:rPr>
          <w:lang w:val="en-AU"/>
        </w:rPr>
        <w:t>School Performance</w:t>
      </w:r>
      <w:r w:rsidRPr="00C1479B">
        <w:rPr>
          <w:lang w:val="en-AU"/>
        </w:rPr>
        <w:t xml:space="preserve"> Improvement Program</w:t>
      </w:r>
      <w:r w:rsidR="00FC7B68">
        <w:rPr>
          <w:lang w:val="en-AU"/>
        </w:rPr>
        <w:t xml:space="preserve"> visits</w:t>
      </w:r>
      <w:r w:rsidRPr="00C1479B">
        <w:rPr>
          <w:lang w:val="en-AU"/>
        </w:rPr>
        <w:t>.</w:t>
      </w:r>
    </w:p>
    <w:p w14:paraId="45DF4B1D" w14:textId="77777777" w:rsidR="00A9593E" w:rsidRPr="00C1479B" w:rsidRDefault="00A61FF5" w:rsidP="00A61FF5">
      <w:pPr>
        <w:pStyle w:val="ESBullet1indent"/>
        <w:rPr>
          <w:lang w:val="en-AU"/>
        </w:rPr>
      </w:pPr>
      <w:r w:rsidRPr="00C1479B">
        <w:rPr>
          <w:lang w:val="en-AU"/>
        </w:rPr>
        <w:t>Completed all 391scheduled AS4801 OHS audits in schools.</w:t>
      </w:r>
    </w:p>
    <w:p w14:paraId="48E81A87" w14:textId="1F36C5F9" w:rsidR="00A61FF5" w:rsidRPr="00C1479B" w:rsidRDefault="00A61FF5" w:rsidP="00A61FF5">
      <w:pPr>
        <w:pStyle w:val="ESBullet1indent"/>
        <w:rPr>
          <w:lang w:val="en-AU"/>
        </w:rPr>
      </w:pPr>
      <w:r w:rsidRPr="00C1479B">
        <w:rPr>
          <w:lang w:val="en-AU"/>
        </w:rPr>
        <w:t>Continued implementing an online OHS Learning Management System and hosted 16 OHS tr</w:t>
      </w:r>
      <w:r w:rsidR="00A23765">
        <w:rPr>
          <w:lang w:val="en-AU"/>
        </w:rPr>
        <w:t>aining modules. At 30 June 2017</w:t>
      </w:r>
      <w:r w:rsidRPr="00C1479B">
        <w:rPr>
          <w:lang w:val="en-AU"/>
        </w:rPr>
        <w:t>, Department employees had a 70 per cent completion rate (excluding specialist modules and including refreshed program data). Since December 2013, more than 350,000 OHS and workers’ compensation eLearning modules have been completed.</w:t>
      </w:r>
    </w:p>
    <w:p w14:paraId="0B4E9592" w14:textId="77777777" w:rsidR="00A61FF5" w:rsidRPr="00C1479B" w:rsidRDefault="00A61FF5" w:rsidP="00A61FF5">
      <w:pPr>
        <w:pStyle w:val="ESBullet1indent"/>
        <w:rPr>
          <w:lang w:val="en-AU"/>
        </w:rPr>
      </w:pPr>
      <w:r w:rsidRPr="00C1479B">
        <w:rPr>
          <w:lang w:val="en-AU"/>
        </w:rPr>
        <w:t>Supported 179 participants to complete the Bastow institute’s ‘Safety Management for School Leaders’ training program.</w:t>
      </w:r>
    </w:p>
    <w:p w14:paraId="60CCC46D" w14:textId="295A7B7F" w:rsidR="00A61FF5" w:rsidRPr="00C1479B" w:rsidRDefault="00A61FF5" w:rsidP="00A61FF5">
      <w:pPr>
        <w:pStyle w:val="ESBullet1indent"/>
        <w:rPr>
          <w:lang w:val="en-AU"/>
        </w:rPr>
      </w:pPr>
      <w:r w:rsidRPr="00C1479B">
        <w:rPr>
          <w:lang w:val="en-AU"/>
        </w:rPr>
        <w:t>Provided access to an online Health and Wellbeing portal for all employees, receiving 1</w:t>
      </w:r>
      <w:r w:rsidR="009452EC" w:rsidRPr="00C1479B">
        <w:rPr>
          <w:lang w:val="en-AU"/>
        </w:rPr>
        <w:t>,</w:t>
      </w:r>
      <w:r w:rsidRPr="00C1479B">
        <w:rPr>
          <w:lang w:val="en-AU"/>
        </w:rPr>
        <w:t>044 hits from 158 site visitors.</w:t>
      </w:r>
    </w:p>
    <w:p w14:paraId="28634DF7" w14:textId="77777777" w:rsidR="00A9593E" w:rsidRPr="00C1479B" w:rsidRDefault="00A61FF5" w:rsidP="00A61FF5">
      <w:pPr>
        <w:pStyle w:val="ESBullet1indent"/>
        <w:rPr>
          <w:lang w:val="en-AU"/>
        </w:rPr>
      </w:pPr>
      <w:r w:rsidRPr="00C1479B">
        <w:rPr>
          <w:lang w:val="en-AU"/>
        </w:rPr>
        <w:t>Conducted mental health awareness workshops for Victorian Public Sector employees based in the central precinct.</w:t>
      </w:r>
    </w:p>
    <w:p w14:paraId="32C9D5C2" w14:textId="69F03BDD" w:rsidR="00A61FF5" w:rsidRPr="00C1479B" w:rsidRDefault="00A61FF5" w:rsidP="00A61FF5">
      <w:pPr>
        <w:pStyle w:val="ESBullet1indent"/>
        <w:rPr>
          <w:lang w:val="en-AU"/>
        </w:rPr>
      </w:pPr>
      <w:r w:rsidRPr="00C1479B">
        <w:rPr>
          <w:lang w:val="en-AU"/>
        </w:rPr>
        <w:t>Enabled access by Department employees to 4</w:t>
      </w:r>
      <w:r w:rsidR="009452EC" w:rsidRPr="00C1479B">
        <w:rPr>
          <w:lang w:val="en-AU"/>
        </w:rPr>
        <w:t>,</w:t>
      </w:r>
      <w:r w:rsidRPr="00C1479B">
        <w:rPr>
          <w:lang w:val="en-AU"/>
        </w:rPr>
        <w:t>583 hours of sessional Employee Assistant Program (EAP) counselling, manager assist contacts, and critical incident responses.</w:t>
      </w:r>
    </w:p>
    <w:p w14:paraId="041A3F88" w14:textId="77777777" w:rsidR="00A61FF5" w:rsidRPr="00C1479B" w:rsidRDefault="00A61FF5" w:rsidP="00A61FF5">
      <w:pPr>
        <w:pStyle w:val="ESBullet1indent"/>
        <w:rPr>
          <w:lang w:val="en-AU"/>
        </w:rPr>
      </w:pPr>
      <w:r w:rsidRPr="00C1479B">
        <w:rPr>
          <w:lang w:val="en-AU"/>
        </w:rPr>
        <w:t>Enabled access by Department workplaces to 863 hours of conflict resolution services including mediation, conflict coaching and team facilitations.</w:t>
      </w:r>
    </w:p>
    <w:p w14:paraId="7E0405E4" w14:textId="77777777" w:rsidR="00A61FF5" w:rsidRPr="00C1479B" w:rsidRDefault="00A61FF5" w:rsidP="00A61FF5">
      <w:pPr>
        <w:pStyle w:val="ESBullet1indent"/>
        <w:rPr>
          <w:lang w:val="en-AU"/>
        </w:rPr>
      </w:pPr>
      <w:r w:rsidRPr="00C1479B">
        <w:rPr>
          <w:lang w:val="en-AU"/>
        </w:rPr>
        <w:t>Brokered extensive OHS stakeholder consultation via forums including the statewide OHS and Workers Compensation Stakeholder Reference Group, and the School Support Services Health and Safety Committee.</w:t>
      </w:r>
    </w:p>
    <w:p w14:paraId="7B62F296" w14:textId="77777777" w:rsidR="00A61FF5" w:rsidRPr="00C1479B" w:rsidRDefault="00A61FF5" w:rsidP="00A61FF5">
      <w:pPr>
        <w:pStyle w:val="ESBullet1indent"/>
        <w:rPr>
          <w:lang w:val="en-AU"/>
        </w:rPr>
      </w:pPr>
      <w:r w:rsidRPr="00C1479B">
        <w:rPr>
          <w:lang w:val="en-AU"/>
        </w:rPr>
        <w:t>Successfully implemented the new and improved OHS Advisory service and OHS Audit program contracts for Department schools and workplaces.</w:t>
      </w:r>
    </w:p>
    <w:p w14:paraId="1E0160F3" w14:textId="77777777" w:rsidR="00A61FF5" w:rsidRPr="00C1479B" w:rsidRDefault="00A61FF5" w:rsidP="00A61FF5">
      <w:pPr>
        <w:pStyle w:val="ESBullet1indent"/>
        <w:rPr>
          <w:lang w:val="en-AU"/>
        </w:rPr>
      </w:pPr>
      <w:r w:rsidRPr="00C1479B">
        <w:rPr>
          <w:lang w:val="en-AU"/>
        </w:rPr>
        <w:t>Maintained ongoing review and improvement of the Department’s OHS Management System.</w:t>
      </w:r>
    </w:p>
    <w:p w14:paraId="35F118E1" w14:textId="77777777" w:rsidR="00A61FF5" w:rsidRPr="00FC7B68" w:rsidRDefault="00A61FF5" w:rsidP="00A61FF5">
      <w:pPr>
        <w:pStyle w:val="ESHeading3"/>
        <w:rPr>
          <w:lang w:val="en-AU"/>
        </w:rPr>
      </w:pPr>
      <w:r w:rsidRPr="00C1479B">
        <w:rPr>
          <w:lang w:val="en-AU"/>
        </w:rPr>
        <w:t>Incident management</w:t>
      </w:r>
    </w:p>
    <w:p w14:paraId="2ED2E21E" w14:textId="23B5A49D" w:rsidR="00FC7B68" w:rsidRPr="00FC7B68" w:rsidRDefault="00FC7B68" w:rsidP="00FC7B68">
      <w:pPr>
        <w:pStyle w:val="ESBodyText"/>
        <w:rPr>
          <w:lang w:val="en-AU"/>
        </w:rPr>
      </w:pPr>
      <w:r w:rsidRPr="00FC7B68">
        <w:rPr>
          <w:lang w:val="en-AU"/>
        </w:rPr>
        <w:t>Incidents reported across the Department, including injuries and other hazard-related incidents, increased from 18.25 per 100 FTE in 2015–16</w:t>
      </w:r>
      <w:r>
        <w:rPr>
          <w:lang w:val="en-AU"/>
        </w:rPr>
        <w:t xml:space="preserve"> to 19.25 per 100 FTE in 2016–17</w:t>
      </w:r>
      <w:r w:rsidRPr="00FC7B68">
        <w:rPr>
          <w:lang w:val="en-AU"/>
        </w:rPr>
        <w:t xml:space="preserve"> (Figure 1). This equates to an additional 975</w:t>
      </w:r>
      <w:r>
        <w:rPr>
          <w:lang w:val="en-AU"/>
        </w:rPr>
        <w:t xml:space="preserve"> reported incidents, with 12</w:t>
      </w:r>
      <w:r w:rsidRPr="00FC7B68">
        <w:rPr>
          <w:lang w:val="en-AU"/>
        </w:rPr>
        <w:t>,067</w:t>
      </w:r>
      <w:r>
        <w:rPr>
          <w:lang w:val="en-AU"/>
        </w:rPr>
        <w:t xml:space="preserve"> in 2016–17</w:t>
      </w:r>
      <w:r w:rsidRPr="00FC7B68">
        <w:rPr>
          <w:lang w:val="en-AU"/>
        </w:rPr>
        <w:t xml:space="preserve"> compared with 11,092</w:t>
      </w:r>
      <w:r>
        <w:rPr>
          <w:lang w:val="en-AU"/>
        </w:rPr>
        <w:t xml:space="preserve"> in 2015–16.</w:t>
      </w:r>
    </w:p>
    <w:p w14:paraId="2C16B15B" w14:textId="3872F055" w:rsidR="006112B7" w:rsidRPr="000B54DC" w:rsidRDefault="00461921" w:rsidP="00FC7B68">
      <w:pPr>
        <w:pStyle w:val="Caption"/>
      </w:pPr>
      <w:r>
        <w:t xml:space="preserve">Figure </w:t>
      </w:r>
      <w:r>
        <w:fldChar w:fldCharType="begin"/>
      </w:r>
      <w:r>
        <w:instrText xml:space="preserve"> SEQ Figure \* ARABIC </w:instrText>
      </w:r>
      <w:r>
        <w:fldChar w:fldCharType="separate"/>
      </w:r>
      <w:r w:rsidR="00F36F52">
        <w:rPr>
          <w:noProof/>
        </w:rPr>
        <w:t>1</w:t>
      </w:r>
      <w:r>
        <w:fldChar w:fldCharType="end"/>
      </w:r>
      <w:r w:rsidR="0078186C">
        <w:t xml:space="preserve"> </w:t>
      </w:r>
      <w:r>
        <w:t>–</w:t>
      </w:r>
      <w:r w:rsidR="0078186C">
        <w:t xml:space="preserve"> </w:t>
      </w:r>
      <w:r w:rsidR="006112B7" w:rsidRPr="0082058D">
        <w:t>Number of incidents and rate per 100 FTE 2014–15 to 2016–17</w:t>
      </w:r>
    </w:p>
    <w:p w14:paraId="042C6180" w14:textId="73D8A4F9" w:rsidR="006112B7" w:rsidRPr="00FC7B68" w:rsidRDefault="006112B7" w:rsidP="006112B7">
      <w:pPr>
        <w:pStyle w:val="ESBodyText"/>
        <w:ind w:left="-426"/>
        <w:rPr>
          <w:lang w:val="en-AU"/>
        </w:rPr>
      </w:pPr>
      <w:r w:rsidRPr="000B54DC">
        <w:rPr>
          <w:noProof/>
          <w:lang w:val="en-AU" w:eastAsia="en-AU"/>
        </w:rPr>
        <w:drawing>
          <wp:inline distT="0" distB="0" distL="0" distR="0" wp14:anchorId="36430648" wp14:editId="614D2337">
            <wp:extent cx="5092700" cy="269786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1461" cy="2707799"/>
                    </a:xfrm>
                    <a:prstGeom prst="rect">
                      <a:avLst/>
                    </a:prstGeom>
                    <a:noFill/>
                  </pic:spPr>
                </pic:pic>
              </a:graphicData>
            </a:graphic>
          </wp:inline>
        </w:drawing>
      </w:r>
    </w:p>
    <w:p w14:paraId="061D61DA" w14:textId="700CFBB9" w:rsidR="00A61FF5" w:rsidRPr="00FC7B68" w:rsidRDefault="00A61FF5" w:rsidP="00D2232D">
      <w:pPr>
        <w:pStyle w:val="ESHeading2"/>
      </w:pPr>
      <w:bookmarkStart w:id="164" w:name="_Toc488410114"/>
      <w:bookmarkStart w:id="165" w:name="_Toc488767586"/>
      <w:bookmarkStart w:id="166" w:name="_Toc488768998"/>
      <w:bookmarkStart w:id="167" w:name="_Toc489526713"/>
      <w:bookmarkStart w:id="168" w:name="_Toc491070312"/>
      <w:bookmarkStart w:id="169" w:name="_Toc491409538"/>
      <w:bookmarkStart w:id="170" w:name="_Toc491414667"/>
      <w:r w:rsidRPr="00FC7B68">
        <w:t>Workers’ compensation</w:t>
      </w:r>
      <w:bookmarkEnd w:id="164"/>
      <w:bookmarkEnd w:id="165"/>
      <w:bookmarkEnd w:id="166"/>
      <w:bookmarkEnd w:id="167"/>
      <w:bookmarkEnd w:id="168"/>
      <w:bookmarkEnd w:id="169"/>
      <w:bookmarkEnd w:id="170"/>
    </w:p>
    <w:p w14:paraId="721F15CE" w14:textId="77777777" w:rsidR="0078186C" w:rsidRPr="0078186C" w:rsidRDefault="0078186C" w:rsidP="0078186C">
      <w:pPr>
        <w:pStyle w:val="ESBodyText"/>
        <w:rPr>
          <w:lang w:val="en-AU"/>
        </w:rPr>
      </w:pPr>
      <w:r w:rsidRPr="0078186C">
        <w:rPr>
          <w:lang w:val="en-AU"/>
        </w:rPr>
        <w:t>Workers’ compensation initiatives delivered by the Department aimed to improve return-to-work outcomes for injured employees, reduce human and financial costs associated with workplace injuries, provide support and advisory services to workplace managers and injured workers, build the capability of the organisation to manage workers’ compensation and return-to-work responsibilities effectively, and meet legislative compliance.</w:t>
      </w:r>
    </w:p>
    <w:p w14:paraId="2D946F2E" w14:textId="1BB39DBE" w:rsidR="0078186C" w:rsidRPr="0078186C" w:rsidRDefault="0078186C" w:rsidP="0078186C">
      <w:pPr>
        <w:pStyle w:val="ESBodyText"/>
        <w:rPr>
          <w:lang w:val="en-AU"/>
        </w:rPr>
      </w:pPr>
      <w:r w:rsidRPr="0078186C">
        <w:rPr>
          <w:lang w:val="en-AU"/>
        </w:rPr>
        <w:t xml:space="preserve">During the 2016–17 financial year, the Department developed a number of initiatives to improve the health and wellbeing of staff including maintaining the Medical Advisory Service, refreshed training and eLearning modules, </w:t>
      </w:r>
      <w:r w:rsidR="00520E55">
        <w:rPr>
          <w:lang w:val="en-AU"/>
        </w:rPr>
        <w:t xml:space="preserve">the </w:t>
      </w:r>
      <w:r w:rsidRPr="0078186C">
        <w:rPr>
          <w:lang w:val="en-AU"/>
        </w:rPr>
        <w:t xml:space="preserve">appointment of a new WorkSafe </w:t>
      </w:r>
      <w:r w:rsidR="00520E55">
        <w:rPr>
          <w:lang w:val="en-AU"/>
        </w:rPr>
        <w:t>a</w:t>
      </w:r>
      <w:r w:rsidRPr="0078186C">
        <w:rPr>
          <w:lang w:val="en-AU"/>
        </w:rPr>
        <w:t>gent and improved collaboration with stakeholders.</w:t>
      </w:r>
    </w:p>
    <w:p w14:paraId="3554C499" w14:textId="77777777" w:rsidR="00A53AE1" w:rsidRDefault="00A53AE1">
      <w:pPr>
        <w:rPr>
          <w:rFonts w:ascii="Arial" w:eastAsiaTheme="minorEastAsia" w:hAnsi="Arial" w:cs="Arial"/>
          <w:sz w:val="19"/>
          <w:szCs w:val="18"/>
          <w:lang w:val="en-AU"/>
        </w:rPr>
      </w:pPr>
      <w:r>
        <w:rPr>
          <w:lang w:val="en-AU"/>
        </w:rPr>
        <w:br w:type="page"/>
      </w:r>
    </w:p>
    <w:p w14:paraId="327A0E8E" w14:textId="1CF670DE" w:rsidR="0078186C" w:rsidRPr="0078186C" w:rsidRDefault="0078186C" w:rsidP="0078186C">
      <w:pPr>
        <w:pStyle w:val="ESBodyText"/>
        <w:rPr>
          <w:lang w:val="en-AU"/>
        </w:rPr>
      </w:pPr>
      <w:r w:rsidRPr="0078186C">
        <w:rPr>
          <w:lang w:val="en-AU"/>
        </w:rPr>
        <w:t>The main activities during 2016–17 were:</w:t>
      </w:r>
    </w:p>
    <w:p w14:paraId="0F8D2512" w14:textId="08181B50" w:rsidR="0078186C" w:rsidRPr="0078186C" w:rsidRDefault="00520E55" w:rsidP="00FC7B68">
      <w:pPr>
        <w:pStyle w:val="ESbullet1"/>
      </w:pPr>
      <w:r>
        <w:t>d</w:t>
      </w:r>
      <w:r w:rsidR="0078186C" w:rsidRPr="0078186C">
        <w:t>eliver</w:t>
      </w:r>
      <w:r w:rsidR="00FC7B68">
        <w:t>ing</w:t>
      </w:r>
      <w:r>
        <w:t xml:space="preserve"> </w:t>
      </w:r>
      <w:r w:rsidR="0078186C" w:rsidRPr="0078186C">
        <w:t xml:space="preserve">face-to-face workers’ compensation training to over 1,000 participants </w:t>
      </w:r>
    </w:p>
    <w:p w14:paraId="34D3E1F5" w14:textId="77777777" w:rsidR="0078186C" w:rsidRPr="0078186C" w:rsidRDefault="0078186C" w:rsidP="00FC7B68">
      <w:pPr>
        <w:pStyle w:val="ESbullet1"/>
      </w:pPr>
      <w:r w:rsidRPr="0078186C">
        <w:t>ongoing improvement of the Department’s workers’ compensation management through employee and stakeholder consultation and analysis of workplace data</w:t>
      </w:r>
    </w:p>
    <w:p w14:paraId="3F90333E" w14:textId="4CF5B137" w:rsidR="0078186C" w:rsidRPr="0078186C" w:rsidRDefault="00FC7B68" w:rsidP="00FC7B68">
      <w:pPr>
        <w:pStyle w:val="ESbullet1"/>
      </w:pPr>
      <w:r>
        <w:t xml:space="preserve">moving </w:t>
      </w:r>
      <w:r w:rsidR="00520E55">
        <w:t>the</w:t>
      </w:r>
      <w:r>
        <w:t xml:space="preserve"> Department’s </w:t>
      </w:r>
      <w:r w:rsidR="0078186C" w:rsidRPr="0078186C">
        <w:t>workers’ compensation insurance policies from CGU Workers’ Compensation Ltd to Gallagher Bassett Services Workers’ Compensation Vic Pty Ltd</w:t>
      </w:r>
    </w:p>
    <w:p w14:paraId="1A0AB70E" w14:textId="77777777" w:rsidR="0078186C" w:rsidRPr="0078186C" w:rsidRDefault="0078186C" w:rsidP="00FC7B68">
      <w:pPr>
        <w:pStyle w:val="ESbullet1"/>
      </w:pPr>
      <w:r w:rsidRPr="0078186C">
        <w:t>ongoing review of existing workers’ compensation claims and incident management systems, data and processes to identify opportunities for improvement</w:t>
      </w:r>
    </w:p>
    <w:p w14:paraId="281D4C49" w14:textId="77777777" w:rsidR="0078186C" w:rsidRPr="0078186C" w:rsidRDefault="0078186C" w:rsidP="00FC7B68">
      <w:pPr>
        <w:pStyle w:val="ESbullet1"/>
      </w:pPr>
      <w:r w:rsidRPr="0078186C">
        <w:t>ongoing review and implementation of improved reconciliation processes and procedures</w:t>
      </w:r>
    </w:p>
    <w:p w14:paraId="070448D7" w14:textId="786CFC28" w:rsidR="0078186C" w:rsidRPr="0078186C" w:rsidRDefault="00FC7B68" w:rsidP="00FC7B68">
      <w:pPr>
        <w:pStyle w:val="ESbullet1"/>
      </w:pPr>
      <w:r>
        <w:t>providing</w:t>
      </w:r>
      <w:r w:rsidR="0078186C" w:rsidRPr="0078186C">
        <w:t xml:space="preserve"> support and advice to Department workplaces and schools through the Workers’ Compensation Advisory Service</w:t>
      </w:r>
    </w:p>
    <w:p w14:paraId="4A6B1C0C" w14:textId="77777777" w:rsidR="0078186C" w:rsidRPr="0078186C" w:rsidRDefault="0078186C" w:rsidP="00FC7B68">
      <w:pPr>
        <w:pStyle w:val="ESbullet1"/>
      </w:pPr>
      <w:r w:rsidRPr="0078186C">
        <w:t>ongoing improvement in workers’ compensation management through initiatives to promote early intervention and improve claims performance</w:t>
      </w:r>
    </w:p>
    <w:p w14:paraId="0A1FDE31" w14:textId="77777777" w:rsidR="0078186C" w:rsidRPr="0078186C" w:rsidRDefault="0078186C" w:rsidP="00FC7B68">
      <w:pPr>
        <w:pStyle w:val="ESbullet1"/>
      </w:pPr>
      <w:r w:rsidRPr="0078186C">
        <w:t>continued implementation of online learning workers’ compensation training</w:t>
      </w:r>
    </w:p>
    <w:p w14:paraId="039BAB83" w14:textId="77777777" w:rsidR="0078186C" w:rsidRPr="0078186C" w:rsidRDefault="0078186C" w:rsidP="00FC7B68">
      <w:pPr>
        <w:pStyle w:val="ESbullet1"/>
      </w:pPr>
      <w:r w:rsidRPr="0078186C">
        <w:t xml:space="preserve">ongoing support to Department workplaces and external stakeholders in dispute resolution matters including conciliation and workers’ compensation legal proceedings </w:t>
      </w:r>
    </w:p>
    <w:p w14:paraId="060F6C6D" w14:textId="77777777" w:rsidR="0078186C" w:rsidRPr="0078186C" w:rsidRDefault="0078186C" w:rsidP="00FC7B68">
      <w:pPr>
        <w:pStyle w:val="ESbullet1"/>
      </w:pPr>
      <w:r w:rsidRPr="0078186C">
        <w:t xml:space="preserve">ongoing management of the Department’s Medical Advisory Service provider. </w:t>
      </w:r>
    </w:p>
    <w:p w14:paraId="303F8BB6" w14:textId="034C4183" w:rsidR="00A61FF5" w:rsidRPr="00E73694" w:rsidRDefault="0078186C" w:rsidP="0078186C">
      <w:pPr>
        <w:pStyle w:val="ESBodyText"/>
        <w:rPr>
          <w:lang w:val="en-AU"/>
        </w:rPr>
      </w:pPr>
      <w:r w:rsidRPr="0078186C">
        <w:rPr>
          <w:lang w:val="en-AU"/>
        </w:rPr>
        <w:t xml:space="preserve">There were 825 standard workers’ compensation claims in 2016–17, compared with 796 in 2015–16. The increase in claim numbers is attributed to an increase in physical injuries. The rate per 100 staff remains steady at 1.32 per 100 in 2016–17 compared </w:t>
      </w:r>
      <w:r w:rsidR="00D6710F">
        <w:rPr>
          <w:lang w:val="en-AU"/>
        </w:rPr>
        <w:t>with</w:t>
      </w:r>
      <w:r w:rsidRPr="0078186C">
        <w:rPr>
          <w:lang w:val="en-AU"/>
        </w:rPr>
        <w:t xml:space="preserve"> 1.31 in 2015–16 (Figure 2).</w:t>
      </w:r>
    </w:p>
    <w:p w14:paraId="10DFA2B5" w14:textId="2408978E" w:rsidR="00A61FF5" w:rsidRPr="00461921" w:rsidRDefault="00461921" w:rsidP="00461921">
      <w:pPr>
        <w:pStyle w:val="Caption"/>
      </w:pPr>
      <w:r>
        <w:t xml:space="preserve">Figure </w:t>
      </w:r>
      <w:r>
        <w:fldChar w:fldCharType="begin"/>
      </w:r>
      <w:r>
        <w:instrText xml:space="preserve"> SEQ Figure \* ARABIC </w:instrText>
      </w:r>
      <w:r>
        <w:fldChar w:fldCharType="separate"/>
      </w:r>
      <w:r w:rsidR="00F36F52">
        <w:rPr>
          <w:noProof/>
        </w:rPr>
        <w:t>2</w:t>
      </w:r>
      <w:r>
        <w:fldChar w:fldCharType="end"/>
      </w:r>
      <w:r w:rsidR="00A61FF5" w:rsidRPr="0082058D">
        <w:t xml:space="preserve"> – Number of sta</w:t>
      </w:r>
      <w:r w:rsidR="00A61FF5" w:rsidRPr="00461921">
        <w:t>ndard claims and rate per 100 FTE 2014–15 to 2016–17</w:t>
      </w:r>
    </w:p>
    <w:p w14:paraId="673A6A26" w14:textId="47BBEE6F" w:rsidR="00C10998" w:rsidRPr="00E73694" w:rsidRDefault="00C10998" w:rsidP="00E73694">
      <w:pPr>
        <w:pStyle w:val="ESBodyText"/>
        <w:rPr>
          <w:lang w:val="en-AU"/>
        </w:rPr>
      </w:pPr>
      <w:r w:rsidRPr="004B6C01">
        <w:rPr>
          <w:noProof/>
          <w:lang w:val="en-AU" w:eastAsia="en-AU"/>
        </w:rPr>
        <w:drawing>
          <wp:inline distT="0" distB="0" distL="0" distR="0" wp14:anchorId="2AD6B9BE" wp14:editId="4E1F7F43">
            <wp:extent cx="4680000" cy="2484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0000" cy="2484000"/>
                    </a:xfrm>
                    <a:prstGeom prst="rect">
                      <a:avLst/>
                    </a:prstGeom>
                    <a:noFill/>
                  </pic:spPr>
                </pic:pic>
              </a:graphicData>
            </a:graphic>
          </wp:inline>
        </w:drawing>
      </w:r>
    </w:p>
    <w:p w14:paraId="2AF7A1D8" w14:textId="48F31166" w:rsidR="00E73694" w:rsidRPr="00E73694" w:rsidRDefault="00E73694" w:rsidP="00E73694">
      <w:pPr>
        <w:pStyle w:val="ESBodyText"/>
        <w:rPr>
          <w:lang w:val="en-AU"/>
        </w:rPr>
      </w:pPr>
      <w:r w:rsidRPr="00E73694">
        <w:rPr>
          <w:lang w:val="en-AU"/>
        </w:rPr>
        <w:t xml:space="preserve">The number of claims exceeding 13 weeks increased to 183 in 2016–17 compared with 178 in 2015–16 (Figure 3).  </w:t>
      </w:r>
    </w:p>
    <w:p w14:paraId="6E71A835" w14:textId="3495560B" w:rsidR="00A61FF5" w:rsidRPr="00461921" w:rsidRDefault="00461921" w:rsidP="00461921">
      <w:pPr>
        <w:pStyle w:val="Caption"/>
      </w:pPr>
      <w:r w:rsidRPr="0082058D">
        <w:t>Figure</w:t>
      </w:r>
      <w:r w:rsidRPr="00E73694">
        <w:t xml:space="preserve"> </w:t>
      </w:r>
      <w:r>
        <w:fldChar w:fldCharType="begin"/>
      </w:r>
      <w:r>
        <w:instrText xml:space="preserve"> SEQ Figure \* ARABIC </w:instrText>
      </w:r>
      <w:r>
        <w:fldChar w:fldCharType="separate"/>
      </w:r>
      <w:r w:rsidR="00F36F52">
        <w:rPr>
          <w:noProof/>
        </w:rPr>
        <w:t>3</w:t>
      </w:r>
      <w:r>
        <w:fldChar w:fldCharType="end"/>
      </w:r>
      <w:r w:rsidR="00A61FF5" w:rsidRPr="00461921">
        <w:t xml:space="preserve"> – Claims exceeding 13 weeks and rate per 100 FTE 2014–15 to 2016–17</w:t>
      </w:r>
    </w:p>
    <w:p w14:paraId="494C478D" w14:textId="28DF156D" w:rsidR="00C10998" w:rsidRPr="00E73694" w:rsidRDefault="00C10998" w:rsidP="00E73694">
      <w:pPr>
        <w:pStyle w:val="ESBodyText"/>
        <w:rPr>
          <w:lang w:val="en-AU"/>
        </w:rPr>
      </w:pPr>
      <w:r w:rsidRPr="004B6C01">
        <w:rPr>
          <w:noProof/>
          <w:lang w:val="en-AU" w:eastAsia="en-AU"/>
        </w:rPr>
        <w:drawing>
          <wp:inline distT="0" distB="0" distL="0" distR="0" wp14:anchorId="2B60911A" wp14:editId="38BC72FE">
            <wp:extent cx="4680000" cy="24840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0000" cy="2484000"/>
                    </a:xfrm>
                    <a:prstGeom prst="rect">
                      <a:avLst/>
                    </a:prstGeom>
                    <a:noFill/>
                  </pic:spPr>
                </pic:pic>
              </a:graphicData>
            </a:graphic>
          </wp:inline>
        </w:drawing>
      </w:r>
    </w:p>
    <w:p w14:paraId="7BD23E04" w14:textId="2CFED3AA" w:rsidR="00E73694" w:rsidRPr="00E73694" w:rsidRDefault="00E73694" w:rsidP="00E73694">
      <w:pPr>
        <w:pStyle w:val="ESBodyText"/>
        <w:rPr>
          <w:lang w:val="en-AU"/>
        </w:rPr>
      </w:pPr>
      <w:r w:rsidRPr="00E73694">
        <w:rPr>
          <w:lang w:val="en-AU"/>
        </w:rPr>
        <w:t>The Department’s initial workers’ compensat</w:t>
      </w:r>
      <w:r>
        <w:rPr>
          <w:lang w:val="en-AU"/>
        </w:rPr>
        <w:t>ion premium increased from $58.2</w:t>
      </w:r>
      <w:r w:rsidRPr="00E73694">
        <w:rPr>
          <w:lang w:val="en-AU"/>
        </w:rPr>
        <w:t xml:space="preserve"> million (exc</w:t>
      </w:r>
      <w:r>
        <w:rPr>
          <w:lang w:val="en-AU"/>
        </w:rPr>
        <w:t>luding GST) in 2015–16 to $62.0</w:t>
      </w:r>
      <w:r w:rsidRPr="00E73694">
        <w:rPr>
          <w:lang w:val="en-AU"/>
        </w:rPr>
        <w:t xml:space="preserve"> million (excluding GST) in 2016–17, due to an increase in the weighted industry rate set by WorkSafe Victoria for premium calculation purposes and remuneration. The Department’s workers’ compensation premium rate decreased in 2016–17 (Figure 4) from 1.11 per cent in 2015–16 to 1.097 per cent in 2016–2017, which is attributed to the overall improvement in the Department’s workers’ performan</w:t>
      </w:r>
      <w:r>
        <w:rPr>
          <w:lang w:val="en-AU"/>
        </w:rPr>
        <w:t>ce measured over a five period.</w:t>
      </w:r>
      <w:r w:rsidRPr="00E73694">
        <w:rPr>
          <w:lang w:val="en-AU"/>
        </w:rPr>
        <w:t xml:space="preserve"> </w:t>
      </w:r>
    </w:p>
    <w:p w14:paraId="3BADB4B5" w14:textId="4BA21EAE" w:rsidR="00E73694" w:rsidRPr="00E73694" w:rsidRDefault="00E73694" w:rsidP="00E73694">
      <w:pPr>
        <w:pStyle w:val="ESBodyText"/>
        <w:rPr>
          <w:lang w:val="en-AU"/>
        </w:rPr>
      </w:pPr>
      <w:r w:rsidRPr="00E73694">
        <w:rPr>
          <w:lang w:val="en-AU"/>
        </w:rPr>
        <w:t>The average cost per standard claim increased from $55,810 in 2015–16 to $63,212 in 2016–17.</w:t>
      </w:r>
    </w:p>
    <w:p w14:paraId="194EEAC6" w14:textId="414547A3" w:rsidR="00A61FF5" w:rsidRDefault="00A61FF5" w:rsidP="009A0BAD">
      <w:pPr>
        <w:pStyle w:val="ESTableintroheading"/>
        <w:rPr>
          <w:lang w:val="en-AU"/>
        </w:rPr>
      </w:pPr>
      <w:r w:rsidRPr="00E73694">
        <w:rPr>
          <w:lang w:val="en-AU"/>
        </w:rPr>
        <w:t>Figure</w:t>
      </w:r>
      <w:r w:rsidR="00892F6F">
        <w:rPr>
          <w:lang w:val="en-AU"/>
        </w:rPr>
        <w:t xml:space="preserve"> </w:t>
      </w:r>
      <w:r w:rsidR="00892F6F">
        <w:fldChar w:fldCharType="begin"/>
      </w:r>
      <w:r w:rsidR="00892F6F">
        <w:instrText xml:space="preserve"> SEQ Figure \* ARABIC </w:instrText>
      </w:r>
      <w:r w:rsidR="00892F6F">
        <w:fldChar w:fldCharType="separate"/>
      </w:r>
      <w:r w:rsidR="00F36F52">
        <w:rPr>
          <w:noProof/>
        </w:rPr>
        <w:t>4</w:t>
      </w:r>
      <w:r w:rsidR="00892F6F">
        <w:fldChar w:fldCharType="end"/>
      </w:r>
      <w:r w:rsidRPr="00E73694">
        <w:rPr>
          <w:lang w:val="en-AU"/>
        </w:rPr>
        <w:t xml:space="preserve"> – Premium rate 2014–15 to 2016–17</w:t>
      </w:r>
    </w:p>
    <w:p w14:paraId="211E56EB" w14:textId="46D232FC" w:rsidR="00C10998" w:rsidRPr="00E73694" w:rsidRDefault="00C10998" w:rsidP="00E73694">
      <w:pPr>
        <w:pStyle w:val="ESBodyText"/>
        <w:rPr>
          <w:lang w:val="en-AU"/>
        </w:rPr>
      </w:pPr>
      <w:r w:rsidRPr="004B6C01">
        <w:rPr>
          <w:noProof/>
          <w:lang w:val="en-AU" w:eastAsia="en-AU"/>
        </w:rPr>
        <w:drawing>
          <wp:inline distT="0" distB="0" distL="0" distR="0" wp14:anchorId="418AF46B" wp14:editId="658D4297">
            <wp:extent cx="4680000" cy="24840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0000" cy="2484000"/>
                    </a:xfrm>
                    <a:prstGeom prst="rect">
                      <a:avLst/>
                    </a:prstGeom>
                    <a:noFill/>
                  </pic:spPr>
                </pic:pic>
              </a:graphicData>
            </a:graphic>
          </wp:inline>
        </w:drawing>
      </w:r>
    </w:p>
    <w:p w14:paraId="5A946F3C" w14:textId="7C33A63F" w:rsidR="00E73694" w:rsidRPr="00E73694" w:rsidRDefault="00E73694" w:rsidP="00E73694">
      <w:pPr>
        <w:pStyle w:val="ESBodyText"/>
        <w:rPr>
          <w:lang w:val="en-AU"/>
        </w:rPr>
      </w:pPr>
      <w:r w:rsidRPr="00E73694">
        <w:rPr>
          <w:lang w:val="en-AU"/>
        </w:rPr>
        <w:t>The Department’s workers’ compensation employer performance rate slightly increased  in 2016–17 (Figure 5) from 1.036 per cent in 2015–16 to 1.043 per cent in 2016–2017, which is attributed to claims performance between the periods 1 January 13 to 30 June 2015.</w:t>
      </w:r>
    </w:p>
    <w:p w14:paraId="0391689A" w14:textId="418C50C4" w:rsidR="00A61FF5" w:rsidRDefault="00A61FF5" w:rsidP="009A0BAD">
      <w:pPr>
        <w:pStyle w:val="ESTableintroheading"/>
        <w:rPr>
          <w:lang w:val="en-AU"/>
        </w:rPr>
      </w:pPr>
      <w:r w:rsidRPr="00E73694">
        <w:rPr>
          <w:lang w:val="en-AU"/>
        </w:rPr>
        <w:t>Figure</w:t>
      </w:r>
      <w:r w:rsidR="00892F6F">
        <w:rPr>
          <w:lang w:val="en-AU"/>
        </w:rPr>
        <w:t xml:space="preserve"> </w:t>
      </w:r>
      <w:r w:rsidR="00892F6F">
        <w:fldChar w:fldCharType="begin"/>
      </w:r>
      <w:r w:rsidR="00892F6F">
        <w:instrText xml:space="preserve"> SEQ Figure \* ARABIC </w:instrText>
      </w:r>
      <w:r w:rsidR="00892F6F">
        <w:fldChar w:fldCharType="separate"/>
      </w:r>
      <w:r w:rsidR="00F36F52">
        <w:rPr>
          <w:noProof/>
        </w:rPr>
        <w:t>5</w:t>
      </w:r>
      <w:r w:rsidR="00892F6F">
        <w:fldChar w:fldCharType="end"/>
      </w:r>
      <w:r w:rsidRPr="00E73694">
        <w:rPr>
          <w:lang w:val="en-AU"/>
        </w:rPr>
        <w:t xml:space="preserve"> – Employer performance 2014–15 to 2016–17</w:t>
      </w:r>
    </w:p>
    <w:p w14:paraId="2E7EAA88" w14:textId="58A1D823" w:rsidR="00C10998" w:rsidRPr="00E73694" w:rsidRDefault="00C10998" w:rsidP="00E73694">
      <w:pPr>
        <w:pStyle w:val="ESBodyText"/>
        <w:rPr>
          <w:lang w:val="en-AU"/>
        </w:rPr>
      </w:pPr>
      <w:r w:rsidRPr="004B6C01">
        <w:rPr>
          <w:noProof/>
          <w:lang w:val="en-AU" w:eastAsia="en-AU"/>
        </w:rPr>
        <w:drawing>
          <wp:inline distT="0" distB="0" distL="0" distR="0" wp14:anchorId="6CF82BEA" wp14:editId="7291294E">
            <wp:extent cx="4680000" cy="24840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2484000"/>
                    </a:xfrm>
                    <a:prstGeom prst="rect">
                      <a:avLst/>
                    </a:prstGeom>
                    <a:noFill/>
                  </pic:spPr>
                </pic:pic>
              </a:graphicData>
            </a:graphic>
          </wp:inline>
        </w:drawing>
      </w:r>
    </w:p>
    <w:p w14:paraId="0788937B" w14:textId="2D8D4C8C" w:rsidR="00520E55" w:rsidRDefault="00520E55" w:rsidP="00E73694">
      <w:pPr>
        <w:pStyle w:val="ESBodyText"/>
        <w:rPr>
          <w:b/>
          <w:i/>
          <w:color w:val="000000" w:themeColor="text1"/>
          <w:spacing w:val="-4"/>
          <w:w w:val="98"/>
          <w:szCs w:val="19"/>
          <w:lang w:val="en-AU"/>
        </w:rPr>
      </w:pPr>
      <w:r>
        <w:rPr>
          <w:lang w:val="en-AU"/>
        </w:rPr>
        <w:br w:type="page"/>
      </w:r>
    </w:p>
    <w:p w14:paraId="7C669809" w14:textId="7E57C2AC" w:rsidR="00A61FF5" w:rsidRPr="00E73694" w:rsidRDefault="00A61FF5" w:rsidP="009A0BAD">
      <w:pPr>
        <w:pStyle w:val="ESTableintroheading"/>
        <w:rPr>
          <w:lang w:val="en-AU"/>
        </w:rPr>
      </w:pPr>
      <w:r w:rsidRPr="00E73694">
        <w:rPr>
          <w:lang w:val="en-AU"/>
        </w:rPr>
        <w:t xml:space="preserve">Table </w:t>
      </w:r>
      <w:r w:rsidR="00D93BA2" w:rsidRPr="00E73694">
        <w:rPr>
          <w:lang w:val="en-AU"/>
        </w:rPr>
        <w:fldChar w:fldCharType="begin"/>
      </w:r>
      <w:r w:rsidR="00D93BA2" w:rsidRPr="00E73694">
        <w:rPr>
          <w:lang w:val="en-AU"/>
        </w:rPr>
        <w:instrText xml:space="preserve"> SEQ Table \* MERGEFORMAT </w:instrText>
      </w:r>
      <w:r w:rsidR="00D93BA2" w:rsidRPr="00E73694">
        <w:rPr>
          <w:lang w:val="en-AU"/>
        </w:rPr>
        <w:fldChar w:fldCharType="separate"/>
      </w:r>
      <w:r w:rsidR="00F36F52">
        <w:rPr>
          <w:noProof/>
          <w:lang w:val="en-AU"/>
        </w:rPr>
        <w:t>15</w:t>
      </w:r>
      <w:r w:rsidR="00D93BA2" w:rsidRPr="00E73694">
        <w:rPr>
          <w:noProof/>
          <w:lang w:val="en-AU"/>
        </w:rPr>
        <w:fldChar w:fldCharType="end"/>
      </w:r>
      <w:r w:rsidRPr="00E73694">
        <w:rPr>
          <w:lang w:val="en-AU"/>
        </w:rPr>
        <w:t xml:space="preserve"> – Performance against occupational health and safety and workers’ compensation management measure</w:t>
      </w:r>
    </w:p>
    <w:tbl>
      <w:tblPr>
        <w:tblW w:w="5000" w:type="pct"/>
        <w:tblBorders>
          <w:bottom w:val="single" w:sz="12" w:space="0" w:color="777777"/>
        </w:tblBorders>
        <w:tblCellMar>
          <w:left w:w="45" w:type="dxa"/>
          <w:right w:w="45" w:type="dxa"/>
        </w:tblCellMar>
        <w:tblLook w:val="01E0" w:firstRow="1" w:lastRow="1" w:firstColumn="1" w:lastColumn="1" w:noHBand="0" w:noVBand="0"/>
      </w:tblPr>
      <w:tblGrid>
        <w:gridCol w:w="1024"/>
        <w:gridCol w:w="3518"/>
        <w:gridCol w:w="940"/>
        <w:gridCol w:w="941"/>
        <w:gridCol w:w="941"/>
      </w:tblGrid>
      <w:tr w:rsidR="00C10998" w:rsidRPr="0087752B" w14:paraId="07CFF2BC" w14:textId="77777777" w:rsidTr="00E73694">
        <w:trPr>
          <w:cantSplit/>
          <w:trHeight w:val="454"/>
          <w:tblHeader/>
        </w:trPr>
        <w:tc>
          <w:tcPr>
            <w:tcW w:w="650" w:type="pct"/>
            <w:tcBorders>
              <w:bottom w:val="nil"/>
            </w:tcBorders>
            <w:shd w:val="clear" w:color="auto" w:fill="7F7F7F" w:themeFill="text1" w:themeFillTint="80"/>
            <w:vAlign w:val="center"/>
          </w:tcPr>
          <w:p w14:paraId="02EEF6B6" w14:textId="77777777" w:rsidR="00C10998" w:rsidRPr="0087752B" w:rsidRDefault="00C10998" w:rsidP="00E73694">
            <w:pPr>
              <w:pStyle w:val="ESTableheadingwhite"/>
            </w:pPr>
            <w:r w:rsidRPr="0087752B">
              <w:t>Measure</w:t>
            </w:r>
          </w:p>
        </w:tc>
        <w:tc>
          <w:tcPr>
            <w:tcW w:w="0" w:type="auto"/>
            <w:tcBorders>
              <w:bottom w:val="nil"/>
            </w:tcBorders>
            <w:shd w:val="clear" w:color="auto" w:fill="7F7F7F" w:themeFill="text1" w:themeFillTint="80"/>
            <w:vAlign w:val="center"/>
          </w:tcPr>
          <w:p w14:paraId="247B6276" w14:textId="77777777" w:rsidR="00C10998" w:rsidRPr="0087752B" w:rsidRDefault="00C10998" w:rsidP="00E73694">
            <w:pPr>
              <w:pStyle w:val="ESTableheadingwhite"/>
            </w:pPr>
            <w:r w:rsidRPr="0087752B">
              <w:t>Key performance indicator</w:t>
            </w:r>
          </w:p>
        </w:tc>
        <w:tc>
          <w:tcPr>
            <w:tcW w:w="650" w:type="pct"/>
            <w:tcBorders>
              <w:bottom w:val="nil"/>
            </w:tcBorders>
            <w:shd w:val="clear" w:color="auto" w:fill="7F7F7F" w:themeFill="text1" w:themeFillTint="80"/>
            <w:vAlign w:val="center"/>
          </w:tcPr>
          <w:p w14:paraId="2C7D0124" w14:textId="653D6DA9" w:rsidR="00C10998" w:rsidRPr="0087752B" w:rsidRDefault="00C10998" w:rsidP="00E73694">
            <w:pPr>
              <w:pStyle w:val="ESTableheadingwhite"/>
            </w:pPr>
            <w:r>
              <w:t>2014</w:t>
            </w:r>
            <w:r w:rsidR="00892F6F">
              <w:t>–</w:t>
            </w:r>
            <w:r w:rsidRPr="0087752B">
              <w:t>1</w:t>
            </w:r>
            <w:r>
              <w:t>5</w:t>
            </w:r>
          </w:p>
        </w:tc>
        <w:tc>
          <w:tcPr>
            <w:tcW w:w="650" w:type="pct"/>
            <w:tcBorders>
              <w:bottom w:val="nil"/>
            </w:tcBorders>
            <w:shd w:val="clear" w:color="auto" w:fill="7F7F7F" w:themeFill="text1" w:themeFillTint="80"/>
            <w:vAlign w:val="center"/>
          </w:tcPr>
          <w:p w14:paraId="52A19C5E" w14:textId="77777777" w:rsidR="00C10998" w:rsidRPr="0087752B" w:rsidRDefault="00C10998" w:rsidP="00E73694">
            <w:pPr>
              <w:pStyle w:val="ESTableheadingwhite"/>
            </w:pPr>
            <w:r w:rsidRPr="0087752B">
              <w:t>201</w:t>
            </w:r>
            <w:r>
              <w:t>5</w:t>
            </w:r>
            <w:r w:rsidRPr="0087752B">
              <w:t>–1</w:t>
            </w:r>
            <w:r>
              <w:t>6</w:t>
            </w:r>
          </w:p>
        </w:tc>
        <w:tc>
          <w:tcPr>
            <w:tcW w:w="650" w:type="pct"/>
            <w:tcBorders>
              <w:bottom w:val="nil"/>
            </w:tcBorders>
            <w:shd w:val="clear" w:color="auto" w:fill="7F7F7F" w:themeFill="text1" w:themeFillTint="80"/>
            <w:vAlign w:val="center"/>
          </w:tcPr>
          <w:p w14:paraId="1CF89745" w14:textId="77777777" w:rsidR="00C10998" w:rsidRPr="0087752B" w:rsidRDefault="00C10998" w:rsidP="00E73694">
            <w:pPr>
              <w:pStyle w:val="ESTableheadingwhite"/>
            </w:pPr>
            <w:r w:rsidRPr="0087752B">
              <w:t>201</w:t>
            </w:r>
            <w:r>
              <w:t>6</w:t>
            </w:r>
            <w:r w:rsidRPr="0087752B">
              <w:t>–1</w:t>
            </w:r>
            <w:r>
              <w:t>7</w:t>
            </w:r>
          </w:p>
        </w:tc>
      </w:tr>
      <w:tr w:rsidR="00C10998" w:rsidRPr="0087752B" w14:paraId="7D1C7E00" w14:textId="77777777" w:rsidTr="00675F02">
        <w:trPr>
          <w:cantSplit/>
        </w:trPr>
        <w:tc>
          <w:tcPr>
            <w:tcW w:w="650" w:type="pct"/>
            <w:tcBorders>
              <w:bottom w:val="nil"/>
            </w:tcBorders>
            <w:shd w:val="clear" w:color="auto" w:fill="auto"/>
            <w:vAlign w:val="center"/>
          </w:tcPr>
          <w:p w14:paraId="4F9FC068" w14:textId="77777777" w:rsidR="00C10998" w:rsidRPr="0087752B" w:rsidRDefault="00C10998" w:rsidP="00E73694">
            <w:pPr>
              <w:pStyle w:val="ESTablebody0"/>
            </w:pPr>
            <w:r w:rsidRPr="0087752B">
              <w:t>Incidents</w:t>
            </w:r>
          </w:p>
        </w:tc>
        <w:tc>
          <w:tcPr>
            <w:tcW w:w="0" w:type="auto"/>
            <w:tcBorders>
              <w:bottom w:val="nil"/>
            </w:tcBorders>
            <w:shd w:val="clear" w:color="auto" w:fill="auto"/>
            <w:vAlign w:val="center"/>
          </w:tcPr>
          <w:p w14:paraId="3EA532C5" w14:textId="77777777" w:rsidR="00C10998" w:rsidRPr="0087752B" w:rsidRDefault="00C10998" w:rsidP="00E73694">
            <w:pPr>
              <w:pStyle w:val="ESTablebody0"/>
            </w:pPr>
            <w:r w:rsidRPr="0087752B">
              <w:t>Number of incidents</w:t>
            </w:r>
          </w:p>
        </w:tc>
        <w:tc>
          <w:tcPr>
            <w:tcW w:w="650" w:type="pct"/>
            <w:tcBorders>
              <w:bottom w:val="nil"/>
            </w:tcBorders>
            <w:shd w:val="clear" w:color="auto" w:fill="auto"/>
            <w:vAlign w:val="center"/>
          </w:tcPr>
          <w:p w14:paraId="62997300" w14:textId="77777777" w:rsidR="00C10998" w:rsidRPr="0087752B" w:rsidRDefault="00C10998" w:rsidP="00E73694">
            <w:pPr>
              <w:pStyle w:val="ESTablebody0"/>
              <w:jc w:val="right"/>
            </w:pPr>
            <w:r w:rsidRPr="0087752B">
              <w:t>10,320</w:t>
            </w:r>
          </w:p>
        </w:tc>
        <w:tc>
          <w:tcPr>
            <w:tcW w:w="650" w:type="pct"/>
            <w:tcBorders>
              <w:bottom w:val="nil"/>
            </w:tcBorders>
            <w:vAlign w:val="center"/>
          </w:tcPr>
          <w:p w14:paraId="33DDB31F" w14:textId="77777777" w:rsidR="00C10998" w:rsidRPr="0087752B" w:rsidRDefault="00C10998" w:rsidP="00E73694">
            <w:pPr>
              <w:pStyle w:val="ESTablebody0"/>
              <w:jc w:val="right"/>
            </w:pPr>
            <w:r w:rsidRPr="0087752B">
              <w:t>11,092</w:t>
            </w:r>
          </w:p>
        </w:tc>
        <w:tc>
          <w:tcPr>
            <w:tcW w:w="650" w:type="pct"/>
            <w:tcBorders>
              <w:bottom w:val="nil"/>
            </w:tcBorders>
            <w:shd w:val="clear" w:color="auto" w:fill="F8F8F8"/>
            <w:vAlign w:val="center"/>
          </w:tcPr>
          <w:p w14:paraId="5B2D8A38" w14:textId="77777777" w:rsidR="00C10998" w:rsidRPr="0087752B" w:rsidRDefault="00C10998" w:rsidP="00E73694">
            <w:pPr>
              <w:pStyle w:val="ESTablebody0"/>
              <w:jc w:val="right"/>
            </w:pPr>
            <w:r>
              <w:t>12,067</w:t>
            </w:r>
          </w:p>
        </w:tc>
      </w:tr>
      <w:tr w:rsidR="00C10998" w:rsidRPr="0087752B" w14:paraId="386C5A50" w14:textId="77777777" w:rsidTr="00675F02">
        <w:trPr>
          <w:cantSplit/>
        </w:trPr>
        <w:tc>
          <w:tcPr>
            <w:tcW w:w="650" w:type="pct"/>
            <w:tcBorders>
              <w:top w:val="nil"/>
              <w:bottom w:val="single" w:sz="6" w:space="0" w:color="777777"/>
            </w:tcBorders>
            <w:shd w:val="clear" w:color="auto" w:fill="auto"/>
            <w:vAlign w:val="center"/>
          </w:tcPr>
          <w:p w14:paraId="491AC946" w14:textId="77777777" w:rsidR="00C10998" w:rsidRPr="0087752B" w:rsidRDefault="00C10998" w:rsidP="00E73694">
            <w:pPr>
              <w:pStyle w:val="ESTablebody0"/>
            </w:pPr>
          </w:p>
        </w:tc>
        <w:tc>
          <w:tcPr>
            <w:tcW w:w="0" w:type="auto"/>
            <w:tcBorders>
              <w:top w:val="nil"/>
              <w:bottom w:val="single" w:sz="6" w:space="0" w:color="777777"/>
            </w:tcBorders>
            <w:shd w:val="clear" w:color="auto" w:fill="auto"/>
            <w:vAlign w:val="center"/>
          </w:tcPr>
          <w:p w14:paraId="23A86543" w14:textId="77777777" w:rsidR="00C10998" w:rsidRPr="0087752B" w:rsidRDefault="00C10998" w:rsidP="00E73694">
            <w:pPr>
              <w:pStyle w:val="ESTablebody0"/>
            </w:pPr>
            <w:r w:rsidRPr="0087752B">
              <w:t>Rate per 100 FTE</w:t>
            </w:r>
          </w:p>
        </w:tc>
        <w:tc>
          <w:tcPr>
            <w:tcW w:w="650" w:type="pct"/>
            <w:tcBorders>
              <w:top w:val="nil"/>
              <w:bottom w:val="single" w:sz="6" w:space="0" w:color="777777"/>
            </w:tcBorders>
            <w:shd w:val="clear" w:color="auto" w:fill="auto"/>
            <w:vAlign w:val="center"/>
          </w:tcPr>
          <w:p w14:paraId="0E418539" w14:textId="77777777" w:rsidR="00C10998" w:rsidRPr="0087752B" w:rsidRDefault="00C10998" w:rsidP="00E73694">
            <w:pPr>
              <w:pStyle w:val="ESTablebody0"/>
              <w:jc w:val="right"/>
            </w:pPr>
            <w:r w:rsidRPr="0087752B">
              <w:t>17.7</w:t>
            </w:r>
          </w:p>
        </w:tc>
        <w:tc>
          <w:tcPr>
            <w:tcW w:w="650" w:type="pct"/>
            <w:tcBorders>
              <w:top w:val="nil"/>
              <w:bottom w:val="single" w:sz="6" w:space="0" w:color="777777"/>
            </w:tcBorders>
            <w:vAlign w:val="center"/>
          </w:tcPr>
          <w:p w14:paraId="02A092EF" w14:textId="77777777" w:rsidR="00C10998" w:rsidRPr="0087752B" w:rsidRDefault="00C10998" w:rsidP="00E73694">
            <w:pPr>
              <w:pStyle w:val="ESTablebody0"/>
              <w:jc w:val="right"/>
            </w:pPr>
            <w:r w:rsidRPr="0087752B">
              <w:t>18.25</w:t>
            </w:r>
          </w:p>
        </w:tc>
        <w:tc>
          <w:tcPr>
            <w:tcW w:w="650" w:type="pct"/>
            <w:tcBorders>
              <w:top w:val="nil"/>
              <w:bottom w:val="single" w:sz="6" w:space="0" w:color="777777"/>
            </w:tcBorders>
            <w:shd w:val="clear" w:color="auto" w:fill="F8F8F8"/>
            <w:vAlign w:val="center"/>
          </w:tcPr>
          <w:p w14:paraId="65318947" w14:textId="77777777" w:rsidR="00C10998" w:rsidRPr="0087752B" w:rsidRDefault="00C10998" w:rsidP="00E73694">
            <w:pPr>
              <w:pStyle w:val="ESTablebody0"/>
              <w:jc w:val="right"/>
            </w:pPr>
            <w:r>
              <w:t>19.25</w:t>
            </w:r>
          </w:p>
        </w:tc>
      </w:tr>
      <w:tr w:rsidR="00C10998" w:rsidRPr="0087752B" w14:paraId="1AF29727" w14:textId="77777777" w:rsidTr="00675F02">
        <w:trPr>
          <w:cantSplit/>
        </w:trPr>
        <w:tc>
          <w:tcPr>
            <w:tcW w:w="650" w:type="pct"/>
            <w:tcBorders>
              <w:top w:val="single" w:sz="6" w:space="0" w:color="777777"/>
            </w:tcBorders>
            <w:shd w:val="clear" w:color="auto" w:fill="auto"/>
            <w:vAlign w:val="center"/>
          </w:tcPr>
          <w:p w14:paraId="2FD180A9" w14:textId="77777777" w:rsidR="00C10998" w:rsidRPr="0087752B" w:rsidRDefault="00C10998" w:rsidP="00E73694">
            <w:pPr>
              <w:pStyle w:val="ESTablebody0"/>
            </w:pPr>
            <w:r w:rsidRPr="0087752B">
              <w:t>Claims</w:t>
            </w:r>
          </w:p>
        </w:tc>
        <w:tc>
          <w:tcPr>
            <w:tcW w:w="0" w:type="auto"/>
            <w:tcBorders>
              <w:top w:val="single" w:sz="6" w:space="0" w:color="777777"/>
            </w:tcBorders>
            <w:shd w:val="clear" w:color="auto" w:fill="auto"/>
            <w:vAlign w:val="center"/>
          </w:tcPr>
          <w:p w14:paraId="1341A5D2" w14:textId="68EE7B01" w:rsidR="00C10998" w:rsidRPr="0087752B" w:rsidRDefault="00C10998" w:rsidP="00E73694">
            <w:pPr>
              <w:pStyle w:val="ESTablebody0"/>
            </w:pPr>
            <w:r w:rsidRPr="0087752B">
              <w:t>Number of standard claims</w:t>
            </w:r>
          </w:p>
        </w:tc>
        <w:tc>
          <w:tcPr>
            <w:tcW w:w="650" w:type="pct"/>
            <w:tcBorders>
              <w:top w:val="single" w:sz="6" w:space="0" w:color="777777"/>
            </w:tcBorders>
            <w:shd w:val="clear" w:color="auto" w:fill="auto"/>
            <w:vAlign w:val="center"/>
          </w:tcPr>
          <w:p w14:paraId="58831545" w14:textId="77777777" w:rsidR="00C10998" w:rsidRPr="0087752B" w:rsidRDefault="00C10998" w:rsidP="00E73694">
            <w:pPr>
              <w:pStyle w:val="ESTablebody0"/>
              <w:jc w:val="right"/>
            </w:pPr>
            <w:r w:rsidRPr="0087752B">
              <w:t>884</w:t>
            </w:r>
          </w:p>
        </w:tc>
        <w:tc>
          <w:tcPr>
            <w:tcW w:w="650" w:type="pct"/>
            <w:tcBorders>
              <w:top w:val="single" w:sz="6" w:space="0" w:color="777777"/>
            </w:tcBorders>
            <w:vAlign w:val="center"/>
          </w:tcPr>
          <w:p w14:paraId="37D3E9CF" w14:textId="77777777" w:rsidR="00C10998" w:rsidRPr="0087752B" w:rsidRDefault="00C10998" w:rsidP="00E73694">
            <w:pPr>
              <w:pStyle w:val="ESTablebody0"/>
              <w:jc w:val="right"/>
            </w:pPr>
            <w:r w:rsidRPr="0087752B">
              <w:t>796</w:t>
            </w:r>
          </w:p>
        </w:tc>
        <w:tc>
          <w:tcPr>
            <w:tcW w:w="650" w:type="pct"/>
            <w:tcBorders>
              <w:top w:val="single" w:sz="6" w:space="0" w:color="777777"/>
            </w:tcBorders>
            <w:shd w:val="clear" w:color="auto" w:fill="F8F8F8"/>
            <w:vAlign w:val="center"/>
          </w:tcPr>
          <w:p w14:paraId="57BD79B2" w14:textId="77777777" w:rsidR="00C10998" w:rsidRPr="0087752B" w:rsidRDefault="00C10998" w:rsidP="00E73694">
            <w:pPr>
              <w:pStyle w:val="ESTablebody0"/>
              <w:jc w:val="right"/>
            </w:pPr>
            <w:r>
              <w:t>825</w:t>
            </w:r>
          </w:p>
        </w:tc>
      </w:tr>
      <w:tr w:rsidR="00C10998" w:rsidRPr="0087752B" w14:paraId="30C7E0D7" w14:textId="77777777" w:rsidTr="00675F02">
        <w:trPr>
          <w:cantSplit/>
        </w:trPr>
        <w:tc>
          <w:tcPr>
            <w:tcW w:w="650" w:type="pct"/>
            <w:shd w:val="clear" w:color="auto" w:fill="auto"/>
            <w:vAlign w:val="center"/>
          </w:tcPr>
          <w:p w14:paraId="679D85D0" w14:textId="77777777" w:rsidR="00C10998" w:rsidRPr="0087752B" w:rsidRDefault="00C10998" w:rsidP="00E73694">
            <w:pPr>
              <w:pStyle w:val="ESTablebody0"/>
            </w:pPr>
          </w:p>
        </w:tc>
        <w:tc>
          <w:tcPr>
            <w:tcW w:w="0" w:type="auto"/>
            <w:shd w:val="clear" w:color="auto" w:fill="auto"/>
            <w:vAlign w:val="center"/>
          </w:tcPr>
          <w:p w14:paraId="212363D1" w14:textId="77777777" w:rsidR="00C10998" w:rsidRPr="0087752B" w:rsidRDefault="00C10998" w:rsidP="00E73694">
            <w:pPr>
              <w:pStyle w:val="ESTablebody0"/>
            </w:pPr>
            <w:r w:rsidRPr="0087752B">
              <w:t>Rate per 100 FTE</w:t>
            </w:r>
          </w:p>
        </w:tc>
        <w:tc>
          <w:tcPr>
            <w:tcW w:w="650" w:type="pct"/>
            <w:shd w:val="clear" w:color="auto" w:fill="auto"/>
            <w:vAlign w:val="center"/>
          </w:tcPr>
          <w:p w14:paraId="65B907F0" w14:textId="77777777" w:rsidR="00C10998" w:rsidRPr="0087752B" w:rsidRDefault="00C10998" w:rsidP="00E73694">
            <w:pPr>
              <w:pStyle w:val="ESTablebody0"/>
              <w:jc w:val="right"/>
            </w:pPr>
            <w:r w:rsidRPr="0087752B">
              <w:t>1.52</w:t>
            </w:r>
          </w:p>
        </w:tc>
        <w:tc>
          <w:tcPr>
            <w:tcW w:w="650" w:type="pct"/>
            <w:vAlign w:val="center"/>
          </w:tcPr>
          <w:p w14:paraId="0672792D" w14:textId="77777777" w:rsidR="00C10998" w:rsidRPr="0087752B" w:rsidRDefault="00C10998" w:rsidP="00E73694">
            <w:pPr>
              <w:pStyle w:val="ESTablebody0"/>
              <w:jc w:val="right"/>
            </w:pPr>
            <w:r w:rsidRPr="0087752B">
              <w:t>1.31</w:t>
            </w:r>
          </w:p>
        </w:tc>
        <w:tc>
          <w:tcPr>
            <w:tcW w:w="650" w:type="pct"/>
            <w:shd w:val="clear" w:color="auto" w:fill="F8F8F8"/>
            <w:vAlign w:val="center"/>
          </w:tcPr>
          <w:p w14:paraId="709F77E8" w14:textId="77777777" w:rsidR="00C10998" w:rsidRPr="0087752B" w:rsidRDefault="00C10998" w:rsidP="00E73694">
            <w:pPr>
              <w:pStyle w:val="ESTablebody0"/>
              <w:jc w:val="right"/>
            </w:pPr>
            <w:r>
              <w:t>1.32</w:t>
            </w:r>
          </w:p>
        </w:tc>
      </w:tr>
      <w:tr w:rsidR="00C10998" w:rsidRPr="0087752B" w14:paraId="6D99E266" w14:textId="77777777" w:rsidTr="00675F02">
        <w:trPr>
          <w:cantSplit/>
        </w:trPr>
        <w:tc>
          <w:tcPr>
            <w:tcW w:w="650" w:type="pct"/>
            <w:shd w:val="clear" w:color="auto" w:fill="auto"/>
            <w:vAlign w:val="center"/>
          </w:tcPr>
          <w:p w14:paraId="7F095EC2" w14:textId="77777777" w:rsidR="00C10998" w:rsidRPr="0087752B" w:rsidRDefault="00C10998" w:rsidP="00E73694">
            <w:pPr>
              <w:pStyle w:val="ESTablebody0"/>
            </w:pPr>
          </w:p>
        </w:tc>
        <w:tc>
          <w:tcPr>
            <w:tcW w:w="0" w:type="auto"/>
            <w:shd w:val="clear" w:color="auto" w:fill="auto"/>
            <w:vAlign w:val="center"/>
          </w:tcPr>
          <w:p w14:paraId="258543B2" w14:textId="3B676A89" w:rsidR="00C10998" w:rsidRPr="0087752B" w:rsidRDefault="00C10998" w:rsidP="00E73694">
            <w:pPr>
              <w:pStyle w:val="ESTablebody0"/>
            </w:pPr>
            <w:r w:rsidRPr="0087752B">
              <w:t>Number of lost time claims</w:t>
            </w:r>
          </w:p>
        </w:tc>
        <w:tc>
          <w:tcPr>
            <w:tcW w:w="650" w:type="pct"/>
            <w:shd w:val="clear" w:color="auto" w:fill="auto"/>
            <w:vAlign w:val="center"/>
          </w:tcPr>
          <w:p w14:paraId="0482CA07" w14:textId="77777777" w:rsidR="00C10998" w:rsidRPr="0087752B" w:rsidRDefault="00C10998" w:rsidP="00E73694">
            <w:pPr>
              <w:pStyle w:val="ESTablebody0"/>
              <w:jc w:val="right"/>
            </w:pPr>
            <w:r w:rsidRPr="0087752B">
              <w:t>321</w:t>
            </w:r>
          </w:p>
        </w:tc>
        <w:tc>
          <w:tcPr>
            <w:tcW w:w="650" w:type="pct"/>
            <w:vAlign w:val="center"/>
          </w:tcPr>
          <w:p w14:paraId="288D1129" w14:textId="77777777" w:rsidR="00C10998" w:rsidRPr="0087752B" w:rsidRDefault="00C10998" w:rsidP="00E73694">
            <w:pPr>
              <w:pStyle w:val="ESTablebody0"/>
              <w:jc w:val="right"/>
            </w:pPr>
            <w:r w:rsidRPr="0087752B">
              <w:t>291</w:t>
            </w:r>
          </w:p>
        </w:tc>
        <w:tc>
          <w:tcPr>
            <w:tcW w:w="650" w:type="pct"/>
            <w:shd w:val="clear" w:color="auto" w:fill="F8F8F8"/>
            <w:vAlign w:val="center"/>
          </w:tcPr>
          <w:p w14:paraId="46D82896" w14:textId="77777777" w:rsidR="00C10998" w:rsidRPr="0087752B" w:rsidRDefault="00C10998" w:rsidP="00E73694">
            <w:pPr>
              <w:pStyle w:val="ESTablebody0"/>
              <w:jc w:val="right"/>
            </w:pPr>
            <w:r>
              <w:t>371</w:t>
            </w:r>
          </w:p>
        </w:tc>
      </w:tr>
      <w:tr w:rsidR="00C10998" w:rsidRPr="0087752B" w14:paraId="6BC61435" w14:textId="77777777" w:rsidTr="00675F02">
        <w:trPr>
          <w:cantSplit/>
        </w:trPr>
        <w:tc>
          <w:tcPr>
            <w:tcW w:w="650" w:type="pct"/>
            <w:tcBorders>
              <w:bottom w:val="nil"/>
            </w:tcBorders>
            <w:shd w:val="clear" w:color="auto" w:fill="auto"/>
            <w:vAlign w:val="center"/>
          </w:tcPr>
          <w:p w14:paraId="438F5013" w14:textId="77777777" w:rsidR="00C10998" w:rsidRPr="0087752B" w:rsidRDefault="00C10998" w:rsidP="00E73694">
            <w:pPr>
              <w:pStyle w:val="ESTablebody0"/>
            </w:pPr>
          </w:p>
        </w:tc>
        <w:tc>
          <w:tcPr>
            <w:tcW w:w="0" w:type="auto"/>
            <w:tcBorders>
              <w:bottom w:val="nil"/>
            </w:tcBorders>
            <w:shd w:val="clear" w:color="auto" w:fill="auto"/>
            <w:vAlign w:val="center"/>
          </w:tcPr>
          <w:p w14:paraId="6BFFCDD4" w14:textId="77777777" w:rsidR="00C10998" w:rsidRPr="0087752B" w:rsidRDefault="00C10998" w:rsidP="00E73694">
            <w:pPr>
              <w:pStyle w:val="ESTablebody0"/>
            </w:pPr>
            <w:r w:rsidRPr="0087752B">
              <w:t>Rate per 100 FTE</w:t>
            </w:r>
          </w:p>
        </w:tc>
        <w:tc>
          <w:tcPr>
            <w:tcW w:w="650" w:type="pct"/>
            <w:tcBorders>
              <w:bottom w:val="nil"/>
            </w:tcBorders>
            <w:shd w:val="clear" w:color="auto" w:fill="auto"/>
            <w:vAlign w:val="center"/>
          </w:tcPr>
          <w:p w14:paraId="4F88318E" w14:textId="77777777" w:rsidR="00C10998" w:rsidRPr="0087752B" w:rsidRDefault="00C10998" w:rsidP="00E73694">
            <w:pPr>
              <w:pStyle w:val="ESTablebody0"/>
              <w:jc w:val="right"/>
              <w:rPr>
                <w:highlight w:val="yellow"/>
              </w:rPr>
            </w:pPr>
            <w:r w:rsidRPr="0087752B">
              <w:t>0.551</w:t>
            </w:r>
          </w:p>
        </w:tc>
        <w:tc>
          <w:tcPr>
            <w:tcW w:w="650" w:type="pct"/>
            <w:tcBorders>
              <w:bottom w:val="nil"/>
            </w:tcBorders>
            <w:vAlign w:val="center"/>
          </w:tcPr>
          <w:p w14:paraId="36E1F206" w14:textId="77777777" w:rsidR="00C10998" w:rsidRPr="0087752B" w:rsidRDefault="00C10998" w:rsidP="00E73694">
            <w:pPr>
              <w:pStyle w:val="ESTablebody0"/>
              <w:jc w:val="right"/>
            </w:pPr>
            <w:r w:rsidRPr="0087752B">
              <w:t>0.479</w:t>
            </w:r>
          </w:p>
        </w:tc>
        <w:tc>
          <w:tcPr>
            <w:tcW w:w="650" w:type="pct"/>
            <w:tcBorders>
              <w:bottom w:val="nil"/>
            </w:tcBorders>
            <w:shd w:val="clear" w:color="auto" w:fill="F8F8F8"/>
            <w:vAlign w:val="center"/>
          </w:tcPr>
          <w:p w14:paraId="150E9711" w14:textId="77777777" w:rsidR="00C10998" w:rsidRPr="0087752B" w:rsidRDefault="00C10998" w:rsidP="00E73694">
            <w:pPr>
              <w:pStyle w:val="ESTablebody0"/>
              <w:jc w:val="right"/>
            </w:pPr>
            <w:r>
              <w:t>0.592</w:t>
            </w:r>
          </w:p>
        </w:tc>
      </w:tr>
      <w:tr w:rsidR="00C10998" w:rsidRPr="0087752B" w14:paraId="3B9DC545" w14:textId="77777777" w:rsidTr="00675F02">
        <w:trPr>
          <w:cantSplit/>
        </w:trPr>
        <w:tc>
          <w:tcPr>
            <w:tcW w:w="650" w:type="pct"/>
            <w:tcBorders>
              <w:bottom w:val="nil"/>
            </w:tcBorders>
            <w:shd w:val="clear" w:color="auto" w:fill="auto"/>
            <w:vAlign w:val="center"/>
          </w:tcPr>
          <w:p w14:paraId="29021577" w14:textId="77777777" w:rsidR="00C10998" w:rsidRPr="0087752B" w:rsidRDefault="00C10998" w:rsidP="00E73694">
            <w:pPr>
              <w:pStyle w:val="ESTablebody0"/>
            </w:pPr>
          </w:p>
        </w:tc>
        <w:tc>
          <w:tcPr>
            <w:tcW w:w="0" w:type="auto"/>
            <w:tcBorders>
              <w:bottom w:val="nil"/>
            </w:tcBorders>
            <w:shd w:val="clear" w:color="auto" w:fill="auto"/>
            <w:vAlign w:val="center"/>
          </w:tcPr>
          <w:p w14:paraId="4FFE3266" w14:textId="7B68EE6B" w:rsidR="00C10998" w:rsidRPr="0087752B" w:rsidRDefault="00C10998" w:rsidP="00E73694">
            <w:pPr>
              <w:pStyle w:val="ESTablebody0"/>
            </w:pPr>
            <w:r w:rsidRPr="0087752B">
              <w:t>Number of claims exceeding 13 weeks</w:t>
            </w:r>
          </w:p>
        </w:tc>
        <w:tc>
          <w:tcPr>
            <w:tcW w:w="650" w:type="pct"/>
            <w:tcBorders>
              <w:bottom w:val="nil"/>
            </w:tcBorders>
            <w:shd w:val="clear" w:color="auto" w:fill="auto"/>
            <w:vAlign w:val="center"/>
          </w:tcPr>
          <w:p w14:paraId="65E0476C" w14:textId="77777777" w:rsidR="00C10998" w:rsidRPr="0087752B" w:rsidRDefault="00C10998" w:rsidP="00E73694">
            <w:pPr>
              <w:pStyle w:val="ESTablebody0"/>
              <w:jc w:val="right"/>
            </w:pPr>
            <w:r w:rsidRPr="0087752B">
              <w:t>103</w:t>
            </w:r>
          </w:p>
        </w:tc>
        <w:tc>
          <w:tcPr>
            <w:tcW w:w="650" w:type="pct"/>
            <w:tcBorders>
              <w:bottom w:val="nil"/>
            </w:tcBorders>
            <w:vAlign w:val="center"/>
          </w:tcPr>
          <w:p w14:paraId="6820E84D" w14:textId="77777777" w:rsidR="00C10998" w:rsidRPr="0087752B" w:rsidRDefault="00C10998" w:rsidP="00E73694">
            <w:pPr>
              <w:pStyle w:val="ESTablebody0"/>
              <w:jc w:val="right"/>
            </w:pPr>
            <w:r w:rsidRPr="0087752B">
              <w:t>178</w:t>
            </w:r>
          </w:p>
        </w:tc>
        <w:tc>
          <w:tcPr>
            <w:tcW w:w="650" w:type="pct"/>
            <w:tcBorders>
              <w:bottom w:val="nil"/>
            </w:tcBorders>
            <w:shd w:val="clear" w:color="auto" w:fill="F8F8F8"/>
            <w:vAlign w:val="center"/>
          </w:tcPr>
          <w:p w14:paraId="517CCBA8" w14:textId="77777777" w:rsidR="00C10998" w:rsidRPr="0087752B" w:rsidRDefault="00C10998" w:rsidP="00E73694">
            <w:pPr>
              <w:pStyle w:val="ESTablebody0"/>
              <w:jc w:val="right"/>
            </w:pPr>
            <w:r>
              <w:t>183</w:t>
            </w:r>
          </w:p>
        </w:tc>
      </w:tr>
      <w:tr w:rsidR="00C10998" w:rsidRPr="0087752B" w14:paraId="573589C9" w14:textId="77777777" w:rsidTr="00675F02">
        <w:trPr>
          <w:cantSplit/>
        </w:trPr>
        <w:tc>
          <w:tcPr>
            <w:tcW w:w="650" w:type="pct"/>
            <w:tcBorders>
              <w:top w:val="nil"/>
              <w:bottom w:val="single" w:sz="6" w:space="0" w:color="777777"/>
            </w:tcBorders>
            <w:shd w:val="clear" w:color="auto" w:fill="auto"/>
            <w:vAlign w:val="center"/>
          </w:tcPr>
          <w:p w14:paraId="2EA5CEB8" w14:textId="77777777" w:rsidR="00C10998" w:rsidRPr="0087752B" w:rsidRDefault="00C10998" w:rsidP="00E73694">
            <w:pPr>
              <w:pStyle w:val="ESTablebody0"/>
            </w:pPr>
          </w:p>
        </w:tc>
        <w:tc>
          <w:tcPr>
            <w:tcW w:w="0" w:type="auto"/>
            <w:tcBorders>
              <w:top w:val="nil"/>
              <w:bottom w:val="single" w:sz="6" w:space="0" w:color="777777"/>
            </w:tcBorders>
            <w:shd w:val="clear" w:color="auto" w:fill="auto"/>
            <w:vAlign w:val="center"/>
          </w:tcPr>
          <w:p w14:paraId="29F83CD7" w14:textId="77777777" w:rsidR="00C10998" w:rsidRPr="0087752B" w:rsidRDefault="00C10998" w:rsidP="00E73694">
            <w:pPr>
              <w:pStyle w:val="ESTablebody0"/>
            </w:pPr>
            <w:r w:rsidRPr="0087752B">
              <w:t>Rate per 100 FTE</w:t>
            </w:r>
          </w:p>
        </w:tc>
        <w:tc>
          <w:tcPr>
            <w:tcW w:w="650" w:type="pct"/>
            <w:tcBorders>
              <w:top w:val="nil"/>
              <w:bottom w:val="single" w:sz="6" w:space="0" w:color="777777"/>
            </w:tcBorders>
            <w:shd w:val="clear" w:color="auto" w:fill="auto"/>
            <w:vAlign w:val="center"/>
          </w:tcPr>
          <w:p w14:paraId="3342CF56" w14:textId="77777777" w:rsidR="00C10998" w:rsidRPr="0087752B" w:rsidRDefault="00C10998" w:rsidP="00E73694">
            <w:pPr>
              <w:pStyle w:val="ESTablebody0"/>
              <w:jc w:val="right"/>
              <w:rPr>
                <w:highlight w:val="yellow"/>
              </w:rPr>
            </w:pPr>
            <w:r w:rsidRPr="0087752B">
              <w:t>0.200</w:t>
            </w:r>
          </w:p>
        </w:tc>
        <w:tc>
          <w:tcPr>
            <w:tcW w:w="650" w:type="pct"/>
            <w:tcBorders>
              <w:top w:val="nil"/>
              <w:bottom w:val="single" w:sz="6" w:space="0" w:color="777777"/>
            </w:tcBorders>
            <w:vAlign w:val="center"/>
          </w:tcPr>
          <w:p w14:paraId="2518D7CE" w14:textId="77777777" w:rsidR="00C10998" w:rsidRPr="0087752B" w:rsidRDefault="00C10998" w:rsidP="00E73694">
            <w:pPr>
              <w:pStyle w:val="ESTablebody0"/>
              <w:jc w:val="right"/>
            </w:pPr>
            <w:r w:rsidRPr="0087752B">
              <w:t>0.300</w:t>
            </w:r>
          </w:p>
        </w:tc>
        <w:tc>
          <w:tcPr>
            <w:tcW w:w="650" w:type="pct"/>
            <w:tcBorders>
              <w:top w:val="nil"/>
              <w:bottom w:val="single" w:sz="6" w:space="0" w:color="777777"/>
            </w:tcBorders>
            <w:shd w:val="clear" w:color="auto" w:fill="F8F8F8"/>
            <w:vAlign w:val="center"/>
          </w:tcPr>
          <w:p w14:paraId="451BD134" w14:textId="77777777" w:rsidR="00C10998" w:rsidRPr="0087752B" w:rsidRDefault="00C10998" w:rsidP="00E73694">
            <w:pPr>
              <w:pStyle w:val="ESTablebody0"/>
              <w:jc w:val="right"/>
            </w:pPr>
            <w:r>
              <w:t>0.292</w:t>
            </w:r>
          </w:p>
        </w:tc>
      </w:tr>
      <w:tr w:rsidR="00C10998" w:rsidRPr="0087752B" w14:paraId="7A05A322" w14:textId="77777777" w:rsidTr="00675F02">
        <w:trPr>
          <w:cantSplit/>
        </w:trPr>
        <w:tc>
          <w:tcPr>
            <w:tcW w:w="650" w:type="pct"/>
            <w:tcBorders>
              <w:top w:val="single" w:sz="6" w:space="0" w:color="777777"/>
              <w:bottom w:val="single" w:sz="6" w:space="0" w:color="777777"/>
            </w:tcBorders>
            <w:shd w:val="clear" w:color="auto" w:fill="auto"/>
            <w:vAlign w:val="center"/>
          </w:tcPr>
          <w:p w14:paraId="3BF3D251" w14:textId="77777777" w:rsidR="00C10998" w:rsidRPr="0087752B" w:rsidRDefault="00C10998" w:rsidP="00E73694">
            <w:pPr>
              <w:pStyle w:val="ESTablebody0"/>
            </w:pPr>
            <w:r w:rsidRPr="0087752B">
              <w:t>Fatalities</w:t>
            </w:r>
          </w:p>
        </w:tc>
        <w:tc>
          <w:tcPr>
            <w:tcW w:w="0" w:type="auto"/>
            <w:tcBorders>
              <w:top w:val="single" w:sz="6" w:space="0" w:color="777777"/>
              <w:bottom w:val="single" w:sz="6" w:space="0" w:color="777777"/>
            </w:tcBorders>
            <w:shd w:val="clear" w:color="auto" w:fill="auto"/>
            <w:vAlign w:val="center"/>
          </w:tcPr>
          <w:p w14:paraId="13D82F4A" w14:textId="77777777" w:rsidR="00C10998" w:rsidRPr="0087752B" w:rsidRDefault="00C10998" w:rsidP="00E73694">
            <w:pPr>
              <w:pStyle w:val="ESTablebody0"/>
            </w:pPr>
            <w:r w:rsidRPr="0087752B">
              <w:t>Fatality claims</w:t>
            </w:r>
          </w:p>
        </w:tc>
        <w:tc>
          <w:tcPr>
            <w:tcW w:w="650" w:type="pct"/>
            <w:tcBorders>
              <w:top w:val="single" w:sz="6" w:space="0" w:color="777777"/>
              <w:bottom w:val="single" w:sz="6" w:space="0" w:color="777777"/>
            </w:tcBorders>
            <w:shd w:val="clear" w:color="auto" w:fill="auto"/>
            <w:vAlign w:val="center"/>
          </w:tcPr>
          <w:p w14:paraId="679AF6C2" w14:textId="77777777" w:rsidR="00C10998" w:rsidRPr="0087752B" w:rsidRDefault="00C10998" w:rsidP="00E73694">
            <w:pPr>
              <w:pStyle w:val="ESTablebody0"/>
              <w:jc w:val="right"/>
            </w:pPr>
            <w:r w:rsidRPr="0087752B">
              <w:t>1</w:t>
            </w:r>
          </w:p>
        </w:tc>
        <w:tc>
          <w:tcPr>
            <w:tcW w:w="650" w:type="pct"/>
            <w:tcBorders>
              <w:top w:val="single" w:sz="6" w:space="0" w:color="777777"/>
              <w:bottom w:val="single" w:sz="6" w:space="0" w:color="777777"/>
            </w:tcBorders>
            <w:vAlign w:val="center"/>
          </w:tcPr>
          <w:p w14:paraId="3EF95841" w14:textId="77777777" w:rsidR="00C10998" w:rsidRPr="0087752B" w:rsidRDefault="00C10998" w:rsidP="00E73694">
            <w:pPr>
              <w:pStyle w:val="ESTablebody0"/>
              <w:jc w:val="right"/>
            </w:pPr>
            <w:r w:rsidRPr="0087752B">
              <w:t>0</w:t>
            </w:r>
          </w:p>
        </w:tc>
        <w:tc>
          <w:tcPr>
            <w:tcW w:w="650" w:type="pct"/>
            <w:tcBorders>
              <w:top w:val="single" w:sz="6" w:space="0" w:color="777777"/>
              <w:bottom w:val="single" w:sz="6" w:space="0" w:color="777777"/>
            </w:tcBorders>
            <w:shd w:val="clear" w:color="auto" w:fill="F8F8F8"/>
            <w:vAlign w:val="center"/>
          </w:tcPr>
          <w:p w14:paraId="7EBB7F0A" w14:textId="77777777" w:rsidR="00C10998" w:rsidRPr="0087752B" w:rsidRDefault="00C10998" w:rsidP="00E73694">
            <w:pPr>
              <w:pStyle w:val="ESTablebody0"/>
              <w:jc w:val="right"/>
            </w:pPr>
            <w:r>
              <w:t>0</w:t>
            </w:r>
          </w:p>
        </w:tc>
      </w:tr>
      <w:tr w:rsidR="00C10998" w:rsidRPr="0087752B" w14:paraId="0735EA0B" w14:textId="77777777" w:rsidTr="00675F02">
        <w:trPr>
          <w:cantSplit/>
        </w:trPr>
        <w:tc>
          <w:tcPr>
            <w:tcW w:w="650" w:type="pct"/>
            <w:tcBorders>
              <w:top w:val="single" w:sz="6" w:space="0" w:color="777777"/>
              <w:bottom w:val="single" w:sz="6" w:space="0" w:color="777777"/>
            </w:tcBorders>
            <w:shd w:val="clear" w:color="auto" w:fill="auto"/>
            <w:vAlign w:val="center"/>
          </w:tcPr>
          <w:p w14:paraId="45503CF9" w14:textId="77777777" w:rsidR="00C10998" w:rsidRPr="0087752B" w:rsidRDefault="00C10998" w:rsidP="00E73694">
            <w:pPr>
              <w:pStyle w:val="ESTablebody0"/>
            </w:pPr>
            <w:r w:rsidRPr="0087752B">
              <w:t>Claim costs</w:t>
            </w:r>
          </w:p>
        </w:tc>
        <w:tc>
          <w:tcPr>
            <w:tcW w:w="0" w:type="auto"/>
            <w:tcBorders>
              <w:top w:val="single" w:sz="6" w:space="0" w:color="777777"/>
              <w:bottom w:val="single" w:sz="6" w:space="0" w:color="777777"/>
            </w:tcBorders>
            <w:shd w:val="clear" w:color="auto" w:fill="auto"/>
            <w:vAlign w:val="center"/>
          </w:tcPr>
          <w:p w14:paraId="323FEC68" w14:textId="2D3236A1" w:rsidR="00C10998" w:rsidRPr="0087752B" w:rsidRDefault="00C10998" w:rsidP="00E73694">
            <w:pPr>
              <w:pStyle w:val="ESTablebody0"/>
            </w:pPr>
            <w:r w:rsidRPr="0087752B">
              <w:t>Average cost per standard claim ($)</w:t>
            </w:r>
          </w:p>
        </w:tc>
        <w:tc>
          <w:tcPr>
            <w:tcW w:w="650" w:type="pct"/>
            <w:tcBorders>
              <w:top w:val="single" w:sz="6" w:space="0" w:color="777777"/>
              <w:bottom w:val="single" w:sz="6" w:space="0" w:color="777777"/>
            </w:tcBorders>
            <w:shd w:val="clear" w:color="auto" w:fill="auto"/>
            <w:vAlign w:val="center"/>
          </w:tcPr>
          <w:p w14:paraId="595D245A" w14:textId="77777777" w:rsidR="00C10998" w:rsidRPr="0087752B" w:rsidRDefault="00C10998" w:rsidP="00E73694">
            <w:pPr>
              <w:pStyle w:val="ESTablebody0"/>
              <w:jc w:val="right"/>
            </w:pPr>
            <w:r w:rsidRPr="0087752B">
              <w:t>40,047</w:t>
            </w:r>
          </w:p>
        </w:tc>
        <w:tc>
          <w:tcPr>
            <w:tcW w:w="650" w:type="pct"/>
            <w:tcBorders>
              <w:top w:val="single" w:sz="6" w:space="0" w:color="777777"/>
              <w:bottom w:val="single" w:sz="6" w:space="0" w:color="777777"/>
            </w:tcBorders>
            <w:vAlign w:val="center"/>
          </w:tcPr>
          <w:p w14:paraId="654870FA" w14:textId="77777777" w:rsidR="00C10998" w:rsidRPr="0087752B" w:rsidRDefault="00C10998" w:rsidP="00E73694">
            <w:pPr>
              <w:pStyle w:val="ESTablebody0"/>
              <w:jc w:val="right"/>
            </w:pPr>
            <w:r w:rsidRPr="0087752B">
              <w:t>55,810</w:t>
            </w:r>
          </w:p>
        </w:tc>
        <w:tc>
          <w:tcPr>
            <w:tcW w:w="650" w:type="pct"/>
            <w:tcBorders>
              <w:top w:val="single" w:sz="6" w:space="0" w:color="777777"/>
              <w:bottom w:val="single" w:sz="6" w:space="0" w:color="777777"/>
            </w:tcBorders>
            <w:shd w:val="clear" w:color="auto" w:fill="F8F8F8"/>
            <w:vAlign w:val="center"/>
          </w:tcPr>
          <w:p w14:paraId="27231052" w14:textId="77777777" w:rsidR="00C10998" w:rsidRPr="0087752B" w:rsidRDefault="00C10998" w:rsidP="00E73694">
            <w:pPr>
              <w:pStyle w:val="ESTablebody0"/>
              <w:jc w:val="right"/>
            </w:pPr>
            <w:r>
              <w:t>63,212</w:t>
            </w:r>
          </w:p>
        </w:tc>
      </w:tr>
      <w:tr w:rsidR="00C10998" w:rsidRPr="0087752B" w14:paraId="0A4F8F34" w14:textId="77777777" w:rsidTr="00675F02">
        <w:trPr>
          <w:cantSplit/>
        </w:trPr>
        <w:tc>
          <w:tcPr>
            <w:tcW w:w="650" w:type="pct"/>
            <w:tcBorders>
              <w:top w:val="single" w:sz="6" w:space="0" w:color="777777"/>
              <w:bottom w:val="nil"/>
            </w:tcBorders>
            <w:shd w:val="clear" w:color="auto" w:fill="auto"/>
          </w:tcPr>
          <w:p w14:paraId="3A6049B7" w14:textId="77777777" w:rsidR="00C10998" w:rsidRPr="0087752B" w:rsidRDefault="00C10998" w:rsidP="00E73694">
            <w:pPr>
              <w:pStyle w:val="ESTablebody0"/>
            </w:pPr>
            <w:r w:rsidRPr="0087752B">
              <w:t>Management commitment</w:t>
            </w:r>
          </w:p>
        </w:tc>
        <w:tc>
          <w:tcPr>
            <w:tcW w:w="0" w:type="auto"/>
            <w:tcBorders>
              <w:top w:val="single" w:sz="6" w:space="0" w:color="777777"/>
              <w:bottom w:val="nil"/>
            </w:tcBorders>
            <w:shd w:val="clear" w:color="auto" w:fill="auto"/>
            <w:vAlign w:val="center"/>
          </w:tcPr>
          <w:p w14:paraId="1AF8C148" w14:textId="77777777" w:rsidR="00C10998" w:rsidRPr="0087752B" w:rsidRDefault="00C10998" w:rsidP="00E73694">
            <w:pPr>
              <w:pStyle w:val="ESTablebody0"/>
            </w:pPr>
            <w:r w:rsidRPr="0087752B">
              <w:t>Evidence of occupational health &amp; safety policy statement, objectives, regular reporting to senior management &amp; plans (signed by CEO or equivalent)</w:t>
            </w:r>
          </w:p>
        </w:tc>
        <w:tc>
          <w:tcPr>
            <w:tcW w:w="650" w:type="pct"/>
            <w:tcBorders>
              <w:top w:val="single" w:sz="6" w:space="0" w:color="777777"/>
              <w:bottom w:val="nil"/>
            </w:tcBorders>
            <w:shd w:val="clear" w:color="auto" w:fill="auto"/>
            <w:vAlign w:val="center"/>
          </w:tcPr>
          <w:p w14:paraId="541BABCA" w14:textId="77777777" w:rsidR="00C10998" w:rsidRPr="0087752B" w:rsidRDefault="00C10998" w:rsidP="00E73694">
            <w:pPr>
              <w:pStyle w:val="ESTablebody0"/>
              <w:jc w:val="right"/>
            </w:pPr>
            <w:r w:rsidRPr="0087752B">
              <w:t>Complete</w:t>
            </w:r>
          </w:p>
        </w:tc>
        <w:tc>
          <w:tcPr>
            <w:tcW w:w="650" w:type="pct"/>
            <w:tcBorders>
              <w:top w:val="single" w:sz="6" w:space="0" w:color="777777"/>
              <w:bottom w:val="nil"/>
            </w:tcBorders>
            <w:vAlign w:val="center"/>
          </w:tcPr>
          <w:p w14:paraId="449A4CE8" w14:textId="77777777" w:rsidR="00C10998" w:rsidRPr="0087752B" w:rsidRDefault="00C10998" w:rsidP="00E73694">
            <w:pPr>
              <w:pStyle w:val="ESTablebody0"/>
              <w:jc w:val="right"/>
            </w:pPr>
            <w:r w:rsidRPr="0087752B">
              <w:t>Complete</w:t>
            </w:r>
          </w:p>
        </w:tc>
        <w:tc>
          <w:tcPr>
            <w:tcW w:w="650" w:type="pct"/>
            <w:tcBorders>
              <w:top w:val="single" w:sz="6" w:space="0" w:color="777777"/>
              <w:bottom w:val="nil"/>
            </w:tcBorders>
            <w:shd w:val="clear" w:color="auto" w:fill="F8F8F8"/>
            <w:vAlign w:val="center"/>
          </w:tcPr>
          <w:p w14:paraId="6E854907" w14:textId="77777777" w:rsidR="00C10998" w:rsidRPr="0087752B" w:rsidRDefault="00C10998" w:rsidP="00E73694">
            <w:pPr>
              <w:pStyle w:val="ESTablebody0"/>
              <w:jc w:val="right"/>
            </w:pPr>
            <w:r>
              <w:t>Complete</w:t>
            </w:r>
          </w:p>
        </w:tc>
      </w:tr>
      <w:tr w:rsidR="00C10998" w:rsidRPr="0087752B" w14:paraId="31EE5A04" w14:textId="77777777" w:rsidTr="00675F02">
        <w:trPr>
          <w:cantSplit/>
        </w:trPr>
        <w:tc>
          <w:tcPr>
            <w:tcW w:w="650" w:type="pct"/>
            <w:tcBorders>
              <w:top w:val="nil"/>
              <w:bottom w:val="single" w:sz="6" w:space="0" w:color="777777"/>
            </w:tcBorders>
            <w:shd w:val="clear" w:color="auto" w:fill="auto"/>
          </w:tcPr>
          <w:p w14:paraId="29356288" w14:textId="77777777" w:rsidR="00C10998" w:rsidRPr="0087752B" w:rsidRDefault="00C10998" w:rsidP="00E73694">
            <w:pPr>
              <w:pStyle w:val="ESTablebody0"/>
            </w:pPr>
          </w:p>
        </w:tc>
        <w:tc>
          <w:tcPr>
            <w:tcW w:w="0" w:type="auto"/>
            <w:tcBorders>
              <w:top w:val="nil"/>
              <w:bottom w:val="single" w:sz="6" w:space="0" w:color="777777"/>
            </w:tcBorders>
            <w:shd w:val="clear" w:color="auto" w:fill="auto"/>
            <w:vAlign w:val="center"/>
          </w:tcPr>
          <w:p w14:paraId="0011CE6E" w14:textId="77777777" w:rsidR="00C10998" w:rsidRPr="0087752B" w:rsidRDefault="00C10998" w:rsidP="00E73694">
            <w:pPr>
              <w:pStyle w:val="ESTablebody0"/>
            </w:pPr>
            <w:r w:rsidRPr="0087752B">
              <w:t>Evidence of occupational health &amp; safety criteria in purchasing guidelines (including goods, services &amp; personnel)</w:t>
            </w:r>
          </w:p>
        </w:tc>
        <w:tc>
          <w:tcPr>
            <w:tcW w:w="650" w:type="pct"/>
            <w:tcBorders>
              <w:top w:val="nil"/>
              <w:bottom w:val="single" w:sz="6" w:space="0" w:color="777777"/>
            </w:tcBorders>
            <w:shd w:val="clear" w:color="auto" w:fill="auto"/>
            <w:vAlign w:val="center"/>
          </w:tcPr>
          <w:p w14:paraId="46290F54" w14:textId="77777777" w:rsidR="00C10998" w:rsidRPr="0087752B" w:rsidRDefault="00C10998" w:rsidP="00E73694">
            <w:pPr>
              <w:pStyle w:val="ESTablebody0"/>
              <w:jc w:val="right"/>
            </w:pPr>
            <w:r w:rsidRPr="0087752B">
              <w:t>Complete</w:t>
            </w:r>
          </w:p>
        </w:tc>
        <w:tc>
          <w:tcPr>
            <w:tcW w:w="650" w:type="pct"/>
            <w:tcBorders>
              <w:top w:val="nil"/>
              <w:bottom w:val="single" w:sz="6" w:space="0" w:color="777777"/>
            </w:tcBorders>
            <w:vAlign w:val="center"/>
          </w:tcPr>
          <w:p w14:paraId="303DDA4A" w14:textId="77777777" w:rsidR="00C10998" w:rsidRPr="0087752B" w:rsidRDefault="00C10998" w:rsidP="00E73694">
            <w:pPr>
              <w:pStyle w:val="ESTablebody0"/>
              <w:jc w:val="right"/>
            </w:pPr>
            <w:r w:rsidRPr="0087752B">
              <w:t>Complete</w:t>
            </w:r>
          </w:p>
        </w:tc>
        <w:tc>
          <w:tcPr>
            <w:tcW w:w="650" w:type="pct"/>
            <w:tcBorders>
              <w:top w:val="nil"/>
              <w:bottom w:val="single" w:sz="6" w:space="0" w:color="777777"/>
            </w:tcBorders>
            <w:shd w:val="clear" w:color="auto" w:fill="F8F8F8"/>
            <w:vAlign w:val="center"/>
          </w:tcPr>
          <w:p w14:paraId="4FEC2904" w14:textId="77777777" w:rsidR="00C10998" w:rsidRPr="0087752B" w:rsidRDefault="00C10998" w:rsidP="00E73694">
            <w:pPr>
              <w:pStyle w:val="ESTablebody0"/>
              <w:jc w:val="right"/>
            </w:pPr>
            <w:r>
              <w:t>Complete</w:t>
            </w:r>
          </w:p>
        </w:tc>
      </w:tr>
      <w:tr w:rsidR="00C10998" w:rsidRPr="0087752B" w14:paraId="65AADB1F" w14:textId="77777777" w:rsidTr="00675F02">
        <w:trPr>
          <w:cantSplit/>
        </w:trPr>
        <w:tc>
          <w:tcPr>
            <w:tcW w:w="650" w:type="pct"/>
            <w:tcBorders>
              <w:top w:val="single" w:sz="6" w:space="0" w:color="777777"/>
              <w:bottom w:val="nil"/>
            </w:tcBorders>
            <w:shd w:val="clear" w:color="auto" w:fill="auto"/>
          </w:tcPr>
          <w:p w14:paraId="200023F2" w14:textId="77777777" w:rsidR="00C10998" w:rsidRPr="0087752B" w:rsidRDefault="00C10998" w:rsidP="00E73694">
            <w:pPr>
              <w:pStyle w:val="ESTablebody0"/>
              <w:keepLines/>
            </w:pPr>
            <w:r w:rsidRPr="0087752B">
              <w:t>Consultation &amp; participation</w:t>
            </w:r>
          </w:p>
        </w:tc>
        <w:tc>
          <w:tcPr>
            <w:tcW w:w="0" w:type="auto"/>
            <w:tcBorders>
              <w:top w:val="single" w:sz="6" w:space="0" w:color="777777"/>
              <w:bottom w:val="nil"/>
            </w:tcBorders>
            <w:shd w:val="clear" w:color="auto" w:fill="auto"/>
            <w:vAlign w:val="center"/>
          </w:tcPr>
          <w:p w14:paraId="406FC23F" w14:textId="77777777" w:rsidR="00C10998" w:rsidRPr="0087752B" w:rsidRDefault="00C10998" w:rsidP="00E73694">
            <w:pPr>
              <w:pStyle w:val="ESTablebody0"/>
              <w:keepNext/>
              <w:keepLines/>
            </w:pPr>
            <w:r w:rsidRPr="0087752B">
              <w:t>Evidence of agreed structure of designated workgroups, health &amp; safety representatives, &amp; issue resolution procedures</w:t>
            </w:r>
          </w:p>
        </w:tc>
        <w:tc>
          <w:tcPr>
            <w:tcW w:w="650" w:type="pct"/>
            <w:tcBorders>
              <w:top w:val="single" w:sz="6" w:space="0" w:color="777777"/>
              <w:bottom w:val="nil"/>
            </w:tcBorders>
            <w:shd w:val="clear" w:color="auto" w:fill="auto"/>
            <w:vAlign w:val="center"/>
          </w:tcPr>
          <w:p w14:paraId="1A7BC1BB" w14:textId="77777777" w:rsidR="00C10998" w:rsidRPr="0087752B" w:rsidRDefault="00C10998" w:rsidP="00E73694">
            <w:pPr>
              <w:pStyle w:val="ESTablebody0"/>
              <w:keepLines/>
              <w:jc w:val="right"/>
            </w:pPr>
            <w:r w:rsidRPr="0087752B">
              <w:t>Complete</w:t>
            </w:r>
          </w:p>
        </w:tc>
        <w:tc>
          <w:tcPr>
            <w:tcW w:w="650" w:type="pct"/>
            <w:tcBorders>
              <w:top w:val="single" w:sz="6" w:space="0" w:color="777777"/>
              <w:bottom w:val="nil"/>
            </w:tcBorders>
            <w:vAlign w:val="center"/>
          </w:tcPr>
          <w:p w14:paraId="18C3EA6B" w14:textId="77777777" w:rsidR="00C10998" w:rsidRPr="0087752B" w:rsidRDefault="00C10998" w:rsidP="00E73694">
            <w:pPr>
              <w:pStyle w:val="ESTablebody0"/>
              <w:keepLines/>
              <w:jc w:val="right"/>
            </w:pPr>
            <w:r w:rsidRPr="0087752B">
              <w:t>Complete</w:t>
            </w:r>
          </w:p>
        </w:tc>
        <w:tc>
          <w:tcPr>
            <w:tcW w:w="650" w:type="pct"/>
            <w:tcBorders>
              <w:top w:val="single" w:sz="6" w:space="0" w:color="777777"/>
              <w:bottom w:val="nil"/>
            </w:tcBorders>
            <w:shd w:val="clear" w:color="auto" w:fill="F8F8F8"/>
            <w:vAlign w:val="center"/>
          </w:tcPr>
          <w:p w14:paraId="2F04C94A" w14:textId="77777777" w:rsidR="00C10998" w:rsidRPr="0087752B" w:rsidRDefault="00C10998" w:rsidP="00E73694">
            <w:pPr>
              <w:pStyle w:val="ESTablebody0"/>
              <w:keepLines/>
              <w:jc w:val="right"/>
            </w:pPr>
            <w:r>
              <w:t>Complete</w:t>
            </w:r>
          </w:p>
        </w:tc>
      </w:tr>
      <w:tr w:rsidR="00C10998" w:rsidRPr="0087752B" w14:paraId="6881F77B" w14:textId="77777777" w:rsidTr="00675F02">
        <w:trPr>
          <w:cantSplit/>
        </w:trPr>
        <w:tc>
          <w:tcPr>
            <w:tcW w:w="650" w:type="pct"/>
            <w:tcBorders>
              <w:top w:val="nil"/>
              <w:bottom w:val="single" w:sz="6" w:space="0" w:color="777777"/>
            </w:tcBorders>
            <w:shd w:val="clear" w:color="auto" w:fill="auto"/>
          </w:tcPr>
          <w:p w14:paraId="66A519CA" w14:textId="77777777" w:rsidR="00C10998" w:rsidRPr="0087752B" w:rsidRDefault="00C10998" w:rsidP="00E73694">
            <w:pPr>
              <w:pStyle w:val="ESTablebody0"/>
            </w:pPr>
          </w:p>
        </w:tc>
        <w:tc>
          <w:tcPr>
            <w:tcW w:w="0" w:type="auto"/>
            <w:tcBorders>
              <w:top w:val="nil"/>
              <w:bottom w:val="single" w:sz="6" w:space="0" w:color="777777"/>
            </w:tcBorders>
            <w:shd w:val="clear" w:color="auto" w:fill="auto"/>
            <w:vAlign w:val="center"/>
          </w:tcPr>
          <w:p w14:paraId="66DB38F1" w14:textId="77777777" w:rsidR="00C10998" w:rsidRPr="0087752B" w:rsidRDefault="00C10998" w:rsidP="00E73694">
            <w:pPr>
              <w:pStyle w:val="ESTablebody0"/>
            </w:pPr>
            <w:r w:rsidRPr="0087752B">
              <w:t>Compliance with agreed structure of above</w:t>
            </w:r>
          </w:p>
        </w:tc>
        <w:tc>
          <w:tcPr>
            <w:tcW w:w="650" w:type="pct"/>
            <w:tcBorders>
              <w:top w:val="nil"/>
              <w:bottom w:val="single" w:sz="6" w:space="0" w:color="777777"/>
            </w:tcBorders>
            <w:shd w:val="clear" w:color="auto" w:fill="auto"/>
            <w:vAlign w:val="center"/>
          </w:tcPr>
          <w:p w14:paraId="0324583C" w14:textId="77777777" w:rsidR="00C10998" w:rsidRPr="0087752B" w:rsidRDefault="00C10998" w:rsidP="00E73694">
            <w:pPr>
              <w:pStyle w:val="ESTablebody0"/>
              <w:jc w:val="right"/>
            </w:pPr>
            <w:r w:rsidRPr="0087752B">
              <w:t>Complete</w:t>
            </w:r>
          </w:p>
        </w:tc>
        <w:tc>
          <w:tcPr>
            <w:tcW w:w="650" w:type="pct"/>
            <w:tcBorders>
              <w:top w:val="nil"/>
              <w:bottom w:val="single" w:sz="6" w:space="0" w:color="777777"/>
            </w:tcBorders>
            <w:vAlign w:val="center"/>
          </w:tcPr>
          <w:p w14:paraId="2459B1BE" w14:textId="77777777" w:rsidR="00C10998" w:rsidRPr="0087752B" w:rsidRDefault="00C10998" w:rsidP="00E73694">
            <w:pPr>
              <w:pStyle w:val="ESTablebody0"/>
              <w:jc w:val="right"/>
            </w:pPr>
            <w:r w:rsidRPr="0087752B">
              <w:t>Complete</w:t>
            </w:r>
          </w:p>
        </w:tc>
        <w:tc>
          <w:tcPr>
            <w:tcW w:w="650" w:type="pct"/>
            <w:tcBorders>
              <w:top w:val="nil"/>
              <w:bottom w:val="single" w:sz="6" w:space="0" w:color="777777"/>
            </w:tcBorders>
            <w:shd w:val="clear" w:color="auto" w:fill="F8F8F8"/>
            <w:vAlign w:val="center"/>
          </w:tcPr>
          <w:p w14:paraId="2004857E" w14:textId="77777777" w:rsidR="00C10998" w:rsidRPr="0087752B" w:rsidRDefault="00C10998" w:rsidP="00E73694">
            <w:pPr>
              <w:pStyle w:val="ESTablebody0"/>
              <w:jc w:val="right"/>
            </w:pPr>
            <w:r>
              <w:t>Complete</w:t>
            </w:r>
          </w:p>
        </w:tc>
      </w:tr>
      <w:tr w:rsidR="00C10998" w:rsidRPr="0087752B" w14:paraId="1F7B2806" w14:textId="77777777" w:rsidTr="00675F02">
        <w:trPr>
          <w:cantSplit/>
        </w:trPr>
        <w:tc>
          <w:tcPr>
            <w:tcW w:w="650" w:type="pct"/>
            <w:tcBorders>
              <w:top w:val="single" w:sz="6" w:space="0" w:color="777777"/>
              <w:bottom w:val="nil"/>
            </w:tcBorders>
            <w:shd w:val="clear" w:color="auto" w:fill="auto"/>
            <w:vAlign w:val="center"/>
          </w:tcPr>
          <w:p w14:paraId="5D00192D" w14:textId="77777777" w:rsidR="00C10998" w:rsidRPr="0087752B" w:rsidRDefault="00C10998" w:rsidP="00E73694">
            <w:pPr>
              <w:pStyle w:val="ESTablebody0"/>
            </w:pPr>
            <w:r w:rsidRPr="0087752B">
              <w:t>Risk management</w:t>
            </w:r>
          </w:p>
        </w:tc>
        <w:tc>
          <w:tcPr>
            <w:tcW w:w="0" w:type="auto"/>
            <w:tcBorders>
              <w:top w:val="single" w:sz="6" w:space="0" w:color="777777"/>
              <w:bottom w:val="nil"/>
            </w:tcBorders>
            <w:shd w:val="clear" w:color="auto" w:fill="auto"/>
            <w:vAlign w:val="center"/>
          </w:tcPr>
          <w:p w14:paraId="67D2B7F9" w14:textId="77777777" w:rsidR="00C10998" w:rsidRPr="0087752B" w:rsidRDefault="00C10998" w:rsidP="00E73694">
            <w:pPr>
              <w:pStyle w:val="ESTablebody0"/>
            </w:pPr>
            <w:r w:rsidRPr="0087752B">
              <w:t>Percentage of internal audits/inspections conducted as planned</w:t>
            </w:r>
          </w:p>
        </w:tc>
        <w:tc>
          <w:tcPr>
            <w:tcW w:w="650" w:type="pct"/>
            <w:tcBorders>
              <w:top w:val="single" w:sz="6" w:space="0" w:color="777777"/>
              <w:bottom w:val="nil"/>
            </w:tcBorders>
            <w:shd w:val="clear" w:color="auto" w:fill="auto"/>
            <w:vAlign w:val="center"/>
          </w:tcPr>
          <w:p w14:paraId="19E8C97D" w14:textId="77777777" w:rsidR="00C10998" w:rsidRPr="0087752B" w:rsidRDefault="00C10998" w:rsidP="00E73694">
            <w:pPr>
              <w:pStyle w:val="ESTablebody0"/>
              <w:jc w:val="right"/>
            </w:pPr>
            <w:r w:rsidRPr="0087752B">
              <w:t>100</w:t>
            </w:r>
          </w:p>
        </w:tc>
        <w:tc>
          <w:tcPr>
            <w:tcW w:w="650" w:type="pct"/>
            <w:tcBorders>
              <w:top w:val="single" w:sz="6" w:space="0" w:color="777777"/>
              <w:bottom w:val="nil"/>
            </w:tcBorders>
            <w:vAlign w:val="center"/>
          </w:tcPr>
          <w:p w14:paraId="128687D2" w14:textId="77777777" w:rsidR="00C10998" w:rsidRPr="0087752B" w:rsidRDefault="00C10998" w:rsidP="00E73694">
            <w:pPr>
              <w:pStyle w:val="ESTablebody0"/>
              <w:jc w:val="right"/>
            </w:pPr>
            <w:r w:rsidRPr="0087752B">
              <w:t>100</w:t>
            </w:r>
          </w:p>
        </w:tc>
        <w:tc>
          <w:tcPr>
            <w:tcW w:w="650" w:type="pct"/>
            <w:tcBorders>
              <w:top w:val="single" w:sz="6" w:space="0" w:color="777777"/>
              <w:bottom w:val="nil"/>
            </w:tcBorders>
            <w:shd w:val="clear" w:color="auto" w:fill="F8F8F8"/>
            <w:vAlign w:val="center"/>
          </w:tcPr>
          <w:p w14:paraId="4E153ABC" w14:textId="77777777" w:rsidR="00C10998" w:rsidRPr="0087752B" w:rsidRDefault="00C10998" w:rsidP="00E73694">
            <w:pPr>
              <w:pStyle w:val="ESTablebody0"/>
              <w:jc w:val="right"/>
            </w:pPr>
            <w:r>
              <w:t>100</w:t>
            </w:r>
          </w:p>
        </w:tc>
      </w:tr>
      <w:tr w:rsidR="00C10998" w:rsidRPr="0087752B" w14:paraId="1DD2F469" w14:textId="77777777" w:rsidTr="00675F02">
        <w:trPr>
          <w:cantSplit/>
        </w:trPr>
        <w:tc>
          <w:tcPr>
            <w:tcW w:w="650" w:type="pct"/>
            <w:tcBorders>
              <w:top w:val="nil"/>
              <w:bottom w:val="single" w:sz="6" w:space="0" w:color="777777"/>
            </w:tcBorders>
            <w:shd w:val="clear" w:color="auto" w:fill="auto"/>
            <w:vAlign w:val="center"/>
          </w:tcPr>
          <w:p w14:paraId="52BB2CF8" w14:textId="77777777" w:rsidR="00C10998" w:rsidRPr="0087752B" w:rsidRDefault="00C10998" w:rsidP="00E73694">
            <w:pPr>
              <w:pStyle w:val="ESTablebody0"/>
            </w:pPr>
          </w:p>
        </w:tc>
        <w:tc>
          <w:tcPr>
            <w:tcW w:w="0" w:type="auto"/>
            <w:tcBorders>
              <w:top w:val="nil"/>
              <w:bottom w:val="single" w:sz="6" w:space="0" w:color="777777"/>
            </w:tcBorders>
            <w:shd w:val="clear" w:color="auto" w:fill="auto"/>
            <w:vAlign w:val="center"/>
          </w:tcPr>
          <w:p w14:paraId="71B9082C" w14:textId="77777777" w:rsidR="00C10998" w:rsidRPr="0087752B" w:rsidRDefault="00C10998" w:rsidP="00E73694">
            <w:pPr>
              <w:pStyle w:val="ESTablebody0"/>
            </w:pPr>
            <w:r w:rsidRPr="0087752B">
              <w:t>Percentage of issues identified actioned arising from internal audits, health &amp; safety representatives, provisional improvement notices &amp; WorkSafe notices</w:t>
            </w:r>
          </w:p>
        </w:tc>
        <w:tc>
          <w:tcPr>
            <w:tcW w:w="650" w:type="pct"/>
            <w:tcBorders>
              <w:top w:val="nil"/>
              <w:bottom w:val="single" w:sz="6" w:space="0" w:color="777777"/>
            </w:tcBorders>
            <w:shd w:val="clear" w:color="auto" w:fill="auto"/>
            <w:vAlign w:val="center"/>
          </w:tcPr>
          <w:p w14:paraId="627B7745" w14:textId="77777777" w:rsidR="00C10998" w:rsidRPr="0087752B" w:rsidRDefault="00C10998" w:rsidP="00E73694">
            <w:pPr>
              <w:pStyle w:val="ESTablebody0"/>
              <w:jc w:val="right"/>
            </w:pPr>
            <w:r w:rsidRPr="0087752B">
              <w:t>100</w:t>
            </w:r>
          </w:p>
        </w:tc>
        <w:tc>
          <w:tcPr>
            <w:tcW w:w="650" w:type="pct"/>
            <w:tcBorders>
              <w:top w:val="nil"/>
              <w:bottom w:val="single" w:sz="6" w:space="0" w:color="777777"/>
            </w:tcBorders>
            <w:vAlign w:val="center"/>
          </w:tcPr>
          <w:p w14:paraId="359B7280" w14:textId="77777777" w:rsidR="00C10998" w:rsidRPr="0087752B" w:rsidRDefault="00C10998" w:rsidP="00E73694">
            <w:pPr>
              <w:pStyle w:val="ESTablebody0"/>
              <w:jc w:val="right"/>
            </w:pPr>
            <w:r w:rsidRPr="0087752B">
              <w:t>100</w:t>
            </w:r>
          </w:p>
        </w:tc>
        <w:tc>
          <w:tcPr>
            <w:tcW w:w="650" w:type="pct"/>
            <w:tcBorders>
              <w:top w:val="nil"/>
              <w:bottom w:val="single" w:sz="6" w:space="0" w:color="777777"/>
            </w:tcBorders>
            <w:shd w:val="clear" w:color="auto" w:fill="F8F8F8"/>
            <w:vAlign w:val="center"/>
          </w:tcPr>
          <w:p w14:paraId="27846993" w14:textId="77777777" w:rsidR="00C10998" w:rsidRPr="0087752B" w:rsidRDefault="00C10998" w:rsidP="00E73694">
            <w:pPr>
              <w:pStyle w:val="ESTablebody0"/>
              <w:jc w:val="right"/>
            </w:pPr>
            <w:r>
              <w:t>100</w:t>
            </w:r>
          </w:p>
        </w:tc>
      </w:tr>
      <w:tr w:rsidR="00C10998" w:rsidRPr="0087752B" w14:paraId="436C5F8A" w14:textId="77777777" w:rsidTr="00675F02">
        <w:trPr>
          <w:cantSplit/>
        </w:trPr>
        <w:tc>
          <w:tcPr>
            <w:tcW w:w="650" w:type="pct"/>
            <w:tcBorders>
              <w:top w:val="single" w:sz="6" w:space="0" w:color="777777"/>
              <w:bottom w:val="nil"/>
            </w:tcBorders>
            <w:shd w:val="clear" w:color="auto" w:fill="auto"/>
          </w:tcPr>
          <w:p w14:paraId="40F728FA" w14:textId="77777777" w:rsidR="00C10998" w:rsidRPr="0087752B" w:rsidRDefault="00C10998" w:rsidP="00E73694">
            <w:pPr>
              <w:pStyle w:val="ESTablebody0"/>
            </w:pPr>
            <w:r w:rsidRPr="0087752B">
              <w:t>Training</w:t>
            </w:r>
          </w:p>
        </w:tc>
        <w:tc>
          <w:tcPr>
            <w:tcW w:w="0" w:type="auto"/>
            <w:tcBorders>
              <w:top w:val="single" w:sz="6" w:space="0" w:color="777777"/>
              <w:bottom w:val="nil"/>
            </w:tcBorders>
            <w:shd w:val="clear" w:color="auto" w:fill="auto"/>
            <w:vAlign w:val="center"/>
          </w:tcPr>
          <w:p w14:paraId="64EBC793" w14:textId="77777777" w:rsidR="00C10998" w:rsidRPr="0087752B" w:rsidRDefault="00C10998" w:rsidP="00E73694">
            <w:pPr>
              <w:pStyle w:val="ESTablebody0"/>
            </w:pPr>
            <w:r w:rsidRPr="0087752B">
              <w:t>Percentage of managers &amp; staff that have received OH&amp;S training (induction, management training, &amp; contractors, temps &amp; visitors) (%)</w:t>
            </w:r>
          </w:p>
        </w:tc>
        <w:tc>
          <w:tcPr>
            <w:tcW w:w="650" w:type="pct"/>
            <w:tcBorders>
              <w:top w:val="single" w:sz="6" w:space="0" w:color="777777"/>
              <w:bottom w:val="nil"/>
            </w:tcBorders>
            <w:shd w:val="clear" w:color="auto" w:fill="auto"/>
            <w:vAlign w:val="center"/>
          </w:tcPr>
          <w:p w14:paraId="44543A8D" w14:textId="77777777" w:rsidR="00C10998" w:rsidRPr="0087752B" w:rsidRDefault="00C10998" w:rsidP="00E73694">
            <w:pPr>
              <w:pStyle w:val="ESTablebody0"/>
              <w:jc w:val="right"/>
            </w:pPr>
            <w:r w:rsidRPr="0087752B">
              <w:t>66</w:t>
            </w:r>
          </w:p>
        </w:tc>
        <w:tc>
          <w:tcPr>
            <w:tcW w:w="650" w:type="pct"/>
            <w:tcBorders>
              <w:top w:val="single" w:sz="6" w:space="0" w:color="777777"/>
              <w:bottom w:val="nil"/>
            </w:tcBorders>
            <w:vAlign w:val="center"/>
          </w:tcPr>
          <w:p w14:paraId="6E571F7E" w14:textId="77777777" w:rsidR="00C10998" w:rsidRPr="0087752B" w:rsidRDefault="00C10998" w:rsidP="00E73694">
            <w:pPr>
              <w:pStyle w:val="ESTablebody0"/>
              <w:jc w:val="right"/>
            </w:pPr>
            <w:r w:rsidRPr="0087752B">
              <w:t>70</w:t>
            </w:r>
          </w:p>
        </w:tc>
        <w:tc>
          <w:tcPr>
            <w:tcW w:w="650" w:type="pct"/>
            <w:tcBorders>
              <w:top w:val="single" w:sz="6" w:space="0" w:color="777777"/>
              <w:bottom w:val="nil"/>
            </w:tcBorders>
            <w:shd w:val="clear" w:color="auto" w:fill="F8F8F8"/>
            <w:vAlign w:val="center"/>
          </w:tcPr>
          <w:p w14:paraId="1F6010AC" w14:textId="77777777" w:rsidR="00C10998" w:rsidRPr="0087752B" w:rsidRDefault="00C10998" w:rsidP="00E73694">
            <w:pPr>
              <w:pStyle w:val="ESTablebody0"/>
              <w:jc w:val="right"/>
            </w:pPr>
            <w:r>
              <w:t>70</w:t>
            </w:r>
          </w:p>
        </w:tc>
      </w:tr>
      <w:tr w:rsidR="00C10998" w:rsidRPr="0087752B" w14:paraId="29A72DB3" w14:textId="77777777" w:rsidTr="00675F02">
        <w:trPr>
          <w:cantSplit/>
          <w:trHeight w:val="454"/>
        </w:trPr>
        <w:tc>
          <w:tcPr>
            <w:tcW w:w="650" w:type="pct"/>
            <w:tcBorders>
              <w:top w:val="nil"/>
              <w:bottom w:val="single" w:sz="4" w:space="0" w:color="auto"/>
            </w:tcBorders>
            <w:shd w:val="clear" w:color="auto" w:fill="auto"/>
            <w:vAlign w:val="center"/>
          </w:tcPr>
          <w:p w14:paraId="2F9A0ECB" w14:textId="77777777" w:rsidR="00C10998" w:rsidRPr="0087752B" w:rsidRDefault="00C10998" w:rsidP="00E73694">
            <w:pPr>
              <w:pStyle w:val="ESTablebody0"/>
            </w:pPr>
          </w:p>
        </w:tc>
        <w:tc>
          <w:tcPr>
            <w:tcW w:w="0" w:type="auto"/>
            <w:tcBorders>
              <w:top w:val="nil"/>
              <w:bottom w:val="single" w:sz="4" w:space="0" w:color="auto"/>
            </w:tcBorders>
            <w:shd w:val="clear" w:color="auto" w:fill="auto"/>
            <w:vAlign w:val="center"/>
          </w:tcPr>
          <w:p w14:paraId="44365D89" w14:textId="77777777" w:rsidR="00C10998" w:rsidRPr="0087752B" w:rsidRDefault="00C10998" w:rsidP="00E73694">
            <w:pPr>
              <w:pStyle w:val="ESTablebody0"/>
            </w:pPr>
            <w:r w:rsidRPr="0087752B">
              <w:t>Percentage of HSRs trained (acceptance of role, re-training/refresher, &amp; reporting of incidents &amp; injuries) (%)</w:t>
            </w:r>
          </w:p>
        </w:tc>
        <w:tc>
          <w:tcPr>
            <w:tcW w:w="650" w:type="pct"/>
            <w:tcBorders>
              <w:top w:val="nil"/>
              <w:bottom w:val="single" w:sz="4" w:space="0" w:color="auto"/>
            </w:tcBorders>
            <w:shd w:val="clear" w:color="auto" w:fill="auto"/>
            <w:vAlign w:val="center"/>
          </w:tcPr>
          <w:p w14:paraId="74AF17CC" w14:textId="77777777" w:rsidR="00C10998" w:rsidRPr="0087752B" w:rsidRDefault="00C10998" w:rsidP="00E73694">
            <w:pPr>
              <w:pStyle w:val="ESTablebody0"/>
              <w:jc w:val="right"/>
            </w:pPr>
            <w:r w:rsidRPr="0087752B">
              <w:t>77</w:t>
            </w:r>
          </w:p>
        </w:tc>
        <w:tc>
          <w:tcPr>
            <w:tcW w:w="650" w:type="pct"/>
            <w:tcBorders>
              <w:top w:val="nil"/>
              <w:bottom w:val="single" w:sz="4" w:space="0" w:color="auto"/>
            </w:tcBorders>
            <w:vAlign w:val="center"/>
          </w:tcPr>
          <w:p w14:paraId="7C30F4CD" w14:textId="77777777" w:rsidR="00C10998" w:rsidRPr="0087752B" w:rsidRDefault="00C10998" w:rsidP="00E73694">
            <w:pPr>
              <w:pStyle w:val="ESTablebody0"/>
              <w:jc w:val="right"/>
            </w:pPr>
            <w:r w:rsidRPr="0087752B">
              <w:t>86</w:t>
            </w:r>
          </w:p>
        </w:tc>
        <w:tc>
          <w:tcPr>
            <w:tcW w:w="650" w:type="pct"/>
            <w:tcBorders>
              <w:top w:val="nil"/>
              <w:bottom w:val="single" w:sz="4" w:space="0" w:color="auto"/>
            </w:tcBorders>
            <w:shd w:val="clear" w:color="auto" w:fill="F8F8F8"/>
            <w:vAlign w:val="center"/>
          </w:tcPr>
          <w:p w14:paraId="7D2C5AE0" w14:textId="77777777" w:rsidR="00C10998" w:rsidRPr="0087752B" w:rsidRDefault="00C10998" w:rsidP="00E73694">
            <w:pPr>
              <w:pStyle w:val="ESTablebody0"/>
              <w:jc w:val="right"/>
            </w:pPr>
            <w:r>
              <w:t>82</w:t>
            </w:r>
          </w:p>
        </w:tc>
      </w:tr>
    </w:tbl>
    <w:p w14:paraId="6173762C" w14:textId="77777777" w:rsidR="00A61FF5" w:rsidRPr="006E49EE" w:rsidRDefault="00A61FF5" w:rsidP="00A61FF5">
      <w:pPr>
        <w:rPr>
          <w:lang w:val="en-AU"/>
        </w:rPr>
        <w:sectPr w:rsidR="00A61FF5" w:rsidRPr="006E49EE" w:rsidSect="00855A35">
          <w:pgSz w:w="11900" w:h="16840"/>
          <w:pgMar w:top="1440" w:right="1701" w:bottom="1440" w:left="2835" w:header="708" w:footer="708" w:gutter="0"/>
          <w:cols w:space="708"/>
          <w:docGrid w:linePitch="360"/>
        </w:sectPr>
      </w:pPr>
      <w:bookmarkStart w:id="171" w:name="_Toc489526714"/>
    </w:p>
    <w:p w14:paraId="25894FE6" w14:textId="4D1E81FC" w:rsidR="00A61FF5" w:rsidRPr="00040036" w:rsidRDefault="00A61FF5" w:rsidP="00D2232D">
      <w:pPr>
        <w:pStyle w:val="ESHeading2"/>
      </w:pPr>
      <w:bookmarkStart w:id="172" w:name="_Toc491070313"/>
      <w:bookmarkStart w:id="173" w:name="_Toc491409539"/>
      <w:bookmarkStart w:id="174" w:name="_Toc491414668"/>
      <w:r w:rsidRPr="00040036">
        <w:t>Comparative workforce data</w:t>
      </w:r>
      <w:bookmarkEnd w:id="171"/>
      <w:bookmarkEnd w:id="172"/>
      <w:bookmarkEnd w:id="173"/>
      <w:bookmarkEnd w:id="174"/>
    </w:p>
    <w:p w14:paraId="1FCB0332" w14:textId="77777777" w:rsidR="00A61FF5" w:rsidRPr="00040036" w:rsidRDefault="00A61FF5" w:rsidP="00A61FF5">
      <w:pPr>
        <w:pStyle w:val="ESBodyText"/>
        <w:rPr>
          <w:highlight w:val="yellow"/>
          <w:lang w:val="en-AU"/>
        </w:rPr>
      </w:pPr>
      <w:r w:rsidRPr="00040036">
        <w:rPr>
          <w:lang w:val="en-AU"/>
        </w:rPr>
        <w:t xml:space="preserve">The following tables disclose the head count and full-time staff equivalent (FTE) of all active public service employees of the Department </w:t>
      </w:r>
      <w:r w:rsidRPr="00040036">
        <w:rPr>
          <w:rStyle w:val="FootnoteReference"/>
          <w:lang w:val="en-AU"/>
        </w:rPr>
        <w:t>1, 2, 3</w:t>
      </w:r>
    </w:p>
    <w:p w14:paraId="4A466A6F" w14:textId="714A39B8" w:rsidR="00A61FF5" w:rsidRPr="00040036" w:rsidRDefault="00A61FF5" w:rsidP="009A0BAD">
      <w:pPr>
        <w:pStyle w:val="ESTableintroheading"/>
        <w:rPr>
          <w:highlight w:val="yellow"/>
          <w:lang w:val="en-AU"/>
        </w:rPr>
      </w:pPr>
      <w:r w:rsidRPr="00040036">
        <w:rPr>
          <w:lang w:val="en-AU"/>
        </w:rPr>
        <w:t xml:space="preserve">Table </w:t>
      </w:r>
      <w:r w:rsidR="00D93BA2" w:rsidRPr="00040036">
        <w:rPr>
          <w:lang w:val="en-AU"/>
        </w:rPr>
        <w:fldChar w:fldCharType="begin"/>
      </w:r>
      <w:r w:rsidR="00D93BA2" w:rsidRPr="00040036">
        <w:rPr>
          <w:lang w:val="en-AU"/>
        </w:rPr>
        <w:instrText xml:space="preserve"> SEQ Table \* MERGEFORMAT </w:instrText>
      </w:r>
      <w:r w:rsidR="00D93BA2" w:rsidRPr="00040036">
        <w:rPr>
          <w:lang w:val="en-AU"/>
        </w:rPr>
        <w:fldChar w:fldCharType="separate"/>
      </w:r>
      <w:r w:rsidR="00F36F52">
        <w:rPr>
          <w:noProof/>
          <w:lang w:val="en-AU"/>
        </w:rPr>
        <w:t>16</w:t>
      </w:r>
      <w:r w:rsidR="00D93BA2" w:rsidRPr="00040036">
        <w:rPr>
          <w:noProof/>
          <w:lang w:val="en-AU"/>
        </w:rPr>
        <w:fldChar w:fldCharType="end"/>
      </w:r>
      <w:r w:rsidRPr="00040036">
        <w:rPr>
          <w:lang w:val="en-AU"/>
        </w:rPr>
        <w:t xml:space="preserve"> – Victorian Public Service staff employment levels June 2016 and 2017</w:t>
      </w:r>
    </w:p>
    <w:tbl>
      <w:tblPr>
        <w:tblW w:w="5000" w:type="pct"/>
        <w:tblLayout w:type="fixed"/>
        <w:tblLook w:val="04A0" w:firstRow="1" w:lastRow="0" w:firstColumn="1" w:lastColumn="0" w:noHBand="0" w:noVBand="1"/>
      </w:tblPr>
      <w:tblGrid>
        <w:gridCol w:w="431"/>
        <w:gridCol w:w="1275"/>
        <w:gridCol w:w="1166"/>
        <w:gridCol w:w="698"/>
        <w:gridCol w:w="1057"/>
        <w:gridCol w:w="1057"/>
        <w:gridCol w:w="695"/>
        <w:gridCol w:w="977"/>
        <w:gridCol w:w="575"/>
        <w:gridCol w:w="977"/>
        <w:gridCol w:w="695"/>
        <w:gridCol w:w="1057"/>
        <w:gridCol w:w="1057"/>
        <w:gridCol w:w="695"/>
        <w:gridCol w:w="977"/>
        <w:gridCol w:w="561"/>
      </w:tblGrid>
      <w:tr w:rsidR="00A61FF5" w:rsidRPr="00932A90" w14:paraId="7ECB0401" w14:textId="77777777" w:rsidTr="00421660">
        <w:trPr>
          <w:trHeight w:val="300"/>
          <w:tblHeader/>
        </w:trPr>
        <w:tc>
          <w:tcPr>
            <w:tcW w:w="611" w:type="pct"/>
            <w:gridSpan w:val="2"/>
            <w:tcBorders>
              <w:top w:val="nil"/>
              <w:left w:val="single" w:sz="4" w:space="0" w:color="FFFFFF" w:themeColor="background1"/>
            </w:tcBorders>
            <w:shd w:val="clear" w:color="000000" w:fill="7F7F7F" w:themeFill="text1" w:themeFillTint="80"/>
            <w:noWrap/>
            <w:vAlign w:val="bottom"/>
            <w:hideMark/>
          </w:tcPr>
          <w:p w14:paraId="0A6DF2ED"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Victorian Public Service</w:t>
            </w:r>
          </w:p>
        </w:tc>
        <w:tc>
          <w:tcPr>
            <w:tcW w:w="2231" w:type="pct"/>
            <w:gridSpan w:val="7"/>
            <w:tcBorders>
              <w:top w:val="nil"/>
              <w:right w:val="single" w:sz="4" w:space="0" w:color="FFFFFF" w:themeColor="background1"/>
            </w:tcBorders>
            <w:shd w:val="clear" w:color="000000" w:fill="7F7F7F" w:themeFill="text1" w:themeFillTint="80"/>
            <w:noWrap/>
            <w:vAlign w:val="bottom"/>
            <w:hideMark/>
          </w:tcPr>
          <w:p w14:paraId="370D3654"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June 2017</w:t>
            </w:r>
          </w:p>
        </w:tc>
        <w:tc>
          <w:tcPr>
            <w:tcW w:w="2157" w:type="pct"/>
            <w:gridSpan w:val="7"/>
            <w:tcBorders>
              <w:top w:val="nil"/>
              <w:left w:val="single" w:sz="4" w:space="0" w:color="FFFFFF" w:themeColor="background1"/>
              <w:right w:val="single" w:sz="4" w:space="0" w:color="FFFFFF" w:themeColor="background1"/>
            </w:tcBorders>
            <w:shd w:val="clear" w:color="000000" w:fill="7F7F7F" w:themeFill="text1" w:themeFillTint="80"/>
            <w:noWrap/>
            <w:vAlign w:val="bottom"/>
            <w:hideMark/>
          </w:tcPr>
          <w:p w14:paraId="10EA1241"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June 2016</w:t>
            </w:r>
          </w:p>
        </w:tc>
      </w:tr>
      <w:tr w:rsidR="00A61FF5" w:rsidRPr="00932A90" w14:paraId="2FF9DB6D" w14:textId="77777777" w:rsidTr="00813992">
        <w:trPr>
          <w:tblHeader/>
        </w:trPr>
        <w:tc>
          <w:tcPr>
            <w:tcW w:w="154" w:type="pct"/>
            <w:tcBorders>
              <w:left w:val="single" w:sz="4" w:space="0" w:color="FFFFFF" w:themeColor="background1"/>
              <w:bottom w:val="nil"/>
            </w:tcBorders>
            <w:shd w:val="clear" w:color="000000" w:fill="7F7F7F" w:themeFill="text1" w:themeFillTint="80"/>
            <w:noWrap/>
            <w:hideMark/>
          </w:tcPr>
          <w:p w14:paraId="4D6583A3"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 </w:t>
            </w:r>
          </w:p>
        </w:tc>
        <w:tc>
          <w:tcPr>
            <w:tcW w:w="457" w:type="pct"/>
            <w:tcBorders>
              <w:bottom w:val="nil"/>
            </w:tcBorders>
            <w:shd w:val="clear" w:color="000000" w:fill="7F7F7F" w:themeFill="text1" w:themeFillTint="80"/>
            <w:noWrap/>
            <w:hideMark/>
          </w:tcPr>
          <w:p w14:paraId="4A77E5FF"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 </w:t>
            </w:r>
          </w:p>
        </w:tc>
        <w:tc>
          <w:tcPr>
            <w:tcW w:w="668" w:type="pct"/>
            <w:gridSpan w:val="2"/>
            <w:tcBorders>
              <w:bottom w:val="nil"/>
            </w:tcBorders>
            <w:shd w:val="clear" w:color="000000" w:fill="7F7F7F" w:themeFill="text1" w:themeFillTint="80"/>
            <w:noWrap/>
            <w:hideMark/>
          </w:tcPr>
          <w:p w14:paraId="74BF430C"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All employees</w:t>
            </w:r>
          </w:p>
        </w:tc>
        <w:tc>
          <w:tcPr>
            <w:tcW w:w="1007" w:type="pct"/>
            <w:gridSpan w:val="3"/>
            <w:tcBorders>
              <w:bottom w:val="nil"/>
            </w:tcBorders>
            <w:shd w:val="clear" w:color="000000" w:fill="7F7F7F" w:themeFill="text1" w:themeFillTint="80"/>
            <w:noWrap/>
            <w:hideMark/>
          </w:tcPr>
          <w:p w14:paraId="687C1446"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Ongoing</w:t>
            </w:r>
          </w:p>
        </w:tc>
        <w:tc>
          <w:tcPr>
            <w:tcW w:w="556" w:type="pct"/>
            <w:gridSpan w:val="2"/>
            <w:tcBorders>
              <w:bottom w:val="nil"/>
              <w:right w:val="single" w:sz="4" w:space="0" w:color="FFFFFF" w:themeColor="background1"/>
            </w:tcBorders>
            <w:shd w:val="clear" w:color="000000" w:fill="7F7F7F" w:themeFill="text1" w:themeFillTint="80"/>
            <w:hideMark/>
          </w:tcPr>
          <w:p w14:paraId="7B22B770"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Fixed term and casual employees</w:t>
            </w:r>
          </w:p>
        </w:tc>
        <w:tc>
          <w:tcPr>
            <w:tcW w:w="599" w:type="pct"/>
            <w:gridSpan w:val="2"/>
            <w:tcBorders>
              <w:left w:val="single" w:sz="4" w:space="0" w:color="FFFFFF" w:themeColor="background1"/>
              <w:bottom w:val="nil"/>
            </w:tcBorders>
            <w:shd w:val="clear" w:color="000000" w:fill="7F7F7F" w:themeFill="text1" w:themeFillTint="80"/>
            <w:noWrap/>
            <w:hideMark/>
          </w:tcPr>
          <w:p w14:paraId="7DE4471C"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All employees</w:t>
            </w:r>
          </w:p>
        </w:tc>
        <w:tc>
          <w:tcPr>
            <w:tcW w:w="1007" w:type="pct"/>
            <w:gridSpan w:val="3"/>
            <w:tcBorders>
              <w:bottom w:val="nil"/>
            </w:tcBorders>
            <w:shd w:val="clear" w:color="000000" w:fill="7F7F7F" w:themeFill="text1" w:themeFillTint="80"/>
            <w:noWrap/>
            <w:hideMark/>
          </w:tcPr>
          <w:p w14:paraId="3988EE17"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Ongoing</w:t>
            </w:r>
          </w:p>
        </w:tc>
        <w:tc>
          <w:tcPr>
            <w:tcW w:w="551" w:type="pct"/>
            <w:gridSpan w:val="2"/>
            <w:tcBorders>
              <w:bottom w:val="nil"/>
              <w:right w:val="single" w:sz="4" w:space="0" w:color="FFFFFF" w:themeColor="background1"/>
            </w:tcBorders>
            <w:shd w:val="clear" w:color="000000" w:fill="7F7F7F" w:themeFill="text1" w:themeFillTint="80"/>
            <w:hideMark/>
          </w:tcPr>
          <w:p w14:paraId="5522B801"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Fixed term and casual employees</w:t>
            </w:r>
          </w:p>
        </w:tc>
      </w:tr>
      <w:tr w:rsidR="00A61FF5" w:rsidRPr="00932A90" w14:paraId="6AA568F0" w14:textId="77777777" w:rsidTr="00813992">
        <w:trPr>
          <w:tblHeader/>
        </w:trPr>
        <w:tc>
          <w:tcPr>
            <w:tcW w:w="154" w:type="pct"/>
            <w:tcBorders>
              <w:top w:val="nil"/>
              <w:left w:val="single" w:sz="4" w:space="0" w:color="FFFFFF" w:themeColor="background1"/>
            </w:tcBorders>
            <w:shd w:val="clear" w:color="000000" w:fill="7F7F7F" w:themeFill="text1" w:themeFillTint="80"/>
            <w:noWrap/>
            <w:vAlign w:val="bottom"/>
            <w:hideMark/>
          </w:tcPr>
          <w:p w14:paraId="1F63AF01"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 </w:t>
            </w:r>
          </w:p>
        </w:tc>
        <w:tc>
          <w:tcPr>
            <w:tcW w:w="457" w:type="pct"/>
            <w:tcBorders>
              <w:top w:val="nil"/>
            </w:tcBorders>
            <w:shd w:val="clear" w:color="000000" w:fill="7F7F7F" w:themeFill="text1" w:themeFillTint="80"/>
            <w:noWrap/>
            <w:vAlign w:val="bottom"/>
            <w:hideMark/>
          </w:tcPr>
          <w:p w14:paraId="4E3D7B00"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 </w:t>
            </w:r>
          </w:p>
        </w:tc>
        <w:tc>
          <w:tcPr>
            <w:tcW w:w="418" w:type="pct"/>
            <w:tcBorders>
              <w:top w:val="nil"/>
            </w:tcBorders>
            <w:shd w:val="clear" w:color="000000" w:fill="7F7F7F" w:themeFill="text1" w:themeFillTint="80"/>
            <w:noWrap/>
            <w:vAlign w:val="bottom"/>
            <w:hideMark/>
          </w:tcPr>
          <w:p w14:paraId="27A48D56"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Headcount</w:t>
            </w:r>
          </w:p>
        </w:tc>
        <w:tc>
          <w:tcPr>
            <w:tcW w:w="250" w:type="pct"/>
            <w:tcBorders>
              <w:top w:val="nil"/>
            </w:tcBorders>
            <w:shd w:val="clear" w:color="000000" w:fill="7F7F7F" w:themeFill="text1" w:themeFillTint="80"/>
            <w:vAlign w:val="bottom"/>
            <w:hideMark/>
          </w:tcPr>
          <w:p w14:paraId="6ECEEA04"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FTE</w:t>
            </w:r>
          </w:p>
        </w:tc>
        <w:tc>
          <w:tcPr>
            <w:tcW w:w="379" w:type="pct"/>
            <w:tcBorders>
              <w:top w:val="nil"/>
            </w:tcBorders>
            <w:shd w:val="clear" w:color="000000" w:fill="7F7F7F" w:themeFill="text1" w:themeFillTint="80"/>
            <w:vAlign w:val="bottom"/>
            <w:hideMark/>
          </w:tcPr>
          <w:p w14:paraId="12F48A20"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Full-time (headcount)</w:t>
            </w:r>
          </w:p>
        </w:tc>
        <w:tc>
          <w:tcPr>
            <w:tcW w:w="379" w:type="pct"/>
            <w:tcBorders>
              <w:top w:val="nil"/>
            </w:tcBorders>
            <w:shd w:val="clear" w:color="000000" w:fill="7F7F7F" w:themeFill="text1" w:themeFillTint="80"/>
            <w:vAlign w:val="bottom"/>
            <w:hideMark/>
          </w:tcPr>
          <w:p w14:paraId="4A63AC0A"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Part-time (headcount)</w:t>
            </w:r>
          </w:p>
        </w:tc>
        <w:tc>
          <w:tcPr>
            <w:tcW w:w="249" w:type="pct"/>
            <w:tcBorders>
              <w:top w:val="nil"/>
            </w:tcBorders>
            <w:shd w:val="clear" w:color="000000" w:fill="7F7F7F" w:themeFill="text1" w:themeFillTint="80"/>
            <w:noWrap/>
            <w:vAlign w:val="bottom"/>
            <w:hideMark/>
          </w:tcPr>
          <w:p w14:paraId="6CCBE13C"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FTE</w:t>
            </w:r>
          </w:p>
        </w:tc>
        <w:tc>
          <w:tcPr>
            <w:tcW w:w="350" w:type="pct"/>
            <w:tcBorders>
              <w:top w:val="nil"/>
            </w:tcBorders>
            <w:shd w:val="clear" w:color="000000" w:fill="7F7F7F" w:themeFill="text1" w:themeFillTint="80"/>
            <w:noWrap/>
            <w:vAlign w:val="bottom"/>
            <w:hideMark/>
          </w:tcPr>
          <w:p w14:paraId="648CA053"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Headcount</w:t>
            </w:r>
          </w:p>
        </w:tc>
        <w:tc>
          <w:tcPr>
            <w:tcW w:w="206" w:type="pct"/>
            <w:tcBorders>
              <w:top w:val="nil"/>
              <w:right w:val="single" w:sz="4" w:space="0" w:color="FFFFFF" w:themeColor="background1"/>
            </w:tcBorders>
            <w:shd w:val="clear" w:color="000000" w:fill="7F7F7F" w:themeFill="text1" w:themeFillTint="80"/>
            <w:noWrap/>
            <w:vAlign w:val="bottom"/>
            <w:hideMark/>
          </w:tcPr>
          <w:p w14:paraId="01EF6ECA"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FTE</w:t>
            </w:r>
          </w:p>
        </w:tc>
        <w:tc>
          <w:tcPr>
            <w:tcW w:w="350" w:type="pct"/>
            <w:tcBorders>
              <w:top w:val="nil"/>
              <w:left w:val="single" w:sz="4" w:space="0" w:color="FFFFFF" w:themeColor="background1"/>
            </w:tcBorders>
            <w:shd w:val="clear" w:color="000000" w:fill="7F7F7F" w:themeFill="text1" w:themeFillTint="80"/>
            <w:noWrap/>
            <w:vAlign w:val="bottom"/>
            <w:hideMark/>
          </w:tcPr>
          <w:p w14:paraId="5979FEAB"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Headcount</w:t>
            </w:r>
          </w:p>
        </w:tc>
        <w:tc>
          <w:tcPr>
            <w:tcW w:w="249" w:type="pct"/>
            <w:tcBorders>
              <w:top w:val="nil"/>
            </w:tcBorders>
            <w:shd w:val="clear" w:color="000000" w:fill="7F7F7F" w:themeFill="text1" w:themeFillTint="80"/>
            <w:vAlign w:val="bottom"/>
            <w:hideMark/>
          </w:tcPr>
          <w:p w14:paraId="382BC44F"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FTE</w:t>
            </w:r>
          </w:p>
        </w:tc>
        <w:tc>
          <w:tcPr>
            <w:tcW w:w="379" w:type="pct"/>
            <w:tcBorders>
              <w:top w:val="nil"/>
            </w:tcBorders>
            <w:shd w:val="clear" w:color="000000" w:fill="7F7F7F" w:themeFill="text1" w:themeFillTint="80"/>
            <w:vAlign w:val="bottom"/>
            <w:hideMark/>
          </w:tcPr>
          <w:p w14:paraId="0216E18C"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Full-time (headcount)</w:t>
            </w:r>
          </w:p>
        </w:tc>
        <w:tc>
          <w:tcPr>
            <w:tcW w:w="379" w:type="pct"/>
            <w:tcBorders>
              <w:top w:val="nil"/>
            </w:tcBorders>
            <w:shd w:val="clear" w:color="000000" w:fill="7F7F7F" w:themeFill="text1" w:themeFillTint="80"/>
            <w:vAlign w:val="bottom"/>
            <w:hideMark/>
          </w:tcPr>
          <w:p w14:paraId="42D758FA"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Part-time (headcount)</w:t>
            </w:r>
          </w:p>
        </w:tc>
        <w:tc>
          <w:tcPr>
            <w:tcW w:w="249" w:type="pct"/>
            <w:tcBorders>
              <w:top w:val="nil"/>
            </w:tcBorders>
            <w:shd w:val="clear" w:color="000000" w:fill="7F7F7F" w:themeFill="text1" w:themeFillTint="80"/>
            <w:noWrap/>
            <w:vAlign w:val="bottom"/>
            <w:hideMark/>
          </w:tcPr>
          <w:p w14:paraId="5A7D539A"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FTE</w:t>
            </w:r>
          </w:p>
        </w:tc>
        <w:tc>
          <w:tcPr>
            <w:tcW w:w="350" w:type="pct"/>
            <w:tcBorders>
              <w:top w:val="nil"/>
            </w:tcBorders>
            <w:shd w:val="clear" w:color="000000" w:fill="7F7F7F" w:themeFill="text1" w:themeFillTint="80"/>
            <w:noWrap/>
            <w:vAlign w:val="bottom"/>
            <w:hideMark/>
          </w:tcPr>
          <w:p w14:paraId="14FD1131"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Headcount</w:t>
            </w:r>
          </w:p>
        </w:tc>
        <w:tc>
          <w:tcPr>
            <w:tcW w:w="201" w:type="pct"/>
            <w:tcBorders>
              <w:top w:val="nil"/>
              <w:right w:val="single" w:sz="4" w:space="0" w:color="FFFFFF" w:themeColor="background1"/>
            </w:tcBorders>
            <w:shd w:val="clear" w:color="000000" w:fill="7F7F7F" w:themeFill="text1" w:themeFillTint="80"/>
            <w:noWrap/>
            <w:vAlign w:val="bottom"/>
            <w:hideMark/>
          </w:tcPr>
          <w:p w14:paraId="4B893AE6" w14:textId="77777777" w:rsidR="00A61FF5" w:rsidRPr="00040036" w:rsidRDefault="00A61FF5" w:rsidP="00D07480">
            <w:pPr>
              <w:pStyle w:val="ESTableheadingwhite75"/>
              <w:rPr>
                <w:sz w:val="12"/>
                <w:szCs w:val="12"/>
                <w:lang w:val="en-AU" w:eastAsia="en-AU"/>
              </w:rPr>
            </w:pPr>
            <w:r w:rsidRPr="00040036">
              <w:rPr>
                <w:sz w:val="12"/>
                <w:szCs w:val="12"/>
                <w:lang w:val="en-AU" w:eastAsia="en-AU"/>
              </w:rPr>
              <w:t>FTE</w:t>
            </w:r>
          </w:p>
        </w:tc>
      </w:tr>
      <w:tr w:rsidR="00A61FF5" w:rsidRPr="00932A90" w14:paraId="5544B5A4" w14:textId="77777777" w:rsidTr="00366F71">
        <w:trPr>
          <w:trHeight w:val="227"/>
        </w:trPr>
        <w:tc>
          <w:tcPr>
            <w:tcW w:w="154" w:type="pct"/>
            <w:vMerge w:val="restart"/>
            <w:tcBorders>
              <w:left w:val="nil"/>
              <w:bottom w:val="single" w:sz="4" w:space="0" w:color="000000"/>
              <w:right w:val="nil"/>
            </w:tcBorders>
            <w:shd w:val="clear" w:color="auto" w:fill="auto"/>
            <w:noWrap/>
            <w:textDirection w:val="btLr"/>
            <w:vAlign w:val="center"/>
            <w:hideMark/>
          </w:tcPr>
          <w:p w14:paraId="66B7A1CB" w14:textId="77777777" w:rsidR="00A61FF5" w:rsidRPr="00040036" w:rsidRDefault="00A61FF5" w:rsidP="00D07480">
            <w:pPr>
              <w:pStyle w:val="ESTablebody3ptafter"/>
              <w:jc w:val="center"/>
              <w:rPr>
                <w:szCs w:val="16"/>
                <w:lang w:val="en-AU" w:eastAsia="en-AU"/>
              </w:rPr>
            </w:pPr>
            <w:r w:rsidRPr="00040036">
              <w:rPr>
                <w:szCs w:val="16"/>
                <w:lang w:val="en-AU" w:eastAsia="en-AU"/>
              </w:rPr>
              <w:t>Demographic data</w:t>
            </w:r>
          </w:p>
        </w:tc>
        <w:tc>
          <w:tcPr>
            <w:tcW w:w="457" w:type="pct"/>
            <w:tcBorders>
              <w:left w:val="nil"/>
              <w:bottom w:val="nil"/>
              <w:right w:val="nil"/>
            </w:tcBorders>
            <w:shd w:val="clear" w:color="auto" w:fill="auto"/>
            <w:noWrap/>
            <w:tcMar>
              <w:top w:w="113" w:type="dxa"/>
            </w:tcMar>
            <w:vAlign w:val="bottom"/>
            <w:hideMark/>
          </w:tcPr>
          <w:p w14:paraId="2DC6C416" w14:textId="77777777" w:rsidR="00A61FF5" w:rsidRPr="00040036" w:rsidRDefault="00A61FF5" w:rsidP="00D07480">
            <w:pPr>
              <w:pStyle w:val="ESTablebody3ptafter"/>
              <w:rPr>
                <w:b/>
                <w:sz w:val="13"/>
                <w:lang w:val="en-AU" w:eastAsia="en-AU"/>
              </w:rPr>
            </w:pPr>
            <w:r w:rsidRPr="00040036">
              <w:rPr>
                <w:b/>
                <w:sz w:val="13"/>
                <w:lang w:val="en-AU" w:eastAsia="en-AU"/>
              </w:rPr>
              <w:t>Gender</w:t>
            </w:r>
          </w:p>
        </w:tc>
        <w:tc>
          <w:tcPr>
            <w:tcW w:w="418" w:type="pct"/>
            <w:tcBorders>
              <w:left w:val="nil"/>
              <w:bottom w:val="nil"/>
              <w:right w:val="nil"/>
            </w:tcBorders>
            <w:shd w:val="clear" w:color="auto" w:fill="auto"/>
            <w:noWrap/>
            <w:tcMar>
              <w:top w:w="113" w:type="dxa"/>
            </w:tcMar>
            <w:vAlign w:val="bottom"/>
            <w:hideMark/>
          </w:tcPr>
          <w:p w14:paraId="3D5D4394" w14:textId="77777777" w:rsidR="00A61FF5" w:rsidRPr="00040036" w:rsidRDefault="00A61FF5" w:rsidP="00D07480">
            <w:pPr>
              <w:pStyle w:val="ESTablebody3ptafter"/>
              <w:rPr>
                <w:sz w:val="13"/>
                <w:lang w:val="en-AU" w:eastAsia="en-AU"/>
              </w:rPr>
            </w:pPr>
          </w:p>
        </w:tc>
        <w:tc>
          <w:tcPr>
            <w:tcW w:w="250" w:type="pct"/>
            <w:tcBorders>
              <w:left w:val="nil"/>
              <w:bottom w:val="nil"/>
              <w:right w:val="single" w:sz="4" w:space="0" w:color="auto"/>
            </w:tcBorders>
            <w:shd w:val="clear" w:color="auto" w:fill="auto"/>
            <w:noWrap/>
            <w:tcMar>
              <w:top w:w="113" w:type="dxa"/>
            </w:tcMar>
            <w:vAlign w:val="bottom"/>
            <w:hideMark/>
          </w:tcPr>
          <w:p w14:paraId="3DF65876" w14:textId="77777777" w:rsidR="00A61FF5" w:rsidRPr="00040036" w:rsidRDefault="00A61FF5" w:rsidP="00D07480">
            <w:pPr>
              <w:pStyle w:val="ESTablebody3ptafter"/>
              <w:rPr>
                <w:sz w:val="13"/>
                <w:lang w:val="en-AU" w:eastAsia="en-AU"/>
              </w:rPr>
            </w:pPr>
            <w:r w:rsidRPr="00040036">
              <w:rPr>
                <w:sz w:val="13"/>
                <w:lang w:val="en-AU" w:eastAsia="en-AU"/>
              </w:rPr>
              <w:t> </w:t>
            </w:r>
          </w:p>
        </w:tc>
        <w:tc>
          <w:tcPr>
            <w:tcW w:w="379" w:type="pct"/>
            <w:tcBorders>
              <w:left w:val="nil"/>
              <w:bottom w:val="nil"/>
              <w:right w:val="nil"/>
            </w:tcBorders>
            <w:shd w:val="clear" w:color="auto" w:fill="auto"/>
            <w:noWrap/>
            <w:tcMar>
              <w:top w:w="113" w:type="dxa"/>
            </w:tcMar>
            <w:vAlign w:val="bottom"/>
            <w:hideMark/>
          </w:tcPr>
          <w:p w14:paraId="2EAC7C96" w14:textId="77777777" w:rsidR="00A61FF5" w:rsidRPr="00040036" w:rsidRDefault="00A61FF5" w:rsidP="00D07480">
            <w:pPr>
              <w:pStyle w:val="ESTablebody3ptafter"/>
              <w:rPr>
                <w:sz w:val="13"/>
                <w:lang w:val="en-AU" w:eastAsia="en-AU"/>
              </w:rPr>
            </w:pPr>
          </w:p>
        </w:tc>
        <w:tc>
          <w:tcPr>
            <w:tcW w:w="379" w:type="pct"/>
            <w:tcBorders>
              <w:left w:val="nil"/>
              <w:bottom w:val="nil"/>
              <w:right w:val="nil"/>
            </w:tcBorders>
            <w:shd w:val="clear" w:color="auto" w:fill="auto"/>
            <w:noWrap/>
            <w:tcMar>
              <w:top w:w="113" w:type="dxa"/>
            </w:tcMar>
            <w:vAlign w:val="bottom"/>
            <w:hideMark/>
          </w:tcPr>
          <w:p w14:paraId="2A34588A" w14:textId="77777777" w:rsidR="00A61FF5" w:rsidRPr="00040036" w:rsidRDefault="00A61FF5" w:rsidP="00D07480">
            <w:pPr>
              <w:pStyle w:val="ESTablebody3ptafter"/>
              <w:rPr>
                <w:sz w:val="13"/>
                <w:lang w:val="en-AU" w:eastAsia="en-AU"/>
              </w:rPr>
            </w:pPr>
          </w:p>
        </w:tc>
        <w:tc>
          <w:tcPr>
            <w:tcW w:w="249" w:type="pct"/>
            <w:tcBorders>
              <w:left w:val="nil"/>
              <w:bottom w:val="nil"/>
              <w:right w:val="single" w:sz="4" w:space="0" w:color="auto"/>
            </w:tcBorders>
            <w:shd w:val="clear" w:color="auto" w:fill="auto"/>
            <w:noWrap/>
            <w:tcMar>
              <w:top w:w="113" w:type="dxa"/>
            </w:tcMar>
            <w:vAlign w:val="bottom"/>
            <w:hideMark/>
          </w:tcPr>
          <w:p w14:paraId="35357C00" w14:textId="77777777" w:rsidR="00A61FF5" w:rsidRPr="00040036" w:rsidRDefault="00A61FF5" w:rsidP="00D07480">
            <w:pPr>
              <w:pStyle w:val="ESTablebody3ptafter"/>
              <w:rPr>
                <w:sz w:val="13"/>
                <w:lang w:val="en-AU" w:eastAsia="en-AU"/>
              </w:rPr>
            </w:pPr>
            <w:r w:rsidRPr="00040036">
              <w:rPr>
                <w:sz w:val="13"/>
                <w:lang w:val="en-AU" w:eastAsia="en-AU"/>
              </w:rPr>
              <w:t> </w:t>
            </w:r>
          </w:p>
        </w:tc>
        <w:tc>
          <w:tcPr>
            <w:tcW w:w="350" w:type="pct"/>
            <w:tcBorders>
              <w:left w:val="nil"/>
              <w:bottom w:val="nil"/>
              <w:right w:val="nil"/>
            </w:tcBorders>
            <w:shd w:val="clear" w:color="auto" w:fill="auto"/>
            <w:noWrap/>
            <w:tcMar>
              <w:top w:w="113" w:type="dxa"/>
            </w:tcMar>
            <w:vAlign w:val="bottom"/>
            <w:hideMark/>
          </w:tcPr>
          <w:p w14:paraId="5FE2EBFB" w14:textId="77777777" w:rsidR="00A61FF5" w:rsidRPr="00040036" w:rsidRDefault="00A61FF5" w:rsidP="00D07480">
            <w:pPr>
              <w:pStyle w:val="ESTablebody3ptafter"/>
              <w:rPr>
                <w:sz w:val="13"/>
                <w:lang w:val="en-AU" w:eastAsia="en-AU"/>
              </w:rPr>
            </w:pPr>
          </w:p>
        </w:tc>
        <w:tc>
          <w:tcPr>
            <w:tcW w:w="206" w:type="pct"/>
            <w:tcBorders>
              <w:left w:val="nil"/>
              <w:bottom w:val="nil"/>
              <w:right w:val="single" w:sz="8" w:space="0" w:color="auto"/>
            </w:tcBorders>
            <w:shd w:val="clear" w:color="auto" w:fill="auto"/>
            <w:noWrap/>
            <w:tcMar>
              <w:top w:w="113" w:type="dxa"/>
            </w:tcMar>
            <w:vAlign w:val="bottom"/>
            <w:hideMark/>
          </w:tcPr>
          <w:p w14:paraId="1F83F02D" w14:textId="77777777" w:rsidR="00A61FF5" w:rsidRPr="00040036" w:rsidRDefault="00A61FF5" w:rsidP="00D07480">
            <w:pPr>
              <w:pStyle w:val="ESTablebody3ptafter"/>
              <w:rPr>
                <w:sz w:val="13"/>
                <w:lang w:val="en-AU" w:eastAsia="en-AU"/>
              </w:rPr>
            </w:pPr>
            <w:r w:rsidRPr="00040036">
              <w:rPr>
                <w:sz w:val="13"/>
                <w:lang w:val="en-AU" w:eastAsia="en-AU"/>
              </w:rPr>
              <w:t> </w:t>
            </w:r>
          </w:p>
        </w:tc>
        <w:tc>
          <w:tcPr>
            <w:tcW w:w="350" w:type="pct"/>
            <w:tcBorders>
              <w:left w:val="nil"/>
              <w:bottom w:val="nil"/>
              <w:right w:val="nil"/>
            </w:tcBorders>
            <w:shd w:val="clear" w:color="auto" w:fill="auto"/>
            <w:noWrap/>
            <w:tcMar>
              <w:top w:w="113" w:type="dxa"/>
            </w:tcMar>
            <w:vAlign w:val="bottom"/>
            <w:hideMark/>
          </w:tcPr>
          <w:p w14:paraId="23A1A8B8" w14:textId="77777777" w:rsidR="00A61FF5" w:rsidRPr="00040036" w:rsidRDefault="00A61FF5" w:rsidP="00D07480">
            <w:pPr>
              <w:pStyle w:val="ESTablebody3ptafter"/>
              <w:rPr>
                <w:sz w:val="13"/>
                <w:lang w:val="en-AU" w:eastAsia="en-AU"/>
              </w:rPr>
            </w:pPr>
          </w:p>
        </w:tc>
        <w:tc>
          <w:tcPr>
            <w:tcW w:w="249" w:type="pct"/>
            <w:tcBorders>
              <w:left w:val="nil"/>
              <w:bottom w:val="nil"/>
              <w:right w:val="single" w:sz="4" w:space="0" w:color="auto"/>
            </w:tcBorders>
            <w:shd w:val="clear" w:color="auto" w:fill="auto"/>
            <w:noWrap/>
            <w:tcMar>
              <w:top w:w="113" w:type="dxa"/>
            </w:tcMar>
            <w:vAlign w:val="bottom"/>
            <w:hideMark/>
          </w:tcPr>
          <w:p w14:paraId="0BD2616E" w14:textId="77777777" w:rsidR="00A61FF5" w:rsidRPr="00040036" w:rsidRDefault="00A61FF5" w:rsidP="00D07480">
            <w:pPr>
              <w:pStyle w:val="ESTablebody3ptafter"/>
              <w:rPr>
                <w:sz w:val="13"/>
                <w:lang w:val="en-AU" w:eastAsia="en-AU"/>
              </w:rPr>
            </w:pPr>
            <w:r w:rsidRPr="00040036">
              <w:rPr>
                <w:sz w:val="13"/>
                <w:lang w:val="en-AU" w:eastAsia="en-AU"/>
              </w:rPr>
              <w:t> </w:t>
            </w:r>
          </w:p>
        </w:tc>
        <w:tc>
          <w:tcPr>
            <w:tcW w:w="379" w:type="pct"/>
            <w:tcBorders>
              <w:left w:val="nil"/>
              <w:bottom w:val="nil"/>
              <w:right w:val="nil"/>
            </w:tcBorders>
            <w:shd w:val="clear" w:color="auto" w:fill="auto"/>
            <w:noWrap/>
            <w:tcMar>
              <w:top w:w="113" w:type="dxa"/>
            </w:tcMar>
            <w:vAlign w:val="bottom"/>
            <w:hideMark/>
          </w:tcPr>
          <w:p w14:paraId="20F0707C" w14:textId="77777777" w:rsidR="00A61FF5" w:rsidRPr="00040036" w:rsidRDefault="00A61FF5" w:rsidP="00D07480">
            <w:pPr>
              <w:pStyle w:val="ESTablebody3ptafter"/>
              <w:rPr>
                <w:sz w:val="13"/>
                <w:lang w:val="en-AU" w:eastAsia="en-AU"/>
              </w:rPr>
            </w:pPr>
          </w:p>
        </w:tc>
        <w:tc>
          <w:tcPr>
            <w:tcW w:w="379" w:type="pct"/>
            <w:tcBorders>
              <w:left w:val="nil"/>
              <w:bottom w:val="nil"/>
              <w:right w:val="nil"/>
            </w:tcBorders>
            <w:shd w:val="clear" w:color="auto" w:fill="auto"/>
            <w:noWrap/>
            <w:tcMar>
              <w:top w:w="113" w:type="dxa"/>
            </w:tcMar>
            <w:vAlign w:val="bottom"/>
            <w:hideMark/>
          </w:tcPr>
          <w:p w14:paraId="43180F60" w14:textId="77777777" w:rsidR="00A61FF5" w:rsidRPr="00040036" w:rsidRDefault="00A61FF5" w:rsidP="00D07480">
            <w:pPr>
              <w:pStyle w:val="ESTablebody3ptafter"/>
              <w:rPr>
                <w:sz w:val="13"/>
                <w:lang w:val="en-AU" w:eastAsia="en-AU"/>
              </w:rPr>
            </w:pPr>
          </w:p>
        </w:tc>
        <w:tc>
          <w:tcPr>
            <w:tcW w:w="249" w:type="pct"/>
            <w:tcBorders>
              <w:left w:val="nil"/>
              <w:bottom w:val="nil"/>
              <w:right w:val="single" w:sz="4" w:space="0" w:color="auto"/>
            </w:tcBorders>
            <w:shd w:val="clear" w:color="auto" w:fill="auto"/>
            <w:noWrap/>
            <w:tcMar>
              <w:top w:w="113" w:type="dxa"/>
            </w:tcMar>
            <w:vAlign w:val="bottom"/>
            <w:hideMark/>
          </w:tcPr>
          <w:p w14:paraId="0D12B6E9" w14:textId="77777777" w:rsidR="00A61FF5" w:rsidRPr="00040036" w:rsidRDefault="00A61FF5" w:rsidP="00D07480">
            <w:pPr>
              <w:pStyle w:val="ESTablebody3ptafter"/>
              <w:rPr>
                <w:sz w:val="13"/>
                <w:lang w:val="en-AU" w:eastAsia="en-AU"/>
              </w:rPr>
            </w:pPr>
            <w:r w:rsidRPr="00040036">
              <w:rPr>
                <w:sz w:val="13"/>
                <w:lang w:val="en-AU" w:eastAsia="en-AU"/>
              </w:rPr>
              <w:t> </w:t>
            </w:r>
          </w:p>
        </w:tc>
        <w:tc>
          <w:tcPr>
            <w:tcW w:w="350" w:type="pct"/>
            <w:tcBorders>
              <w:left w:val="nil"/>
              <w:bottom w:val="nil"/>
              <w:right w:val="nil"/>
            </w:tcBorders>
            <w:shd w:val="clear" w:color="auto" w:fill="auto"/>
            <w:noWrap/>
            <w:tcMar>
              <w:top w:w="113" w:type="dxa"/>
            </w:tcMar>
            <w:vAlign w:val="bottom"/>
            <w:hideMark/>
          </w:tcPr>
          <w:p w14:paraId="21FFC4BD" w14:textId="77777777" w:rsidR="00A61FF5" w:rsidRPr="00040036" w:rsidRDefault="00A61FF5" w:rsidP="00D07480">
            <w:pPr>
              <w:pStyle w:val="ESTablebody3ptafter"/>
              <w:rPr>
                <w:sz w:val="13"/>
                <w:lang w:val="en-AU" w:eastAsia="en-AU"/>
              </w:rPr>
            </w:pPr>
          </w:p>
        </w:tc>
        <w:tc>
          <w:tcPr>
            <w:tcW w:w="201" w:type="pct"/>
            <w:tcBorders>
              <w:left w:val="nil"/>
              <w:bottom w:val="nil"/>
              <w:right w:val="nil"/>
            </w:tcBorders>
            <w:shd w:val="clear" w:color="auto" w:fill="auto"/>
            <w:noWrap/>
            <w:tcMar>
              <w:top w:w="113" w:type="dxa"/>
            </w:tcMar>
            <w:vAlign w:val="bottom"/>
            <w:hideMark/>
          </w:tcPr>
          <w:p w14:paraId="6C2B540F" w14:textId="77777777" w:rsidR="00A61FF5" w:rsidRPr="00040036" w:rsidRDefault="00A61FF5" w:rsidP="00D07480">
            <w:pPr>
              <w:pStyle w:val="ESTablebody3ptafter"/>
              <w:rPr>
                <w:sz w:val="13"/>
                <w:lang w:val="en-AU" w:eastAsia="en-AU"/>
              </w:rPr>
            </w:pPr>
          </w:p>
        </w:tc>
      </w:tr>
      <w:tr w:rsidR="00A61FF5" w:rsidRPr="00932A90" w14:paraId="4083168D" w14:textId="77777777" w:rsidTr="00D07480">
        <w:trPr>
          <w:trHeight w:hRule="exact" w:val="227"/>
        </w:trPr>
        <w:tc>
          <w:tcPr>
            <w:tcW w:w="154" w:type="pct"/>
            <w:vMerge/>
            <w:tcBorders>
              <w:top w:val="nil"/>
              <w:left w:val="nil"/>
              <w:bottom w:val="single" w:sz="4" w:space="0" w:color="000000"/>
              <w:right w:val="nil"/>
            </w:tcBorders>
            <w:vAlign w:val="center"/>
            <w:hideMark/>
          </w:tcPr>
          <w:p w14:paraId="47F92786"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3C6E1C71" w14:textId="77777777" w:rsidR="00A61FF5" w:rsidRPr="00040036" w:rsidRDefault="00A61FF5" w:rsidP="00D07480">
            <w:pPr>
              <w:pStyle w:val="ESTablebody3ptafter"/>
              <w:rPr>
                <w:sz w:val="13"/>
                <w:lang w:val="en-AU" w:eastAsia="en-AU"/>
              </w:rPr>
            </w:pPr>
            <w:r w:rsidRPr="00040036">
              <w:rPr>
                <w:sz w:val="13"/>
                <w:lang w:val="en-AU" w:eastAsia="en-AU"/>
              </w:rPr>
              <w:t>Male</w:t>
            </w:r>
          </w:p>
        </w:tc>
        <w:tc>
          <w:tcPr>
            <w:tcW w:w="418" w:type="pct"/>
            <w:tcBorders>
              <w:top w:val="nil"/>
              <w:left w:val="nil"/>
              <w:bottom w:val="nil"/>
              <w:right w:val="nil"/>
            </w:tcBorders>
            <w:shd w:val="clear" w:color="auto" w:fill="auto"/>
            <w:noWrap/>
            <w:vAlign w:val="bottom"/>
            <w:hideMark/>
          </w:tcPr>
          <w:p w14:paraId="6745EFF1" w14:textId="77777777" w:rsidR="00A61FF5" w:rsidRPr="00040036" w:rsidRDefault="00A61FF5" w:rsidP="00781DCB">
            <w:pPr>
              <w:pStyle w:val="ESTablebody3ptafter"/>
              <w:jc w:val="right"/>
              <w:rPr>
                <w:sz w:val="13"/>
                <w:lang w:val="en-AU" w:eastAsia="en-AU"/>
              </w:rPr>
            </w:pPr>
            <w:r w:rsidRPr="00040036">
              <w:rPr>
                <w:sz w:val="13"/>
                <w:lang w:val="en-AU" w:eastAsia="en-AU"/>
              </w:rPr>
              <w:t>807</w:t>
            </w:r>
          </w:p>
        </w:tc>
        <w:tc>
          <w:tcPr>
            <w:tcW w:w="250" w:type="pct"/>
            <w:tcBorders>
              <w:top w:val="nil"/>
              <w:left w:val="nil"/>
              <w:bottom w:val="nil"/>
              <w:right w:val="single" w:sz="4" w:space="0" w:color="auto"/>
            </w:tcBorders>
            <w:shd w:val="clear" w:color="auto" w:fill="auto"/>
            <w:noWrap/>
            <w:vAlign w:val="bottom"/>
            <w:hideMark/>
          </w:tcPr>
          <w:p w14:paraId="0112E90A" w14:textId="77777777" w:rsidR="00A61FF5" w:rsidRPr="00040036" w:rsidRDefault="00A61FF5" w:rsidP="00781DCB">
            <w:pPr>
              <w:pStyle w:val="ESTablebody3ptafter"/>
              <w:jc w:val="right"/>
              <w:rPr>
                <w:sz w:val="13"/>
                <w:lang w:val="en-AU" w:eastAsia="en-AU"/>
              </w:rPr>
            </w:pPr>
            <w:r w:rsidRPr="00040036">
              <w:rPr>
                <w:sz w:val="13"/>
                <w:lang w:val="en-AU" w:eastAsia="en-AU"/>
              </w:rPr>
              <w:t>781.7</w:t>
            </w:r>
          </w:p>
        </w:tc>
        <w:tc>
          <w:tcPr>
            <w:tcW w:w="379" w:type="pct"/>
            <w:tcBorders>
              <w:top w:val="nil"/>
              <w:left w:val="nil"/>
              <w:bottom w:val="nil"/>
              <w:right w:val="nil"/>
            </w:tcBorders>
            <w:shd w:val="clear" w:color="auto" w:fill="auto"/>
            <w:noWrap/>
            <w:vAlign w:val="bottom"/>
            <w:hideMark/>
          </w:tcPr>
          <w:p w14:paraId="4D82DB1B" w14:textId="77777777" w:rsidR="00A61FF5" w:rsidRPr="00040036" w:rsidRDefault="00A61FF5" w:rsidP="00781DCB">
            <w:pPr>
              <w:pStyle w:val="ESTablebody3ptafter"/>
              <w:jc w:val="right"/>
              <w:rPr>
                <w:sz w:val="13"/>
                <w:lang w:val="en-AU" w:eastAsia="en-AU"/>
              </w:rPr>
            </w:pPr>
            <w:r w:rsidRPr="00040036">
              <w:rPr>
                <w:sz w:val="13"/>
                <w:lang w:val="en-AU" w:eastAsia="en-AU"/>
              </w:rPr>
              <w:t>630</w:t>
            </w:r>
          </w:p>
        </w:tc>
        <w:tc>
          <w:tcPr>
            <w:tcW w:w="379" w:type="pct"/>
            <w:tcBorders>
              <w:top w:val="nil"/>
              <w:left w:val="nil"/>
              <w:bottom w:val="nil"/>
              <w:right w:val="nil"/>
            </w:tcBorders>
            <w:shd w:val="clear" w:color="auto" w:fill="auto"/>
            <w:noWrap/>
            <w:vAlign w:val="bottom"/>
            <w:hideMark/>
          </w:tcPr>
          <w:p w14:paraId="301C76AC" w14:textId="77777777" w:rsidR="00A61FF5" w:rsidRPr="00040036" w:rsidRDefault="00A61FF5" w:rsidP="00781DCB">
            <w:pPr>
              <w:pStyle w:val="ESTablebody3ptafter"/>
              <w:jc w:val="right"/>
              <w:rPr>
                <w:sz w:val="13"/>
                <w:lang w:val="en-AU" w:eastAsia="en-AU"/>
              </w:rPr>
            </w:pPr>
            <w:r w:rsidRPr="00040036">
              <w:rPr>
                <w:sz w:val="13"/>
                <w:lang w:val="en-AU" w:eastAsia="en-AU"/>
              </w:rPr>
              <w:t>51</w:t>
            </w:r>
          </w:p>
        </w:tc>
        <w:tc>
          <w:tcPr>
            <w:tcW w:w="249" w:type="pct"/>
            <w:tcBorders>
              <w:top w:val="nil"/>
              <w:left w:val="nil"/>
              <w:bottom w:val="nil"/>
              <w:right w:val="single" w:sz="4" w:space="0" w:color="auto"/>
            </w:tcBorders>
            <w:shd w:val="clear" w:color="auto" w:fill="auto"/>
            <w:noWrap/>
            <w:vAlign w:val="bottom"/>
            <w:hideMark/>
          </w:tcPr>
          <w:p w14:paraId="4F017DF3" w14:textId="77777777" w:rsidR="00A61FF5" w:rsidRPr="00040036" w:rsidRDefault="00A61FF5" w:rsidP="00781DCB">
            <w:pPr>
              <w:pStyle w:val="ESTablebody3ptafter"/>
              <w:jc w:val="right"/>
              <w:rPr>
                <w:sz w:val="13"/>
                <w:lang w:val="en-AU" w:eastAsia="en-AU"/>
              </w:rPr>
            </w:pPr>
            <w:r w:rsidRPr="00040036">
              <w:rPr>
                <w:sz w:val="13"/>
                <w:lang w:val="en-AU" w:eastAsia="en-AU"/>
              </w:rPr>
              <w:t>665.0</w:t>
            </w:r>
          </w:p>
        </w:tc>
        <w:tc>
          <w:tcPr>
            <w:tcW w:w="350" w:type="pct"/>
            <w:tcBorders>
              <w:top w:val="nil"/>
              <w:left w:val="nil"/>
              <w:bottom w:val="nil"/>
              <w:right w:val="nil"/>
            </w:tcBorders>
            <w:shd w:val="clear" w:color="auto" w:fill="auto"/>
            <w:noWrap/>
            <w:vAlign w:val="bottom"/>
            <w:hideMark/>
          </w:tcPr>
          <w:p w14:paraId="0749A879" w14:textId="77777777" w:rsidR="00A61FF5" w:rsidRPr="00040036" w:rsidRDefault="00A61FF5" w:rsidP="00781DCB">
            <w:pPr>
              <w:pStyle w:val="ESTablebody3ptafter"/>
              <w:jc w:val="right"/>
              <w:rPr>
                <w:sz w:val="13"/>
                <w:lang w:val="en-AU" w:eastAsia="en-AU"/>
              </w:rPr>
            </w:pPr>
            <w:r w:rsidRPr="00040036">
              <w:rPr>
                <w:sz w:val="13"/>
                <w:lang w:val="en-AU" w:eastAsia="en-AU"/>
              </w:rPr>
              <w:t>126</w:t>
            </w:r>
          </w:p>
        </w:tc>
        <w:tc>
          <w:tcPr>
            <w:tcW w:w="206" w:type="pct"/>
            <w:tcBorders>
              <w:top w:val="nil"/>
              <w:left w:val="nil"/>
              <w:bottom w:val="nil"/>
              <w:right w:val="single" w:sz="8" w:space="0" w:color="auto"/>
            </w:tcBorders>
            <w:shd w:val="clear" w:color="auto" w:fill="auto"/>
            <w:noWrap/>
            <w:vAlign w:val="bottom"/>
            <w:hideMark/>
          </w:tcPr>
          <w:p w14:paraId="2FD0F197" w14:textId="77777777" w:rsidR="00A61FF5" w:rsidRPr="00040036" w:rsidRDefault="00A61FF5" w:rsidP="00781DCB">
            <w:pPr>
              <w:pStyle w:val="ESTablebody3ptafter"/>
              <w:jc w:val="right"/>
              <w:rPr>
                <w:sz w:val="13"/>
                <w:lang w:val="en-AU" w:eastAsia="en-AU"/>
              </w:rPr>
            </w:pPr>
            <w:r w:rsidRPr="00040036">
              <w:rPr>
                <w:sz w:val="13"/>
                <w:lang w:val="en-AU" w:eastAsia="en-AU"/>
              </w:rPr>
              <w:t>116.7</w:t>
            </w:r>
          </w:p>
        </w:tc>
        <w:tc>
          <w:tcPr>
            <w:tcW w:w="350" w:type="pct"/>
            <w:tcBorders>
              <w:top w:val="nil"/>
              <w:left w:val="nil"/>
              <w:bottom w:val="nil"/>
              <w:right w:val="nil"/>
            </w:tcBorders>
            <w:shd w:val="clear" w:color="auto" w:fill="auto"/>
            <w:noWrap/>
            <w:vAlign w:val="bottom"/>
            <w:hideMark/>
          </w:tcPr>
          <w:p w14:paraId="7DD0FA34" w14:textId="77777777" w:rsidR="00A61FF5" w:rsidRPr="00040036" w:rsidRDefault="00A61FF5" w:rsidP="00781DCB">
            <w:pPr>
              <w:pStyle w:val="ESTablebody3ptafter"/>
              <w:jc w:val="right"/>
              <w:rPr>
                <w:sz w:val="13"/>
                <w:lang w:val="en-AU" w:eastAsia="en-AU"/>
              </w:rPr>
            </w:pPr>
            <w:r w:rsidRPr="00040036">
              <w:rPr>
                <w:sz w:val="13"/>
                <w:lang w:val="en-AU" w:eastAsia="en-AU"/>
              </w:rPr>
              <w:t>672</w:t>
            </w:r>
          </w:p>
        </w:tc>
        <w:tc>
          <w:tcPr>
            <w:tcW w:w="249" w:type="pct"/>
            <w:tcBorders>
              <w:top w:val="nil"/>
              <w:left w:val="nil"/>
              <w:bottom w:val="nil"/>
              <w:right w:val="single" w:sz="4" w:space="0" w:color="auto"/>
            </w:tcBorders>
            <w:shd w:val="clear" w:color="auto" w:fill="auto"/>
            <w:noWrap/>
            <w:vAlign w:val="bottom"/>
            <w:hideMark/>
          </w:tcPr>
          <w:p w14:paraId="551BA09D" w14:textId="77777777" w:rsidR="00A61FF5" w:rsidRPr="00040036" w:rsidRDefault="00A61FF5" w:rsidP="00781DCB">
            <w:pPr>
              <w:pStyle w:val="ESTablebody3ptafter"/>
              <w:jc w:val="right"/>
              <w:rPr>
                <w:sz w:val="13"/>
                <w:lang w:val="en-AU" w:eastAsia="en-AU"/>
              </w:rPr>
            </w:pPr>
            <w:r w:rsidRPr="00040036">
              <w:rPr>
                <w:sz w:val="13"/>
                <w:lang w:val="en-AU" w:eastAsia="en-AU"/>
              </w:rPr>
              <w:t>649.6</w:t>
            </w:r>
          </w:p>
        </w:tc>
        <w:tc>
          <w:tcPr>
            <w:tcW w:w="379" w:type="pct"/>
            <w:tcBorders>
              <w:top w:val="nil"/>
              <w:left w:val="nil"/>
              <w:bottom w:val="nil"/>
              <w:right w:val="nil"/>
            </w:tcBorders>
            <w:shd w:val="clear" w:color="auto" w:fill="auto"/>
            <w:noWrap/>
            <w:vAlign w:val="bottom"/>
            <w:hideMark/>
          </w:tcPr>
          <w:p w14:paraId="1FED8D77" w14:textId="77777777" w:rsidR="00A61FF5" w:rsidRPr="00040036" w:rsidRDefault="00A61FF5" w:rsidP="00781DCB">
            <w:pPr>
              <w:pStyle w:val="ESTablebody3ptafter"/>
              <w:jc w:val="right"/>
              <w:rPr>
                <w:sz w:val="13"/>
                <w:lang w:val="en-AU" w:eastAsia="en-AU"/>
              </w:rPr>
            </w:pPr>
            <w:r w:rsidRPr="00040036">
              <w:rPr>
                <w:sz w:val="13"/>
                <w:lang w:val="en-AU" w:eastAsia="en-AU"/>
              </w:rPr>
              <w:t>552</w:t>
            </w:r>
          </w:p>
        </w:tc>
        <w:tc>
          <w:tcPr>
            <w:tcW w:w="379" w:type="pct"/>
            <w:tcBorders>
              <w:top w:val="nil"/>
              <w:left w:val="nil"/>
              <w:bottom w:val="nil"/>
              <w:right w:val="nil"/>
            </w:tcBorders>
            <w:shd w:val="clear" w:color="auto" w:fill="auto"/>
            <w:noWrap/>
            <w:vAlign w:val="bottom"/>
            <w:hideMark/>
          </w:tcPr>
          <w:p w14:paraId="7758CD51" w14:textId="77777777" w:rsidR="00A61FF5" w:rsidRPr="00040036" w:rsidRDefault="00A61FF5" w:rsidP="00781DCB">
            <w:pPr>
              <w:pStyle w:val="ESTablebody3ptafter"/>
              <w:jc w:val="right"/>
              <w:rPr>
                <w:sz w:val="13"/>
                <w:lang w:val="en-AU" w:eastAsia="en-AU"/>
              </w:rPr>
            </w:pPr>
            <w:r w:rsidRPr="00040036">
              <w:rPr>
                <w:sz w:val="13"/>
                <w:lang w:val="en-AU" w:eastAsia="en-AU"/>
              </w:rPr>
              <w:t>45</w:t>
            </w:r>
          </w:p>
        </w:tc>
        <w:tc>
          <w:tcPr>
            <w:tcW w:w="249" w:type="pct"/>
            <w:tcBorders>
              <w:top w:val="nil"/>
              <w:left w:val="nil"/>
              <w:bottom w:val="nil"/>
              <w:right w:val="single" w:sz="4" w:space="0" w:color="auto"/>
            </w:tcBorders>
            <w:shd w:val="clear" w:color="auto" w:fill="auto"/>
            <w:noWrap/>
            <w:vAlign w:val="bottom"/>
            <w:hideMark/>
          </w:tcPr>
          <w:p w14:paraId="24C99A62" w14:textId="77777777" w:rsidR="00A61FF5" w:rsidRPr="00040036" w:rsidRDefault="00A61FF5" w:rsidP="00781DCB">
            <w:pPr>
              <w:pStyle w:val="ESTablebody3ptafter"/>
              <w:jc w:val="right"/>
              <w:rPr>
                <w:sz w:val="13"/>
                <w:lang w:val="en-AU" w:eastAsia="en-AU"/>
              </w:rPr>
            </w:pPr>
            <w:r w:rsidRPr="00040036">
              <w:rPr>
                <w:sz w:val="13"/>
                <w:lang w:val="en-AU" w:eastAsia="en-AU"/>
              </w:rPr>
              <w:t>582.9</w:t>
            </w:r>
          </w:p>
        </w:tc>
        <w:tc>
          <w:tcPr>
            <w:tcW w:w="350" w:type="pct"/>
            <w:tcBorders>
              <w:top w:val="nil"/>
              <w:left w:val="nil"/>
              <w:bottom w:val="nil"/>
              <w:right w:val="nil"/>
            </w:tcBorders>
            <w:shd w:val="clear" w:color="auto" w:fill="auto"/>
            <w:noWrap/>
            <w:vAlign w:val="bottom"/>
            <w:hideMark/>
          </w:tcPr>
          <w:p w14:paraId="6534621D" w14:textId="77777777" w:rsidR="00A61FF5" w:rsidRPr="00040036" w:rsidRDefault="00A61FF5" w:rsidP="00781DCB">
            <w:pPr>
              <w:pStyle w:val="ESTablebody3ptafter"/>
              <w:jc w:val="right"/>
              <w:rPr>
                <w:sz w:val="13"/>
                <w:lang w:val="en-AU" w:eastAsia="en-AU"/>
              </w:rPr>
            </w:pPr>
            <w:r w:rsidRPr="00040036">
              <w:rPr>
                <w:sz w:val="13"/>
                <w:lang w:val="en-AU" w:eastAsia="en-AU"/>
              </w:rPr>
              <w:t>75</w:t>
            </w:r>
          </w:p>
        </w:tc>
        <w:tc>
          <w:tcPr>
            <w:tcW w:w="201" w:type="pct"/>
            <w:tcBorders>
              <w:top w:val="nil"/>
              <w:left w:val="nil"/>
              <w:bottom w:val="nil"/>
              <w:right w:val="nil"/>
            </w:tcBorders>
            <w:shd w:val="clear" w:color="auto" w:fill="auto"/>
            <w:noWrap/>
            <w:vAlign w:val="bottom"/>
            <w:hideMark/>
          </w:tcPr>
          <w:p w14:paraId="25A4DB70" w14:textId="77777777" w:rsidR="00A61FF5" w:rsidRPr="00040036" w:rsidRDefault="00A61FF5" w:rsidP="00781DCB">
            <w:pPr>
              <w:pStyle w:val="ESTablebody3ptafter"/>
              <w:jc w:val="right"/>
              <w:rPr>
                <w:sz w:val="13"/>
                <w:lang w:val="en-AU" w:eastAsia="en-AU"/>
              </w:rPr>
            </w:pPr>
            <w:r w:rsidRPr="00040036">
              <w:rPr>
                <w:sz w:val="13"/>
                <w:lang w:val="en-AU" w:eastAsia="en-AU"/>
              </w:rPr>
              <w:t>66.7</w:t>
            </w:r>
          </w:p>
        </w:tc>
      </w:tr>
      <w:tr w:rsidR="00A61FF5" w:rsidRPr="00932A90" w14:paraId="0DB6D04E" w14:textId="77777777" w:rsidTr="00D07480">
        <w:trPr>
          <w:trHeight w:hRule="exact" w:val="227"/>
        </w:trPr>
        <w:tc>
          <w:tcPr>
            <w:tcW w:w="154" w:type="pct"/>
            <w:vMerge/>
            <w:tcBorders>
              <w:top w:val="nil"/>
              <w:left w:val="nil"/>
              <w:bottom w:val="single" w:sz="4" w:space="0" w:color="000000"/>
              <w:right w:val="nil"/>
            </w:tcBorders>
            <w:vAlign w:val="center"/>
            <w:hideMark/>
          </w:tcPr>
          <w:p w14:paraId="00050847"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5C1B323B" w14:textId="77777777" w:rsidR="00A61FF5" w:rsidRPr="00040036" w:rsidRDefault="00A61FF5" w:rsidP="00D07480">
            <w:pPr>
              <w:pStyle w:val="ESTablebody3ptafter"/>
              <w:rPr>
                <w:sz w:val="13"/>
                <w:lang w:val="en-AU" w:eastAsia="en-AU"/>
              </w:rPr>
            </w:pPr>
            <w:r w:rsidRPr="00040036">
              <w:rPr>
                <w:sz w:val="13"/>
                <w:lang w:val="en-AU" w:eastAsia="en-AU"/>
              </w:rPr>
              <w:t>Female</w:t>
            </w:r>
          </w:p>
        </w:tc>
        <w:tc>
          <w:tcPr>
            <w:tcW w:w="418" w:type="pct"/>
            <w:tcBorders>
              <w:top w:val="nil"/>
              <w:left w:val="nil"/>
              <w:bottom w:val="nil"/>
              <w:right w:val="nil"/>
            </w:tcBorders>
            <w:shd w:val="clear" w:color="auto" w:fill="auto"/>
            <w:noWrap/>
            <w:vAlign w:val="bottom"/>
            <w:hideMark/>
          </w:tcPr>
          <w:p w14:paraId="1A62E23F" w14:textId="3B78C96E" w:rsidR="00A61FF5" w:rsidRPr="00040036" w:rsidRDefault="00A61FF5" w:rsidP="00781DCB">
            <w:pPr>
              <w:pStyle w:val="ESTablebody3ptafter"/>
              <w:jc w:val="right"/>
              <w:rPr>
                <w:sz w:val="13"/>
                <w:lang w:val="en-AU" w:eastAsia="en-AU"/>
              </w:rPr>
            </w:pPr>
            <w:r w:rsidRPr="00040036">
              <w:rPr>
                <w:sz w:val="13"/>
                <w:lang w:val="en-AU" w:eastAsia="en-AU"/>
              </w:rPr>
              <w:t>2</w:t>
            </w:r>
            <w:r w:rsidR="009452EC" w:rsidRPr="00040036">
              <w:rPr>
                <w:sz w:val="13"/>
                <w:lang w:val="en-AU" w:eastAsia="en-AU"/>
              </w:rPr>
              <w:t>,</w:t>
            </w:r>
            <w:r w:rsidRPr="00040036">
              <w:rPr>
                <w:sz w:val="13"/>
                <w:lang w:val="en-AU" w:eastAsia="en-AU"/>
              </w:rPr>
              <w:t>596</w:t>
            </w:r>
          </w:p>
        </w:tc>
        <w:tc>
          <w:tcPr>
            <w:tcW w:w="250" w:type="pct"/>
            <w:tcBorders>
              <w:top w:val="nil"/>
              <w:left w:val="nil"/>
              <w:bottom w:val="nil"/>
              <w:right w:val="single" w:sz="4" w:space="0" w:color="auto"/>
            </w:tcBorders>
            <w:shd w:val="clear" w:color="auto" w:fill="auto"/>
            <w:noWrap/>
            <w:vAlign w:val="bottom"/>
            <w:hideMark/>
          </w:tcPr>
          <w:p w14:paraId="5E8E3FEF" w14:textId="23D4521C" w:rsidR="00A61FF5" w:rsidRPr="00040036" w:rsidRDefault="00A61FF5" w:rsidP="00781DCB">
            <w:pPr>
              <w:pStyle w:val="ESTablebody3ptafter"/>
              <w:jc w:val="right"/>
              <w:rPr>
                <w:sz w:val="13"/>
                <w:lang w:val="en-AU" w:eastAsia="en-AU"/>
              </w:rPr>
            </w:pPr>
            <w:r w:rsidRPr="00040036">
              <w:rPr>
                <w:sz w:val="13"/>
                <w:lang w:val="en-AU" w:eastAsia="en-AU"/>
              </w:rPr>
              <w:t>2</w:t>
            </w:r>
            <w:r w:rsidR="009452EC" w:rsidRPr="00040036">
              <w:rPr>
                <w:sz w:val="13"/>
                <w:lang w:val="en-AU" w:eastAsia="en-AU"/>
              </w:rPr>
              <w:t>,</w:t>
            </w:r>
            <w:r w:rsidRPr="00040036">
              <w:rPr>
                <w:sz w:val="13"/>
                <w:lang w:val="en-AU" w:eastAsia="en-AU"/>
              </w:rPr>
              <w:t>265.2</w:t>
            </w:r>
          </w:p>
        </w:tc>
        <w:tc>
          <w:tcPr>
            <w:tcW w:w="379" w:type="pct"/>
            <w:tcBorders>
              <w:top w:val="nil"/>
              <w:left w:val="nil"/>
              <w:bottom w:val="nil"/>
              <w:right w:val="nil"/>
            </w:tcBorders>
            <w:shd w:val="clear" w:color="auto" w:fill="auto"/>
            <w:noWrap/>
            <w:vAlign w:val="bottom"/>
            <w:hideMark/>
          </w:tcPr>
          <w:p w14:paraId="1237A4BF" w14:textId="58A673F0"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351</w:t>
            </w:r>
          </w:p>
        </w:tc>
        <w:tc>
          <w:tcPr>
            <w:tcW w:w="379" w:type="pct"/>
            <w:tcBorders>
              <w:top w:val="nil"/>
              <w:left w:val="nil"/>
              <w:bottom w:val="nil"/>
              <w:right w:val="nil"/>
            </w:tcBorders>
            <w:shd w:val="clear" w:color="auto" w:fill="auto"/>
            <w:noWrap/>
            <w:vAlign w:val="bottom"/>
            <w:hideMark/>
          </w:tcPr>
          <w:p w14:paraId="7BB7DC98" w14:textId="77777777" w:rsidR="00A61FF5" w:rsidRPr="00040036" w:rsidRDefault="00A61FF5" w:rsidP="00781DCB">
            <w:pPr>
              <w:pStyle w:val="ESTablebody3ptafter"/>
              <w:jc w:val="right"/>
              <w:rPr>
                <w:sz w:val="13"/>
                <w:lang w:val="en-AU" w:eastAsia="en-AU"/>
              </w:rPr>
            </w:pPr>
            <w:r w:rsidRPr="00040036">
              <w:rPr>
                <w:sz w:val="13"/>
                <w:lang w:val="en-AU" w:eastAsia="en-AU"/>
              </w:rPr>
              <w:t>755</w:t>
            </w:r>
          </w:p>
        </w:tc>
        <w:tc>
          <w:tcPr>
            <w:tcW w:w="249" w:type="pct"/>
            <w:tcBorders>
              <w:top w:val="nil"/>
              <w:left w:val="nil"/>
              <w:bottom w:val="nil"/>
              <w:right w:val="single" w:sz="4" w:space="0" w:color="auto"/>
            </w:tcBorders>
            <w:shd w:val="clear" w:color="auto" w:fill="auto"/>
            <w:noWrap/>
            <w:vAlign w:val="bottom"/>
            <w:hideMark/>
          </w:tcPr>
          <w:p w14:paraId="5796AFAC" w14:textId="66B82455"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838.1</w:t>
            </w:r>
          </w:p>
        </w:tc>
        <w:tc>
          <w:tcPr>
            <w:tcW w:w="350" w:type="pct"/>
            <w:tcBorders>
              <w:top w:val="nil"/>
              <w:left w:val="nil"/>
              <w:bottom w:val="nil"/>
              <w:right w:val="nil"/>
            </w:tcBorders>
            <w:shd w:val="clear" w:color="auto" w:fill="auto"/>
            <w:noWrap/>
            <w:vAlign w:val="bottom"/>
            <w:hideMark/>
          </w:tcPr>
          <w:p w14:paraId="4ADE4E72" w14:textId="77777777" w:rsidR="00A61FF5" w:rsidRPr="00040036" w:rsidRDefault="00A61FF5" w:rsidP="00781DCB">
            <w:pPr>
              <w:pStyle w:val="ESTablebody3ptafter"/>
              <w:jc w:val="right"/>
              <w:rPr>
                <w:sz w:val="13"/>
                <w:lang w:val="en-AU" w:eastAsia="en-AU"/>
              </w:rPr>
            </w:pPr>
            <w:r w:rsidRPr="00040036">
              <w:rPr>
                <w:sz w:val="13"/>
                <w:lang w:val="en-AU" w:eastAsia="en-AU"/>
              </w:rPr>
              <w:t>490</w:t>
            </w:r>
          </w:p>
        </w:tc>
        <w:tc>
          <w:tcPr>
            <w:tcW w:w="206" w:type="pct"/>
            <w:tcBorders>
              <w:top w:val="nil"/>
              <w:left w:val="nil"/>
              <w:bottom w:val="nil"/>
              <w:right w:val="single" w:sz="8" w:space="0" w:color="auto"/>
            </w:tcBorders>
            <w:shd w:val="clear" w:color="auto" w:fill="auto"/>
            <w:noWrap/>
            <w:vAlign w:val="bottom"/>
            <w:hideMark/>
          </w:tcPr>
          <w:p w14:paraId="4D745A02" w14:textId="77777777" w:rsidR="00A61FF5" w:rsidRPr="00040036" w:rsidRDefault="00A61FF5" w:rsidP="00781DCB">
            <w:pPr>
              <w:pStyle w:val="ESTablebody3ptafter"/>
              <w:jc w:val="right"/>
              <w:rPr>
                <w:sz w:val="13"/>
                <w:lang w:val="en-AU" w:eastAsia="en-AU"/>
              </w:rPr>
            </w:pPr>
            <w:r w:rsidRPr="00040036">
              <w:rPr>
                <w:sz w:val="13"/>
                <w:lang w:val="en-AU" w:eastAsia="en-AU"/>
              </w:rPr>
              <w:t>427.1</w:t>
            </w:r>
          </w:p>
        </w:tc>
        <w:tc>
          <w:tcPr>
            <w:tcW w:w="350" w:type="pct"/>
            <w:tcBorders>
              <w:top w:val="nil"/>
              <w:left w:val="nil"/>
              <w:bottom w:val="nil"/>
              <w:right w:val="nil"/>
            </w:tcBorders>
            <w:shd w:val="clear" w:color="auto" w:fill="auto"/>
            <w:noWrap/>
            <w:vAlign w:val="bottom"/>
            <w:hideMark/>
          </w:tcPr>
          <w:p w14:paraId="03ADDC77" w14:textId="4156AF70" w:rsidR="00A61FF5" w:rsidRPr="00040036" w:rsidRDefault="00A61FF5" w:rsidP="00781DCB">
            <w:pPr>
              <w:pStyle w:val="ESTablebody3ptafter"/>
              <w:jc w:val="right"/>
              <w:rPr>
                <w:sz w:val="13"/>
                <w:lang w:val="en-AU" w:eastAsia="en-AU"/>
              </w:rPr>
            </w:pPr>
            <w:r w:rsidRPr="00040036">
              <w:rPr>
                <w:sz w:val="13"/>
                <w:lang w:val="en-AU" w:eastAsia="en-AU"/>
              </w:rPr>
              <w:t>2</w:t>
            </w:r>
            <w:r w:rsidR="009452EC" w:rsidRPr="00040036">
              <w:rPr>
                <w:sz w:val="13"/>
                <w:lang w:val="en-AU" w:eastAsia="en-AU"/>
              </w:rPr>
              <w:t>,</w:t>
            </w:r>
            <w:r w:rsidRPr="00040036">
              <w:rPr>
                <w:sz w:val="13"/>
                <w:lang w:val="en-AU" w:eastAsia="en-AU"/>
              </w:rPr>
              <w:t>114</w:t>
            </w:r>
          </w:p>
        </w:tc>
        <w:tc>
          <w:tcPr>
            <w:tcW w:w="249" w:type="pct"/>
            <w:tcBorders>
              <w:top w:val="nil"/>
              <w:left w:val="nil"/>
              <w:bottom w:val="nil"/>
              <w:right w:val="single" w:sz="4" w:space="0" w:color="auto"/>
            </w:tcBorders>
            <w:shd w:val="clear" w:color="auto" w:fill="auto"/>
            <w:noWrap/>
            <w:vAlign w:val="bottom"/>
            <w:hideMark/>
          </w:tcPr>
          <w:p w14:paraId="3FEF7D9F" w14:textId="2F9AB7F4"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824.0</w:t>
            </w:r>
          </w:p>
        </w:tc>
        <w:tc>
          <w:tcPr>
            <w:tcW w:w="379" w:type="pct"/>
            <w:tcBorders>
              <w:top w:val="nil"/>
              <w:left w:val="nil"/>
              <w:bottom w:val="nil"/>
              <w:right w:val="nil"/>
            </w:tcBorders>
            <w:shd w:val="clear" w:color="auto" w:fill="auto"/>
            <w:noWrap/>
            <w:vAlign w:val="bottom"/>
            <w:hideMark/>
          </w:tcPr>
          <w:p w14:paraId="61B32609" w14:textId="2374FCBE"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175</w:t>
            </w:r>
          </w:p>
        </w:tc>
        <w:tc>
          <w:tcPr>
            <w:tcW w:w="379" w:type="pct"/>
            <w:tcBorders>
              <w:top w:val="nil"/>
              <w:left w:val="nil"/>
              <w:bottom w:val="nil"/>
              <w:right w:val="nil"/>
            </w:tcBorders>
            <w:shd w:val="clear" w:color="auto" w:fill="auto"/>
            <w:noWrap/>
            <w:vAlign w:val="bottom"/>
            <w:hideMark/>
          </w:tcPr>
          <w:p w14:paraId="30C708FA" w14:textId="77777777" w:rsidR="00A61FF5" w:rsidRPr="00040036" w:rsidRDefault="00A61FF5" w:rsidP="00781DCB">
            <w:pPr>
              <w:pStyle w:val="ESTablebody3ptafter"/>
              <w:jc w:val="right"/>
              <w:rPr>
                <w:sz w:val="13"/>
                <w:lang w:val="en-AU" w:eastAsia="en-AU"/>
              </w:rPr>
            </w:pPr>
            <w:r w:rsidRPr="00040036">
              <w:rPr>
                <w:sz w:val="13"/>
                <w:lang w:val="en-AU" w:eastAsia="en-AU"/>
              </w:rPr>
              <w:t>707</w:t>
            </w:r>
          </w:p>
        </w:tc>
        <w:tc>
          <w:tcPr>
            <w:tcW w:w="249" w:type="pct"/>
            <w:tcBorders>
              <w:top w:val="nil"/>
              <w:left w:val="nil"/>
              <w:bottom w:val="nil"/>
              <w:right w:val="single" w:sz="4" w:space="0" w:color="auto"/>
            </w:tcBorders>
            <w:shd w:val="clear" w:color="auto" w:fill="auto"/>
            <w:noWrap/>
            <w:vAlign w:val="bottom"/>
            <w:hideMark/>
          </w:tcPr>
          <w:p w14:paraId="5EB03343" w14:textId="7DC494B8"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626.7</w:t>
            </w:r>
          </w:p>
        </w:tc>
        <w:tc>
          <w:tcPr>
            <w:tcW w:w="350" w:type="pct"/>
            <w:tcBorders>
              <w:top w:val="nil"/>
              <w:left w:val="nil"/>
              <w:bottom w:val="nil"/>
              <w:right w:val="nil"/>
            </w:tcBorders>
            <w:shd w:val="clear" w:color="auto" w:fill="auto"/>
            <w:noWrap/>
            <w:vAlign w:val="bottom"/>
            <w:hideMark/>
          </w:tcPr>
          <w:p w14:paraId="28AB8661" w14:textId="77777777" w:rsidR="00A61FF5" w:rsidRPr="00040036" w:rsidRDefault="00A61FF5" w:rsidP="00781DCB">
            <w:pPr>
              <w:pStyle w:val="ESTablebody3ptafter"/>
              <w:jc w:val="right"/>
              <w:rPr>
                <w:sz w:val="13"/>
                <w:lang w:val="en-AU" w:eastAsia="en-AU"/>
              </w:rPr>
            </w:pPr>
            <w:r w:rsidRPr="00040036">
              <w:rPr>
                <w:sz w:val="13"/>
                <w:lang w:val="en-AU" w:eastAsia="en-AU"/>
              </w:rPr>
              <w:t>232</w:t>
            </w:r>
          </w:p>
        </w:tc>
        <w:tc>
          <w:tcPr>
            <w:tcW w:w="201" w:type="pct"/>
            <w:tcBorders>
              <w:top w:val="nil"/>
              <w:left w:val="nil"/>
              <w:bottom w:val="nil"/>
              <w:right w:val="nil"/>
            </w:tcBorders>
            <w:shd w:val="clear" w:color="auto" w:fill="auto"/>
            <w:noWrap/>
            <w:vAlign w:val="bottom"/>
            <w:hideMark/>
          </w:tcPr>
          <w:p w14:paraId="574F0670" w14:textId="77777777" w:rsidR="00A61FF5" w:rsidRPr="00040036" w:rsidRDefault="00A61FF5" w:rsidP="00781DCB">
            <w:pPr>
              <w:pStyle w:val="ESTablebody3ptafter"/>
              <w:jc w:val="right"/>
              <w:rPr>
                <w:sz w:val="13"/>
                <w:lang w:val="en-AU" w:eastAsia="en-AU"/>
              </w:rPr>
            </w:pPr>
            <w:r w:rsidRPr="00040036">
              <w:rPr>
                <w:sz w:val="13"/>
                <w:lang w:val="en-AU" w:eastAsia="en-AU"/>
              </w:rPr>
              <w:t>197.3</w:t>
            </w:r>
          </w:p>
        </w:tc>
      </w:tr>
      <w:tr w:rsidR="00A61FF5" w:rsidRPr="00932A90" w14:paraId="6009ACEF" w14:textId="77777777" w:rsidTr="00D07480">
        <w:trPr>
          <w:trHeight w:hRule="exact" w:val="227"/>
        </w:trPr>
        <w:tc>
          <w:tcPr>
            <w:tcW w:w="154" w:type="pct"/>
            <w:vMerge/>
            <w:tcBorders>
              <w:top w:val="nil"/>
              <w:left w:val="nil"/>
              <w:bottom w:val="single" w:sz="4" w:space="0" w:color="000000"/>
              <w:right w:val="nil"/>
            </w:tcBorders>
            <w:vAlign w:val="center"/>
            <w:hideMark/>
          </w:tcPr>
          <w:p w14:paraId="3961FD1A"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7F37B432" w14:textId="77777777" w:rsidR="00A61FF5" w:rsidRPr="00040036" w:rsidRDefault="00A61FF5" w:rsidP="00D07480">
            <w:pPr>
              <w:pStyle w:val="ESTablebody3ptafter"/>
              <w:rPr>
                <w:b/>
                <w:sz w:val="13"/>
                <w:lang w:val="en-AU" w:eastAsia="en-AU"/>
              </w:rPr>
            </w:pPr>
            <w:r w:rsidRPr="00040036">
              <w:rPr>
                <w:b/>
                <w:sz w:val="13"/>
                <w:lang w:val="en-AU" w:eastAsia="en-AU"/>
              </w:rPr>
              <w:t>Age</w:t>
            </w:r>
          </w:p>
        </w:tc>
        <w:tc>
          <w:tcPr>
            <w:tcW w:w="418" w:type="pct"/>
            <w:tcBorders>
              <w:top w:val="nil"/>
              <w:left w:val="nil"/>
              <w:bottom w:val="nil"/>
              <w:right w:val="nil"/>
            </w:tcBorders>
            <w:shd w:val="clear" w:color="auto" w:fill="auto"/>
            <w:noWrap/>
            <w:vAlign w:val="bottom"/>
            <w:hideMark/>
          </w:tcPr>
          <w:p w14:paraId="1708D5A2" w14:textId="77777777" w:rsidR="00A61FF5" w:rsidRPr="00040036" w:rsidRDefault="00A61FF5" w:rsidP="00781DCB">
            <w:pPr>
              <w:pStyle w:val="ESTablebody3ptafter"/>
              <w:jc w:val="right"/>
              <w:rPr>
                <w:sz w:val="13"/>
                <w:lang w:val="en-AU" w:eastAsia="en-AU"/>
              </w:rPr>
            </w:pPr>
          </w:p>
        </w:tc>
        <w:tc>
          <w:tcPr>
            <w:tcW w:w="250" w:type="pct"/>
            <w:tcBorders>
              <w:top w:val="nil"/>
              <w:left w:val="nil"/>
              <w:bottom w:val="nil"/>
              <w:right w:val="single" w:sz="4" w:space="0" w:color="auto"/>
            </w:tcBorders>
            <w:shd w:val="clear" w:color="auto" w:fill="auto"/>
            <w:noWrap/>
            <w:vAlign w:val="bottom"/>
            <w:hideMark/>
          </w:tcPr>
          <w:p w14:paraId="48F857E1" w14:textId="0BC945E6" w:rsidR="00A61FF5" w:rsidRPr="00040036" w:rsidRDefault="00A61FF5" w:rsidP="00781DCB">
            <w:pPr>
              <w:pStyle w:val="ESTablebody3ptafter"/>
              <w:jc w:val="right"/>
              <w:rPr>
                <w:sz w:val="13"/>
                <w:lang w:val="en-AU" w:eastAsia="en-AU"/>
              </w:rPr>
            </w:pPr>
          </w:p>
        </w:tc>
        <w:tc>
          <w:tcPr>
            <w:tcW w:w="379" w:type="pct"/>
            <w:tcBorders>
              <w:top w:val="nil"/>
              <w:left w:val="nil"/>
              <w:bottom w:val="nil"/>
              <w:right w:val="nil"/>
            </w:tcBorders>
            <w:shd w:val="clear" w:color="auto" w:fill="auto"/>
            <w:noWrap/>
            <w:vAlign w:val="bottom"/>
            <w:hideMark/>
          </w:tcPr>
          <w:p w14:paraId="7A503D22" w14:textId="77777777" w:rsidR="00A61FF5" w:rsidRPr="00040036" w:rsidRDefault="00A61FF5" w:rsidP="00781DCB">
            <w:pPr>
              <w:pStyle w:val="ESTablebody3ptafter"/>
              <w:jc w:val="right"/>
              <w:rPr>
                <w:sz w:val="13"/>
                <w:lang w:val="en-AU" w:eastAsia="en-AU"/>
              </w:rPr>
            </w:pPr>
          </w:p>
        </w:tc>
        <w:tc>
          <w:tcPr>
            <w:tcW w:w="379" w:type="pct"/>
            <w:tcBorders>
              <w:top w:val="nil"/>
              <w:left w:val="nil"/>
              <w:bottom w:val="nil"/>
              <w:right w:val="nil"/>
            </w:tcBorders>
            <w:shd w:val="clear" w:color="auto" w:fill="auto"/>
            <w:noWrap/>
            <w:vAlign w:val="bottom"/>
            <w:hideMark/>
          </w:tcPr>
          <w:p w14:paraId="73463EDB" w14:textId="77777777" w:rsidR="00A61FF5" w:rsidRPr="00040036" w:rsidRDefault="00A61FF5" w:rsidP="00781DCB">
            <w:pPr>
              <w:pStyle w:val="ESTablebody3ptafter"/>
              <w:jc w:val="right"/>
              <w:rPr>
                <w:sz w:val="13"/>
                <w:lang w:val="en-AU" w:eastAsia="en-AU"/>
              </w:rPr>
            </w:pPr>
          </w:p>
        </w:tc>
        <w:tc>
          <w:tcPr>
            <w:tcW w:w="249" w:type="pct"/>
            <w:tcBorders>
              <w:top w:val="nil"/>
              <w:left w:val="nil"/>
              <w:bottom w:val="nil"/>
              <w:right w:val="single" w:sz="4" w:space="0" w:color="auto"/>
            </w:tcBorders>
            <w:shd w:val="clear" w:color="auto" w:fill="auto"/>
            <w:noWrap/>
            <w:vAlign w:val="bottom"/>
            <w:hideMark/>
          </w:tcPr>
          <w:p w14:paraId="68E63AFC" w14:textId="77777777" w:rsidR="00A61FF5" w:rsidRPr="00040036" w:rsidRDefault="00A61FF5" w:rsidP="00781DCB">
            <w:pPr>
              <w:pStyle w:val="ESTablebody3ptafter"/>
              <w:jc w:val="right"/>
              <w:rPr>
                <w:sz w:val="13"/>
                <w:lang w:val="en-AU" w:eastAsia="en-AU"/>
              </w:rPr>
            </w:pPr>
            <w:r w:rsidRPr="00040036">
              <w:rPr>
                <w:sz w:val="13"/>
                <w:lang w:val="en-AU" w:eastAsia="en-AU"/>
              </w:rPr>
              <w:t> </w:t>
            </w:r>
          </w:p>
        </w:tc>
        <w:tc>
          <w:tcPr>
            <w:tcW w:w="350" w:type="pct"/>
            <w:tcBorders>
              <w:top w:val="nil"/>
              <w:left w:val="nil"/>
              <w:bottom w:val="nil"/>
              <w:right w:val="nil"/>
            </w:tcBorders>
            <w:shd w:val="clear" w:color="auto" w:fill="auto"/>
            <w:noWrap/>
            <w:vAlign w:val="bottom"/>
            <w:hideMark/>
          </w:tcPr>
          <w:p w14:paraId="6371D73F" w14:textId="77777777" w:rsidR="00A61FF5" w:rsidRPr="00040036" w:rsidRDefault="00A61FF5" w:rsidP="00781DCB">
            <w:pPr>
              <w:pStyle w:val="ESTablebody3ptafter"/>
              <w:jc w:val="right"/>
              <w:rPr>
                <w:sz w:val="13"/>
                <w:lang w:val="en-AU" w:eastAsia="en-AU"/>
              </w:rPr>
            </w:pPr>
          </w:p>
        </w:tc>
        <w:tc>
          <w:tcPr>
            <w:tcW w:w="206" w:type="pct"/>
            <w:tcBorders>
              <w:top w:val="nil"/>
              <w:left w:val="nil"/>
              <w:bottom w:val="nil"/>
              <w:right w:val="single" w:sz="8" w:space="0" w:color="auto"/>
            </w:tcBorders>
            <w:shd w:val="clear" w:color="auto" w:fill="auto"/>
            <w:noWrap/>
            <w:vAlign w:val="bottom"/>
            <w:hideMark/>
          </w:tcPr>
          <w:p w14:paraId="215B75D6" w14:textId="563D6144" w:rsidR="00A61FF5" w:rsidRPr="00040036" w:rsidRDefault="00A61FF5" w:rsidP="00781DCB">
            <w:pPr>
              <w:pStyle w:val="ESTablebody3ptafter"/>
              <w:jc w:val="right"/>
              <w:rPr>
                <w:sz w:val="13"/>
                <w:lang w:val="en-AU" w:eastAsia="en-AU"/>
              </w:rPr>
            </w:pPr>
          </w:p>
        </w:tc>
        <w:tc>
          <w:tcPr>
            <w:tcW w:w="350" w:type="pct"/>
            <w:tcBorders>
              <w:top w:val="nil"/>
              <w:left w:val="nil"/>
              <w:bottom w:val="nil"/>
              <w:right w:val="nil"/>
            </w:tcBorders>
            <w:shd w:val="clear" w:color="auto" w:fill="auto"/>
            <w:noWrap/>
            <w:vAlign w:val="bottom"/>
            <w:hideMark/>
          </w:tcPr>
          <w:p w14:paraId="4CC46670" w14:textId="77777777" w:rsidR="00A61FF5" w:rsidRPr="00040036" w:rsidRDefault="00A61FF5" w:rsidP="00781DCB">
            <w:pPr>
              <w:pStyle w:val="ESTablebody3ptafter"/>
              <w:jc w:val="right"/>
              <w:rPr>
                <w:sz w:val="13"/>
                <w:lang w:val="en-AU" w:eastAsia="en-AU"/>
              </w:rPr>
            </w:pPr>
          </w:p>
        </w:tc>
        <w:tc>
          <w:tcPr>
            <w:tcW w:w="249" w:type="pct"/>
            <w:tcBorders>
              <w:top w:val="nil"/>
              <w:left w:val="nil"/>
              <w:bottom w:val="nil"/>
              <w:right w:val="single" w:sz="4" w:space="0" w:color="auto"/>
            </w:tcBorders>
            <w:shd w:val="clear" w:color="auto" w:fill="auto"/>
            <w:noWrap/>
            <w:vAlign w:val="bottom"/>
            <w:hideMark/>
          </w:tcPr>
          <w:p w14:paraId="259AAC68" w14:textId="77777777" w:rsidR="00A61FF5" w:rsidRPr="00040036" w:rsidRDefault="00A61FF5" w:rsidP="00781DCB">
            <w:pPr>
              <w:pStyle w:val="ESTablebody3ptafter"/>
              <w:jc w:val="right"/>
              <w:rPr>
                <w:sz w:val="13"/>
                <w:lang w:val="en-AU" w:eastAsia="en-AU"/>
              </w:rPr>
            </w:pPr>
            <w:r w:rsidRPr="00040036">
              <w:rPr>
                <w:sz w:val="13"/>
                <w:lang w:val="en-AU" w:eastAsia="en-AU"/>
              </w:rPr>
              <w:t> </w:t>
            </w:r>
          </w:p>
        </w:tc>
        <w:tc>
          <w:tcPr>
            <w:tcW w:w="379" w:type="pct"/>
            <w:tcBorders>
              <w:top w:val="nil"/>
              <w:left w:val="nil"/>
              <w:bottom w:val="nil"/>
              <w:right w:val="nil"/>
            </w:tcBorders>
            <w:shd w:val="clear" w:color="auto" w:fill="auto"/>
            <w:noWrap/>
            <w:vAlign w:val="bottom"/>
            <w:hideMark/>
          </w:tcPr>
          <w:p w14:paraId="39D4E3D4" w14:textId="77777777" w:rsidR="00A61FF5" w:rsidRPr="00040036" w:rsidRDefault="00A61FF5" w:rsidP="00781DCB">
            <w:pPr>
              <w:pStyle w:val="ESTablebody3ptafter"/>
              <w:jc w:val="right"/>
              <w:rPr>
                <w:sz w:val="13"/>
                <w:lang w:val="en-AU" w:eastAsia="en-AU"/>
              </w:rPr>
            </w:pPr>
          </w:p>
        </w:tc>
        <w:tc>
          <w:tcPr>
            <w:tcW w:w="379" w:type="pct"/>
            <w:tcBorders>
              <w:top w:val="nil"/>
              <w:left w:val="nil"/>
              <w:bottom w:val="nil"/>
              <w:right w:val="nil"/>
            </w:tcBorders>
            <w:shd w:val="clear" w:color="auto" w:fill="auto"/>
            <w:noWrap/>
            <w:vAlign w:val="bottom"/>
            <w:hideMark/>
          </w:tcPr>
          <w:p w14:paraId="373511E2" w14:textId="77777777" w:rsidR="00A61FF5" w:rsidRPr="00040036" w:rsidRDefault="00A61FF5" w:rsidP="00781DCB">
            <w:pPr>
              <w:pStyle w:val="ESTablebody3ptafter"/>
              <w:jc w:val="right"/>
              <w:rPr>
                <w:sz w:val="13"/>
                <w:lang w:val="en-AU" w:eastAsia="en-AU"/>
              </w:rPr>
            </w:pPr>
          </w:p>
        </w:tc>
        <w:tc>
          <w:tcPr>
            <w:tcW w:w="249" w:type="pct"/>
            <w:tcBorders>
              <w:top w:val="nil"/>
              <w:left w:val="nil"/>
              <w:bottom w:val="nil"/>
              <w:right w:val="single" w:sz="4" w:space="0" w:color="auto"/>
            </w:tcBorders>
            <w:shd w:val="clear" w:color="auto" w:fill="auto"/>
            <w:noWrap/>
            <w:vAlign w:val="bottom"/>
            <w:hideMark/>
          </w:tcPr>
          <w:p w14:paraId="09FBEB17" w14:textId="77777777" w:rsidR="00A61FF5" w:rsidRPr="00040036" w:rsidRDefault="00A61FF5" w:rsidP="00781DCB">
            <w:pPr>
              <w:pStyle w:val="ESTablebody3ptafter"/>
              <w:jc w:val="right"/>
              <w:rPr>
                <w:sz w:val="13"/>
                <w:lang w:val="en-AU" w:eastAsia="en-AU"/>
              </w:rPr>
            </w:pPr>
            <w:r w:rsidRPr="00040036">
              <w:rPr>
                <w:sz w:val="13"/>
                <w:lang w:val="en-AU" w:eastAsia="en-AU"/>
              </w:rPr>
              <w:t> </w:t>
            </w:r>
          </w:p>
        </w:tc>
        <w:tc>
          <w:tcPr>
            <w:tcW w:w="350" w:type="pct"/>
            <w:tcBorders>
              <w:top w:val="nil"/>
              <w:left w:val="nil"/>
              <w:bottom w:val="nil"/>
              <w:right w:val="nil"/>
            </w:tcBorders>
            <w:shd w:val="clear" w:color="auto" w:fill="auto"/>
            <w:noWrap/>
            <w:vAlign w:val="bottom"/>
            <w:hideMark/>
          </w:tcPr>
          <w:p w14:paraId="2076789F" w14:textId="77777777" w:rsidR="00A61FF5" w:rsidRPr="00040036" w:rsidRDefault="00A61FF5" w:rsidP="00781DCB">
            <w:pPr>
              <w:pStyle w:val="ESTablebody3ptafter"/>
              <w:jc w:val="right"/>
              <w:rPr>
                <w:sz w:val="13"/>
                <w:lang w:val="en-AU" w:eastAsia="en-AU"/>
              </w:rPr>
            </w:pPr>
          </w:p>
        </w:tc>
        <w:tc>
          <w:tcPr>
            <w:tcW w:w="201" w:type="pct"/>
            <w:tcBorders>
              <w:top w:val="nil"/>
              <w:left w:val="nil"/>
              <w:bottom w:val="nil"/>
              <w:right w:val="nil"/>
            </w:tcBorders>
            <w:shd w:val="clear" w:color="auto" w:fill="auto"/>
            <w:noWrap/>
            <w:vAlign w:val="bottom"/>
            <w:hideMark/>
          </w:tcPr>
          <w:p w14:paraId="7BFE2621" w14:textId="77777777" w:rsidR="00A61FF5" w:rsidRPr="00040036" w:rsidRDefault="00A61FF5" w:rsidP="00781DCB">
            <w:pPr>
              <w:pStyle w:val="ESTablebody3ptafter"/>
              <w:jc w:val="right"/>
              <w:rPr>
                <w:sz w:val="13"/>
                <w:lang w:val="en-AU" w:eastAsia="en-AU"/>
              </w:rPr>
            </w:pPr>
          </w:p>
        </w:tc>
      </w:tr>
      <w:tr w:rsidR="00A61FF5" w:rsidRPr="00932A90" w14:paraId="325E71D2" w14:textId="77777777" w:rsidTr="00D07480">
        <w:trPr>
          <w:trHeight w:hRule="exact" w:val="227"/>
        </w:trPr>
        <w:tc>
          <w:tcPr>
            <w:tcW w:w="154" w:type="pct"/>
            <w:vMerge/>
            <w:tcBorders>
              <w:top w:val="nil"/>
              <w:left w:val="nil"/>
              <w:bottom w:val="single" w:sz="4" w:space="0" w:color="000000"/>
              <w:right w:val="nil"/>
            </w:tcBorders>
            <w:vAlign w:val="center"/>
            <w:hideMark/>
          </w:tcPr>
          <w:p w14:paraId="6E3C2ADB"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15451231" w14:textId="77777777" w:rsidR="00A61FF5" w:rsidRPr="00040036" w:rsidRDefault="00A61FF5" w:rsidP="00D07480">
            <w:pPr>
              <w:pStyle w:val="ESTablebody3ptafter"/>
              <w:rPr>
                <w:sz w:val="13"/>
                <w:lang w:val="en-AU" w:eastAsia="en-AU"/>
              </w:rPr>
            </w:pPr>
            <w:r w:rsidRPr="00040036">
              <w:rPr>
                <w:sz w:val="13"/>
                <w:lang w:val="en-AU" w:eastAsia="en-AU"/>
              </w:rPr>
              <w:t>Under 25</w:t>
            </w:r>
          </w:p>
        </w:tc>
        <w:tc>
          <w:tcPr>
            <w:tcW w:w="418" w:type="pct"/>
            <w:tcBorders>
              <w:top w:val="nil"/>
              <w:left w:val="nil"/>
              <w:bottom w:val="nil"/>
              <w:right w:val="nil"/>
            </w:tcBorders>
            <w:shd w:val="clear" w:color="auto" w:fill="auto"/>
            <w:noWrap/>
            <w:vAlign w:val="bottom"/>
            <w:hideMark/>
          </w:tcPr>
          <w:p w14:paraId="15D79461" w14:textId="77777777" w:rsidR="00A61FF5" w:rsidRPr="00040036" w:rsidRDefault="00A61FF5" w:rsidP="00781DCB">
            <w:pPr>
              <w:pStyle w:val="ESTablebody3ptafter"/>
              <w:jc w:val="right"/>
              <w:rPr>
                <w:sz w:val="13"/>
                <w:lang w:val="en-AU" w:eastAsia="en-AU"/>
              </w:rPr>
            </w:pPr>
            <w:r w:rsidRPr="00040036">
              <w:rPr>
                <w:sz w:val="13"/>
                <w:lang w:val="en-AU" w:eastAsia="en-AU"/>
              </w:rPr>
              <w:t>66</w:t>
            </w:r>
          </w:p>
        </w:tc>
        <w:tc>
          <w:tcPr>
            <w:tcW w:w="250" w:type="pct"/>
            <w:tcBorders>
              <w:top w:val="nil"/>
              <w:left w:val="nil"/>
              <w:bottom w:val="nil"/>
              <w:right w:val="single" w:sz="4" w:space="0" w:color="auto"/>
            </w:tcBorders>
            <w:shd w:val="clear" w:color="auto" w:fill="auto"/>
            <w:noWrap/>
            <w:vAlign w:val="bottom"/>
            <w:hideMark/>
          </w:tcPr>
          <w:p w14:paraId="0A641805" w14:textId="77777777" w:rsidR="00A61FF5" w:rsidRPr="00040036" w:rsidRDefault="00A61FF5" w:rsidP="00781DCB">
            <w:pPr>
              <w:pStyle w:val="ESTablebody3ptafter"/>
              <w:jc w:val="right"/>
              <w:rPr>
                <w:sz w:val="13"/>
                <w:lang w:val="en-AU" w:eastAsia="en-AU"/>
              </w:rPr>
            </w:pPr>
            <w:r w:rsidRPr="00040036">
              <w:rPr>
                <w:sz w:val="13"/>
                <w:lang w:val="en-AU" w:eastAsia="en-AU"/>
              </w:rPr>
              <w:t>59.3</w:t>
            </w:r>
          </w:p>
        </w:tc>
        <w:tc>
          <w:tcPr>
            <w:tcW w:w="379" w:type="pct"/>
            <w:tcBorders>
              <w:top w:val="nil"/>
              <w:left w:val="nil"/>
              <w:bottom w:val="nil"/>
              <w:right w:val="nil"/>
            </w:tcBorders>
            <w:shd w:val="clear" w:color="auto" w:fill="auto"/>
            <w:noWrap/>
            <w:vAlign w:val="bottom"/>
            <w:hideMark/>
          </w:tcPr>
          <w:p w14:paraId="3CFA35EF" w14:textId="77777777" w:rsidR="00A61FF5" w:rsidRPr="00040036" w:rsidRDefault="00A61FF5" w:rsidP="00781DCB">
            <w:pPr>
              <w:pStyle w:val="ESTablebody3ptafter"/>
              <w:jc w:val="right"/>
              <w:rPr>
                <w:sz w:val="13"/>
                <w:lang w:val="en-AU" w:eastAsia="en-AU"/>
              </w:rPr>
            </w:pPr>
            <w:r w:rsidRPr="00040036">
              <w:rPr>
                <w:sz w:val="13"/>
                <w:lang w:val="en-AU" w:eastAsia="en-AU"/>
              </w:rPr>
              <w:t>27</w:t>
            </w:r>
          </w:p>
        </w:tc>
        <w:tc>
          <w:tcPr>
            <w:tcW w:w="379" w:type="pct"/>
            <w:tcBorders>
              <w:top w:val="nil"/>
              <w:left w:val="nil"/>
              <w:bottom w:val="nil"/>
              <w:right w:val="nil"/>
            </w:tcBorders>
            <w:shd w:val="clear" w:color="auto" w:fill="auto"/>
            <w:noWrap/>
            <w:vAlign w:val="bottom"/>
            <w:hideMark/>
          </w:tcPr>
          <w:p w14:paraId="65F3DB8D" w14:textId="77777777" w:rsidR="00A61FF5" w:rsidRPr="00040036" w:rsidRDefault="00A61FF5" w:rsidP="00781DCB">
            <w:pPr>
              <w:pStyle w:val="ESTablebody3ptafter"/>
              <w:jc w:val="right"/>
              <w:rPr>
                <w:sz w:val="13"/>
                <w:lang w:val="en-AU" w:eastAsia="en-AU"/>
              </w:rPr>
            </w:pPr>
            <w:r w:rsidRPr="00040036">
              <w:rPr>
                <w:sz w:val="13"/>
                <w:lang w:val="en-AU" w:eastAsia="en-AU"/>
              </w:rPr>
              <w:t>1</w:t>
            </w:r>
          </w:p>
        </w:tc>
        <w:tc>
          <w:tcPr>
            <w:tcW w:w="249" w:type="pct"/>
            <w:tcBorders>
              <w:top w:val="nil"/>
              <w:left w:val="nil"/>
              <w:bottom w:val="nil"/>
              <w:right w:val="single" w:sz="4" w:space="0" w:color="auto"/>
            </w:tcBorders>
            <w:shd w:val="clear" w:color="auto" w:fill="auto"/>
            <w:noWrap/>
            <w:vAlign w:val="bottom"/>
            <w:hideMark/>
          </w:tcPr>
          <w:p w14:paraId="573AA63C" w14:textId="77777777" w:rsidR="00A61FF5" w:rsidRPr="00040036" w:rsidRDefault="00A61FF5" w:rsidP="00781DCB">
            <w:pPr>
              <w:pStyle w:val="ESTablebody3ptafter"/>
              <w:jc w:val="right"/>
              <w:rPr>
                <w:sz w:val="13"/>
                <w:lang w:val="en-AU" w:eastAsia="en-AU"/>
              </w:rPr>
            </w:pPr>
            <w:r w:rsidRPr="00040036">
              <w:rPr>
                <w:sz w:val="13"/>
                <w:lang w:val="en-AU" w:eastAsia="en-AU"/>
              </w:rPr>
              <w:t>27.6</w:t>
            </w:r>
          </w:p>
        </w:tc>
        <w:tc>
          <w:tcPr>
            <w:tcW w:w="350" w:type="pct"/>
            <w:tcBorders>
              <w:top w:val="nil"/>
              <w:left w:val="nil"/>
              <w:bottom w:val="nil"/>
              <w:right w:val="nil"/>
            </w:tcBorders>
            <w:shd w:val="clear" w:color="auto" w:fill="auto"/>
            <w:noWrap/>
            <w:vAlign w:val="bottom"/>
            <w:hideMark/>
          </w:tcPr>
          <w:p w14:paraId="000828DD" w14:textId="77777777" w:rsidR="00A61FF5" w:rsidRPr="00040036" w:rsidRDefault="00A61FF5" w:rsidP="00781DCB">
            <w:pPr>
              <w:pStyle w:val="ESTablebody3ptafter"/>
              <w:jc w:val="right"/>
              <w:rPr>
                <w:sz w:val="13"/>
                <w:lang w:val="en-AU" w:eastAsia="en-AU"/>
              </w:rPr>
            </w:pPr>
            <w:r w:rsidRPr="00040036">
              <w:rPr>
                <w:sz w:val="13"/>
                <w:lang w:val="en-AU" w:eastAsia="en-AU"/>
              </w:rPr>
              <w:t>38</w:t>
            </w:r>
          </w:p>
        </w:tc>
        <w:tc>
          <w:tcPr>
            <w:tcW w:w="206" w:type="pct"/>
            <w:tcBorders>
              <w:top w:val="nil"/>
              <w:left w:val="nil"/>
              <w:bottom w:val="nil"/>
              <w:right w:val="single" w:sz="8" w:space="0" w:color="auto"/>
            </w:tcBorders>
            <w:shd w:val="clear" w:color="auto" w:fill="auto"/>
            <w:noWrap/>
            <w:vAlign w:val="bottom"/>
            <w:hideMark/>
          </w:tcPr>
          <w:p w14:paraId="54144A53" w14:textId="77777777" w:rsidR="00A61FF5" w:rsidRPr="00040036" w:rsidRDefault="00A61FF5" w:rsidP="00781DCB">
            <w:pPr>
              <w:pStyle w:val="ESTablebody3ptafter"/>
              <w:jc w:val="right"/>
              <w:rPr>
                <w:sz w:val="13"/>
                <w:lang w:val="en-AU" w:eastAsia="en-AU"/>
              </w:rPr>
            </w:pPr>
            <w:r w:rsidRPr="00040036">
              <w:rPr>
                <w:sz w:val="13"/>
                <w:lang w:val="en-AU" w:eastAsia="en-AU"/>
              </w:rPr>
              <w:t>31.7</w:t>
            </w:r>
          </w:p>
        </w:tc>
        <w:tc>
          <w:tcPr>
            <w:tcW w:w="350" w:type="pct"/>
            <w:tcBorders>
              <w:top w:val="nil"/>
              <w:left w:val="nil"/>
              <w:bottom w:val="nil"/>
              <w:right w:val="nil"/>
            </w:tcBorders>
            <w:shd w:val="clear" w:color="auto" w:fill="auto"/>
            <w:noWrap/>
            <w:vAlign w:val="bottom"/>
            <w:hideMark/>
          </w:tcPr>
          <w:p w14:paraId="29743A28" w14:textId="77777777" w:rsidR="00A61FF5" w:rsidRPr="00040036" w:rsidRDefault="00A61FF5" w:rsidP="00781DCB">
            <w:pPr>
              <w:pStyle w:val="ESTablebody3ptafter"/>
              <w:jc w:val="right"/>
              <w:rPr>
                <w:sz w:val="13"/>
                <w:lang w:val="en-AU" w:eastAsia="en-AU"/>
              </w:rPr>
            </w:pPr>
            <w:r w:rsidRPr="00040036">
              <w:rPr>
                <w:sz w:val="13"/>
                <w:lang w:val="en-AU" w:eastAsia="en-AU"/>
              </w:rPr>
              <w:t>33</w:t>
            </w:r>
          </w:p>
        </w:tc>
        <w:tc>
          <w:tcPr>
            <w:tcW w:w="249" w:type="pct"/>
            <w:tcBorders>
              <w:top w:val="nil"/>
              <w:left w:val="nil"/>
              <w:bottom w:val="nil"/>
              <w:right w:val="single" w:sz="4" w:space="0" w:color="auto"/>
            </w:tcBorders>
            <w:shd w:val="clear" w:color="auto" w:fill="auto"/>
            <w:noWrap/>
            <w:vAlign w:val="bottom"/>
            <w:hideMark/>
          </w:tcPr>
          <w:p w14:paraId="6AE7D623" w14:textId="77777777" w:rsidR="00A61FF5" w:rsidRPr="00040036" w:rsidRDefault="00A61FF5" w:rsidP="00781DCB">
            <w:pPr>
              <w:pStyle w:val="ESTablebody3ptafter"/>
              <w:jc w:val="right"/>
              <w:rPr>
                <w:sz w:val="13"/>
                <w:lang w:val="en-AU" w:eastAsia="en-AU"/>
              </w:rPr>
            </w:pPr>
            <w:r w:rsidRPr="00040036">
              <w:rPr>
                <w:sz w:val="13"/>
                <w:lang w:val="en-AU" w:eastAsia="en-AU"/>
              </w:rPr>
              <w:t>29.3</w:t>
            </w:r>
          </w:p>
        </w:tc>
        <w:tc>
          <w:tcPr>
            <w:tcW w:w="379" w:type="pct"/>
            <w:tcBorders>
              <w:top w:val="nil"/>
              <w:left w:val="nil"/>
              <w:bottom w:val="nil"/>
              <w:right w:val="nil"/>
            </w:tcBorders>
            <w:shd w:val="clear" w:color="auto" w:fill="auto"/>
            <w:noWrap/>
            <w:vAlign w:val="bottom"/>
            <w:hideMark/>
          </w:tcPr>
          <w:p w14:paraId="5B0EF31A" w14:textId="77777777" w:rsidR="00A61FF5" w:rsidRPr="00040036" w:rsidRDefault="00A61FF5" w:rsidP="00781DCB">
            <w:pPr>
              <w:pStyle w:val="ESTablebody3ptafter"/>
              <w:jc w:val="right"/>
              <w:rPr>
                <w:sz w:val="13"/>
                <w:lang w:val="en-AU" w:eastAsia="en-AU"/>
              </w:rPr>
            </w:pPr>
            <w:r w:rsidRPr="00040036">
              <w:rPr>
                <w:sz w:val="13"/>
                <w:lang w:val="en-AU" w:eastAsia="en-AU"/>
              </w:rPr>
              <w:t>17</w:t>
            </w:r>
          </w:p>
        </w:tc>
        <w:tc>
          <w:tcPr>
            <w:tcW w:w="379" w:type="pct"/>
            <w:tcBorders>
              <w:top w:val="nil"/>
              <w:left w:val="nil"/>
              <w:bottom w:val="nil"/>
              <w:right w:val="nil"/>
            </w:tcBorders>
            <w:shd w:val="clear" w:color="auto" w:fill="auto"/>
            <w:noWrap/>
            <w:vAlign w:val="bottom"/>
            <w:hideMark/>
          </w:tcPr>
          <w:p w14:paraId="679105FC" w14:textId="77777777" w:rsidR="00A61FF5" w:rsidRPr="00040036" w:rsidRDefault="00A61FF5" w:rsidP="00781DCB">
            <w:pPr>
              <w:pStyle w:val="ESTablebody3ptafter"/>
              <w:jc w:val="right"/>
              <w:rPr>
                <w:sz w:val="13"/>
                <w:lang w:val="en-AU" w:eastAsia="en-AU"/>
              </w:rPr>
            </w:pPr>
            <w:r w:rsidRPr="00040036">
              <w:rPr>
                <w:sz w:val="13"/>
                <w:lang w:val="en-AU" w:eastAsia="en-AU"/>
              </w:rPr>
              <w:t>1</w:t>
            </w:r>
          </w:p>
        </w:tc>
        <w:tc>
          <w:tcPr>
            <w:tcW w:w="249" w:type="pct"/>
            <w:tcBorders>
              <w:top w:val="nil"/>
              <w:left w:val="nil"/>
              <w:bottom w:val="nil"/>
              <w:right w:val="single" w:sz="4" w:space="0" w:color="auto"/>
            </w:tcBorders>
            <w:shd w:val="clear" w:color="auto" w:fill="auto"/>
            <w:noWrap/>
            <w:vAlign w:val="bottom"/>
            <w:hideMark/>
          </w:tcPr>
          <w:p w14:paraId="419F70B5" w14:textId="77777777" w:rsidR="00A61FF5" w:rsidRPr="00040036" w:rsidRDefault="00A61FF5" w:rsidP="00781DCB">
            <w:pPr>
              <w:pStyle w:val="ESTablebody3ptafter"/>
              <w:jc w:val="right"/>
              <w:rPr>
                <w:sz w:val="13"/>
                <w:lang w:val="en-AU" w:eastAsia="en-AU"/>
              </w:rPr>
            </w:pPr>
            <w:r w:rsidRPr="00040036">
              <w:rPr>
                <w:sz w:val="13"/>
                <w:lang w:val="en-AU" w:eastAsia="en-AU"/>
              </w:rPr>
              <w:t>17.6</w:t>
            </w:r>
          </w:p>
        </w:tc>
        <w:tc>
          <w:tcPr>
            <w:tcW w:w="350" w:type="pct"/>
            <w:tcBorders>
              <w:top w:val="nil"/>
              <w:left w:val="nil"/>
              <w:bottom w:val="nil"/>
              <w:right w:val="nil"/>
            </w:tcBorders>
            <w:shd w:val="clear" w:color="auto" w:fill="auto"/>
            <w:noWrap/>
            <w:vAlign w:val="bottom"/>
            <w:hideMark/>
          </w:tcPr>
          <w:p w14:paraId="1CB3B9A1" w14:textId="77777777" w:rsidR="00A61FF5" w:rsidRPr="00040036" w:rsidRDefault="00A61FF5" w:rsidP="00781DCB">
            <w:pPr>
              <w:pStyle w:val="ESTablebody3ptafter"/>
              <w:jc w:val="right"/>
              <w:rPr>
                <w:sz w:val="13"/>
                <w:lang w:val="en-AU" w:eastAsia="en-AU"/>
              </w:rPr>
            </w:pPr>
            <w:r w:rsidRPr="00040036">
              <w:rPr>
                <w:sz w:val="13"/>
                <w:lang w:val="en-AU" w:eastAsia="en-AU"/>
              </w:rPr>
              <w:t>15</w:t>
            </w:r>
          </w:p>
        </w:tc>
        <w:tc>
          <w:tcPr>
            <w:tcW w:w="201" w:type="pct"/>
            <w:tcBorders>
              <w:top w:val="nil"/>
              <w:left w:val="nil"/>
              <w:bottom w:val="nil"/>
              <w:right w:val="nil"/>
            </w:tcBorders>
            <w:shd w:val="clear" w:color="auto" w:fill="auto"/>
            <w:noWrap/>
            <w:vAlign w:val="bottom"/>
            <w:hideMark/>
          </w:tcPr>
          <w:p w14:paraId="35E52237" w14:textId="77777777" w:rsidR="00A61FF5" w:rsidRPr="00040036" w:rsidRDefault="00A61FF5" w:rsidP="00781DCB">
            <w:pPr>
              <w:pStyle w:val="ESTablebody3ptafter"/>
              <w:jc w:val="right"/>
              <w:rPr>
                <w:sz w:val="13"/>
                <w:lang w:val="en-AU" w:eastAsia="en-AU"/>
              </w:rPr>
            </w:pPr>
            <w:r w:rsidRPr="00040036">
              <w:rPr>
                <w:sz w:val="13"/>
                <w:lang w:val="en-AU" w:eastAsia="en-AU"/>
              </w:rPr>
              <w:t>11.7</w:t>
            </w:r>
          </w:p>
        </w:tc>
      </w:tr>
      <w:tr w:rsidR="00A61FF5" w:rsidRPr="00932A90" w14:paraId="4AACABD4" w14:textId="77777777" w:rsidTr="00D07480">
        <w:trPr>
          <w:trHeight w:hRule="exact" w:val="227"/>
        </w:trPr>
        <w:tc>
          <w:tcPr>
            <w:tcW w:w="154" w:type="pct"/>
            <w:vMerge/>
            <w:tcBorders>
              <w:top w:val="nil"/>
              <w:left w:val="nil"/>
              <w:bottom w:val="single" w:sz="4" w:space="0" w:color="000000"/>
              <w:right w:val="nil"/>
            </w:tcBorders>
            <w:vAlign w:val="center"/>
            <w:hideMark/>
          </w:tcPr>
          <w:p w14:paraId="6C4156F5"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21B1F4C2" w14:textId="2C5A48A6" w:rsidR="00A61FF5" w:rsidRPr="00040036" w:rsidRDefault="00A61FF5" w:rsidP="008C1498">
            <w:pPr>
              <w:pStyle w:val="ESTablebody3ptafter"/>
              <w:rPr>
                <w:sz w:val="13"/>
                <w:lang w:val="en-AU" w:eastAsia="en-AU"/>
              </w:rPr>
            </w:pPr>
            <w:r w:rsidRPr="00040036">
              <w:rPr>
                <w:sz w:val="13"/>
                <w:lang w:val="en-AU" w:eastAsia="en-AU"/>
              </w:rPr>
              <w:t>25</w:t>
            </w:r>
            <w:r w:rsidR="008C1498" w:rsidRPr="00040036">
              <w:rPr>
                <w:sz w:val="13"/>
                <w:lang w:val="en-AU" w:eastAsia="en-AU"/>
              </w:rPr>
              <w:t>–</w:t>
            </w:r>
            <w:r w:rsidRPr="00040036">
              <w:rPr>
                <w:sz w:val="13"/>
                <w:lang w:val="en-AU" w:eastAsia="en-AU"/>
              </w:rPr>
              <w:t>34</w:t>
            </w:r>
          </w:p>
        </w:tc>
        <w:tc>
          <w:tcPr>
            <w:tcW w:w="418" w:type="pct"/>
            <w:tcBorders>
              <w:top w:val="nil"/>
              <w:left w:val="nil"/>
              <w:bottom w:val="nil"/>
              <w:right w:val="nil"/>
            </w:tcBorders>
            <w:shd w:val="clear" w:color="auto" w:fill="auto"/>
            <w:noWrap/>
            <w:vAlign w:val="bottom"/>
            <w:hideMark/>
          </w:tcPr>
          <w:p w14:paraId="430784C7" w14:textId="77777777" w:rsidR="00A61FF5" w:rsidRPr="00040036" w:rsidRDefault="00A61FF5" w:rsidP="00781DCB">
            <w:pPr>
              <w:pStyle w:val="ESTablebody3ptafter"/>
              <w:jc w:val="right"/>
              <w:rPr>
                <w:sz w:val="13"/>
                <w:lang w:val="en-AU" w:eastAsia="en-AU"/>
              </w:rPr>
            </w:pPr>
            <w:r w:rsidRPr="00040036">
              <w:rPr>
                <w:sz w:val="13"/>
                <w:lang w:val="en-AU" w:eastAsia="en-AU"/>
              </w:rPr>
              <w:t>662</w:t>
            </w:r>
          </w:p>
        </w:tc>
        <w:tc>
          <w:tcPr>
            <w:tcW w:w="250" w:type="pct"/>
            <w:tcBorders>
              <w:top w:val="nil"/>
              <w:left w:val="nil"/>
              <w:bottom w:val="nil"/>
              <w:right w:val="single" w:sz="4" w:space="0" w:color="auto"/>
            </w:tcBorders>
            <w:shd w:val="clear" w:color="auto" w:fill="auto"/>
            <w:noWrap/>
            <w:vAlign w:val="bottom"/>
            <w:hideMark/>
          </w:tcPr>
          <w:p w14:paraId="127D9904" w14:textId="77777777" w:rsidR="00A61FF5" w:rsidRPr="00040036" w:rsidRDefault="00A61FF5" w:rsidP="00781DCB">
            <w:pPr>
              <w:pStyle w:val="ESTablebody3ptafter"/>
              <w:jc w:val="right"/>
              <w:rPr>
                <w:sz w:val="13"/>
                <w:lang w:val="en-AU" w:eastAsia="en-AU"/>
              </w:rPr>
            </w:pPr>
            <w:r w:rsidRPr="00040036">
              <w:rPr>
                <w:sz w:val="13"/>
                <w:lang w:val="en-AU" w:eastAsia="en-AU"/>
              </w:rPr>
              <w:t>613.3</w:t>
            </w:r>
          </w:p>
        </w:tc>
        <w:tc>
          <w:tcPr>
            <w:tcW w:w="379" w:type="pct"/>
            <w:tcBorders>
              <w:top w:val="nil"/>
              <w:left w:val="nil"/>
              <w:bottom w:val="nil"/>
              <w:right w:val="nil"/>
            </w:tcBorders>
            <w:shd w:val="clear" w:color="auto" w:fill="auto"/>
            <w:noWrap/>
            <w:vAlign w:val="bottom"/>
            <w:hideMark/>
          </w:tcPr>
          <w:p w14:paraId="7763F64E" w14:textId="77777777" w:rsidR="00A61FF5" w:rsidRPr="00040036" w:rsidRDefault="00A61FF5" w:rsidP="00781DCB">
            <w:pPr>
              <w:pStyle w:val="ESTablebody3ptafter"/>
              <w:jc w:val="right"/>
              <w:rPr>
                <w:sz w:val="13"/>
                <w:lang w:val="en-AU" w:eastAsia="en-AU"/>
              </w:rPr>
            </w:pPr>
            <w:r w:rsidRPr="00040036">
              <w:rPr>
                <w:sz w:val="13"/>
                <w:lang w:val="en-AU" w:eastAsia="en-AU"/>
              </w:rPr>
              <w:t>352</w:t>
            </w:r>
          </w:p>
        </w:tc>
        <w:tc>
          <w:tcPr>
            <w:tcW w:w="379" w:type="pct"/>
            <w:tcBorders>
              <w:top w:val="nil"/>
              <w:left w:val="nil"/>
              <w:bottom w:val="nil"/>
              <w:right w:val="nil"/>
            </w:tcBorders>
            <w:shd w:val="clear" w:color="auto" w:fill="auto"/>
            <w:noWrap/>
            <w:vAlign w:val="bottom"/>
            <w:hideMark/>
          </w:tcPr>
          <w:p w14:paraId="50ED15F5" w14:textId="77777777" w:rsidR="00A61FF5" w:rsidRPr="00040036" w:rsidRDefault="00A61FF5" w:rsidP="00781DCB">
            <w:pPr>
              <w:pStyle w:val="ESTablebody3ptafter"/>
              <w:jc w:val="right"/>
              <w:rPr>
                <w:sz w:val="13"/>
                <w:lang w:val="en-AU" w:eastAsia="en-AU"/>
              </w:rPr>
            </w:pPr>
            <w:r w:rsidRPr="00040036">
              <w:rPr>
                <w:sz w:val="13"/>
                <w:lang w:val="en-AU" w:eastAsia="en-AU"/>
              </w:rPr>
              <w:t>76</w:t>
            </w:r>
          </w:p>
        </w:tc>
        <w:tc>
          <w:tcPr>
            <w:tcW w:w="249" w:type="pct"/>
            <w:tcBorders>
              <w:top w:val="nil"/>
              <w:left w:val="nil"/>
              <w:bottom w:val="nil"/>
              <w:right w:val="single" w:sz="4" w:space="0" w:color="auto"/>
            </w:tcBorders>
            <w:shd w:val="clear" w:color="auto" w:fill="auto"/>
            <w:noWrap/>
            <w:vAlign w:val="bottom"/>
            <w:hideMark/>
          </w:tcPr>
          <w:p w14:paraId="32702927" w14:textId="77777777" w:rsidR="00A61FF5" w:rsidRPr="00040036" w:rsidRDefault="00A61FF5" w:rsidP="00781DCB">
            <w:pPr>
              <w:pStyle w:val="ESTablebody3ptafter"/>
              <w:jc w:val="right"/>
              <w:rPr>
                <w:sz w:val="13"/>
                <w:lang w:val="en-AU" w:eastAsia="en-AU"/>
              </w:rPr>
            </w:pPr>
            <w:r w:rsidRPr="00040036">
              <w:rPr>
                <w:sz w:val="13"/>
                <w:lang w:val="en-AU" w:eastAsia="en-AU"/>
              </w:rPr>
              <w:t>399.5</w:t>
            </w:r>
          </w:p>
        </w:tc>
        <w:tc>
          <w:tcPr>
            <w:tcW w:w="350" w:type="pct"/>
            <w:tcBorders>
              <w:top w:val="nil"/>
              <w:left w:val="nil"/>
              <w:bottom w:val="nil"/>
              <w:right w:val="nil"/>
            </w:tcBorders>
            <w:shd w:val="clear" w:color="auto" w:fill="auto"/>
            <w:noWrap/>
            <w:vAlign w:val="bottom"/>
            <w:hideMark/>
          </w:tcPr>
          <w:p w14:paraId="13E78C25" w14:textId="77777777" w:rsidR="00A61FF5" w:rsidRPr="00040036" w:rsidRDefault="00A61FF5" w:rsidP="00781DCB">
            <w:pPr>
              <w:pStyle w:val="ESTablebody3ptafter"/>
              <w:jc w:val="right"/>
              <w:rPr>
                <w:sz w:val="13"/>
                <w:lang w:val="en-AU" w:eastAsia="en-AU"/>
              </w:rPr>
            </w:pPr>
            <w:r w:rsidRPr="00040036">
              <w:rPr>
                <w:sz w:val="13"/>
                <w:lang w:val="en-AU" w:eastAsia="en-AU"/>
              </w:rPr>
              <w:t>234</w:t>
            </w:r>
          </w:p>
        </w:tc>
        <w:tc>
          <w:tcPr>
            <w:tcW w:w="206" w:type="pct"/>
            <w:tcBorders>
              <w:top w:val="nil"/>
              <w:left w:val="nil"/>
              <w:bottom w:val="nil"/>
              <w:right w:val="single" w:sz="8" w:space="0" w:color="auto"/>
            </w:tcBorders>
            <w:shd w:val="clear" w:color="auto" w:fill="auto"/>
            <w:noWrap/>
            <w:vAlign w:val="bottom"/>
            <w:hideMark/>
          </w:tcPr>
          <w:p w14:paraId="34F82C27" w14:textId="77777777" w:rsidR="00A61FF5" w:rsidRPr="00040036" w:rsidRDefault="00A61FF5" w:rsidP="00781DCB">
            <w:pPr>
              <w:pStyle w:val="ESTablebody3ptafter"/>
              <w:jc w:val="right"/>
              <w:rPr>
                <w:sz w:val="13"/>
                <w:lang w:val="en-AU" w:eastAsia="en-AU"/>
              </w:rPr>
            </w:pPr>
            <w:r w:rsidRPr="00040036">
              <w:rPr>
                <w:sz w:val="13"/>
                <w:lang w:val="en-AU" w:eastAsia="en-AU"/>
              </w:rPr>
              <w:t>213.8</w:t>
            </w:r>
          </w:p>
        </w:tc>
        <w:tc>
          <w:tcPr>
            <w:tcW w:w="350" w:type="pct"/>
            <w:tcBorders>
              <w:top w:val="nil"/>
              <w:left w:val="nil"/>
              <w:bottom w:val="nil"/>
              <w:right w:val="nil"/>
            </w:tcBorders>
            <w:shd w:val="clear" w:color="auto" w:fill="auto"/>
            <w:noWrap/>
            <w:vAlign w:val="bottom"/>
            <w:hideMark/>
          </w:tcPr>
          <w:p w14:paraId="2FC29D4D" w14:textId="77777777" w:rsidR="00A61FF5" w:rsidRPr="00040036" w:rsidRDefault="00A61FF5" w:rsidP="00781DCB">
            <w:pPr>
              <w:pStyle w:val="ESTablebody3ptafter"/>
              <w:jc w:val="right"/>
              <w:rPr>
                <w:sz w:val="13"/>
                <w:lang w:val="en-AU" w:eastAsia="en-AU"/>
              </w:rPr>
            </w:pPr>
            <w:r w:rsidRPr="00040036">
              <w:rPr>
                <w:sz w:val="13"/>
                <w:lang w:val="en-AU" w:eastAsia="en-AU"/>
              </w:rPr>
              <w:t>495</w:t>
            </w:r>
          </w:p>
        </w:tc>
        <w:tc>
          <w:tcPr>
            <w:tcW w:w="249" w:type="pct"/>
            <w:tcBorders>
              <w:top w:val="nil"/>
              <w:left w:val="nil"/>
              <w:bottom w:val="nil"/>
              <w:right w:val="single" w:sz="4" w:space="0" w:color="auto"/>
            </w:tcBorders>
            <w:shd w:val="clear" w:color="auto" w:fill="auto"/>
            <w:noWrap/>
            <w:vAlign w:val="bottom"/>
            <w:hideMark/>
          </w:tcPr>
          <w:p w14:paraId="5819513D" w14:textId="77777777" w:rsidR="00A61FF5" w:rsidRPr="00040036" w:rsidRDefault="00A61FF5" w:rsidP="00781DCB">
            <w:pPr>
              <w:pStyle w:val="ESTablebody3ptafter"/>
              <w:jc w:val="right"/>
              <w:rPr>
                <w:sz w:val="13"/>
                <w:lang w:val="en-AU" w:eastAsia="en-AU"/>
              </w:rPr>
            </w:pPr>
            <w:r w:rsidRPr="00040036">
              <w:rPr>
                <w:sz w:val="13"/>
                <w:lang w:val="en-AU" w:eastAsia="en-AU"/>
              </w:rPr>
              <w:t>448.9</w:t>
            </w:r>
          </w:p>
        </w:tc>
        <w:tc>
          <w:tcPr>
            <w:tcW w:w="379" w:type="pct"/>
            <w:tcBorders>
              <w:top w:val="nil"/>
              <w:left w:val="nil"/>
              <w:bottom w:val="nil"/>
              <w:right w:val="nil"/>
            </w:tcBorders>
            <w:shd w:val="clear" w:color="auto" w:fill="auto"/>
            <w:noWrap/>
            <w:vAlign w:val="bottom"/>
            <w:hideMark/>
          </w:tcPr>
          <w:p w14:paraId="5E4E68D3" w14:textId="77777777" w:rsidR="00A61FF5" w:rsidRPr="00040036" w:rsidRDefault="00A61FF5" w:rsidP="00781DCB">
            <w:pPr>
              <w:pStyle w:val="ESTablebody3ptafter"/>
              <w:jc w:val="right"/>
              <w:rPr>
                <w:sz w:val="13"/>
                <w:lang w:val="en-AU" w:eastAsia="en-AU"/>
              </w:rPr>
            </w:pPr>
            <w:r w:rsidRPr="00040036">
              <w:rPr>
                <w:sz w:val="13"/>
                <w:lang w:val="en-AU" w:eastAsia="en-AU"/>
              </w:rPr>
              <w:t>288</w:t>
            </w:r>
          </w:p>
        </w:tc>
        <w:tc>
          <w:tcPr>
            <w:tcW w:w="379" w:type="pct"/>
            <w:tcBorders>
              <w:top w:val="nil"/>
              <w:left w:val="nil"/>
              <w:bottom w:val="nil"/>
              <w:right w:val="nil"/>
            </w:tcBorders>
            <w:shd w:val="clear" w:color="auto" w:fill="auto"/>
            <w:noWrap/>
            <w:vAlign w:val="bottom"/>
            <w:hideMark/>
          </w:tcPr>
          <w:p w14:paraId="0118546D" w14:textId="77777777" w:rsidR="00A61FF5" w:rsidRPr="00040036" w:rsidRDefault="00A61FF5" w:rsidP="00781DCB">
            <w:pPr>
              <w:pStyle w:val="ESTablebody3ptafter"/>
              <w:jc w:val="right"/>
              <w:rPr>
                <w:sz w:val="13"/>
                <w:lang w:val="en-AU" w:eastAsia="en-AU"/>
              </w:rPr>
            </w:pPr>
            <w:r w:rsidRPr="00040036">
              <w:rPr>
                <w:sz w:val="13"/>
                <w:lang w:val="en-AU" w:eastAsia="en-AU"/>
              </w:rPr>
              <w:t>88</w:t>
            </w:r>
          </w:p>
        </w:tc>
        <w:tc>
          <w:tcPr>
            <w:tcW w:w="249" w:type="pct"/>
            <w:tcBorders>
              <w:top w:val="nil"/>
              <w:left w:val="nil"/>
              <w:bottom w:val="nil"/>
              <w:right w:val="single" w:sz="4" w:space="0" w:color="auto"/>
            </w:tcBorders>
            <w:shd w:val="clear" w:color="auto" w:fill="auto"/>
            <w:noWrap/>
            <w:vAlign w:val="bottom"/>
            <w:hideMark/>
          </w:tcPr>
          <w:p w14:paraId="1D6B910C" w14:textId="77777777" w:rsidR="00A61FF5" w:rsidRPr="00040036" w:rsidRDefault="00A61FF5" w:rsidP="00781DCB">
            <w:pPr>
              <w:pStyle w:val="ESTablebody3ptafter"/>
              <w:jc w:val="right"/>
              <w:rPr>
                <w:sz w:val="13"/>
                <w:lang w:val="en-AU" w:eastAsia="en-AU"/>
              </w:rPr>
            </w:pPr>
            <w:r w:rsidRPr="00040036">
              <w:rPr>
                <w:sz w:val="13"/>
                <w:lang w:val="en-AU" w:eastAsia="en-AU"/>
              </w:rPr>
              <w:t>341.2</w:t>
            </w:r>
          </w:p>
        </w:tc>
        <w:tc>
          <w:tcPr>
            <w:tcW w:w="350" w:type="pct"/>
            <w:tcBorders>
              <w:top w:val="nil"/>
              <w:left w:val="nil"/>
              <w:bottom w:val="nil"/>
              <w:right w:val="nil"/>
            </w:tcBorders>
            <w:shd w:val="clear" w:color="auto" w:fill="auto"/>
            <w:noWrap/>
            <w:vAlign w:val="bottom"/>
            <w:hideMark/>
          </w:tcPr>
          <w:p w14:paraId="42A83CB9" w14:textId="77777777" w:rsidR="00A61FF5" w:rsidRPr="00040036" w:rsidRDefault="00A61FF5" w:rsidP="00781DCB">
            <w:pPr>
              <w:pStyle w:val="ESTablebody3ptafter"/>
              <w:jc w:val="right"/>
              <w:rPr>
                <w:sz w:val="13"/>
                <w:lang w:val="en-AU" w:eastAsia="en-AU"/>
              </w:rPr>
            </w:pPr>
            <w:r w:rsidRPr="00040036">
              <w:rPr>
                <w:sz w:val="13"/>
                <w:lang w:val="en-AU" w:eastAsia="en-AU"/>
              </w:rPr>
              <w:t>119</w:t>
            </w:r>
          </w:p>
        </w:tc>
        <w:tc>
          <w:tcPr>
            <w:tcW w:w="201" w:type="pct"/>
            <w:tcBorders>
              <w:top w:val="nil"/>
              <w:left w:val="nil"/>
              <w:bottom w:val="nil"/>
              <w:right w:val="nil"/>
            </w:tcBorders>
            <w:shd w:val="clear" w:color="auto" w:fill="auto"/>
            <w:noWrap/>
            <w:vAlign w:val="bottom"/>
            <w:hideMark/>
          </w:tcPr>
          <w:p w14:paraId="4B2E4F80" w14:textId="77777777" w:rsidR="00A61FF5" w:rsidRPr="00040036" w:rsidRDefault="00A61FF5" w:rsidP="00781DCB">
            <w:pPr>
              <w:pStyle w:val="ESTablebody3ptafter"/>
              <w:jc w:val="right"/>
              <w:rPr>
                <w:sz w:val="13"/>
                <w:lang w:val="en-AU" w:eastAsia="en-AU"/>
              </w:rPr>
            </w:pPr>
            <w:r w:rsidRPr="00040036">
              <w:rPr>
                <w:sz w:val="13"/>
                <w:lang w:val="en-AU" w:eastAsia="en-AU"/>
              </w:rPr>
              <w:t>107.6</w:t>
            </w:r>
          </w:p>
        </w:tc>
      </w:tr>
      <w:tr w:rsidR="00A61FF5" w:rsidRPr="00932A90" w14:paraId="6ADF7CD1" w14:textId="77777777" w:rsidTr="00D07480">
        <w:trPr>
          <w:trHeight w:hRule="exact" w:val="227"/>
        </w:trPr>
        <w:tc>
          <w:tcPr>
            <w:tcW w:w="154" w:type="pct"/>
            <w:vMerge/>
            <w:tcBorders>
              <w:top w:val="nil"/>
              <w:left w:val="nil"/>
              <w:bottom w:val="single" w:sz="4" w:space="0" w:color="000000"/>
              <w:right w:val="nil"/>
            </w:tcBorders>
            <w:vAlign w:val="center"/>
            <w:hideMark/>
          </w:tcPr>
          <w:p w14:paraId="5D48C50C"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4BBC3FD1" w14:textId="1EA1D722" w:rsidR="00A61FF5" w:rsidRPr="00040036" w:rsidRDefault="00A61FF5" w:rsidP="008C1498">
            <w:pPr>
              <w:pStyle w:val="ESTablebody3ptafter"/>
              <w:rPr>
                <w:sz w:val="13"/>
                <w:lang w:val="en-AU" w:eastAsia="en-AU"/>
              </w:rPr>
            </w:pPr>
            <w:r w:rsidRPr="00040036">
              <w:rPr>
                <w:sz w:val="13"/>
                <w:lang w:val="en-AU" w:eastAsia="en-AU"/>
              </w:rPr>
              <w:t>35</w:t>
            </w:r>
            <w:r w:rsidR="008C1498" w:rsidRPr="00040036">
              <w:rPr>
                <w:sz w:val="13"/>
                <w:lang w:val="en-AU" w:eastAsia="en-AU"/>
              </w:rPr>
              <w:t>–</w:t>
            </w:r>
            <w:r w:rsidRPr="00040036">
              <w:rPr>
                <w:sz w:val="13"/>
                <w:lang w:val="en-AU" w:eastAsia="en-AU"/>
              </w:rPr>
              <w:t>44</w:t>
            </w:r>
          </w:p>
        </w:tc>
        <w:tc>
          <w:tcPr>
            <w:tcW w:w="418" w:type="pct"/>
            <w:tcBorders>
              <w:top w:val="nil"/>
              <w:left w:val="nil"/>
              <w:bottom w:val="nil"/>
              <w:right w:val="nil"/>
            </w:tcBorders>
            <w:shd w:val="clear" w:color="auto" w:fill="auto"/>
            <w:noWrap/>
            <w:vAlign w:val="bottom"/>
            <w:hideMark/>
          </w:tcPr>
          <w:p w14:paraId="0FE90254" w14:textId="77777777" w:rsidR="00A61FF5" w:rsidRPr="00040036" w:rsidRDefault="00A61FF5" w:rsidP="00781DCB">
            <w:pPr>
              <w:pStyle w:val="ESTablebody3ptafter"/>
              <w:jc w:val="right"/>
              <w:rPr>
                <w:sz w:val="13"/>
                <w:lang w:val="en-AU" w:eastAsia="en-AU"/>
              </w:rPr>
            </w:pPr>
            <w:r w:rsidRPr="00040036">
              <w:rPr>
                <w:sz w:val="13"/>
                <w:lang w:val="en-AU" w:eastAsia="en-AU"/>
              </w:rPr>
              <w:t>930</w:t>
            </w:r>
          </w:p>
        </w:tc>
        <w:tc>
          <w:tcPr>
            <w:tcW w:w="250" w:type="pct"/>
            <w:tcBorders>
              <w:top w:val="nil"/>
              <w:left w:val="nil"/>
              <w:bottom w:val="nil"/>
              <w:right w:val="single" w:sz="4" w:space="0" w:color="auto"/>
            </w:tcBorders>
            <w:shd w:val="clear" w:color="auto" w:fill="auto"/>
            <w:noWrap/>
            <w:vAlign w:val="bottom"/>
            <w:hideMark/>
          </w:tcPr>
          <w:p w14:paraId="790B1C57" w14:textId="77777777" w:rsidR="00A61FF5" w:rsidRPr="00040036" w:rsidRDefault="00A61FF5" w:rsidP="00781DCB">
            <w:pPr>
              <w:pStyle w:val="ESTablebody3ptafter"/>
              <w:jc w:val="right"/>
              <w:rPr>
                <w:sz w:val="13"/>
                <w:lang w:val="en-AU" w:eastAsia="en-AU"/>
              </w:rPr>
            </w:pPr>
            <w:r w:rsidRPr="00040036">
              <w:rPr>
                <w:sz w:val="13"/>
                <w:lang w:val="en-AU" w:eastAsia="en-AU"/>
              </w:rPr>
              <w:t>808.8</w:t>
            </w:r>
          </w:p>
        </w:tc>
        <w:tc>
          <w:tcPr>
            <w:tcW w:w="379" w:type="pct"/>
            <w:tcBorders>
              <w:top w:val="nil"/>
              <w:left w:val="nil"/>
              <w:bottom w:val="nil"/>
              <w:right w:val="nil"/>
            </w:tcBorders>
            <w:shd w:val="clear" w:color="auto" w:fill="auto"/>
            <w:noWrap/>
            <w:vAlign w:val="bottom"/>
            <w:hideMark/>
          </w:tcPr>
          <w:p w14:paraId="3A4B2EEA" w14:textId="77777777" w:rsidR="00A61FF5" w:rsidRPr="00040036" w:rsidRDefault="00A61FF5" w:rsidP="00781DCB">
            <w:pPr>
              <w:pStyle w:val="ESTablebody3ptafter"/>
              <w:jc w:val="right"/>
              <w:rPr>
                <w:sz w:val="13"/>
                <w:lang w:val="en-AU" w:eastAsia="en-AU"/>
              </w:rPr>
            </w:pPr>
            <w:r w:rsidRPr="00040036">
              <w:rPr>
                <w:sz w:val="13"/>
                <w:lang w:val="en-AU" w:eastAsia="en-AU"/>
              </w:rPr>
              <w:t>475</w:t>
            </w:r>
          </w:p>
        </w:tc>
        <w:tc>
          <w:tcPr>
            <w:tcW w:w="379" w:type="pct"/>
            <w:tcBorders>
              <w:top w:val="nil"/>
              <w:left w:val="nil"/>
              <w:bottom w:val="nil"/>
              <w:right w:val="nil"/>
            </w:tcBorders>
            <w:shd w:val="clear" w:color="auto" w:fill="auto"/>
            <w:noWrap/>
            <w:vAlign w:val="bottom"/>
            <w:hideMark/>
          </w:tcPr>
          <w:p w14:paraId="7153A3D7" w14:textId="77777777" w:rsidR="00A61FF5" w:rsidRPr="00040036" w:rsidRDefault="00A61FF5" w:rsidP="00781DCB">
            <w:pPr>
              <w:pStyle w:val="ESTablebody3ptafter"/>
              <w:jc w:val="right"/>
              <w:rPr>
                <w:sz w:val="13"/>
                <w:lang w:val="en-AU" w:eastAsia="en-AU"/>
              </w:rPr>
            </w:pPr>
            <w:r w:rsidRPr="00040036">
              <w:rPr>
                <w:sz w:val="13"/>
                <w:lang w:val="en-AU" w:eastAsia="en-AU"/>
              </w:rPr>
              <w:t>289</w:t>
            </w:r>
          </w:p>
        </w:tc>
        <w:tc>
          <w:tcPr>
            <w:tcW w:w="249" w:type="pct"/>
            <w:tcBorders>
              <w:top w:val="nil"/>
              <w:left w:val="nil"/>
              <w:bottom w:val="nil"/>
              <w:right w:val="single" w:sz="4" w:space="0" w:color="auto"/>
            </w:tcBorders>
            <w:shd w:val="clear" w:color="auto" w:fill="auto"/>
            <w:noWrap/>
            <w:vAlign w:val="bottom"/>
            <w:hideMark/>
          </w:tcPr>
          <w:p w14:paraId="30C17155" w14:textId="77777777" w:rsidR="00A61FF5" w:rsidRPr="00040036" w:rsidRDefault="00A61FF5" w:rsidP="00781DCB">
            <w:pPr>
              <w:pStyle w:val="ESTablebody3ptafter"/>
              <w:jc w:val="right"/>
              <w:rPr>
                <w:sz w:val="13"/>
                <w:lang w:val="en-AU" w:eastAsia="en-AU"/>
              </w:rPr>
            </w:pPr>
            <w:r w:rsidRPr="00040036">
              <w:rPr>
                <w:sz w:val="13"/>
                <w:lang w:val="en-AU" w:eastAsia="en-AU"/>
              </w:rPr>
              <w:t>660.8</w:t>
            </w:r>
          </w:p>
        </w:tc>
        <w:tc>
          <w:tcPr>
            <w:tcW w:w="350" w:type="pct"/>
            <w:tcBorders>
              <w:top w:val="nil"/>
              <w:left w:val="nil"/>
              <w:bottom w:val="nil"/>
              <w:right w:val="nil"/>
            </w:tcBorders>
            <w:shd w:val="clear" w:color="auto" w:fill="auto"/>
            <w:noWrap/>
            <w:vAlign w:val="bottom"/>
            <w:hideMark/>
          </w:tcPr>
          <w:p w14:paraId="08259808" w14:textId="77777777" w:rsidR="00A61FF5" w:rsidRPr="00040036" w:rsidRDefault="00A61FF5" w:rsidP="00781DCB">
            <w:pPr>
              <w:pStyle w:val="ESTablebody3ptafter"/>
              <w:jc w:val="right"/>
              <w:rPr>
                <w:sz w:val="13"/>
                <w:lang w:val="en-AU" w:eastAsia="en-AU"/>
              </w:rPr>
            </w:pPr>
            <w:r w:rsidRPr="00040036">
              <w:rPr>
                <w:sz w:val="13"/>
                <w:lang w:val="en-AU" w:eastAsia="en-AU"/>
              </w:rPr>
              <w:t>166</w:t>
            </w:r>
          </w:p>
        </w:tc>
        <w:tc>
          <w:tcPr>
            <w:tcW w:w="206" w:type="pct"/>
            <w:tcBorders>
              <w:top w:val="nil"/>
              <w:left w:val="nil"/>
              <w:bottom w:val="nil"/>
              <w:right w:val="single" w:sz="8" w:space="0" w:color="auto"/>
            </w:tcBorders>
            <w:shd w:val="clear" w:color="auto" w:fill="auto"/>
            <w:noWrap/>
            <w:vAlign w:val="bottom"/>
            <w:hideMark/>
          </w:tcPr>
          <w:p w14:paraId="25462FB1" w14:textId="77777777" w:rsidR="00A61FF5" w:rsidRPr="00040036" w:rsidRDefault="00A61FF5" w:rsidP="00781DCB">
            <w:pPr>
              <w:pStyle w:val="ESTablebody3ptafter"/>
              <w:jc w:val="right"/>
              <w:rPr>
                <w:sz w:val="13"/>
                <w:lang w:val="en-AU" w:eastAsia="en-AU"/>
              </w:rPr>
            </w:pPr>
            <w:r w:rsidRPr="00040036">
              <w:rPr>
                <w:sz w:val="13"/>
                <w:lang w:val="en-AU" w:eastAsia="en-AU"/>
              </w:rPr>
              <w:t>148.0</w:t>
            </w:r>
          </w:p>
        </w:tc>
        <w:tc>
          <w:tcPr>
            <w:tcW w:w="350" w:type="pct"/>
            <w:tcBorders>
              <w:top w:val="nil"/>
              <w:left w:val="nil"/>
              <w:bottom w:val="nil"/>
              <w:right w:val="nil"/>
            </w:tcBorders>
            <w:shd w:val="clear" w:color="auto" w:fill="auto"/>
            <w:noWrap/>
            <w:vAlign w:val="bottom"/>
            <w:hideMark/>
          </w:tcPr>
          <w:p w14:paraId="10A06967" w14:textId="77777777" w:rsidR="00A61FF5" w:rsidRPr="00040036" w:rsidRDefault="00A61FF5" w:rsidP="00781DCB">
            <w:pPr>
              <w:pStyle w:val="ESTablebody3ptafter"/>
              <w:jc w:val="right"/>
              <w:rPr>
                <w:sz w:val="13"/>
                <w:lang w:val="en-AU" w:eastAsia="en-AU"/>
              </w:rPr>
            </w:pPr>
            <w:r w:rsidRPr="00040036">
              <w:rPr>
                <w:sz w:val="13"/>
                <w:lang w:val="en-AU" w:eastAsia="en-AU"/>
              </w:rPr>
              <w:t>724</w:t>
            </w:r>
          </w:p>
        </w:tc>
        <w:tc>
          <w:tcPr>
            <w:tcW w:w="249" w:type="pct"/>
            <w:tcBorders>
              <w:top w:val="nil"/>
              <w:left w:val="nil"/>
              <w:bottom w:val="nil"/>
              <w:right w:val="single" w:sz="4" w:space="0" w:color="auto"/>
            </w:tcBorders>
            <w:shd w:val="clear" w:color="auto" w:fill="auto"/>
            <w:noWrap/>
            <w:vAlign w:val="bottom"/>
            <w:hideMark/>
          </w:tcPr>
          <w:p w14:paraId="74F84E8F" w14:textId="77777777" w:rsidR="00A61FF5" w:rsidRPr="00040036" w:rsidRDefault="00A61FF5" w:rsidP="00781DCB">
            <w:pPr>
              <w:pStyle w:val="ESTablebody3ptafter"/>
              <w:jc w:val="right"/>
              <w:rPr>
                <w:sz w:val="13"/>
                <w:lang w:val="en-AU" w:eastAsia="en-AU"/>
              </w:rPr>
            </w:pPr>
            <w:r w:rsidRPr="00040036">
              <w:rPr>
                <w:sz w:val="13"/>
                <w:lang w:val="en-AU" w:eastAsia="en-AU"/>
              </w:rPr>
              <w:t>626.4</w:t>
            </w:r>
          </w:p>
        </w:tc>
        <w:tc>
          <w:tcPr>
            <w:tcW w:w="379" w:type="pct"/>
            <w:tcBorders>
              <w:top w:val="nil"/>
              <w:left w:val="nil"/>
              <w:bottom w:val="nil"/>
              <w:right w:val="nil"/>
            </w:tcBorders>
            <w:shd w:val="clear" w:color="auto" w:fill="auto"/>
            <w:noWrap/>
            <w:vAlign w:val="bottom"/>
            <w:hideMark/>
          </w:tcPr>
          <w:p w14:paraId="74EAC25A" w14:textId="77777777" w:rsidR="00A61FF5" w:rsidRPr="00040036" w:rsidRDefault="00A61FF5" w:rsidP="00781DCB">
            <w:pPr>
              <w:pStyle w:val="ESTablebody3ptafter"/>
              <w:jc w:val="right"/>
              <w:rPr>
                <w:sz w:val="13"/>
                <w:lang w:val="en-AU" w:eastAsia="en-AU"/>
              </w:rPr>
            </w:pPr>
            <w:r w:rsidRPr="00040036">
              <w:rPr>
                <w:sz w:val="13"/>
                <w:lang w:val="en-AU" w:eastAsia="en-AU"/>
              </w:rPr>
              <w:t>395</w:t>
            </w:r>
          </w:p>
        </w:tc>
        <w:tc>
          <w:tcPr>
            <w:tcW w:w="379" w:type="pct"/>
            <w:tcBorders>
              <w:top w:val="nil"/>
              <w:left w:val="nil"/>
              <w:bottom w:val="nil"/>
              <w:right w:val="nil"/>
            </w:tcBorders>
            <w:shd w:val="clear" w:color="auto" w:fill="auto"/>
            <w:noWrap/>
            <w:vAlign w:val="bottom"/>
            <w:hideMark/>
          </w:tcPr>
          <w:p w14:paraId="6D2EE104" w14:textId="77777777" w:rsidR="00A61FF5" w:rsidRPr="00040036" w:rsidRDefault="00A61FF5" w:rsidP="00781DCB">
            <w:pPr>
              <w:pStyle w:val="ESTablebody3ptafter"/>
              <w:jc w:val="right"/>
              <w:rPr>
                <w:sz w:val="13"/>
                <w:lang w:val="en-AU" w:eastAsia="en-AU"/>
              </w:rPr>
            </w:pPr>
            <w:r w:rsidRPr="00040036">
              <w:rPr>
                <w:sz w:val="13"/>
                <w:lang w:val="en-AU" w:eastAsia="en-AU"/>
              </w:rPr>
              <w:t>246</w:t>
            </w:r>
          </w:p>
        </w:tc>
        <w:tc>
          <w:tcPr>
            <w:tcW w:w="249" w:type="pct"/>
            <w:tcBorders>
              <w:top w:val="nil"/>
              <w:left w:val="nil"/>
              <w:bottom w:val="nil"/>
              <w:right w:val="single" w:sz="4" w:space="0" w:color="auto"/>
            </w:tcBorders>
            <w:shd w:val="clear" w:color="auto" w:fill="auto"/>
            <w:noWrap/>
            <w:vAlign w:val="bottom"/>
            <w:hideMark/>
          </w:tcPr>
          <w:p w14:paraId="3A7B4D11" w14:textId="77777777" w:rsidR="00A61FF5" w:rsidRPr="00040036" w:rsidRDefault="00A61FF5" w:rsidP="00781DCB">
            <w:pPr>
              <w:pStyle w:val="ESTablebody3ptafter"/>
              <w:jc w:val="right"/>
              <w:rPr>
                <w:sz w:val="13"/>
                <w:lang w:val="en-AU" w:eastAsia="en-AU"/>
              </w:rPr>
            </w:pPr>
            <w:r w:rsidRPr="00040036">
              <w:rPr>
                <w:sz w:val="13"/>
                <w:lang w:val="en-AU" w:eastAsia="en-AU"/>
              </w:rPr>
              <w:t>553.0</w:t>
            </w:r>
          </w:p>
        </w:tc>
        <w:tc>
          <w:tcPr>
            <w:tcW w:w="350" w:type="pct"/>
            <w:tcBorders>
              <w:top w:val="nil"/>
              <w:left w:val="nil"/>
              <w:bottom w:val="nil"/>
              <w:right w:val="nil"/>
            </w:tcBorders>
            <w:shd w:val="clear" w:color="auto" w:fill="auto"/>
            <w:noWrap/>
            <w:vAlign w:val="bottom"/>
            <w:hideMark/>
          </w:tcPr>
          <w:p w14:paraId="27484D55" w14:textId="77777777" w:rsidR="00A61FF5" w:rsidRPr="00040036" w:rsidRDefault="00A61FF5" w:rsidP="00781DCB">
            <w:pPr>
              <w:pStyle w:val="ESTablebody3ptafter"/>
              <w:jc w:val="right"/>
              <w:rPr>
                <w:sz w:val="13"/>
                <w:lang w:val="en-AU" w:eastAsia="en-AU"/>
              </w:rPr>
            </w:pPr>
            <w:r w:rsidRPr="00040036">
              <w:rPr>
                <w:sz w:val="13"/>
                <w:lang w:val="en-AU" w:eastAsia="en-AU"/>
              </w:rPr>
              <w:t>83</w:t>
            </w:r>
          </w:p>
        </w:tc>
        <w:tc>
          <w:tcPr>
            <w:tcW w:w="201" w:type="pct"/>
            <w:tcBorders>
              <w:top w:val="nil"/>
              <w:left w:val="nil"/>
              <w:bottom w:val="nil"/>
              <w:right w:val="nil"/>
            </w:tcBorders>
            <w:shd w:val="clear" w:color="auto" w:fill="auto"/>
            <w:noWrap/>
            <w:vAlign w:val="bottom"/>
            <w:hideMark/>
          </w:tcPr>
          <w:p w14:paraId="1BCB8CA6" w14:textId="77777777" w:rsidR="00A61FF5" w:rsidRPr="00040036" w:rsidRDefault="00A61FF5" w:rsidP="00781DCB">
            <w:pPr>
              <w:pStyle w:val="ESTablebody3ptafter"/>
              <w:jc w:val="right"/>
              <w:rPr>
                <w:sz w:val="13"/>
                <w:lang w:val="en-AU" w:eastAsia="en-AU"/>
              </w:rPr>
            </w:pPr>
            <w:r w:rsidRPr="00040036">
              <w:rPr>
                <w:sz w:val="13"/>
                <w:lang w:val="en-AU" w:eastAsia="en-AU"/>
              </w:rPr>
              <w:t>73.4</w:t>
            </w:r>
          </w:p>
        </w:tc>
      </w:tr>
      <w:tr w:rsidR="00A61FF5" w:rsidRPr="00932A90" w14:paraId="75F6BC1E" w14:textId="77777777" w:rsidTr="00D07480">
        <w:trPr>
          <w:trHeight w:hRule="exact" w:val="227"/>
        </w:trPr>
        <w:tc>
          <w:tcPr>
            <w:tcW w:w="154" w:type="pct"/>
            <w:vMerge/>
            <w:tcBorders>
              <w:top w:val="nil"/>
              <w:left w:val="nil"/>
              <w:bottom w:val="single" w:sz="4" w:space="0" w:color="000000"/>
              <w:right w:val="nil"/>
            </w:tcBorders>
            <w:vAlign w:val="center"/>
            <w:hideMark/>
          </w:tcPr>
          <w:p w14:paraId="1AC446D4"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76DDF1E1" w14:textId="41C6EA20" w:rsidR="00A61FF5" w:rsidRPr="00040036" w:rsidRDefault="00A61FF5" w:rsidP="008C1498">
            <w:pPr>
              <w:pStyle w:val="ESTablebody3ptafter"/>
              <w:rPr>
                <w:sz w:val="13"/>
                <w:lang w:val="en-AU" w:eastAsia="en-AU"/>
              </w:rPr>
            </w:pPr>
            <w:r w:rsidRPr="00040036">
              <w:rPr>
                <w:sz w:val="13"/>
                <w:lang w:val="en-AU" w:eastAsia="en-AU"/>
              </w:rPr>
              <w:t>45</w:t>
            </w:r>
            <w:r w:rsidR="008C1498" w:rsidRPr="00040036">
              <w:rPr>
                <w:sz w:val="13"/>
                <w:lang w:val="en-AU" w:eastAsia="en-AU"/>
              </w:rPr>
              <w:t>–</w:t>
            </w:r>
            <w:r w:rsidRPr="00040036">
              <w:rPr>
                <w:sz w:val="13"/>
                <w:lang w:val="en-AU" w:eastAsia="en-AU"/>
              </w:rPr>
              <w:t>54</w:t>
            </w:r>
          </w:p>
        </w:tc>
        <w:tc>
          <w:tcPr>
            <w:tcW w:w="418" w:type="pct"/>
            <w:tcBorders>
              <w:top w:val="nil"/>
              <w:left w:val="nil"/>
              <w:bottom w:val="nil"/>
              <w:right w:val="nil"/>
            </w:tcBorders>
            <w:shd w:val="clear" w:color="auto" w:fill="auto"/>
            <w:noWrap/>
            <w:vAlign w:val="bottom"/>
            <w:hideMark/>
          </w:tcPr>
          <w:p w14:paraId="3B952DCA" w14:textId="77777777" w:rsidR="00A61FF5" w:rsidRPr="00040036" w:rsidRDefault="00A61FF5" w:rsidP="00781DCB">
            <w:pPr>
              <w:pStyle w:val="ESTablebody3ptafter"/>
              <w:jc w:val="right"/>
              <w:rPr>
                <w:sz w:val="13"/>
                <w:lang w:val="en-AU" w:eastAsia="en-AU"/>
              </w:rPr>
            </w:pPr>
            <w:r w:rsidRPr="00040036">
              <w:rPr>
                <w:sz w:val="13"/>
                <w:lang w:val="en-AU" w:eastAsia="en-AU"/>
              </w:rPr>
              <w:t>815</w:t>
            </w:r>
          </w:p>
        </w:tc>
        <w:tc>
          <w:tcPr>
            <w:tcW w:w="250" w:type="pct"/>
            <w:tcBorders>
              <w:top w:val="nil"/>
              <w:left w:val="nil"/>
              <w:bottom w:val="nil"/>
              <w:right w:val="single" w:sz="4" w:space="0" w:color="auto"/>
            </w:tcBorders>
            <w:shd w:val="clear" w:color="auto" w:fill="auto"/>
            <w:noWrap/>
            <w:vAlign w:val="bottom"/>
            <w:hideMark/>
          </w:tcPr>
          <w:p w14:paraId="650A6B55" w14:textId="77777777" w:rsidR="00A61FF5" w:rsidRPr="00040036" w:rsidRDefault="00A61FF5" w:rsidP="00781DCB">
            <w:pPr>
              <w:pStyle w:val="ESTablebody3ptafter"/>
              <w:jc w:val="right"/>
              <w:rPr>
                <w:sz w:val="13"/>
                <w:lang w:val="en-AU" w:eastAsia="en-AU"/>
              </w:rPr>
            </w:pPr>
            <w:r w:rsidRPr="00040036">
              <w:rPr>
                <w:sz w:val="13"/>
                <w:lang w:val="en-AU" w:eastAsia="en-AU"/>
              </w:rPr>
              <w:t>747.8</w:t>
            </w:r>
          </w:p>
        </w:tc>
        <w:tc>
          <w:tcPr>
            <w:tcW w:w="379" w:type="pct"/>
            <w:tcBorders>
              <w:top w:val="nil"/>
              <w:left w:val="nil"/>
              <w:bottom w:val="nil"/>
              <w:right w:val="nil"/>
            </w:tcBorders>
            <w:shd w:val="clear" w:color="auto" w:fill="auto"/>
            <w:noWrap/>
            <w:vAlign w:val="bottom"/>
            <w:hideMark/>
          </w:tcPr>
          <w:p w14:paraId="5BC48A9F" w14:textId="77777777" w:rsidR="00A61FF5" w:rsidRPr="00040036" w:rsidRDefault="00A61FF5" w:rsidP="00781DCB">
            <w:pPr>
              <w:pStyle w:val="ESTablebody3ptafter"/>
              <w:jc w:val="right"/>
              <w:rPr>
                <w:sz w:val="13"/>
                <w:lang w:val="en-AU" w:eastAsia="en-AU"/>
              </w:rPr>
            </w:pPr>
            <w:r w:rsidRPr="00040036">
              <w:rPr>
                <w:sz w:val="13"/>
                <w:lang w:val="en-AU" w:eastAsia="en-AU"/>
              </w:rPr>
              <w:t>534</w:t>
            </w:r>
          </w:p>
        </w:tc>
        <w:tc>
          <w:tcPr>
            <w:tcW w:w="379" w:type="pct"/>
            <w:tcBorders>
              <w:top w:val="nil"/>
              <w:left w:val="nil"/>
              <w:bottom w:val="single" w:sz="4" w:space="0" w:color="FFFFFF"/>
              <w:right w:val="nil"/>
            </w:tcBorders>
            <w:shd w:val="clear" w:color="auto" w:fill="auto"/>
            <w:noWrap/>
            <w:vAlign w:val="bottom"/>
            <w:hideMark/>
          </w:tcPr>
          <w:p w14:paraId="1E06E170" w14:textId="77777777" w:rsidR="00A61FF5" w:rsidRPr="00040036" w:rsidRDefault="00A61FF5" w:rsidP="00781DCB">
            <w:pPr>
              <w:pStyle w:val="ESTablebody3ptafter"/>
              <w:jc w:val="right"/>
              <w:rPr>
                <w:sz w:val="13"/>
                <w:lang w:val="en-AU" w:eastAsia="en-AU"/>
              </w:rPr>
            </w:pPr>
            <w:r w:rsidRPr="00040036">
              <w:rPr>
                <w:sz w:val="13"/>
                <w:lang w:val="en-AU" w:eastAsia="en-AU"/>
              </w:rPr>
              <w:t>180</w:t>
            </w:r>
          </w:p>
        </w:tc>
        <w:tc>
          <w:tcPr>
            <w:tcW w:w="249" w:type="pct"/>
            <w:tcBorders>
              <w:top w:val="nil"/>
              <w:left w:val="nil"/>
              <w:bottom w:val="nil"/>
              <w:right w:val="single" w:sz="4" w:space="0" w:color="auto"/>
            </w:tcBorders>
            <w:shd w:val="clear" w:color="auto" w:fill="auto"/>
            <w:noWrap/>
            <w:vAlign w:val="bottom"/>
            <w:hideMark/>
          </w:tcPr>
          <w:p w14:paraId="090339D7" w14:textId="77777777" w:rsidR="00A61FF5" w:rsidRPr="00040036" w:rsidRDefault="00A61FF5" w:rsidP="00781DCB">
            <w:pPr>
              <w:pStyle w:val="ESTablebody3ptafter"/>
              <w:jc w:val="right"/>
              <w:rPr>
                <w:sz w:val="13"/>
                <w:lang w:val="en-AU" w:eastAsia="en-AU"/>
              </w:rPr>
            </w:pPr>
            <w:r w:rsidRPr="00040036">
              <w:rPr>
                <w:sz w:val="13"/>
                <w:lang w:val="en-AU" w:eastAsia="en-AU"/>
              </w:rPr>
              <w:t>657.2</w:t>
            </w:r>
          </w:p>
        </w:tc>
        <w:tc>
          <w:tcPr>
            <w:tcW w:w="350" w:type="pct"/>
            <w:tcBorders>
              <w:top w:val="nil"/>
              <w:left w:val="nil"/>
              <w:bottom w:val="nil"/>
              <w:right w:val="nil"/>
            </w:tcBorders>
            <w:shd w:val="clear" w:color="auto" w:fill="auto"/>
            <w:noWrap/>
            <w:vAlign w:val="bottom"/>
            <w:hideMark/>
          </w:tcPr>
          <w:p w14:paraId="5BCEB0C4" w14:textId="77777777" w:rsidR="00A61FF5" w:rsidRPr="00040036" w:rsidRDefault="00A61FF5" w:rsidP="00781DCB">
            <w:pPr>
              <w:pStyle w:val="ESTablebody3ptafter"/>
              <w:jc w:val="right"/>
              <w:rPr>
                <w:sz w:val="13"/>
                <w:lang w:val="en-AU" w:eastAsia="en-AU"/>
              </w:rPr>
            </w:pPr>
            <w:r w:rsidRPr="00040036">
              <w:rPr>
                <w:sz w:val="13"/>
                <w:lang w:val="en-AU" w:eastAsia="en-AU"/>
              </w:rPr>
              <w:t>101</w:t>
            </w:r>
          </w:p>
        </w:tc>
        <w:tc>
          <w:tcPr>
            <w:tcW w:w="206" w:type="pct"/>
            <w:tcBorders>
              <w:top w:val="nil"/>
              <w:left w:val="nil"/>
              <w:bottom w:val="nil"/>
              <w:right w:val="single" w:sz="8" w:space="0" w:color="auto"/>
            </w:tcBorders>
            <w:shd w:val="clear" w:color="auto" w:fill="auto"/>
            <w:noWrap/>
            <w:vAlign w:val="bottom"/>
            <w:hideMark/>
          </w:tcPr>
          <w:p w14:paraId="236029DE" w14:textId="77777777" w:rsidR="00A61FF5" w:rsidRPr="00040036" w:rsidRDefault="00A61FF5" w:rsidP="00781DCB">
            <w:pPr>
              <w:pStyle w:val="ESTablebody3ptafter"/>
              <w:jc w:val="right"/>
              <w:rPr>
                <w:sz w:val="13"/>
                <w:lang w:val="en-AU" w:eastAsia="en-AU"/>
              </w:rPr>
            </w:pPr>
            <w:r w:rsidRPr="00040036">
              <w:rPr>
                <w:sz w:val="13"/>
                <w:lang w:val="en-AU" w:eastAsia="en-AU"/>
              </w:rPr>
              <w:t>90.6</w:t>
            </w:r>
          </w:p>
        </w:tc>
        <w:tc>
          <w:tcPr>
            <w:tcW w:w="350" w:type="pct"/>
            <w:tcBorders>
              <w:top w:val="nil"/>
              <w:left w:val="nil"/>
              <w:bottom w:val="nil"/>
              <w:right w:val="nil"/>
            </w:tcBorders>
            <w:shd w:val="clear" w:color="auto" w:fill="auto"/>
            <w:noWrap/>
            <w:vAlign w:val="bottom"/>
            <w:hideMark/>
          </w:tcPr>
          <w:p w14:paraId="3B32FB3F" w14:textId="77777777" w:rsidR="00A61FF5" w:rsidRPr="00040036" w:rsidRDefault="00A61FF5" w:rsidP="00781DCB">
            <w:pPr>
              <w:pStyle w:val="ESTablebody3ptafter"/>
              <w:jc w:val="right"/>
              <w:rPr>
                <w:sz w:val="13"/>
                <w:lang w:val="en-AU" w:eastAsia="en-AU"/>
              </w:rPr>
            </w:pPr>
            <w:r w:rsidRPr="00040036">
              <w:rPr>
                <w:sz w:val="13"/>
                <w:lang w:val="en-AU" w:eastAsia="en-AU"/>
              </w:rPr>
              <w:t>713</w:t>
            </w:r>
          </w:p>
        </w:tc>
        <w:tc>
          <w:tcPr>
            <w:tcW w:w="249" w:type="pct"/>
            <w:tcBorders>
              <w:top w:val="nil"/>
              <w:left w:val="nil"/>
              <w:bottom w:val="nil"/>
              <w:right w:val="single" w:sz="4" w:space="0" w:color="auto"/>
            </w:tcBorders>
            <w:shd w:val="clear" w:color="auto" w:fill="auto"/>
            <w:noWrap/>
            <w:vAlign w:val="bottom"/>
            <w:hideMark/>
          </w:tcPr>
          <w:p w14:paraId="2DDD724F" w14:textId="77777777" w:rsidR="00A61FF5" w:rsidRPr="00040036" w:rsidRDefault="00A61FF5" w:rsidP="00781DCB">
            <w:pPr>
              <w:pStyle w:val="ESTablebody3ptafter"/>
              <w:jc w:val="right"/>
              <w:rPr>
                <w:sz w:val="13"/>
                <w:lang w:val="en-AU" w:eastAsia="en-AU"/>
              </w:rPr>
            </w:pPr>
            <w:r w:rsidRPr="00040036">
              <w:rPr>
                <w:sz w:val="13"/>
                <w:lang w:val="en-AU" w:eastAsia="en-AU"/>
              </w:rPr>
              <w:t>644.0</w:t>
            </w:r>
          </w:p>
        </w:tc>
        <w:tc>
          <w:tcPr>
            <w:tcW w:w="379" w:type="pct"/>
            <w:tcBorders>
              <w:top w:val="nil"/>
              <w:left w:val="nil"/>
              <w:bottom w:val="nil"/>
              <w:right w:val="nil"/>
            </w:tcBorders>
            <w:shd w:val="clear" w:color="auto" w:fill="auto"/>
            <w:noWrap/>
            <w:vAlign w:val="bottom"/>
            <w:hideMark/>
          </w:tcPr>
          <w:p w14:paraId="2377130C" w14:textId="77777777" w:rsidR="00A61FF5" w:rsidRPr="00040036" w:rsidRDefault="00A61FF5" w:rsidP="00781DCB">
            <w:pPr>
              <w:pStyle w:val="ESTablebody3ptafter"/>
              <w:jc w:val="right"/>
              <w:rPr>
                <w:sz w:val="13"/>
                <w:lang w:val="en-AU" w:eastAsia="en-AU"/>
              </w:rPr>
            </w:pPr>
            <w:r w:rsidRPr="00040036">
              <w:rPr>
                <w:sz w:val="13"/>
                <w:lang w:val="en-AU" w:eastAsia="en-AU"/>
              </w:rPr>
              <w:t>481</w:t>
            </w:r>
          </w:p>
        </w:tc>
        <w:tc>
          <w:tcPr>
            <w:tcW w:w="379" w:type="pct"/>
            <w:tcBorders>
              <w:top w:val="nil"/>
              <w:left w:val="nil"/>
              <w:bottom w:val="nil"/>
              <w:right w:val="nil"/>
            </w:tcBorders>
            <w:shd w:val="clear" w:color="auto" w:fill="auto"/>
            <w:noWrap/>
            <w:vAlign w:val="bottom"/>
            <w:hideMark/>
          </w:tcPr>
          <w:p w14:paraId="2A227EBD" w14:textId="77777777" w:rsidR="00A61FF5" w:rsidRPr="00040036" w:rsidRDefault="00A61FF5" w:rsidP="00781DCB">
            <w:pPr>
              <w:pStyle w:val="ESTablebody3ptafter"/>
              <w:jc w:val="right"/>
              <w:rPr>
                <w:sz w:val="13"/>
                <w:lang w:val="en-AU" w:eastAsia="en-AU"/>
              </w:rPr>
            </w:pPr>
            <w:r w:rsidRPr="00040036">
              <w:rPr>
                <w:sz w:val="13"/>
                <w:lang w:val="en-AU" w:eastAsia="en-AU"/>
              </w:rPr>
              <w:t>187</w:t>
            </w:r>
          </w:p>
        </w:tc>
        <w:tc>
          <w:tcPr>
            <w:tcW w:w="249" w:type="pct"/>
            <w:tcBorders>
              <w:top w:val="nil"/>
              <w:left w:val="nil"/>
              <w:bottom w:val="nil"/>
              <w:right w:val="single" w:sz="4" w:space="0" w:color="auto"/>
            </w:tcBorders>
            <w:shd w:val="clear" w:color="auto" w:fill="auto"/>
            <w:noWrap/>
            <w:vAlign w:val="bottom"/>
            <w:hideMark/>
          </w:tcPr>
          <w:p w14:paraId="0864E82A" w14:textId="77777777" w:rsidR="00A61FF5" w:rsidRPr="00040036" w:rsidRDefault="00A61FF5" w:rsidP="00781DCB">
            <w:pPr>
              <w:pStyle w:val="ESTablebody3ptafter"/>
              <w:jc w:val="right"/>
              <w:rPr>
                <w:sz w:val="13"/>
                <w:lang w:val="en-AU" w:eastAsia="en-AU"/>
              </w:rPr>
            </w:pPr>
            <w:r w:rsidRPr="00040036">
              <w:rPr>
                <w:sz w:val="13"/>
                <w:lang w:val="en-AU" w:eastAsia="en-AU"/>
              </w:rPr>
              <w:t>604.1</w:t>
            </w:r>
          </w:p>
        </w:tc>
        <w:tc>
          <w:tcPr>
            <w:tcW w:w="350" w:type="pct"/>
            <w:tcBorders>
              <w:top w:val="nil"/>
              <w:left w:val="nil"/>
              <w:bottom w:val="nil"/>
              <w:right w:val="nil"/>
            </w:tcBorders>
            <w:shd w:val="clear" w:color="auto" w:fill="auto"/>
            <w:noWrap/>
            <w:vAlign w:val="bottom"/>
            <w:hideMark/>
          </w:tcPr>
          <w:p w14:paraId="222B3C05" w14:textId="77777777" w:rsidR="00A61FF5" w:rsidRPr="00040036" w:rsidRDefault="00A61FF5" w:rsidP="00781DCB">
            <w:pPr>
              <w:pStyle w:val="ESTablebody3ptafter"/>
              <w:jc w:val="right"/>
              <w:rPr>
                <w:sz w:val="13"/>
                <w:lang w:val="en-AU" w:eastAsia="en-AU"/>
              </w:rPr>
            </w:pPr>
            <w:r w:rsidRPr="00040036">
              <w:rPr>
                <w:sz w:val="13"/>
                <w:lang w:val="en-AU" w:eastAsia="en-AU"/>
              </w:rPr>
              <w:t>45</w:t>
            </w:r>
          </w:p>
        </w:tc>
        <w:tc>
          <w:tcPr>
            <w:tcW w:w="201" w:type="pct"/>
            <w:tcBorders>
              <w:top w:val="nil"/>
              <w:left w:val="nil"/>
              <w:bottom w:val="nil"/>
              <w:right w:val="nil"/>
            </w:tcBorders>
            <w:shd w:val="clear" w:color="auto" w:fill="auto"/>
            <w:noWrap/>
            <w:vAlign w:val="bottom"/>
            <w:hideMark/>
          </w:tcPr>
          <w:p w14:paraId="6FAA5E76" w14:textId="77777777" w:rsidR="00A61FF5" w:rsidRPr="00040036" w:rsidRDefault="00A61FF5" w:rsidP="00781DCB">
            <w:pPr>
              <w:pStyle w:val="ESTablebody3ptafter"/>
              <w:jc w:val="right"/>
              <w:rPr>
                <w:sz w:val="13"/>
                <w:lang w:val="en-AU" w:eastAsia="en-AU"/>
              </w:rPr>
            </w:pPr>
            <w:r w:rsidRPr="00040036">
              <w:rPr>
                <w:sz w:val="13"/>
                <w:lang w:val="en-AU" w:eastAsia="en-AU"/>
              </w:rPr>
              <w:t>39.9</w:t>
            </w:r>
          </w:p>
        </w:tc>
      </w:tr>
      <w:tr w:rsidR="00A61FF5" w:rsidRPr="00932A90" w14:paraId="760A3A51" w14:textId="77777777" w:rsidTr="00D07480">
        <w:trPr>
          <w:trHeight w:hRule="exact" w:val="227"/>
        </w:trPr>
        <w:tc>
          <w:tcPr>
            <w:tcW w:w="154" w:type="pct"/>
            <w:vMerge/>
            <w:tcBorders>
              <w:top w:val="nil"/>
              <w:left w:val="nil"/>
              <w:bottom w:val="single" w:sz="4" w:space="0" w:color="000000"/>
              <w:right w:val="nil"/>
            </w:tcBorders>
            <w:vAlign w:val="center"/>
            <w:hideMark/>
          </w:tcPr>
          <w:p w14:paraId="159BB06E"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10CC243C" w14:textId="07109F00" w:rsidR="00A61FF5" w:rsidRPr="00040036" w:rsidRDefault="00A61FF5" w:rsidP="008C1498">
            <w:pPr>
              <w:pStyle w:val="ESTablebody3ptafter"/>
              <w:rPr>
                <w:sz w:val="13"/>
                <w:lang w:val="en-AU" w:eastAsia="en-AU"/>
              </w:rPr>
            </w:pPr>
            <w:r w:rsidRPr="00040036">
              <w:rPr>
                <w:sz w:val="13"/>
                <w:lang w:val="en-AU" w:eastAsia="en-AU"/>
              </w:rPr>
              <w:t>55</w:t>
            </w:r>
            <w:r w:rsidR="008C1498" w:rsidRPr="00040036">
              <w:rPr>
                <w:sz w:val="13"/>
                <w:lang w:val="en-AU" w:eastAsia="en-AU"/>
              </w:rPr>
              <w:t>–</w:t>
            </w:r>
            <w:r w:rsidRPr="00040036">
              <w:rPr>
                <w:sz w:val="13"/>
                <w:lang w:val="en-AU" w:eastAsia="en-AU"/>
              </w:rPr>
              <w:t>64</w:t>
            </w:r>
          </w:p>
        </w:tc>
        <w:tc>
          <w:tcPr>
            <w:tcW w:w="418" w:type="pct"/>
            <w:tcBorders>
              <w:top w:val="nil"/>
              <w:left w:val="nil"/>
              <w:bottom w:val="nil"/>
              <w:right w:val="nil"/>
            </w:tcBorders>
            <w:shd w:val="clear" w:color="auto" w:fill="auto"/>
            <w:noWrap/>
            <w:vAlign w:val="bottom"/>
            <w:hideMark/>
          </w:tcPr>
          <w:p w14:paraId="0296D516" w14:textId="77777777" w:rsidR="00A61FF5" w:rsidRPr="00040036" w:rsidRDefault="00A61FF5" w:rsidP="00781DCB">
            <w:pPr>
              <w:pStyle w:val="ESTablebody3ptafter"/>
              <w:jc w:val="right"/>
              <w:rPr>
                <w:sz w:val="13"/>
                <w:lang w:val="en-AU" w:eastAsia="en-AU"/>
              </w:rPr>
            </w:pPr>
            <w:r w:rsidRPr="00040036">
              <w:rPr>
                <w:sz w:val="13"/>
                <w:lang w:val="en-AU" w:eastAsia="en-AU"/>
              </w:rPr>
              <w:t>795</w:t>
            </w:r>
          </w:p>
        </w:tc>
        <w:tc>
          <w:tcPr>
            <w:tcW w:w="250" w:type="pct"/>
            <w:tcBorders>
              <w:top w:val="nil"/>
              <w:left w:val="nil"/>
              <w:bottom w:val="nil"/>
              <w:right w:val="single" w:sz="4" w:space="0" w:color="auto"/>
            </w:tcBorders>
            <w:shd w:val="clear" w:color="auto" w:fill="auto"/>
            <w:noWrap/>
            <w:vAlign w:val="bottom"/>
            <w:hideMark/>
          </w:tcPr>
          <w:p w14:paraId="6F7964D0" w14:textId="77777777" w:rsidR="00A61FF5" w:rsidRPr="00040036" w:rsidRDefault="00A61FF5" w:rsidP="00781DCB">
            <w:pPr>
              <w:pStyle w:val="ESTablebody3ptafter"/>
              <w:jc w:val="right"/>
              <w:rPr>
                <w:sz w:val="13"/>
                <w:lang w:val="en-AU" w:eastAsia="en-AU"/>
              </w:rPr>
            </w:pPr>
            <w:r w:rsidRPr="00040036">
              <w:rPr>
                <w:sz w:val="13"/>
                <w:lang w:val="en-AU" w:eastAsia="en-AU"/>
              </w:rPr>
              <w:t>710.4</w:t>
            </w:r>
          </w:p>
        </w:tc>
        <w:tc>
          <w:tcPr>
            <w:tcW w:w="379" w:type="pct"/>
            <w:tcBorders>
              <w:top w:val="nil"/>
              <w:left w:val="nil"/>
              <w:bottom w:val="nil"/>
              <w:right w:val="nil"/>
            </w:tcBorders>
            <w:shd w:val="clear" w:color="auto" w:fill="auto"/>
            <w:noWrap/>
            <w:vAlign w:val="bottom"/>
            <w:hideMark/>
          </w:tcPr>
          <w:p w14:paraId="1F1D65C5" w14:textId="77777777" w:rsidR="00A61FF5" w:rsidRPr="00040036" w:rsidRDefault="00A61FF5" w:rsidP="00781DCB">
            <w:pPr>
              <w:pStyle w:val="ESTablebody3ptafter"/>
              <w:jc w:val="right"/>
              <w:rPr>
                <w:sz w:val="13"/>
                <w:lang w:val="en-AU" w:eastAsia="en-AU"/>
              </w:rPr>
            </w:pPr>
            <w:r w:rsidRPr="00040036">
              <w:rPr>
                <w:sz w:val="13"/>
                <w:lang w:val="en-AU" w:eastAsia="en-AU"/>
              </w:rPr>
              <w:t>525</w:t>
            </w:r>
          </w:p>
        </w:tc>
        <w:tc>
          <w:tcPr>
            <w:tcW w:w="379" w:type="pct"/>
            <w:tcBorders>
              <w:top w:val="nil"/>
              <w:left w:val="nil"/>
              <w:bottom w:val="nil"/>
              <w:right w:val="nil"/>
            </w:tcBorders>
            <w:shd w:val="clear" w:color="auto" w:fill="auto"/>
            <w:noWrap/>
            <w:vAlign w:val="bottom"/>
            <w:hideMark/>
          </w:tcPr>
          <w:p w14:paraId="45D5F7D4" w14:textId="77777777" w:rsidR="00A61FF5" w:rsidRPr="00040036" w:rsidRDefault="00A61FF5" w:rsidP="00781DCB">
            <w:pPr>
              <w:pStyle w:val="ESTablebody3ptafter"/>
              <w:jc w:val="right"/>
              <w:rPr>
                <w:sz w:val="13"/>
                <w:lang w:val="en-AU" w:eastAsia="en-AU"/>
              </w:rPr>
            </w:pPr>
            <w:r w:rsidRPr="00040036">
              <w:rPr>
                <w:sz w:val="13"/>
                <w:lang w:val="en-AU" w:eastAsia="en-AU"/>
              </w:rPr>
              <w:t>209</w:t>
            </w:r>
          </w:p>
        </w:tc>
        <w:tc>
          <w:tcPr>
            <w:tcW w:w="249" w:type="pct"/>
            <w:tcBorders>
              <w:top w:val="nil"/>
              <w:left w:val="nil"/>
              <w:bottom w:val="nil"/>
              <w:right w:val="single" w:sz="4" w:space="0" w:color="auto"/>
            </w:tcBorders>
            <w:shd w:val="clear" w:color="auto" w:fill="auto"/>
            <w:noWrap/>
            <w:vAlign w:val="bottom"/>
            <w:hideMark/>
          </w:tcPr>
          <w:p w14:paraId="3C9161DF" w14:textId="77777777" w:rsidR="00A61FF5" w:rsidRPr="00040036" w:rsidRDefault="00A61FF5" w:rsidP="00781DCB">
            <w:pPr>
              <w:pStyle w:val="ESTablebody3ptafter"/>
              <w:jc w:val="right"/>
              <w:rPr>
                <w:sz w:val="13"/>
                <w:lang w:val="en-AU" w:eastAsia="en-AU"/>
              </w:rPr>
            </w:pPr>
            <w:r w:rsidRPr="00040036">
              <w:rPr>
                <w:sz w:val="13"/>
                <w:lang w:val="en-AU" w:eastAsia="en-AU"/>
              </w:rPr>
              <w:t>659.5</w:t>
            </w:r>
          </w:p>
        </w:tc>
        <w:tc>
          <w:tcPr>
            <w:tcW w:w="350" w:type="pct"/>
            <w:tcBorders>
              <w:top w:val="nil"/>
              <w:left w:val="nil"/>
              <w:bottom w:val="nil"/>
              <w:right w:val="nil"/>
            </w:tcBorders>
            <w:shd w:val="clear" w:color="auto" w:fill="auto"/>
            <w:noWrap/>
            <w:vAlign w:val="bottom"/>
            <w:hideMark/>
          </w:tcPr>
          <w:p w14:paraId="30648A65" w14:textId="77777777" w:rsidR="00A61FF5" w:rsidRPr="00040036" w:rsidRDefault="00A61FF5" w:rsidP="00781DCB">
            <w:pPr>
              <w:pStyle w:val="ESTablebody3ptafter"/>
              <w:jc w:val="right"/>
              <w:rPr>
                <w:sz w:val="13"/>
                <w:lang w:val="en-AU" w:eastAsia="en-AU"/>
              </w:rPr>
            </w:pPr>
            <w:r w:rsidRPr="00040036">
              <w:rPr>
                <w:sz w:val="13"/>
                <w:lang w:val="en-AU" w:eastAsia="en-AU"/>
              </w:rPr>
              <w:t>61</w:t>
            </w:r>
          </w:p>
        </w:tc>
        <w:tc>
          <w:tcPr>
            <w:tcW w:w="206" w:type="pct"/>
            <w:tcBorders>
              <w:top w:val="nil"/>
              <w:left w:val="nil"/>
              <w:bottom w:val="nil"/>
              <w:right w:val="single" w:sz="8" w:space="0" w:color="auto"/>
            </w:tcBorders>
            <w:shd w:val="clear" w:color="auto" w:fill="auto"/>
            <w:noWrap/>
            <w:vAlign w:val="bottom"/>
            <w:hideMark/>
          </w:tcPr>
          <w:p w14:paraId="1C1E0B20" w14:textId="77777777" w:rsidR="00A61FF5" w:rsidRPr="00040036" w:rsidRDefault="00A61FF5" w:rsidP="00781DCB">
            <w:pPr>
              <w:pStyle w:val="ESTablebody3ptafter"/>
              <w:jc w:val="right"/>
              <w:rPr>
                <w:sz w:val="13"/>
                <w:lang w:val="en-AU" w:eastAsia="en-AU"/>
              </w:rPr>
            </w:pPr>
            <w:r w:rsidRPr="00040036">
              <w:rPr>
                <w:sz w:val="13"/>
                <w:lang w:val="en-AU" w:eastAsia="en-AU"/>
              </w:rPr>
              <w:t>50.8</w:t>
            </w:r>
          </w:p>
        </w:tc>
        <w:tc>
          <w:tcPr>
            <w:tcW w:w="350" w:type="pct"/>
            <w:tcBorders>
              <w:top w:val="nil"/>
              <w:left w:val="nil"/>
              <w:bottom w:val="nil"/>
              <w:right w:val="nil"/>
            </w:tcBorders>
            <w:shd w:val="clear" w:color="auto" w:fill="auto"/>
            <w:noWrap/>
            <w:vAlign w:val="bottom"/>
            <w:hideMark/>
          </w:tcPr>
          <w:p w14:paraId="479D9A93" w14:textId="77777777" w:rsidR="00A61FF5" w:rsidRPr="00040036" w:rsidRDefault="00A61FF5" w:rsidP="00781DCB">
            <w:pPr>
              <w:pStyle w:val="ESTablebody3ptafter"/>
              <w:jc w:val="right"/>
              <w:rPr>
                <w:sz w:val="13"/>
                <w:lang w:val="en-AU" w:eastAsia="en-AU"/>
              </w:rPr>
            </w:pPr>
            <w:r w:rsidRPr="00040036">
              <w:rPr>
                <w:sz w:val="13"/>
                <w:lang w:val="en-AU" w:eastAsia="en-AU"/>
              </w:rPr>
              <w:t>711</w:t>
            </w:r>
          </w:p>
        </w:tc>
        <w:tc>
          <w:tcPr>
            <w:tcW w:w="249" w:type="pct"/>
            <w:tcBorders>
              <w:top w:val="nil"/>
              <w:left w:val="nil"/>
              <w:bottom w:val="nil"/>
              <w:right w:val="single" w:sz="4" w:space="0" w:color="auto"/>
            </w:tcBorders>
            <w:shd w:val="clear" w:color="auto" w:fill="auto"/>
            <w:noWrap/>
            <w:vAlign w:val="bottom"/>
            <w:hideMark/>
          </w:tcPr>
          <w:p w14:paraId="043FCBFA" w14:textId="77777777" w:rsidR="00A61FF5" w:rsidRPr="00040036" w:rsidRDefault="00A61FF5" w:rsidP="00781DCB">
            <w:pPr>
              <w:pStyle w:val="ESTablebody3ptafter"/>
              <w:jc w:val="right"/>
              <w:rPr>
                <w:sz w:val="13"/>
                <w:lang w:val="en-AU" w:eastAsia="en-AU"/>
              </w:rPr>
            </w:pPr>
            <w:r w:rsidRPr="00040036">
              <w:rPr>
                <w:sz w:val="13"/>
                <w:lang w:val="en-AU" w:eastAsia="en-AU"/>
              </w:rPr>
              <w:t>637.0</w:t>
            </w:r>
          </w:p>
        </w:tc>
        <w:tc>
          <w:tcPr>
            <w:tcW w:w="379" w:type="pct"/>
            <w:tcBorders>
              <w:top w:val="nil"/>
              <w:left w:val="nil"/>
              <w:bottom w:val="nil"/>
              <w:right w:val="nil"/>
            </w:tcBorders>
            <w:shd w:val="clear" w:color="auto" w:fill="auto"/>
            <w:noWrap/>
            <w:vAlign w:val="bottom"/>
            <w:hideMark/>
          </w:tcPr>
          <w:p w14:paraId="1E80EFBE" w14:textId="77777777" w:rsidR="00A61FF5" w:rsidRPr="00040036" w:rsidRDefault="00A61FF5" w:rsidP="00781DCB">
            <w:pPr>
              <w:pStyle w:val="ESTablebody3ptafter"/>
              <w:jc w:val="right"/>
              <w:rPr>
                <w:sz w:val="13"/>
                <w:lang w:val="en-AU" w:eastAsia="en-AU"/>
              </w:rPr>
            </w:pPr>
            <w:r w:rsidRPr="00040036">
              <w:rPr>
                <w:sz w:val="13"/>
                <w:lang w:val="en-AU" w:eastAsia="en-AU"/>
              </w:rPr>
              <w:t>486</w:t>
            </w:r>
          </w:p>
        </w:tc>
        <w:tc>
          <w:tcPr>
            <w:tcW w:w="379" w:type="pct"/>
            <w:tcBorders>
              <w:top w:val="nil"/>
              <w:left w:val="nil"/>
              <w:bottom w:val="nil"/>
              <w:right w:val="nil"/>
            </w:tcBorders>
            <w:shd w:val="clear" w:color="auto" w:fill="auto"/>
            <w:noWrap/>
            <w:vAlign w:val="bottom"/>
            <w:hideMark/>
          </w:tcPr>
          <w:p w14:paraId="537A0F29" w14:textId="77777777" w:rsidR="00A61FF5" w:rsidRPr="00040036" w:rsidRDefault="00A61FF5" w:rsidP="00781DCB">
            <w:pPr>
              <w:pStyle w:val="ESTablebody3ptafter"/>
              <w:jc w:val="right"/>
              <w:rPr>
                <w:sz w:val="13"/>
                <w:lang w:val="en-AU" w:eastAsia="en-AU"/>
              </w:rPr>
            </w:pPr>
            <w:r w:rsidRPr="00040036">
              <w:rPr>
                <w:sz w:val="13"/>
                <w:lang w:val="en-AU" w:eastAsia="en-AU"/>
              </w:rPr>
              <w:t>188</w:t>
            </w:r>
          </w:p>
        </w:tc>
        <w:tc>
          <w:tcPr>
            <w:tcW w:w="249" w:type="pct"/>
            <w:tcBorders>
              <w:top w:val="nil"/>
              <w:left w:val="nil"/>
              <w:bottom w:val="nil"/>
              <w:right w:val="single" w:sz="4" w:space="0" w:color="auto"/>
            </w:tcBorders>
            <w:shd w:val="clear" w:color="auto" w:fill="auto"/>
            <w:noWrap/>
            <w:vAlign w:val="bottom"/>
            <w:hideMark/>
          </w:tcPr>
          <w:p w14:paraId="0CA46825" w14:textId="77777777" w:rsidR="00A61FF5" w:rsidRPr="00040036" w:rsidRDefault="00A61FF5" w:rsidP="00781DCB">
            <w:pPr>
              <w:pStyle w:val="ESTablebody3ptafter"/>
              <w:jc w:val="right"/>
              <w:rPr>
                <w:sz w:val="13"/>
                <w:lang w:val="en-AU" w:eastAsia="en-AU"/>
              </w:rPr>
            </w:pPr>
            <w:r w:rsidRPr="00040036">
              <w:rPr>
                <w:sz w:val="13"/>
                <w:lang w:val="en-AU" w:eastAsia="en-AU"/>
              </w:rPr>
              <w:t>608.8</w:t>
            </w:r>
          </w:p>
        </w:tc>
        <w:tc>
          <w:tcPr>
            <w:tcW w:w="350" w:type="pct"/>
            <w:tcBorders>
              <w:top w:val="nil"/>
              <w:left w:val="nil"/>
              <w:bottom w:val="nil"/>
              <w:right w:val="nil"/>
            </w:tcBorders>
            <w:shd w:val="clear" w:color="auto" w:fill="auto"/>
            <w:noWrap/>
            <w:vAlign w:val="bottom"/>
            <w:hideMark/>
          </w:tcPr>
          <w:p w14:paraId="1A3C1B86" w14:textId="77777777" w:rsidR="00A61FF5" w:rsidRPr="00040036" w:rsidRDefault="00A61FF5" w:rsidP="00781DCB">
            <w:pPr>
              <w:pStyle w:val="ESTablebody3ptafter"/>
              <w:jc w:val="right"/>
              <w:rPr>
                <w:sz w:val="13"/>
                <w:lang w:val="en-AU" w:eastAsia="en-AU"/>
              </w:rPr>
            </w:pPr>
            <w:r w:rsidRPr="00040036">
              <w:rPr>
                <w:sz w:val="13"/>
                <w:lang w:val="en-AU" w:eastAsia="en-AU"/>
              </w:rPr>
              <w:t>37</w:t>
            </w:r>
          </w:p>
        </w:tc>
        <w:tc>
          <w:tcPr>
            <w:tcW w:w="201" w:type="pct"/>
            <w:tcBorders>
              <w:top w:val="nil"/>
              <w:left w:val="nil"/>
              <w:bottom w:val="nil"/>
              <w:right w:val="nil"/>
            </w:tcBorders>
            <w:shd w:val="clear" w:color="auto" w:fill="auto"/>
            <w:noWrap/>
            <w:vAlign w:val="bottom"/>
            <w:hideMark/>
          </w:tcPr>
          <w:p w14:paraId="0EF8B37B" w14:textId="77777777" w:rsidR="00A61FF5" w:rsidRPr="00040036" w:rsidRDefault="00A61FF5" w:rsidP="00781DCB">
            <w:pPr>
              <w:pStyle w:val="ESTablebody3ptafter"/>
              <w:jc w:val="right"/>
              <w:rPr>
                <w:sz w:val="13"/>
                <w:lang w:val="en-AU" w:eastAsia="en-AU"/>
              </w:rPr>
            </w:pPr>
            <w:r w:rsidRPr="00040036">
              <w:rPr>
                <w:sz w:val="13"/>
                <w:lang w:val="en-AU" w:eastAsia="en-AU"/>
              </w:rPr>
              <w:t>28.3</w:t>
            </w:r>
          </w:p>
        </w:tc>
      </w:tr>
      <w:tr w:rsidR="00A61FF5" w:rsidRPr="00932A90" w14:paraId="7CCEA09D" w14:textId="77777777" w:rsidTr="00D07480">
        <w:trPr>
          <w:trHeight w:hRule="exact" w:val="227"/>
        </w:trPr>
        <w:tc>
          <w:tcPr>
            <w:tcW w:w="154" w:type="pct"/>
            <w:vMerge/>
            <w:tcBorders>
              <w:top w:val="nil"/>
              <w:left w:val="nil"/>
              <w:bottom w:val="single" w:sz="4" w:space="0" w:color="000000"/>
              <w:right w:val="nil"/>
            </w:tcBorders>
            <w:vAlign w:val="center"/>
            <w:hideMark/>
          </w:tcPr>
          <w:p w14:paraId="016C1DF4" w14:textId="77777777" w:rsidR="00A61FF5" w:rsidRPr="00040036" w:rsidRDefault="00A61FF5" w:rsidP="00D07480">
            <w:pPr>
              <w:pStyle w:val="ESTablebody3ptafter"/>
              <w:rPr>
                <w:sz w:val="13"/>
                <w:lang w:val="en-AU" w:eastAsia="en-AU"/>
              </w:rPr>
            </w:pPr>
          </w:p>
        </w:tc>
        <w:tc>
          <w:tcPr>
            <w:tcW w:w="457" w:type="pct"/>
            <w:tcBorders>
              <w:top w:val="nil"/>
              <w:left w:val="nil"/>
              <w:bottom w:val="single" w:sz="4" w:space="0" w:color="auto"/>
              <w:right w:val="nil"/>
            </w:tcBorders>
            <w:shd w:val="clear" w:color="auto" w:fill="auto"/>
            <w:noWrap/>
            <w:vAlign w:val="bottom"/>
            <w:hideMark/>
          </w:tcPr>
          <w:p w14:paraId="2BC5DC1B" w14:textId="77777777" w:rsidR="00A61FF5" w:rsidRPr="00040036" w:rsidRDefault="00A61FF5" w:rsidP="00D07480">
            <w:pPr>
              <w:pStyle w:val="ESTablebody3ptafter"/>
              <w:rPr>
                <w:sz w:val="13"/>
                <w:lang w:val="en-AU" w:eastAsia="en-AU"/>
              </w:rPr>
            </w:pPr>
            <w:r w:rsidRPr="00040036">
              <w:rPr>
                <w:sz w:val="13"/>
                <w:lang w:val="en-AU" w:eastAsia="en-AU"/>
              </w:rPr>
              <w:t>Over 64</w:t>
            </w:r>
          </w:p>
        </w:tc>
        <w:tc>
          <w:tcPr>
            <w:tcW w:w="418" w:type="pct"/>
            <w:tcBorders>
              <w:top w:val="nil"/>
              <w:left w:val="nil"/>
              <w:bottom w:val="single" w:sz="4" w:space="0" w:color="auto"/>
              <w:right w:val="nil"/>
            </w:tcBorders>
            <w:shd w:val="clear" w:color="auto" w:fill="auto"/>
            <w:noWrap/>
            <w:vAlign w:val="bottom"/>
            <w:hideMark/>
          </w:tcPr>
          <w:p w14:paraId="6099AFB4" w14:textId="77777777" w:rsidR="00A61FF5" w:rsidRPr="00040036" w:rsidRDefault="00A61FF5" w:rsidP="00781DCB">
            <w:pPr>
              <w:pStyle w:val="ESTablebody3ptafter"/>
              <w:jc w:val="right"/>
              <w:rPr>
                <w:sz w:val="13"/>
                <w:lang w:val="en-AU" w:eastAsia="en-AU"/>
              </w:rPr>
            </w:pPr>
            <w:r w:rsidRPr="00040036">
              <w:rPr>
                <w:sz w:val="13"/>
                <w:lang w:val="en-AU" w:eastAsia="en-AU"/>
              </w:rPr>
              <w:t>135</w:t>
            </w:r>
          </w:p>
        </w:tc>
        <w:tc>
          <w:tcPr>
            <w:tcW w:w="250" w:type="pct"/>
            <w:tcBorders>
              <w:top w:val="nil"/>
              <w:left w:val="nil"/>
              <w:bottom w:val="single" w:sz="4" w:space="0" w:color="auto"/>
              <w:right w:val="single" w:sz="4" w:space="0" w:color="auto"/>
            </w:tcBorders>
            <w:shd w:val="clear" w:color="auto" w:fill="auto"/>
            <w:noWrap/>
            <w:vAlign w:val="bottom"/>
            <w:hideMark/>
          </w:tcPr>
          <w:p w14:paraId="02F68511" w14:textId="77777777" w:rsidR="00A61FF5" w:rsidRPr="00040036" w:rsidRDefault="00A61FF5" w:rsidP="00781DCB">
            <w:pPr>
              <w:pStyle w:val="ESTablebody3ptafter"/>
              <w:jc w:val="right"/>
              <w:rPr>
                <w:sz w:val="13"/>
                <w:lang w:val="en-AU" w:eastAsia="en-AU"/>
              </w:rPr>
            </w:pPr>
            <w:r w:rsidRPr="00040036">
              <w:rPr>
                <w:sz w:val="13"/>
                <w:lang w:val="en-AU" w:eastAsia="en-AU"/>
              </w:rPr>
              <w:t>107.4</w:t>
            </w:r>
          </w:p>
        </w:tc>
        <w:tc>
          <w:tcPr>
            <w:tcW w:w="379" w:type="pct"/>
            <w:tcBorders>
              <w:top w:val="nil"/>
              <w:left w:val="nil"/>
              <w:bottom w:val="single" w:sz="4" w:space="0" w:color="auto"/>
              <w:right w:val="nil"/>
            </w:tcBorders>
            <w:shd w:val="clear" w:color="auto" w:fill="auto"/>
            <w:noWrap/>
            <w:vAlign w:val="bottom"/>
            <w:hideMark/>
          </w:tcPr>
          <w:p w14:paraId="465B91ED" w14:textId="77777777" w:rsidR="00A61FF5" w:rsidRPr="00040036" w:rsidRDefault="00A61FF5" w:rsidP="00781DCB">
            <w:pPr>
              <w:pStyle w:val="ESTablebody3ptafter"/>
              <w:jc w:val="right"/>
              <w:rPr>
                <w:sz w:val="13"/>
                <w:lang w:val="en-AU" w:eastAsia="en-AU"/>
              </w:rPr>
            </w:pPr>
            <w:r w:rsidRPr="00040036">
              <w:rPr>
                <w:sz w:val="13"/>
                <w:lang w:val="en-AU" w:eastAsia="en-AU"/>
              </w:rPr>
              <w:t>68</w:t>
            </w:r>
          </w:p>
        </w:tc>
        <w:tc>
          <w:tcPr>
            <w:tcW w:w="379" w:type="pct"/>
            <w:tcBorders>
              <w:top w:val="nil"/>
              <w:left w:val="nil"/>
              <w:bottom w:val="single" w:sz="4" w:space="0" w:color="auto"/>
              <w:right w:val="nil"/>
            </w:tcBorders>
            <w:shd w:val="clear" w:color="auto" w:fill="auto"/>
            <w:noWrap/>
            <w:vAlign w:val="bottom"/>
            <w:hideMark/>
          </w:tcPr>
          <w:p w14:paraId="41FA0625" w14:textId="77777777" w:rsidR="00A61FF5" w:rsidRPr="00040036" w:rsidRDefault="00A61FF5" w:rsidP="00781DCB">
            <w:pPr>
              <w:pStyle w:val="ESTablebody3ptafter"/>
              <w:jc w:val="right"/>
              <w:rPr>
                <w:sz w:val="13"/>
                <w:lang w:val="en-AU" w:eastAsia="en-AU"/>
              </w:rPr>
            </w:pPr>
            <w:r w:rsidRPr="00040036">
              <w:rPr>
                <w:sz w:val="13"/>
                <w:lang w:val="en-AU" w:eastAsia="en-AU"/>
              </w:rPr>
              <w:t>51</w:t>
            </w:r>
          </w:p>
        </w:tc>
        <w:tc>
          <w:tcPr>
            <w:tcW w:w="249" w:type="pct"/>
            <w:tcBorders>
              <w:top w:val="nil"/>
              <w:left w:val="nil"/>
              <w:bottom w:val="single" w:sz="4" w:space="0" w:color="auto"/>
              <w:right w:val="single" w:sz="4" w:space="0" w:color="auto"/>
            </w:tcBorders>
            <w:shd w:val="clear" w:color="auto" w:fill="auto"/>
            <w:noWrap/>
            <w:vAlign w:val="bottom"/>
            <w:hideMark/>
          </w:tcPr>
          <w:p w14:paraId="2FCA8A24" w14:textId="77777777" w:rsidR="00A61FF5" w:rsidRPr="00040036" w:rsidRDefault="00A61FF5" w:rsidP="00781DCB">
            <w:pPr>
              <w:pStyle w:val="ESTablebody3ptafter"/>
              <w:jc w:val="right"/>
              <w:rPr>
                <w:sz w:val="13"/>
                <w:lang w:val="en-AU" w:eastAsia="en-AU"/>
              </w:rPr>
            </w:pPr>
            <w:r w:rsidRPr="00040036">
              <w:rPr>
                <w:sz w:val="13"/>
                <w:lang w:val="en-AU" w:eastAsia="en-AU"/>
              </w:rPr>
              <w:t>98.5</w:t>
            </w:r>
          </w:p>
        </w:tc>
        <w:tc>
          <w:tcPr>
            <w:tcW w:w="350" w:type="pct"/>
            <w:tcBorders>
              <w:top w:val="nil"/>
              <w:left w:val="nil"/>
              <w:bottom w:val="single" w:sz="4" w:space="0" w:color="auto"/>
              <w:right w:val="nil"/>
            </w:tcBorders>
            <w:shd w:val="clear" w:color="auto" w:fill="auto"/>
            <w:noWrap/>
            <w:vAlign w:val="bottom"/>
            <w:hideMark/>
          </w:tcPr>
          <w:p w14:paraId="0822529C" w14:textId="77777777" w:rsidR="00A61FF5" w:rsidRPr="00040036" w:rsidRDefault="00A61FF5" w:rsidP="00781DCB">
            <w:pPr>
              <w:pStyle w:val="ESTablebody3ptafter"/>
              <w:jc w:val="right"/>
              <w:rPr>
                <w:sz w:val="13"/>
                <w:lang w:val="en-AU" w:eastAsia="en-AU"/>
              </w:rPr>
            </w:pPr>
            <w:r w:rsidRPr="00040036">
              <w:rPr>
                <w:sz w:val="13"/>
                <w:lang w:val="en-AU" w:eastAsia="en-AU"/>
              </w:rPr>
              <w:t>16</w:t>
            </w:r>
          </w:p>
        </w:tc>
        <w:tc>
          <w:tcPr>
            <w:tcW w:w="206" w:type="pct"/>
            <w:tcBorders>
              <w:top w:val="nil"/>
              <w:left w:val="nil"/>
              <w:bottom w:val="single" w:sz="4" w:space="0" w:color="auto"/>
              <w:right w:val="single" w:sz="8" w:space="0" w:color="auto"/>
            </w:tcBorders>
            <w:shd w:val="clear" w:color="auto" w:fill="auto"/>
            <w:noWrap/>
            <w:vAlign w:val="bottom"/>
            <w:hideMark/>
          </w:tcPr>
          <w:p w14:paraId="27C7E1BF" w14:textId="77777777" w:rsidR="00A61FF5" w:rsidRPr="00040036" w:rsidRDefault="00A61FF5" w:rsidP="00781DCB">
            <w:pPr>
              <w:pStyle w:val="ESTablebody3ptafter"/>
              <w:jc w:val="right"/>
              <w:rPr>
                <w:sz w:val="13"/>
                <w:lang w:val="en-AU" w:eastAsia="en-AU"/>
              </w:rPr>
            </w:pPr>
            <w:r w:rsidRPr="00040036">
              <w:rPr>
                <w:sz w:val="13"/>
                <w:lang w:val="en-AU" w:eastAsia="en-AU"/>
              </w:rPr>
              <w:t>8.9</w:t>
            </w:r>
          </w:p>
        </w:tc>
        <w:tc>
          <w:tcPr>
            <w:tcW w:w="350" w:type="pct"/>
            <w:tcBorders>
              <w:top w:val="nil"/>
              <w:left w:val="nil"/>
              <w:bottom w:val="single" w:sz="4" w:space="0" w:color="auto"/>
              <w:right w:val="nil"/>
            </w:tcBorders>
            <w:shd w:val="clear" w:color="auto" w:fill="auto"/>
            <w:noWrap/>
            <w:vAlign w:val="bottom"/>
            <w:hideMark/>
          </w:tcPr>
          <w:p w14:paraId="3A2C2345" w14:textId="77777777" w:rsidR="00A61FF5" w:rsidRPr="00040036" w:rsidRDefault="00A61FF5" w:rsidP="00781DCB">
            <w:pPr>
              <w:pStyle w:val="ESTablebody3ptafter"/>
              <w:jc w:val="right"/>
              <w:rPr>
                <w:sz w:val="13"/>
                <w:lang w:val="en-AU" w:eastAsia="en-AU"/>
              </w:rPr>
            </w:pPr>
            <w:r w:rsidRPr="00040036">
              <w:rPr>
                <w:sz w:val="13"/>
                <w:lang w:val="en-AU" w:eastAsia="en-AU"/>
              </w:rPr>
              <w:t>110</w:t>
            </w:r>
          </w:p>
        </w:tc>
        <w:tc>
          <w:tcPr>
            <w:tcW w:w="249" w:type="pct"/>
            <w:tcBorders>
              <w:top w:val="nil"/>
              <w:left w:val="nil"/>
              <w:bottom w:val="single" w:sz="4" w:space="0" w:color="auto"/>
              <w:right w:val="single" w:sz="4" w:space="0" w:color="auto"/>
            </w:tcBorders>
            <w:shd w:val="clear" w:color="auto" w:fill="auto"/>
            <w:noWrap/>
            <w:vAlign w:val="bottom"/>
            <w:hideMark/>
          </w:tcPr>
          <w:p w14:paraId="4A51E176" w14:textId="77777777" w:rsidR="00A61FF5" w:rsidRPr="00040036" w:rsidRDefault="00A61FF5" w:rsidP="00781DCB">
            <w:pPr>
              <w:pStyle w:val="ESTablebody3ptafter"/>
              <w:jc w:val="right"/>
              <w:rPr>
                <w:sz w:val="13"/>
                <w:lang w:val="en-AU" w:eastAsia="en-AU"/>
              </w:rPr>
            </w:pPr>
            <w:r w:rsidRPr="00040036">
              <w:rPr>
                <w:sz w:val="13"/>
                <w:lang w:val="en-AU" w:eastAsia="en-AU"/>
              </w:rPr>
              <w:t>88.0</w:t>
            </w:r>
          </w:p>
        </w:tc>
        <w:tc>
          <w:tcPr>
            <w:tcW w:w="379" w:type="pct"/>
            <w:tcBorders>
              <w:top w:val="nil"/>
              <w:left w:val="nil"/>
              <w:bottom w:val="single" w:sz="4" w:space="0" w:color="auto"/>
              <w:right w:val="nil"/>
            </w:tcBorders>
            <w:shd w:val="clear" w:color="auto" w:fill="auto"/>
            <w:noWrap/>
            <w:vAlign w:val="bottom"/>
            <w:hideMark/>
          </w:tcPr>
          <w:p w14:paraId="42434C13" w14:textId="77777777" w:rsidR="00A61FF5" w:rsidRPr="00040036" w:rsidRDefault="00A61FF5" w:rsidP="00781DCB">
            <w:pPr>
              <w:pStyle w:val="ESTablebody3ptafter"/>
              <w:jc w:val="right"/>
              <w:rPr>
                <w:sz w:val="13"/>
                <w:lang w:val="en-AU" w:eastAsia="en-AU"/>
              </w:rPr>
            </w:pPr>
            <w:r w:rsidRPr="00040036">
              <w:rPr>
                <w:sz w:val="13"/>
                <w:lang w:val="en-AU" w:eastAsia="en-AU"/>
              </w:rPr>
              <w:t>60</w:t>
            </w:r>
          </w:p>
        </w:tc>
        <w:tc>
          <w:tcPr>
            <w:tcW w:w="379" w:type="pct"/>
            <w:tcBorders>
              <w:top w:val="nil"/>
              <w:left w:val="nil"/>
              <w:bottom w:val="single" w:sz="4" w:space="0" w:color="auto"/>
              <w:right w:val="nil"/>
            </w:tcBorders>
            <w:shd w:val="clear" w:color="auto" w:fill="auto"/>
            <w:noWrap/>
            <w:vAlign w:val="bottom"/>
            <w:hideMark/>
          </w:tcPr>
          <w:p w14:paraId="2ACA576F" w14:textId="77777777" w:rsidR="00A61FF5" w:rsidRPr="00040036" w:rsidRDefault="00A61FF5" w:rsidP="00781DCB">
            <w:pPr>
              <w:pStyle w:val="ESTablebody3ptafter"/>
              <w:jc w:val="right"/>
              <w:rPr>
                <w:sz w:val="13"/>
                <w:lang w:val="en-AU" w:eastAsia="en-AU"/>
              </w:rPr>
            </w:pPr>
            <w:r w:rsidRPr="00040036">
              <w:rPr>
                <w:sz w:val="13"/>
                <w:lang w:val="en-AU" w:eastAsia="en-AU"/>
              </w:rPr>
              <w:t>42</w:t>
            </w:r>
          </w:p>
        </w:tc>
        <w:tc>
          <w:tcPr>
            <w:tcW w:w="249" w:type="pct"/>
            <w:tcBorders>
              <w:top w:val="nil"/>
              <w:left w:val="nil"/>
              <w:bottom w:val="single" w:sz="4" w:space="0" w:color="auto"/>
              <w:right w:val="single" w:sz="4" w:space="0" w:color="auto"/>
            </w:tcBorders>
            <w:shd w:val="clear" w:color="auto" w:fill="auto"/>
            <w:noWrap/>
            <w:vAlign w:val="bottom"/>
            <w:hideMark/>
          </w:tcPr>
          <w:p w14:paraId="2F8911B2" w14:textId="77777777" w:rsidR="00A61FF5" w:rsidRPr="00040036" w:rsidRDefault="00A61FF5" w:rsidP="00781DCB">
            <w:pPr>
              <w:pStyle w:val="ESTablebody3ptafter"/>
              <w:jc w:val="right"/>
              <w:rPr>
                <w:sz w:val="13"/>
                <w:lang w:val="en-AU" w:eastAsia="en-AU"/>
              </w:rPr>
            </w:pPr>
            <w:r w:rsidRPr="00040036">
              <w:rPr>
                <w:sz w:val="13"/>
                <w:lang w:val="en-AU" w:eastAsia="en-AU"/>
              </w:rPr>
              <w:t>84.8</w:t>
            </w:r>
          </w:p>
        </w:tc>
        <w:tc>
          <w:tcPr>
            <w:tcW w:w="350" w:type="pct"/>
            <w:tcBorders>
              <w:top w:val="nil"/>
              <w:left w:val="nil"/>
              <w:bottom w:val="single" w:sz="4" w:space="0" w:color="auto"/>
              <w:right w:val="nil"/>
            </w:tcBorders>
            <w:shd w:val="clear" w:color="auto" w:fill="auto"/>
            <w:noWrap/>
            <w:vAlign w:val="bottom"/>
            <w:hideMark/>
          </w:tcPr>
          <w:p w14:paraId="3878A15F" w14:textId="77777777" w:rsidR="00A61FF5" w:rsidRPr="00040036" w:rsidRDefault="00A61FF5" w:rsidP="00781DCB">
            <w:pPr>
              <w:pStyle w:val="ESTablebody3ptafter"/>
              <w:jc w:val="right"/>
              <w:rPr>
                <w:sz w:val="13"/>
                <w:lang w:val="en-AU" w:eastAsia="en-AU"/>
              </w:rPr>
            </w:pPr>
            <w:r w:rsidRPr="00040036">
              <w:rPr>
                <w:sz w:val="13"/>
                <w:lang w:val="en-AU" w:eastAsia="en-AU"/>
              </w:rPr>
              <w:t>8</w:t>
            </w:r>
          </w:p>
        </w:tc>
        <w:tc>
          <w:tcPr>
            <w:tcW w:w="201" w:type="pct"/>
            <w:tcBorders>
              <w:top w:val="nil"/>
              <w:left w:val="nil"/>
              <w:bottom w:val="single" w:sz="4" w:space="0" w:color="auto"/>
              <w:right w:val="nil"/>
            </w:tcBorders>
            <w:shd w:val="clear" w:color="auto" w:fill="auto"/>
            <w:noWrap/>
            <w:vAlign w:val="bottom"/>
            <w:hideMark/>
          </w:tcPr>
          <w:p w14:paraId="06D38CD6" w14:textId="77777777" w:rsidR="00A61FF5" w:rsidRPr="00040036" w:rsidRDefault="00A61FF5" w:rsidP="00781DCB">
            <w:pPr>
              <w:pStyle w:val="ESTablebody3ptafter"/>
              <w:jc w:val="right"/>
              <w:rPr>
                <w:sz w:val="13"/>
                <w:lang w:val="en-AU" w:eastAsia="en-AU"/>
              </w:rPr>
            </w:pPr>
            <w:r w:rsidRPr="00040036">
              <w:rPr>
                <w:sz w:val="13"/>
                <w:lang w:val="en-AU" w:eastAsia="en-AU"/>
              </w:rPr>
              <w:t>3.2</w:t>
            </w:r>
          </w:p>
        </w:tc>
      </w:tr>
      <w:tr w:rsidR="00A61FF5" w:rsidRPr="00932A90" w14:paraId="5D4D5E69" w14:textId="77777777" w:rsidTr="00366F71">
        <w:tc>
          <w:tcPr>
            <w:tcW w:w="154" w:type="pct"/>
            <w:tcBorders>
              <w:top w:val="nil"/>
              <w:left w:val="nil"/>
              <w:bottom w:val="nil"/>
              <w:right w:val="nil"/>
            </w:tcBorders>
            <w:shd w:val="clear" w:color="auto" w:fill="auto"/>
            <w:noWrap/>
            <w:tcMar>
              <w:top w:w="113" w:type="dxa"/>
            </w:tcMar>
            <w:textDirection w:val="btLr"/>
            <w:hideMark/>
          </w:tcPr>
          <w:p w14:paraId="1DF4B40D"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tcMar>
              <w:top w:w="113" w:type="dxa"/>
            </w:tcMar>
            <w:hideMark/>
          </w:tcPr>
          <w:p w14:paraId="4FAC2ADE" w14:textId="23B08085" w:rsidR="00A61FF5" w:rsidRPr="00040036" w:rsidRDefault="00A61FF5" w:rsidP="008C1498">
            <w:pPr>
              <w:pStyle w:val="ESTablebody3ptafter"/>
              <w:rPr>
                <w:sz w:val="13"/>
                <w:lang w:val="en-AU" w:eastAsia="en-AU"/>
              </w:rPr>
            </w:pPr>
            <w:r w:rsidRPr="00040036">
              <w:rPr>
                <w:sz w:val="13"/>
                <w:lang w:val="en-AU" w:eastAsia="en-AU"/>
              </w:rPr>
              <w:t>VPSG1</w:t>
            </w:r>
            <w:r w:rsidR="008C1498" w:rsidRPr="00040036">
              <w:rPr>
                <w:sz w:val="13"/>
                <w:lang w:val="en-AU" w:eastAsia="en-AU"/>
              </w:rPr>
              <w:t>–</w:t>
            </w:r>
            <w:r w:rsidRPr="00040036">
              <w:rPr>
                <w:sz w:val="13"/>
                <w:lang w:val="en-AU" w:eastAsia="en-AU"/>
              </w:rPr>
              <w:t>6</w:t>
            </w:r>
          </w:p>
        </w:tc>
        <w:tc>
          <w:tcPr>
            <w:tcW w:w="418" w:type="pct"/>
            <w:tcBorders>
              <w:top w:val="nil"/>
              <w:left w:val="nil"/>
              <w:bottom w:val="nil"/>
              <w:right w:val="nil"/>
            </w:tcBorders>
            <w:shd w:val="clear" w:color="auto" w:fill="auto"/>
            <w:noWrap/>
            <w:tcMar>
              <w:top w:w="113" w:type="dxa"/>
            </w:tcMar>
            <w:hideMark/>
          </w:tcPr>
          <w:p w14:paraId="1AF55FD1" w14:textId="71B84C97" w:rsidR="00A61FF5" w:rsidRPr="00040036" w:rsidRDefault="00A61FF5" w:rsidP="00781DCB">
            <w:pPr>
              <w:pStyle w:val="ESTablebody3ptafter"/>
              <w:jc w:val="right"/>
              <w:rPr>
                <w:sz w:val="13"/>
                <w:lang w:val="en-AU" w:eastAsia="en-AU"/>
              </w:rPr>
            </w:pPr>
            <w:r w:rsidRPr="00040036">
              <w:rPr>
                <w:sz w:val="13"/>
                <w:lang w:val="en-AU" w:eastAsia="en-AU"/>
              </w:rPr>
              <w:t>2</w:t>
            </w:r>
            <w:r w:rsidR="009452EC" w:rsidRPr="00040036">
              <w:rPr>
                <w:sz w:val="13"/>
                <w:lang w:val="en-AU" w:eastAsia="en-AU"/>
              </w:rPr>
              <w:t>,</w:t>
            </w:r>
            <w:r w:rsidRPr="00040036">
              <w:rPr>
                <w:sz w:val="13"/>
                <w:lang w:val="en-AU" w:eastAsia="en-AU"/>
              </w:rPr>
              <w:t>444</w:t>
            </w:r>
          </w:p>
        </w:tc>
        <w:tc>
          <w:tcPr>
            <w:tcW w:w="250" w:type="pct"/>
            <w:tcBorders>
              <w:top w:val="nil"/>
              <w:left w:val="nil"/>
              <w:bottom w:val="nil"/>
              <w:right w:val="single" w:sz="4" w:space="0" w:color="auto"/>
            </w:tcBorders>
            <w:shd w:val="clear" w:color="auto" w:fill="auto"/>
            <w:noWrap/>
            <w:tcMar>
              <w:top w:w="113" w:type="dxa"/>
            </w:tcMar>
            <w:hideMark/>
          </w:tcPr>
          <w:p w14:paraId="52698E3F" w14:textId="4557ABD2" w:rsidR="00A61FF5" w:rsidRPr="00040036" w:rsidRDefault="00A61FF5" w:rsidP="00781DCB">
            <w:pPr>
              <w:pStyle w:val="ESTablebody3ptafter"/>
              <w:jc w:val="right"/>
              <w:rPr>
                <w:sz w:val="13"/>
                <w:lang w:val="en-AU" w:eastAsia="en-AU"/>
              </w:rPr>
            </w:pPr>
            <w:r w:rsidRPr="00040036">
              <w:rPr>
                <w:sz w:val="13"/>
                <w:lang w:val="en-AU" w:eastAsia="en-AU"/>
              </w:rPr>
              <w:t>2</w:t>
            </w:r>
            <w:r w:rsidR="009452EC" w:rsidRPr="00040036">
              <w:rPr>
                <w:sz w:val="13"/>
                <w:lang w:val="en-AU" w:eastAsia="en-AU"/>
              </w:rPr>
              <w:t>,</w:t>
            </w:r>
            <w:r w:rsidRPr="00040036">
              <w:rPr>
                <w:sz w:val="13"/>
                <w:lang w:val="en-AU" w:eastAsia="en-AU"/>
              </w:rPr>
              <w:t>288.3</w:t>
            </w:r>
          </w:p>
        </w:tc>
        <w:tc>
          <w:tcPr>
            <w:tcW w:w="379" w:type="pct"/>
            <w:tcBorders>
              <w:top w:val="nil"/>
              <w:left w:val="nil"/>
              <w:bottom w:val="nil"/>
              <w:right w:val="nil"/>
            </w:tcBorders>
            <w:shd w:val="clear" w:color="auto" w:fill="auto"/>
            <w:noWrap/>
            <w:tcMar>
              <w:top w:w="113" w:type="dxa"/>
            </w:tcMar>
            <w:hideMark/>
          </w:tcPr>
          <w:p w14:paraId="3682DF01" w14:textId="1D0AE09D"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617</w:t>
            </w:r>
          </w:p>
        </w:tc>
        <w:tc>
          <w:tcPr>
            <w:tcW w:w="379" w:type="pct"/>
            <w:tcBorders>
              <w:top w:val="nil"/>
              <w:left w:val="nil"/>
              <w:bottom w:val="nil"/>
              <w:right w:val="nil"/>
            </w:tcBorders>
            <w:shd w:val="clear" w:color="auto" w:fill="auto"/>
            <w:noWrap/>
            <w:tcMar>
              <w:top w:w="113" w:type="dxa"/>
            </w:tcMar>
            <w:hideMark/>
          </w:tcPr>
          <w:p w14:paraId="55B1F437" w14:textId="77777777" w:rsidR="00A61FF5" w:rsidRPr="00040036" w:rsidRDefault="00A61FF5" w:rsidP="00781DCB">
            <w:pPr>
              <w:pStyle w:val="ESTablebody3ptafter"/>
              <w:jc w:val="right"/>
              <w:rPr>
                <w:sz w:val="13"/>
                <w:lang w:val="en-AU" w:eastAsia="en-AU"/>
              </w:rPr>
            </w:pPr>
            <w:r w:rsidRPr="00040036">
              <w:rPr>
                <w:sz w:val="13"/>
                <w:lang w:val="en-AU" w:eastAsia="en-AU"/>
              </w:rPr>
              <w:t>360</w:t>
            </w:r>
          </w:p>
        </w:tc>
        <w:tc>
          <w:tcPr>
            <w:tcW w:w="249" w:type="pct"/>
            <w:tcBorders>
              <w:top w:val="nil"/>
              <w:left w:val="nil"/>
              <w:bottom w:val="nil"/>
              <w:right w:val="single" w:sz="4" w:space="0" w:color="auto"/>
            </w:tcBorders>
            <w:shd w:val="clear" w:color="auto" w:fill="auto"/>
            <w:noWrap/>
            <w:tcMar>
              <w:top w:w="113" w:type="dxa"/>
            </w:tcMar>
            <w:hideMark/>
          </w:tcPr>
          <w:p w14:paraId="26F2CD6E" w14:textId="7E1D3140"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866.9</w:t>
            </w:r>
          </w:p>
        </w:tc>
        <w:tc>
          <w:tcPr>
            <w:tcW w:w="350" w:type="pct"/>
            <w:tcBorders>
              <w:top w:val="nil"/>
              <w:left w:val="nil"/>
              <w:bottom w:val="nil"/>
              <w:right w:val="nil"/>
            </w:tcBorders>
            <w:shd w:val="clear" w:color="auto" w:fill="auto"/>
            <w:noWrap/>
            <w:tcMar>
              <w:top w:w="113" w:type="dxa"/>
            </w:tcMar>
            <w:hideMark/>
          </w:tcPr>
          <w:p w14:paraId="4BBFBA92" w14:textId="77777777" w:rsidR="00A61FF5" w:rsidRPr="00040036" w:rsidRDefault="00A61FF5" w:rsidP="00781DCB">
            <w:pPr>
              <w:pStyle w:val="ESTablebody3ptafter"/>
              <w:jc w:val="right"/>
              <w:rPr>
                <w:sz w:val="13"/>
                <w:lang w:val="en-AU" w:eastAsia="en-AU"/>
              </w:rPr>
            </w:pPr>
            <w:r w:rsidRPr="00040036">
              <w:rPr>
                <w:sz w:val="13"/>
                <w:lang w:val="en-AU" w:eastAsia="en-AU"/>
              </w:rPr>
              <w:t>467</w:t>
            </w:r>
          </w:p>
        </w:tc>
        <w:tc>
          <w:tcPr>
            <w:tcW w:w="206" w:type="pct"/>
            <w:tcBorders>
              <w:top w:val="nil"/>
              <w:left w:val="nil"/>
              <w:bottom w:val="nil"/>
              <w:right w:val="single" w:sz="8" w:space="0" w:color="auto"/>
            </w:tcBorders>
            <w:shd w:val="clear" w:color="auto" w:fill="auto"/>
            <w:noWrap/>
            <w:tcMar>
              <w:top w:w="113" w:type="dxa"/>
            </w:tcMar>
            <w:hideMark/>
          </w:tcPr>
          <w:p w14:paraId="15654311" w14:textId="77777777" w:rsidR="00A61FF5" w:rsidRPr="00040036" w:rsidRDefault="00A61FF5" w:rsidP="00781DCB">
            <w:pPr>
              <w:pStyle w:val="ESTablebody3ptafter"/>
              <w:jc w:val="right"/>
              <w:rPr>
                <w:sz w:val="13"/>
                <w:lang w:val="en-AU" w:eastAsia="en-AU"/>
              </w:rPr>
            </w:pPr>
            <w:r w:rsidRPr="00040036">
              <w:rPr>
                <w:sz w:val="13"/>
                <w:lang w:val="en-AU" w:eastAsia="en-AU"/>
              </w:rPr>
              <w:t>421.3</w:t>
            </w:r>
          </w:p>
        </w:tc>
        <w:tc>
          <w:tcPr>
            <w:tcW w:w="350" w:type="pct"/>
            <w:tcBorders>
              <w:top w:val="nil"/>
              <w:left w:val="nil"/>
              <w:bottom w:val="nil"/>
              <w:right w:val="nil"/>
            </w:tcBorders>
            <w:shd w:val="clear" w:color="auto" w:fill="auto"/>
            <w:noWrap/>
            <w:tcMar>
              <w:top w:w="113" w:type="dxa"/>
            </w:tcMar>
            <w:hideMark/>
          </w:tcPr>
          <w:p w14:paraId="68CA965A" w14:textId="0FCB5952"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973</w:t>
            </w:r>
          </w:p>
        </w:tc>
        <w:tc>
          <w:tcPr>
            <w:tcW w:w="249" w:type="pct"/>
            <w:tcBorders>
              <w:top w:val="nil"/>
              <w:left w:val="nil"/>
              <w:bottom w:val="nil"/>
              <w:right w:val="single" w:sz="4" w:space="0" w:color="auto"/>
            </w:tcBorders>
            <w:shd w:val="clear" w:color="auto" w:fill="auto"/>
            <w:noWrap/>
            <w:tcMar>
              <w:top w:w="113" w:type="dxa"/>
            </w:tcMar>
            <w:hideMark/>
          </w:tcPr>
          <w:p w14:paraId="3EF6D6DC" w14:textId="47A15D1E"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844.8</w:t>
            </w:r>
          </w:p>
        </w:tc>
        <w:tc>
          <w:tcPr>
            <w:tcW w:w="379" w:type="pct"/>
            <w:tcBorders>
              <w:top w:val="nil"/>
              <w:left w:val="nil"/>
              <w:bottom w:val="nil"/>
              <w:right w:val="nil"/>
            </w:tcBorders>
            <w:shd w:val="clear" w:color="auto" w:fill="auto"/>
            <w:noWrap/>
            <w:tcMar>
              <w:top w:w="113" w:type="dxa"/>
            </w:tcMar>
            <w:hideMark/>
          </w:tcPr>
          <w:p w14:paraId="1E9D796F" w14:textId="482201F8"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410</w:t>
            </w:r>
          </w:p>
        </w:tc>
        <w:tc>
          <w:tcPr>
            <w:tcW w:w="379" w:type="pct"/>
            <w:tcBorders>
              <w:top w:val="nil"/>
              <w:left w:val="nil"/>
              <w:bottom w:val="nil"/>
              <w:right w:val="nil"/>
            </w:tcBorders>
            <w:shd w:val="clear" w:color="auto" w:fill="auto"/>
            <w:noWrap/>
            <w:tcMar>
              <w:top w:w="113" w:type="dxa"/>
            </w:tcMar>
            <w:hideMark/>
          </w:tcPr>
          <w:p w14:paraId="1A48640E" w14:textId="77777777" w:rsidR="00A61FF5" w:rsidRPr="00040036" w:rsidRDefault="00A61FF5" w:rsidP="00781DCB">
            <w:pPr>
              <w:pStyle w:val="ESTablebody3ptafter"/>
              <w:jc w:val="right"/>
              <w:rPr>
                <w:sz w:val="13"/>
                <w:lang w:val="en-AU" w:eastAsia="en-AU"/>
              </w:rPr>
            </w:pPr>
            <w:r w:rsidRPr="00040036">
              <w:rPr>
                <w:sz w:val="13"/>
                <w:lang w:val="en-AU" w:eastAsia="en-AU"/>
              </w:rPr>
              <w:t>306</w:t>
            </w:r>
          </w:p>
        </w:tc>
        <w:tc>
          <w:tcPr>
            <w:tcW w:w="249" w:type="pct"/>
            <w:tcBorders>
              <w:top w:val="nil"/>
              <w:left w:val="nil"/>
              <w:bottom w:val="nil"/>
              <w:right w:val="single" w:sz="4" w:space="0" w:color="auto"/>
            </w:tcBorders>
            <w:shd w:val="clear" w:color="auto" w:fill="auto"/>
            <w:noWrap/>
            <w:tcMar>
              <w:top w:w="113" w:type="dxa"/>
            </w:tcMar>
            <w:hideMark/>
          </w:tcPr>
          <w:p w14:paraId="6633208F" w14:textId="798A4536" w:rsidR="00A61FF5" w:rsidRPr="00040036" w:rsidRDefault="00A61FF5" w:rsidP="00781DCB">
            <w:pPr>
              <w:pStyle w:val="ESTablebody3ptafter"/>
              <w:jc w:val="right"/>
              <w:rPr>
                <w:sz w:val="13"/>
                <w:lang w:val="en-AU" w:eastAsia="en-AU"/>
              </w:rPr>
            </w:pPr>
            <w:r w:rsidRPr="00040036">
              <w:rPr>
                <w:sz w:val="13"/>
                <w:lang w:val="en-AU" w:eastAsia="en-AU"/>
              </w:rPr>
              <w:t>1</w:t>
            </w:r>
            <w:r w:rsidR="009452EC" w:rsidRPr="00040036">
              <w:rPr>
                <w:sz w:val="13"/>
                <w:lang w:val="en-AU" w:eastAsia="en-AU"/>
              </w:rPr>
              <w:t>,</w:t>
            </w:r>
            <w:r w:rsidRPr="00040036">
              <w:rPr>
                <w:sz w:val="13"/>
                <w:lang w:val="en-AU" w:eastAsia="en-AU"/>
              </w:rPr>
              <w:t>620.2</w:t>
            </w:r>
          </w:p>
        </w:tc>
        <w:tc>
          <w:tcPr>
            <w:tcW w:w="350" w:type="pct"/>
            <w:tcBorders>
              <w:top w:val="nil"/>
              <w:left w:val="nil"/>
              <w:bottom w:val="nil"/>
              <w:right w:val="nil"/>
            </w:tcBorders>
            <w:shd w:val="clear" w:color="auto" w:fill="auto"/>
            <w:noWrap/>
            <w:tcMar>
              <w:top w:w="113" w:type="dxa"/>
            </w:tcMar>
            <w:hideMark/>
          </w:tcPr>
          <w:p w14:paraId="527505FC" w14:textId="77777777" w:rsidR="00A61FF5" w:rsidRPr="00040036" w:rsidRDefault="00A61FF5" w:rsidP="00781DCB">
            <w:pPr>
              <w:pStyle w:val="ESTablebody3ptafter"/>
              <w:jc w:val="right"/>
              <w:rPr>
                <w:sz w:val="13"/>
                <w:lang w:val="en-AU" w:eastAsia="en-AU"/>
              </w:rPr>
            </w:pPr>
            <w:r w:rsidRPr="00040036">
              <w:rPr>
                <w:sz w:val="13"/>
                <w:lang w:val="en-AU" w:eastAsia="en-AU"/>
              </w:rPr>
              <w:t>257</w:t>
            </w:r>
          </w:p>
        </w:tc>
        <w:tc>
          <w:tcPr>
            <w:tcW w:w="201" w:type="pct"/>
            <w:tcBorders>
              <w:top w:val="nil"/>
              <w:left w:val="nil"/>
              <w:bottom w:val="nil"/>
              <w:right w:val="nil"/>
            </w:tcBorders>
            <w:shd w:val="clear" w:color="auto" w:fill="auto"/>
            <w:noWrap/>
            <w:tcMar>
              <w:top w:w="113" w:type="dxa"/>
            </w:tcMar>
            <w:hideMark/>
          </w:tcPr>
          <w:p w14:paraId="6E736DEF" w14:textId="77777777" w:rsidR="00A61FF5" w:rsidRPr="00040036" w:rsidRDefault="00A61FF5" w:rsidP="00781DCB">
            <w:pPr>
              <w:pStyle w:val="ESTablebody3ptafter"/>
              <w:jc w:val="right"/>
              <w:rPr>
                <w:sz w:val="13"/>
                <w:lang w:val="en-AU" w:eastAsia="en-AU"/>
              </w:rPr>
            </w:pPr>
            <w:r w:rsidRPr="00040036">
              <w:rPr>
                <w:sz w:val="13"/>
                <w:lang w:val="en-AU" w:eastAsia="en-AU"/>
              </w:rPr>
              <w:t>224.6</w:t>
            </w:r>
          </w:p>
        </w:tc>
      </w:tr>
      <w:tr w:rsidR="00A61FF5" w:rsidRPr="00932A90" w14:paraId="2DABCDFA" w14:textId="77777777" w:rsidTr="00D07480">
        <w:trPr>
          <w:trHeight w:hRule="exact" w:val="227"/>
        </w:trPr>
        <w:tc>
          <w:tcPr>
            <w:tcW w:w="154" w:type="pct"/>
            <w:vMerge w:val="restart"/>
            <w:tcBorders>
              <w:top w:val="nil"/>
              <w:left w:val="nil"/>
              <w:right w:val="nil"/>
            </w:tcBorders>
            <w:shd w:val="clear" w:color="auto" w:fill="auto"/>
            <w:noWrap/>
            <w:textDirection w:val="btLr"/>
            <w:vAlign w:val="center"/>
            <w:hideMark/>
          </w:tcPr>
          <w:p w14:paraId="7C2BD442" w14:textId="77777777" w:rsidR="00A61FF5" w:rsidRPr="00040036" w:rsidRDefault="00A61FF5" w:rsidP="00D07480">
            <w:pPr>
              <w:pStyle w:val="ESTablebody3ptafter"/>
              <w:jc w:val="center"/>
              <w:rPr>
                <w:szCs w:val="16"/>
                <w:lang w:val="en-AU" w:eastAsia="en-AU"/>
              </w:rPr>
            </w:pPr>
            <w:r w:rsidRPr="00040036">
              <w:rPr>
                <w:szCs w:val="16"/>
                <w:lang w:val="en-AU" w:eastAsia="en-AU"/>
              </w:rPr>
              <w:t>Classification data</w:t>
            </w:r>
          </w:p>
        </w:tc>
        <w:tc>
          <w:tcPr>
            <w:tcW w:w="457" w:type="pct"/>
            <w:tcBorders>
              <w:top w:val="nil"/>
              <w:left w:val="nil"/>
              <w:bottom w:val="nil"/>
              <w:right w:val="nil"/>
            </w:tcBorders>
            <w:shd w:val="clear" w:color="auto" w:fill="auto"/>
            <w:noWrap/>
            <w:vAlign w:val="bottom"/>
            <w:hideMark/>
          </w:tcPr>
          <w:p w14:paraId="387ADA51" w14:textId="77777777" w:rsidR="00A61FF5" w:rsidRPr="00040036" w:rsidRDefault="00A61FF5" w:rsidP="00D07480">
            <w:pPr>
              <w:pStyle w:val="ESTablebody3ptafter"/>
              <w:rPr>
                <w:sz w:val="13"/>
                <w:lang w:val="en-AU" w:eastAsia="en-AU"/>
              </w:rPr>
            </w:pPr>
            <w:r w:rsidRPr="00040036">
              <w:rPr>
                <w:sz w:val="13"/>
                <w:lang w:val="en-AU" w:eastAsia="en-AU"/>
              </w:rPr>
              <w:t>VPSG1</w:t>
            </w:r>
          </w:p>
        </w:tc>
        <w:tc>
          <w:tcPr>
            <w:tcW w:w="418" w:type="pct"/>
            <w:tcBorders>
              <w:top w:val="nil"/>
              <w:left w:val="nil"/>
              <w:bottom w:val="nil"/>
              <w:right w:val="nil"/>
            </w:tcBorders>
            <w:shd w:val="clear" w:color="auto" w:fill="auto"/>
            <w:noWrap/>
            <w:vAlign w:val="bottom"/>
            <w:hideMark/>
          </w:tcPr>
          <w:p w14:paraId="5C163675" w14:textId="77777777" w:rsidR="00A61FF5" w:rsidRPr="00040036" w:rsidRDefault="00A61FF5" w:rsidP="00781DCB">
            <w:pPr>
              <w:pStyle w:val="ESTablebody3ptafter"/>
              <w:jc w:val="right"/>
              <w:rPr>
                <w:sz w:val="13"/>
                <w:lang w:val="en-AU" w:eastAsia="en-AU"/>
              </w:rPr>
            </w:pPr>
            <w:r w:rsidRPr="00040036">
              <w:rPr>
                <w:sz w:val="13"/>
                <w:lang w:val="en-AU" w:eastAsia="en-AU"/>
              </w:rPr>
              <w:t>1</w:t>
            </w:r>
          </w:p>
        </w:tc>
        <w:tc>
          <w:tcPr>
            <w:tcW w:w="250" w:type="pct"/>
            <w:tcBorders>
              <w:top w:val="nil"/>
              <w:left w:val="nil"/>
              <w:bottom w:val="nil"/>
              <w:right w:val="single" w:sz="4" w:space="0" w:color="auto"/>
            </w:tcBorders>
            <w:shd w:val="clear" w:color="auto" w:fill="auto"/>
            <w:noWrap/>
            <w:vAlign w:val="bottom"/>
            <w:hideMark/>
          </w:tcPr>
          <w:p w14:paraId="5B3408F5" w14:textId="77777777" w:rsidR="00A61FF5" w:rsidRPr="00040036" w:rsidRDefault="00A61FF5" w:rsidP="00781DCB">
            <w:pPr>
              <w:pStyle w:val="ESTablebody3ptafter"/>
              <w:jc w:val="right"/>
              <w:rPr>
                <w:sz w:val="13"/>
                <w:lang w:val="en-AU" w:eastAsia="en-AU"/>
              </w:rPr>
            </w:pPr>
            <w:r w:rsidRPr="00040036">
              <w:rPr>
                <w:sz w:val="13"/>
                <w:lang w:val="en-AU" w:eastAsia="en-AU"/>
              </w:rPr>
              <w:t>0.9</w:t>
            </w:r>
          </w:p>
        </w:tc>
        <w:tc>
          <w:tcPr>
            <w:tcW w:w="379" w:type="pct"/>
            <w:tcBorders>
              <w:top w:val="nil"/>
              <w:left w:val="nil"/>
              <w:bottom w:val="nil"/>
              <w:right w:val="nil"/>
            </w:tcBorders>
            <w:shd w:val="clear" w:color="auto" w:fill="auto"/>
            <w:noWrap/>
            <w:vAlign w:val="bottom"/>
            <w:hideMark/>
          </w:tcPr>
          <w:p w14:paraId="764892C4" w14:textId="48554B4A" w:rsidR="00A61FF5" w:rsidRPr="00040036" w:rsidRDefault="00781DCB" w:rsidP="00781DCB">
            <w:pPr>
              <w:pStyle w:val="ESTablebody3ptafter"/>
              <w:jc w:val="right"/>
              <w:rPr>
                <w:sz w:val="13"/>
                <w:lang w:val="en-AU" w:eastAsia="en-AU"/>
              </w:rPr>
            </w:pPr>
            <w:r w:rsidRPr="00040036">
              <w:rPr>
                <w:sz w:val="13"/>
                <w:lang w:val="en-AU" w:eastAsia="en-AU"/>
              </w:rPr>
              <w:t>–</w:t>
            </w:r>
          </w:p>
        </w:tc>
        <w:tc>
          <w:tcPr>
            <w:tcW w:w="379" w:type="pct"/>
            <w:tcBorders>
              <w:top w:val="nil"/>
              <w:left w:val="nil"/>
              <w:bottom w:val="nil"/>
              <w:right w:val="nil"/>
            </w:tcBorders>
            <w:shd w:val="clear" w:color="auto" w:fill="auto"/>
            <w:noWrap/>
            <w:vAlign w:val="bottom"/>
            <w:hideMark/>
          </w:tcPr>
          <w:p w14:paraId="59335B65" w14:textId="240129ED" w:rsidR="00A61FF5" w:rsidRPr="00040036" w:rsidRDefault="00781DCB" w:rsidP="00781DCB">
            <w:pPr>
              <w:pStyle w:val="ESTablebody3ptafter"/>
              <w:jc w:val="right"/>
              <w:rPr>
                <w:sz w:val="13"/>
                <w:lang w:val="en-AU" w:eastAsia="en-AU"/>
              </w:rPr>
            </w:pPr>
            <w:r w:rsidRPr="00040036">
              <w:rPr>
                <w:sz w:val="13"/>
                <w:lang w:val="en-AU" w:eastAsia="en-AU"/>
              </w:rPr>
              <w:t>–</w:t>
            </w:r>
          </w:p>
        </w:tc>
        <w:tc>
          <w:tcPr>
            <w:tcW w:w="249" w:type="pct"/>
            <w:tcBorders>
              <w:top w:val="nil"/>
              <w:left w:val="nil"/>
              <w:bottom w:val="nil"/>
              <w:right w:val="single" w:sz="4" w:space="0" w:color="auto"/>
            </w:tcBorders>
            <w:shd w:val="clear" w:color="auto" w:fill="auto"/>
            <w:noWrap/>
            <w:vAlign w:val="bottom"/>
            <w:hideMark/>
          </w:tcPr>
          <w:p w14:paraId="224604A4" w14:textId="44030502" w:rsidR="00A61FF5" w:rsidRPr="00040036" w:rsidRDefault="00781DCB" w:rsidP="00781DCB">
            <w:pPr>
              <w:pStyle w:val="ESTablebody3ptafter"/>
              <w:jc w:val="right"/>
              <w:rPr>
                <w:sz w:val="13"/>
                <w:lang w:val="en-AU" w:eastAsia="en-AU"/>
              </w:rPr>
            </w:pPr>
            <w:r w:rsidRPr="00040036">
              <w:rPr>
                <w:sz w:val="13"/>
                <w:lang w:val="en-AU" w:eastAsia="en-AU"/>
              </w:rPr>
              <w:t>–</w:t>
            </w:r>
          </w:p>
        </w:tc>
        <w:tc>
          <w:tcPr>
            <w:tcW w:w="350" w:type="pct"/>
            <w:tcBorders>
              <w:top w:val="nil"/>
              <w:left w:val="nil"/>
              <w:bottom w:val="nil"/>
              <w:right w:val="nil"/>
            </w:tcBorders>
            <w:shd w:val="clear" w:color="auto" w:fill="auto"/>
            <w:noWrap/>
            <w:vAlign w:val="bottom"/>
            <w:hideMark/>
          </w:tcPr>
          <w:p w14:paraId="732CBDF9" w14:textId="77777777" w:rsidR="00A61FF5" w:rsidRPr="00040036" w:rsidRDefault="00A61FF5" w:rsidP="00781DCB">
            <w:pPr>
              <w:pStyle w:val="ESTablebody3ptafter"/>
              <w:jc w:val="right"/>
              <w:rPr>
                <w:sz w:val="13"/>
                <w:lang w:val="en-AU" w:eastAsia="en-AU"/>
              </w:rPr>
            </w:pPr>
            <w:r w:rsidRPr="00040036">
              <w:rPr>
                <w:sz w:val="13"/>
                <w:lang w:val="en-AU" w:eastAsia="en-AU"/>
              </w:rPr>
              <w:t>1</w:t>
            </w:r>
          </w:p>
        </w:tc>
        <w:tc>
          <w:tcPr>
            <w:tcW w:w="206" w:type="pct"/>
            <w:tcBorders>
              <w:top w:val="nil"/>
              <w:left w:val="nil"/>
              <w:bottom w:val="nil"/>
              <w:right w:val="single" w:sz="8" w:space="0" w:color="auto"/>
            </w:tcBorders>
            <w:shd w:val="clear" w:color="auto" w:fill="auto"/>
            <w:noWrap/>
            <w:vAlign w:val="bottom"/>
            <w:hideMark/>
          </w:tcPr>
          <w:p w14:paraId="1680F4B8" w14:textId="77777777" w:rsidR="00A61FF5" w:rsidRPr="00040036" w:rsidRDefault="00A61FF5" w:rsidP="00781DCB">
            <w:pPr>
              <w:pStyle w:val="ESTablebody3ptafter"/>
              <w:jc w:val="right"/>
              <w:rPr>
                <w:sz w:val="13"/>
                <w:lang w:val="en-AU" w:eastAsia="en-AU"/>
              </w:rPr>
            </w:pPr>
            <w:r w:rsidRPr="00040036">
              <w:rPr>
                <w:sz w:val="13"/>
                <w:lang w:val="en-AU" w:eastAsia="en-AU"/>
              </w:rPr>
              <w:t>0.9</w:t>
            </w:r>
          </w:p>
        </w:tc>
        <w:tc>
          <w:tcPr>
            <w:tcW w:w="350" w:type="pct"/>
            <w:tcBorders>
              <w:top w:val="nil"/>
              <w:left w:val="nil"/>
              <w:bottom w:val="nil"/>
              <w:right w:val="nil"/>
            </w:tcBorders>
            <w:shd w:val="clear" w:color="auto" w:fill="auto"/>
            <w:noWrap/>
            <w:vAlign w:val="bottom"/>
            <w:hideMark/>
          </w:tcPr>
          <w:p w14:paraId="6C38E2AD" w14:textId="77777777" w:rsidR="00A61FF5" w:rsidRPr="00040036" w:rsidRDefault="00A61FF5" w:rsidP="00781DCB">
            <w:pPr>
              <w:pStyle w:val="ESTablebody3ptafter"/>
              <w:jc w:val="right"/>
              <w:rPr>
                <w:sz w:val="13"/>
                <w:lang w:val="en-AU" w:eastAsia="en-AU"/>
              </w:rPr>
            </w:pPr>
            <w:r w:rsidRPr="00040036">
              <w:rPr>
                <w:sz w:val="13"/>
                <w:lang w:val="en-AU" w:eastAsia="en-AU"/>
              </w:rPr>
              <w:t>4</w:t>
            </w:r>
          </w:p>
        </w:tc>
        <w:tc>
          <w:tcPr>
            <w:tcW w:w="249" w:type="pct"/>
            <w:tcBorders>
              <w:top w:val="nil"/>
              <w:left w:val="nil"/>
              <w:bottom w:val="nil"/>
              <w:right w:val="single" w:sz="4" w:space="0" w:color="auto"/>
            </w:tcBorders>
            <w:shd w:val="clear" w:color="auto" w:fill="auto"/>
            <w:noWrap/>
            <w:vAlign w:val="bottom"/>
            <w:hideMark/>
          </w:tcPr>
          <w:p w14:paraId="5D5CEAA7" w14:textId="77777777" w:rsidR="00A61FF5" w:rsidRPr="00040036" w:rsidRDefault="00A61FF5" w:rsidP="00781DCB">
            <w:pPr>
              <w:pStyle w:val="ESTablebody3ptafter"/>
              <w:jc w:val="right"/>
              <w:rPr>
                <w:sz w:val="13"/>
                <w:lang w:val="en-AU" w:eastAsia="en-AU"/>
              </w:rPr>
            </w:pPr>
            <w:r w:rsidRPr="00040036">
              <w:rPr>
                <w:sz w:val="13"/>
                <w:lang w:val="en-AU" w:eastAsia="en-AU"/>
              </w:rPr>
              <w:t>2.9</w:t>
            </w:r>
          </w:p>
        </w:tc>
        <w:tc>
          <w:tcPr>
            <w:tcW w:w="379" w:type="pct"/>
            <w:tcBorders>
              <w:top w:val="nil"/>
              <w:left w:val="nil"/>
              <w:bottom w:val="nil"/>
              <w:right w:val="nil"/>
            </w:tcBorders>
            <w:shd w:val="clear" w:color="auto" w:fill="auto"/>
            <w:noWrap/>
            <w:vAlign w:val="bottom"/>
            <w:hideMark/>
          </w:tcPr>
          <w:p w14:paraId="50A2E069" w14:textId="77777777" w:rsidR="00A61FF5" w:rsidRPr="00040036" w:rsidRDefault="00A61FF5" w:rsidP="00781DCB">
            <w:pPr>
              <w:pStyle w:val="ESTablebody3ptafter"/>
              <w:jc w:val="right"/>
              <w:rPr>
                <w:sz w:val="13"/>
                <w:lang w:val="en-AU" w:eastAsia="en-AU"/>
              </w:rPr>
            </w:pPr>
            <w:r w:rsidRPr="00040036">
              <w:rPr>
                <w:sz w:val="13"/>
                <w:lang w:val="en-AU" w:eastAsia="en-AU"/>
              </w:rPr>
              <w:t>1</w:t>
            </w:r>
          </w:p>
        </w:tc>
        <w:tc>
          <w:tcPr>
            <w:tcW w:w="379" w:type="pct"/>
            <w:tcBorders>
              <w:top w:val="nil"/>
              <w:left w:val="nil"/>
              <w:bottom w:val="nil"/>
              <w:right w:val="nil"/>
            </w:tcBorders>
            <w:shd w:val="clear" w:color="auto" w:fill="auto"/>
            <w:noWrap/>
            <w:vAlign w:val="bottom"/>
            <w:hideMark/>
          </w:tcPr>
          <w:p w14:paraId="1387EA86" w14:textId="5B689588" w:rsidR="00A61FF5" w:rsidRPr="00040036" w:rsidRDefault="00781DCB" w:rsidP="00781DCB">
            <w:pPr>
              <w:pStyle w:val="ESTablebody3ptafter"/>
              <w:jc w:val="right"/>
              <w:rPr>
                <w:sz w:val="13"/>
                <w:lang w:val="en-AU" w:eastAsia="en-AU"/>
              </w:rPr>
            </w:pPr>
            <w:r w:rsidRPr="00040036">
              <w:rPr>
                <w:sz w:val="13"/>
                <w:lang w:val="en-AU" w:eastAsia="en-AU"/>
              </w:rPr>
              <w:t>–</w:t>
            </w:r>
          </w:p>
        </w:tc>
        <w:tc>
          <w:tcPr>
            <w:tcW w:w="249" w:type="pct"/>
            <w:tcBorders>
              <w:top w:val="nil"/>
              <w:left w:val="nil"/>
              <w:bottom w:val="nil"/>
              <w:right w:val="single" w:sz="4" w:space="0" w:color="auto"/>
            </w:tcBorders>
            <w:shd w:val="clear" w:color="auto" w:fill="auto"/>
            <w:noWrap/>
            <w:vAlign w:val="bottom"/>
            <w:hideMark/>
          </w:tcPr>
          <w:p w14:paraId="603CCA01" w14:textId="77777777" w:rsidR="00A61FF5" w:rsidRPr="00040036" w:rsidRDefault="00A61FF5" w:rsidP="00781DCB">
            <w:pPr>
              <w:pStyle w:val="ESTablebody3ptafter"/>
              <w:jc w:val="right"/>
              <w:rPr>
                <w:sz w:val="13"/>
                <w:lang w:val="en-AU" w:eastAsia="en-AU"/>
              </w:rPr>
            </w:pPr>
            <w:r w:rsidRPr="00040036">
              <w:rPr>
                <w:sz w:val="13"/>
                <w:lang w:val="en-AU" w:eastAsia="en-AU"/>
              </w:rPr>
              <w:t>1.0</w:t>
            </w:r>
          </w:p>
        </w:tc>
        <w:tc>
          <w:tcPr>
            <w:tcW w:w="350" w:type="pct"/>
            <w:tcBorders>
              <w:top w:val="nil"/>
              <w:left w:val="nil"/>
              <w:bottom w:val="nil"/>
              <w:right w:val="nil"/>
            </w:tcBorders>
            <w:shd w:val="clear" w:color="auto" w:fill="auto"/>
            <w:noWrap/>
            <w:vAlign w:val="bottom"/>
            <w:hideMark/>
          </w:tcPr>
          <w:p w14:paraId="171E7277" w14:textId="77777777" w:rsidR="00A61FF5" w:rsidRPr="00040036" w:rsidRDefault="00A61FF5" w:rsidP="00781DCB">
            <w:pPr>
              <w:pStyle w:val="ESTablebody3ptafter"/>
              <w:jc w:val="right"/>
              <w:rPr>
                <w:sz w:val="13"/>
                <w:lang w:val="en-AU" w:eastAsia="en-AU"/>
              </w:rPr>
            </w:pPr>
            <w:r w:rsidRPr="00040036">
              <w:rPr>
                <w:sz w:val="13"/>
                <w:lang w:val="en-AU" w:eastAsia="en-AU"/>
              </w:rPr>
              <w:t>3</w:t>
            </w:r>
          </w:p>
        </w:tc>
        <w:tc>
          <w:tcPr>
            <w:tcW w:w="201" w:type="pct"/>
            <w:tcBorders>
              <w:top w:val="nil"/>
              <w:left w:val="nil"/>
              <w:bottom w:val="nil"/>
              <w:right w:val="nil"/>
            </w:tcBorders>
            <w:shd w:val="clear" w:color="auto" w:fill="auto"/>
            <w:noWrap/>
            <w:vAlign w:val="bottom"/>
            <w:hideMark/>
          </w:tcPr>
          <w:p w14:paraId="0619FA81" w14:textId="77777777" w:rsidR="00A61FF5" w:rsidRPr="00040036" w:rsidRDefault="00A61FF5" w:rsidP="00781DCB">
            <w:pPr>
              <w:pStyle w:val="ESTablebody3ptafter"/>
              <w:jc w:val="right"/>
              <w:rPr>
                <w:sz w:val="13"/>
                <w:lang w:val="en-AU" w:eastAsia="en-AU"/>
              </w:rPr>
            </w:pPr>
            <w:r w:rsidRPr="00040036">
              <w:rPr>
                <w:sz w:val="13"/>
                <w:lang w:val="en-AU" w:eastAsia="en-AU"/>
              </w:rPr>
              <w:t>1.9</w:t>
            </w:r>
          </w:p>
        </w:tc>
      </w:tr>
      <w:tr w:rsidR="00A61FF5" w:rsidRPr="00932A90" w14:paraId="19339C90" w14:textId="77777777" w:rsidTr="00D07480">
        <w:trPr>
          <w:trHeight w:hRule="exact" w:val="227"/>
        </w:trPr>
        <w:tc>
          <w:tcPr>
            <w:tcW w:w="154" w:type="pct"/>
            <w:vMerge/>
            <w:tcBorders>
              <w:left w:val="nil"/>
              <w:right w:val="nil"/>
            </w:tcBorders>
            <w:shd w:val="clear" w:color="auto" w:fill="auto"/>
            <w:vAlign w:val="center"/>
            <w:hideMark/>
          </w:tcPr>
          <w:p w14:paraId="3309C29E"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187BF63A" w14:textId="2702AB0F" w:rsidR="00A61FF5" w:rsidRPr="00040036" w:rsidRDefault="008C1498" w:rsidP="008C1498">
            <w:pPr>
              <w:pStyle w:val="ESTablebody3ptafter"/>
              <w:rPr>
                <w:sz w:val="13"/>
                <w:lang w:val="en-AU" w:eastAsia="en-AU"/>
              </w:rPr>
            </w:pPr>
            <w:r w:rsidRPr="00040036">
              <w:rPr>
                <w:sz w:val="13"/>
                <w:lang w:val="en-AU" w:eastAsia="en-AU"/>
              </w:rPr>
              <w:t>VPSG2</w:t>
            </w:r>
            <w:r w:rsidR="00576C84">
              <w:rPr>
                <w:rStyle w:val="FootnoteReference"/>
              </w:rPr>
              <w:t>4</w:t>
            </w:r>
          </w:p>
        </w:tc>
        <w:tc>
          <w:tcPr>
            <w:tcW w:w="418" w:type="pct"/>
            <w:tcBorders>
              <w:top w:val="nil"/>
              <w:left w:val="nil"/>
              <w:bottom w:val="nil"/>
              <w:right w:val="nil"/>
            </w:tcBorders>
            <w:shd w:val="clear" w:color="auto" w:fill="auto"/>
            <w:noWrap/>
            <w:vAlign w:val="bottom"/>
            <w:hideMark/>
          </w:tcPr>
          <w:p w14:paraId="66A1C5D7" w14:textId="77777777" w:rsidR="00A61FF5" w:rsidRPr="00040036" w:rsidRDefault="00A61FF5" w:rsidP="00781DCB">
            <w:pPr>
              <w:pStyle w:val="ESTablebody3ptafter"/>
              <w:jc w:val="right"/>
              <w:rPr>
                <w:sz w:val="13"/>
                <w:lang w:val="en-AU" w:eastAsia="en-AU"/>
              </w:rPr>
            </w:pPr>
            <w:r w:rsidRPr="00040036">
              <w:rPr>
                <w:sz w:val="13"/>
                <w:lang w:val="en-AU" w:eastAsia="en-AU"/>
              </w:rPr>
              <w:t>130</w:t>
            </w:r>
          </w:p>
        </w:tc>
        <w:tc>
          <w:tcPr>
            <w:tcW w:w="250" w:type="pct"/>
            <w:tcBorders>
              <w:top w:val="nil"/>
              <w:left w:val="nil"/>
              <w:bottom w:val="nil"/>
              <w:right w:val="single" w:sz="4" w:space="0" w:color="auto"/>
            </w:tcBorders>
            <w:shd w:val="clear" w:color="auto" w:fill="auto"/>
            <w:noWrap/>
            <w:vAlign w:val="bottom"/>
            <w:hideMark/>
          </w:tcPr>
          <w:p w14:paraId="672FC0D7" w14:textId="77777777" w:rsidR="00A61FF5" w:rsidRPr="00040036" w:rsidRDefault="00A61FF5" w:rsidP="00781DCB">
            <w:pPr>
              <w:pStyle w:val="ESTablebody3ptafter"/>
              <w:jc w:val="right"/>
              <w:rPr>
                <w:sz w:val="13"/>
                <w:lang w:val="en-AU" w:eastAsia="en-AU"/>
              </w:rPr>
            </w:pPr>
            <w:r w:rsidRPr="00040036">
              <w:rPr>
                <w:sz w:val="13"/>
                <w:lang w:val="en-AU" w:eastAsia="en-AU"/>
              </w:rPr>
              <w:t>112.8</w:t>
            </w:r>
          </w:p>
        </w:tc>
        <w:tc>
          <w:tcPr>
            <w:tcW w:w="379" w:type="pct"/>
            <w:tcBorders>
              <w:top w:val="nil"/>
              <w:left w:val="nil"/>
              <w:bottom w:val="nil"/>
              <w:right w:val="nil"/>
            </w:tcBorders>
            <w:shd w:val="clear" w:color="auto" w:fill="auto"/>
            <w:noWrap/>
            <w:vAlign w:val="bottom"/>
            <w:hideMark/>
          </w:tcPr>
          <w:p w14:paraId="2E05DBFC" w14:textId="77777777" w:rsidR="00A61FF5" w:rsidRPr="00040036" w:rsidRDefault="00A61FF5" w:rsidP="00781DCB">
            <w:pPr>
              <w:pStyle w:val="ESTablebody3ptafter"/>
              <w:jc w:val="right"/>
              <w:rPr>
                <w:sz w:val="13"/>
                <w:lang w:val="en-AU" w:eastAsia="en-AU"/>
              </w:rPr>
            </w:pPr>
            <w:r w:rsidRPr="00040036">
              <w:rPr>
                <w:sz w:val="13"/>
                <w:lang w:val="en-AU" w:eastAsia="en-AU"/>
              </w:rPr>
              <w:t>84</w:t>
            </w:r>
          </w:p>
        </w:tc>
        <w:tc>
          <w:tcPr>
            <w:tcW w:w="379" w:type="pct"/>
            <w:tcBorders>
              <w:top w:val="nil"/>
              <w:left w:val="nil"/>
              <w:bottom w:val="nil"/>
              <w:right w:val="nil"/>
            </w:tcBorders>
            <w:shd w:val="clear" w:color="auto" w:fill="auto"/>
            <w:noWrap/>
            <w:vAlign w:val="bottom"/>
            <w:hideMark/>
          </w:tcPr>
          <w:p w14:paraId="31D53142" w14:textId="77777777" w:rsidR="00A61FF5" w:rsidRPr="00040036" w:rsidRDefault="00A61FF5" w:rsidP="00781DCB">
            <w:pPr>
              <w:pStyle w:val="ESTablebody3ptafter"/>
              <w:jc w:val="right"/>
              <w:rPr>
                <w:sz w:val="13"/>
                <w:lang w:val="en-AU" w:eastAsia="en-AU"/>
              </w:rPr>
            </w:pPr>
            <w:r w:rsidRPr="00040036">
              <w:rPr>
                <w:sz w:val="13"/>
                <w:lang w:val="en-AU" w:eastAsia="en-AU"/>
              </w:rPr>
              <w:t>28</w:t>
            </w:r>
          </w:p>
        </w:tc>
        <w:tc>
          <w:tcPr>
            <w:tcW w:w="249" w:type="pct"/>
            <w:tcBorders>
              <w:top w:val="nil"/>
              <w:left w:val="nil"/>
              <w:bottom w:val="nil"/>
              <w:right w:val="single" w:sz="4" w:space="0" w:color="auto"/>
            </w:tcBorders>
            <w:shd w:val="clear" w:color="auto" w:fill="auto"/>
            <w:noWrap/>
            <w:vAlign w:val="bottom"/>
            <w:hideMark/>
          </w:tcPr>
          <w:p w14:paraId="5ACF7B3B" w14:textId="77777777" w:rsidR="00A61FF5" w:rsidRPr="00040036" w:rsidRDefault="00A61FF5" w:rsidP="00781DCB">
            <w:pPr>
              <w:pStyle w:val="ESTablebody3ptafter"/>
              <w:jc w:val="right"/>
              <w:rPr>
                <w:sz w:val="13"/>
                <w:lang w:val="en-AU" w:eastAsia="en-AU"/>
              </w:rPr>
            </w:pPr>
            <w:r w:rsidRPr="00040036">
              <w:rPr>
                <w:sz w:val="13"/>
                <w:lang w:val="en-AU" w:eastAsia="en-AU"/>
              </w:rPr>
              <w:t>103.0</w:t>
            </w:r>
          </w:p>
        </w:tc>
        <w:tc>
          <w:tcPr>
            <w:tcW w:w="350" w:type="pct"/>
            <w:tcBorders>
              <w:top w:val="nil"/>
              <w:left w:val="nil"/>
              <w:bottom w:val="nil"/>
              <w:right w:val="nil"/>
            </w:tcBorders>
            <w:shd w:val="clear" w:color="auto" w:fill="auto"/>
            <w:noWrap/>
            <w:vAlign w:val="bottom"/>
            <w:hideMark/>
          </w:tcPr>
          <w:p w14:paraId="64B7607F" w14:textId="77777777" w:rsidR="00A61FF5" w:rsidRPr="00040036" w:rsidRDefault="00A61FF5" w:rsidP="00781DCB">
            <w:pPr>
              <w:pStyle w:val="ESTablebody3ptafter"/>
              <w:jc w:val="right"/>
              <w:rPr>
                <w:sz w:val="13"/>
                <w:lang w:val="en-AU" w:eastAsia="en-AU"/>
              </w:rPr>
            </w:pPr>
            <w:r w:rsidRPr="00040036">
              <w:rPr>
                <w:sz w:val="13"/>
                <w:lang w:val="en-AU" w:eastAsia="en-AU"/>
              </w:rPr>
              <w:t>18</w:t>
            </w:r>
          </w:p>
        </w:tc>
        <w:tc>
          <w:tcPr>
            <w:tcW w:w="206" w:type="pct"/>
            <w:tcBorders>
              <w:top w:val="nil"/>
              <w:left w:val="nil"/>
              <w:bottom w:val="nil"/>
              <w:right w:val="single" w:sz="8" w:space="0" w:color="auto"/>
            </w:tcBorders>
            <w:shd w:val="clear" w:color="auto" w:fill="auto"/>
            <w:noWrap/>
            <w:vAlign w:val="bottom"/>
            <w:hideMark/>
          </w:tcPr>
          <w:p w14:paraId="69FDCEB6" w14:textId="77777777" w:rsidR="00A61FF5" w:rsidRPr="00040036" w:rsidRDefault="00A61FF5" w:rsidP="00781DCB">
            <w:pPr>
              <w:pStyle w:val="ESTablebody3ptafter"/>
              <w:jc w:val="right"/>
              <w:rPr>
                <w:sz w:val="13"/>
                <w:lang w:val="en-AU" w:eastAsia="en-AU"/>
              </w:rPr>
            </w:pPr>
            <w:r w:rsidRPr="00040036">
              <w:rPr>
                <w:sz w:val="13"/>
                <w:lang w:val="en-AU" w:eastAsia="en-AU"/>
              </w:rPr>
              <w:t>9.8</w:t>
            </w:r>
          </w:p>
        </w:tc>
        <w:tc>
          <w:tcPr>
            <w:tcW w:w="350" w:type="pct"/>
            <w:tcBorders>
              <w:top w:val="nil"/>
              <w:left w:val="nil"/>
              <w:bottom w:val="nil"/>
              <w:right w:val="nil"/>
            </w:tcBorders>
            <w:shd w:val="clear" w:color="auto" w:fill="auto"/>
            <w:noWrap/>
            <w:vAlign w:val="bottom"/>
            <w:hideMark/>
          </w:tcPr>
          <w:p w14:paraId="48F00F82" w14:textId="77777777" w:rsidR="00A61FF5" w:rsidRPr="00040036" w:rsidRDefault="00A61FF5" w:rsidP="00781DCB">
            <w:pPr>
              <w:pStyle w:val="ESTablebody3ptafter"/>
              <w:jc w:val="right"/>
              <w:rPr>
                <w:sz w:val="13"/>
                <w:lang w:val="en-AU" w:eastAsia="en-AU"/>
              </w:rPr>
            </w:pPr>
            <w:r w:rsidRPr="00040036">
              <w:rPr>
                <w:sz w:val="13"/>
                <w:lang w:val="en-AU" w:eastAsia="en-AU"/>
              </w:rPr>
              <w:t>132</w:t>
            </w:r>
          </w:p>
        </w:tc>
        <w:tc>
          <w:tcPr>
            <w:tcW w:w="249" w:type="pct"/>
            <w:tcBorders>
              <w:top w:val="nil"/>
              <w:left w:val="nil"/>
              <w:bottom w:val="nil"/>
              <w:right w:val="single" w:sz="4" w:space="0" w:color="auto"/>
            </w:tcBorders>
            <w:shd w:val="clear" w:color="auto" w:fill="auto"/>
            <w:noWrap/>
            <w:vAlign w:val="bottom"/>
            <w:hideMark/>
          </w:tcPr>
          <w:p w14:paraId="3C8FBD93" w14:textId="77777777" w:rsidR="00A61FF5" w:rsidRPr="00040036" w:rsidRDefault="00A61FF5" w:rsidP="00781DCB">
            <w:pPr>
              <w:pStyle w:val="ESTablebody3ptafter"/>
              <w:jc w:val="right"/>
              <w:rPr>
                <w:sz w:val="13"/>
                <w:lang w:val="en-AU" w:eastAsia="en-AU"/>
              </w:rPr>
            </w:pPr>
            <w:r w:rsidRPr="00040036">
              <w:rPr>
                <w:sz w:val="13"/>
                <w:lang w:val="en-AU" w:eastAsia="en-AU"/>
              </w:rPr>
              <w:t>115.1</w:t>
            </w:r>
          </w:p>
        </w:tc>
        <w:tc>
          <w:tcPr>
            <w:tcW w:w="379" w:type="pct"/>
            <w:tcBorders>
              <w:top w:val="nil"/>
              <w:left w:val="nil"/>
              <w:bottom w:val="nil"/>
              <w:right w:val="nil"/>
            </w:tcBorders>
            <w:shd w:val="clear" w:color="auto" w:fill="auto"/>
            <w:noWrap/>
            <w:vAlign w:val="bottom"/>
            <w:hideMark/>
          </w:tcPr>
          <w:p w14:paraId="716897F3" w14:textId="77777777" w:rsidR="00A61FF5" w:rsidRPr="00040036" w:rsidRDefault="00A61FF5" w:rsidP="00781DCB">
            <w:pPr>
              <w:pStyle w:val="ESTablebody3ptafter"/>
              <w:jc w:val="right"/>
              <w:rPr>
                <w:sz w:val="13"/>
                <w:lang w:val="en-AU" w:eastAsia="en-AU"/>
              </w:rPr>
            </w:pPr>
            <w:r w:rsidRPr="00040036">
              <w:rPr>
                <w:sz w:val="13"/>
                <w:lang w:val="en-AU" w:eastAsia="en-AU"/>
              </w:rPr>
              <w:t>91</w:t>
            </w:r>
          </w:p>
        </w:tc>
        <w:tc>
          <w:tcPr>
            <w:tcW w:w="379" w:type="pct"/>
            <w:tcBorders>
              <w:top w:val="nil"/>
              <w:left w:val="nil"/>
              <w:bottom w:val="nil"/>
              <w:right w:val="nil"/>
            </w:tcBorders>
            <w:shd w:val="clear" w:color="auto" w:fill="auto"/>
            <w:noWrap/>
            <w:vAlign w:val="bottom"/>
            <w:hideMark/>
          </w:tcPr>
          <w:p w14:paraId="549A4687" w14:textId="77777777" w:rsidR="00A61FF5" w:rsidRPr="00040036" w:rsidRDefault="00A61FF5" w:rsidP="00781DCB">
            <w:pPr>
              <w:pStyle w:val="ESTablebody3ptafter"/>
              <w:jc w:val="right"/>
              <w:rPr>
                <w:sz w:val="13"/>
                <w:lang w:val="en-AU" w:eastAsia="en-AU"/>
              </w:rPr>
            </w:pPr>
            <w:r w:rsidRPr="00040036">
              <w:rPr>
                <w:sz w:val="13"/>
                <w:lang w:val="en-AU" w:eastAsia="en-AU"/>
              </w:rPr>
              <w:t>26</w:t>
            </w:r>
          </w:p>
        </w:tc>
        <w:tc>
          <w:tcPr>
            <w:tcW w:w="249" w:type="pct"/>
            <w:tcBorders>
              <w:top w:val="nil"/>
              <w:left w:val="nil"/>
              <w:bottom w:val="nil"/>
              <w:right w:val="single" w:sz="4" w:space="0" w:color="auto"/>
            </w:tcBorders>
            <w:shd w:val="clear" w:color="auto" w:fill="auto"/>
            <w:noWrap/>
            <w:vAlign w:val="bottom"/>
            <w:hideMark/>
          </w:tcPr>
          <w:p w14:paraId="3D908F9F" w14:textId="77777777" w:rsidR="00A61FF5" w:rsidRPr="00040036" w:rsidRDefault="00A61FF5" w:rsidP="00781DCB">
            <w:pPr>
              <w:pStyle w:val="ESTablebody3ptafter"/>
              <w:jc w:val="right"/>
              <w:rPr>
                <w:sz w:val="13"/>
                <w:lang w:val="en-AU" w:eastAsia="en-AU"/>
              </w:rPr>
            </w:pPr>
            <w:r w:rsidRPr="00040036">
              <w:rPr>
                <w:sz w:val="13"/>
                <w:lang w:val="en-AU" w:eastAsia="en-AU"/>
              </w:rPr>
              <w:t>108.1</w:t>
            </w:r>
          </w:p>
        </w:tc>
        <w:tc>
          <w:tcPr>
            <w:tcW w:w="350" w:type="pct"/>
            <w:tcBorders>
              <w:top w:val="nil"/>
              <w:left w:val="nil"/>
              <w:bottom w:val="nil"/>
              <w:right w:val="nil"/>
            </w:tcBorders>
            <w:shd w:val="clear" w:color="auto" w:fill="auto"/>
            <w:noWrap/>
            <w:vAlign w:val="bottom"/>
            <w:hideMark/>
          </w:tcPr>
          <w:p w14:paraId="6DE293C9" w14:textId="77777777" w:rsidR="00A61FF5" w:rsidRPr="00040036" w:rsidRDefault="00A61FF5" w:rsidP="00781DCB">
            <w:pPr>
              <w:pStyle w:val="ESTablebody3ptafter"/>
              <w:jc w:val="right"/>
              <w:rPr>
                <w:sz w:val="13"/>
                <w:lang w:val="en-AU" w:eastAsia="en-AU"/>
              </w:rPr>
            </w:pPr>
            <w:r w:rsidRPr="00040036">
              <w:rPr>
                <w:sz w:val="13"/>
                <w:lang w:val="en-AU" w:eastAsia="en-AU"/>
              </w:rPr>
              <w:t>15</w:t>
            </w:r>
          </w:p>
        </w:tc>
        <w:tc>
          <w:tcPr>
            <w:tcW w:w="201" w:type="pct"/>
            <w:tcBorders>
              <w:top w:val="nil"/>
              <w:left w:val="nil"/>
              <w:bottom w:val="nil"/>
              <w:right w:val="nil"/>
            </w:tcBorders>
            <w:shd w:val="clear" w:color="auto" w:fill="auto"/>
            <w:noWrap/>
            <w:vAlign w:val="bottom"/>
            <w:hideMark/>
          </w:tcPr>
          <w:p w14:paraId="284C7BBC" w14:textId="77777777" w:rsidR="00A61FF5" w:rsidRPr="00040036" w:rsidRDefault="00A61FF5" w:rsidP="00781DCB">
            <w:pPr>
              <w:pStyle w:val="ESTablebody3ptafter"/>
              <w:jc w:val="right"/>
              <w:rPr>
                <w:sz w:val="13"/>
                <w:lang w:val="en-AU" w:eastAsia="en-AU"/>
              </w:rPr>
            </w:pPr>
            <w:r w:rsidRPr="00040036">
              <w:rPr>
                <w:sz w:val="13"/>
                <w:lang w:val="en-AU" w:eastAsia="en-AU"/>
              </w:rPr>
              <w:t>7.0</w:t>
            </w:r>
          </w:p>
        </w:tc>
      </w:tr>
      <w:tr w:rsidR="00A61FF5" w:rsidRPr="00932A90" w14:paraId="5D26E085" w14:textId="77777777" w:rsidTr="00D07480">
        <w:trPr>
          <w:trHeight w:hRule="exact" w:val="227"/>
        </w:trPr>
        <w:tc>
          <w:tcPr>
            <w:tcW w:w="154" w:type="pct"/>
            <w:vMerge/>
            <w:tcBorders>
              <w:left w:val="nil"/>
              <w:right w:val="nil"/>
            </w:tcBorders>
            <w:shd w:val="clear" w:color="auto" w:fill="auto"/>
            <w:vAlign w:val="center"/>
            <w:hideMark/>
          </w:tcPr>
          <w:p w14:paraId="6C09FBCE"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560DF037" w14:textId="77777777" w:rsidR="00A61FF5" w:rsidRPr="00040036" w:rsidRDefault="00A61FF5" w:rsidP="00D07480">
            <w:pPr>
              <w:pStyle w:val="ESTablebody3ptafter"/>
              <w:rPr>
                <w:sz w:val="13"/>
                <w:lang w:val="en-AU" w:eastAsia="en-AU"/>
              </w:rPr>
            </w:pPr>
            <w:r w:rsidRPr="00040036">
              <w:rPr>
                <w:sz w:val="13"/>
                <w:lang w:val="en-AU" w:eastAsia="en-AU"/>
              </w:rPr>
              <w:t>VPSG3</w:t>
            </w:r>
          </w:p>
        </w:tc>
        <w:tc>
          <w:tcPr>
            <w:tcW w:w="418" w:type="pct"/>
            <w:tcBorders>
              <w:top w:val="nil"/>
              <w:left w:val="nil"/>
              <w:bottom w:val="nil"/>
              <w:right w:val="nil"/>
            </w:tcBorders>
            <w:shd w:val="clear" w:color="auto" w:fill="auto"/>
            <w:noWrap/>
            <w:vAlign w:val="bottom"/>
            <w:hideMark/>
          </w:tcPr>
          <w:p w14:paraId="6FC55AD9" w14:textId="77777777" w:rsidR="00A61FF5" w:rsidRPr="00040036" w:rsidRDefault="00A61FF5" w:rsidP="00781DCB">
            <w:pPr>
              <w:pStyle w:val="ESTablebody3ptafter"/>
              <w:jc w:val="right"/>
              <w:rPr>
                <w:sz w:val="13"/>
                <w:lang w:val="en-AU" w:eastAsia="en-AU"/>
              </w:rPr>
            </w:pPr>
            <w:r w:rsidRPr="00040036">
              <w:rPr>
                <w:sz w:val="13"/>
                <w:lang w:val="en-AU" w:eastAsia="en-AU"/>
              </w:rPr>
              <w:t>380</w:t>
            </w:r>
          </w:p>
        </w:tc>
        <w:tc>
          <w:tcPr>
            <w:tcW w:w="250" w:type="pct"/>
            <w:tcBorders>
              <w:top w:val="nil"/>
              <w:left w:val="nil"/>
              <w:bottom w:val="nil"/>
              <w:right w:val="single" w:sz="4" w:space="0" w:color="auto"/>
            </w:tcBorders>
            <w:shd w:val="clear" w:color="auto" w:fill="auto"/>
            <w:noWrap/>
            <w:vAlign w:val="bottom"/>
            <w:hideMark/>
          </w:tcPr>
          <w:p w14:paraId="013B341E" w14:textId="77777777" w:rsidR="00A61FF5" w:rsidRPr="00040036" w:rsidRDefault="00A61FF5" w:rsidP="00781DCB">
            <w:pPr>
              <w:pStyle w:val="ESTablebody3ptafter"/>
              <w:jc w:val="right"/>
              <w:rPr>
                <w:sz w:val="13"/>
                <w:lang w:val="en-AU" w:eastAsia="en-AU"/>
              </w:rPr>
            </w:pPr>
            <w:r w:rsidRPr="00040036">
              <w:rPr>
                <w:sz w:val="13"/>
                <w:lang w:val="en-AU" w:eastAsia="en-AU"/>
              </w:rPr>
              <w:t>348.5</w:t>
            </w:r>
          </w:p>
        </w:tc>
        <w:tc>
          <w:tcPr>
            <w:tcW w:w="379" w:type="pct"/>
            <w:tcBorders>
              <w:top w:val="nil"/>
              <w:left w:val="nil"/>
              <w:bottom w:val="nil"/>
              <w:right w:val="nil"/>
            </w:tcBorders>
            <w:shd w:val="clear" w:color="auto" w:fill="auto"/>
            <w:noWrap/>
            <w:vAlign w:val="bottom"/>
            <w:hideMark/>
          </w:tcPr>
          <w:p w14:paraId="574B0AFC" w14:textId="77777777" w:rsidR="00A61FF5" w:rsidRPr="00040036" w:rsidRDefault="00A61FF5" w:rsidP="00781DCB">
            <w:pPr>
              <w:pStyle w:val="ESTablebody3ptafter"/>
              <w:jc w:val="right"/>
              <w:rPr>
                <w:sz w:val="13"/>
                <w:lang w:val="en-AU" w:eastAsia="en-AU"/>
              </w:rPr>
            </w:pPr>
            <w:r w:rsidRPr="00040036">
              <w:rPr>
                <w:sz w:val="13"/>
                <w:lang w:val="en-AU" w:eastAsia="en-AU"/>
              </w:rPr>
              <w:t>254</w:t>
            </w:r>
          </w:p>
        </w:tc>
        <w:tc>
          <w:tcPr>
            <w:tcW w:w="379" w:type="pct"/>
            <w:tcBorders>
              <w:top w:val="nil"/>
              <w:left w:val="nil"/>
              <w:bottom w:val="nil"/>
              <w:right w:val="nil"/>
            </w:tcBorders>
            <w:shd w:val="clear" w:color="auto" w:fill="auto"/>
            <w:noWrap/>
            <w:vAlign w:val="bottom"/>
            <w:hideMark/>
          </w:tcPr>
          <w:p w14:paraId="74F14634" w14:textId="77777777" w:rsidR="00A61FF5" w:rsidRPr="00040036" w:rsidRDefault="00A61FF5" w:rsidP="00781DCB">
            <w:pPr>
              <w:pStyle w:val="ESTablebody3ptafter"/>
              <w:jc w:val="right"/>
              <w:rPr>
                <w:sz w:val="13"/>
                <w:lang w:val="en-AU" w:eastAsia="en-AU"/>
              </w:rPr>
            </w:pPr>
            <w:r w:rsidRPr="00040036">
              <w:rPr>
                <w:sz w:val="13"/>
                <w:lang w:val="en-AU" w:eastAsia="en-AU"/>
              </w:rPr>
              <w:t>54</w:t>
            </w:r>
          </w:p>
        </w:tc>
        <w:tc>
          <w:tcPr>
            <w:tcW w:w="249" w:type="pct"/>
            <w:tcBorders>
              <w:top w:val="nil"/>
              <w:left w:val="nil"/>
              <w:bottom w:val="nil"/>
              <w:right w:val="single" w:sz="4" w:space="0" w:color="auto"/>
            </w:tcBorders>
            <w:shd w:val="clear" w:color="auto" w:fill="auto"/>
            <w:noWrap/>
            <w:vAlign w:val="bottom"/>
            <w:hideMark/>
          </w:tcPr>
          <w:p w14:paraId="671F2A54" w14:textId="77777777" w:rsidR="00A61FF5" w:rsidRPr="00040036" w:rsidRDefault="00A61FF5" w:rsidP="00781DCB">
            <w:pPr>
              <w:pStyle w:val="ESTablebody3ptafter"/>
              <w:jc w:val="right"/>
              <w:rPr>
                <w:sz w:val="13"/>
                <w:lang w:val="en-AU" w:eastAsia="en-AU"/>
              </w:rPr>
            </w:pPr>
            <w:r w:rsidRPr="00040036">
              <w:rPr>
                <w:sz w:val="13"/>
                <w:lang w:val="en-AU" w:eastAsia="en-AU"/>
              </w:rPr>
              <w:t>289.6</w:t>
            </w:r>
          </w:p>
        </w:tc>
        <w:tc>
          <w:tcPr>
            <w:tcW w:w="350" w:type="pct"/>
            <w:tcBorders>
              <w:top w:val="nil"/>
              <w:left w:val="nil"/>
              <w:bottom w:val="nil"/>
              <w:right w:val="nil"/>
            </w:tcBorders>
            <w:shd w:val="clear" w:color="auto" w:fill="auto"/>
            <w:noWrap/>
            <w:vAlign w:val="bottom"/>
            <w:hideMark/>
          </w:tcPr>
          <w:p w14:paraId="31A7D905" w14:textId="77777777" w:rsidR="00A61FF5" w:rsidRPr="00040036" w:rsidRDefault="00A61FF5" w:rsidP="00781DCB">
            <w:pPr>
              <w:pStyle w:val="ESTablebody3ptafter"/>
              <w:jc w:val="right"/>
              <w:rPr>
                <w:sz w:val="13"/>
                <w:lang w:val="en-AU" w:eastAsia="en-AU"/>
              </w:rPr>
            </w:pPr>
            <w:r w:rsidRPr="00040036">
              <w:rPr>
                <w:sz w:val="13"/>
                <w:lang w:val="en-AU" w:eastAsia="en-AU"/>
              </w:rPr>
              <w:t>72</w:t>
            </w:r>
          </w:p>
        </w:tc>
        <w:tc>
          <w:tcPr>
            <w:tcW w:w="206" w:type="pct"/>
            <w:tcBorders>
              <w:top w:val="nil"/>
              <w:left w:val="nil"/>
              <w:bottom w:val="nil"/>
              <w:right w:val="single" w:sz="8" w:space="0" w:color="auto"/>
            </w:tcBorders>
            <w:shd w:val="clear" w:color="auto" w:fill="auto"/>
            <w:noWrap/>
            <w:vAlign w:val="bottom"/>
            <w:hideMark/>
          </w:tcPr>
          <w:p w14:paraId="0F3D5C00" w14:textId="77777777" w:rsidR="00A61FF5" w:rsidRPr="00040036" w:rsidRDefault="00A61FF5" w:rsidP="00781DCB">
            <w:pPr>
              <w:pStyle w:val="ESTablebody3ptafter"/>
              <w:jc w:val="right"/>
              <w:rPr>
                <w:sz w:val="13"/>
                <w:lang w:val="en-AU" w:eastAsia="en-AU"/>
              </w:rPr>
            </w:pPr>
            <w:r w:rsidRPr="00040036">
              <w:rPr>
                <w:sz w:val="13"/>
                <w:lang w:val="en-AU" w:eastAsia="en-AU"/>
              </w:rPr>
              <w:t>58.9</w:t>
            </w:r>
          </w:p>
        </w:tc>
        <w:tc>
          <w:tcPr>
            <w:tcW w:w="350" w:type="pct"/>
            <w:tcBorders>
              <w:top w:val="nil"/>
              <w:left w:val="nil"/>
              <w:bottom w:val="nil"/>
              <w:right w:val="nil"/>
            </w:tcBorders>
            <w:shd w:val="clear" w:color="auto" w:fill="auto"/>
            <w:noWrap/>
            <w:vAlign w:val="bottom"/>
            <w:hideMark/>
          </w:tcPr>
          <w:p w14:paraId="3FFF34E8" w14:textId="77777777" w:rsidR="00A61FF5" w:rsidRPr="00040036" w:rsidRDefault="00A61FF5" w:rsidP="00781DCB">
            <w:pPr>
              <w:pStyle w:val="ESTablebody3ptafter"/>
              <w:jc w:val="right"/>
              <w:rPr>
                <w:sz w:val="13"/>
                <w:lang w:val="en-AU" w:eastAsia="en-AU"/>
              </w:rPr>
            </w:pPr>
            <w:r w:rsidRPr="00040036">
              <w:rPr>
                <w:sz w:val="13"/>
                <w:lang w:val="en-AU" w:eastAsia="en-AU"/>
              </w:rPr>
              <w:t>323</w:t>
            </w:r>
          </w:p>
        </w:tc>
        <w:tc>
          <w:tcPr>
            <w:tcW w:w="249" w:type="pct"/>
            <w:tcBorders>
              <w:top w:val="nil"/>
              <w:left w:val="nil"/>
              <w:bottom w:val="nil"/>
              <w:right w:val="single" w:sz="4" w:space="0" w:color="auto"/>
            </w:tcBorders>
            <w:shd w:val="clear" w:color="auto" w:fill="auto"/>
            <w:noWrap/>
            <w:vAlign w:val="bottom"/>
            <w:hideMark/>
          </w:tcPr>
          <w:p w14:paraId="3C9D7801" w14:textId="77777777" w:rsidR="00A61FF5" w:rsidRPr="00040036" w:rsidRDefault="00A61FF5" w:rsidP="00781DCB">
            <w:pPr>
              <w:pStyle w:val="ESTablebody3ptafter"/>
              <w:jc w:val="right"/>
              <w:rPr>
                <w:sz w:val="13"/>
                <w:lang w:val="en-AU" w:eastAsia="en-AU"/>
              </w:rPr>
            </w:pPr>
            <w:r w:rsidRPr="00040036">
              <w:rPr>
                <w:sz w:val="13"/>
                <w:lang w:val="en-AU" w:eastAsia="en-AU"/>
              </w:rPr>
              <w:t>295.8</w:t>
            </w:r>
          </w:p>
        </w:tc>
        <w:tc>
          <w:tcPr>
            <w:tcW w:w="379" w:type="pct"/>
            <w:tcBorders>
              <w:top w:val="nil"/>
              <w:left w:val="nil"/>
              <w:bottom w:val="nil"/>
              <w:right w:val="nil"/>
            </w:tcBorders>
            <w:shd w:val="clear" w:color="auto" w:fill="auto"/>
            <w:noWrap/>
            <w:vAlign w:val="bottom"/>
            <w:hideMark/>
          </w:tcPr>
          <w:p w14:paraId="0011A266" w14:textId="77777777" w:rsidR="00A61FF5" w:rsidRPr="00040036" w:rsidRDefault="00A61FF5" w:rsidP="00781DCB">
            <w:pPr>
              <w:pStyle w:val="ESTablebody3ptafter"/>
              <w:jc w:val="right"/>
              <w:rPr>
                <w:sz w:val="13"/>
                <w:lang w:val="en-AU" w:eastAsia="en-AU"/>
              </w:rPr>
            </w:pPr>
            <w:r w:rsidRPr="00040036">
              <w:rPr>
                <w:sz w:val="13"/>
                <w:lang w:val="en-AU" w:eastAsia="en-AU"/>
              </w:rPr>
              <w:t>225</w:t>
            </w:r>
          </w:p>
        </w:tc>
        <w:tc>
          <w:tcPr>
            <w:tcW w:w="379" w:type="pct"/>
            <w:tcBorders>
              <w:top w:val="nil"/>
              <w:left w:val="nil"/>
              <w:bottom w:val="nil"/>
              <w:right w:val="nil"/>
            </w:tcBorders>
            <w:shd w:val="clear" w:color="auto" w:fill="auto"/>
            <w:noWrap/>
            <w:vAlign w:val="bottom"/>
            <w:hideMark/>
          </w:tcPr>
          <w:p w14:paraId="3F8FC2F9" w14:textId="77777777" w:rsidR="00A61FF5" w:rsidRPr="00040036" w:rsidRDefault="00A61FF5" w:rsidP="00781DCB">
            <w:pPr>
              <w:pStyle w:val="ESTablebody3ptafter"/>
              <w:jc w:val="right"/>
              <w:rPr>
                <w:sz w:val="13"/>
                <w:lang w:val="en-AU" w:eastAsia="en-AU"/>
              </w:rPr>
            </w:pPr>
            <w:r w:rsidRPr="00040036">
              <w:rPr>
                <w:sz w:val="13"/>
                <w:lang w:val="en-AU" w:eastAsia="en-AU"/>
              </w:rPr>
              <w:t>55</w:t>
            </w:r>
          </w:p>
        </w:tc>
        <w:tc>
          <w:tcPr>
            <w:tcW w:w="249" w:type="pct"/>
            <w:tcBorders>
              <w:top w:val="nil"/>
              <w:left w:val="nil"/>
              <w:bottom w:val="nil"/>
              <w:right w:val="single" w:sz="4" w:space="0" w:color="auto"/>
            </w:tcBorders>
            <w:shd w:val="clear" w:color="auto" w:fill="auto"/>
            <w:noWrap/>
            <w:vAlign w:val="bottom"/>
            <w:hideMark/>
          </w:tcPr>
          <w:p w14:paraId="0937B2D6" w14:textId="77777777" w:rsidR="00A61FF5" w:rsidRPr="00040036" w:rsidRDefault="00A61FF5" w:rsidP="00781DCB">
            <w:pPr>
              <w:pStyle w:val="ESTablebody3ptafter"/>
              <w:jc w:val="right"/>
              <w:rPr>
                <w:sz w:val="13"/>
                <w:lang w:val="en-AU" w:eastAsia="en-AU"/>
              </w:rPr>
            </w:pPr>
            <w:r w:rsidRPr="00040036">
              <w:rPr>
                <w:sz w:val="13"/>
                <w:lang w:val="en-AU" w:eastAsia="en-AU"/>
              </w:rPr>
              <w:t>261.1</w:t>
            </w:r>
          </w:p>
        </w:tc>
        <w:tc>
          <w:tcPr>
            <w:tcW w:w="350" w:type="pct"/>
            <w:tcBorders>
              <w:top w:val="nil"/>
              <w:left w:val="nil"/>
              <w:bottom w:val="nil"/>
              <w:right w:val="nil"/>
            </w:tcBorders>
            <w:shd w:val="clear" w:color="auto" w:fill="auto"/>
            <w:noWrap/>
            <w:vAlign w:val="bottom"/>
            <w:hideMark/>
          </w:tcPr>
          <w:p w14:paraId="38D47DD4" w14:textId="77777777" w:rsidR="00A61FF5" w:rsidRPr="00040036" w:rsidRDefault="00A61FF5" w:rsidP="00781DCB">
            <w:pPr>
              <w:pStyle w:val="ESTablebody3ptafter"/>
              <w:jc w:val="right"/>
              <w:rPr>
                <w:sz w:val="13"/>
                <w:lang w:val="en-AU" w:eastAsia="en-AU"/>
              </w:rPr>
            </w:pPr>
            <w:r w:rsidRPr="00040036">
              <w:rPr>
                <w:sz w:val="13"/>
                <w:lang w:val="en-AU" w:eastAsia="en-AU"/>
              </w:rPr>
              <w:t>43</w:t>
            </w:r>
          </w:p>
        </w:tc>
        <w:tc>
          <w:tcPr>
            <w:tcW w:w="201" w:type="pct"/>
            <w:tcBorders>
              <w:top w:val="nil"/>
              <w:left w:val="nil"/>
              <w:bottom w:val="nil"/>
              <w:right w:val="nil"/>
            </w:tcBorders>
            <w:shd w:val="clear" w:color="auto" w:fill="auto"/>
            <w:noWrap/>
            <w:vAlign w:val="bottom"/>
            <w:hideMark/>
          </w:tcPr>
          <w:p w14:paraId="4AEC0FCC" w14:textId="77777777" w:rsidR="00A61FF5" w:rsidRPr="00040036" w:rsidRDefault="00A61FF5" w:rsidP="00781DCB">
            <w:pPr>
              <w:pStyle w:val="ESTablebody3ptafter"/>
              <w:jc w:val="right"/>
              <w:rPr>
                <w:sz w:val="13"/>
                <w:lang w:val="en-AU" w:eastAsia="en-AU"/>
              </w:rPr>
            </w:pPr>
            <w:r w:rsidRPr="00040036">
              <w:rPr>
                <w:sz w:val="13"/>
                <w:lang w:val="en-AU" w:eastAsia="en-AU"/>
              </w:rPr>
              <w:t>34.7</w:t>
            </w:r>
          </w:p>
        </w:tc>
      </w:tr>
      <w:tr w:rsidR="00A61FF5" w:rsidRPr="00932A90" w14:paraId="3C79C222" w14:textId="77777777" w:rsidTr="00D07480">
        <w:trPr>
          <w:trHeight w:hRule="exact" w:val="227"/>
        </w:trPr>
        <w:tc>
          <w:tcPr>
            <w:tcW w:w="154" w:type="pct"/>
            <w:vMerge/>
            <w:tcBorders>
              <w:left w:val="nil"/>
              <w:right w:val="nil"/>
            </w:tcBorders>
            <w:shd w:val="clear" w:color="auto" w:fill="auto"/>
            <w:vAlign w:val="center"/>
            <w:hideMark/>
          </w:tcPr>
          <w:p w14:paraId="37803F3C"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4E06B05F" w14:textId="77777777" w:rsidR="00A61FF5" w:rsidRPr="00040036" w:rsidRDefault="00A61FF5" w:rsidP="00D07480">
            <w:pPr>
              <w:pStyle w:val="ESTablebody3ptafter"/>
              <w:rPr>
                <w:sz w:val="13"/>
                <w:lang w:val="en-AU" w:eastAsia="en-AU"/>
              </w:rPr>
            </w:pPr>
            <w:r w:rsidRPr="00040036">
              <w:rPr>
                <w:sz w:val="13"/>
                <w:lang w:val="en-AU" w:eastAsia="en-AU"/>
              </w:rPr>
              <w:t>VPSG4</w:t>
            </w:r>
          </w:p>
        </w:tc>
        <w:tc>
          <w:tcPr>
            <w:tcW w:w="418" w:type="pct"/>
            <w:tcBorders>
              <w:top w:val="nil"/>
              <w:left w:val="nil"/>
              <w:bottom w:val="nil"/>
              <w:right w:val="nil"/>
            </w:tcBorders>
            <w:shd w:val="clear" w:color="auto" w:fill="auto"/>
            <w:noWrap/>
            <w:vAlign w:val="bottom"/>
            <w:hideMark/>
          </w:tcPr>
          <w:p w14:paraId="71A9029A" w14:textId="77777777" w:rsidR="00A61FF5" w:rsidRPr="00040036" w:rsidRDefault="00A61FF5" w:rsidP="00781DCB">
            <w:pPr>
              <w:pStyle w:val="ESTablebody3ptafter"/>
              <w:jc w:val="right"/>
              <w:rPr>
                <w:sz w:val="13"/>
                <w:lang w:val="en-AU" w:eastAsia="en-AU"/>
              </w:rPr>
            </w:pPr>
            <w:r w:rsidRPr="00040036">
              <w:rPr>
                <w:sz w:val="13"/>
                <w:lang w:val="en-AU" w:eastAsia="en-AU"/>
              </w:rPr>
              <w:t>489</w:t>
            </w:r>
          </w:p>
        </w:tc>
        <w:tc>
          <w:tcPr>
            <w:tcW w:w="250" w:type="pct"/>
            <w:tcBorders>
              <w:top w:val="nil"/>
              <w:left w:val="nil"/>
              <w:bottom w:val="nil"/>
              <w:right w:val="single" w:sz="4" w:space="0" w:color="auto"/>
            </w:tcBorders>
            <w:shd w:val="clear" w:color="auto" w:fill="auto"/>
            <w:noWrap/>
            <w:vAlign w:val="bottom"/>
            <w:hideMark/>
          </w:tcPr>
          <w:p w14:paraId="7BD5C2D5" w14:textId="77777777" w:rsidR="00A61FF5" w:rsidRPr="00040036" w:rsidRDefault="00A61FF5" w:rsidP="00781DCB">
            <w:pPr>
              <w:pStyle w:val="ESTablebody3ptafter"/>
              <w:jc w:val="right"/>
              <w:rPr>
                <w:sz w:val="13"/>
                <w:lang w:val="en-AU" w:eastAsia="en-AU"/>
              </w:rPr>
            </w:pPr>
            <w:r w:rsidRPr="00040036">
              <w:rPr>
                <w:sz w:val="13"/>
                <w:lang w:val="en-AU" w:eastAsia="en-AU"/>
              </w:rPr>
              <w:t>463.0</w:t>
            </w:r>
          </w:p>
        </w:tc>
        <w:tc>
          <w:tcPr>
            <w:tcW w:w="379" w:type="pct"/>
            <w:tcBorders>
              <w:top w:val="nil"/>
              <w:left w:val="nil"/>
              <w:bottom w:val="nil"/>
              <w:right w:val="nil"/>
            </w:tcBorders>
            <w:shd w:val="clear" w:color="auto" w:fill="auto"/>
            <w:noWrap/>
            <w:vAlign w:val="bottom"/>
            <w:hideMark/>
          </w:tcPr>
          <w:p w14:paraId="52A04D01" w14:textId="77777777" w:rsidR="00A61FF5" w:rsidRPr="00040036" w:rsidRDefault="00A61FF5" w:rsidP="00781DCB">
            <w:pPr>
              <w:pStyle w:val="ESTablebody3ptafter"/>
              <w:jc w:val="right"/>
              <w:rPr>
                <w:sz w:val="13"/>
                <w:lang w:val="en-AU" w:eastAsia="en-AU"/>
              </w:rPr>
            </w:pPr>
            <w:r w:rsidRPr="00040036">
              <w:rPr>
                <w:sz w:val="13"/>
                <w:lang w:val="en-AU" w:eastAsia="en-AU"/>
              </w:rPr>
              <w:t>327</w:t>
            </w:r>
          </w:p>
        </w:tc>
        <w:tc>
          <w:tcPr>
            <w:tcW w:w="379" w:type="pct"/>
            <w:tcBorders>
              <w:top w:val="nil"/>
              <w:left w:val="nil"/>
              <w:bottom w:val="nil"/>
              <w:right w:val="nil"/>
            </w:tcBorders>
            <w:shd w:val="clear" w:color="auto" w:fill="auto"/>
            <w:noWrap/>
            <w:vAlign w:val="bottom"/>
            <w:hideMark/>
          </w:tcPr>
          <w:p w14:paraId="6AB7014B" w14:textId="77777777" w:rsidR="00A61FF5" w:rsidRPr="00040036" w:rsidRDefault="00A61FF5" w:rsidP="00781DCB">
            <w:pPr>
              <w:pStyle w:val="ESTablebody3ptafter"/>
              <w:jc w:val="right"/>
              <w:rPr>
                <w:sz w:val="13"/>
                <w:lang w:val="en-AU" w:eastAsia="en-AU"/>
              </w:rPr>
            </w:pPr>
            <w:r w:rsidRPr="00040036">
              <w:rPr>
                <w:sz w:val="13"/>
                <w:lang w:val="en-AU" w:eastAsia="en-AU"/>
              </w:rPr>
              <w:t>62</w:t>
            </w:r>
          </w:p>
        </w:tc>
        <w:tc>
          <w:tcPr>
            <w:tcW w:w="249" w:type="pct"/>
            <w:tcBorders>
              <w:top w:val="nil"/>
              <w:left w:val="nil"/>
              <w:bottom w:val="nil"/>
              <w:right w:val="single" w:sz="4" w:space="0" w:color="auto"/>
            </w:tcBorders>
            <w:shd w:val="clear" w:color="auto" w:fill="auto"/>
            <w:noWrap/>
            <w:vAlign w:val="bottom"/>
            <w:hideMark/>
          </w:tcPr>
          <w:p w14:paraId="09B98399" w14:textId="77777777" w:rsidR="00A61FF5" w:rsidRPr="00040036" w:rsidRDefault="00A61FF5" w:rsidP="00781DCB">
            <w:pPr>
              <w:pStyle w:val="ESTablebody3ptafter"/>
              <w:jc w:val="right"/>
              <w:rPr>
                <w:sz w:val="13"/>
                <w:lang w:val="en-AU" w:eastAsia="en-AU"/>
              </w:rPr>
            </w:pPr>
            <w:r w:rsidRPr="00040036">
              <w:rPr>
                <w:sz w:val="13"/>
                <w:lang w:val="en-AU" w:eastAsia="en-AU"/>
              </w:rPr>
              <w:t>370.1</w:t>
            </w:r>
          </w:p>
        </w:tc>
        <w:tc>
          <w:tcPr>
            <w:tcW w:w="350" w:type="pct"/>
            <w:tcBorders>
              <w:top w:val="nil"/>
              <w:left w:val="nil"/>
              <w:bottom w:val="nil"/>
              <w:right w:val="nil"/>
            </w:tcBorders>
            <w:shd w:val="clear" w:color="auto" w:fill="auto"/>
            <w:noWrap/>
            <w:vAlign w:val="bottom"/>
            <w:hideMark/>
          </w:tcPr>
          <w:p w14:paraId="2CFA46E5" w14:textId="77777777" w:rsidR="00A61FF5" w:rsidRPr="00040036" w:rsidRDefault="00A61FF5" w:rsidP="00781DCB">
            <w:pPr>
              <w:pStyle w:val="ESTablebody3ptafter"/>
              <w:jc w:val="right"/>
              <w:rPr>
                <w:sz w:val="13"/>
                <w:lang w:val="en-AU" w:eastAsia="en-AU"/>
              </w:rPr>
            </w:pPr>
            <w:r w:rsidRPr="00040036">
              <w:rPr>
                <w:sz w:val="13"/>
                <w:lang w:val="en-AU" w:eastAsia="en-AU"/>
              </w:rPr>
              <w:t>100</w:t>
            </w:r>
          </w:p>
        </w:tc>
        <w:tc>
          <w:tcPr>
            <w:tcW w:w="206" w:type="pct"/>
            <w:tcBorders>
              <w:top w:val="nil"/>
              <w:left w:val="nil"/>
              <w:bottom w:val="nil"/>
              <w:right w:val="single" w:sz="8" w:space="0" w:color="auto"/>
            </w:tcBorders>
            <w:shd w:val="clear" w:color="auto" w:fill="auto"/>
            <w:noWrap/>
            <w:vAlign w:val="bottom"/>
            <w:hideMark/>
          </w:tcPr>
          <w:p w14:paraId="187E8F84" w14:textId="77777777" w:rsidR="00A61FF5" w:rsidRPr="00040036" w:rsidRDefault="00A61FF5" w:rsidP="00781DCB">
            <w:pPr>
              <w:pStyle w:val="ESTablebody3ptafter"/>
              <w:jc w:val="right"/>
              <w:rPr>
                <w:sz w:val="13"/>
                <w:lang w:val="en-AU" w:eastAsia="en-AU"/>
              </w:rPr>
            </w:pPr>
            <w:r w:rsidRPr="00040036">
              <w:rPr>
                <w:sz w:val="13"/>
                <w:lang w:val="en-AU" w:eastAsia="en-AU"/>
              </w:rPr>
              <w:t>92.9</w:t>
            </w:r>
          </w:p>
        </w:tc>
        <w:tc>
          <w:tcPr>
            <w:tcW w:w="350" w:type="pct"/>
            <w:tcBorders>
              <w:top w:val="nil"/>
              <w:left w:val="nil"/>
              <w:bottom w:val="nil"/>
              <w:right w:val="nil"/>
            </w:tcBorders>
            <w:shd w:val="clear" w:color="auto" w:fill="auto"/>
            <w:noWrap/>
            <w:vAlign w:val="bottom"/>
            <w:hideMark/>
          </w:tcPr>
          <w:p w14:paraId="4A548A01" w14:textId="77777777" w:rsidR="00A61FF5" w:rsidRPr="00040036" w:rsidRDefault="00A61FF5" w:rsidP="00781DCB">
            <w:pPr>
              <w:pStyle w:val="ESTablebody3ptafter"/>
              <w:jc w:val="right"/>
              <w:rPr>
                <w:sz w:val="13"/>
                <w:lang w:val="en-AU" w:eastAsia="en-AU"/>
              </w:rPr>
            </w:pPr>
            <w:r w:rsidRPr="00040036">
              <w:rPr>
                <w:sz w:val="13"/>
                <w:lang w:val="en-AU" w:eastAsia="en-AU"/>
              </w:rPr>
              <w:t>381</w:t>
            </w:r>
          </w:p>
        </w:tc>
        <w:tc>
          <w:tcPr>
            <w:tcW w:w="249" w:type="pct"/>
            <w:tcBorders>
              <w:top w:val="nil"/>
              <w:left w:val="nil"/>
              <w:bottom w:val="nil"/>
              <w:right w:val="single" w:sz="4" w:space="0" w:color="auto"/>
            </w:tcBorders>
            <w:shd w:val="clear" w:color="auto" w:fill="auto"/>
            <w:noWrap/>
            <w:vAlign w:val="bottom"/>
            <w:hideMark/>
          </w:tcPr>
          <w:p w14:paraId="283F140B" w14:textId="77777777" w:rsidR="00A61FF5" w:rsidRPr="00040036" w:rsidRDefault="00A61FF5" w:rsidP="00781DCB">
            <w:pPr>
              <w:pStyle w:val="ESTablebody3ptafter"/>
              <w:jc w:val="right"/>
              <w:rPr>
                <w:sz w:val="13"/>
                <w:lang w:val="en-AU" w:eastAsia="en-AU"/>
              </w:rPr>
            </w:pPr>
            <w:r w:rsidRPr="00040036">
              <w:rPr>
                <w:sz w:val="13"/>
                <w:lang w:val="en-AU" w:eastAsia="en-AU"/>
              </w:rPr>
              <w:t>358.2</w:t>
            </w:r>
          </w:p>
        </w:tc>
        <w:tc>
          <w:tcPr>
            <w:tcW w:w="379" w:type="pct"/>
            <w:tcBorders>
              <w:top w:val="nil"/>
              <w:left w:val="nil"/>
              <w:bottom w:val="nil"/>
              <w:right w:val="nil"/>
            </w:tcBorders>
            <w:shd w:val="clear" w:color="auto" w:fill="auto"/>
            <w:noWrap/>
            <w:vAlign w:val="bottom"/>
            <w:hideMark/>
          </w:tcPr>
          <w:p w14:paraId="16F0AF02" w14:textId="77777777" w:rsidR="00A61FF5" w:rsidRPr="00040036" w:rsidRDefault="00A61FF5" w:rsidP="00781DCB">
            <w:pPr>
              <w:pStyle w:val="ESTablebody3ptafter"/>
              <w:jc w:val="right"/>
              <w:rPr>
                <w:sz w:val="13"/>
                <w:lang w:val="en-AU" w:eastAsia="en-AU"/>
              </w:rPr>
            </w:pPr>
            <w:r w:rsidRPr="00040036">
              <w:rPr>
                <w:sz w:val="13"/>
                <w:lang w:val="en-AU" w:eastAsia="en-AU"/>
              </w:rPr>
              <w:t>281</w:t>
            </w:r>
          </w:p>
        </w:tc>
        <w:tc>
          <w:tcPr>
            <w:tcW w:w="379" w:type="pct"/>
            <w:tcBorders>
              <w:top w:val="nil"/>
              <w:left w:val="nil"/>
              <w:bottom w:val="nil"/>
              <w:right w:val="nil"/>
            </w:tcBorders>
            <w:shd w:val="clear" w:color="auto" w:fill="auto"/>
            <w:noWrap/>
            <w:vAlign w:val="bottom"/>
            <w:hideMark/>
          </w:tcPr>
          <w:p w14:paraId="2A769E5E" w14:textId="77777777" w:rsidR="00A61FF5" w:rsidRPr="00040036" w:rsidRDefault="00A61FF5" w:rsidP="00781DCB">
            <w:pPr>
              <w:pStyle w:val="ESTablebody3ptafter"/>
              <w:jc w:val="right"/>
              <w:rPr>
                <w:sz w:val="13"/>
                <w:lang w:val="en-AU" w:eastAsia="en-AU"/>
              </w:rPr>
            </w:pPr>
            <w:r w:rsidRPr="00040036">
              <w:rPr>
                <w:sz w:val="13"/>
                <w:lang w:val="en-AU" w:eastAsia="en-AU"/>
              </w:rPr>
              <w:t>56</w:t>
            </w:r>
          </w:p>
        </w:tc>
        <w:tc>
          <w:tcPr>
            <w:tcW w:w="249" w:type="pct"/>
            <w:tcBorders>
              <w:top w:val="nil"/>
              <w:left w:val="nil"/>
              <w:bottom w:val="nil"/>
              <w:right w:val="single" w:sz="4" w:space="0" w:color="auto"/>
            </w:tcBorders>
            <w:shd w:val="clear" w:color="auto" w:fill="auto"/>
            <w:noWrap/>
            <w:vAlign w:val="bottom"/>
            <w:hideMark/>
          </w:tcPr>
          <w:p w14:paraId="23A6504C" w14:textId="77777777" w:rsidR="00A61FF5" w:rsidRPr="00040036" w:rsidRDefault="00A61FF5" w:rsidP="00781DCB">
            <w:pPr>
              <w:pStyle w:val="ESTablebody3ptafter"/>
              <w:jc w:val="right"/>
              <w:rPr>
                <w:sz w:val="13"/>
                <w:lang w:val="en-AU" w:eastAsia="en-AU"/>
              </w:rPr>
            </w:pPr>
            <w:r w:rsidRPr="00040036">
              <w:rPr>
                <w:sz w:val="13"/>
                <w:lang w:val="en-AU" w:eastAsia="en-AU"/>
              </w:rPr>
              <w:t>319.4</w:t>
            </w:r>
          </w:p>
        </w:tc>
        <w:tc>
          <w:tcPr>
            <w:tcW w:w="350" w:type="pct"/>
            <w:tcBorders>
              <w:top w:val="nil"/>
              <w:left w:val="nil"/>
              <w:bottom w:val="nil"/>
              <w:right w:val="nil"/>
            </w:tcBorders>
            <w:shd w:val="clear" w:color="auto" w:fill="auto"/>
            <w:noWrap/>
            <w:vAlign w:val="bottom"/>
            <w:hideMark/>
          </w:tcPr>
          <w:p w14:paraId="3E632669" w14:textId="77777777" w:rsidR="00A61FF5" w:rsidRPr="00040036" w:rsidRDefault="00A61FF5" w:rsidP="00781DCB">
            <w:pPr>
              <w:pStyle w:val="ESTablebody3ptafter"/>
              <w:jc w:val="right"/>
              <w:rPr>
                <w:sz w:val="13"/>
                <w:lang w:val="en-AU" w:eastAsia="en-AU"/>
              </w:rPr>
            </w:pPr>
            <w:r w:rsidRPr="00040036">
              <w:rPr>
                <w:sz w:val="13"/>
                <w:lang w:val="en-AU" w:eastAsia="en-AU"/>
              </w:rPr>
              <w:t>44</w:t>
            </w:r>
          </w:p>
        </w:tc>
        <w:tc>
          <w:tcPr>
            <w:tcW w:w="201" w:type="pct"/>
            <w:tcBorders>
              <w:top w:val="nil"/>
              <w:left w:val="nil"/>
              <w:bottom w:val="nil"/>
              <w:right w:val="nil"/>
            </w:tcBorders>
            <w:shd w:val="clear" w:color="auto" w:fill="auto"/>
            <w:noWrap/>
            <w:vAlign w:val="bottom"/>
            <w:hideMark/>
          </w:tcPr>
          <w:p w14:paraId="7CC569D3" w14:textId="77777777" w:rsidR="00A61FF5" w:rsidRPr="00040036" w:rsidRDefault="00A61FF5" w:rsidP="00781DCB">
            <w:pPr>
              <w:pStyle w:val="ESTablebody3ptafter"/>
              <w:jc w:val="right"/>
              <w:rPr>
                <w:sz w:val="13"/>
                <w:lang w:val="en-AU" w:eastAsia="en-AU"/>
              </w:rPr>
            </w:pPr>
            <w:r w:rsidRPr="00040036">
              <w:rPr>
                <w:sz w:val="13"/>
                <w:lang w:val="en-AU" w:eastAsia="en-AU"/>
              </w:rPr>
              <w:t>38.8</w:t>
            </w:r>
          </w:p>
        </w:tc>
      </w:tr>
      <w:tr w:rsidR="00A61FF5" w:rsidRPr="00932A90" w14:paraId="603ADA63" w14:textId="77777777" w:rsidTr="00D07480">
        <w:trPr>
          <w:trHeight w:hRule="exact" w:val="227"/>
        </w:trPr>
        <w:tc>
          <w:tcPr>
            <w:tcW w:w="154" w:type="pct"/>
            <w:vMerge/>
            <w:tcBorders>
              <w:left w:val="nil"/>
              <w:right w:val="nil"/>
            </w:tcBorders>
            <w:shd w:val="clear" w:color="auto" w:fill="auto"/>
            <w:vAlign w:val="center"/>
            <w:hideMark/>
          </w:tcPr>
          <w:p w14:paraId="26195D35"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36197F57" w14:textId="77777777" w:rsidR="00A61FF5" w:rsidRPr="00040036" w:rsidRDefault="00A61FF5" w:rsidP="00D07480">
            <w:pPr>
              <w:pStyle w:val="ESTablebody3ptafter"/>
              <w:rPr>
                <w:sz w:val="13"/>
                <w:lang w:val="en-AU" w:eastAsia="en-AU"/>
              </w:rPr>
            </w:pPr>
            <w:r w:rsidRPr="00040036">
              <w:rPr>
                <w:sz w:val="13"/>
                <w:lang w:val="en-AU" w:eastAsia="en-AU"/>
              </w:rPr>
              <w:t>VPSG5</w:t>
            </w:r>
          </w:p>
        </w:tc>
        <w:tc>
          <w:tcPr>
            <w:tcW w:w="418" w:type="pct"/>
            <w:tcBorders>
              <w:top w:val="nil"/>
              <w:left w:val="nil"/>
              <w:bottom w:val="nil"/>
              <w:right w:val="nil"/>
            </w:tcBorders>
            <w:shd w:val="clear" w:color="auto" w:fill="auto"/>
            <w:noWrap/>
            <w:vAlign w:val="bottom"/>
            <w:hideMark/>
          </w:tcPr>
          <w:p w14:paraId="0B36F238" w14:textId="77777777" w:rsidR="00A61FF5" w:rsidRPr="00040036" w:rsidRDefault="00A61FF5" w:rsidP="00781DCB">
            <w:pPr>
              <w:pStyle w:val="ESTablebody3ptafter"/>
              <w:jc w:val="right"/>
              <w:rPr>
                <w:sz w:val="13"/>
                <w:lang w:val="en-AU" w:eastAsia="en-AU"/>
              </w:rPr>
            </w:pPr>
            <w:r w:rsidRPr="00040036">
              <w:rPr>
                <w:sz w:val="13"/>
                <w:lang w:val="en-AU" w:eastAsia="en-AU"/>
              </w:rPr>
              <w:t>978</w:t>
            </w:r>
          </w:p>
        </w:tc>
        <w:tc>
          <w:tcPr>
            <w:tcW w:w="250" w:type="pct"/>
            <w:tcBorders>
              <w:top w:val="nil"/>
              <w:left w:val="nil"/>
              <w:bottom w:val="nil"/>
              <w:right w:val="single" w:sz="4" w:space="0" w:color="auto"/>
            </w:tcBorders>
            <w:shd w:val="clear" w:color="auto" w:fill="auto"/>
            <w:noWrap/>
            <w:vAlign w:val="bottom"/>
            <w:hideMark/>
          </w:tcPr>
          <w:p w14:paraId="55F6F801" w14:textId="77777777" w:rsidR="00A61FF5" w:rsidRPr="00040036" w:rsidRDefault="00A61FF5" w:rsidP="00781DCB">
            <w:pPr>
              <w:pStyle w:val="ESTablebody3ptafter"/>
              <w:jc w:val="right"/>
              <w:rPr>
                <w:sz w:val="13"/>
                <w:lang w:val="en-AU" w:eastAsia="en-AU"/>
              </w:rPr>
            </w:pPr>
            <w:r w:rsidRPr="00040036">
              <w:rPr>
                <w:sz w:val="13"/>
                <w:lang w:val="en-AU" w:eastAsia="en-AU"/>
              </w:rPr>
              <w:t>912.9</w:t>
            </w:r>
          </w:p>
        </w:tc>
        <w:tc>
          <w:tcPr>
            <w:tcW w:w="379" w:type="pct"/>
            <w:tcBorders>
              <w:top w:val="nil"/>
              <w:left w:val="nil"/>
              <w:bottom w:val="nil"/>
              <w:right w:val="nil"/>
            </w:tcBorders>
            <w:shd w:val="clear" w:color="auto" w:fill="auto"/>
            <w:noWrap/>
            <w:vAlign w:val="bottom"/>
            <w:hideMark/>
          </w:tcPr>
          <w:p w14:paraId="7E9517E6" w14:textId="77777777" w:rsidR="00A61FF5" w:rsidRPr="00040036" w:rsidRDefault="00A61FF5" w:rsidP="00781DCB">
            <w:pPr>
              <w:pStyle w:val="ESTablebody3ptafter"/>
              <w:jc w:val="right"/>
              <w:rPr>
                <w:sz w:val="13"/>
                <w:lang w:val="en-AU" w:eastAsia="en-AU"/>
              </w:rPr>
            </w:pPr>
            <w:r w:rsidRPr="00040036">
              <w:rPr>
                <w:sz w:val="13"/>
                <w:lang w:val="en-AU" w:eastAsia="en-AU"/>
              </w:rPr>
              <w:t>605</w:t>
            </w:r>
          </w:p>
        </w:tc>
        <w:tc>
          <w:tcPr>
            <w:tcW w:w="379" w:type="pct"/>
            <w:tcBorders>
              <w:top w:val="nil"/>
              <w:left w:val="nil"/>
              <w:bottom w:val="nil"/>
              <w:right w:val="nil"/>
            </w:tcBorders>
            <w:shd w:val="clear" w:color="auto" w:fill="auto"/>
            <w:noWrap/>
            <w:vAlign w:val="bottom"/>
            <w:hideMark/>
          </w:tcPr>
          <w:p w14:paraId="38C2D515" w14:textId="77777777" w:rsidR="00A61FF5" w:rsidRPr="00040036" w:rsidRDefault="00A61FF5" w:rsidP="00781DCB">
            <w:pPr>
              <w:pStyle w:val="ESTablebody3ptafter"/>
              <w:jc w:val="right"/>
              <w:rPr>
                <w:sz w:val="13"/>
                <w:lang w:val="en-AU" w:eastAsia="en-AU"/>
              </w:rPr>
            </w:pPr>
            <w:r w:rsidRPr="00040036">
              <w:rPr>
                <w:sz w:val="13"/>
                <w:lang w:val="en-AU" w:eastAsia="en-AU"/>
              </w:rPr>
              <w:t>168</w:t>
            </w:r>
          </w:p>
        </w:tc>
        <w:tc>
          <w:tcPr>
            <w:tcW w:w="249" w:type="pct"/>
            <w:tcBorders>
              <w:top w:val="nil"/>
              <w:left w:val="nil"/>
              <w:bottom w:val="nil"/>
              <w:right w:val="single" w:sz="4" w:space="0" w:color="auto"/>
            </w:tcBorders>
            <w:shd w:val="clear" w:color="auto" w:fill="auto"/>
            <w:noWrap/>
            <w:vAlign w:val="bottom"/>
            <w:hideMark/>
          </w:tcPr>
          <w:p w14:paraId="25754A4B" w14:textId="77777777" w:rsidR="00A61FF5" w:rsidRPr="00040036" w:rsidRDefault="00A61FF5" w:rsidP="00781DCB">
            <w:pPr>
              <w:pStyle w:val="ESTablebody3ptafter"/>
              <w:jc w:val="right"/>
              <w:rPr>
                <w:sz w:val="13"/>
                <w:lang w:val="en-AU" w:eastAsia="en-AU"/>
              </w:rPr>
            </w:pPr>
            <w:r w:rsidRPr="00040036">
              <w:rPr>
                <w:sz w:val="13"/>
                <w:lang w:val="en-AU" w:eastAsia="en-AU"/>
              </w:rPr>
              <w:t>722.0</w:t>
            </w:r>
          </w:p>
        </w:tc>
        <w:tc>
          <w:tcPr>
            <w:tcW w:w="350" w:type="pct"/>
            <w:tcBorders>
              <w:top w:val="nil"/>
              <w:left w:val="nil"/>
              <w:bottom w:val="nil"/>
              <w:right w:val="nil"/>
            </w:tcBorders>
            <w:shd w:val="clear" w:color="auto" w:fill="auto"/>
            <w:noWrap/>
            <w:vAlign w:val="bottom"/>
            <w:hideMark/>
          </w:tcPr>
          <w:p w14:paraId="1FAFD38C" w14:textId="77777777" w:rsidR="00A61FF5" w:rsidRPr="00040036" w:rsidRDefault="00A61FF5" w:rsidP="00781DCB">
            <w:pPr>
              <w:pStyle w:val="ESTablebody3ptafter"/>
              <w:jc w:val="right"/>
              <w:rPr>
                <w:sz w:val="13"/>
                <w:lang w:val="en-AU" w:eastAsia="en-AU"/>
              </w:rPr>
            </w:pPr>
            <w:r w:rsidRPr="00040036">
              <w:rPr>
                <w:sz w:val="13"/>
                <w:lang w:val="en-AU" w:eastAsia="en-AU"/>
              </w:rPr>
              <w:t>205</w:t>
            </w:r>
          </w:p>
        </w:tc>
        <w:tc>
          <w:tcPr>
            <w:tcW w:w="206" w:type="pct"/>
            <w:tcBorders>
              <w:top w:val="nil"/>
              <w:left w:val="nil"/>
              <w:bottom w:val="nil"/>
              <w:right w:val="single" w:sz="8" w:space="0" w:color="auto"/>
            </w:tcBorders>
            <w:shd w:val="clear" w:color="auto" w:fill="auto"/>
            <w:noWrap/>
            <w:vAlign w:val="bottom"/>
            <w:hideMark/>
          </w:tcPr>
          <w:p w14:paraId="37537375" w14:textId="77777777" w:rsidR="00A61FF5" w:rsidRPr="00040036" w:rsidRDefault="00A61FF5" w:rsidP="00781DCB">
            <w:pPr>
              <w:pStyle w:val="ESTablebody3ptafter"/>
              <w:jc w:val="right"/>
              <w:rPr>
                <w:sz w:val="13"/>
                <w:lang w:val="en-AU" w:eastAsia="en-AU"/>
              </w:rPr>
            </w:pPr>
            <w:r w:rsidRPr="00040036">
              <w:rPr>
                <w:sz w:val="13"/>
                <w:lang w:val="en-AU" w:eastAsia="en-AU"/>
              </w:rPr>
              <w:t>190.9</w:t>
            </w:r>
          </w:p>
        </w:tc>
        <w:tc>
          <w:tcPr>
            <w:tcW w:w="350" w:type="pct"/>
            <w:tcBorders>
              <w:top w:val="nil"/>
              <w:left w:val="nil"/>
              <w:bottom w:val="nil"/>
              <w:right w:val="nil"/>
            </w:tcBorders>
            <w:shd w:val="clear" w:color="auto" w:fill="auto"/>
            <w:noWrap/>
            <w:vAlign w:val="bottom"/>
            <w:hideMark/>
          </w:tcPr>
          <w:p w14:paraId="178121EE" w14:textId="77777777" w:rsidR="00A61FF5" w:rsidRPr="00040036" w:rsidRDefault="00A61FF5" w:rsidP="00781DCB">
            <w:pPr>
              <w:pStyle w:val="ESTablebody3ptafter"/>
              <w:jc w:val="right"/>
              <w:rPr>
                <w:sz w:val="13"/>
                <w:lang w:val="en-AU" w:eastAsia="en-AU"/>
              </w:rPr>
            </w:pPr>
            <w:r w:rsidRPr="00040036">
              <w:rPr>
                <w:sz w:val="13"/>
                <w:lang w:val="en-AU" w:eastAsia="en-AU"/>
              </w:rPr>
              <w:t>749</w:t>
            </w:r>
          </w:p>
        </w:tc>
        <w:tc>
          <w:tcPr>
            <w:tcW w:w="249" w:type="pct"/>
            <w:tcBorders>
              <w:top w:val="nil"/>
              <w:left w:val="nil"/>
              <w:bottom w:val="nil"/>
              <w:right w:val="single" w:sz="4" w:space="0" w:color="auto"/>
            </w:tcBorders>
            <w:shd w:val="clear" w:color="auto" w:fill="auto"/>
            <w:noWrap/>
            <w:vAlign w:val="bottom"/>
            <w:hideMark/>
          </w:tcPr>
          <w:p w14:paraId="4FFF5371" w14:textId="77777777" w:rsidR="00A61FF5" w:rsidRPr="00040036" w:rsidRDefault="00A61FF5" w:rsidP="00781DCB">
            <w:pPr>
              <w:pStyle w:val="ESTablebody3ptafter"/>
              <w:jc w:val="right"/>
              <w:rPr>
                <w:sz w:val="13"/>
                <w:lang w:val="en-AU" w:eastAsia="en-AU"/>
              </w:rPr>
            </w:pPr>
            <w:r w:rsidRPr="00040036">
              <w:rPr>
                <w:sz w:val="13"/>
                <w:lang w:val="en-AU" w:eastAsia="en-AU"/>
              </w:rPr>
              <w:t>697.6</w:t>
            </w:r>
          </w:p>
        </w:tc>
        <w:tc>
          <w:tcPr>
            <w:tcW w:w="379" w:type="pct"/>
            <w:tcBorders>
              <w:top w:val="nil"/>
              <w:left w:val="nil"/>
              <w:bottom w:val="nil"/>
              <w:right w:val="nil"/>
            </w:tcBorders>
            <w:shd w:val="clear" w:color="auto" w:fill="auto"/>
            <w:noWrap/>
            <w:vAlign w:val="bottom"/>
            <w:hideMark/>
          </w:tcPr>
          <w:p w14:paraId="113107CC" w14:textId="77777777" w:rsidR="00A61FF5" w:rsidRPr="00040036" w:rsidRDefault="00A61FF5" w:rsidP="00781DCB">
            <w:pPr>
              <w:pStyle w:val="ESTablebody3ptafter"/>
              <w:jc w:val="right"/>
              <w:rPr>
                <w:sz w:val="13"/>
                <w:lang w:val="en-AU" w:eastAsia="en-AU"/>
              </w:rPr>
            </w:pPr>
            <w:r w:rsidRPr="00040036">
              <w:rPr>
                <w:sz w:val="13"/>
                <w:lang w:val="en-AU" w:eastAsia="en-AU"/>
              </w:rPr>
              <w:t>506</w:t>
            </w:r>
          </w:p>
        </w:tc>
        <w:tc>
          <w:tcPr>
            <w:tcW w:w="379" w:type="pct"/>
            <w:tcBorders>
              <w:top w:val="nil"/>
              <w:left w:val="nil"/>
              <w:bottom w:val="nil"/>
              <w:right w:val="nil"/>
            </w:tcBorders>
            <w:shd w:val="clear" w:color="auto" w:fill="auto"/>
            <w:noWrap/>
            <w:vAlign w:val="bottom"/>
            <w:hideMark/>
          </w:tcPr>
          <w:p w14:paraId="2104C63F" w14:textId="77777777" w:rsidR="00A61FF5" w:rsidRPr="00040036" w:rsidRDefault="00A61FF5" w:rsidP="00781DCB">
            <w:pPr>
              <w:pStyle w:val="ESTablebody3ptafter"/>
              <w:jc w:val="right"/>
              <w:rPr>
                <w:sz w:val="13"/>
                <w:lang w:val="en-AU" w:eastAsia="en-AU"/>
              </w:rPr>
            </w:pPr>
            <w:r w:rsidRPr="00040036">
              <w:rPr>
                <w:sz w:val="13"/>
                <w:lang w:val="en-AU" w:eastAsia="en-AU"/>
              </w:rPr>
              <w:t>136</w:t>
            </w:r>
          </w:p>
        </w:tc>
        <w:tc>
          <w:tcPr>
            <w:tcW w:w="249" w:type="pct"/>
            <w:tcBorders>
              <w:top w:val="nil"/>
              <w:left w:val="nil"/>
              <w:bottom w:val="nil"/>
              <w:right w:val="single" w:sz="4" w:space="0" w:color="auto"/>
            </w:tcBorders>
            <w:shd w:val="clear" w:color="auto" w:fill="auto"/>
            <w:noWrap/>
            <w:vAlign w:val="bottom"/>
            <w:hideMark/>
          </w:tcPr>
          <w:p w14:paraId="4F362E03" w14:textId="77777777" w:rsidR="00A61FF5" w:rsidRPr="00040036" w:rsidRDefault="00A61FF5" w:rsidP="00781DCB">
            <w:pPr>
              <w:pStyle w:val="ESTablebody3ptafter"/>
              <w:jc w:val="right"/>
              <w:rPr>
                <w:sz w:val="13"/>
                <w:lang w:val="en-AU" w:eastAsia="en-AU"/>
              </w:rPr>
            </w:pPr>
            <w:r w:rsidRPr="00040036">
              <w:rPr>
                <w:sz w:val="13"/>
                <w:lang w:val="en-AU" w:eastAsia="en-AU"/>
              </w:rPr>
              <w:t>599.8</w:t>
            </w:r>
          </w:p>
        </w:tc>
        <w:tc>
          <w:tcPr>
            <w:tcW w:w="350" w:type="pct"/>
            <w:tcBorders>
              <w:top w:val="nil"/>
              <w:left w:val="nil"/>
              <w:bottom w:val="nil"/>
              <w:right w:val="nil"/>
            </w:tcBorders>
            <w:shd w:val="clear" w:color="auto" w:fill="auto"/>
            <w:noWrap/>
            <w:vAlign w:val="bottom"/>
            <w:hideMark/>
          </w:tcPr>
          <w:p w14:paraId="6C8FFBBC" w14:textId="77777777" w:rsidR="00A61FF5" w:rsidRPr="00040036" w:rsidRDefault="00A61FF5" w:rsidP="00781DCB">
            <w:pPr>
              <w:pStyle w:val="ESTablebody3ptafter"/>
              <w:jc w:val="right"/>
              <w:rPr>
                <w:sz w:val="13"/>
                <w:lang w:val="en-AU" w:eastAsia="en-AU"/>
              </w:rPr>
            </w:pPr>
            <w:r w:rsidRPr="00040036">
              <w:rPr>
                <w:sz w:val="13"/>
                <w:lang w:val="en-AU" w:eastAsia="en-AU"/>
              </w:rPr>
              <w:t>107</w:t>
            </w:r>
          </w:p>
        </w:tc>
        <w:tc>
          <w:tcPr>
            <w:tcW w:w="201" w:type="pct"/>
            <w:tcBorders>
              <w:top w:val="nil"/>
              <w:left w:val="nil"/>
              <w:bottom w:val="nil"/>
              <w:right w:val="nil"/>
            </w:tcBorders>
            <w:shd w:val="clear" w:color="auto" w:fill="auto"/>
            <w:noWrap/>
            <w:vAlign w:val="bottom"/>
            <w:hideMark/>
          </w:tcPr>
          <w:p w14:paraId="6AB9428C" w14:textId="77777777" w:rsidR="00A61FF5" w:rsidRPr="00040036" w:rsidRDefault="00A61FF5" w:rsidP="00781DCB">
            <w:pPr>
              <w:pStyle w:val="ESTablebody3ptafter"/>
              <w:jc w:val="right"/>
              <w:rPr>
                <w:sz w:val="13"/>
                <w:lang w:val="en-AU" w:eastAsia="en-AU"/>
              </w:rPr>
            </w:pPr>
            <w:r w:rsidRPr="00040036">
              <w:rPr>
                <w:sz w:val="13"/>
                <w:lang w:val="en-AU" w:eastAsia="en-AU"/>
              </w:rPr>
              <w:t>97.8</w:t>
            </w:r>
          </w:p>
        </w:tc>
      </w:tr>
      <w:tr w:rsidR="00A61FF5" w:rsidRPr="00932A90" w14:paraId="76E6D227" w14:textId="77777777" w:rsidTr="00D07480">
        <w:trPr>
          <w:trHeight w:hRule="exact" w:val="227"/>
        </w:trPr>
        <w:tc>
          <w:tcPr>
            <w:tcW w:w="154" w:type="pct"/>
            <w:vMerge/>
            <w:tcBorders>
              <w:left w:val="nil"/>
              <w:right w:val="nil"/>
            </w:tcBorders>
            <w:shd w:val="clear" w:color="auto" w:fill="auto"/>
            <w:vAlign w:val="center"/>
            <w:hideMark/>
          </w:tcPr>
          <w:p w14:paraId="4CD8E686"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3810855C" w14:textId="77777777" w:rsidR="00A61FF5" w:rsidRPr="00040036" w:rsidRDefault="00A61FF5" w:rsidP="00D07480">
            <w:pPr>
              <w:pStyle w:val="ESTablebody3ptafter"/>
              <w:rPr>
                <w:sz w:val="13"/>
                <w:lang w:val="en-AU" w:eastAsia="en-AU"/>
              </w:rPr>
            </w:pPr>
            <w:r w:rsidRPr="00040036">
              <w:rPr>
                <w:sz w:val="13"/>
                <w:lang w:val="en-AU" w:eastAsia="en-AU"/>
              </w:rPr>
              <w:t>VPSG6</w:t>
            </w:r>
          </w:p>
        </w:tc>
        <w:tc>
          <w:tcPr>
            <w:tcW w:w="418" w:type="pct"/>
            <w:tcBorders>
              <w:top w:val="nil"/>
              <w:left w:val="nil"/>
              <w:bottom w:val="nil"/>
              <w:right w:val="nil"/>
            </w:tcBorders>
            <w:shd w:val="clear" w:color="auto" w:fill="auto"/>
            <w:noWrap/>
            <w:vAlign w:val="bottom"/>
            <w:hideMark/>
          </w:tcPr>
          <w:p w14:paraId="6CD8FCBA" w14:textId="77777777" w:rsidR="00A61FF5" w:rsidRPr="00040036" w:rsidRDefault="00A61FF5" w:rsidP="00781DCB">
            <w:pPr>
              <w:pStyle w:val="ESTablebody3ptafter"/>
              <w:jc w:val="right"/>
              <w:rPr>
                <w:sz w:val="13"/>
                <w:lang w:val="en-AU" w:eastAsia="en-AU"/>
              </w:rPr>
            </w:pPr>
            <w:r w:rsidRPr="00040036">
              <w:rPr>
                <w:sz w:val="13"/>
                <w:lang w:val="en-AU" w:eastAsia="en-AU"/>
              </w:rPr>
              <w:t>466</w:t>
            </w:r>
          </w:p>
        </w:tc>
        <w:tc>
          <w:tcPr>
            <w:tcW w:w="250" w:type="pct"/>
            <w:tcBorders>
              <w:top w:val="nil"/>
              <w:left w:val="nil"/>
              <w:bottom w:val="nil"/>
              <w:right w:val="single" w:sz="4" w:space="0" w:color="auto"/>
            </w:tcBorders>
            <w:shd w:val="clear" w:color="auto" w:fill="auto"/>
            <w:noWrap/>
            <w:vAlign w:val="bottom"/>
            <w:hideMark/>
          </w:tcPr>
          <w:p w14:paraId="5B645166" w14:textId="77777777" w:rsidR="00A61FF5" w:rsidRPr="00040036" w:rsidRDefault="00A61FF5" w:rsidP="00781DCB">
            <w:pPr>
              <w:pStyle w:val="ESTablebody3ptafter"/>
              <w:jc w:val="right"/>
              <w:rPr>
                <w:sz w:val="13"/>
                <w:lang w:val="en-AU" w:eastAsia="en-AU"/>
              </w:rPr>
            </w:pPr>
            <w:r w:rsidRPr="00040036">
              <w:rPr>
                <w:sz w:val="13"/>
                <w:lang w:val="en-AU" w:eastAsia="en-AU"/>
              </w:rPr>
              <w:t>450.3</w:t>
            </w:r>
          </w:p>
        </w:tc>
        <w:tc>
          <w:tcPr>
            <w:tcW w:w="379" w:type="pct"/>
            <w:tcBorders>
              <w:top w:val="nil"/>
              <w:left w:val="nil"/>
              <w:bottom w:val="nil"/>
              <w:right w:val="nil"/>
            </w:tcBorders>
            <w:shd w:val="clear" w:color="auto" w:fill="auto"/>
            <w:noWrap/>
            <w:vAlign w:val="bottom"/>
            <w:hideMark/>
          </w:tcPr>
          <w:p w14:paraId="32938A33" w14:textId="77777777" w:rsidR="00A61FF5" w:rsidRPr="00040036" w:rsidRDefault="00A61FF5" w:rsidP="00781DCB">
            <w:pPr>
              <w:pStyle w:val="ESTablebody3ptafter"/>
              <w:jc w:val="right"/>
              <w:rPr>
                <w:sz w:val="13"/>
                <w:lang w:val="en-AU" w:eastAsia="en-AU"/>
              </w:rPr>
            </w:pPr>
            <w:r w:rsidRPr="00040036">
              <w:rPr>
                <w:sz w:val="13"/>
                <w:lang w:val="en-AU" w:eastAsia="en-AU"/>
              </w:rPr>
              <w:t>347</w:t>
            </w:r>
          </w:p>
        </w:tc>
        <w:tc>
          <w:tcPr>
            <w:tcW w:w="379" w:type="pct"/>
            <w:tcBorders>
              <w:top w:val="nil"/>
              <w:left w:val="nil"/>
              <w:bottom w:val="nil"/>
              <w:right w:val="nil"/>
            </w:tcBorders>
            <w:shd w:val="clear" w:color="auto" w:fill="auto"/>
            <w:noWrap/>
            <w:vAlign w:val="bottom"/>
            <w:hideMark/>
          </w:tcPr>
          <w:p w14:paraId="61299FB1" w14:textId="77777777" w:rsidR="00A61FF5" w:rsidRPr="00040036" w:rsidRDefault="00A61FF5" w:rsidP="00781DCB">
            <w:pPr>
              <w:pStyle w:val="ESTablebody3ptafter"/>
              <w:jc w:val="right"/>
              <w:rPr>
                <w:sz w:val="13"/>
                <w:lang w:val="en-AU" w:eastAsia="en-AU"/>
              </w:rPr>
            </w:pPr>
            <w:r w:rsidRPr="00040036">
              <w:rPr>
                <w:sz w:val="13"/>
                <w:lang w:val="en-AU" w:eastAsia="en-AU"/>
              </w:rPr>
              <w:t>48</w:t>
            </w:r>
          </w:p>
        </w:tc>
        <w:tc>
          <w:tcPr>
            <w:tcW w:w="249" w:type="pct"/>
            <w:tcBorders>
              <w:top w:val="nil"/>
              <w:left w:val="nil"/>
              <w:bottom w:val="nil"/>
              <w:right w:val="single" w:sz="4" w:space="0" w:color="auto"/>
            </w:tcBorders>
            <w:shd w:val="clear" w:color="auto" w:fill="auto"/>
            <w:noWrap/>
            <w:vAlign w:val="bottom"/>
            <w:hideMark/>
          </w:tcPr>
          <w:p w14:paraId="14E028FD" w14:textId="77777777" w:rsidR="00A61FF5" w:rsidRPr="00040036" w:rsidRDefault="00A61FF5" w:rsidP="00781DCB">
            <w:pPr>
              <w:pStyle w:val="ESTablebody3ptafter"/>
              <w:jc w:val="right"/>
              <w:rPr>
                <w:sz w:val="13"/>
                <w:lang w:val="en-AU" w:eastAsia="en-AU"/>
              </w:rPr>
            </w:pPr>
            <w:r w:rsidRPr="00040036">
              <w:rPr>
                <w:sz w:val="13"/>
                <w:lang w:val="en-AU" w:eastAsia="en-AU"/>
              </w:rPr>
              <w:t>382.3</w:t>
            </w:r>
          </w:p>
        </w:tc>
        <w:tc>
          <w:tcPr>
            <w:tcW w:w="350" w:type="pct"/>
            <w:tcBorders>
              <w:top w:val="nil"/>
              <w:left w:val="nil"/>
              <w:bottom w:val="nil"/>
              <w:right w:val="nil"/>
            </w:tcBorders>
            <w:shd w:val="clear" w:color="auto" w:fill="auto"/>
            <w:noWrap/>
            <w:vAlign w:val="bottom"/>
            <w:hideMark/>
          </w:tcPr>
          <w:p w14:paraId="769123A9" w14:textId="77777777" w:rsidR="00A61FF5" w:rsidRPr="00040036" w:rsidRDefault="00A61FF5" w:rsidP="00781DCB">
            <w:pPr>
              <w:pStyle w:val="ESTablebody3ptafter"/>
              <w:jc w:val="right"/>
              <w:rPr>
                <w:sz w:val="13"/>
                <w:lang w:val="en-AU" w:eastAsia="en-AU"/>
              </w:rPr>
            </w:pPr>
            <w:r w:rsidRPr="00040036">
              <w:rPr>
                <w:sz w:val="13"/>
                <w:lang w:val="en-AU" w:eastAsia="en-AU"/>
              </w:rPr>
              <w:t>71</w:t>
            </w:r>
          </w:p>
        </w:tc>
        <w:tc>
          <w:tcPr>
            <w:tcW w:w="206" w:type="pct"/>
            <w:tcBorders>
              <w:top w:val="nil"/>
              <w:left w:val="nil"/>
              <w:bottom w:val="nil"/>
              <w:right w:val="single" w:sz="8" w:space="0" w:color="auto"/>
            </w:tcBorders>
            <w:shd w:val="clear" w:color="auto" w:fill="auto"/>
            <w:noWrap/>
            <w:vAlign w:val="bottom"/>
            <w:hideMark/>
          </w:tcPr>
          <w:p w14:paraId="3911FB9D" w14:textId="77777777" w:rsidR="00A61FF5" w:rsidRPr="00040036" w:rsidRDefault="00A61FF5" w:rsidP="00781DCB">
            <w:pPr>
              <w:pStyle w:val="ESTablebody3ptafter"/>
              <w:jc w:val="right"/>
              <w:rPr>
                <w:sz w:val="13"/>
                <w:lang w:val="en-AU" w:eastAsia="en-AU"/>
              </w:rPr>
            </w:pPr>
            <w:r w:rsidRPr="00040036">
              <w:rPr>
                <w:sz w:val="13"/>
                <w:lang w:val="en-AU" w:eastAsia="en-AU"/>
              </w:rPr>
              <w:t>68.0</w:t>
            </w:r>
          </w:p>
        </w:tc>
        <w:tc>
          <w:tcPr>
            <w:tcW w:w="350" w:type="pct"/>
            <w:tcBorders>
              <w:top w:val="nil"/>
              <w:left w:val="nil"/>
              <w:bottom w:val="nil"/>
              <w:right w:val="nil"/>
            </w:tcBorders>
            <w:shd w:val="clear" w:color="auto" w:fill="auto"/>
            <w:noWrap/>
            <w:vAlign w:val="bottom"/>
            <w:hideMark/>
          </w:tcPr>
          <w:p w14:paraId="01EE7B33" w14:textId="77777777" w:rsidR="00A61FF5" w:rsidRPr="00040036" w:rsidRDefault="00A61FF5" w:rsidP="00781DCB">
            <w:pPr>
              <w:pStyle w:val="ESTablebody3ptafter"/>
              <w:jc w:val="right"/>
              <w:rPr>
                <w:sz w:val="13"/>
                <w:lang w:val="en-AU" w:eastAsia="en-AU"/>
              </w:rPr>
            </w:pPr>
            <w:r w:rsidRPr="00040036">
              <w:rPr>
                <w:sz w:val="13"/>
                <w:lang w:val="en-AU" w:eastAsia="en-AU"/>
              </w:rPr>
              <w:t>384</w:t>
            </w:r>
          </w:p>
        </w:tc>
        <w:tc>
          <w:tcPr>
            <w:tcW w:w="249" w:type="pct"/>
            <w:tcBorders>
              <w:top w:val="nil"/>
              <w:left w:val="nil"/>
              <w:bottom w:val="nil"/>
              <w:right w:val="single" w:sz="4" w:space="0" w:color="auto"/>
            </w:tcBorders>
            <w:shd w:val="clear" w:color="auto" w:fill="auto"/>
            <w:noWrap/>
            <w:vAlign w:val="bottom"/>
            <w:hideMark/>
          </w:tcPr>
          <w:p w14:paraId="34F8F9BE" w14:textId="77777777" w:rsidR="00A61FF5" w:rsidRPr="00040036" w:rsidRDefault="00A61FF5" w:rsidP="00781DCB">
            <w:pPr>
              <w:pStyle w:val="ESTablebody3ptafter"/>
              <w:jc w:val="right"/>
              <w:rPr>
                <w:sz w:val="13"/>
                <w:lang w:val="en-AU" w:eastAsia="en-AU"/>
              </w:rPr>
            </w:pPr>
            <w:r w:rsidRPr="00040036">
              <w:rPr>
                <w:sz w:val="13"/>
                <w:lang w:val="en-AU" w:eastAsia="en-AU"/>
              </w:rPr>
              <w:t>375.2</w:t>
            </w:r>
          </w:p>
        </w:tc>
        <w:tc>
          <w:tcPr>
            <w:tcW w:w="379" w:type="pct"/>
            <w:tcBorders>
              <w:top w:val="nil"/>
              <w:left w:val="nil"/>
              <w:bottom w:val="nil"/>
              <w:right w:val="nil"/>
            </w:tcBorders>
            <w:shd w:val="clear" w:color="auto" w:fill="auto"/>
            <w:noWrap/>
            <w:vAlign w:val="bottom"/>
            <w:hideMark/>
          </w:tcPr>
          <w:p w14:paraId="4E91B9ED" w14:textId="77777777" w:rsidR="00A61FF5" w:rsidRPr="00040036" w:rsidRDefault="00A61FF5" w:rsidP="00781DCB">
            <w:pPr>
              <w:pStyle w:val="ESTablebody3ptafter"/>
              <w:jc w:val="right"/>
              <w:rPr>
                <w:sz w:val="13"/>
                <w:lang w:val="en-AU" w:eastAsia="en-AU"/>
              </w:rPr>
            </w:pPr>
            <w:r w:rsidRPr="00040036">
              <w:rPr>
                <w:sz w:val="13"/>
                <w:lang w:val="en-AU" w:eastAsia="en-AU"/>
              </w:rPr>
              <w:t>306</w:t>
            </w:r>
          </w:p>
        </w:tc>
        <w:tc>
          <w:tcPr>
            <w:tcW w:w="379" w:type="pct"/>
            <w:tcBorders>
              <w:top w:val="nil"/>
              <w:left w:val="nil"/>
              <w:bottom w:val="nil"/>
              <w:right w:val="nil"/>
            </w:tcBorders>
            <w:shd w:val="clear" w:color="auto" w:fill="auto"/>
            <w:noWrap/>
            <w:vAlign w:val="bottom"/>
            <w:hideMark/>
          </w:tcPr>
          <w:p w14:paraId="4796AA04" w14:textId="77777777" w:rsidR="00A61FF5" w:rsidRPr="00040036" w:rsidRDefault="00A61FF5" w:rsidP="00781DCB">
            <w:pPr>
              <w:pStyle w:val="ESTablebody3ptafter"/>
              <w:jc w:val="right"/>
              <w:rPr>
                <w:sz w:val="13"/>
                <w:lang w:val="en-AU" w:eastAsia="en-AU"/>
              </w:rPr>
            </w:pPr>
            <w:r w:rsidRPr="00040036">
              <w:rPr>
                <w:sz w:val="13"/>
                <w:lang w:val="en-AU" w:eastAsia="en-AU"/>
              </w:rPr>
              <w:t>33</w:t>
            </w:r>
          </w:p>
        </w:tc>
        <w:tc>
          <w:tcPr>
            <w:tcW w:w="249" w:type="pct"/>
            <w:tcBorders>
              <w:top w:val="nil"/>
              <w:left w:val="nil"/>
              <w:bottom w:val="nil"/>
              <w:right w:val="single" w:sz="4" w:space="0" w:color="auto"/>
            </w:tcBorders>
            <w:shd w:val="clear" w:color="auto" w:fill="auto"/>
            <w:noWrap/>
            <w:vAlign w:val="bottom"/>
            <w:hideMark/>
          </w:tcPr>
          <w:p w14:paraId="7A052B06" w14:textId="77777777" w:rsidR="00A61FF5" w:rsidRPr="00040036" w:rsidRDefault="00A61FF5" w:rsidP="00781DCB">
            <w:pPr>
              <w:pStyle w:val="ESTablebody3ptafter"/>
              <w:jc w:val="right"/>
              <w:rPr>
                <w:sz w:val="13"/>
                <w:lang w:val="en-AU" w:eastAsia="en-AU"/>
              </w:rPr>
            </w:pPr>
            <w:r w:rsidRPr="00040036">
              <w:rPr>
                <w:sz w:val="13"/>
                <w:lang w:val="en-AU" w:eastAsia="en-AU"/>
              </w:rPr>
              <w:t>330.8</w:t>
            </w:r>
          </w:p>
        </w:tc>
        <w:tc>
          <w:tcPr>
            <w:tcW w:w="350" w:type="pct"/>
            <w:tcBorders>
              <w:top w:val="nil"/>
              <w:left w:val="nil"/>
              <w:bottom w:val="nil"/>
              <w:right w:val="nil"/>
            </w:tcBorders>
            <w:shd w:val="clear" w:color="auto" w:fill="auto"/>
            <w:noWrap/>
            <w:vAlign w:val="bottom"/>
            <w:hideMark/>
          </w:tcPr>
          <w:p w14:paraId="335081A3" w14:textId="77777777" w:rsidR="00A61FF5" w:rsidRPr="00040036" w:rsidRDefault="00A61FF5" w:rsidP="00781DCB">
            <w:pPr>
              <w:pStyle w:val="ESTablebody3ptafter"/>
              <w:jc w:val="right"/>
              <w:rPr>
                <w:sz w:val="13"/>
                <w:lang w:val="en-AU" w:eastAsia="en-AU"/>
              </w:rPr>
            </w:pPr>
            <w:r w:rsidRPr="00040036">
              <w:rPr>
                <w:sz w:val="13"/>
                <w:lang w:val="en-AU" w:eastAsia="en-AU"/>
              </w:rPr>
              <w:t>45</w:t>
            </w:r>
          </w:p>
        </w:tc>
        <w:tc>
          <w:tcPr>
            <w:tcW w:w="201" w:type="pct"/>
            <w:tcBorders>
              <w:top w:val="nil"/>
              <w:left w:val="nil"/>
              <w:bottom w:val="nil"/>
              <w:right w:val="nil"/>
            </w:tcBorders>
            <w:shd w:val="clear" w:color="auto" w:fill="auto"/>
            <w:noWrap/>
            <w:vAlign w:val="bottom"/>
            <w:hideMark/>
          </w:tcPr>
          <w:p w14:paraId="328A18D1" w14:textId="77777777" w:rsidR="00A61FF5" w:rsidRPr="00040036" w:rsidRDefault="00A61FF5" w:rsidP="00781DCB">
            <w:pPr>
              <w:pStyle w:val="ESTablebody3ptafter"/>
              <w:jc w:val="right"/>
              <w:rPr>
                <w:sz w:val="13"/>
                <w:lang w:val="en-AU" w:eastAsia="en-AU"/>
              </w:rPr>
            </w:pPr>
            <w:r w:rsidRPr="00040036">
              <w:rPr>
                <w:sz w:val="13"/>
                <w:lang w:val="en-AU" w:eastAsia="en-AU"/>
              </w:rPr>
              <w:t>44.4</w:t>
            </w:r>
          </w:p>
        </w:tc>
      </w:tr>
      <w:tr w:rsidR="00A61FF5" w:rsidRPr="00932A90" w14:paraId="3C967BE5" w14:textId="77777777" w:rsidTr="00D07480">
        <w:trPr>
          <w:trHeight w:hRule="exact" w:val="342"/>
        </w:trPr>
        <w:tc>
          <w:tcPr>
            <w:tcW w:w="154" w:type="pct"/>
            <w:vMerge/>
            <w:tcBorders>
              <w:left w:val="nil"/>
              <w:bottom w:val="nil"/>
              <w:right w:val="nil"/>
            </w:tcBorders>
            <w:shd w:val="clear" w:color="auto" w:fill="auto"/>
            <w:vAlign w:val="center"/>
          </w:tcPr>
          <w:p w14:paraId="10192645"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tcPr>
          <w:p w14:paraId="2FDDE189" w14:textId="77777777" w:rsidR="00A61FF5" w:rsidRPr="00040036" w:rsidRDefault="00A61FF5" w:rsidP="00D07480">
            <w:pPr>
              <w:pStyle w:val="ESTablebody3ptafter"/>
              <w:rPr>
                <w:sz w:val="13"/>
                <w:lang w:val="en-AU" w:eastAsia="en-AU"/>
              </w:rPr>
            </w:pPr>
          </w:p>
        </w:tc>
        <w:tc>
          <w:tcPr>
            <w:tcW w:w="418" w:type="pct"/>
            <w:tcBorders>
              <w:top w:val="nil"/>
              <w:left w:val="nil"/>
              <w:bottom w:val="nil"/>
              <w:right w:val="nil"/>
            </w:tcBorders>
            <w:shd w:val="clear" w:color="auto" w:fill="auto"/>
            <w:noWrap/>
            <w:vAlign w:val="bottom"/>
          </w:tcPr>
          <w:p w14:paraId="6E220EA5" w14:textId="77777777" w:rsidR="00A61FF5" w:rsidRPr="00040036" w:rsidRDefault="00A61FF5" w:rsidP="00D07480">
            <w:pPr>
              <w:pStyle w:val="ESTablebody3ptafter"/>
              <w:rPr>
                <w:sz w:val="13"/>
                <w:lang w:val="en-AU" w:eastAsia="en-AU"/>
              </w:rPr>
            </w:pPr>
          </w:p>
        </w:tc>
        <w:tc>
          <w:tcPr>
            <w:tcW w:w="250" w:type="pct"/>
            <w:tcBorders>
              <w:top w:val="nil"/>
              <w:left w:val="nil"/>
              <w:bottom w:val="nil"/>
              <w:right w:val="single" w:sz="4" w:space="0" w:color="auto"/>
            </w:tcBorders>
            <w:shd w:val="clear" w:color="auto" w:fill="auto"/>
            <w:noWrap/>
            <w:vAlign w:val="bottom"/>
          </w:tcPr>
          <w:p w14:paraId="2B98D3E4" w14:textId="77777777" w:rsidR="00A61FF5" w:rsidRPr="00040036" w:rsidRDefault="00A61FF5" w:rsidP="00D07480">
            <w:pPr>
              <w:pStyle w:val="ESTablebody3ptafter"/>
              <w:rPr>
                <w:sz w:val="13"/>
                <w:lang w:val="en-AU" w:eastAsia="en-AU"/>
              </w:rPr>
            </w:pPr>
          </w:p>
        </w:tc>
        <w:tc>
          <w:tcPr>
            <w:tcW w:w="379" w:type="pct"/>
            <w:tcBorders>
              <w:top w:val="nil"/>
              <w:left w:val="nil"/>
              <w:bottom w:val="nil"/>
              <w:right w:val="nil"/>
            </w:tcBorders>
            <w:shd w:val="clear" w:color="auto" w:fill="auto"/>
            <w:noWrap/>
            <w:vAlign w:val="bottom"/>
          </w:tcPr>
          <w:p w14:paraId="2105A6B9" w14:textId="77777777" w:rsidR="00A61FF5" w:rsidRPr="00040036" w:rsidRDefault="00A61FF5" w:rsidP="00D07480">
            <w:pPr>
              <w:pStyle w:val="ESTablebody3ptafter"/>
              <w:rPr>
                <w:sz w:val="13"/>
                <w:lang w:val="en-AU" w:eastAsia="en-AU"/>
              </w:rPr>
            </w:pPr>
          </w:p>
        </w:tc>
        <w:tc>
          <w:tcPr>
            <w:tcW w:w="379" w:type="pct"/>
            <w:tcBorders>
              <w:top w:val="nil"/>
              <w:left w:val="nil"/>
              <w:bottom w:val="nil"/>
              <w:right w:val="nil"/>
            </w:tcBorders>
            <w:shd w:val="clear" w:color="auto" w:fill="auto"/>
            <w:noWrap/>
            <w:vAlign w:val="bottom"/>
          </w:tcPr>
          <w:p w14:paraId="70D9D953" w14:textId="77777777" w:rsidR="00A61FF5" w:rsidRPr="00040036" w:rsidRDefault="00A61FF5" w:rsidP="00D07480">
            <w:pPr>
              <w:pStyle w:val="ESTablebody3ptafter"/>
              <w:rPr>
                <w:sz w:val="13"/>
                <w:lang w:val="en-AU" w:eastAsia="en-AU"/>
              </w:rPr>
            </w:pPr>
          </w:p>
        </w:tc>
        <w:tc>
          <w:tcPr>
            <w:tcW w:w="249" w:type="pct"/>
            <w:tcBorders>
              <w:top w:val="nil"/>
              <w:left w:val="nil"/>
              <w:bottom w:val="nil"/>
              <w:right w:val="single" w:sz="4" w:space="0" w:color="auto"/>
            </w:tcBorders>
            <w:shd w:val="clear" w:color="auto" w:fill="auto"/>
            <w:noWrap/>
            <w:vAlign w:val="bottom"/>
          </w:tcPr>
          <w:p w14:paraId="70734859" w14:textId="77777777" w:rsidR="00A61FF5" w:rsidRPr="00040036" w:rsidRDefault="00A61FF5" w:rsidP="00D07480">
            <w:pPr>
              <w:pStyle w:val="ESTablebody3ptafter"/>
              <w:rPr>
                <w:sz w:val="13"/>
                <w:lang w:val="en-AU" w:eastAsia="en-AU"/>
              </w:rPr>
            </w:pPr>
          </w:p>
        </w:tc>
        <w:tc>
          <w:tcPr>
            <w:tcW w:w="350" w:type="pct"/>
            <w:tcBorders>
              <w:top w:val="nil"/>
              <w:left w:val="nil"/>
              <w:bottom w:val="nil"/>
              <w:right w:val="nil"/>
            </w:tcBorders>
            <w:shd w:val="clear" w:color="auto" w:fill="auto"/>
            <w:noWrap/>
            <w:vAlign w:val="bottom"/>
          </w:tcPr>
          <w:p w14:paraId="11AB80A3" w14:textId="77777777" w:rsidR="00A61FF5" w:rsidRPr="00040036" w:rsidRDefault="00A61FF5" w:rsidP="00D07480">
            <w:pPr>
              <w:pStyle w:val="ESTablebody3ptafter"/>
              <w:rPr>
                <w:sz w:val="13"/>
                <w:lang w:val="en-AU" w:eastAsia="en-AU"/>
              </w:rPr>
            </w:pPr>
          </w:p>
        </w:tc>
        <w:tc>
          <w:tcPr>
            <w:tcW w:w="206" w:type="pct"/>
            <w:tcBorders>
              <w:top w:val="nil"/>
              <w:left w:val="nil"/>
              <w:bottom w:val="nil"/>
              <w:right w:val="single" w:sz="8" w:space="0" w:color="auto"/>
            </w:tcBorders>
            <w:shd w:val="clear" w:color="auto" w:fill="auto"/>
            <w:noWrap/>
            <w:vAlign w:val="bottom"/>
          </w:tcPr>
          <w:p w14:paraId="7B729BE4" w14:textId="77777777" w:rsidR="00A61FF5" w:rsidRPr="00040036" w:rsidRDefault="00A61FF5" w:rsidP="00D07480">
            <w:pPr>
              <w:pStyle w:val="ESTablebody3ptafter"/>
              <w:rPr>
                <w:sz w:val="13"/>
                <w:lang w:val="en-AU" w:eastAsia="en-AU"/>
              </w:rPr>
            </w:pPr>
          </w:p>
        </w:tc>
        <w:tc>
          <w:tcPr>
            <w:tcW w:w="350" w:type="pct"/>
            <w:tcBorders>
              <w:top w:val="nil"/>
              <w:left w:val="nil"/>
              <w:bottom w:val="nil"/>
              <w:right w:val="nil"/>
            </w:tcBorders>
            <w:shd w:val="clear" w:color="auto" w:fill="auto"/>
            <w:noWrap/>
            <w:vAlign w:val="bottom"/>
          </w:tcPr>
          <w:p w14:paraId="76D3803F" w14:textId="77777777" w:rsidR="00A61FF5" w:rsidRPr="00040036" w:rsidRDefault="00A61FF5" w:rsidP="00D07480">
            <w:pPr>
              <w:pStyle w:val="ESTablebody3ptafter"/>
              <w:rPr>
                <w:sz w:val="13"/>
                <w:lang w:val="en-AU" w:eastAsia="en-AU"/>
              </w:rPr>
            </w:pPr>
          </w:p>
        </w:tc>
        <w:tc>
          <w:tcPr>
            <w:tcW w:w="249" w:type="pct"/>
            <w:tcBorders>
              <w:top w:val="nil"/>
              <w:left w:val="nil"/>
              <w:bottom w:val="nil"/>
              <w:right w:val="single" w:sz="4" w:space="0" w:color="auto"/>
            </w:tcBorders>
            <w:shd w:val="clear" w:color="auto" w:fill="auto"/>
            <w:noWrap/>
            <w:vAlign w:val="bottom"/>
          </w:tcPr>
          <w:p w14:paraId="2AEBEBFF" w14:textId="77777777" w:rsidR="00A61FF5" w:rsidRPr="00040036" w:rsidRDefault="00A61FF5" w:rsidP="00D07480">
            <w:pPr>
              <w:pStyle w:val="ESTablebody3ptafter"/>
              <w:rPr>
                <w:sz w:val="13"/>
                <w:lang w:val="en-AU" w:eastAsia="en-AU"/>
              </w:rPr>
            </w:pPr>
          </w:p>
        </w:tc>
        <w:tc>
          <w:tcPr>
            <w:tcW w:w="379" w:type="pct"/>
            <w:tcBorders>
              <w:top w:val="nil"/>
              <w:left w:val="nil"/>
              <w:bottom w:val="nil"/>
              <w:right w:val="nil"/>
            </w:tcBorders>
            <w:shd w:val="clear" w:color="auto" w:fill="auto"/>
            <w:noWrap/>
            <w:vAlign w:val="bottom"/>
          </w:tcPr>
          <w:p w14:paraId="37C959E6" w14:textId="77777777" w:rsidR="00A61FF5" w:rsidRPr="00040036" w:rsidRDefault="00A61FF5" w:rsidP="00D07480">
            <w:pPr>
              <w:pStyle w:val="ESTablebody3ptafter"/>
              <w:rPr>
                <w:sz w:val="13"/>
                <w:lang w:val="en-AU" w:eastAsia="en-AU"/>
              </w:rPr>
            </w:pPr>
          </w:p>
        </w:tc>
        <w:tc>
          <w:tcPr>
            <w:tcW w:w="379" w:type="pct"/>
            <w:tcBorders>
              <w:top w:val="nil"/>
              <w:left w:val="nil"/>
              <w:bottom w:val="nil"/>
              <w:right w:val="nil"/>
            </w:tcBorders>
            <w:shd w:val="clear" w:color="auto" w:fill="auto"/>
            <w:noWrap/>
            <w:vAlign w:val="bottom"/>
          </w:tcPr>
          <w:p w14:paraId="428A923D" w14:textId="77777777" w:rsidR="00A61FF5" w:rsidRPr="00040036" w:rsidRDefault="00A61FF5" w:rsidP="00D07480">
            <w:pPr>
              <w:pStyle w:val="ESTablebody3ptafter"/>
              <w:rPr>
                <w:sz w:val="13"/>
                <w:lang w:val="en-AU" w:eastAsia="en-AU"/>
              </w:rPr>
            </w:pPr>
          </w:p>
        </w:tc>
        <w:tc>
          <w:tcPr>
            <w:tcW w:w="249" w:type="pct"/>
            <w:tcBorders>
              <w:top w:val="nil"/>
              <w:left w:val="nil"/>
              <w:bottom w:val="nil"/>
              <w:right w:val="single" w:sz="4" w:space="0" w:color="auto"/>
            </w:tcBorders>
            <w:shd w:val="clear" w:color="auto" w:fill="auto"/>
            <w:noWrap/>
            <w:vAlign w:val="bottom"/>
          </w:tcPr>
          <w:p w14:paraId="59190527" w14:textId="77777777" w:rsidR="00A61FF5" w:rsidRPr="00040036" w:rsidRDefault="00A61FF5" w:rsidP="00D07480">
            <w:pPr>
              <w:pStyle w:val="ESTablebody3ptafter"/>
              <w:rPr>
                <w:sz w:val="13"/>
                <w:lang w:val="en-AU" w:eastAsia="en-AU"/>
              </w:rPr>
            </w:pPr>
          </w:p>
        </w:tc>
        <w:tc>
          <w:tcPr>
            <w:tcW w:w="350" w:type="pct"/>
            <w:tcBorders>
              <w:top w:val="nil"/>
              <w:left w:val="nil"/>
              <w:bottom w:val="nil"/>
              <w:right w:val="nil"/>
            </w:tcBorders>
            <w:shd w:val="clear" w:color="auto" w:fill="auto"/>
            <w:noWrap/>
            <w:vAlign w:val="bottom"/>
          </w:tcPr>
          <w:p w14:paraId="2FE77E96" w14:textId="77777777" w:rsidR="00A61FF5" w:rsidRPr="00040036" w:rsidRDefault="00A61FF5" w:rsidP="00D07480">
            <w:pPr>
              <w:pStyle w:val="ESTablebody3ptafter"/>
              <w:rPr>
                <w:sz w:val="13"/>
                <w:lang w:val="en-AU" w:eastAsia="en-AU"/>
              </w:rPr>
            </w:pPr>
          </w:p>
        </w:tc>
        <w:tc>
          <w:tcPr>
            <w:tcW w:w="201" w:type="pct"/>
            <w:tcBorders>
              <w:top w:val="nil"/>
              <w:left w:val="nil"/>
              <w:bottom w:val="nil"/>
              <w:right w:val="nil"/>
            </w:tcBorders>
            <w:shd w:val="clear" w:color="auto" w:fill="auto"/>
            <w:noWrap/>
            <w:vAlign w:val="bottom"/>
          </w:tcPr>
          <w:p w14:paraId="5EF01D07" w14:textId="77777777" w:rsidR="00A61FF5" w:rsidRPr="00040036" w:rsidRDefault="00A61FF5" w:rsidP="00D07480">
            <w:pPr>
              <w:pStyle w:val="ESTablebody3ptafter"/>
              <w:rPr>
                <w:sz w:val="13"/>
                <w:lang w:val="en-AU" w:eastAsia="en-AU"/>
              </w:rPr>
            </w:pPr>
          </w:p>
        </w:tc>
      </w:tr>
      <w:tr w:rsidR="00A61FF5" w:rsidRPr="00932A90" w14:paraId="7362EB0F" w14:textId="77777777" w:rsidTr="00D07480">
        <w:trPr>
          <w:trHeight w:hRule="exact" w:val="342"/>
        </w:trPr>
        <w:tc>
          <w:tcPr>
            <w:tcW w:w="154" w:type="pct"/>
            <w:vMerge w:val="restart"/>
            <w:tcBorders>
              <w:top w:val="nil"/>
              <w:left w:val="nil"/>
              <w:right w:val="nil"/>
            </w:tcBorders>
            <w:shd w:val="clear" w:color="auto" w:fill="auto"/>
            <w:textDirection w:val="btLr"/>
            <w:vAlign w:val="center"/>
            <w:hideMark/>
          </w:tcPr>
          <w:p w14:paraId="741BDEAC" w14:textId="77777777" w:rsidR="00A61FF5" w:rsidRPr="00040036" w:rsidRDefault="00A61FF5" w:rsidP="00D07480">
            <w:pPr>
              <w:pStyle w:val="ESTablebody3ptafter"/>
              <w:ind w:left="113" w:right="113"/>
              <w:jc w:val="center"/>
              <w:rPr>
                <w:szCs w:val="16"/>
                <w:lang w:val="en-AU" w:eastAsia="en-AU"/>
              </w:rPr>
            </w:pPr>
            <w:r w:rsidRPr="00040036">
              <w:rPr>
                <w:szCs w:val="16"/>
                <w:lang w:val="en-AU" w:eastAsia="en-AU"/>
              </w:rPr>
              <w:t>Classification data</w:t>
            </w:r>
          </w:p>
        </w:tc>
        <w:tc>
          <w:tcPr>
            <w:tcW w:w="457" w:type="pct"/>
            <w:tcBorders>
              <w:top w:val="nil"/>
              <w:left w:val="nil"/>
              <w:bottom w:val="nil"/>
              <w:right w:val="nil"/>
            </w:tcBorders>
            <w:shd w:val="clear" w:color="auto" w:fill="auto"/>
            <w:noWrap/>
            <w:vAlign w:val="bottom"/>
            <w:hideMark/>
          </w:tcPr>
          <w:p w14:paraId="6C3A6E8F" w14:textId="77777777" w:rsidR="00A61FF5" w:rsidRPr="00040036" w:rsidRDefault="00A61FF5" w:rsidP="00D07480">
            <w:pPr>
              <w:pStyle w:val="ESTablebody3ptafter"/>
              <w:rPr>
                <w:sz w:val="13"/>
                <w:lang w:val="en-AU" w:eastAsia="en-AU"/>
              </w:rPr>
            </w:pPr>
            <w:r w:rsidRPr="00040036">
              <w:rPr>
                <w:sz w:val="13"/>
                <w:lang w:val="en-AU" w:eastAsia="en-AU"/>
              </w:rPr>
              <w:t>Senior Employees</w:t>
            </w:r>
          </w:p>
        </w:tc>
        <w:tc>
          <w:tcPr>
            <w:tcW w:w="418" w:type="pct"/>
            <w:tcBorders>
              <w:top w:val="nil"/>
              <w:left w:val="nil"/>
              <w:bottom w:val="nil"/>
              <w:right w:val="nil"/>
            </w:tcBorders>
            <w:shd w:val="clear" w:color="auto" w:fill="auto"/>
            <w:noWrap/>
            <w:vAlign w:val="bottom"/>
            <w:hideMark/>
          </w:tcPr>
          <w:p w14:paraId="18B04A61" w14:textId="77777777" w:rsidR="00A61FF5" w:rsidRPr="00040036" w:rsidRDefault="00A61FF5" w:rsidP="00D07480">
            <w:pPr>
              <w:pStyle w:val="ESTablebody3ptafter"/>
              <w:rPr>
                <w:sz w:val="13"/>
                <w:lang w:val="en-AU" w:eastAsia="en-AU"/>
              </w:rPr>
            </w:pPr>
            <w:r w:rsidRPr="00040036">
              <w:rPr>
                <w:sz w:val="13"/>
                <w:lang w:val="en-AU" w:eastAsia="en-AU"/>
              </w:rPr>
              <w:t>118</w:t>
            </w:r>
          </w:p>
        </w:tc>
        <w:tc>
          <w:tcPr>
            <w:tcW w:w="250" w:type="pct"/>
            <w:tcBorders>
              <w:top w:val="nil"/>
              <w:left w:val="nil"/>
              <w:bottom w:val="nil"/>
              <w:right w:val="single" w:sz="4" w:space="0" w:color="auto"/>
            </w:tcBorders>
            <w:shd w:val="clear" w:color="auto" w:fill="auto"/>
            <w:noWrap/>
            <w:vAlign w:val="bottom"/>
            <w:hideMark/>
          </w:tcPr>
          <w:p w14:paraId="3E222A67" w14:textId="77777777" w:rsidR="00A61FF5" w:rsidRPr="00040036" w:rsidRDefault="00A61FF5" w:rsidP="00D07480">
            <w:pPr>
              <w:pStyle w:val="ESTablebody3ptafter"/>
              <w:rPr>
                <w:sz w:val="13"/>
                <w:lang w:val="en-AU" w:eastAsia="en-AU"/>
              </w:rPr>
            </w:pPr>
            <w:r w:rsidRPr="00040036">
              <w:rPr>
                <w:sz w:val="13"/>
                <w:lang w:val="en-AU" w:eastAsia="en-AU"/>
              </w:rPr>
              <w:t>115.9</w:t>
            </w:r>
          </w:p>
        </w:tc>
        <w:tc>
          <w:tcPr>
            <w:tcW w:w="379" w:type="pct"/>
            <w:tcBorders>
              <w:top w:val="nil"/>
              <w:left w:val="nil"/>
              <w:bottom w:val="nil"/>
              <w:right w:val="nil"/>
            </w:tcBorders>
            <w:shd w:val="clear" w:color="auto" w:fill="auto"/>
            <w:noWrap/>
            <w:vAlign w:val="bottom"/>
            <w:hideMark/>
          </w:tcPr>
          <w:p w14:paraId="3FC18FFA" w14:textId="77777777" w:rsidR="00A61FF5" w:rsidRPr="00040036" w:rsidRDefault="00A61FF5" w:rsidP="00D07480">
            <w:pPr>
              <w:pStyle w:val="ESTablebody3ptafter"/>
              <w:rPr>
                <w:sz w:val="13"/>
                <w:lang w:val="en-AU" w:eastAsia="en-AU"/>
              </w:rPr>
            </w:pPr>
            <w:r w:rsidRPr="00040036">
              <w:rPr>
                <w:sz w:val="13"/>
                <w:lang w:val="en-AU" w:eastAsia="en-AU"/>
              </w:rPr>
              <w:t>105</w:t>
            </w:r>
          </w:p>
        </w:tc>
        <w:tc>
          <w:tcPr>
            <w:tcW w:w="379" w:type="pct"/>
            <w:tcBorders>
              <w:top w:val="nil"/>
              <w:left w:val="nil"/>
              <w:bottom w:val="nil"/>
              <w:right w:val="nil"/>
            </w:tcBorders>
            <w:shd w:val="clear" w:color="auto" w:fill="auto"/>
            <w:noWrap/>
            <w:vAlign w:val="bottom"/>
            <w:hideMark/>
          </w:tcPr>
          <w:p w14:paraId="7FBD4C7F" w14:textId="77777777" w:rsidR="00A61FF5" w:rsidRPr="00040036" w:rsidRDefault="00A61FF5" w:rsidP="00D07480">
            <w:pPr>
              <w:pStyle w:val="ESTablebody3ptafter"/>
              <w:rPr>
                <w:sz w:val="13"/>
                <w:lang w:val="en-AU" w:eastAsia="en-AU"/>
              </w:rPr>
            </w:pPr>
            <w:r w:rsidRPr="00040036">
              <w:rPr>
                <w:sz w:val="13"/>
                <w:lang w:val="en-AU" w:eastAsia="en-AU"/>
              </w:rPr>
              <w:t>10</w:t>
            </w:r>
          </w:p>
        </w:tc>
        <w:tc>
          <w:tcPr>
            <w:tcW w:w="249" w:type="pct"/>
            <w:tcBorders>
              <w:top w:val="nil"/>
              <w:left w:val="nil"/>
              <w:bottom w:val="nil"/>
              <w:right w:val="single" w:sz="4" w:space="0" w:color="auto"/>
            </w:tcBorders>
            <w:shd w:val="clear" w:color="auto" w:fill="auto"/>
            <w:noWrap/>
            <w:vAlign w:val="bottom"/>
            <w:hideMark/>
          </w:tcPr>
          <w:p w14:paraId="1C2CACCF" w14:textId="77777777" w:rsidR="00A61FF5" w:rsidRPr="00040036" w:rsidRDefault="00A61FF5" w:rsidP="00D07480">
            <w:pPr>
              <w:pStyle w:val="ESTablebody3ptafter"/>
              <w:rPr>
                <w:sz w:val="13"/>
                <w:lang w:val="en-AU" w:eastAsia="en-AU"/>
              </w:rPr>
            </w:pPr>
            <w:r w:rsidRPr="00040036">
              <w:rPr>
                <w:sz w:val="13"/>
                <w:lang w:val="en-AU" w:eastAsia="en-AU"/>
              </w:rPr>
              <w:t>113.1</w:t>
            </w:r>
          </w:p>
        </w:tc>
        <w:tc>
          <w:tcPr>
            <w:tcW w:w="350" w:type="pct"/>
            <w:tcBorders>
              <w:top w:val="nil"/>
              <w:left w:val="nil"/>
              <w:bottom w:val="nil"/>
              <w:right w:val="nil"/>
            </w:tcBorders>
            <w:shd w:val="clear" w:color="auto" w:fill="auto"/>
            <w:noWrap/>
            <w:vAlign w:val="bottom"/>
            <w:hideMark/>
          </w:tcPr>
          <w:p w14:paraId="78EE40A9" w14:textId="77777777" w:rsidR="00A61FF5" w:rsidRPr="00040036" w:rsidRDefault="00A61FF5" w:rsidP="00D07480">
            <w:pPr>
              <w:pStyle w:val="ESTablebody3ptafter"/>
              <w:rPr>
                <w:sz w:val="13"/>
                <w:lang w:val="en-AU" w:eastAsia="en-AU"/>
              </w:rPr>
            </w:pPr>
            <w:r w:rsidRPr="00040036">
              <w:rPr>
                <w:sz w:val="13"/>
                <w:lang w:val="en-AU" w:eastAsia="en-AU"/>
              </w:rPr>
              <w:t>3</w:t>
            </w:r>
          </w:p>
        </w:tc>
        <w:tc>
          <w:tcPr>
            <w:tcW w:w="206" w:type="pct"/>
            <w:tcBorders>
              <w:top w:val="nil"/>
              <w:left w:val="nil"/>
              <w:bottom w:val="nil"/>
              <w:right w:val="single" w:sz="8" w:space="0" w:color="auto"/>
            </w:tcBorders>
            <w:shd w:val="clear" w:color="auto" w:fill="auto"/>
            <w:noWrap/>
            <w:vAlign w:val="bottom"/>
            <w:hideMark/>
          </w:tcPr>
          <w:p w14:paraId="67338DD3" w14:textId="77777777" w:rsidR="00A61FF5" w:rsidRPr="00040036" w:rsidRDefault="00A61FF5" w:rsidP="00D07480">
            <w:pPr>
              <w:pStyle w:val="ESTablebody3ptafter"/>
              <w:rPr>
                <w:sz w:val="13"/>
                <w:lang w:val="en-AU" w:eastAsia="en-AU"/>
              </w:rPr>
            </w:pPr>
            <w:r w:rsidRPr="00040036">
              <w:rPr>
                <w:sz w:val="13"/>
                <w:lang w:val="en-AU" w:eastAsia="en-AU"/>
              </w:rPr>
              <w:t>2.8</w:t>
            </w:r>
          </w:p>
        </w:tc>
        <w:tc>
          <w:tcPr>
            <w:tcW w:w="350" w:type="pct"/>
            <w:tcBorders>
              <w:top w:val="nil"/>
              <w:left w:val="nil"/>
              <w:bottom w:val="nil"/>
              <w:right w:val="nil"/>
            </w:tcBorders>
            <w:shd w:val="clear" w:color="auto" w:fill="auto"/>
            <w:noWrap/>
            <w:vAlign w:val="bottom"/>
            <w:hideMark/>
          </w:tcPr>
          <w:p w14:paraId="3FD4D05D" w14:textId="77777777" w:rsidR="00A61FF5" w:rsidRPr="00040036" w:rsidRDefault="00A61FF5" w:rsidP="00D07480">
            <w:pPr>
              <w:pStyle w:val="ESTablebody3ptafter"/>
              <w:rPr>
                <w:sz w:val="13"/>
                <w:lang w:val="en-AU" w:eastAsia="en-AU"/>
              </w:rPr>
            </w:pPr>
            <w:r w:rsidRPr="00040036">
              <w:rPr>
                <w:sz w:val="13"/>
                <w:lang w:val="en-AU" w:eastAsia="en-AU"/>
              </w:rPr>
              <w:t>96</w:t>
            </w:r>
          </w:p>
        </w:tc>
        <w:tc>
          <w:tcPr>
            <w:tcW w:w="249" w:type="pct"/>
            <w:tcBorders>
              <w:top w:val="nil"/>
              <w:left w:val="nil"/>
              <w:bottom w:val="nil"/>
              <w:right w:val="single" w:sz="4" w:space="0" w:color="auto"/>
            </w:tcBorders>
            <w:shd w:val="clear" w:color="auto" w:fill="auto"/>
            <w:noWrap/>
            <w:vAlign w:val="bottom"/>
            <w:hideMark/>
          </w:tcPr>
          <w:p w14:paraId="624A4B29" w14:textId="77777777" w:rsidR="00A61FF5" w:rsidRPr="00040036" w:rsidRDefault="00A61FF5" w:rsidP="00D07480">
            <w:pPr>
              <w:pStyle w:val="ESTablebody3ptafter"/>
              <w:rPr>
                <w:sz w:val="13"/>
                <w:lang w:val="en-AU" w:eastAsia="en-AU"/>
              </w:rPr>
            </w:pPr>
            <w:r w:rsidRPr="00040036">
              <w:rPr>
                <w:sz w:val="13"/>
                <w:lang w:val="en-AU" w:eastAsia="en-AU"/>
              </w:rPr>
              <w:t>93.2</w:t>
            </w:r>
          </w:p>
        </w:tc>
        <w:tc>
          <w:tcPr>
            <w:tcW w:w="379" w:type="pct"/>
            <w:tcBorders>
              <w:top w:val="nil"/>
              <w:left w:val="nil"/>
              <w:bottom w:val="nil"/>
              <w:right w:val="nil"/>
            </w:tcBorders>
            <w:shd w:val="clear" w:color="auto" w:fill="auto"/>
            <w:noWrap/>
            <w:vAlign w:val="bottom"/>
            <w:hideMark/>
          </w:tcPr>
          <w:p w14:paraId="573259C1" w14:textId="77777777" w:rsidR="00A61FF5" w:rsidRPr="00040036" w:rsidRDefault="00A61FF5" w:rsidP="00D07480">
            <w:pPr>
              <w:pStyle w:val="ESTablebody3ptafter"/>
              <w:rPr>
                <w:sz w:val="13"/>
                <w:lang w:val="en-AU" w:eastAsia="en-AU"/>
              </w:rPr>
            </w:pPr>
            <w:r w:rsidRPr="00040036">
              <w:rPr>
                <w:sz w:val="13"/>
                <w:lang w:val="en-AU" w:eastAsia="en-AU"/>
              </w:rPr>
              <w:t>83</w:t>
            </w:r>
          </w:p>
        </w:tc>
        <w:tc>
          <w:tcPr>
            <w:tcW w:w="379" w:type="pct"/>
            <w:tcBorders>
              <w:top w:val="nil"/>
              <w:left w:val="nil"/>
              <w:bottom w:val="nil"/>
              <w:right w:val="nil"/>
            </w:tcBorders>
            <w:shd w:val="clear" w:color="auto" w:fill="auto"/>
            <w:noWrap/>
            <w:vAlign w:val="bottom"/>
            <w:hideMark/>
          </w:tcPr>
          <w:p w14:paraId="41AA369A" w14:textId="77777777" w:rsidR="00A61FF5" w:rsidRPr="00040036" w:rsidRDefault="00A61FF5" w:rsidP="00D07480">
            <w:pPr>
              <w:pStyle w:val="ESTablebody3ptafter"/>
              <w:rPr>
                <w:sz w:val="13"/>
                <w:lang w:val="en-AU" w:eastAsia="en-AU"/>
              </w:rPr>
            </w:pPr>
            <w:r w:rsidRPr="00040036">
              <w:rPr>
                <w:sz w:val="13"/>
                <w:lang w:val="en-AU" w:eastAsia="en-AU"/>
              </w:rPr>
              <w:t>11</w:t>
            </w:r>
          </w:p>
        </w:tc>
        <w:tc>
          <w:tcPr>
            <w:tcW w:w="249" w:type="pct"/>
            <w:tcBorders>
              <w:top w:val="nil"/>
              <w:left w:val="nil"/>
              <w:bottom w:val="nil"/>
              <w:right w:val="single" w:sz="4" w:space="0" w:color="auto"/>
            </w:tcBorders>
            <w:shd w:val="clear" w:color="auto" w:fill="auto"/>
            <w:noWrap/>
            <w:vAlign w:val="bottom"/>
            <w:hideMark/>
          </w:tcPr>
          <w:p w14:paraId="39FD8498" w14:textId="77777777" w:rsidR="00A61FF5" w:rsidRPr="00040036" w:rsidRDefault="00A61FF5" w:rsidP="00D07480">
            <w:pPr>
              <w:pStyle w:val="ESTablebody3ptafter"/>
              <w:rPr>
                <w:sz w:val="13"/>
                <w:lang w:val="en-AU" w:eastAsia="en-AU"/>
              </w:rPr>
            </w:pPr>
            <w:r w:rsidRPr="00040036">
              <w:rPr>
                <w:sz w:val="13"/>
                <w:lang w:val="en-AU" w:eastAsia="en-AU"/>
              </w:rPr>
              <w:t>91.4</w:t>
            </w:r>
          </w:p>
        </w:tc>
        <w:tc>
          <w:tcPr>
            <w:tcW w:w="350" w:type="pct"/>
            <w:tcBorders>
              <w:top w:val="nil"/>
              <w:left w:val="nil"/>
              <w:bottom w:val="nil"/>
              <w:right w:val="nil"/>
            </w:tcBorders>
            <w:shd w:val="clear" w:color="auto" w:fill="auto"/>
            <w:noWrap/>
            <w:vAlign w:val="bottom"/>
            <w:hideMark/>
          </w:tcPr>
          <w:p w14:paraId="4DD47C1B" w14:textId="77777777" w:rsidR="00A61FF5" w:rsidRPr="00040036" w:rsidRDefault="00A61FF5" w:rsidP="00D07480">
            <w:pPr>
              <w:pStyle w:val="ESTablebody3ptafter"/>
              <w:rPr>
                <w:sz w:val="13"/>
                <w:lang w:val="en-AU" w:eastAsia="en-AU"/>
              </w:rPr>
            </w:pPr>
            <w:r w:rsidRPr="00040036">
              <w:rPr>
                <w:sz w:val="13"/>
                <w:lang w:val="en-AU" w:eastAsia="en-AU"/>
              </w:rPr>
              <w:t>2</w:t>
            </w:r>
          </w:p>
        </w:tc>
        <w:tc>
          <w:tcPr>
            <w:tcW w:w="201" w:type="pct"/>
            <w:tcBorders>
              <w:top w:val="nil"/>
              <w:left w:val="nil"/>
              <w:bottom w:val="nil"/>
              <w:right w:val="nil"/>
            </w:tcBorders>
            <w:shd w:val="clear" w:color="auto" w:fill="auto"/>
            <w:noWrap/>
            <w:vAlign w:val="bottom"/>
            <w:hideMark/>
          </w:tcPr>
          <w:p w14:paraId="6BA9FD2F" w14:textId="77777777" w:rsidR="00A61FF5" w:rsidRPr="00040036" w:rsidRDefault="00A61FF5" w:rsidP="00D07480">
            <w:pPr>
              <w:pStyle w:val="ESTablebody3ptafter"/>
              <w:rPr>
                <w:sz w:val="13"/>
                <w:lang w:val="en-AU" w:eastAsia="en-AU"/>
              </w:rPr>
            </w:pPr>
            <w:r w:rsidRPr="00040036">
              <w:rPr>
                <w:sz w:val="13"/>
                <w:lang w:val="en-AU" w:eastAsia="en-AU"/>
              </w:rPr>
              <w:t>1.8</w:t>
            </w:r>
          </w:p>
        </w:tc>
      </w:tr>
      <w:tr w:rsidR="00A61FF5" w:rsidRPr="00932A90" w14:paraId="3815132C" w14:textId="77777777" w:rsidTr="00D07480">
        <w:trPr>
          <w:trHeight w:hRule="exact" w:val="387"/>
        </w:trPr>
        <w:tc>
          <w:tcPr>
            <w:tcW w:w="154" w:type="pct"/>
            <w:vMerge/>
            <w:tcBorders>
              <w:left w:val="nil"/>
              <w:right w:val="nil"/>
            </w:tcBorders>
            <w:shd w:val="clear" w:color="auto" w:fill="auto"/>
            <w:vAlign w:val="center"/>
            <w:hideMark/>
          </w:tcPr>
          <w:p w14:paraId="34E0895F"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2502E325" w14:textId="77777777" w:rsidR="00A61FF5" w:rsidRPr="00040036" w:rsidRDefault="00A61FF5" w:rsidP="00D07480">
            <w:pPr>
              <w:pStyle w:val="ESTablebody3ptafter"/>
              <w:rPr>
                <w:sz w:val="13"/>
                <w:lang w:val="en-AU" w:eastAsia="en-AU"/>
              </w:rPr>
            </w:pPr>
            <w:r w:rsidRPr="00040036">
              <w:rPr>
                <w:sz w:val="13"/>
                <w:lang w:val="en-AU" w:eastAsia="en-AU"/>
              </w:rPr>
              <w:t>STS</w:t>
            </w:r>
          </w:p>
        </w:tc>
        <w:tc>
          <w:tcPr>
            <w:tcW w:w="418" w:type="pct"/>
            <w:tcBorders>
              <w:top w:val="nil"/>
              <w:left w:val="nil"/>
              <w:bottom w:val="nil"/>
              <w:right w:val="nil"/>
            </w:tcBorders>
            <w:shd w:val="clear" w:color="auto" w:fill="auto"/>
            <w:noWrap/>
            <w:vAlign w:val="bottom"/>
            <w:hideMark/>
          </w:tcPr>
          <w:p w14:paraId="7AD0CFEA" w14:textId="77777777" w:rsidR="00A61FF5" w:rsidRPr="00040036" w:rsidRDefault="00A61FF5" w:rsidP="00D07480">
            <w:pPr>
              <w:pStyle w:val="ESTablebody3ptafter"/>
              <w:rPr>
                <w:sz w:val="13"/>
                <w:lang w:val="en-AU" w:eastAsia="en-AU"/>
              </w:rPr>
            </w:pPr>
            <w:r w:rsidRPr="00040036">
              <w:rPr>
                <w:sz w:val="13"/>
                <w:lang w:val="en-AU" w:eastAsia="en-AU"/>
              </w:rPr>
              <w:t>28</w:t>
            </w:r>
          </w:p>
        </w:tc>
        <w:tc>
          <w:tcPr>
            <w:tcW w:w="250" w:type="pct"/>
            <w:tcBorders>
              <w:top w:val="nil"/>
              <w:left w:val="nil"/>
              <w:bottom w:val="nil"/>
              <w:right w:val="single" w:sz="4" w:space="0" w:color="auto"/>
            </w:tcBorders>
            <w:shd w:val="clear" w:color="auto" w:fill="auto"/>
            <w:noWrap/>
            <w:vAlign w:val="bottom"/>
            <w:hideMark/>
          </w:tcPr>
          <w:p w14:paraId="37C53D2B" w14:textId="77777777" w:rsidR="00A61FF5" w:rsidRPr="00040036" w:rsidRDefault="00A61FF5" w:rsidP="00D07480">
            <w:pPr>
              <w:pStyle w:val="ESTablebody3ptafter"/>
              <w:rPr>
                <w:sz w:val="13"/>
                <w:lang w:val="en-AU" w:eastAsia="en-AU"/>
              </w:rPr>
            </w:pPr>
            <w:r w:rsidRPr="00040036">
              <w:rPr>
                <w:sz w:val="13"/>
                <w:lang w:val="en-AU" w:eastAsia="en-AU"/>
              </w:rPr>
              <w:t>27.3</w:t>
            </w:r>
          </w:p>
        </w:tc>
        <w:tc>
          <w:tcPr>
            <w:tcW w:w="379" w:type="pct"/>
            <w:tcBorders>
              <w:top w:val="nil"/>
              <w:left w:val="nil"/>
              <w:bottom w:val="nil"/>
              <w:right w:val="nil"/>
            </w:tcBorders>
            <w:shd w:val="clear" w:color="auto" w:fill="auto"/>
            <w:noWrap/>
            <w:vAlign w:val="bottom"/>
            <w:hideMark/>
          </w:tcPr>
          <w:p w14:paraId="24C86986" w14:textId="77777777" w:rsidR="00A61FF5" w:rsidRPr="00040036" w:rsidRDefault="00A61FF5" w:rsidP="00D07480">
            <w:pPr>
              <w:pStyle w:val="ESTablebody3ptafter"/>
              <w:rPr>
                <w:sz w:val="13"/>
                <w:lang w:val="en-AU" w:eastAsia="en-AU"/>
              </w:rPr>
            </w:pPr>
            <w:r w:rsidRPr="00040036">
              <w:rPr>
                <w:sz w:val="13"/>
                <w:lang w:val="en-AU" w:eastAsia="en-AU"/>
              </w:rPr>
              <w:t>22</w:t>
            </w:r>
          </w:p>
        </w:tc>
        <w:tc>
          <w:tcPr>
            <w:tcW w:w="379" w:type="pct"/>
            <w:tcBorders>
              <w:top w:val="nil"/>
              <w:left w:val="nil"/>
              <w:bottom w:val="nil"/>
              <w:right w:val="nil"/>
            </w:tcBorders>
            <w:shd w:val="clear" w:color="auto" w:fill="auto"/>
            <w:noWrap/>
            <w:vAlign w:val="bottom"/>
            <w:hideMark/>
          </w:tcPr>
          <w:p w14:paraId="3784F76C" w14:textId="77777777" w:rsidR="00A61FF5" w:rsidRPr="00040036" w:rsidRDefault="00A61FF5" w:rsidP="00D07480">
            <w:pPr>
              <w:pStyle w:val="ESTablebody3ptafter"/>
              <w:rPr>
                <w:sz w:val="13"/>
                <w:lang w:val="en-AU" w:eastAsia="en-AU"/>
              </w:rPr>
            </w:pPr>
            <w:r w:rsidRPr="00040036">
              <w:rPr>
                <w:sz w:val="13"/>
                <w:lang w:val="en-AU" w:eastAsia="en-AU"/>
              </w:rPr>
              <w:t>3</w:t>
            </w:r>
          </w:p>
        </w:tc>
        <w:tc>
          <w:tcPr>
            <w:tcW w:w="249" w:type="pct"/>
            <w:tcBorders>
              <w:top w:val="nil"/>
              <w:left w:val="nil"/>
              <w:bottom w:val="nil"/>
              <w:right w:val="single" w:sz="4" w:space="0" w:color="auto"/>
            </w:tcBorders>
            <w:shd w:val="clear" w:color="auto" w:fill="auto"/>
            <w:noWrap/>
            <w:vAlign w:val="bottom"/>
            <w:hideMark/>
          </w:tcPr>
          <w:p w14:paraId="0314B77D" w14:textId="77777777" w:rsidR="00A61FF5" w:rsidRPr="00040036" w:rsidRDefault="00A61FF5" w:rsidP="00D07480">
            <w:pPr>
              <w:pStyle w:val="ESTablebody3ptafter"/>
              <w:rPr>
                <w:sz w:val="13"/>
                <w:lang w:val="en-AU" w:eastAsia="en-AU"/>
              </w:rPr>
            </w:pPr>
            <w:r w:rsidRPr="00040036">
              <w:rPr>
                <w:sz w:val="13"/>
                <w:lang w:val="en-AU" w:eastAsia="en-AU"/>
              </w:rPr>
              <w:t>24.5</w:t>
            </w:r>
          </w:p>
        </w:tc>
        <w:tc>
          <w:tcPr>
            <w:tcW w:w="350" w:type="pct"/>
            <w:tcBorders>
              <w:top w:val="nil"/>
              <w:left w:val="nil"/>
              <w:bottom w:val="nil"/>
              <w:right w:val="nil"/>
            </w:tcBorders>
            <w:shd w:val="clear" w:color="auto" w:fill="auto"/>
            <w:noWrap/>
            <w:vAlign w:val="bottom"/>
            <w:hideMark/>
          </w:tcPr>
          <w:p w14:paraId="4CCFF44D" w14:textId="77777777" w:rsidR="00A61FF5" w:rsidRPr="00040036" w:rsidRDefault="00A61FF5" w:rsidP="00D07480">
            <w:pPr>
              <w:pStyle w:val="ESTablebody3ptafter"/>
              <w:rPr>
                <w:sz w:val="13"/>
                <w:lang w:val="en-AU" w:eastAsia="en-AU"/>
              </w:rPr>
            </w:pPr>
            <w:r w:rsidRPr="00040036">
              <w:rPr>
                <w:sz w:val="13"/>
                <w:lang w:val="en-AU" w:eastAsia="en-AU"/>
              </w:rPr>
              <w:t>3</w:t>
            </w:r>
          </w:p>
        </w:tc>
        <w:tc>
          <w:tcPr>
            <w:tcW w:w="206" w:type="pct"/>
            <w:tcBorders>
              <w:top w:val="nil"/>
              <w:left w:val="nil"/>
              <w:bottom w:val="nil"/>
              <w:right w:val="single" w:sz="8" w:space="0" w:color="auto"/>
            </w:tcBorders>
            <w:shd w:val="clear" w:color="auto" w:fill="auto"/>
            <w:noWrap/>
            <w:vAlign w:val="bottom"/>
            <w:hideMark/>
          </w:tcPr>
          <w:p w14:paraId="60DC0929" w14:textId="77777777" w:rsidR="00A61FF5" w:rsidRPr="00040036" w:rsidRDefault="00A61FF5" w:rsidP="00D07480">
            <w:pPr>
              <w:pStyle w:val="ESTablebody3ptafter"/>
              <w:rPr>
                <w:sz w:val="13"/>
                <w:lang w:val="en-AU" w:eastAsia="en-AU"/>
              </w:rPr>
            </w:pPr>
            <w:r w:rsidRPr="00040036">
              <w:rPr>
                <w:sz w:val="13"/>
                <w:lang w:val="en-AU" w:eastAsia="en-AU"/>
              </w:rPr>
              <w:t>2.8</w:t>
            </w:r>
          </w:p>
        </w:tc>
        <w:tc>
          <w:tcPr>
            <w:tcW w:w="350" w:type="pct"/>
            <w:tcBorders>
              <w:top w:val="nil"/>
              <w:left w:val="nil"/>
              <w:bottom w:val="nil"/>
              <w:right w:val="nil"/>
            </w:tcBorders>
            <w:shd w:val="clear" w:color="auto" w:fill="auto"/>
            <w:noWrap/>
            <w:vAlign w:val="bottom"/>
            <w:hideMark/>
          </w:tcPr>
          <w:p w14:paraId="74585CE8" w14:textId="77777777" w:rsidR="00A61FF5" w:rsidRPr="00040036" w:rsidRDefault="00A61FF5" w:rsidP="00D07480">
            <w:pPr>
              <w:pStyle w:val="ESTablebody3ptafter"/>
              <w:rPr>
                <w:sz w:val="13"/>
                <w:lang w:val="en-AU" w:eastAsia="en-AU"/>
              </w:rPr>
            </w:pPr>
            <w:r w:rsidRPr="00040036">
              <w:rPr>
                <w:sz w:val="13"/>
                <w:lang w:val="en-AU" w:eastAsia="en-AU"/>
              </w:rPr>
              <w:t>20</w:t>
            </w:r>
          </w:p>
        </w:tc>
        <w:tc>
          <w:tcPr>
            <w:tcW w:w="249" w:type="pct"/>
            <w:tcBorders>
              <w:top w:val="nil"/>
              <w:left w:val="nil"/>
              <w:bottom w:val="nil"/>
              <w:right w:val="single" w:sz="4" w:space="0" w:color="auto"/>
            </w:tcBorders>
            <w:shd w:val="clear" w:color="auto" w:fill="auto"/>
            <w:noWrap/>
            <w:vAlign w:val="bottom"/>
            <w:hideMark/>
          </w:tcPr>
          <w:p w14:paraId="7CF12983" w14:textId="77777777" w:rsidR="00A61FF5" w:rsidRPr="00040036" w:rsidRDefault="00A61FF5" w:rsidP="00D07480">
            <w:pPr>
              <w:pStyle w:val="ESTablebody3ptafter"/>
              <w:rPr>
                <w:sz w:val="13"/>
                <w:lang w:val="en-AU" w:eastAsia="en-AU"/>
              </w:rPr>
            </w:pPr>
            <w:r w:rsidRPr="00040036">
              <w:rPr>
                <w:sz w:val="13"/>
                <w:lang w:val="en-AU" w:eastAsia="en-AU"/>
              </w:rPr>
              <w:t>19.1</w:t>
            </w:r>
          </w:p>
        </w:tc>
        <w:tc>
          <w:tcPr>
            <w:tcW w:w="379" w:type="pct"/>
            <w:tcBorders>
              <w:top w:val="nil"/>
              <w:left w:val="nil"/>
              <w:bottom w:val="nil"/>
              <w:right w:val="nil"/>
            </w:tcBorders>
            <w:shd w:val="clear" w:color="auto" w:fill="auto"/>
            <w:noWrap/>
            <w:vAlign w:val="bottom"/>
            <w:hideMark/>
          </w:tcPr>
          <w:p w14:paraId="4AD282E5" w14:textId="77777777" w:rsidR="00A61FF5" w:rsidRPr="00040036" w:rsidRDefault="00A61FF5" w:rsidP="00D07480">
            <w:pPr>
              <w:pStyle w:val="ESTablebody3ptafter"/>
              <w:rPr>
                <w:sz w:val="13"/>
                <w:lang w:val="en-AU" w:eastAsia="en-AU"/>
              </w:rPr>
            </w:pPr>
            <w:r w:rsidRPr="00040036">
              <w:rPr>
                <w:sz w:val="13"/>
                <w:lang w:val="en-AU" w:eastAsia="en-AU"/>
              </w:rPr>
              <w:t>14</w:t>
            </w:r>
          </w:p>
        </w:tc>
        <w:tc>
          <w:tcPr>
            <w:tcW w:w="379" w:type="pct"/>
            <w:tcBorders>
              <w:top w:val="nil"/>
              <w:left w:val="nil"/>
              <w:bottom w:val="nil"/>
              <w:right w:val="nil"/>
            </w:tcBorders>
            <w:shd w:val="clear" w:color="auto" w:fill="auto"/>
            <w:noWrap/>
            <w:vAlign w:val="bottom"/>
            <w:hideMark/>
          </w:tcPr>
          <w:p w14:paraId="08F47239" w14:textId="77777777" w:rsidR="00A61FF5" w:rsidRPr="00040036" w:rsidRDefault="00A61FF5" w:rsidP="00D07480">
            <w:pPr>
              <w:pStyle w:val="ESTablebody3ptafter"/>
              <w:rPr>
                <w:sz w:val="13"/>
                <w:lang w:val="en-AU" w:eastAsia="en-AU"/>
              </w:rPr>
            </w:pPr>
            <w:r w:rsidRPr="00040036">
              <w:rPr>
                <w:sz w:val="13"/>
                <w:lang w:val="en-AU" w:eastAsia="en-AU"/>
              </w:rPr>
              <w:t>4</w:t>
            </w:r>
          </w:p>
        </w:tc>
        <w:tc>
          <w:tcPr>
            <w:tcW w:w="249" w:type="pct"/>
            <w:tcBorders>
              <w:top w:val="nil"/>
              <w:left w:val="nil"/>
              <w:bottom w:val="nil"/>
              <w:right w:val="single" w:sz="4" w:space="0" w:color="auto"/>
            </w:tcBorders>
            <w:shd w:val="clear" w:color="auto" w:fill="auto"/>
            <w:noWrap/>
            <w:vAlign w:val="bottom"/>
            <w:hideMark/>
          </w:tcPr>
          <w:p w14:paraId="24CE9ED2" w14:textId="77777777" w:rsidR="00A61FF5" w:rsidRPr="00040036" w:rsidRDefault="00A61FF5" w:rsidP="00D07480">
            <w:pPr>
              <w:pStyle w:val="ESTablebody3ptafter"/>
              <w:rPr>
                <w:sz w:val="13"/>
                <w:lang w:val="en-AU" w:eastAsia="en-AU"/>
              </w:rPr>
            </w:pPr>
            <w:r w:rsidRPr="00040036">
              <w:rPr>
                <w:sz w:val="13"/>
                <w:lang w:val="en-AU" w:eastAsia="en-AU"/>
              </w:rPr>
              <w:t>17.3</w:t>
            </w:r>
          </w:p>
        </w:tc>
        <w:tc>
          <w:tcPr>
            <w:tcW w:w="350" w:type="pct"/>
            <w:tcBorders>
              <w:top w:val="nil"/>
              <w:left w:val="nil"/>
              <w:bottom w:val="nil"/>
              <w:right w:val="nil"/>
            </w:tcBorders>
            <w:shd w:val="clear" w:color="auto" w:fill="auto"/>
            <w:noWrap/>
            <w:vAlign w:val="bottom"/>
            <w:hideMark/>
          </w:tcPr>
          <w:p w14:paraId="25AF94EA" w14:textId="77777777" w:rsidR="00A61FF5" w:rsidRPr="00040036" w:rsidRDefault="00A61FF5" w:rsidP="00D07480">
            <w:pPr>
              <w:pStyle w:val="ESTablebody3ptafter"/>
              <w:rPr>
                <w:sz w:val="13"/>
                <w:lang w:val="en-AU" w:eastAsia="en-AU"/>
              </w:rPr>
            </w:pPr>
            <w:r w:rsidRPr="00040036">
              <w:rPr>
                <w:sz w:val="13"/>
                <w:lang w:val="en-AU" w:eastAsia="en-AU"/>
              </w:rPr>
              <w:t>2</w:t>
            </w:r>
          </w:p>
        </w:tc>
        <w:tc>
          <w:tcPr>
            <w:tcW w:w="201" w:type="pct"/>
            <w:tcBorders>
              <w:top w:val="nil"/>
              <w:left w:val="nil"/>
              <w:bottom w:val="nil"/>
              <w:right w:val="nil"/>
            </w:tcBorders>
            <w:shd w:val="clear" w:color="auto" w:fill="auto"/>
            <w:noWrap/>
            <w:vAlign w:val="bottom"/>
            <w:hideMark/>
          </w:tcPr>
          <w:p w14:paraId="5BF09871" w14:textId="77777777" w:rsidR="00A61FF5" w:rsidRPr="00040036" w:rsidRDefault="00A61FF5" w:rsidP="00D07480">
            <w:pPr>
              <w:pStyle w:val="ESTablebody3ptafter"/>
              <w:rPr>
                <w:sz w:val="13"/>
                <w:lang w:val="en-AU" w:eastAsia="en-AU"/>
              </w:rPr>
            </w:pPr>
            <w:r w:rsidRPr="00040036">
              <w:rPr>
                <w:sz w:val="13"/>
                <w:lang w:val="en-AU" w:eastAsia="en-AU"/>
              </w:rPr>
              <w:t>1.8</w:t>
            </w:r>
          </w:p>
        </w:tc>
      </w:tr>
      <w:tr w:rsidR="00A61FF5" w:rsidRPr="00932A90" w14:paraId="3F4A57FB" w14:textId="77777777" w:rsidTr="00D07480">
        <w:trPr>
          <w:trHeight w:hRule="exact" w:val="535"/>
        </w:trPr>
        <w:tc>
          <w:tcPr>
            <w:tcW w:w="154" w:type="pct"/>
            <w:vMerge/>
            <w:tcBorders>
              <w:left w:val="nil"/>
              <w:right w:val="nil"/>
            </w:tcBorders>
            <w:shd w:val="clear" w:color="auto" w:fill="auto"/>
            <w:vAlign w:val="center"/>
            <w:hideMark/>
          </w:tcPr>
          <w:p w14:paraId="1B8D5CF2"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19338137" w14:textId="77777777" w:rsidR="00A61FF5" w:rsidRPr="00040036" w:rsidRDefault="00A61FF5" w:rsidP="00D07480">
            <w:pPr>
              <w:pStyle w:val="ESTablebody3ptafter"/>
              <w:rPr>
                <w:sz w:val="13"/>
                <w:lang w:val="en-AU" w:eastAsia="en-AU"/>
              </w:rPr>
            </w:pPr>
            <w:r w:rsidRPr="00040036">
              <w:rPr>
                <w:sz w:val="13"/>
                <w:lang w:val="en-AU" w:eastAsia="en-AU"/>
              </w:rPr>
              <w:t>Executive Officers</w:t>
            </w:r>
          </w:p>
        </w:tc>
        <w:tc>
          <w:tcPr>
            <w:tcW w:w="418" w:type="pct"/>
            <w:tcBorders>
              <w:top w:val="nil"/>
              <w:left w:val="nil"/>
              <w:bottom w:val="nil"/>
              <w:right w:val="nil"/>
            </w:tcBorders>
            <w:shd w:val="clear" w:color="auto" w:fill="auto"/>
            <w:noWrap/>
            <w:vAlign w:val="bottom"/>
            <w:hideMark/>
          </w:tcPr>
          <w:p w14:paraId="67F0D187" w14:textId="77777777" w:rsidR="00A61FF5" w:rsidRPr="00040036" w:rsidRDefault="00A61FF5" w:rsidP="00D07480">
            <w:pPr>
              <w:pStyle w:val="ESTablebody3ptafter"/>
              <w:rPr>
                <w:sz w:val="13"/>
                <w:lang w:val="en-AU" w:eastAsia="en-AU"/>
              </w:rPr>
            </w:pPr>
            <w:r w:rsidRPr="00040036">
              <w:rPr>
                <w:sz w:val="13"/>
                <w:lang w:val="en-AU" w:eastAsia="en-AU"/>
              </w:rPr>
              <w:t>90</w:t>
            </w:r>
          </w:p>
        </w:tc>
        <w:tc>
          <w:tcPr>
            <w:tcW w:w="250" w:type="pct"/>
            <w:tcBorders>
              <w:top w:val="nil"/>
              <w:left w:val="nil"/>
              <w:bottom w:val="nil"/>
              <w:right w:val="single" w:sz="4" w:space="0" w:color="auto"/>
            </w:tcBorders>
            <w:shd w:val="clear" w:color="auto" w:fill="auto"/>
            <w:noWrap/>
            <w:vAlign w:val="bottom"/>
            <w:hideMark/>
          </w:tcPr>
          <w:p w14:paraId="1CA30AE0" w14:textId="77777777" w:rsidR="00A61FF5" w:rsidRPr="00040036" w:rsidRDefault="00A61FF5" w:rsidP="00D07480">
            <w:pPr>
              <w:pStyle w:val="ESTablebody3ptafter"/>
              <w:rPr>
                <w:sz w:val="13"/>
                <w:lang w:val="en-AU" w:eastAsia="en-AU"/>
              </w:rPr>
            </w:pPr>
            <w:r w:rsidRPr="00040036">
              <w:rPr>
                <w:sz w:val="13"/>
                <w:lang w:val="en-AU" w:eastAsia="en-AU"/>
              </w:rPr>
              <w:t>88.6</w:t>
            </w:r>
          </w:p>
        </w:tc>
        <w:tc>
          <w:tcPr>
            <w:tcW w:w="379" w:type="pct"/>
            <w:tcBorders>
              <w:top w:val="nil"/>
              <w:left w:val="nil"/>
              <w:bottom w:val="nil"/>
              <w:right w:val="nil"/>
            </w:tcBorders>
            <w:shd w:val="clear" w:color="auto" w:fill="auto"/>
            <w:noWrap/>
            <w:vAlign w:val="bottom"/>
            <w:hideMark/>
          </w:tcPr>
          <w:p w14:paraId="35E4FD41" w14:textId="77777777" w:rsidR="00A61FF5" w:rsidRPr="00040036" w:rsidRDefault="00A61FF5" w:rsidP="00D07480">
            <w:pPr>
              <w:pStyle w:val="ESTablebody3ptafter"/>
              <w:rPr>
                <w:sz w:val="13"/>
                <w:lang w:val="en-AU" w:eastAsia="en-AU"/>
              </w:rPr>
            </w:pPr>
            <w:r w:rsidRPr="00040036">
              <w:rPr>
                <w:sz w:val="13"/>
                <w:lang w:val="en-AU" w:eastAsia="en-AU"/>
              </w:rPr>
              <w:t>83</w:t>
            </w:r>
          </w:p>
        </w:tc>
        <w:tc>
          <w:tcPr>
            <w:tcW w:w="379" w:type="pct"/>
            <w:tcBorders>
              <w:top w:val="nil"/>
              <w:left w:val="nil"/>
              <w:bottom w:val="nil"/>
              <w:right w:val="nil"/>
            </w:tcBorders>
            <w:shd w:val="clear" w:color="auto" w:fill="auto"/>
            <w:noWrap/>
            <w:vAlign w:val="bottom"/>
            <w:hideMark/>
          </w:tcPr>
          <w:p w14:paraId="2CD48433" w14:textId="77777777" w:rsidR="00A61FF5" w:rsidRPr="00040036" w:rsidRDefault="00A61FF5" w:rsidP="00D07480">
            <w:pPr>
              <w:pStyle w:val="ESTablebody3ptafter"/>
              <w:rPr>
                <w:sz w:val="13"/>
                <w:lang w:val="en-AU" w:eastAsia="en-AU"/>
              </w:rPr>
            </w:pPr>
            <w:r w:rsidRPr="00040036">
              <w:rPr>
                <w:sz w:val="13"/>
                <w:lang w:val="en-AU" w:eastAsia="en-AU"/>
              </w:rPr>
              <w:t>7</w:t>
            </w:r>
          </w:p>
        </w:tc>
        <w:tc>
          <w:tcPr>
            <w:tcW w:w="249" w:type="pct"/>
            <w:tcBorders>
              <w:top w:val="nil"/>
              <w:left w:val="nil"/>
              <w:bottom w:val="nil"/>
              <w:right w:val="single" w:sz="4" w:space="0" w:color="auto"/>
            </w:tcBorders>
            <w:shd w:val="clear" w:color="auto" w:fill="auto"/>
            <w:noWrap/>
            <w:vAlign w:val="bottom"/>
            <w:hideMark/>
          </w:tcPr>
          <w:p w14:paraId="6FE06D58" w14:textId="77777777" w:rsidR="00A61FF5" w:rsidRPr="00040036" w:rsidRDefault="00A61FF5" w:rsidP="00D07480">
            <w:pPr>
              <w:pStyle w:val="ESTablebody3ptafter"/>
              <w:rPr>
                <w:sz w:val="13"/>
                <w:lang w:val="en-AU" w:eastAsia="en-AU"/>
              </w:rPr>
            </w:pPr>
            <w:r w:rsidRPr="00040036">
              <w:rPr>
                <w:sz w:val="13"/>
                <w:lang w:val="en-AU" w:eastAsia="en-AU"/>
              </w:rPr>
              <w:t>88.6</w:t>
            </w:r>
          </w:p>
        </w:tc>
        <w:tc>
          <w:tcPr>
            <w:tcW w:w="350" w:type="pct"/>
            <w:tcBorders>
              <w:top w:val="nil"/>
              <w:left w:val="nil"/>
              <w:bottom w:val="nil"/>
              <w:right w:val="nil"/>
            </w:tcBorders>
            <w:shd w:val="clear" w:color="auto" w:fill="auto"/>
            <w:noWrap/>
            <w:vAlign w:val="bottom"/>
            <w:hideMark/>
          </w:tcPr>
          <w:p w14:paraId="0FCFBA7D" w14:textId="21DA63AB" w:rsidR="00A61FF5" w:rsidRPr="00040036" w:rsidRDefault="00781DCB" w:rsidP="00D07480">
            <w:pPr>
              <w:pStyle w:val="ESTablebody3ptafter"/>
              <w:rPr>
                <w:sz w:val="13"/>
                <w:lang w:val="en-AU" w:eastAsia="en-AU"/>
              </w:rPr>
            </w:pPr>
            <w:r w:rsidRPr="00040036">
              <w:rPr>
                <w:sz w:val="13"/>
                <w:lang w:val="en-AU" w:eastAsia="en-AU"/>
              </w:rPr>
              <w:t>–</w:t>
            </w:r>
          </w:p>
        </w:tc>
        <w:tc>
          <w:tcPr>
            <w:tcW w:w="206" w:type="pct"/>
            <w:tcBorders>
              <w:top w:val="nil"/>
              <w:left w:val="nil"/>
              <w:bottom w:val="nil"/>
              <w:right w:val="single" w:sz="8" w:space="0" w:color="auto"/>
            </w:tcBorders>
            <w:shd w:val="clear" w:color="auto" w:fill="auto"/>
            <w:noWrap/>
            <w:vAlign w:val="bottom"/>
            <w:hideMark/>
          </w:tcPr>
          <w:p w14:paraId="2F320815" w14:textId="5FC032FF" w:rsidR="00A61FF5" w:rsidRPr="00040036" w:rsidRDefault="00781DCB" w:rsidP="00D07480">
            <w:pPr>
              <w:pStyle w:val="ESTablebody3ptafter"/>
              <w:rPr>
                <w:sz w:val="13"/>
                <w:lang w:val="en-AU" w:eastAsia="en-AU"/>
              </w:rPr>
            </w:pPr>
            <w:r w:rsidRPr="00040036">
              <w:rPr>
                <w:sz w:val="13"/>
                <w:lang w:val="en-AU" w:eastAsia="en-AU"/>
              </w:rPr>
              <w:t>–</w:t>
            </w:r>
          </w:p>
        </w:tc>
        <w:tc>
          <w:tcPr>
            <w:tcW w:w="350" w:type="pct"/>
            <w:tcBorders>
              <w:top w:val="nil"/>
              <w:left w:val="nil"/>
              <w:bottom w:val="nil"/>
              <w:right w:val="nil"/>
            </w:tcBorders>
            <w:shd w:val="clear" w:color="auto" w:fill="auto"/>
            <w:noWrap/>
            <w:vAlign w:val="bottom"/>
            <w:hideMark/>
          </w:tcPr>
          <w:p w14:paraId="2D6CC9B9" w14:textId="77777777" w:rsidR="00A61FF5" w:rsidRPr="00040036" w:rsidRDefault="00A61FF5" w:rsidP="00D07480">
            <w:pPr>
              <w:pStyle w:val="ESTablebody3ptafter"/>
              <w:rPr>
                <w:sz w:val="13"/>
                <w:lang w:val="en-AU" w:eastAsia="en-AU"/>
              </w:rPr>
            </w:pPr>
            <w:r w:rsidRPr="00040036">
              <w:rPr>
                <w:sz w:val="13"/>
                <w:lang w:val="en-AU" w:eastAsia="en-AU"/>
              </w:rPr>
              <w:t>74</w:t>
            </w:r>
          </w:p>
        </w:tc>
        <w:tc>
          <w:tcPr>
            <w:tcW w:w="249" w:type="pct"/>
            <w:tcBorders>
              <w:top w:val="nil"/>
              <w:left w:val="nil"/>
              <w:bottom w:val="nil"/>
              <w:right w:val="single" w:sz="4" w:space="0" w:color="auto"/>
            </w:tcBorders>
            <w:shd w:val="clear" w:color="auto" w:fill="auto"/>
            <w:noWrap/>
            <w:vAlign w:val="bottom"/>
            <w:hideMark/>
          </w:tcPr>
          <w:p w14:paraId="41838B9C" w14:textId="77777777" w:rsidR="00A61FF5" w:rsidRPr="00040036" w:rsidRDefault="00A61FF5" w:rsidP="00D07480">
            <w:pPr>
              <w:pStyle w:val="ESTablebody3ptafter"/>
              <w:rPr>
                <w:sz w:val="13"/>
                <w:lang w:val="en-AU" w:eastAsia="en-AU"/>
              </w:rPr>
            </w:pPr>
            <w:r w:rsidRPr="00040036">
              <w:rPr>
                <w:sz w:val="13"/>
                <w:lang w:val="en-AU" w:eastAsia="en-AU"/>
              </w:rPr>
              <w:t>73.2</w:t>
            </w:r>
          </w:p>
        </w:tc>
        <w:tc>
          <w:tcPr>
            <w:tcW w:w="379" w:type="pct"/>
            <w:tcBorders>
              <w:top w:val="nil"/>
              <w:left w:val="nil"/>
              <w:bottom w:val="nil"/>
              <w:right w:val="nil"/>
            </w:tcBorders>
            <w:shd w:val="clear" w:color="auto" w:fill="auto"/>
            <w:noWrap/>
            <w:vAlign w:val="bottom"/>
            <w:hideMark/>
          </w:tcPr>
          <w:p w14:paraId="6E8FAB7F" w14:textId="77777777" w:rsidR="00A61FF5" w:rsidRPr="00040036" w:rsidRDefault="00A61FF5" w:rsidP="00D07480">
            <w:pPr>
              <w:pStyle w:val="ESTablebody3ptafter"/>
              <w:rPr>
                <w:sz w:val="13"/>
                <w:lang w:val="en-AU" w:eastAsia="en-AU"/>
              </w:rPr>
            </w:pPr>
            <w:r w:rsidRPr="00040036">
              <w:rPr>
                <w:sz w:val="13"/>
                <w:lang w:val="en-AU" w:eastAsia="en-AU"/>
              </w:rPr>
              <w:t>69</w:t>
            </w:r>
          </w:p>
        </w:tc>
        <w:tc>
          <w:tcPr>
            <w:tcW w:w="379" w:type="pct"/>
            <w:tcBorders>
              <w:top w:val="nil"/>
              <w:left w:val="nil"/>
              <w:bottom w:val="nil"/>
              <w:right w:val="nil"/>
            </w:tcBorders>
            <w:shd w:val="clear" w:color="auto" w:fill="auto"/>
            <w:noWrap/>
            <w:vAlign w:val="bottom"/>
            <w:hideMark/>
          </w:tcPr>
          <w:p w14:paraId="18B32073" w14:textId="77777777" w:rsidR="00A61FF5" w:rsidRPr="00040036" w:rsidRDefault="00A61FF5" w:rsidP="00D07480">
            <w:pPr>
              <w:pStyle w:val="ESTablebody3ptafter"/>
              <w:rPr>
                <w:sz w:val="13"/>
                <w:lang w:val="en-AU" w:eastAsia="en-AU"/>
              </w:rPr>
            </w:pPr>
            <w:r w:rsidRPr="00040036">
              <w:rPr>
                <w:sz w:val="13"/>
                <w:lang w:val="en-AU" w:eastAsia="en-AU"/>
              </w:rPr>
              <w:t>5</w:t>
            </w:r>
          </w:p>
        </w:tc>
        <w:tc>
          <w:tcPr>
            <w:tcW w:w="249" w:type="pct"/>
            <w:tcBorders>
              <w:top w:val="nil"/>
              <w:left w:val="nil"/>
              <w:bottom w:val="nil"/>
              <w:right w:val="single" w:sz="4" w:space="0" w:color="auto"/>
            </w:tcBorders>
            <w:shd w:val="clear" w:color="auto" w:fill="auto"/>
            <w:noWrap/>
            <w:vAlign w:val="bottom"/>
            <w:hideMark/>
          </w:tcPr>
          <w:p w14:paraId="2AF09240" w14:textId="77777777" w:rsidR="00A61FF5" w:rsidRPr="00040036" w:rsidRDefault="00A61FF5" w:rsidP="00D07480">
            <w:pPr>
              <w:pStyle w:val="ESTablebody3ptafter"/>
              <w:rPr>
                <w:sz w:val="13"/>
                <w:lang w:val="en-AU" w:eastAsia="en-AU"/>
              </w:rPr>
            </w:pPr>
            <w:r w:rsidRPr="00040036">
              <w:rPr>
                <w:sz w:val="13"/>
                <w:lang w:val="en-AU" w:eastAsia="en-AU"/>
              </w:rPr>
              <w:t>73.2</w:t>
            </w:r>
          </w:p>
        </w:tc>
        <w:tc>
          <w:tcPr>
            <w:tcW w:w="350" w:type="pct"/>
            <w:tcBorders>
              <w:top w:val="nil"/>
              <w:left w:val="nil"/>
              <w:bottom w:val="nil"/>
              <w:right w:val="nil"/>
            </w:tcBorders>
            <w:shd w:val="clear" w:color="auto" w:fill="auto"/>
            <w:noWrap/>
            <w:vAlign w:val="bottom"/>
            <w:hideMark/>
          </w:tcPr>
          <w:p w14:paraId="6A277D1C" w14:textId="1EFCC595" w:rsidR="00A61FF5" w:rsidRPr="00040036" w:rsidRDefault="00781DCB" w:rsidP="00D07480">
            <w:pPr>
              <w:pStyle w:val="ESTablebody3ptafter"/>
              <w:rPr>
                <w:sz w:val="13"/>
                <w:lang w:val="en-AU" w:eastAsia="en-AU"/>
              </w:rPr>
            </w:pPr>
            <w:r w:rsidRPr="00040036">
              <w:rPr>
                <w:sz w:val="13"/>
                <w:lang w:val="en-AU" w:eastAsia="en-AU"/>
              </w:rPr>
              <w:t>–</w:t>
            </w:r>
          </w:p>
        </w:tc>
        <w:tc>
          <w:tcPr>
            <w:tcW w:w="201" w:type="pct"/>
            <w:tcBorders>
              <w:top w:val="nil"/>
              <w:left w:val="nil"/>
              <w:bottom w:val="nil"/>
              <w:right w:val="nil"/>
            </w:tcBorders>
            <w:shd w:val="clear" w:color="auto" w:fill="auto"/>
            <w:noWrap/>
            <w:vAlign w:val="bottom"/>
            <w:hideMark/>
          </w:tcPr>
          <w:p w14:paraId="07F78F8A" w14:textId="1D13CB8E" w:rsidR="00A61FF5" w:rsidRPr="00040036" w:rsidRDefault="00781DCB" w:rsidP="00D07480">
            <w:pPr>
              <w:pStyle w:val="ESTablebody3ptafter"/>
              <w:rPr>
                <w:sz w:val="13"/>
                <w:lang w:val="en-AU" w:eastAsia="en-AU"/>
              </w:rPr>
            </w:pPr>
            <w:r w:rsidRPr="00040036">
              <w:rPr>
                <w:sz w:val="13"/>
                <w:lang w:val="en-AU" w:eastAsia="en-AU"/>
              </w:rPr>
              <w:t>–</w:t>
            </w:r>
          </w:p>
        </w:tc>
      </w:tr>
      <w:tr w:rsidR="00A61FF5" w:rsidRPr="00932A90" w14:paraId="336CDA57" w14:textId="77777777" w:rsidTr="00D07480">
        <w:trPr>
          <w:trHeight w:hRule="exact" w:val="429"/>
        </w:trPr>
        <w:tc>
          <w:tcPr>
            <w:tcW w:w="154" w:type="pct"/>
            <w:vMerge/>
            <w:tcBorders>
              <w:left w:val="nil"/>
              <w:right w:val="nil"/>
            </w:tcBorders>
            <w:shd w:val="clear" w:color="auto" w:fill="auto"/>
            <w:vAlign w:val="center"/>
            <w:hideMark/>
          </w:tcPr>
          <w:p w14:paraId="221E1087"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766CC46F" w14:textId="77777777" w:rsidR="00A61FF5" w:rsidRPr="00040036" w:rsidRDefault="00A61FF5" w:rsidP="00D07480">
            <w:pPr>
              <w:pStyle w:val="ESTablebody3ptafter"/>
              <w:rPr>
                <w:sz w:val="13"/>
                <w:lang w:val="en-AU" w:eastAsia="en-AU"/>
              </w:rPr>
            </w:pPr>
            <w:r w:rsidRPr="00040036">
              <w:rPr>
                <w:sz w:val="13"/>
                <w:lang w:val="en-AU" w:eastAsia="en-AU"/>
              </w:rPr>
              <w:t>SMA</w:t>
            </w:r>
          </w:p>
        </w:tc>
        <w:tc>
          <w:tcPr>
            <w:tcW w:w="418" w:type="pct"/>
            <w:tcBorders>
              <w:top w:val="nil"/>
              <w:left w:val="nil"/>
              <w:bottom w:val="nil"/>
              <w:right w:val="nil"/>
            </w:tcBorders>
            <w:shd w:val="clear" w:color="auto" w:fill="auto"/>
            <w:noWrap/>
            <w:vAlign w:val="bottom"/>
            <w:hideMark/>
          </w:tcPr>
          <w:p w14:paraId="45B8DBC6" w14:textId="5F551C88" w:rsidR="00A61FF5" w:rsidRPr="00040036" w:rsidRDefault="00781DCB" w:rsidP="00D07480">
            <w:pPr>
              <w:pStyle w:val="ESTablebody3ptafter"/>
              <w:rPr>
                <w:sz w:val="13"/>
                <w:lang w:val="en-AU" w:eastAsia="en-AU"/>
              </w:rPr>
            </w:pPr>
            <w:r w:rsidRPr="00040036">
              <w:rPr>
                <w:sz w:val="13"/>
                <w:lang w:val="en-AU" w:eastAsia="en-AU"/>
              </w:rPr>
              <w:t>–</w:t>
            </w:r>
          </w:p>
        </w:tc>
        <w:tc>
          <w:tcPr>
            <w:tcW w:w="250" w:type="pct"/>
            <w:tcBorders>
              <w:top w:val="nil"/>
              <w:left w:val="nil"/>
              <w:bottom w:val="nil"/>
              <w:right w:val="single" w:sz="4" w:space="0" w:color="auto"/>
            </w:tcBorders>
            <w:shd w:val="clear" w:color="auto" w:fill="auto"/>
            <w:noWrap/>
            <w:vAlign w:val="bottom"/>
            <w:hideMark/>
          </w:tcPr>
          <w:p w14:paraId="5FD401BC" w14:textId="205C8C97" w:rsidR="00A61FF5" w:rsidRPr="00040036" w:rsidRDefault="00781DCB" w:rsidP="00D07480">
            <w:pPr>
              <w:pStyle w:val="ESTablebody3ptafter"/>
              <w:rPr>
                <w:sz w:val="13"/>
                <w:lang w:val="en-AU" w:eastAsia="en-AU"/>
              </w:rPr>
            </w:pPr>
            <w:r w:rsidRPr="00040036">
              <w:rPr>
                <w:sz w:val="13"/>
                <w:lang w:val="en-AU" w:eastAsia="en-AU"/>
              </w:rPr>
              <w:t>–</w:t>
            </w:r>
          </w:p>
        </w:tc>
        <w:tc>
          <w:tcPr>
            <w:tcW w:w="379" w:type="pct"/>
            <w:tcBorders>
              <w:top w:val="nil"/>
              <w:left w:val="nil"/>
              <w:bottom w:val="nil"/>
              <w:right w:val="nil"/>
            </w:tcBorders>
            <w:shd w:val="clear" w:color="auto" w:fill="auto"/>
            <w:noWrap/>
            <w:vAlign w:val="bottom"/>
            <w:hideMark/>
          </w:tcPr>
          <w:p w14:paraId="63537C16" w14:textId="08E5493A" w:rsidR="00A61FF5" w:rsidRPr="00040036" w:rsidRDefault="00781DCB" w:rsidP="00D07480">
            <w:pPr>
              <w:pStyle w:val="ESTablebody3ptafter"/>
              <w:rPr>
                <w:sz w:val="13"/>
                <w:lang w:val="en-AU" w:eastAsia="en-AU"/>
              </w:rPr>
            </w:pPr>
            <w:r w:rsidRPr="00040036">
              <w:rPr>
                <w:sz w:val="13"/>
                <w:lang w:val="en-AU" w:eastAsia="en-AU"/>
              </w:rPr>
              <w:t>–</w:t>
            </w:r>
          </w:p>
        </w:tc>
        <w:tc>
          <w:tcPr>
            <w:tcW w:w="379" w:type="pct"/>
            <w:tcBorders>
              <w:top w:val="nil"/>
              <w:left w:val="nil"/>
              <w:bottom w:val="nil"/>
              <w:right w:val="nil"/>
            </w:tcBorders>
            <w:shd w:val="clear" w:color="auto" w:fill="auto"/>
            <w:noWrap/>
            <w:vAlign w:val="bottom"/>
            <w:hideMark/>
          </w:tcPr>
          <w:p w14:paraId="14CC3C53" w14:textId="1A70484E" w:rsidR="00A61FF5" w:rsidRPr="00040036" w:rsidRDefault="00781DCB" w:rsidP="00D07480">
            <w:pPr>
              <w:pStyle w:val="ESTablebody3ptafter"/>
              <w:rPr>
                <w:sz w:val="13"/>
                <w:lang w:val="en-AU" w:eastAsia="en-AU"/>
              </w:rPr>
            </w:pPr>
            <w:r w:rsidRPr="00040036">
              <w:rPr>
                <w:sz w:val="13"/>
                <w:lang w:val="en-AU" w:eastAsia="en-AU"/>
              </w:rPr>
              <w:t>–</w:t>
            </w:r>
          </w:p>
        </w:tc>
        <w:tc>
          <w:tcPr>
            <w:tcW w:w="249" w:type="pct"/>
            <w:tcBorders>
              <w:top w:val="nil"/>
              <w:left w:val="nil"/>
              <w:bottom w:val="nil"/>
              <w:right w:val="single" w:sz="4" w:space="0" w:color="auto"/>
            </w:tcBorders>
            <w:shd w:val="clear" w:color="auto" w:fill="auto"/>
            <w:noWrap/>
            <w:vAlign w:val="bottom"/>
            <w:hideMark/>
          </w:tcPr>
          <w:p w14:paraId="7A32F7F1" w14:textId="049C7DDA" w:rsidR="00A61FF5" w:rsidRPr="00040036" w:rsidRDefault="00781DCB" w:rsidP="00D07480">
            <w:pPr>
              <w:pStyle w:val="ESTablebody3ptafter"/>
              <w:rPr>
                <w:sz w:val="13"/>
                <w:lang w:val="en-AU" w:eastAsia="en-AU"/>
              </w:rPr>
            </w:pPr>
            <w:r w:rsidRPr="00040036">
              <w:rPr>
                <w:sz w:val="13"/>
                <w:lang w:val="en-AU" w:eastAsia="en-AU"/>
              </w:rPr>
              <w:t>–</w:t>
            </w:r>
          </w:p>
        </w:tc>
        <w:tc>
          <w:tcPr>
            <w:tcW w:w="350" w:type="pct"/>
            <w:tcBorders>
              <w:top w:val="nil"/>
              <w:left w:val="nil"/>
              <w:bottom w:val="nil"/>
              <w:right w:val="nil"/>
            </w:tcBorders>
            <w:shd w:val="clear" w:color="auto" w:fill="auto"/>
            <w:noWrap/>
            <w:vAlign w:val="bottom"/>
            <w:hideMark/>
          </w:tcPr>
          <w:p w14:paraId="105ED6CF" w14:textId="4DC48080" w:rsidR="00A61FF5" w:rsidRPr="00040036" w:rsidRDefault="00781DCB" w:rsidP="00D07480">
            <w:pPr>
              <w:pStyle w:val="ESTablebody3ptafter"/>
              <w:rPr>
                <w:sz w:val="13"/>
                <w:lang w:val="en-AU" w:eastAsia="en-AU"/>
              </w:rPr>
            </w:pPr>
            <w:r w:rsidRPr="00040036">
              <w:rPr>
                <w:sz w:val="13"/>
                <w:lang w:val="en-AU" w:eastAsia="en-AU"/>
              </w:rPr>
              <w:t>–</w:t>
            </w:r>
          </w:p>
        </w:tc>
        <w:tc>
          <w:tcPr>
            <w:tcW w:w="206" w:type="pct"/>
            <w:tcBorders>
              <w:top w:val="nil"/>
              <w:left w:val="nil"/>
              <w:bottom w:val="nil"/>
              <w:right w:val="single" w:sz="8" w:space="0" w:color="auto"/>
            </w:tcBorders>
            <w:shd w:val="clear" w:color="auto" w:fill="auto"/>
            <w:noWrap/>
            <w:vAlign w:val="bottom"/>
            <w:hideMark/>
          </w:tcPr>
          <w:p w14:paraId="2163793A" w14:textId="2F6CC650" w:rsidR="00A61FF5" w:rsidRPr="00040036" w:rsidRDefault="00781DCB" w:rsidP="00D07480">
            <w:pPr>
              <w:pStyle w:val="ESTablebody3ptafter"/>
              <w:rPr>
                <w:sz w:val="13"/>
                <w:lang w:val="en-AU" w:eastAsia="en-AU"/>
              </w:rPr>
            </w:pPr>
            <w:r w:rsidRPr="00040036">
              <w:rPr>
                <w:sz w:val="13"/>
                <w:lang w:val="en-AU" w:eastAsia="en-AU"/>
              </w:rPr>
              <w:t>–</w:t>
            </w:r>
          </w:p>
        </w:tc>
        <w:tc>
          <w:tcPr>
            <w:tcW w:w="350" w:type="pct"/>
            <w:tcBorders>
              <w:top w:val="nil"/>
              <w:left w:val="nil"/>
              <w:bottom w:val="nil"/>
              <w:right w:val="nil"/>
            </w:tcBorders>
            <w:shd w:val="clear" w:color="auto" w:fill="auto"/>
            <w:noWrap/>
            <w:vAlign w:val="bottom"/>
            <w:hideMark/>
          </w:tcPr>
          <w:p w14:paraId="002E5820" w14:textId="77777777" w:rsidR="00A61FF5" w:rsidRPr="00040036" w:rsidRDefault="00A61FF5" w:rsidP="00D07480">
            <w:pPr>
              <w:pStyle w:val="ESTablebody3ptafter"/>
              <w:rPr>
                <w:sz w:val="13"/>
                <w:lang w:val="en-AU" w:eastAsia="en-AU"/>
              </w:rPr>
            </w:pPr>
            <w:r w:rsidRPr="00040036">
              <w:rPr>
                <w:sz w:val="13"/>
                <w:lang w:val="en-AU" w:eastAsia="en-AU"/>
              </w:rPr>
              <w:t>2</w:t>
            </w:r>
          </w:p>
        </w:tc>
        <w:tc>
          <w:tcPr>
            <w:tcW w:w="249" w:type="pct"/>
            <w:tcBorders>
              <w:top w:val="nil"/>
              <w:left w:val="nil"/>
              <w:bottom w:val="nil"/>
              <w:right w:val="single" w:sz="4" w:space="0" w:color="auto"/>
            </w:tcBorders>
            <w:shd w:val="clear" w:color="auto" w:fill="auto"/>
            <w:noWrap/>
            <w:vAlign w:val="bottom"/>
            <w:hideMark/>
          </w:tcPr>
          <w:p w14:paraId="0CF783FE" w14:textId="77777777" w:rsidR="00A61FF5" w:rsidRPr="00040036" w:rsidRDefault="00A61FF5" w:rsidP="00D07480">
            <w:pPr>
              <w:pStyle w:val="ESTablebody3ptafter"/>
              <w:rPr>
                <w:sz w:val="13"/>
                <w:lang w:val="en-AU" w:eastAsia="en-AU"/>
              </w:rPr>
            </w:pPr>
            <w:r w:rsidRPr="00040036">
              <w:rPr>
                <w:sz w:val="13"/>
                <w:lang w:val="en-AU" w:eastAsia="en-AU"/>
              </w:rPr>
              <w:t>0.9</w:t>
            </w:r>
          </w:p>
        </w:tc>
        <w:tc>
          <w:tcPr>
            <w:tcW w:w="379" w:type="pct"/>
            <w:tcBorders>
              <w:top w:val="nil"/>
              <w:left w:val="nil"/>
              <w:bottom w:val="nil"/>
              <w:right w:val="nil"/>
            </w:tcBorders>
            <w:shd w:val="clear" w:color="auto" w:fill="auto"/>
            <w:noWrap/>
            <w:vAlign w:val="bottom"/>
            <w:hideMark/>
          </w:tcPr>
          <w:p w14:paraId="0E8F5BE1" w14:textId="67FDE336" w:rsidR="00A61FF5" w:rsidRPr="00040036" w:rsidRDefault="00781DCB" w:rsidP="00D07480">
            <w:pPr>
              <w:pStyle w:val="ESTablebody3ptafter"/>
              <w:rPr>
                <w:sz w:val="13"/>
                <w:lang w:val="en-AU" w:eastAsia="en-AU"/>
              </w:rPr>
            </w:pPr>
            <w:r w:rsidRPr="00040036">
              <w:rPr>
                <w:sz w:val="13"/>
                <w:lang w:val="en-AU" w:eastAsia="en-AU"/>
              </w:rPr>
              <w:t>–</w:t>
            </w:r>
          </w:p>
        </w:tc>
        <w:tc>
          <w:tcPr>
            <w:tcW w:w="379" w:type="pct"/>
            <w:tcBorders>
              <w:top w:val="nil"/>
              <w:left w:val="nil"/>
              <w:bottom w:val="nil"/>
              <w:right w:val="nil"/>
            </w:tcBorders>
            <w:shd w:val="clear" w:color="auto" w:fill="auto"/>
            <w:noWrap/>
            <w:vAlign w:val="bottom"/>
            <w:hideMark/>
          </w:tcPr>
          <w:p w14:paraId="2CC475DC" w14:textId="77777777" w:rsidR="00A61FF5" w:rsidRPr="00040036" w:rsidRDefault="00A61FF5" w:rsidP="00D07480">
            <w:pPr>
              <w:pStyle w:val="ESTablebody3ptafter"/>
              <w:rPr>
                <w:sz w:val="13"/>
                <w:lang w:val="en-AU" w:eastAsia="en-AU"/>
              </w:rPr>
            </w:pPr>
            <w:r w:rsidRPr="00040036">
              <w:rPr>
                <w:sz w:val="13"/>
                <w:lang w:val="en-AU" w:eastAsia="en-AU"/>
              </w:rPr>
              <w:t>2</w:t>
            </w:r>
          </w:p>
        </w:tc>
        <w:tc>
          <w:tcPr>
            <w:tcW w:w="249" w:type="pct"/>
            <w:tcBorders>
              <w:top w:val="nil"/>
              <w:left w:val="nil"/>
              <w:bottom w:val="nil"/>
              <w:right w:val="single" w:sz="4" w:space="0" w:color="auto"/>
            </w:tcBorders>
            <w:shd w:val="clear" w:color="auto" w:fill="auto"/>
            <w:noWrap/>
            <w:vAlign w:val="bottom"/>
            <w:hideMark/>
          </w:tcPr>
          <w:p w14:paraId="07EA4D2F" w14:textId="77777777" w:rsidR="00A61FF5" w:rsidRPr="00040036" w:rsidRDefault="00A61FF5" w:rsidP="00D07480">
            <w:pPr>
              <w:pStyle w:val="ESTablebody3ptafter"/>
              <w:rPr>
                <w:sz w:val="13"/>
                <w:lang w:val="en-AU" w:eastAsia="en-AU"/>
              </w:rPr>
            </w:pPr>
            <w:r w:rsidRPr="00040036">
              <w:rPr>
                <w:sz w:val="13"/>
                <w:lang w:val="en-AU" w:eastAsia="en-AU"/>
              </w:rPr>
              <w:t>0.9</w:t>
            </w:r>
          </w:p>
        </w:tc>
        <w:tc>
          <w:tcPr>
            <w:tcW w:w="350" w:type="pct"/>
            <w:tcBorders>
              <w:top w:val="nil"/>
              <w:left w:val="nil"/>
              <w:bottom w:val="nil"/>
              <w:right w:val="nil"/>
            </w:tcBorders>
            <w:shd w:val="clear" w:color="auto" w:fill="auto"/>
            <w:noWrap/>
            <w:vAlign w:val="bottom"/>
            <w:hideMark/>
          </w:tcPr>
          <w:p w14:paraId="429FAE26" w14:textId="7ABEFCBB" w:rsidR="00A61FF5" w:rsidRPr="00040036" w:rsidRDefault="00781DCB" w:rsidP="00D07480">
            <w:pPr>
              <w:pStyle w:val="ESTablebody3ptafter"/>
              <w:rPr>
                <w:sz w:val="13"/>
                <w:lang w:val="en-AU" w:eastAsia="en-AU"/>
              </w:rPr>
            </w:pPr>
            <w:r w:rsidRPr="00040036">
              <w:rPr>
                <w:sz w:val="13"/>
                <w:lang w:val="en-AU" w:eastAsia="en-AU"/>
              </w:rPr>
              <w:t>–</w:t>
            </w:r>
          </w:p>
        </w:tc>
        <w:tc>
          <w:tcPr>
            <w:tcW w:w="201" w:type="pct"/>
            <w:tcBorders>
              <w:top w:val="nil"/>
              <w:left w:val="nil"/>
              <w:bottom w:val="nil"/>
              <w:right w:val="nil"/>
            </w:tcBorders>
            <w:shd w:val="clear" w:color="auto" w:fill="auto"/>
            <w:noWrap/>
            <w:vAlign w:val="bottom"/>
            <w:hideMark/>
          </w:tcPr>
          <w:p w14:paraId="02E8AE21" w14:textId="4D329156" w:rsidR="00A61FF5" w:rsidRPr="00040036" w:rsidRDefault="00781DCB" w:rsidP="00D07480">
            <w:pPr>
              <w:pStyle w:val="ESTablebody3ptafter"/>
              <w:rPr>
                <w:sz w:val="13"/>
                <w:lang w:val="en-AU" w:eastAsia="en-AU"/>
              </w:rPr>
            </w:pPr>
            <w:r w:rsidRPr="00040036">
              <w:rPr>
                <w:sz w:val="13"/>
                <w:lang w:val="en-AU" w:eastAsia="en-AU"/>
              </w:rPr>
              <w:t>–</w:t>
            </w:r>
          </w:p>
        </w:tc>
      </w:tr>
      <w:tr w:rsidR="00A61FF5" w:rsidRPr="00932A90" w14:paraId="6EF79252" w14:textId="77777777" w:rsidTr="00D07480">
        <w:trPr>
          <w:trHeight w:hRule="exact" w:val="429"/>
        </w:trPr>
        <w:tc>
          <w:tcPr>
            <w:tcW w:w="154" w:type="pct"/>
            <w:vMerge/>
            <w:tcBorders>
              <w:left w:val="nil"/>
              <w:right w:val="nil"/>
            </w:tcBorders>
            <w:shd w:val="clear" w:color="auto" w:fill="auto"/>
            <w:vAlign w:val="center"/>
            <w:hideMark/>
          </w:tcPr>
          <w:p w14:paraId="720117D8"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2EFC9AF4" w14:textId="77777777" w:rsidR="00A61FF5" w:rsidRPr="00040036" w:rsidRDefault="00A61FF5" w:rsidP="00D07480">
            <w:pPr>
              <w:pStyle w:val="ESTablebody3ptafter"/>
              <w:rPr>
                <w:sz w:val="13"/>
                <w:lang w:val="en-AU" w:eastAsia="en-AU"/>
              </w:rPr>
            </w:pPr>
            <w:r w:rsidRPr="00040036">
              <w:rPr>
                <w:sz w:val="13"/>
                <w:lang w:val="en-AU" w:eastAsia="en-AU"/>
              </w:rPr>
              <w:t>Other</w:t>
            </w:r>
          </w:p>
        </w:tc>
        <w:tc>
          <w:tcPr>
            <w:tcW w:w="418" w:type="pct"/>
            <w:tcBorders>
              <w:top w:val="nil"/>
              <w:left w:val="nil"/>
              <w:bottom w:val="nil"/>
              <w:right w:val="nil"/>
            </w:tcBorders>
            <w:shd w:val="clear" w:color="auto" w:fill="auto"/>
            <w:noWrap/>
            <w:vAlign w:val="bottom"/>
            <w:hideMark/>
          </w:tcPr>
          <w:p w14:paraId="2BD14242" w14:textId="77777777" w:rsidR="00A61FF5" w:rsidRPr="00040036" w:rsidRDefault="00A61FF5" w:rsidP="00D07480">
            <w:pPr>
              <w:pStyle w:val="ESTablebody3ptafter"/>
              <w:rPr>
                <w:sz w:val="13"/>
                <w:lang w:val="en-AU" w:eastAsia="en-AU"/>
              </w:rPr>
            </w:pPr>
            <w:r w:rsidRPr="00040036">
              <w:rPr>
                <w:sz w:val="13"/>
                <w:lang w:val="en-AU" w:eastAsia="en-AU"/>
              </w:rPr>
              <w:t>841</w:t>
            </w:r>
          </w:p>
        </w:tc>
        <w:tc>
          <w:tcPr>
            <w:tcW w:w="250" w:type="pct"/>
            <w:tcBorders>
              <w:top w:val="nil"/>
              <w:left w:val="nil"/>
              <w:bottom w:val="nil"/>
              <w:right w:val="single" w:sz="4" w:space="0" w:color="auto"/>
            </w:tcBorders>
            <w:shd w:val="clear" w:color="auto" w:fill="auto"/>
            <w:noWrap/>
            <w:vAlign w:val="bottom"/>
            <w:hideMark/>
          </w:tcPr>
          <w:p w14:paraId="15E7999F" w14:textId="77777777" w:rsidR="00A61FF5" w:rsidRPr="00040036" w:rsidRDefault="00A61FF5" w:rsidP="00D07480">
            <w:pPr>
              <w:pStyle w:val="ESTablebody3ptafter"/>
              <w:rPr>
                <w:sz w:val="13"/>
                <w:lang w:val="en-AU" w:eastAsia="en-AU"/>
              </w:rPr>
            </w:pPr>
            <w:r w:rsidRPr="00040036">
              <w:rPr>
                <w:sz w:val="13"/>
                <w:lang w:val="en-AU" w:eastAsia="en-AU"/>
              </w:rPr>
              <w:t>642.8</w:t>
            </w:r>
          </w:p>
        </w:tc>
        <w:tc>
          <w:tcPr>
            <w:tcW w:w="379" w:type="pct"/>
            <w:tcBorders>
              <w:top w:val="nil"/>
              <w:left w:val="nil"/>
              <w:bottom w:val="nil"/>
              <w:right w:val="nil"/>
            </w:tcBorders>
            <w:shd w:val="clear" w:color="auto" w:fill="auto"/>
            <w:noWrap/>
            <w:vAlign w:val="bottom"/>
            <w:hideMark/>
          </w:tcPr>
          <w:p w14:paraId="70FD32B7" w14:textId="77777777" w:rsidR="00A61FF5" w:rsidRPr="00040036" w:rsidRDefault="00A61FF5" w:rsidP="00D07480">
            <w:pPr>
              <w:pStyle w:val="ESTablebody3ptafter"/>
              <w:rPr>
                <w:sz w:val="13"/>
                <w:lang w:val="en-AU" w:eastAsia="en-AU"/>
              </w:rPr>
            </w:pPr>
            <w:r w:rsidRPr="00040036">
              <w:rPr>
                <w:sz w:val="13"/>
                <w:lang w:val="en-AU" w:eastAsia="en-AU"/>
              </w:rPr>
              <w:t>259</w:t>
            </w:r>
          </w:p>
        </w:tc>
        <w:tc>
          <w:tcPr>
            <w:tcW w:w="379" w:type="pct"/>
            <w:tcBorders>
              <w:top w:val="nil"/>
              <w:left w:val="nil"/>
              <w:bottom w:val="nil"/>
              <w:right w:val="nil"/>
            </w:tcBorders>
            <w:shd w:val="clear" w:color="auto" w:fill="auto"/>
            <w:noWrap/>
            <w:vAlign w:val="bottom"/>
            <w:hideMark/>
          </w:tcPr>
          <w:p w14:paraId="3C8F7B09" w14:textId="77777777" w:rsidR="00A61FF5" w:rsidRPr="00040036" w:rsidRDefault="00A61FF5" w:rsidP="00D07480">
            <w:pPr>
              <w:pStyle w:val="ESTablebody3ptafter"/>
              <w:rPr>
                <w:sz w:val="13"/>
                <w:lang w:val="en-AU" w:eastAsia="en-AU"/>
              </w:rPr>
            </w:pPr>
            <w:r w:rsidRPr="00040036">
              <w:rPr>
                <w:sz w:val="13"/>
                <w:lang w:val="en-AU" w:eastAsia="en-AU"/>
              </w:rPr>
              <w:t>436</w:t>
            </w:r>
          </w:p>
        </w:tc>
        <w:tc>
          <w:tcPr>
            <w:tcW w:w="249" w:type="pct"/>
            <w:tcBorders>
              <w:top w:val="nil"/>
              <w:left w:val="nil"/>
              <w:bottom w:val="nil"/>
              <w:right w:val="single" w:sz="4" w:space="0" w:color="auto"/>
            </w:tcBorders>
            <w:shd w:val="clear" w:color="auto" w:fill="auto"/>
            <w:noWrap/>
            <w:vAlign w:val="bottom"/>
            <w:hideMark/>
          </w:tcPr>
          <w:p w14:paraId="676FD91D" w14:textId="77777777" w:rsidR="00A61FF5" w:rsidRPr="00040036" w:rsidRDefault="00A61FF5" w:rsidP="00D07480">
            <w:pPr>
              <w:pStyle w:val="ESTablebody3ptafter"/>
              <w:rPr>
                <w:sz w:val="13"/>
                <w:lang w:val="en-AU" w:eastAsia="en-AU"/>
              </w:rPr>
            </w:pPr>
            <w:r w:rsidRPr="00040036">
              <w:rPr>
                <w:sz w:val="13"/>
                <w:lang w:val="en-AU" w:eastAsia="en-AU"/>
              </w:rPr>
              <w:t>523.0</w:t>
            </w:r>
          </w:p>
        </w:tc>
        <w:tc>
          <w:tcPr>
            <w:tcW w:w="350" w:type="pct"/>
            <w:tcBorders>
              <w:top w:val="nil"/>
              <w:left w:val="nil"/>
              <w:bottom w:val="nil"/>
              <w:right w:val="nil"/>
            </w:tcBorders>
            <w:shd w:val="clear" w:color="auto" w:fill="auto"/>
            <w:noWrap/>
            <w:vAlign w:val="bottom"/>
            <w:hideMark/>
          </w:tcPr>
          <w:p w14:paraId="48E92D5D" w14:textId="77777777" w:rsidR="00A61FF5" w:rsidRPr="00040036" w:rsidRDefault="00A61FF5" w:rsidP="00D07480">
            <w:pPr>
              <w:pStyle w:val="ESTablebody3ptafter"/>
              <w:rPr>
                <w:sz w:val="13"/>
                <w:lang w:val="en-AU" w:eastAsia="en-AU"/>
              </w:rPr>
            </w:pPr>
            <w:r w:rsidRPr="00040036">
              <w:rPr>
                <w:sz w:val="13"/>
                <w:lang w:val="en-AU" w:eastAsia="en-AU"/>
              </w:rPr>
              <w:t>146</w:t>
            </w:r>
          </w:p>
        </w:tc>
        <w:tc>
          <w:tcPr>
            <w:tcW w:w="206" w:type="pct"/>
            <w:tcBorders>
              <w:top w:val="nil"/>
              <w:left w:val="nil"/>
              <w:bottom w:val="nil"/>
              <w:right w:val="single" w:sz="8" w:space="0" w:color="auto"/>
            </w:tcBorders>
            <w:shd w:val="clear" w:color="auto" w:fill="auto"/>
            <w:noWrap/>
            <w:vAlign w:val="bottom"/>
            <w:hideMark/>
          </w:tcPr>
          <w:p w14:paraId="347E1DFB" w14:textId="77777777" w:rsidR="00A61FF5" w:rsidRPr="00040036" w:rsidRDefault="00A61FF5" w:rsidP="00D07480">
            <w:pPr>
              <w:pStyle w:val="ESTablebody3ptafter"/>
              <w:rPr>
                <w:sz w:val="13"/>
                <w:lang w:val="en-AU" w:eastAsia="en-AU"/>
              </w:rPr>
            </w:pPr>
            <w:r w:rsidRPr="00040036">
              <w:rPr>
                <w:sz w:val="13"/>
                <w:lang w:val="en-AU" w:eastAsia="en-AU"/>
              </w:rPr>
              <w:t>119.7</w:t>
            </w:r>
          </w:p>
        </w:tc>
        <w:tc>
          <w:tcPr>
            <w:tcW w:w="350" w:type="pct"/>
            <w:tcBorders>
              <w:top w:val="nil"/>
              <w:left w:val="nil"/>
              <w:bottom w:val="nil"/>
              <w:right w:val="nil"/>
            </w:tcBorders>
            <w:shd w:val="clear" w:color="auto" w:fill="auto"/>
            <w:noWrap/>
            <w:vAlign w:val="bottom"/>
            <w:hideMark/>
          </w:tcPr>
          <w:p w14:paraId="6550EDD0" w14:textId="77777777" w:rsidR="00A61FF5" w:rsidRPr="00040036" w:rsidRDefault="00A61FF5" w:rsidP="00D07480">
            <w:pPr>
              <w:pStyle w:val="ESTablebody3ptafter"/>
              <w:rPr>
                <w:sz w:val="13"/>
                <w:lang w:val="en-AU" w:eastAsia="en-AU"/>
              </w:rPr>
            </w:pPr>
            <w:r w:rsidRPr="00040036">
              <w:rPr>
                <w:sz w:val="13"/>
                <w:lang w:val="en-AU" w:eastAsia="en-AU"/>
              </w:rPr>
              <w:t>717</w:t>
            </w:r>
          </w:p>
        </w:tc>
        <w:tc>
          <w:tcPr>
            <w:tcW w:w="249" w:type="pct"/>
            <w:tcBorders>
              <w:top w:val="nil"/>
              <w:left w:val="nil"/>
              <w:bottom w:val="nil"/>
              <w:right w:val="single" w:sz="4" w:space="0" w:color="auto"/>
            </w:tcBorders>
            <w:shd w:val="clear" w:color="auto" w:fill="auto"/>
            <w:noWrap/>
            <w:vAlign w:val="bottom"/>
            <w:hideMark/>
          </w:tcPr>
          <w:p w14:paraId="6CC03746" w14:textId="77777777" w:rsidR="00A61FF5" w:rsidRPr="00040036" w:rsidRDefault="00A61FF5" w:rsidP="00D07480">
            <w:pPr>
              <w:pStyle w:val="ESTablebody3ptafter"/>
              <w:rPr>
                <w:sz w:val="13"/>
                <w:lang w:val="en-AU" w:eastAsia="en-AU"/>
              </w:rPr>
            </w:pPr>
            <w:r w:rsidRPr="00040036">
              <w:rPr>
                <w:sz w:val="13"/>
                <w:lang w:val="en-AU" w:eastAsia="en-AU"/>
              </w:rPr>
              <w:t>535.7</w:t>
            </w:r>
          </w:p>
        </w:tc>
        <w:tc>
          <w:tcPr>
            <w:tcW w:w="379" w:type="pct"/>
            <w:tcBorders>
              <w:top w:val="nil"/>
              <w:left w:val="nil"/>
              <w:bottom w:val="nil"/>
              <w:right w:val="nil"/>
            </w:tcBorders>
            <w:shd w:val="clear" w:color="auto" w:fill="auto"/>
            <w:noWrap/>
            <w:vAlign w:val="bottom"/>
            <w:hideMark/>
          </w:tcPr>
          <w:p w14:paraId="25157C28" w14:textId="77777777" w:rsidR="00A61FF5" w:rsidRPr="00040036" w:rsidRDefault="00A61FF5" w:rsidP="00D07480">
            <w:pPr>
              <w:pStyle w:val="ESTablebody3ptafter"/>
              <w:rPr>
                <w:sz w:val="13"/>
                <w:lang w:val="en-AU" w:eastAsia="en-AU"/>
              </w:rPr>
            </w:pPr>
            <w:r w:rsidRPr="00040036">
              <w:rPr>
                <w:sz w:val="13"/>
                <w:lang w:val="en-AU" w:eastAsia="en-AU"/>
              </w:rPr>
              <w:t>234</w:t>
            </w:r>
          </w:p>
        </w:tc>
        <w:tc>
          <w:tcPr>
            <w:tcW w:w="379" w:type="pct"/>
            <w:tcBorders>
              <w:top w:val="nil"/>
              <w:left w:val="nil"/>
              <w:bottom w:val="nil"/>
              <w:right w:val="nil"/>
            </w:tcBorders>
            <w:shd w:val="clear" w:color="auto" w:fill="auto"/>
            <w:noWrap/>
            <w:vAlign w:val="bottom"/>
            <w:hideMark/>
          </w:tcPr>
          <w:p w14:paraId="4448CA98" w14:textId="77777777" w:rsidR="00A61FF5" w:rsidRPr="00040036" w:rsidRDefault="00A61FF5" w:rsidP="00D07480">
            <w:pPr>
              <w:pStyle w:val="ESTablebody3ptafter"/>
              <w:rPr>
                <w:sz w:val="13"/>
                <w:lang w:val="en-AU" w:eastAsia="en-AU"/>
              </w:rPr>
            </w:pPr>
            <w:r w:rsidRPr="00040036">
              <w:rPr>
                <w:sz w:val="13"/>
                <w:lang w:val="en-AU" w:eastAsia="en-AU"/>
              </w:rPr>
              <w:t>435</w:t>
            </w:r>
          </w:p>
        </w:tc>
        <w:tc>
          <w:tcPr>
            <w:tcW w:w="249" w:type="pct"/>
            <w:tcBorders>
              <w:top w:val="nil"/>
              <w:left w:val="nil"/>
              <w:bottom w:val="nil"/>
              <w:right w:val="single" w:sz="4" w:space="0" w:color="auto"/>
            </w:tcBorders>
            <w:shd w:val="clear" w:color="auto" w:fill="auto"/>
            <w:noWrap/>
            <w:vAlign w:val="bottom"/>
            <w:hideMark/>
          </w:tcPr>
          <w:p w14:paraId="37910EAC" w14:textId="77777777" w:rsidR="00A61FF5" w:rsidRPr="00040036" w:rsidRDefault="00A61FF5" w:rsidP="00D07480">
            <w:pPr>
              <w:pStyle w:val="ESTablebody3ptafter"/>
              <w:rPr>
                <w:sz w:val="13"/>
                <w:lang w:val="en-AU" w:eastAsia="en-AU"/>
              </w:rPr>
            </w:pPr>
            <w:r w:rsidRPr="00040036">
              <w:rPr>
                <w:sz w:val="13"/>
                <w:lang w:val="en-AU" w:eastAsia="en-AU"/>
              </w:rPr>
              <w:t>498.0</w:t>
            </w:r>
          </w:p>
        </w:tc>
        <w:tc>
          <w:tcPr>
            <w:tcW w:w="350" w:type="pct"/>
            <w:tcBorders>
              <w:top w:val="nil"/>
              <w:left w:val="nil"/>
              <w:bottom w:val="nil"/>
              <w:right w:val="nil"/>
            </w:tcBorders>
            <w:shd w:val="clear" w:color="auto" w:fill="auto"/>
            <w:noWrap/>
            <w:vAlign w:val="bottom"/>
            <w:hideMark/>
          </w:tcPr>
          <w:p w14:paraId="52ECB413" w14:textId="77777777" w:rsidR="00A61FF5" w:rsidRPr="00040036" w:rsidRDefault="00A61FF5" w:rsidP="00D07480">
            <w:pPr>
              <w:pStyle w:val="ESTablebody3ptafter"/>
              <w:rPr>
                <w:sz w:val="13"/>
                <w:lang w:val="en-AU" w:eastAsia="en-AU"/>
              </w:rPr>
            </w:pPr>
            <w:r w:rsidRPr="00040036">
              <w:rPr>
                <w:sz w:val="13"/>
                <w:lang w:val="en-AU" w:eastAsia="en-AU"/>
              </w:rPr>
              <w:t>48</w:t>
            </w:r>
          </w:p>
        </w:tc>
        <w:tc>
          <w:tcPr>
            <w:tcW w:w="201" w:type="pct"/>
            <w:tcBorders>
              <w:top w:val="nil"/>
              <w:left w:val="nil"/>
              <w:bottom w:val="nil"/>
              <w:right w:val="nil"/>
            </w:tcBorders>
            <w:shd w:val="clear" w:color="auto" w:fill="auto"/>
            <w:noWrap/>
            <w:vAlign w:val="bottom"/>
            <w:hideMark/>
          </w:tcPr>
          <w:p w14:paraId="5DC523B4" w14:textId="77777777" w:rsidR="00A61FF5" w:rsidRPr="00040036" w:rsidRDefault="00A61FF5" w:rsidP="00D07480">
            <w:pPr>
              <w:pStyle w:val="ESTablebody3ptafter"/>
              <w:rPr>
                <w:sz w:val="13"/>
                <w:lang w:val="en-AU" w:eastAsia="en-AU"/>
              </w:rPr>
            </w:pPr>
            <w:r w:rsidRPr="00040036">
              <w:rPr>
                <w:sz w:val="13"/>
                <w:lang w:val="en-AU" w:eastAsia="en-AU"/>
              </w:rPr>
              <w:t>37.7</w:t>
            </w:r>
          </w:p>
        </w:tc>
      </w:tr>
      <w:tr w:rsidR="00A61FF5" w:rsidRPr="00932A90" w14:paraId="1F806E3A" w14:textId="77777777" w:rsidTr="00D07480">
        <w:trPr>
          <w:trHeight w:hRule="exact" w:val="278"/>
        </w:trPr>
        <w:tc>
          <w:tcPr>
            <w:tcW w:w="154" w:type="pct"/>
            <w:vMerge/>
            <w:tcBorders>
              <w:left w:val="nil"/>
              <w:right w:val="nil"/>
            </w:tcBorders>
            <w:shd w:val="clear" w:color="auto" w:fill="auto"/>
            <w:vAlign w:val="center"/>
            <w:hideMark/>
          </w:tcPr>
          <w:p w14:paraId="2AB53D24"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05F7508B" w14:textId="77777777" w:rsidR="00A61FF5" w:rsidRPr="00040036" w:rsidRDefault="00A61FF5" w:rsidP="00D07480">
            <w:pPr>
              <w:pStyle w:val="ESTablebody3ptafter"/>
              <w:rPr>
                <w:sz w:val="13"/>
                <w:lang w:val="en-AU" w:eastAsia="en-AU"/>
              </w:rPr>
            </w:pPr>
            <w:r w:rsidRPr="00040036">
              <w:rPr>
                <w:sz w:val="13"/>
                <w:lang w:val="en-AU" w:eastAsia="en-AU"/>
              </w:rPr>
              <w:t>Allied Health</w:t>
            </w:r>
          </w:p>
        </w:tc>
        <w:tc>
          <w:tcPr>
            <w:tcW w:w="418" w:type="pct"/>
            <w:tcBorders>
              <w:top w:val="nil"/>
              <w:left w:val="nil"/>
              <w:bottom w:val="nil"/>
              <w:right w:val="nil"/>
            </w:tcBorders>
            <w:shd w:val="clear" w:color="auto" w:fill="auto"/>
            <w:noWrap/>
            <w:vAlign w:val="bottom"/>
            <w:hideMark/>
          </w:tcPr>
          <w:p w14:paraId="7BD99C64" w14:textId="77777777" w:rsidR="00A61FF5" w:rsidRPr="00040036" w:rsidRDefault="00A61FF5" w:rsidP="00D07480">
            <w:pPr>
              <w:pStyle w:val="ESTablebody3ptafter"/>
              <w:rPr>
                <w:sz w:val="13"/>
                <w:lang w:val="en-AU" w:eastAsia="en-AU"/>
              </w:rPr>
            </w:pPr>
            <w:r w:rsidRPr="00040036">
              <w:rPr>
                <w:sz w:val="13"/>
                <w:lang w:val="en-AU" w:eastAsia="en-AU"/>
              </w:rPr>
              <w:t>571</w:t>
            </w:r>
          </w:p>
        </w:tc>
        <w:tc>
          <w:tcPr>
            <w:tcW w:w="250" w:type="pct"/>
            <w:tcBorders>
              <w:top w:val="nil"/>
              <w:left w:val="nil"/>
              <w:bottom w:val="nil"/>
              <w:right w:val="single" w:sz="4" w:space="0" w:color="auto"/>
            </w:tcBorders>
            <w:shd w:val="clear" w:color="auto" w:fill="auto"/>
            <w:noWrap/>
            <w:vAlign w:val="bottom"/>
            <w:hideMark/>
          </w:tcPr>
          <w:p w14:paraId="6651957F" w14:textId="77777777" w:rsidR="00A61FF5" w:rsidRPr="00040036" w:rsidRDefault="00A61FF5" w:rsidP="00D07480">
            <w:pPr>
              <w:pStyle w:val="ESTablebody3ptafter"/>
              <w:rPr>
                <w:sz w:val="13"/>
                <w:lang w:val="en-AU" w:eastAsia="en-AU"/>
              </w:rPr>
            </w:pPr>
            <w:r w:rsidRPr="00040036">
              <w:rPr>
                <w:sz w:val="13"/>
                <w:lang w:val="en-AU" w:eastAsia="en-AU"/>
              </w:rPr>
              <w:t>449.6</w:t>
            </w:r>
          </w:p>
        </w:tc>
        <w:tc>
          <w:tcPr>
            <w:tcW w:w="379" w:type="pct"/>
            <w:tcBorders>
              <w:top w:val="nil"/>
              <w:left w:val="nil"/>
              <w:bottom w:val="nil"/>
              <w:right w:val="nil"/>
            </w:tcBorders>
            <w:shd w:val="clear" w:color="auto" w:fill="auto"/>
            <w:noWrap/>
            <w:vAlign w:val="bottom"/>
            <w:hideMark/>
          </w:tcPr>
          <w:p w14:paraId="62E11C00" w14:textId="77777777" w:rsidR="00A61FF5" w:rsidRPr="00040036" w:rsidRDefault="00A61FF5" w:rsidP="00D07480">
            <w:pPr>
              <w:pStyle w:val="ESTablebody3ptafter"/>
              <w:rPr>
                <w:sz w:val="13"/>
                <w:lang w:val="en-AU" w:eastAsia="en-AU"/>
              </w:rPr>
            </w:pPr>
            <w:r w:rsidRPr="00040036">
              <w:rPr>
                <w:sz w:val="13"/>
                <w:lang w:val="en-AU" w:eastAsia="en-AU"/>
              </w:rPr>
              <w:t>183</w:t>
            </w:r>
          </w:p>
        </w:tc>
        <w:tc>
          <w:tcPr>
            <w:tcW w:w="379" w:type="pct"/>
            <w:tcBorders>
              <w:top w:val="nil"/>
              <w:left w:val="nil"/>
              <w:bottom w:val="nil"/>
              <w:right w:val="nil"/>
            </w:tcBorders>
            <w:shd w:val="clear" w:color="auto" w:fill="auto"/>
            <w:noWrap/>
            <w:vAlign w:val="bottom"/>
            <w:hideMark/>
          </w:tcPr>
          <w:p w14:paraId="70FC174B" w14:textId="77777777" w:rsidR="00A61FF5" w:rsidRPr="00040036" w:rsidRDefault="00A61FF5" w:rsidP="00D07480">
            <w:pPr>
              <w:pStyle w:val="ESTablebody3ptafter"/>
              <w:rPr>
                <w:sz w:val="13"/>
                <w:lang w:val="en-AU" w:eastAsia="en-AU"/>
              </w:rPr>
            </w:pPr>
            <w:r w:rsidRPr="00040036">
              <w:rPr>
                <w:sz w:val="13"/>
                <w:lang w:val="en-AU" w:eastAsia="en-AU"/>
              </w:rPr>
              <w:t>267</w:t>
            </w:r>
          </w:p>
        </w:tc>
        <w:tc>
          <w:tcPr>
            <w:tcW w:w="249" w:type="pct"/>
            <w:tcBorders>
              <w:top w:val="nil"/>
              <w:left w:val="nil"/>
              <w:bottom w:val="nil"/>
              <w:right w:val="single" w:sz="4" w:space="0" w:color="auto"/>
            </w:tcBorders>
            <w:shd w:val="clear" w:color="auto" w:fill="auto"/>
            <w:noWrap/>
            <w:vAlign w:val="bottom"/>
            <w:hideMark/>
          </w:tcPr>
          <w:p w14:paraId="12169CA6" w14:textId="77777777" w:rsidR="00A61FF5" w:rsidRPr="00040036" w:rsidRDefault="00A61FF5" w:rsidP="00D07480">
            <w:pPr>
              <w:pStyle w:val="ESTablebody3ptafter"/>
              <w:rPr>
                <w:sz w:val="13"/>
                <w:lang w:val="en-AU" w:eastAsia="en-AU"/>
              </w:rPr>
            </w:pPr>
            <w:r w:rsidRPr="00040036">
              <w:rPr>
                <w:sz w:val="13"/>
                <w:lang w:val="en-AU" w:eastAsia="en-AU"/>
              </w:rPr>
              <w:t>347.8</w:t>
            </w:r>
          </w:p>
        </w:tc>
        <w:tc>
          <w:tcPr>
            <w:tcW w:w="350" w:type="pct"/>
            <w:tcBorders>
              <w:top w:val="nil"/>
              <w:left w:val="nil"/>
              <w:bottom w:val="nil"/>
              <w:right w:val="nil"/>
            </w:tcBorders>
            <w:shd w:val="clear" w:color="auto" w:fill="auto"/>
            <w:noWrap/>
            <w:vAlign w:val="bottom"/>
            <w:hideMark/>
          </w:tcPr>
          <w:p w14:paraId="08843E49" w14:textId="77777777" w:rsidR="00A61FF5" w:rsidRPr="00040036" w:rsidRDefault="00A61FF5" w:rsidP="00D07480">
            <w:pPr>
              <w:pStyle w:val="ESTablebody3ptafter"/>
              <w:rPr>
                <w:sz w:val="13"/>
                <w:lang w:val="en-AU" w:eastAsia="en-AU"/>
              </w:rPr>
            </w:pPr>
            <w:r w:rsidRPr="00040036">
              <w:rPr>
                <w:sz w:val="13"/>
                <w:lang w:val="en-AU" w:eastAsia="en-AU"/>
              </w:rPr>
              <w:t>121</w:t>
            </w:r>
          </w:p>
        </w:tc>
        <w:tc>
          <w:tcPr>
            <w:tcW w:w="206" w:type="pct"/>
            <w:tcBorders>
              <w:top w:val="nil"/>
              <w:left w:val="nil"/>
              <w:bottom w:val="nil"/>
              <w:right w:val="single" w:sz="8" w:space="0" w:color="auto"/>
            </w:tcBorders>
            <w:shd w:val="clear" w:color="auto" w:fill="auto"/>
            <w:noWrap/>
            <w:vAlign w:val="bottom"/>
            <w:hideMark/>
          </w:tcPr>
          <w:p w14:paraId="54562FEA" w14:textId="77777777" w:rsidR="00A61FF5" w:rsidRPr="00040036" w:rsidRDefault="00A61FF5" w:rsidP="00D07480">
            <w:pPr>
              <w:pStyle w:val="ESTablebody3ptafter"/>
              <w:rPr>
                <w:sz w:val="13"/>
                <w:lang w:val="en-AU" w:eastAsia="en-AU"/>
              </w:rPr>
            </w:pPr>
            <w:r w:rsidRPr="00040036">
              <w:rPr>
                <w:sz w:val="13"/>
                <w:lang w:val="en-AU" w:eastAsia="en-AU"/>
              </w:rPr>
              <w:t>101.8</w:t>
            </w:r>
          </w:p>
        </w:tc>
        <w:tc>
          <w:tcPr>
            <w:tcW w:w="350" w:type="pct"/>
            <w:tcBorders>
              <w:top w:val="nil"/>
              <w:left w:val="nil"/>
              <w:bottom w:val="nil"/>
              <w:right w:val="nil"/>
            </w:tcBorders>
            <w:shd w:val="clear" w:color="auto" w:fill="auto"/>
            <w:noWrap/>
            <w:vAlign w:val="bottom"/>
            <w:hideMark/>
          </w:tcPr>
          <w:p w14:paraId="09790318" w14:textId="77777777" w:rsidR="00A61FF5" w:rsidRPr="00040036" w:rsidRDefault="00A61FF5" w:rsidP="00D07480">
            <w:pPr>
              <w:pStyle w:val="ESTablebody3ptafter"/>
              <w:rPr>
                <w:sz w:val="13"/>
                <w:lang w:val="en-AU" w:eastAsia="en-AU"/>
              </w:rPr>
            </w:pPr>
            <w:r w:rsidRPr="00040036">
              <w:rPr>
                <w:sz w:val="13"/>
                <w:lang w:val="en-AU" w:eastAsia="en-AU"/>
              </w:rPr>
              <w:t>446</w:t>
            </w:r>
          </w:p>
        </w:tc>
        <w:tc>
          <w:tcPr>
            <w:tcW w:w="249" w:type="pct"/>
            <w:tcBorders>
              <w:top w:val="nil"/>
              <w:left w:val="nil"/>
              <w:bottom w:val="nil"/>
              <w:right w:val="single" w:sz="4" w:space="0" w:color="auto"/>
            </w:tcBorders>
            <w:shd w:val="clear" w:color="auto" w:fill="auto"/>
            <w:noWrap/>
            <w:vAlign w:val="bottom"/>
            <w:hideMark/>
          </w:tcPr>
          <w:p w14:paraId="02787675" w14:textId="77777777" w:rsidR="00A61FF5" w:rsidRPr="00040036" w:rsidRDefault="00A61FF5" w:rsidP="00D07480">
            <w:pPr>
              <w:pStyle w:val="ESTablebody3ptafter"/>
              <w:rPr>
                <w:sz w:val="13"/>
                <w:lang w:val="en-AU" w:eastAsia="en-AU"/>
              </w:rPr>
            </w:pPr>
            <w:r w:rsidRPr="00040036">
              <w:rPr>
                <w:sz w:val="13"/>
                <w:lang w:val="en-AU" w:eastAsia="en-AU"/>
              </w:rPr>
              <w:t>343.5</w:t>
            </w:r>
          </w:p>
        </w:tc>
        <w:tc>
          <w:tcPr>
            <w:tcW w:w="379" w:type="pct"/>
            <w:tcBorders>
              <w:top w:val="nil"/>
              <w:left w:val="nil"/>
              <w:bottom w:val="nil"/>
              <w:right w:val="nil"/>
            </w:tcBorders>
            <w:shd w:val="clear" w:color="auto" w:fill="auto"/>
            <w:noWrap/>
            <w:vAlign w:val="bottom"/>
            <w:hideMark/>
          </w:tcPr>
          <w:p w14:paraId="62650599" w14:textId="77777777" w:rsidR="00A61FF5" w:rsidRPr="00040036" w:rsidRDefault="00A61FF5" w:rsidP="00D07480">
            <w:pPr>
              <w:pStyle w:val="ESTablebody3ptafter"/>
              <w:rPr>
                <w:sz w:val="13"/>
                <w:lang w:val="en-AU" w:eastAsia="en-AU"/>
              </w:rPr>
            </w:pPr>
            <w:r w:rsidRPr="00040036">
              <w:rPr>
                <w:sz w:val="13"/>
                <w:lang w:val="en-AU" w:eastAsia="en-AU"/>
              </w:rPr>
              <w:t>160</w:t>
            </w:r>
          </w:p>
        </w:tc>
        <w:tc>
          <w:tcPr>
            <w:tcW w:w="379" w:type="pct"/>
            <w:tcBorders>
              <w:top w:val="nil"/>
              <w:left w:val="nil"/>
              <w:bottom w:val="nil"/>
              <w:right w:val="nil"/>
            </w:tcBorders>
            <w:shd w:val="clear" w:color="auto" w:fill="auto"/>
            <w:noWrap/>
            <w:vAlign w:val="bottom"/>
            <w:hideMark/>
          </w:tcPr>
          <w:p w14:paraId="5894A709" w14:textId="77777777" w:rsidR="00A61FF5" w:rsidRPr="00040036" w:rsidRDefault="00A61FF5" w:rsidP="00D07480">
            <w:pPr>
              <w:pStyle w:val="ESTablebody3ptafter"/>
              <w:rPr>
                <w:sz w:val="13"/>
                <w:lang w:val="en-AU" w:eastAsia="en-AU"/>
              </w:rPr>
            </w:pPr>
            <w:r w:rsidRPr="00040036">
              <w:rPr>
                <w:sz w:val="13"/>
                <w:lang w:val="en-AU" w:eastAsia="en-AU"/>
              </w:rPr>
              <w:t>263</w:t>
            </w:r>
          </w:p>
        </w:tc>
        <w:tc>
          <w:tcPr>
            <w:tcW w:w="249" w:type="pct"/>
            <w:tcBorders>
              <w:top w:val="nil"/>
              <w:left w:val="nil"/>
              <w:bottom w:val="nil"/>
              <w:right w:val="single" w:sz="4" w:space="0" w:color="auto"/>
            </w:tcBorders>
            <w:shd w:val="clear" w:color="auto" w:fill="auto"/>
            <w:noWrap/>
            <w:vAlign w:val="bottom"/>
            <w:hideMark/>
          </w:tcPr>
          <w:p w14:paraId="59D8D6B0" w14:textId="77777777" w:rsidR="00A61FF5" w:rsidRPr="00040036" w:rsidRDefault="00A61FF5" w:rsidP="00D07480">
            <w:pPr>
              <w:pStyle w:val="ESTablebody3ptafter"/>
              <w:rPr>
                <w:sz w:val="13"/>
                <w:lang w:val="en-AU" w:eastAsia="en-AU"/>
              </w:rPr>
            </w:pPr>
            <w:r w:rsidRPr="00040036">
              <w:rPr>
                <w:sz w:val="13"/>
                <w:lang w:val="en-AU" w:eastAsia="en-AU"/>
              </w:rPr>
              <w:t>324.3</w:t>
            </w:r>
          </w:p>
        </w:tc>
        <w:tc>
          <w:tcPr>
            <w:tcW w:w="350" w:type="pct"/>
            <w:tcBorders>
              <w:top w:val="nil"/>
              <w:left w:val="nil"/>
              <w:bottom w:val="nil"/>
              <w:right w:val="nil"/>
            </w:tcBorders>
            <w:shd w:val="clear" w:color="auto" w:fill="auto"/>
            <w:noWrap/>
            <w:vAlign w:val="bottom"/>
            <w:hideMark/>
          </w:tcPr>
          <w:p w14:paraId="6EB116A5" w14:textId="77777777" w:rsidR="00A61FF5" w:rsidRPr="00040036" w:rsidRDefault="00A61FF5" w:rsidP="00D07480">
            <w:pPr>
              <w:pStyle w:val="ESTablebody3ptafter"/>
              <w:rPr>
                <w:sz w:val="13"/>
                <w:lang w:val="en-AU" w:eastAsia="en-AU"/>
              </w:rPr>
            </w:pPr>
            <w:r w:rsidRPr="00040036">
              <w:rPr>
                <w:sz w:val="13"/>
                <w:lang w:val="en-AU" w:eastAsia="en-AU"/>
              </w:rPr>
              <w:t>23</w:t>
            </w:r>
          </w:p>
        </w:tc>
        <w:tc>
          <w:tcPr>
            <w:tcW w:w="201" w:type="pct"/>
            <w:tcBorders>
              <w:top w:val="nil"/>
              <w:left w:val="nil"/>
              <w:bottom w:val="nil"/>
              <w:right w:val="nil"/>
            </w:tcBorders>
            <w:shd w:val="clear" w:color="auto" w:fill="auto"/>
            <w:noWrap/>
            <w:vAlign w:val="bottom"/>
            <w:hideMark/>
          </w:tcPr>
          <w:p w14:paraId="1ABEA9AF" w14:textId="77777777" w:rsidR="00A61FF5" w:rsidRPr="00040036" w:rsidRDefault="00A61FF5" w:rsidP="00D07480">
            <w:pPr>
              <w:pStyle w:val="ESTablebody3ptafter"/>
              <w:rPr>
                <w:sz w:val="13"/>
                <w:lang w:val="en-AU" w:eastAsia="en-AU"/>
              </w:rPr>
            </w:pPr>
            <w:r w:rsidRPr="00040036">
              <w:rPr>
                <w:sz w:val="13"/>
                <w:lang w:val="en-AU" w:eastAsia="en-AU"/>
              </w:rPr>
              <w:t>19.2</w:t>
            </w:r>
          </w:p>
        </w:tc>
      </w:tr>
      <w:tr w:rsidR="00A61FF5" w:rsidRPr="00932A90" w14:paraId="564AC6BC" w14:textId="77777777" w:rsidTr="00D07480">
        <w:trPr>
          <w:trHeight w:hRule="exact" w:val="283"/>
        </w:trPr>
        <w:tc>
          <w:tcPr>
            <w:tcW w:w="154" w:type="pct"/>
            <w:vMerge/>
            <w:tcBorders>
              <w:left w:val="nil"/>
              <w:right w:val="nil"/>
            </w:tcBorders>
            <w:shd w:val="clear" w:color="auto" w:fill="auto"/>
            <w:vAlign w:val="center"/>
            <w:hideMark/>
          </w:tcPr>
          <w:p w14:paraId="1D115DC5" w14:textId="77777777" w:rsidR="00A61FF5" w:rsidRPr="00040036" w:rsidRDefault="00A61FF5" w:rsidP="00D07480">
            <w:pPr>
              <w:pStyle w:val="ESTablebody3ptafter"/>
              <w:rPr>
                <w:sz w:val="13"/>
                <w:lang w:val="en-AU" w:eastAsia="en-AU"/>
              </w:rPr>
            </w:pPr>
          </w:p>
        </w:tc>
        <w:tc>
          <w:tcPr>
            <w:tcW w:w="457" w:type="pct"/>
            <w:tcBorders>
              <w:top w:val="nil"/>
              <w:left w:val="nil"/>
              <w:bottom w:val="nil"/>
              <w:right w:val="nil"/>
            </w:tcBorders>
            <w:shd w:val="clear" w:color="auto" w:fill="auto"/>
            <w:noWrap/>
            <w:vAlign w:val="bottom"/>
            <w:hideMark/>
          </w:tcPr>
          <w:p w14:paraId="3E4718F8" w14:textId="77777777" w:rsidR="00A61FF5" w:rsidRPr="00040036" w:rsidRDefault="00A61FF5" w:rsidP="00D07480">
            <w:pPr>
              <w:pStyle w:val="ESTablebody3ptafter"/>
              <w:rPr>
                <w:sz w:val="13"/>
                <w:lang w:val="en-AU" w:eastAsia="en-AU"/>
              </w:rPr>
            </w:pPr>
            <w:r w:rsidRPr="00040036">
              <w:rPr>
                <w:sz w:val="13"/>
                <w:lang w:val="en-AU" w:eastAsia="en-AU"/>
              </w:rPr>
              <w:t>Nurse</w:t>
            </w:r>
          </w:p>
        </w:tc>
        <w:tc>
          <w:tcPr>
            <w:tcW w:w="418" w:type="pct"/>
            <w:tcBorders>
              <w:top w:val="nil"/>
              <w:left w:val="nil"/>
              <w:bottom w:val="single" w:sz="4" w:space="0" w:color="auto"/>
              <w:right w:val="nil"/>
            </w:tcBorders>
            <w:shd w:val="clear" w:color="auto" w:fill="auto"/>
            <w:noWrap/>
            <w:vAlign w:val="bottom"/>
            <w:hideMark/>
          </w:tcPr>
          <w:p w14:paraId="4895CA18" w14:textId="77777777" w:rsidR="00A61FF5" w:rsidRPr="00040036" w:rsidRDefault="00A61FF5" w:rsidP="00D07480">
            <w:pPr>
              <w:pStyle w:val="ESTablebody3ptafter"/>
              <w:rPr>
                <w:sz w:val="13"/>
                <w:lang w:val="en-AU" w:eastAsia="en-AU"/>
              </w:rPr>
            </w:pPr>
            <w:r w:rsidRPr="00040036">
              <w:rPr>
                <w:sz w:val="13"/>
                <w:lang w:val="en-AU" w:eastAsia="en-AU"/>
              </w:rPr>
              <w:t>270</w:t>
            </w:r>
          </w:p>
        </w:tc>
        <w:tc>
          <w:tcPr>
            <w:tcW w:w="250" w:type="pct"/>
            <w:tcBorders>
              <w:top w:val="nil"/>
              <w:left w:val="nil"/>
              <w:bottom w:val="single" w:sz="4" w:space="0" w:color="auto"/>
              <w:right w:val="single" w:sz="4" w:space="0" w:color="auto"/>
            </w:tcBorders>
            <w:shd w:val="clear" w:color="auto" w:fill="auto"/>
            <w:noWrap/>
            <w:vAlign w:val="bottom"/>
            <w:hideMark/>
          </w:tcPr>
          <w:p w14:paraId="3576D90E" w14:textId="77777777" w:rsidR="00A61FF5" w:rsidRPr="00040036" w:rsidRDefault="00A61FF5" w:rsidP="00D07480">
            <w:pPr>
              <w:pStyle w:val="ESTablebody3ptafter"/>
              <w:rPr>
                <w:sz w:val="13"/>
                <w:lang w:val="en-AU" w:eastAsia="en-AU"/>
              </w:rPr>
            </w:pPr>
            <w:r w:rsidRPr="00040036">
              <w:rPr>
                <w:sz w:val="13"/>
                <w:lang w:val="en-AU" w:eastAsia="en-AU"/>
              </w:rPr>
              <w:t>193.1</w:t>
            </w:r>
          </w:p>
        </w:tc>
        <w:tc>
          <w:tcPr>
            <w:tcW w:w="379" w:type="pct"/>
            <w:tcBorders>
              <w:top w:val="nil"/>
              <w:left w:val="nil"/>
              <w:bottom w:val="single" w:sz="4" w:space="0" w:color="auto"/>
              <w:right w:val="nil"/>
            </w:tcBorders>
            <w:shd w:val="clear" w:color="auto" w:fill="auto"/>
            <w:noWrap/>
            <w:vAlign w:val="bottom"/>
            <w:hideMark/>
          </w:tcPr>
          <w:p w14:paraId="2B71BBDD" w14:textId="77777777" w:rsidR="00A61FF5" w:rsidRPr="00040036" w:rsidRDefault="00A61FF5" w:rsidP="00D07480">
            <w:pPr>
              <w:pStyle w:val="ESTablebody3ptafter"/>
              <w:rPr>
                <w:sz w:val="13"/>
                <w:lang w:val="en-AU" w:eastAsia="en-AU"/>
              </w:rPr>
            </w:pPr>
            <w:r w:rsidRPr="00040036">
              <w:rPr>
                <w:sz w:val="13"/>
                <w:lang w:val="en-AU" w:eastAsia="en-AU"/>
              </w:rPr>
              <w:t>76</w:t>
            </w:r>
          </w:p>
        </w:tc>
        <w:tc>
          <w:tcPr>
            <w:tcW w:w="379" w:type="pct"/>
            <w:tcBorders>
              <w:top w:val="nil"/>
              <w:left w:val="nil"/>
              <w:bottom w:val="single" w:sz="4" w:space="0" w:color="auto"/>
              <w:right w:val="nil"/>
            </w:tcBorders>
            <w:shd w:val="clear" w:color="auto" w:fill="auto"/>
            <w:noWrap/>
            <w:vAlign w:val="bottom"/>
            <w:hideMark/>
          </w:tcPr>
          <w:p w14:paraId="4540D597" w14:textId="77777777" w:rsidR="00A61FF5" w:rsidRPr="00040036" w:rsidRDefault="00A61FF5" w:rsidP="00D07480">
            <w:pPr>
              <w:pStyle w:val="ESTablebody3ptafter"/>
              <w:rPr>
                <w:sz w:val="13"/>
                <w:lang w:val="en-AU" w:eastAsia="en-AU"/>
              </w:rPr>
            </w:pPr>
            <w:r w:rsidRPr="00040036">
              <w:rPr>
                <w:sz w:val="13"/>
                <w:lang w:val="en-AU" w:eastAsia="en-AU"/>
              </w:rPr>
              <w:t>169</w:t>
            </w:r>
          </w:p>
        </w:tc>
        <w:tc>
          <w:tcPr>
            <w:tcW w:w="249" w:type="pct"/>
            <w:tcBorders>
              <w:top w:val="nil"/>
              <w:left w:val="nil"/>
              <w:bottom w:val="single" w:sz="4" w:space="0" w:color="auto"/>
              <w:right w:val="single" w:sz="4" w:space="0" w:color="auto"/>
            </w:tcBorders>
            <w:shd w:val="clear" w:color="auto" w:fill="auto"/>
            <w:noWrap/>
            <w:vAlign w:val="bottom"/>
            <w:hideMark/>
          </w:tcPr>
          <w:p w14:paraId="634EE68F" w14:textId="77777777" w:rsidR="00A61FF5" w:rsidRPr="00040036" w:rsidRDefault="00A61FF5" w:rsidP="00D07480">
            <w:pPr>
              <w:pStyle w:val="ESTablebody3ptafter"/>
              <w:rPr>
                <w:sz w:val="13"/>
                <w:lang w:val="en-AU" w:eastAsia="en-AU"/>
              </w:rPr>
            </w:pPr>
            <w:r w:rsidRPr="00040036">
              <w:rPr>
                <w:sz w:val="13"/>
                <w:lang w:val="en-AU" w:eastAsia="en-AU"/>
              </w:rPr>
              <w:t>175.2</w:t>
            </w:r>
          </w:p>
        </w:tc>
        <w:tc>
          <w:tcPr>
            <w:tcW w:w="350" w:type="pct"/>
            <w:tcBorders>
              <w:top w:val="nil"/>
              <w:left w:val="nil"/>
              <w:bottom w:val="single" w:sz="4" w:space="0" w:color="auto"/>
              <w:right w:val="nil"/>
            </w:tcBorders>
            <w:shd w:val="clear" w:color="auto" w:fill="auto"/>
            <w:noWrap/>
            <w:vAlign w:val="bottom"/>
            <w:hideMark/>
          </w:tcPr>
          <w:p w14:paraId="64EFDA95" w14:textId="77777777" w:rsidR="00A61FF5" w:rsidRPr="00040036" w:rsidRDefault="00A61FF5" w:rsidP="00D07480">
            <w:pPr>
              <w:pStyle w:val="ESTablebody3ptafter"/>
              <w:rPr>
                <w:sz w:val="13"/>
                <w:lang w:val="en-AU" w:eastAsia="en-AU"/>
              </w:rPr>
            </w:pPr>
            <w:r w:rsidRPr="00040036">
              <w:rPr>
                <w:sz w:val="13"/>
                <w:lang w:val="en-AU" w:eastAsia="en-AU"/>
              </w:rPr>
              <w:t>25</w:t>
            </w:r>
          </w:p>
        </w:tc>
        <w:tc>
          <w:tcPr>
            <w:tcW w:w="206" w:type="pct"/>
            <w:tcBorders>
              <w:top w:val="nil"/>
              <w:left w:val="nil"/>
              <w:bottom w:val="single" w:sz="4" w:space="0" w:color="auto"/>
              <w:right w:val="single" w:sz="8" w:space="0" w:color="auto"/>
            </w:tcBorders>
            <w:shd w:val="clear" w:color="auto" w:fill="auto"/>
            <w:noWrap/>
            <w:vAlign w:val="bottom"/>
            <w:hideMark/>
          </w:tcPr>
          <w:p w14:paraId="60A16FC7" w14:textId="77777777" w:rsidR="00A61FF5" w:rsidRPr="00040036" w:rsidRDefault="00A61FF5" w:rsidP="00D07480">
            <w:pPr>
              <w:pStyle w:val="ESTablebody3ptafter"/>
              <w:rPr>
                <w:sz w:val="13"/>
                <w:lang w:val="en-AU" w:eastAsia="en-AU"/>
              </w:rPr>
            </w:pPr>
            <w:r w:rsidRPr="00040036">
              <w:rPr>
                <w:sz w:val="13"/>
                <w:lang w:val="en-AU" w:eastAsia="en-AU"/>
              </w:rPr>
              <w:t>17.9</w:t>
            </w:r>
          </w:p>
        </w:tc>
        <w:tc>
          <w:tcPr>
            <w:tcW w:w="350" w:type="pct"/>
            <w:tcBorders>
              <w:top w:val="nil"/>
              <w:left w:val="nil"/>
              <w:bottom w:val="single" w:sz="4" w:space="0" w:color="auto"/>
              <w:right w:val="nil"/>
            </w:tcBorders>
            <w:shd w:val="clear" w:color="auto" w:fill="auto"/>
            <w:noWrap/>
            <w:vAlign w:val="bottom"/>
            <w:hideMark/>
          </w:tcPr>
          <w:p w14:paraId="2C4A037B" w14:textId="77777777" w:rsidR="00A61FF5" w:rsidRPr="00040036" w:rsidRDefault="00A61FF5" w:rsidP="00D07480">
            <w:pPr>
              <w:pStyle w:val="ESTablebody3ptafter"/>
              <w:rPr>
                <w:sz w:val="13"/>
                <w:lang w:val="en-AU" w:eastAsia="en-AU"/>
              </w:rPr>
            </w:pPr>
            <w:r w:rsidRPr="00040036">
              <w:rPr>
                <w:sz w:val="13"/>
                <w:lang w:val="en-AU" w:eastAsia="en-AU"/>
              </w:rPr>
              <w:t>271</w:t>
            </w:r>
          </w:p>
        </w:tc>
        <w:tc>
          <w:tcPr>
            <w:tcW w:w="249" w:type="pct"/>
            <w:tcBorders>
              <w:top w:val="nil"/>
              <w:left w:val="nil"/>
              <w:bottom w:val="single" w:sz="4" w:space="0" w:color="auto"/>
              <w:right w:val="single" w:sz="4" w:space="0" w:color="auto"/>
            </w:tcBorders>
            <w:shd w:val="clear" w:color="auto" w:fill="auto"/>
            <w:noWrap/>
            <w:vAlign w:val="bottom"/>
            <w:hideMark/>
          </w:tcPr>
          <w:p w14:paraId="2E744586" w14:textId="77777777" w:rsidR="00A61FF5" w:rsidRPr="00040036" w:rsidRDefault="00A61FF5" w:rsidP="00D07480">
            <w:pPr>
              <w:pStyle w:val="ESTablebody3ptafter"/>
              <w:rPr>
                <w:sz w:val="13"/>
                <w:lang w:val="en-AU" w:eastAsia="en-AU"/>
              </w:rPr>
            </w:pPr>
            <w:r w:rsidRPr="00040036">
              <w:rPr>
                <w:sz w:val="13"/>
                <w:lang w:val="en-AU" w:eastAsia="en-AU"/>
              </w:rPr>
              <w:t>192.2</w:t>
            </w:r>
          </w:p>
        </w:tc>
        <w:tc>
          <w:tcPr>
            <w:tcW w:w="379" w:type="pct"/>
            <w:tcBorders>
              <w:top w:val="nil"/>
              <w:left w:val="nil"/>
              <w:bottom w:val="single" w:sz="4" w:space="0" w:color="auto"/>
              <w:right w:val="nil"/>
            </w:tcBorders>
            <w:shd w:val="clear" w:color="auto" w:fill="auto"/>
            <w:noWrap/>
            <w:vAlign w:val="bottom"/>
            <w:hideMark/>
          </w:tcPr>
          <w:p w14:paraId="3D9BF63A" w14:textId="77777777" w:rsidR="00A61FF5" w:rsidRPr="00040036" w:rsidRDefault="00A61FF5" w:rsidP="00D07480">
            <w:pPr>
              <w:pStyle w:val="ESTablebody3ptafter"/>
              <w:rPr>
                <w:sz w:val="13"/>
                <w:lang w:val="en-AU" w:eastAsia="en-AU"/>
              </w:rPr>
            </w:pPr>
            <w:r w:rsidRPr="00040036">
              <w:rPr>
                <w:sz w:val="13"/>
                <w:lang w:val="en-AU" w:eastAsia="en-AU"/>
              </w:rPr>
              <w:t>74</w:t>
            </w:r>
          </w:p>
        </w:tc>
        <w:tc>
          <w:tcPr>
            <w:tcW w:w="379" w:type="pct"/>
            <w:tcBorders>
              <w:top w:val="nil"/>
              <w:left w:val="nil"/>
              <w:bottom w:val="single" w:sz="4" w:space="0" w:color="auto"/>
              <w:right w:val="nil"/>
            </w:tcBorders>
            <w:shd w:val="clear" w:color="auto" w:fill="auto"/>
            <w:noWrap/>
            <w:vAlign w:val="bottom"/>
            <w:hideMark/>
          </w:tcPr>
          <w:p w14:paraId="2341F307" w14:textId="77777777" w:rsidR="00A61FF5" w:rsidRPr="00040036" w:rsidRDefault="00A61FF5" w:rsidP="00D07480">
            <w:pPr>
              <w:pStyle w:val="ESTablebody3ptafter"/>
              <w:rPr>
                <w:sz w:val="13"/>
                <w:lang w:val="en-AU" w:eastAsia="en-AU"/>
              </w:rPr>
            </w:pPr>
            <w:r w:rsidRPr="00040036">
              <w:rPr>
                <w:sz w:val="13"/>
                <w:lang w:val="en-AU" w:eastAsia="en-AU"/>
              </w:rPr>
              <w:t>172</w:t>
            </w:r>
          </w:p>
        </w:tc>
        <w:tc>
          <w:tcPr>
            <w:tcW w:w="249" w:type="pct"/>
            <w:tcBorders>
              <w:top w:val="nil"/>
              <w:left w:val="nil"/>
              <w:bottom w:val="single" w:sz="4" w:space="0" w:color="auto"/>
              <w:right w:val="single" w:sz="4" w:space="0" w:color="auto"/>
            </w:tcBorders>
            <w:shd w:val="clear" w:color="auto" w:fill="auto"/>
            <w:noWrap/>
            <w:vAlign w:val="bottom"/>
            <w:hideMark/>
          </w:tcPr>
          <w:p w14:paraId="341512DC" w14:textId="77777777" w:rsidR="00A61FF5" w:rsidRPr="00040036" w:rsidRDefault="00A61FF5" w:rsidP="00D07480">
            <w:pPr>
              <w:pStyle w:val="ESTablebody3ptafter"/>
              <w:rPr>
                <w:sz w:val="13"/>
                <w:lang w:val="en-AU" w:eastAsia="en-AU"/>
              </w:rPr>
            </w:pPr>
            <w:r w:rsidRPr="00040036">
              <w:rPr>
                <w:sz w:val="13"/>
                <w:lang w:val="en-AU" w:eastAsia="en-AU"/>
              </w:rPr>
              <w:t>173.7</w:t>
            </w:r>
          </w:p>
        </w:tc>
        <w:tc>
          <w:tcPr>
            <w:tcW w:w="350" w:type="pct"/>
            <w:tcBorders>
              <w:top w:val="nil"/>
              <w:left w:val="nil"/>
              <w:bottom w:val="single" w:sz="4" w:space="0" w:color="auto"/>
              <w:right w:val="nil"/>
            </w:tcBorders>
            <w:shd w:val="clear" w:color="auto" w:fill="auto"/>
            <w:noWrap/>
            <w:vAlign w:val="bottom"/>
            <w:hideMark/>
          </w:tcPr>
          <w:p w14:paraId="2781480E" w14:textId="77777777" w:rsidR="00A61FF5" w:rsidRPr="00040036" w:rsidRDefault="00A61FF5" w:rsidP="00D07480">
            <w:pPr>
              <w:pStyle w:val="ESTablebody3ptafter"/>
              <w:rPr>
                <w:sz w:val="13"/>
                <w:lang w:val="en-AU" w:eastAsia="en-AU"/>
              </w:rPr>
            </w:pPr>
            <w:r w:rsidRPr="00040036">
              <w:rPr>
                <w:sz w:val="13"/>
                <w:lang w:val="en-AU" w:eastAsia="en-AU"/>
              </w:rPr>
              <w:t>25</w:t>
            </w:r>
          </w:p>
        </w:tc>
        <w:tc>
          <w:tcPr>
            <w:tcW w:w="201" w:type="pct"/>
            <w:tcBorders>
              <w:top w:val="nil"/>
              <w:left w:val="nil"/>
              <w:bottom w:val="single" w:sz="4" w:space="0" w:color="auto"/>
              <w:right w:val="nil"/>
            </w:tcBorders>
            <w:shd w:val="clear" w:color="auto" w:fill="auto"/>
            <w:noWrap/>
            <w:vAlign w:val="bottom"/>
            <w:hideMark/>
          </w:tcPr>
          <w:p w14:paraId="25B61B87" w14:textId="77777777" w:rsidR="00A61FF5" w:rsidRPr="00040036" w:rsidRDefault="00A61FF5" w:rsidP="00D07480">
            <w:pPr>
              <w:pStyle w:val="ESTablebody3ptafter"/>
              <w:rPr>
                <w:sz w:val="13"/>
                <w:lang w:val="en-AU" w:eastAsia="en-AU"/>
              </w:rPr>
            </w:pPr>
            <w:r w:rsidRPr="00040036">
              <w:rPr>
                <w:sz w:val="13"/>
                <w:lang w:val="en-AU" w:eastAsia="en-AU"/>
              </w:rPr>
              <w:t>18.5</w:t>
            </w:r>
          </w:p>
        </w:tc>
      </w:tr>
      <w:tr w:rsidR="00F218F8" w:rsidRPr="00932A90" w14:paraId="494B0518" w14:textId="77777777" w:rsidTr="00C755D0">
        <w:tc>
          <w:tcPr>
            <w:tcW w:w="154" w:type="pct"/>
            <w:vMerge/>
            <w:tcBorders>
              <w:left w:val="nil"/>
              <w:bottom w:val="nil"/>
              <w:right w:val="nil"/>
            </w:tcBorders>
            <w:shd w:val="clear" w:color="auto" w:fill="auto"/>
            <w:vAlign w:val="center"/>
            <w:hideMark/>
          </w:tcPr>
          <w:p w14:paraId="0DB6F916" w14:textId="77777777" w:rsidR="00A61FF5" w:rsidRPr="00040036" w:rsidRDefault="00A61FF5" w:rsidP="00D07480">
            <w:pPr>
              <w:pStyle w:val="ESTablebody3ptafter"/>
              <w:rPr>
                <w:sz w:val="13"/>
                <w:lang w:val="en-AU" w:eastAsia="en-AU"/>
              </w:rPr>
            </w:pPr>
          </w:p>
        </w:tc>
        <w:tc>
          <w:tcPr>
            <w:tcW w:w="457" w:type="pct"/>
            <w:tcBorders>
              <w:top w:val="single" w:sz="4" w:space="0" w:color="auto"/>
              <w:left w:val="nil"/>
              <w:bottom w:val="single" w:sz="8" w:space="0" w:color="auto"/>
              <w:right w:val="nil"/>
            </w:tcBorders>
            <w:shd w:val="clear" w:color="auto" w:fill="auto"/>
            <w:noWrap/>
            <w:tcMar>
              <w:top w:w="85" w:type="dxa"/>
            </w:tcMar>
            <w:vAlign w:val="bottom"/>
            <w:hideMark/>
          </w:tcPr>
          <w:p w14:paraId="3F7E6BDA" w14:textId="77777777" w:rsidR="00A61FF5" w:rsidRPr="00040036" w:rsidRDefault="00A61FF5" w:rsidP="000F3176">
            <w:pPr>
              <w:pStyle w:val="ESTablebody3ptafter"/>
              <w:rPr>
                <w:b/>
                <w:sz w:val="13"/>
                <w:lang w:val="en-AU" w:eastAsia="en-AU"/>
              </w:rPr>
            </w:pPr>
            <w:r w:rsidRPr="00040036">
              <w:rPr>
                <w:b/>
                <w:sz w:val="13"/>
                <w:lang w:val="en-AU" w:eastAsia="en-AU"/>
              </w:rPr>
              <w:t>Total employees</w:t>
            </w:r>
          </w:p>
        </w:tc>
        <w:tc>
          <w:tcPr>
            <w:tcW w:w="418" w:type="pct"/>
            <w:tcBorders>
              <w:top w:val="nil"/>
              <w:left w:val="nil"/>
              <w:bottom w:val="single" w:sz="8" w:space="0" w:color="auto"/>
              <w:right w:val="nil"/>
            </w:tcBorders>
            <w:shd w:val="clear" w:color="auto" w:fill="auto"/>
            <w:noWrap/>
            <w:tcMar>
              <w:top w:w="85" w:type="dxa"/>
            </w:tcMar>
            <w:vAlign w:val="bottom"/>
            <w:hideMark/>
          </w:tcPr>
          <w:p w14:paraId="6FFC6023" w14:textId="25FF0B2E" w:rsidR="00A61FF5" w:rsidRPr="00040036" w:rsidRDefault="00A61FF5" w:rsidP="000F3176">
            <w:pPr>
              <w:pStyle w:val="ESTablebody3ptafter"/>
              <w:rPr>
                <w:b/>
                <w:sz w:val="13"/>
                <w:lang w:val="en-AU" w:eastAsia="en-AU"/>
              </w:rPr>
            </w:pPr>
            <w:r w:rsidRPr="00040036">
              <w:rPr>
                <w:b/>
                <w:sz w:val="13"/>
                <w:lang w:val="en-AU" w:eastAsia="en-AU"/>
              </w:rPr>
              <w:t>3</w:t>
            </w:r>
            <w:r w:rsidR="009452EC" w:rsidRPr="00040036">
              <w:rPr>
                <w:b/>
                <w:sz w:val="13"/>
                <w:lang w:val="en-AU" w:eastAsia="en-AU"/>
              </w:rPr>
              <w:t>,</w:t>
            </w:r>
            <w:r w:rsidRPr="00040036">
              <w:rPr>
                <w:b/>
                <w:sz w:val="13"/>
                <w:lang w:val="en-AU" w:eastAsia="en-AU"/>
              </w:rPr>
              <w:t>403</w:t>
            </w:r>
          </w:p>
        </w:tc>
        <w:tc>
          <w:tcPr>
            <w:tcW w:w="250" w:type="pct"/>
            <w:tcBorders>
              <w:top w:val="nil"/>
              <w:left w:val="nil"/>
              <w:bottom w:val="single" w:sz="8" w:space="0" w:color="auto"/>
              <w:right w:val="single" w:sz="4" w:space="0" w:color="auto"/>
            </w:tcBorders>
            <w:shd w:val="clear" w:color="auto" w:fill="auto"/>
            <w:noWrap/>
            <w:tcMar>
              <w:top w:w="85" w:type="dxa"/>
            </w:tcMar>
            <w:vAlign w:val="bottom"/>
            <w:hideMark/>
          </w:tcPr>
          <w:p w14:paraId="400105AB" w14:textId="397CA624" w:rsidR="00A61FF5" w:rsidRPr="00040036" w:rsidRDefault="00A61FF5" w:rsidP="000F3176">
            <w:pPr>
              <w:pStyle w:val="ESTablebody3ptafter"/>
              <w:rPr>
                <w:b/>
                <w:sz w:val="13"/>
                <w:lang w:val="en-AU" w:eastAsia="en-AU"/>
              </w:rPr>
            </w:pPr>
            <w:r w:rsidRPr="00040036">
              <w:rPr>
                <w:b/>
                <w:sz w:val="13"/>
                <w:lang w:val="en-AU" w:eastAsia="en-AU"/>
              </w:rPr>
              <w:t>3</w:t>
            </w:r>
            <w:r w:rsidR="009452EC" w:rsidRPr="00040036">
              <w:rPr>
                <w:b/>
                <w:sz w:val="13"/>
                <w:lang w:val="en-AU" w:eastAsia="en-AU"/>
              </w:rPr>
              <w:t>,</w:t>
            </w:r>
            <w:r w:rsidRPr="00040036">
              <w:rPr>
                <w:b/>
                <w:sz w:val="13"/>
                <w:lang w:val="en-AU" w:eastAsia="en-AU"/>
              </w:rPr>
              <w:t>046.9</w:t>
            </w:r>
          </w:p>
        </w:tc>
        <w:tc>
          <w:tcPr>
            <w:tcW w:w="379" w:type="pct"/>
            <w:tcBorders>
              <w:top w:val="nil"/>
              <w:left w:val="nil"/>
              <w:bottom w:val="single" w:sz="8" w:space="0" w:color="auto"/>
              <w:right w:val="nil"/>
            </w:tcBorders>
            <w:shd w:val="clear" w:color="auto" w:fill="auto"/>
            <w:noWrap/>
            <w:tcMar>
              <w:top w:w="85" w:type="dxa"/>
            </w:tcMar>
            <w:vAlign w:val="bottom"/>
            <w:hideMark/>
          </w:tcPr>
          <w:p w14:paraId="02433AC8" w14:textId="3E0D6923" w:rsidR="00A61FF5" w:rsidRPr="00040036" w:rsidRDefault="00A61FF5" w:rsidP="000F3176">
            <w:pPr>
              <w:pStyle w:val="ESTablebody3ptafter"/>
              <w:rPr>
                <w:b/>
                <w:sz w:val="13"/>
                <w:lang w:val="en-AU" w:eastAsia="en-AU"/>
              </w:rPr>
            </w:pPr>
            <w:r w:rsidRPr="00040036">
              <w:rPr>
                <w:b/>
                <w:sz w:val="13"/>
                <w:lang w:val="en-AU" w:eastAsia="en-AU"/>
              </w:rPr>
              <w:t>1</w:t>
            </w:r>
            <w:r w:rsidR="009452EC" w:rsidRPr="00040036">
              <w:rPr>
                <w:b/>
                <w:sz w:val="13"/>
                <w:lang w:val="en-AU" w:eastAsia="en-AU"/>
              </w:rPr>
              <w:t>,</w:t>
            </w:r>
            <w:r w:rsidRPr="00040036">
              <w:rPr>
                <w:b/>
                <w:sz w:val="13"/>
                <w:lang w:val="en-AU" w:eastAsia="en-AU"/>
              </w:rPr>
              <w:t>981</w:t>
            </w:r>
          </w:p>
        </w:tc>
        <w:tc>
          <w:tcPr>
            <w:tcW w:w="379" w:type="pct"/>
            <w:tcBorders>
              <w:top w:val="nil"/>
              <w:left w:val="nil"/>
              <w:bottom w:val="single" w:sz="8" w:space="0" w:color="auto"/>
              <w:right w:val="nil"/>
            </w:tcBorders>
            <w:shd w:val="clear" w:color="auto" w:fill="auto"/>
            <w:noWrap/>
            <w:tcMar>
              <w:top w:w="85" w:type="dxa"/>
            </w:tcMar>
            <w:vAlign w:val="bottom"/>
            <w:hideMark/>
          </w:tcPr>
          <w:p w14:paraId="6832ACF9" w14:textId="77777777" w:rsidR="00A61FF5" w:rsidRPr="00040036" w:rsidRDefault="00A61FF5" w:rsidP="000F3176">
            <w:pPr>
              <w:pStyle w:val="ESTablebody3ptafter"/>
              <w:rPr>
                <w:b/>
                <w:sz w:val="13"/>
                <w:lang w:val="en-AU" w:eastAsia="en-AU"/>
              </w:rPr>
            </w:pPr>
            <w:r w:rsidRPr="00040036">
              <w:rPr>
                <w:b/>
                <w:sz w:val="13"/>
                <w:lang w:val="en-AU" w:eastAsia="en-AU"/>
              </w:rPr>
              <w:t>806</w:t>
            </w:r>
          </w:p>
        </w:tc>
        <w:tc>
          <w:tcPr>
            <w:tcW w:w="249" w:type="pct"/>
            <w:tcBorders>
              <w:top w:val="nil"/>
              <w:left w:val="nil"/>
              <w:bottom w:val="single" w:sz="8" w:space="0" w:color="auto"/>
              <w:right w:val="single" w:sz="4" w:space="0" w:color="auto"/>
            </w:tcBorders>
            <w:shd w:val="clear" w:color="auto" w:fill="auto"/>
            <w:noWrap/>
            <w:tcMar>
              <w:top w:w="85" w:type="dxa"/>
            </w:tcMar>
            <w:vAlign w:val="bottom"/>
            <w:hideMark/>
          </w:tcPr>
          <w:p w14:paraId="7B22ADA3" w14:textId="094AC390" w:rsidR="00A61FF5" w:rsidRPr="00040036" w:rsidRDefault="00A61FF5" w:rsidP="000F3176">
            <w:pPr>
              <w:pStyle w:val="ESTablebody3ptafter"/>
              <w:rPr>
                <w:b/>
                <w:sz w:val="13"/>
                <w:lang w:val="en-AU" w:eastAsia="en-AU"/>
              </w:rPr>
            </w:pPr>
            <w:r w:rsidRPr="00040036">
              <w:rPr>
                <w:b/>
                <w:sz w:val="13"/>
                <w:lang w:val="en-AU" w:eastAsia="en-AU"/>
              </w:rPr>
              <w:t>2</w:t>
            </w:r>
            <w:r w:rsidR="009452EC" w:rsidRPr="00040036">
              <w:rPr>
                <w:b/>
                <w:sz w:val="13"/>
                <w:lang w:val="en-AU" w:eastAsia="en-AU"/>
              </w:rPr>
              <w:t>,</w:t>
            </w:r>
            <w:r w:rsidRPr="00040036">
              <w:rPr>
                <w:b/>
                <w:sz w:val="13"/>
                <w:lang w:val="en-AU" w:eastAsia="en-AU"/>
              </w:rPr>
              <w:t>503.1</w:t>
            </w:r>
          </w:p>
        </w:tc>
        <w:tc>
          <w:tcPr>
            <w:tcW w:w="350" w:type="pct"/>
            <w:tcBorders>
              <w:top w:val="nil"/>
              <w:left w:val="nil"/>
              <w:bottom w:val="single" w:sz="8" w:space="0" w:color="auto"/>
              <w:right w:val="nil"/>
            </w:tcBorders>
            <w:shd w:val="clear" w:color="auto" w:fill="auto"/>
            <w:noWrap/>
            <w:tcMar>
              <w:top w:w="85" w:type="dxa"/>
            </w:tcMar>
            <w:vAlign w:val="bottom"/>
            <w:hideMark/>
          </w:tcPr>
          <w:p w14:paraId="7C6C4D9B" w14:textId="77777777" w:rsidR="00A61FF5" w:rsidRPr="00040036" w:rsidRDefault="00A61FF5" w:rsidP="000F3176">
            <w:pPr>
              <w:pStyle w:val="ESTablebody3ptafter"/>
              <w:rPr>
                <w:b/>
                <w:sz w:val="13"/>
                <w:lang w:val="en-AU" w:eastAsia="en-AU"/>
              </w:rPr>
            </w:pPr>
            <w:r w:rsidRPr="00040036">
              <w:rPr>
                <w:b/>
                <w:sz w:val="13"/>
                <w:lang w:val="en-AU" w:eastAsia="en-AU"/>
              </w:rPr>
              <w:t>616</w:t>
            </w:r>
          </w:p>
        </w:tc>
        <w:tc>
          <w:tcPr>
            <w:tcW w:w="206" w:type="pct"/>
            <w:tcBorders>
              <w:top w:val="nil"/>
              <w:left w:val="nil"/>
              <w:bottom w:val="single" w:sz="8" w:space="0" w:color="auto"/>
              <w:right w:val="single" w:sz="8" w:space="0" w:color="auto"/>
            </w:tcBorders>
            <w:shd w:val="clear" w:color="auto" w:fill="auto"/>
            <w:noWrap/>
            <w:tcMar>
              <w:top w:w="85" w:type="dxa"/>
            </w:tcMar>
            <w:vAlign w:val="bottom"/>
            <w:hideMark/>
          </w:tcPr>
          <w:p w14:paraId="61EA3C33" w14:textId="77777777" w:rsidR="00A61FF5" w:rsidRPr="00040036" w:rsidRDefault="00A61FF5" w:rsidP="000F3176">
            <w:pPr>
              <w:pStyle w:val="ESTablebody3ptafter"/>
              <w:rPr>
                <w:b/>
                <w:sz w:val="13"/>
                <w:lang w:val="en-AU" w:eastAsia="en-AU"/>
              </w:rPr>
            </w:pPr>
            <w:r w:rsidRPr="00040036">
              <w:rPr>
                <w:b/>
                <w:sz w:val="13"/>
                <w:lang w:val="en-AU" w:eastAsia="en-AU"/>
              </w:rPr>
              <w:t>543.9</w:t>
            </w:r>
          </w:p>
        </w:tc>
        <w:tc>
          <w:tcPr>
            <w:tcW w:w="350" w:type="pct"/>
            <w:tcBorders>
              <w:top w:val="nil"/>
              <w:left w:val="nil"/>
              <w:bottom w:val="single" w:sz="8" w:space="0" w:color="auto"/>
              <w:right w:val="nil"/>
            </w:tcBorders>
            <w:shd w:val="clear" w:color="auto" w:fill="auto"/>
            <w:noWrap/>
            <w:tcMar>
              <w:top w:w="85" w:type="dxa"/>
            </w:tcMar>
            <w:vAlign w:val="bottom"/>
            <w:hideMark/>
          </w:tcPr>
          <w:p w14:paraId="72146B55" w14:textId="143D1550" w:rsidR="00A61FF5" w:rsidRPr="00040036" w:rsidRDefault="00A61FF5" w:rsidP="000F3176">
            <w:pPr>
              <w:pStyle w:val="ESTablebody3ptafter"/>
              <w:rPr>
                <w:b/>
                <w:sz w:val="13"/>
                <w:lang w:val="en-AU" w:eastAsia="en-AU"/>
              </w:rPr>
            </w:pPr>
            <w:r w:rsidRPr="00040036">
              <w:rPr>
                <w:b/>
                <w:sz w:val="13"/>
                <w:lang w:val="en-AU" w:eastAsia="en-AU"/>
              </w:rPr>
              <w:t>2</w:t>
            </w:r>
            <w:r w:rsidR="009452EC" w:rsidRPr="00040036">
              <w:rPr>
                <w:b/>
                <w:sz w:val="13"/>
                <w:lang w:val="en-AU" w:eastAsia="en-AU"/>
              </w:rPr>
              <w:t>,</w:t>
            </w:r>
            <w:r w:rsidRPr="00040036">
              <w:rPr>
                <w:b/>
                <w:sz w:val="13"/>
                <w:lang w:val="en-AU" w:eastAsia="en-AU"/>
              </w:rPr>
              <w:t>786</w:t>
            </w:r>
          </w:p>
        </w:tc>
        <w:tc>
          <w:tcPr>
            <w:tcW w:w="249" w:type="pct"/>
            <w:tcBorders>
              <w:top w:val="nil"/>
              <w:left w:val="nil"/>
              <w:bottom w:val="single" w:sz="8" w:space="0" w:color="auto"/>
              <w:right w:val="single" w:sz="4" w:space="0" w:color="auto"/>
            </w:tcBorders>
            <w:shd w:val="clear" w:color="auto" w:fill="auto"/>
            <w:noWrap/>
            <w:tcMar>
              <w:top w:w="85" w:type="dxa"/>
            </w:tcMar>
            <w:vAlign w:val="bottom"/>
            <w:hideMark/>
          </w:tcPr>
          <w:p w14:paraId="146690EB" w14:textId="67BA2ACD" w:rsidR="00A61FF5" w:rsidRPr="00040036" w:rsidRDefault="00A61FF5" w:rsidP="000F3176">
            <w:pPr>
              <w:pStyle w:val="ESTablebody3ptafter"/>
              <w:rPr>
                <w:b/>
                <w:sz w:val="13"/>
                <w:lang w:val="en-AU" w:eastAsia="en-AU"/>
              </w:rPr>
            </w:pPr>
            <w:r w:rsidRPr="00040036">
              <w:rPr>
                <w:b/>
                <w:sz w:val="13"/>
                <w:lang w:val="en-AU" w:eastAsia="en-AU"/>
              </w:rPr>
              <w:t>2</w:t>
            </w:r>
            <w:r w:rsidR="009452EC" w:rsidRPr="00040036">
              <w:rPr>
                <w:b/>
                <w:sz w:val="13"/>
                <w:lang w:val="en-AU" w:eastAsia="en-AU"/>
              </w:rPr>
              <w:t>,</w:t>
            </w:r>
            <w:r w:rsidRPr="00040036">
              <w:rPr>
                <w:b/>
                <w:sz w:val="13"/>
                <w:lang w:val="en-AU" w:eastAsia="en-AU"/>
              </w:rPr>
              <w:t>473.7</w:t>
            </w:r>
          </w:p>
        </w:tc>
        <w:tc>
          <w:tcPr>
            <w:tcW w:w="379" w:type="pct"/>
            <w:tcBorders>
              <w:top w:val="nil"/>
              <w:left w:val="nil"/>
              <w:bottom w:val="single" w:sz="8" w:space="0" w:color="auto"/>
              <w:right w:val="nil"/>
            </w:tcBorders>
            <w:shd w:val="clear" w:color="auto" w:fill="auto"/>
            <w:noWrap/>
            <w:tcMar>
              <w:top w:w="85" w:type="dxa"/>
            </w:tcMar>
            <w:vAlign w:val="bottom"/>
            <w:hideMark/>
          </w:tcPr>
          <w:p w14:paraId="3DD256B8" w14:textId="77777777" w:rsidR="00A61FF5" w:rsidRPr="00040036" w:rsidRDefault="00A61FF5" w:rsidP="000F3176">
            <w:pPr>
              <w:pStyle w:val="ESTablebody3ptafter"/>
              <w:rPr>
                <w:b/>
                <w:sz w:val="13"/>
                <w:lang w:val="en-AU" w:eastAsia="en-AU"/>
              </w:rPr>
            </w:pPr>
            <w:r w:rsidRPr="00040036">
              <w:rPr>
                <w:b/>
                <w:sz w:val="13"/>
                <w:lang w:val="en-AU" w:eastAsia="en-AU"/>
              </w:rPr>
              <w:t>1,727</w:t>
            </w:r>
          </w:p>
        </w:tc>
        <w:tc>
          <w:tcPr>
            <w:tcW w:w="379" w:type="pct"/>
            <w:tcBorders>
              <w:top w:val="nil"/>
              <w:left w:val="nil"/>
              <w:bottom w:val="single" w:sz="8" w:space="0" w:color="auto"/>
              <w:right w:val="nil"/>
            </w:tcBorders>
            <w:shd w:val="clear" w:color="auto" w:fill="auto"/>
            <w:noWrap/>
            <w:tcMar>
              <w:top w:w="85" w:type="dxa"/>
            </w:tcMar>
            <w:vAlign w:val="bottom"/>
            <w:hideMark/>
          </w:tcPr>
          <w:p w14:paraId="4955B865" w14:textId="77777777" w:rsidR="00A61FF5" w:rsidRPr="00040036" w:rsidRDefault="00A61FF5" w:rsidP="000F3176">
            <w:pPr>
              <w:pStyle w:val="ESTablebody3ptafter"/>
              <w:rPr>
                <w:b/>
                <w:sz w:val="13"/>
                <w:lang w:val="en-AU" w:eastAsia="en-AU"/>
              </w:rPr>
            </w:pPr>
            <w:r w:rsidRPr="00040036">
              <w:rPr>
                <w:b/>
                <w:sz w:val="13"/>
                <w:lang w:val="en-AU" w:eastAsia="en-AU"/>
              </w:rPr>
              <w:t>752</w:t>
            </w:r>
          </w:p>
        </w:tc>
        <w:tc>
          <w:tcPr>
            <w:tcW w:w="249" w:type="pct"/>
            <w:tcBorders>
              <w:top w:val="nil"/>
              <w:left w:val="nil"/>
              <w:bottom w:val="single" w:sz="8" w:space="0" w:color="auto"/>
              <w:right w:val="single" w:sz="4" w:space="0" w:color="auto"/>
            </w:tcBorders>
            <w:shd w:val="clear" w:color="auto" w:fill="auto"/>
            <w:noWrap/>
            <w:tcMar>
              <w:top w:w="85" w:type="dxa"/>
            </w:tcMar>
            <w:vAlign w:val="bottom"/>
            <w:hideMark/>
          </w:tcPr>
          <w:p w14:paraId="788FD594" w14:textId="77777777" w:rsidR="00A61FF5" w:rsidRPr="00040036" w:rsidRDefault="00A61FF5" w:rsidP="000F3176">
            <w:pPr>
              <w:pStyle w:val="ESTablebody3ptafter"/>
              <w:rPr>
                <w:b/>
                <w:sz w:val="13"/>
                <w:lang w:val="en-AU" w:eastAsia="en-AU"/>
              </w:rPr>
            </w:pPr>
            <w:r w:rsidRPr="00040036">
              <w:rPr>
                <w:b/>
                <w:sz w:val="13"/>
                <w:lang w:val="en-AU" w:eastAsia="en-AU"/>
              </w:rPr>
              <w:t>2,209.6</w:t>
            </w:r>
          </w:p>
        </w:tc>
        <w:tc>
          <w:tcPr>
            <w:tcW w:w="350" w:type="pct"/>
            <w:tcBorders>
              <w:top w:val="nil"/>
              <w:left w:val="nil"/>
              <w:bottom w:val="single" w:sz="8" w:space="0" w:color="auto"/>
              <w:right w:val="nil"/>
            </w:tcBorders>
            <w:shd w:val="clear" w:color="auto" w:fill="auto"/>
            <w:noWrap/>
            <w:tcMar>
              <w:top w:w="85" w:type="dxa"/>
            </w:tcMar>
            <w:vAlign w:val="bottom"/>
            <w:hideMark/>
          </w:tcPr>
          <w:p w14:paraId="41017545" w14:textId="77777777" w:rsidR="00A61FF5" w:rsidRPr="00040036" w:rsidRDefault="00A61FF5" w:rsidP="000F3176">
            <w:pPr>
              <w:pStyle w:val="ESTablebody3ptafter"/>
              <w:rPr>
                <w:b/>
                <w:sz w:val="13"/>
                <w:lang w:val="en-AU" w:eastAsia="en-AU"/>
              </w:rPr>
            </w:pPr>
            <w:r w:rsidRPr="00040036">
              <w:rPr>
                <w:b/>
                <w:sz w:val="13"/>
                <w:lang w:val="en-AU" w:eastAsia="en-AU"/>
              </w:rPr>
              <w:t>307</w:t>
            </w:r>
          </w:p>
        </w:tc>
        <w:tc>
          <w:tcPr>
            <w:tcW w:w="201" w:type="pct"/>
            <w:tcBorders>
              <w:top w:val="nil"/>
              <w:left w:val="nil"/>
              <w:bottom w:val="single" w:sz="8" w:space="0" w:color="auto"/>
              <w:right w:val="nil"/>
            </w:tcBorders>
            <w:shd w:val="clear" w:color="auto" w:fill="auto"/>
            <w:noWrap/>
            <w:tcMar>
              <w:top w:w="85" w:type="dxa"/>
            </w:tcMar>
            <w:vAlign w:val="bottom"/>
            <w:hideMark/>
          </w:tcPr>
          <w:p w14:paraId="6FFC9E1F" w14:textId="77777777" w:rsidR="00A61FF5" w:rsidRPr="00040036" w:rsidRDefault="00A61FF5" w:rsidP="000F3176">
            <w:pPr>
              <w:pStyle w:val="ESTablebody3ptafter"/>
              <w:rPr>
                <w:b/>
                <w:sz w:val="13"/>
                <w:lang w:val="en-AU" w:eastAsia="en-AU"/>
              </w:rPr>
            </w:pPr>
            <w:r w:rsidRPr="00040036">
              <w:rPr>
                <w:b/>
                <w:sz w:val="13"/>
                <w:lang w:val="en-AU" w:eastAsia="en-AU"/>
              </w:rPr>
              <w:t>264.1</w:t>
            </w:r>
          </w:p>
        </w:tc>
      </w:tr>
    </w:tbl>
    <w:p w14:paraId="5E0F510B" w14:textId="77777777" w:rsidR="00A61FF5" w:rsidRPr="00040036" w:rsidRDefault="00A61FF5" w:rsidP="00040036">
      <w:pPr>
        <w:pStyle w:val="FootnoteText"/>
        <w:spacing w:before="240"/>
        <w:rPr>
          <w:lang w:val="en-AU"/>
        </w:rPr>
      </w:pPr>
      <w:r w:rsidRPr="00040036">
        <w:rPr>
          <w:lang w:val="en-AU"/>
        </w:rPr>
        <w:t>1 ‘Headcount’ refers to the number of people employed where each person counts as an employee regardless of the number of hours engaged to work.</w:t>
      </w:r>
    </w:p>
    <w:p w14:paraId="0CA4FF59" w14:textId="77777777" w:rsidR="00A61FF5" w:rsidRPr="00040036" w:rsidRDefault="00A61FF5" w:rsidP="00A61FF5">
      <w:pPr>
        <w:pStyle w:val="FootnoteText"/>
        <w:rPr>
          <w:lang w:val="en-AU"/>
        </w:rPr>
      </w:pPr>
      <w:r w:rsidRPr="00040036">
        <w:rPr>
          <w:lang w:val="en-AU"/>
        </w:rPr>
        <w:t>2 ‘Casual’ means a person who is subject to clause 25, Casual Employees—loading of the VPS Agreement 2006, or similar clauses in other relevant agreements. It includes a person employed on a seasonal basis where such provision is made under an applicable industrial agreement.</w:t>
      </w:r>
    </w:p>
    <w:p w14:paraId="30E49F79" w14:textId="77777777" w:rsidR="00A61FF5" w:rsidRPr="00040036" w:rsidRDefault="00A61FF5" w:rsidP="00A61FF5">
      <w:pPr>
        <w:pStyle w:val="FootnoteText"/>
        <w:rPr>
          <w:lang w:val="en-AU"/>
        </w:rPr>
      </w:pPr>
      <w:r w:rsidRPr="00040036">
        <w:rPr>
          <w:lang w:val="en-AU"/>
        </w:rPr>
        <w:t>3 ‘Age’ of staff calculated as at 30 June each year.</w:t>
      </w:r>
    </w:p>
    <w:p w14:paraId="4DC6A9E4" w14:textId="77777777" w:rsidR="00A61FF5" w:rsidRPr="00040036" w:rsidRDefault="00A61FF5" w:rsidP="00A61FF5">
      <w:pPr>
        <w:pStyle w:val="FootnoteText"/>
        <w:rPr>
          <w:highlight w:val="yellow"/>
          <w:lang w:val="en-AU"/>
        </w:rPr>
      </w:pPr>
      <w:r w:rsidRPr="00040036">
        <w:rPr>
          <w:lang w:val="en-AU"/>
        </w:rPr>
        <w:t>4 The category VPSG2 includes graduate recruits.</w:t>
      </w:r>
    </w:p>
    <w:p w14:paraId="59706DDD" w14:textId="77777777" w:rsidR="00A61FF5" w:rsidRPr="00040036" w:rsidRDefault="00A61FF5" w:rsidP="00A61FF5">
      <w:pPr>
        <w:pStyle w:val="ESTableBody"/>
        <w:rPr>
          <w:sz w:val="19"/>
          <w:highlight w:val="yellow"/>
          <w:lang w:val="en-AU"/>
        </w:rPr>
      </w:pPr>
      <w:r w:rsidRPr="00040036">
        <w:rPr>
          <w:highlight w:val="yellow"/>
          <w:lang w:val="en-AU"/>
        </w:rPr>
        <w:br w:type="page"/>
      </w:r>
    </w:p>
    <w:p w14:paraId="49338F8D" w14:textId="425C0450" w:rsidR="00A61FF5" w:rsidRPr="00040036" w:rsidRDefault="00A61FF5" w:rsidP="009A0BAD">
      <w:pPr>
        <w:pStyle w:val="ESTableintroheading"/>
        <w:rPr>
          <w:highlight w:val="yellow"/>
          <w:lang w:val="en-AU"/>
        </w:rPr>
      </w:pPr>
      <w:r w:rsidRPr="00040036">
        <w:rPr>
          <w:lang w:val="en-AU"/>
        </w:rPr>
        <w:t xml:space="preserve">Table </w:t>
      </w:r>
      <w:r w:rsidR="00D93BA2" w:rsidRPr="00040036">
        <w:rPr>
          <w:lang w:val="en-AU"/>
        </w:rPr>
        <w:fldChar w:fldCharType="begin"/>
      </w:r>
      <w:r w:rsidR="00D93BA2" w:rsidRPr="00040036">
        <w:rPr>
          <w:lang w:val="en-AU"/>
        </w:rPr>
        <w:instrText xml:space="preserve"> SEQ Table \* MERGEFORMAT </w:instrText>
      </w:r>
      <w:r w:rsidR="00D93BA2" w:rsidRPr="00040036">
        <w:rPr>
          <w:lang w:val="en-AU"/>
        </w:rPr>
        <w:fldChar w:fldCharType="separate"/>
      </w:r>
      <w:r w:rsidR="00F36F52">
        <w:rPr>
          <w:noProof/>
          <w:lang w:val="en-AU"/>
        </w:rPr>
        <w:t>17</w:t>
      </w:r>
      <w:r w:rsidR="00D93BA2" w:rsidRPr="00040036">
        <w:rPr>
          <w:noProof/>
          <w:lang w:val="en-AU"/>
        </w:rPr>
        <w:fldChar w:fldCharType="end"/>
      </w:r>
      <w:r w:rsidRPr="00040036">
        <w:rPr>
          <w:lang w:val="en-AU"/>
        </w:rPr>
        <w:t xml:space="preserve"> – Government Teaching Service staff employment levels in June 2016 and 2017</w:t>
      </w:r>
    </w:p>
    <w:tbl>
      <w:tblPr>
        <w:tblW w:w="5000" w:type="pct"/>
        <w:tblLayout w:type="fixed"/>
        <w:tblLook w:val="04A0" w:firstRow="1" w:lastRow="0" w:firstColumn="1" w:lastColumn="0" w:noHBand="0" w:noVBand="1"/>
      </w:tblPr>
      <w:tblGrid>
        <w:gridCol w:w="508"/>
        <w:gridCol w:w="1477"/>
        <w:gridCol w:w="991"/>
        <w:gridCol w:w="852"/>
        <w:gridCol w:w="709"/>
        <w:gridCol w:w="706"/>
        <w:gridCol w:w="852"/>
        <w:gridCol w:w="997"/>
        <w:gridCol w:w="857"/>
        <w:gridCol w:w="994"/>
        <w:gridCol w:w="849"/>
        <w:gridCol w:w="863"/>
        <w:gridCol w:w="128"/>
        <w:gridCol w:w="726"/>
        <w:gridCol w:w="712"/>
        <w:gridCol w:w="145"/>
        <w:gridCol w:w="821"/>
        <w:gridCol w:w="773"/>
      </w:tblGrid>
      <w:tr w:rsidR="00A61FF5" w:rsidRPr="00932A90" w14:paraId="4B9FFF13" w14:textId="77777777" w:rsidTr="00D07480">
        <w:trPr>
          <w:trHeight w:val="300"/>
        </w:trPr>
        <w:tc>
          <w:tcPr>
            <w:tcW w:w="711" w:type="pct"/>
            <w:gridSpan w:val="2"/>
            <w:tcBorders>
              <w:top w:val="nil"/>
              <w:left w:val="nil"/>
              <w:right w:val="nil"/>
            </w:tcBorders>
            <w:shd w:val="clear" w:color="000000" w:fill="7F7F7F" w:themeFill="text1" w:themeFillTint="80"/>
            <w:noWrap/>
            <w:vAlign w:val="bottom"/>
            <w:hideMark/>
          </w:tcPr>
          <w:p w14:paraId="5A16ED03" w14:textId="77777777" w:rsidR="00A61FF5" w:rsidRPr="00040036" w:rsidRDefault="00A61FF5" w:rsidP="00D07480">
            <w:pPr>
              <w:pStyle w:val="ESTableheadingwhite75"/>
              <w:rPr>
                <w:bCs/>
                <w:sz w:val="12"/>
                <w:szCs w:val="12"/>
                <w:lang w:val="en-AU"/>
              </w:rPr>
            </w:pPr>
            <w:r w:rsidRPr="00040036">
              <w:rPr>
                <w:bCs/>
                <w:sz w:val="12"/>
                <w:szCs w:val="12"/>
                <w:lang w:val="en-AU"/>
              </w:rPr>
              <w:t>Government Teaching Service</w:t>
            </w:r>
          </w:p>
        </w:tc>
        <w:tc>
          <w:tcPr>
            <w:tcW w:w="2136" w:type="pct"/>
            <w:gridSpan w:val="7"/>
            <w:tcBorders>
              <w:top w:val="nil"/>
              <w:left w:val="nil"/>
              <w:right w:val="nil"/>
            </w:tcBorders>
            <w:shd w:val="clear" w:color="000000" w:fill="7F7F7F" w:themeFill="text1" w:themeFillTint="80"/>
            <w:noWrap/>
            <w:vAlign w:val="bottom"/>
            <w:hideMark/>
          </w:tcPr>
          <w:p w14:paraId="3C8F6F4C" w14:textId="77777777" w:rsidR="00A61FF5" w:rsidRPr="00040036" w:rsidRDefault="00A61FF5" w:rsidP="00D07480">
            <w:pPr>
              <w:pStyle w:val="ESTableheadingwhite75"/>
              <w:rPr>
                <w:bCs/>
                <w:sz w:val="12"/>
                <w:szCs w:val="12"/>
                <w:lang w:val="en-AU"/>
              </w:rPr>
            </w:pPr>
            <w:r w:rsidRPr="00040036">
              <w:rPr>
                <w:bCs/>
                <w:sz w:val="12"/>
                <w:szCs w:val="12"/>
                <w:lang w:val="en-AU"/>
              </w:rPr>
              <w:t>June 2017</w:t>
            </w:r>
          </w:p>
        </w:tc>
        <w:tc>
          <w:tcPr>
            <w:tcW w:w="2153" w:type="pct"/>
            <w:gridSpan w:val="9"/>
            <w:tcBorders>
              <w:top w:val="nil"/>
              <w:left w:val="nil"/>
              <w:right w:val="nil"/>
            </w:tcBorders>
            <w:shd w:val="clear" w:color="000000" w:fill="7F7F7F" w:themeFill="text1" w:themeFillTint="80"/>
            <w:noWrap/>
            <w:vAlign w:val="bottom"/>
            <w:hideMark/>
          </w:tcPr>
          <w:p w14:paraId="65AD7CF7" w14:textId="77777777" w:rsidR="00A61FF5" w:rsidRPr="00040036" w:rsidRDefault="00A61FF5" w:rsidP="00D07480">
            <w:pPr>
              <w:pStyle w:val="ESTableheadingwhite75"/>
              <w:rPr>
                <w:bCs/>
                <w:sz w:val="12"/>
                <w:szCs w:val="12"/>
                <w:lang w:val="en-AU"/>
              </w:rPr>
            </w:pPr>
            <w:r w:rsidRPr="00040036">
              <w:rPr>
                <w:bCs/>
                <w:sz w:val="12"/>
                <w:szCs w:val="12"/>
                <w:lang w:val="en-AU"/>
              </w:rPr>
              <w:t>June 2016</w:t>
            </w:r>
          </w:p>
        </w:tc>
      </w:tr>
      <w:tr w:rsidR="00A61FF5" w:rsidRPr="00932A90" w14:paraId="7A124D68" w14:textId="77777777" w:rsidTr="00D07480">
        <w:trPr>
          <w:trHeight w:val="300"/>
        </w:trPr>
        <w:tc>
          <w:tcPr>
            <w:tcW w:w="182" w:type="pct"/>
            <w:tcBorders>
              <w:left w:val="nil"/>
              <w:bottom w:val="nil"/>
            </w:tcBorders>
            <w:shd w:val="clear" w:color="000000" w:fill="7F7F7F" w:themeFill="text1" w:themeFillTint="80"/>
            <w:noWrap/>
            <w:vAlign w:val="bottom"/>
            <w:hideMark/>
          </w:tcPr>
          <w:p w14:paraId="54095298" w14:textId="77777777" w:rsidR="00A61FF5" w:rsidRPr="00040036" w:rsidRDefault="00A61FF5" w:rsidP="00D07480">
            <w:pPr>
              <w:pStyle w:val="ESTableheadingwhite75"/>
              <w:rPr>
                <w:bCs/>
                <w:sz w:val="12"/>
                <w:szCs w:val="12"/>
                <w:lang w:val="en-AU"/>
              </w:rPr>
            </w:pPr>
            <w:r w:rsidRPr="00040036">
              <w:rPr>
                <w:bCs/>
                <w:sz w:val="12"/>
                <w:szCs w:val="12"/>
                <w:lang w:val="en-AU"/>
              </w:rPr>
              <w:t> </w:t>
            </w:r>
          </w:p>
        </w:tc>
        <w:tc>
          <w:tcPr>
            <w:tcW w:w="529" w:type="pct"/>
            <w:tcBorders>
              <w:bottom w:val="nil"/>
            </w:tcBorders>
            <w:shd w:val="clear" w:color="000000" w:fill="7F7F7F" w:themeFill="text1" w:themeFillTint="80"/>
            <w:noWrap/>
            <w:vAlign w:val="bottom"/>
            <w:hideMark/>
          </w:tcPr>
          <w:p w14:paraId="04B27122" w14:textId="77777777" w:rsidR="00A61FF5" w:rsidRPr="00040036" w:rsidRDefault="00A61FF5" w:rsidP="00D07480">
            <w:pPr>
              <w:pStyle w:val="ESTableheadingwhite75"/>
              <w:rPr>
                <w:bCs/>
                <w:sz w:val="12"/>
                <w:szCs w:val="12"/>
                <w:lang w:val="en-AU"/>
              </w:rPr>
            </w:pPr>
            <w:r w:rsidRPr="00040036">
              <w:rPr>
                <w:bCs/>
                <w:sz w:val="12"/>
                <w:szCs w:val="12"/>
                <w:lang w:val="en-AU"/>
              </w:rPr>
              <w:t> </w:t>
            </w:r>
          </w:p>
        </w:tc>
        <w:tc>
          <w:tcPr>
            <w:tcW w:w="660" w:type="pct"/>
            <w:gridSpan w:val="2"/>
            <w:tcBorders>
              <w:bottom w:val="nil"/>
            </w:tcBorders>
            <w:shd w:val="clear" w:color="000000" w:fill="7F7F7F" w:themeFill="text1" w:themeFillTint="80"/>
            <w:noWrap/>
            <w:vAlign w:val="center"/>
            <w:hideMark/>
          </w:tcPr>
          <w:p w14:paraId="4CAAC5A5" w14:textId="77777777" w:rsidR="00A61FF5" w:rsidRPr="00040036" w:rsidRDefault="00A61FF5" w:rsidP="00D07480">
            <w:pPr>
              <w:pStyle w:val="ESTableheadingwhite75"/>
              <w:rPr>
                <w:bCs/>
                <w:sz w:val="12"/>
                <w:szCs w:val="12"/>
                <w:lang w:val="en-AU"/>
              </w:rPr>
            </w:pPr>
            <w:r w:rsidRPr="00040036">
              <w:rPr>
                <w:bCs/>
                <w:sz w:val="12"/>
                <w:szCs w:val="12"/>
                <w:lang w:val="en-AU"/>
              </w:rPr>
              <w:t>All employees</w:t>
            </w:r>
          </w:p>
        </w:tc>
        <w:tc>
          <w:tcPr>
            <w:tcW w:w="812" w:type="pct"/>
            <w:gridSpan w:val="3"/>
            <w:tcBorders>
              <w:bottom w:val="nil"/>
            </w:tcBorders>
            <w:shd w:val="clear" w:color="000000" w:fill="7F7F7F" w:themeFill="text1" w:themeFillTint="80"/>
            <w:noWrap/>
            <w:vAlign w:val="center"/>
            <w:hideMark/>
          </w:tcPr>
          <w:p w14:paraId="4E6D2FCB" w14:textId="77777777" w:rsidR="00A61FF5" w:rsidRPr="00040036" w:rsidRDefault="00A61FF5" w:rsidP="00D07480">
            <w:pPr>
              <w:pStyle w:val="ESTableheadingwhite75"/>
              <w:rPr>
                <w:bCs/>
                <w:sz w:val="12"/>
                <w:szCs w:val="12"/>
                <w:lang w:val="en-AU"/>
              </w:rPr>
            </w:pPr>
            <w:r w:rsidRPr="00040036">
              <w:rPr>
                <w:bCs/>
                <w:sz w:val="12"/>
                <w:szCs w:val="12"/>
                <w:lang w:val="en-AU"/>
              </w:rPr>
              <w:t>Ongoing</w:t>
            </w:r>
          </w:p>
        </w:tc>
        <w:tc>
          <w:tcPr>
            <w:tcW w:w="664" w:type="pct"/>
            <w:gridSpan w:val="2"/>
            <w:tcBorders>
              <w:bottom w:val="nil"/>
            </w:tcBorders>
            <w:shd w:val="clear" w:color="000000" w:fill="7F7F7F" w:themeFill="text1" w:themeFillTint="80"/>
            <w:vAlign w:val="center"/>
            <w:hideMark/>
          </w:tcPr>
          <w:p w14:paraId="4DCF6B51" w14:textId="77777777" w:rsidR="00A61FF5" w:rsidRPr="00040036" w:rsidRDefault="00A61FF5" w:rsidP="00D07480">
            <w:pPr>
              <w:pStyle w:val="ESTableheadingwhite75"/>
              <w:rPr>
                <w:bCs/>
                <w:sz w:val="12"/>
                <w:szCs w:val="12"/>
                <w:lang w:val="en-AU"/>
              </w:rPr>
            </w:pPr>
            <w:r w:rsidRPr="00040036">
              <w:rPr>
                <w:bCs/>
                <w:sz w:val="12"/>
                <w:szCs w:val="12"/>
                <w:lang w:val="en-AU"/>
              </w:rPr>
              <w:t>Fixed term and casual employees</w:t>
            </w:r>
          </w:p>
        </w:tc>
        <w:tc>
          <w:tcPr>
            <w:tcW w:w="660" w:type="pct"/>
            <w:gridSpan w:val="2"/>
            <w:tcBorders>
              <w:bottom w:val="nil"/>
            </w:tcBorders>
            <w:shd w:val="clear" w:color="000000" w:fill="7F7F7F" w:themeFill="text1" w:themeFillTint="80"/>
            <w:noWrap/>
            <w:vAlign w:val="center"/>
            <w:hideMark/>
          </w:tcPr>
          <w:p w14:paraId="2954E3D6" w14:textId="77777777" w:rsidR="00A61FF5" w:rsidRPr="00040036" w:rsidRDefault="00A61FF5" w:rsidP="00D07480">
            <w:pPr>
              <w:pStyle w:val="ESTableheadingwhite75"/>
              <w:rPr>
                <w:bCs/>
                <w:sz w:val="12"/>
                <w:szCs w:val="12"/>
                <w:lang w:val="en-AU"/>
              </w:rPr>
            </w:pPr>
            <w:r w:rsidRPr="00040036">
              <w:rPr>
                <w:bCs/>
                <w:sz w:val="12"/>
                <w:szCs w:val="12"/>
                <w:lang w:val="en-AU"/>
              </w:rPr>
              <w:t>All employees</w:t>
            </w:r>
          </w:p>
        </w:tc>
        <w:tc>
          <w:tcPr>
            <w:tcW w:w="870" w:type="pct"/>
            <w:gridSpan w:val="4"/>
            <w:tcBorders>
              <w:bottom w:val="nil"/>
            </w:tcBorders>
            <w:shd w:val="clear" w:color="000000" w:fill="7F7F7F" w:themeFill="text1" w:themeFillTint="80"/>
            <w:noWrap/>
            <w:vAlign w:val="center"/>
            <w:hideMark/>
          </w:tcPr>
          <w:p w14:paraId="38B54150" w14:textId="77777777" w:rsidR="00A61FF5" w:rsidRPr="00040036" w:rsidRDefault="00A61FF5" w:rsidP="00D07480">
            <w:pPr>
              <w:pStyle w:val="ESTableheadingwhite75"/>
              <w:rPr>
                <w:bCs/>
                <w:sz w:val="12"/>
                <w:szCs w:val="12"/>
                <w:lang w:val="en-AU"/>
              </w:rPr>
            </w:pPr>
            <w:r w:rsidRPr="00040036">
              <w:rPr>
                <w:bCs/>
                <w:sz w:val="12"/>
                <w:szCs w:val="12"/>
                <w:lang w:val="en-AU"/>
              </w:rPr>
              <w:t>Ongoing</w:t>
            </w:r>
          </w:p>
        </w:tc>
        <w:tc>
          <w:tcPr>
            <w:tcW w:w="623" w:type="pct"/>
            <w:gridSpan w:val="3"/>
            <w:tcBorders>
              <w:bottom w:val="nil"/>
              <w:right w:val="nil"/>
            </w:tcBorders>
            <w:shd w:val="clear" w:color="000000" w:fill="7F7F7F" w:themeFill="text1" w:themeFillTint="80"/>
            <w:vAlign w:val="center"/>
            <w:hideMark/>
          </w:tcPr>
          <w:p w14:paraId="1C977939" w14:textId="77777777" w:rsidR="00A61FF5" w:rsidRPr="00040036" w:rsidRDefault="00A61FF5" w:rsidP="00D07480">
            <w:pPr>
              <w:pStyle w:val="ESTableheadingwhite75"/>
              <w:rPr>
                <w:bCs/>
                <w:sz w:val="12"/>
                <w:szCs w:val="12"/>
                <w:lang w:val="en-AU"/>
              </w:rPr>
            </w:pPr>
            <w:r w:rsidRPr="00040036">
              <w:rPr>
                <w:bCs/>
                <w:sz w:val="12"/>
                <w:szCs w:val="12"/>
                <w:lang w:val="en-AU"/>
              </w:rPr>
              <w:t>Fixed term and casual employees</w:t>
            </w:r>
          </w:p>
        </w:tc>
      </w:tr>
      <w:tr w:rsidR="00A61FF5" w:rsidRPr="00932A90" w14:paraId="4D2578FA" w14:textId="77777777" w:rsidTr="00D07480">
        <w:trPr>
          <w:trHeight w:val="600"/>
        </w:trPr>
        <w:tc>
          <w:tcPr>
            <w:tcW w:w="182" w:type="pct"/>
            <w:tcBorders>
              <w:top w:val="nil"/>
              <w:left w:val="nil"/>
            </w:tcBorders>
            <w:shd w:val="clear" w:color="000000" w:fill="7F7F7F" w:themeFill="text1" w:themeFillTint="80"/>
            <w:noWrap/>
            <w:vAlign w:val="bottom"/>
          </w:tcPr>
          <w:p w14:paraId="2B30767C" w14:textId="77777777" w:rsidR="00A61FF5" w:rsidRPr="00040036" w:rsidRDefault="00A61FF5" w:rsidP="00D07480">
            <w:pPr>
              <w:pStyle w:val="ESTableheadingwhite75"/>
              <w:rPr>
                <w:bCs/>
                <w:sz w:val="12"/>
                <w:szCs w:val="12"/>
                <w:lang w:val="en-AU"/>
              </w:rPr>
            </w:pPr>
          </w:p>
        </w:tc>
        <w:tc>
          <w:tcPr>
            <w:tcW w:w="529" w:type="pct"/>
            <w:tcBorders>
              <w:top w:val="nil"/>
            </w:tcBorders>
            <w:shd w:val="clear" w:color="000000" w:fill="7F7F7F" w:themeFill="text1" w:themeFillTint="80"/>
            <w:noWrap/>
            <w:vAlign w:val="bottom"/>
            <w:hideMark/>
          </w:tcPr>
          <w:p w14:paraId="7D3E3581" w14:textId="77777777" w:rsidR="00A61FF5" w:rsidRPr="00040036" w:rsidRDefault="00A61FF5" w:rsidP="00D07480">
            <w:pPr>
              <w:pStyle w:val="ESTableheadingwhite75"/>
              <w:rPr>
                <w:bCs/>
                <w:sz w:val="12"/>
                <w:szCs w:val="12"/>
                <w:lang w:val="en-AU"/>
              </w:rPr>
            </w:pPr>
            <w:r w:rsidRPr="00040036">
              <w:rPr>
                <w:bCs/>
                <w:sz w:val="12"/>
                <w:szCs w:val="12"/>
                <w:lang w:val="en-AU"/>
              </w:rPr>
              <w:t> </w:t>
            </w:r>
          </w:p>
        </w:tc>
        <w:tc>
          <w:tcPr>
            <w:tcW w:w="355" w:type="pct"/>
            <w:tcBorders>
              <w:top w:val="nil"/>
            </w:tcBorders>
            <w:shd w:val="clear" w:color="000000" w:fill="7F7F7F" w:themeFill="text1" w:themeFillTint="80"/>
            <w:noWrap/>
            <w:vAlign w:val="bottom"/>
            <w:hideMark/>
          </w:tcPr>
          <w:p w14:paraId="56979A7C" w14:textId="77777777" w:rsidR="00A61FF5" w:rsidRPr="00040036" w:rsidRDefault="00A61FF5" w:rsidP="00D07480">
            <w:pPr>
              <w:pStyle w:val="ESTableheadingwhite75"/>
              <w:rPr>
                <w:bCs/>
                <w:sz w:val="12"/>
                <w:szCs w:val="12"/>
                <w:lang w:val="en-AU"/>
              </w:rPr>
            </w:pPr>
            <w:r w:rsidRPr="00040036">
              <w:rPr>
                <w:bCs/>
                <w:sz w:val="12"/>
                <w:szCs w:val="12"/>
                <w:lang w:val="en-AU"/>
              </w:rPr>
              <w:t>Headcount</w:t>
            </w:r>
          </w:p>
        </w:tc>
        <w:tc>
          <w:tcPr>
            <w:tcW w:w="305" w:type="pct"/>
            <w:tcBorders>
              <w:top w:val="nil"/>
            </w:tcBorders>
            <w:shd w:val="clear" w:color="000000" w:fill="7F7F7F" w:themeFill="text1" w:themeFillTint="80"/>
            <w:vAlign w:val="bottom"/>
            <w:hideMark/>
          </w:tcPr>
          <w:p w14:paraId="110E745F" w14:textId="77777777" w:rsidR="00A61FF5" w:rsidRPr="00040036" w:rsidRDefault="00A61FF5" w:rsidP="00D07480">
            <w:pPr>
              <w:pStyle w:val="ESTableheadingwhite75"/>
              <w:rPr>
                <w:bCs/>
                <w:sz w:val="12"/>
                <w:szCs w:val="12"/>
                <w:lang w:val="en-AU"/>
              </w:rPr>
            </w:pPr>
            <w:r w:rsidRPr="00040036">
              <w:rPr>
                <w:bCs/>
                <w:sz w:val="12"/>
                <w:szCs w:val="12"/>
                <w:lang w:val="en-AU"/>
              </w:rPr>
              <w:t>FTE</w:t>
            </w:r>
          </w:p>
        </w:tc>
        <w:tc>
          <w:tcPr>
            <w:tcW w:w="254" w:type="pct"/>
            <w:tcBorders>
              <w:top w:val="nil"/>
            </w:tcBorders>
            <w:shd w:val="clear" w:color="000000" w:fill="7F7F7F" w:themeFill="text1" w:themeFillTint="80"/>
            <w:vAlign w:val="bottom"/>
            <w:hideMark/>
          </w:tcPr>
          <w:p w14:paraId="72931482" w14:textId="77777777" w:rsidR="00A61FF5" w:rsidRPr="00040036" w:rsidRDefault="00A61FF5" w:rsidP="00D07480">
            <w:pPr>
              <w:pStyle w:val="ESTableheadingwhite75"/>
              <w:rPr>
                <w:bCs/>
                <w:sz w:val="12"/>
                <w:szCs w:val="12"/>
                <w:lang w:val="en-AU"/>
              </w:rPr>
            </w:pPr>
            <w:r w:rsidRPr="00040036">
              <w:rPr>
                <w:bCs/>
                <w:sz w:val="12"/>
                <w:szCs w:val="12"/>
                <w:lang w:val="en-AU"/>
              </w:rPr>
              <w:t>Full-time (Head count)</w:t>
            </w:r>
          </w:p>
        </w:tc>
        <w:tc>
          <w:tcPr>
            <w:tcW w:w="253" w:type="pct"/>
            <w:tcBorders>
              <w:top w:val="nil"/>
            </w:tcBorders>
            <w:shd w:val="clear" w:color="000000" w:fill="7F7F7F" w:themeFill="text1" w:themeFillTint="80"/>
            <w:vAlign w:val="bottom"/>
            <w:hideMark/>
          </w:tcPr>
          <w:p w14:paraId="0F86C1AE" w14:textId="77777777" w:rsidR="00A61FF5" w:rsidRPr="00040036" w:rsidRDefault="00A61FF5" w:rsidP="00D07480">
            <w:pPr>
              <w:pStyle w:val="ESTableheadingwhite75"/>
              <w:rPr>
                <w:bCs/>
                <w:sz w:val="12"/>
                <w:szCs w:val="12"/>
                <w:lang w:val="en-AU"/>
              </w:rPr>
            </w:pPr>
            <w:r w:rsidRPr="00040036">
              <w:rPr>
                <w:bCs/>
                <w:sz w:val="12"/>
                <w:szCs w:val="12"/>
                <w:lang w:val="en-AU"/>
              </w:rPr>
              <w:t>Part-time (Head count)</w:t>
            </w:r>
          </w:p>
        </w:tc>
        <w:tc>
          <w:tcPr>
            <w:tcW w:w="305" w:type="pct"/>
            <w:tcBorders>
              <w:top w:val="nil"/>
            </w:tcBorders>
            <w:shd w:val="clear" w:color="000000" w:fill="7F7F7F" w:themeFill="text1" w:themeFillTint="80"/>
            <w:noWrap/>
            <w:vAlign w:val="bottom"/>
            <w:hideMark/>
          </w:tcPr>
          <w:p w14:paraId="3FC0ECD4" w14:textId="77777777" w:rsidR="00A61FF5" w:rsidRPr="00040036" w:rsidRDefault="00A61FF5" w:rsidP="00D07480">
            <w:pPr>
              <w:pStyle w:val="ESTableheadingwhite75"/>
              <w:rPr>
                <w:bCs/>
                <w:sz w:val="12"/>
                <w:szCs w:val="12"/>
                <w:lang w:val="en-AU"/>
              </w:rPr>
            </w:pPr>
            <w:r w:rsidRPr="00040036">
              <w:rPr>
                <w:bCs/>
                <w:sz w:val="12"/>
                <w:szCs w:val="12"/>
                <w:lang w:val="en-AU"/>
              </w:rPr>
              <w:t>FTE</w:t>
            </w:r>
          </w:p>
        </w:tc>
        <w:tc>
          <w:tcPr>
            <w:tcW w:w="357" w:type="pct"/>
            <w:tcBorders>
              <w:top w:val="nil"/>
            </w:tcBorders>
            <w:shd w:val="clear" w:color="000000" w:fill="7F7F7F" w:themeFill="text1" w:themeFillTint="80"/>
            <w:noWrap/>
            <w:vAlign w:val="bottom"/>
            <w:hideMark/>
          </w:tcPr>
          <w:p w14:paraId="674A58D4" w14:textId="77777777" w:rsidR="00A61FF5" w:rsidRPr="00040036" w:rsidRDefault="00A61FF5" w:rsidP="00D07480">
            <w:pPr>
              <w:pStyle w:val="ESTableheadingwhite75"/>
              <w:rPr>
                <w:bCs/>
                <w:sz w:val="12"/>
                <w:szCs w:val="12"/>
                <w:lang w:val="en-AU"/>
              </w:rPr>
            </w:pPr>
            <w:r w:rsidRPr="00040036">
              <w:rPr>
                <w:bCs/>
                <w:sz w:val="12"/>
                <w:szCs w:val="12"/>
                <w:lang w:val="en-AU"/>
              </w:rPr>
              <w:t>Headcount</w:t>
            </w:r>
          </w:p>
        </w:tc>
        <w:tc>
          <w:tcPr>
            <w:tcW w:w="307" w:type="pct"/>
            <w:tcBorders>
              <w:top w:val="nil"/>
            </w:tcBorders>
            <w:shd w:val="clear" w:color="000000" w:fill="7F7F7F" w:themeFill="text1" w:themeFillTint="80"/>
            <w:noWrap/>
            <w:vAlign w:val="bottom"/>
            <w:hideMark/>
          </w:tcPr>
          <w:p w14:paraId="2A3EB8B9" w14:textId="77777777" w:rsidR="00A61FF5" w:rsidRPr="00040036" w:rsidRDefault="00A61FF5" w:rsidP="00D07480">
            <w:pPr>
              <w:pStyle w:val="ESTableheadingwhite75"/>
              <w:rPr>
                <w:bCs/>
                <w:sz w:val="12"/>
                <w:szCs w:val="12"/>
                <w:lang w:val="en-AU"/>
              </w:rPr>
            </w:pPr>
            <w:r w:rsidRPr="00040036">
              <w:rPr>
                <w:bCs/>
                <w:sz w:val="12"/>
                <w:szCs w:val="12"/>
                <w:lang w:val="en-AU"/>
              </w:rPr>
              <w:t>FTE</w:t>
            </w:r>
          </w:p>
        </w:tc>
        <w:tc>
          <w:tcPr>
            <w:tcW w:w="356" w:type="pct"/>
            <w:tcBorders>
              <w:top w:val="nil"/>
            </w:tcBorders>
            <w:shd w:val="clear" w:color="000000" w:fill="7F7F7F" w:themeFill="text1" w:themeFillTint="80"/>
            <w:noWrap/>
            <w:vAlign w:val="bottom"/>
            <w:hideMark/>
          </w:tcPr>
          <w:p w14:paraId="434166C6" w14:textId="77777777" w:rsidR="00A61FF5" w:rsidRPr="00040036" w:rsidRDefault="00A61FF5" w:rsidP="00D07480">
            <w:pPr>
              <w:pStyle w:val="ESTableheadingwhite75"/>
              <w:rPr>
                <w:bCs/>
                <w:sz w:val="12"/>
                <w:szCs w:val="12"/>
                <w:lang w:val="en-AU"/>
              </w:rPr>
            </w:pPr>
            <w:r w:rsidRPr="00040036">
              <w:rPr>
                <w:bCs/>
                <w:sz w:val="12"/>
                <w:szCs w:val="12"/>
                <w:lang w:val="en-AU"/>
              </w:rPr>
              <w:t>Headcount</w:t>
            </w:r>
          </w:p>
        </w:tc>
        <w:tc>
          <w:tcPr>
            <w:tcW w:w="304" w:type="pct"/>
            <w:tcBorders>
              <w:top w:val="nil"/>
            </w:tcBorders>
            <w:shd w:val="clear" w:color="000000" w:fill="7F7F7F" w:themeFill="text1" w:themeFillTint="80"/>
            <w:vAlign w:val="bottom"/>
            <w:hideMark/>
          </w:tcPr>
          <w:p w14:paraId="3F10A467" w14:textId="77777777" w:rsidR="00A61FF5" w:rsidRPr="00040036" w:rsidRDefault="00A61FF5" w:rsidP="00D07480">
            <w:pPr>
              <w:pStyle w:val="ESTableheadingwhite75"/>
              <w:rPr>
                <w:bCs/>
                <w:sz w:val="12"/>
                <w:szCs w:val="12"/>
                <w:lang w:val="en-AU"/>
              </w:rPr>
            </w:pPr>
            <w:r w:rsidRPr="00040036">
              <w:rPr>
                <w:bCs/>
                <w:sz w:val="12"/>
                <w:szCs w:val="12"/>
                <w:lang w:val="en-AU"/>
              </w:rPr>
              <w:t>FTE</w:t>
            </w:r>
          </w:p>
        </w:tc>
        <w:tc>
          <w:tcPr>
            <w:tcW w:w="355" w:type="pct"/>
            <w:gridSpan w:val="2"/>
            <w:tcBorders>
              <w:top w:val="nil"/>
            </w:tcBorders>
            <w:shd w:val="clear" w:color="000000" w:fill="7F7F7F" w:themeFill="text1" w:themeFillTint="80"/>
            <w:vAlign w:val="bottom"/>
            <w:hideMark/>
          </w:tcPr>
          <w:p w14:paraId="7C7FE186" w14:textId="77777777" w:rsidR="00A61FF5" w:rsidRPr="00040036" w:rsidRDefault="00A61FF5" w:rsidP="00D07480">
            <w:pPr>
              <w:pStyle w:val="ESTableheadingwhite75"/>
              <w:rPr>
                <w:bCs/>
                <w:sz w:val="12"/>
                <w:szCs w:val="12"/>
                <w:lang w:val="en-AU"/>
              </w:rPr>
            </w:pPr>
            <w:r w:rsidRPr="00040036">
              <w:rPr>
                <w:bCs/>
                <w:sz w:val="12"/>
                <w:szCs w:val="12"/>
                <w:lang w:val="en-AU"/>
              </w:rPr>
              <w:t>Full-time (Head count)</w:t>
            </w:r>
          </w:p>
        </w:tc>
        <w:tc>
          <w:tcPr>
            <w:tcW w:w="260" w:type="pct"/>
            <w:tcBorders>
              <w:top w:val="nil"/>
            </w:tcBorders>
            <w:shd w:val="clear" w:color="000000" w:fill="7F7F7F" w:themeFill="text1" w:themeFillTint="80"/>
            <w:vAlign w:val="bottom"/>
            <w:hideMark/>
          </w:tcPr>
          <w:p w14:paraId="50FBD747" w14:textId="77777777" w:rsidR="00A61FF5" w:rsidRPr="00040036" w:rsidRDefault="00A61FF5" w:rsidP="00D07480">
            <w:pPr>
              <w:pStyle w:val="ESTableheadingwhite75"/>
              <w:rPr>
                <w:bCs/>
                <w:sz w:val="12"/>
                <w:szCs w:val="12"/>
                <w:lang w:val="en-AU"/>
              </w:rPr>
            </w:pPr>
            <w:r w:rsidRPr="00040036">
              <w:rPr>
                <w:bCs/>
                <w:sz w:val="12"/>
                <w:szCs w:val="12"/>
                <w:lang w:val="en-AU"/>
              </w:rPr>
              <w:t>Part-time (Head count)</w:t>
            </w:r>
          </w:p>
        </w:tc>
        <w:tc>
          <w:tcPr>
            <w:tcW w:w="255" w:type="pct"/>
            <w:tcBorders>
              <w:top w:val="nil"/>
            </w:tcBorders>
            <w:shd w:val="clear" w:color="000000" w:fill="7F7F7F" w:themeFill="text1" w:themeFillTint="80"/>
            <w:noWrap/>
            <w:vAlign w:val="bottom"/>
            <w:hideMark/>
          </w:tcPr>
          <w:p w14:paraId="687E9389" w14:textId="77777777" w:rsidR="00A61FF5" w:rsidRPr="00040036" w:rsidRDefault="00A61FF5" w:rsidP="00D07480">
            <w:pPr>
              <w:pStyle w:val="ESTableheadingwhite75"/>
              <w:rPr>
                <w:bCs/>
                <w:sz w:val="12"/>
                <w:szCs w:val="12"/>
                <w:lang w:val="en-AU"/>
              </w:rPr>
            </w:pPr>
            <w:r w:rsidRPr="00040036">
              <w:rPr>
                <w:bCs/>
                <w:sz w:val="12"/>
                <w:szCs w:val="12"/>
                <w:lang w:val="en-AU"/>
              </w:rPr>
              <w:t>FTE</w:t>
            </w:r>
          </w:p>
        </w:tc>
        <w:tc>
          <w:tcPr>
            <w:tcW w:w="346" w:type="pct"/>
            <w:gridSpan w:val="2"/>
            <w:tcBorders>
              <w:top w:val="nil"/>
            </w:tcBorders>
            <w:shd w:val="clear" w:color="000000" w:fill="7F7F7F" w:themeFill="text1" w:themeFillTint="80"/>
            <w:noWrap/>
            <w:vAlign w:val="bottom"/>
            <w:hideMark/>
          </w:tcPr>
          <w:p w14:paraId="5AEED951" w14:textId="77777777" w:rsidR="00A61FF5" w:rsidRPr="00040036" w:rsidRDefault="00A61FF5" w:rsidP="00D07480">
            <w:pPr>
              <w:pStyle w:val="ESTableheadingwhite75"/>
              <w:rPr>
                <w:bCs/>
                <w:sz w:val="12"/>
                <w:szCs w:val="12"/>
                <w:lang w:val="en-AU"/>
              </w:rPr>
            </w:pPr>
            <w:r w:rsidRPr="00040036">
              <w:rPr>
                <w:bCs/>
                <w:sz w:val="12"/>
                <w:szCs w:val="12"/>
                <w:lang w:val="en-AU"/>
              </w:rPr>
              <w:t>Headcount</w:t>
            </w:r>
          </w:p>
        </w:tc>
        <w:tc>
          <w:tcPr>
            <w:tcW w:w="277" w:type="pct"/>
            <w:tcBorders>
              <w:top w:val="nil"/>
              <w:right w:val="nil"/>
            </w:tcBorders>
            <w:shd w:val="clear" w:color="000000" w:fill="7F7F7F" w:themeFill="text1" w:themeFillTint="80"/>
            <w:noWrap/>
            <w:vAlign w:val="bottom"/>
            <w:hideMark/>
          </w:tcPr>
          <w:p w14:paraId="1813DD82" w14:textId="77777777" w:rsidR="00A61FF5" w:rsidRPr="00040036" w:rsidRDefault="00A61FF5" w:rsidP="00D07480">
            <w:pPr>
              <w:pStyle w:val="ESTableheadingwhite75"/>
              <w:rPr>
                <w:bCs/>
                <w:sz w:val="12"/>
                <w:szCs w:val="12"/>
                <w:lang w:val="en-AU"/>
              </w:rPr>
            </w:pPr>
            <w:r w:rsidRPr="00040036">
              <w:rPr>
                <w:bCs/>
                <w:sz w:val="12"/>
                <w:szCs w:val="12"/>
                <w:lang w:val="en-AU"/>
              </w:rPr>
              <w:t>FTE</w:t>
            </w:r>
          </w:p>
        </w:tc>
      </w:tr>
      <w:tr w:rsidR="00A61FF5" w:rsidRPr="00932A90" w14:paraId="0C4674A9" w14:textId="77777777" w:rsidTr="00D07480">
        <w:trPr>
          <w:trHeight w:val="300"/>
        </w:trPr>
        <w:tc>
          <w:tcPr>
            <w:tcW w:w="182" w:type="pct"/>
            <w:vMerge w:val="restart"/>
            <w:tcBorders>
              <w:left w:val="nil"/>
              <w:right w:val="nil"/>
            </w:tcBorders>
            <w:shd w:val="clear" w:color="auto" w:fill="auto"/>
            <w:noWrap/>
            <w:textDirection w:val="btLr"/>
            <w:vAlign w:val="center"/>
          </w:tcPr>
          <w:p w14:paraId="319EE3DD" w14:textId="77777777" w:rsidR="00A61FF5" w:rsidRPr="00040036" w:rsidRDefault="00A61FF5" w:rsidP="00D07480">
            <w:pPr>
              <w:pStyle w:val="ESTablebody3ptafter"/>
              <w:jc w:val="center"/>
              <w:rPr>
                <w:lang w:val="en-AU" w:eastAsia="en-AU"/>
              </w:rPr>
            </w:pPr>
            <w:r w:rsidRPr="00040036">
              <w:rPr>
                <w:bCs/>
                <w:color w:val="FFFFFF" w:themeColor="background1"/>
                <w:sz w:val="12"/>
                <w:szCs w:val="12"/>
                <w:lang w:val="en-AU"/>
              </w:rPr>
              <w:t> </w:t>
            </w:r>
            <w:r w:rsidRPr="00040036">
              <w:rPr>
                <w:lang w:val="en-AU" w:eastAsia="en-AU"/>
              </w:rPr>
              <w:t>Demographic data</w:t>
            </w:r>
          </w:p>
        </w:tc>
        <w:tc>
          <w:tcPr>
            <w:tcW w:w="529" w:type="pct"/>
            <w:tcBorders>
              <w:left w:val="nil"/>
              <w:bottom w:val="nil"/>
              <w:right w:val="nil"/>
            </w:tcBorders>
            <w:shd w:val="clear" w:color="auto" w:fill="auto"/>
            <w:noWrap/>
            <w:vAlign w:val="bottom"/>
            <w:hideMark/>
          </w:tcPr>
          <w:p w14:paraId="37987558" w14:textId="77777777" w:rsidR="00A61FF5" w:rsidRPr="00040036" w:rsidRDefault="00A61FF5" w:rsidP="00D07480">
            <w:pPr>
              <w:pStyle w:val="ESTablebody3ptafter"/>
              <w:rPr>
                <w:b/>
                <w:bCs/>
                <w:sz w:val="14"/>
                <w:szCs w:val="14"/>
                <w:lang w:val="en-AU" w:eastAsia="en-AU"/>
              </w:rPr>
            </w:pPr>
            <w:r w:rsidRPr="00040036">
              <w:rPr>
                <w:b/>
                <w:bCs/>
                <w:sz w:val="14"/>
                <w:szCs w:val="14"/>
                <w:lang w:val="en-AU" w:eastAsia="en-AU"/>
              </w:rPr>
              <w:t>Gender</w:t>
            </w:r>
          </w:p>
        </w:tc>
        <w:tc>
          <w:tcPr>
            <w:tcW w:w="355" w:type="pct"/>
            <w:tcBorders>
              <w:left w:val="nil"/>
              <w:bottom w:val="nil"/>
              <w:right w:val="nil"/>
            </w:tcBorders>
            <w:shd w:val="clear" w:color="auto" w:fill="auto"/>
            <w:noWrap/>
            <w:vAlign w:val="bottom"/>
            <w:hideMark/>
          </w:tcPr>
          <w:p w14:paraId="6EDA858F" w14:textId="77777777" w:rsidR="00A61FF5" w:rsidRPr="00040036" w:rsidRDefault="00A61FF5" w:rsidP="00D07480">
            <w:pPr>
              <w:pStyle w:val="ESTablebody3ptafter"/>
              <w:rPr>
                <w:b/>
                <w:bCs/>
                <w:sz w:val="14"/>
                <w:szCs w:val="14"/>
                <w:lang w:val="en-AU" w:eastAsia="en-AU"/>
              </w:rPr>
            </w:pPr>
          </w:p>
        </w:tc>
        <w:tc>
          <w:tcPr>
            <w:tcW w:w="305" w:type="pct"/>
            <w:tcBorders>
              <w:left w:val="nil"/>
              <w:bottom w:val="nil"/>
              <w:right w:val="single" w:sz="4" w:space="0" w:color="auto"/>
            </w:tcBorders>
            <w:shd w:val="clear" w:color="auto" w:fill="auto"/>
            <w:noWrap/>
            <w:vAlign w:val="bottom"/>
            <w:hideMark/>
          </w:tcPr>
          <w:p w14:paraId="5042C1EC"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254" w:type="pct"/>
            <w:tcBorders>
              <w:left w:val="nil"/>
              <w:bottom w:val="nil"/>
              <w:right w:val="nil"/>
            </w:tcBorders>
            <w:shd w:val="clear" w:color="auto" w:fill="auto"/>
            <w:noWrap/>
            <w:vAlign w:val="bottom"/>
            <w:hideMark/>
          </w:tcPr>
          <w:p w14:paraId="2C16680E" w14:textId="77777777" w:rsidR="00A61FF5" w:rsidRPr="00040036" w:rsidRDefault="00A61FF5" w:rsidP="00D07480">
            <w:pPr>
              <w:pStyle w:val="ESTablebody3ptafter"/>
              <w:rPr>
                <w:sz w:val="14"/>
                <w:szCs w:val="14"/>
                <w:lang w:val="en-AU" w:eastAsia="en-AU"/>
              </w:rPr>
            </w:pPr>
          </w:p>
        </w:tc>
        <w:tc>
          <w:tcPr>
            <w:tcW w:w="253" w:type="pct"/>
            <w:tcBorders>
              <w:left w:val="nil"/>
              <w:bottom w:val="nil"/>
              <w:right w:val="nil"/>
            </w:tcBorders>
            <w:shd w:val="clear" w:color="auto" w:fill="auto"/>
            <w:noWrap/>
            <w:vAlign w:val="bottom"/>
            <w:hideMark/>
          </w:tcPr>
          <w:p w14:paraId="72A2BB72" w14:textId="77777777" w:rsidR="00A61FF5" w:rsidRPr="00040036" w:rsidRDefault="00A61FF5" w:rsidP="00D07480">
            <w:pPr>
              <w:pStyle w:val="ESTablebody3ptafter"/>
              <w:rPr>
                <w:rFonts w:ascii="Times New Roman" w:hAnsi="Times New Roman"/>
                <w:sz w:val="14"/>
                <w:szCs w:val="14"/>
                <w:lang w:val="en-AU" w:eastAsia="en-AU"/>
              </w:rPr>
            </w:pPr>
          </w:p>
        </w:tc>
        <w:tc>
          <w:tcPr>
            <w:tcW w:w="305" w:type="pct"/>
            <w:tcBorders>
              <w:left w:val="nil"/>
              <w:bottom w:val="nil"/>
              <w:right w:val="single" w:sz="4" w:space="0" w:color="auto"/>
            </w:tcBorders>
            <w:shd w:val="clear" w:color="auto" w:fill="auto"/>
            <w:noWrap/>
            <w:vAlign w:val="bottom"/>
            <w:hideMark/>
          </w:tcPr>
          <w:p w14:paraId="67FE06DD"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57" w:type="pct"/>
            <w:tcBorders>
              <w:left w:val="nil"/>
              <w:bottom w:val="nil"/>
              <w:right w:val="nil"/>
            </w:tcBorders>
            <w:shd w:val="clear" w:color="auto" w:fill="auto"/>
            <w:noWrap/>
            <w:vAlign w:val="bottom"/>
            <w:hideMark/>
          </w:tcPr>
          <w:p w14:paraId="175A2F45" w14:textId="77777777" w:rsidR="00A61FF5" w:rsidRPr="00040036" w:rsidRDefault="00A61FF5" w:rsidP="00D07480">
            <w:pPr>
              <w:pStyle w:val="ESTablebody3ptafter"/>
              <w:rPr>
                <w:sz w:val="14"/>
                <w:szCs w:val="14"/>
                <w:lang w:val="en-AU" w:eastAsia="en-AU"/>
              </w:rPr>
            </w:pPr>
          </w:p>
        </w:tc>
        <w:tc>
          <w:tcPr>
            <w:tcW w:w="307" w:type="pct"/>
            <w:tcBorders>
              <w:left w:val="nil"/>
              <w:bottom w:val="nil"/>
              <w:right w:val="single" w:sz="8" w:space="0" w:color="auto"/>
            </w:tcBorders>
            <w:shd w:val="clear" w:color="auto" w:fill="auto"/>
            <w:noWrap/>
            <w:vAlign w:val="bottom"/>
            <w:hideMark/>
          </w:tcPr>
          <w:p w14:paraId="79D41B84"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56" w:type="pct"/>
            <w:tcBorders>
              <w:left w:val="nil"/>
              <w:bottom w:val="nil"/>
              <w:right w:val="nil"/>
            </w:tcBorders>
            <w:shd w:val="clear" w:color="auto" w:fill="auto"/>
            <w:noWrap/>
            <w:vAlign w:val="bottom"/>
            <w:hideMark/>
          </w:tcPr>
          <w:p w14:paraId="593092A9" w14:textId="77777777" w:rsidR="00A61FF5" w:rsidRPr="00040036" w:rsidRDefault="00A61FF5" w:rsidP="00D07480">
            <w:pPr>
              <w:pStyle w:val="ESTablebody3ptafter"/>
              <w:rPr>
                <w:sz w:val="14"/>
                <w:szCs w:val="14"/>
                <w:lang w:val="en-AU" w:eastAsia="en-AU"/>
              </w:rPr>
            </w:pPr>
          </w:p>
        </w:tc>
        <w:tc>
          <w:tcPr>
            <w:tcW w:w="304" w:type="pct"/>
            <w:tcBorders>
              <w:left w:val="nil"/>
              <w:bottom w:val="nil"/>
              <w:right w:val="single" w:sz="4" w:space="0" w:color="auto"/>
            </w:tcBorders>
            <w:shd w:val="clear" w:color="auto" w:fill="auto"/>
            <w:noWrap/>
            <w:vAlign w:val="bottom"/>
            <w:hideMark/>
          </w:tcPr>
          <w:p w14:paraId="3777330A"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09" w:type="pct"/>
            <w:tcBorders>
              <w:left w:val="nil"/>
              <w:bottom w:val="nil"/>
              <w:right w:val="nil"/>
            </w:tcBorders>
            <w:shd w:val="clear" w:color="auto" w:fill="auto"/>
            <w:noWrap/>
            <w:vAlign w:val="bottom"/>
            <w:hideMark/>
          </w:tcPr>
          <w:p w14:paraId="72EDD1B5" w14:textId="77777777" w:rsidR="00A61FF5" w:rsidRPr="00040036" w:rsidRDefault="00A61FF5" w:rsidP="00D07480">
            <w:pPr>
              <w:pStyle w:val="ESTablebody3ptafter"/>
              <w:rPr>
                <w:sz w:val="14"/>
                <w:szCs w:val="14"/>
                <w:lang w:val="en-AU" w:eastAsia="en-AU"/>
              </w:rPr>
            </w:pPr>
          </w:p>
        </w:tc>
        <w:tc>
          <w:tcPr>
            <w:tcW w:w="306" w:type="pct"/>
            <w:gridSpan w:val="2"/>
            <w:tcBorders>
              <w:left w:val="nil"/>
              <w:bottom w:val="nil"/>
              <w:right w:val="nil"/>
            </w:tcBorders>
            <w:shd w:val="clear" w:color="auto" w:fill="auto"/>
            <w:noWrap/>
            <w:vAlign w:val="bottom"/>
            <w:hideMark/>
          </w:tcPr>
          <w:p w14:paraId="28930D1C" w14:textId="77777777" w:rsidR="00A61FF5" w:rsidRPr="00040036" w:rsidRDefault="00A61FF5" w:rsidP="00D07480">
            <w:pPr>
              <w:pStyle w:val="ESTablebody3ptafter"/>
              <w:rPr>
                <w:rFonts w:ascii="Times New Roman" w:hAnsi="Times New Roman"/>
                <w:sz w:val="14"/>
                <w:szCs w:val="14"/>
                <w:lang w:val="en-AU" w:eastAsia="en-AU"/>
              </w:rPr>
            </w:pPr>
          </w:p>
        </w:tc>
        <w:tc>
          <w:tcPr>
            <w:tcW w:w="307" w:type="pct"/>
            <w:gridSpan w:val="2"/>
            <w:tcBorders>
              <w:left w:val="nil"/>
              <w:bottom w:val="nil"/>
              <w:right w:val="single" w:sz="4" w:space="0" w:color="auto"/>
            </w:tcBorders>
            <w:shd w:val="clear" w:color="auto" w:fill="auto"/>
            <w:noWrap/>
            <w:vAlign w:val="bottom"/>
            <w:hideMark/>
          </w:tcPr>
          <w:p w14:paraId="2C6AA47E"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294" w:type="pct"/>
            <w:tcBorders>
              <w:left w:val="nil"/>
              <w:bottom w:val="nil"/>
              <w:right w:val="nil"/>
            </w:tcBorders>
            <w:shd w:val="clear" w:color="auto" w:fill="auto"/>
            <w:noWrap/>
            <w:vAlign w:val="bottom"/>
            <w:hideMark/>
          </w:tcPr>
          <w:p w14:paraId="12354DE4" w14:textId="77777777" w:rsidR="00A61FF5" w:rsidRPr="00040036" w:rsidRDefault="00A61FF5" w:rsidP="00D07480">
            <w:pPr>
              <w:pStyle w:val="ESTablebody3ptafter"/>
              <w:rPr>
                <w:sz w:val="14"/>
                <w:szCs w:val="14"/>
                <w:lang w:val="en-AU" w:eastAsia="en-AU"/>
              </w:rPr>
            </w:pPr>
          </w:p>
        </w:tc>
        <w:tc>
          <w:tcPr>
            <w:tcW w:w="277" w:type="pct"/>
            <w:tcBorders>
              <w:left w:val="nil"/>
              <w:bottom w:val="nil"/>
              <w:right w:val="nil"/>
            </w:tcBorders>
            <w:shd w:val="clear" w:color="auto" w:fill="auto"/>
            <w:noWrap/>
            <w:vAlign w:val="bottom"/>
            <w:hideMark/>
          </w:tcPr>
          <w:p w14:paraId="21F9EEAF" w14:textId="77777777" w:rsidR="00A61FF5" w:rsidRPr="00040036" w:rsidRDefault="00A61FF5" w:rsidP="00D07480">
            <w:pPr>
              <w:pStyle w:val="ESTablebody3ptafter"/>
              <w:rPr>
                <w:rFonts w:ascii="Times New Roman" w:hAnsi="Times New Roman"/>
                <w:sz w:val="14"/>
                <w:szCs w:val="14"/>
                <w:lang w:val="en-AU" w:eastAsia="en-AU"/>
              </w:rPr>
            </w:pPr>
          </w:p>
        </w:tc>
      </w:tr>
      <w:tr w:rsidR="00A61FF5" w:rsidRPr="00932A90" w14:paraId="3F89C3D2" w14:textId="77777777" w:rsidTr="00D07480">
        <w:trPr>
          <w:trHeight w:val="300"/>
        </w:trPr>
        <w:tc>
          <w:tcPr>
            <w:tcW w:w="182" w:type="pct"/>
            <w:vMerge/>
            <w:tcBorders>
              <w:left w:val="nil"/>
              <w:right w:val="nil"/>
            </w:tcBorders>
            <w:shd w:val="clear" w:color="auto" w:fill="auto"/>
            <w:vAlign w:val="center"/>
            <w:hideMark/>
          </w:tcPr>
          <w:p w14:paraId="05F63D02"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528F1F63" w14:textId="77777777" w:rsidR="00A61FF5" w:rsidRPr="00040036" w:rsidRDefault="00A61FF5" w:rsidP="00D07480">
            <w:pPr>
              <w:pStyle w:val="ESTablebody3ptafter"/>
              <w:rPr>
                <w:sz w:val="14"/>
                <w:szCs w:val="14"/>
                <w:lang w:val="en-AU" w:eastAsia="en-AU"/>
              </w:rPr>
            </w:pPr>
            <w:r w:rsidRPr="00040036">
              <w:rPr>
                <w:sz w:val="14"/>
                <w:szCs w:val="14"/>
                <w:lang w:val="en-AU" w:eastAsia="en-AU"/>
              </w:rPr>
              <w:t>Male</w:t>
            </w:r>
          </w:p>
        </w:tc>
        <w:tc>
          <w:tcPr>
            <w:tcW w:w="355" w:type="pct"/>
            <w:tcBorders>
              <w:top w:val="nil"/>
              <w:left w:val="nil"/>
              <w:bottom w:val="nil"/>
              <w:right w:val="nil"/>
            </w:tcBorders>
            <w:shd w:val="clear" w:color="auto" w:fill="auto"/>
            <w:noWrap/>
            <w:vAlign w:val="bottom"/>
            <w:hideMark/>
          </w:tcPr>
          <w:p w14:paraId="57B3F281" w14:textId="77777777" w:rsidR="00A61FF5" w:rsidRPr="00040036" w:rsidRDefault="00A61FF5" w:rsidP="00D07480">
            <w:pPr>
              <w:pStyle w:val="ESTablebody3ptafter"/>
              <w:rPr>
                <w:sz w:val="14"/>
                <w:szCs w:val="14"/>
                <w:lang w:val="en-AU" w:eastAsia="en-AU"/>
              </w:rPr>
            </w:pPr>
            <w:r w:rsidRPr="00040036">
              <w:rPr>
                <w:sz w:val="14"/>
                <w:szCs w:val="14"/>
                <w:lang w:val="en-AU" w:eastAsia="en-AU"/>
              </w:rPr>
              <w:t>16,093</w:t>
            </w:r>
          </w:p>
        </w:tc>
        <w:tc>
          <w:tcPr>
            <w:tcW w:w="305" w:type="pct"/>
            <w:tcBorders>
              <w:top w:val="nil"/>
              <w:left w:val="nil"/>
              <w:bottom w:val="nil"/>
              <w:right w:val="single" w:sz="4" w:space="0" w:color="auto"/>
            </w:tcBorders>
            <w:shd w:val="clear" w:color="auto" w:fill="auto"/>
            <w:noWrap/>
            <w:vAlign w:val="bottom"/>
            <w:hideMark/>
          </w:tcPr>
          <w:p w14:paraId="2D6B1B07"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14,939.8</w:t>
            </w:r>
          </w:p>
        </w:tc>
        <w:tc>
          <w:tcPr>
            <w:tcW w:w="254" w:type="pct"/>
            <w:tcBorders>
              <w:top w:val="nil"/>
              <w:left w:val="nil"/>
              <w:bottom w:val="nil"/>
              <w:right w:val="nil"/>
            </w:tcBorders>
            <w:shd w:val="clear" w:color="auto" w:fill="auto"/>
            <w:noWrap/>
            <w:vAlign w:val="bottom"/>
            <w:hideMark/>
          </w:tcPr>
          <w:p w14:paraId="00F89F0F"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10,334</w:t>
            </w:r>
          </w:p>
        </w:tc>
        <w:tc>
          <w:tcPr>
            <w:tcW w:w="253" w:type="pct"/>
            <w:tcBorders>
              <w:top w:val="nil"/>
              <w:left w:val="nil"/>
              <w:bottom w:val="nil"/>
              <w:right w:val="nil"/>
            </w:tcBorders>
            <w:shd w:val="clear" w:color="auto" w:fill="auto"/>
            <w:noWrap/>
            <w:vAlign w:val="bottom"/>
            <w:hideMark/>
          </w:tcPr>
          <w:p w14:paraId="5CFAA8D0" w14:textId="4D1A8ACA"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798</w:t>
            </w:r>
          </w:p>
        </w:tc>
        <w:tc>
          <w:tcPr>
            <w:tcW w:w="305" w:type="pct"/>
            <w:tcBorders>
              <w:top w:val="nil"/>
              <w:left w:val="nil"/>
              <w:bottom w:val="nil"/>
              <w:right w:val="single" w:sz="4" w:space="0" w:color="auto"/>
            </w:tcBorders>
            <w:shd w:val="clear" w:color="auto" w:fill="auto"/>
            <w:noWrap/>
            <w:vAlign w:val="bottom"/>
            <w:hideMark/>
          </w:tcPr>
          <w:p w14:paraId="172B0D68"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11,526.4</w:t>
            </w:r>
          </w:p>
        </w:tc>
        <w:tc>
          <w:tcPr>
            <w:tcW w:w="357" w:type="pct"/>
            <w:tcBorders>
              <w:top w:val="nil"/>
              <w:left w:val="nil"/>
              <w:bottom w:val="nil"/>
              <w:right w:val="nil"/>
            </w:tcBorders>
            <w:shd w:val="clear" w:color="auto" w:fill="auto"/>
            <w:noWrap/>
            <w:vAlign w:val="bottom"/>
            <w:hideMark/>
          </w:tcPr>
          <w:p w14:paraId="69AE058D" w14:textId="0AD292D8" w:rsidR="00A61FF5" w:rsidRPr="00040036" w:rsidRDefault="00A61FF5" w:rsidP="00D07480">
            <w:pPr>
              <w:pStyle w:val="ESTablebody3ptafter"/>
              <w:rPr>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961</w:t>
            </w:r>
          </w:p>
        </w:tc>
        <w:tc>
          <w:tcPr>
            <w:tcW w:w="307" w:type="pct"/>
            <w:tcBorders>
              <w:top w:val="nil"/>
              <w:left w:val="nil"/>
              <w:bottom w:val="nil"/>
              <w:right w:val="single" w:sz="8" w:space="0" w:color="auto"/>
            </w:tcBorders>
            <w:shd w:val="clear" w:color="auto" w:fill="auto"/>
            <w:noWrap/>
            <w:vAlign w:val="bottom"/>
            <w:hideMark/>
          </w:tcPr>
          <w:p w14:paraId="5417E9F5" w14:textId="5CFB554E" w:rsidR="00A61FF5" w:rsidRPr="00040036" w:rsidRDefault="00A61FF5" w:rsidP="00D07480">
            <w:pPr>
              <w:pStyle w:val="ESTablebody3ptafter"/>
              <w:rPr>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413.4</w:t>
            </w:r>
          </w:p>
        </w:tc>
        <w:tc>
          <w:tcPr>
            <w:tcW w:w="356" w:type="pct"/>
            <w:tcBorders>
              <w:top w:val="nil"/>
              <w:left w:val="nil"/>
              <w:bottom w:val="nil"/>
              <w:right w:val="nil"/>
            </w:tcBorders>
            <w:shd w:val="clear" w:color="auto" w:fill="auto"/>
            <w:noWrap/>
            <w:vAlign w:val="bottom"/>
            <w:hideMark/>
          </w:tcPr>
          <w:p w14:paraId="34773FE2" w14:textId="77777777" w:rsidR="00A61FF5" w:rsidRPr="00040036" w:rsidRDefault="00A61FF5" w:rsidP="00D07480">
            <w:pPr>
              <w:pStyle w:val="ESTablebody3ptafter"/>
              <w:rPr>
                <w:sz w:val="14"/>
                <w:szCs w:val="14"/>
                <w:lang w:val="en-AU" w:eastAsia="en-AU"/>
              </w:rPr>
            </w:pPr>
            <w:r w:rsidRPr="00040036">
              <w:rPr>
                <w:sz w:val="14"/>
                <w:szCs w:val="14"/>
                <w:lang w:val="en-AU" w:eastAsia="en-AU"/>
              </w:rPr>
              <w:t>15,700</w:t>
            </w:r>
          </w:p>
        </w:tc>
        <w:tc>
          <w:tcPr>
            <w:tcW w:w="304" w:type="pct"/>
            <w:tcBorders>
              <w:top w:val="nil"/>
              <w:left w:val="nil"/>
              <w:bottom w:val="nil"/>
              <w:right w:val="single" w:sz="4" w:space="0" w:color="auto"/>
            </w:tcBorders>
            <w:shd w:val="clear" w:color="auto" w:fill="auto"/>
            <w:noWrap/>
            <w:vAlign w:val="bottom"/>
            <w:hideMark/>
          </w:tcPr>
          <w:p w14:paraId="5DDA9FCF"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14,584.3</w:t>
            </w:r>
          </w:p>
        </w:tc>
        <w:tc>
          <w:tcPr>
            <w:tcW w:w="309" w:type="pct"/>
            <w:tcBorders>
              <w:top w:val="nil"/>
              <w:left w:val="nil"/>
              <w:bottom w:val="nil"/>
              <w:right w:val="nil"/>
            </w:tcBorders>
            <w:shd w:val="clear" w:color="auto" w:fill="auto"/>
            <w:noWrap/>
            <w:vAlign w:val="bottom"/>
            <w:hideMark/>
          </w:tcPr>
          <w:p w14:paraId="2731B8D1"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10,246</w:t>
            </w:r>
          </w:p>
        </w:tc>
        <w:tc>
          <w:tcPr>
            <w:tcW w:w="306" w:type="pct"/>
            <w:gridSpan w:val="2"/>
            <w:tcBorders>
              <w:top w:val="nil"/>
              <w:left w:val="nil"/>
              <w:bottom w:val="nil"/>
              <w:right w:val="nil"/>
            </w:tcBorders>
            <w:shd w:val="clear" w:color="auto" w:fill="auto"/>
            <w:noWrap/>
            <w:vAlign w:val="bottom"/>
            <w:hideMark/>
          </w:tcPr>
          <w:p w14:paraId="398C03FE" w14:textId="775F7978"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798</w:t>
            </w:r>
          </w:p>
        </w:tc>
        <w:tc>
          <w:tcPr>
            <w:tcW w:w="307" w:type="pct"/>
            <w:gridSpan w:val="2"/>
            <w:tcBorders>
              <w:top w:val="nil"/>
              <w:left w:val="nil"/>
              <w:bottom w:val="nil"/>
              <w:right w:val="single" w:sz="4" w:space="0" w:color="auto"/>
            </w:tcBorders>
            <w:shd w:val="clear" w:color="auto" w:fill="auto"/>
            <w:noWrap/>
            <w:vAlign w:val="bottom"/>
            <w:hideMark/>
          </w:tcPr>
          <w:p w14:paraId="4B81E77D"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11,436.3</w:t>
            </w:r>
          </w:p>
        </w:tc>
        <w:tc>
          <w:tcPr>
            <w:tcW w:w="294" w:type="pct"/>
            <w:tcBorders>
              <w:top w:val="nil"/>
              <w:left w:val="nil"/>
              <w:bottom w:val="nil"/>
              <w:right w:val="nil"/>
            </w:tcBorders>
            <w:shd w:val="clear" w:color="auto" w:fill="auto"/>
            <w:noWrap/>
            <w:vAlign w:val="bottom"/>
            <w:hideMark/>
          </w:tcPr>
          <w:p w14:paraId="519A7370" w14:textId="77777777" w:rsidR="00A61FF5" w:rsidRPr="00040036" w:rsidRDefault="00A61FF5" w:rsidP="00D07480">
            <w:pPr>
              <w:pStyle w:val="ESTablebody3ptafter"/>
              <w:rPr>
                <w:sz w:val="14"/>
                <w:szCs w:val="14"/>
                <w:lang w:val="en-AU" w:eastAsia="en-AU"/>
              </w:rPr>
            </w:pPr>
            <w:r w:rsidRPr="00040036">
              <w:rPr>
                <w:sz w:val="14"/>
                <w:szCs w:val="14"/>
                <w:lang w:val="en-AU" w:eastAsia="en-AU"/>
              </w:rPr>
              <w:t>3,656</w:t>
            </w:r>
          </w:p>
        </w:tc>
        <w:tc>
          <w:tcPr>
            <w:tcW w:w="277" w:type="pct"/>
            <w:tcBorders>
              <w:top w:val="nil"/>
              <w:left w:val="nil"/>
              <w:bottom w:val="nil"/>
              <w:right w:val="nil"/>
            </w:tcBorders>
            <w:shd w:val="clear" w:color="auto" w:fill="auto"/>
            <w:noWrap/>
            <w:vAlign w:val="bottom"/>
            <w:hideMark/>
          </w:tcPr>
          <w:p w14:paraId="2D4B5F0A" w14:textId="77777777" w:rsidR="00A61FF5" w:rsidRPr="00040036" w:rsidRDefault="00A61FF5" w:rsidP="00D07480">
            <w:pPr>
              <w:pStyle w:val="ESTablebody3ptafter"/>
              <w:rPr>
                <w:sz w:val="14"/>
                <w:szCs w:val="14"/>
                <w:lang w:val="en-AU" w:eastAsia="en-AU"/>
              </w:rPr>
            </w:pPr>
            <w:r w:rsidRPr="00040036">
              <w:rPr>
                <w:sz w:val="14"/>
                <w:szCs w:val="14"/>
                <w:lang w:val="en-AU" w:eastAsia="en-AU"/>
              </w:rPr>
              <w:t>3,148.0</w:t>
            </w:r>
          </w:p>
        </w:tc>
      </w:tr>
      <w:tr w:rsidR="00A61FF5" w:rsidRPr="00932A90" w14:paraId="3EE52E3E" w14:textId="77777777" w:rsidTr="00D07480">
        <w:trPr>
          <w:trHeight w:val="300"/>
        </w:trPr>
        <w:tc>
          <w:tcPr>
            <w:tcW w:w="182" w:type="pct"/>
            <w:vMerge/>
            <w:tcBorders>
              <w:left w:val="nil"/>
              <w:right w:val="nil"/>
            </w:tcBorders>
            <w:shd w:val="clear" w:color="auto" w:fill="auto"/>
            <w:vAlign w:val="bottom"/>
            <w:hideMark/>
          </w:tcPr>
          <w:p w14:paraId="232A2A2E"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23A0E6DA" w14:textId="77777777" w:rsidR="00A61FF5" w:rsidRPr="00040036" w:rsidRDefault="00A61FF5" w:rsidP="00D07480">
            <w:pPr>
              <w:pStyle w:val="ESTablebody3ptafter"/>
              <w:rPr>
                <w:sz w:val="14"/>
                <w:szCs w:val="14"/>
                <w:lang w:val="en-AU" w:eastAsia="en-AU"/>
              </w:rPr>
            </w:pPr>
            <w:r w:rsidRPr="00040036">
              <w:rPr>
                <w:sz w:val="14"/>
                <w:szCs w:val="14"/>
                <w:lang w:val="en-AU" w:eastAsia="en-AU"/>
              </w:rPr>
              <w:t>Female</w:t>
            </w:r>
          </w:p>
        </w:tc>
        <w:tc>
          <w:tcPr>
            <w:tcW w:w="355" w:type="pct"/>
            <w:tcBorders>
              <w:top w:val="nil"/>
              <w:left w:val="nil"/>
              <w:bottom w:val="nil"/>
              <w:right w:val="nil"/>
            </w:tcBorders>
            <w:shd w:val="clear" w:color="auto" w:fill="auto"/>
            <w:noWrap/>
            <w:vAlign w:val="bottom"/>
            <w:hideMark/>
          </w:tcPr>
          <w:p w14:paraId="6EC4FF40" w14:textId="77777777" w:rsidR="00A61FF5" w:rsidRPr="00040036" w:rsidRDefault="00A61FF5" w:rsidP="00D07480">
            <w:pPr>
              <w:pStyle w:val="ESTablebody3ptafter"/>
              <w:rPr>
                <w:sz w:val="14"/>
                <w:szCs w:val="14"/>
                <w:lang w:val="en-AU" w:eastAsia="en-AU"/>
              </w:rPr>
            </w:pPr>
            <w:r w:rsidRPr="00040036">
              <w:rPr>
                <w:sz w:val="14"/>
                <w:szCs w:val="14"/>
                <w:lang w:val="en-AU" w:eastAsia="en-AU"/>
              </w:rPr>
              <w:t>53,458</w:t>
            </w:r>
          </w:p>
        </w:tc>
        <w:tc>
          <w:tcPr>
            <w:tcW w:w="305" w:type="pct"/>
            <w:tcBorders>
              <w:top w:val="nil"/>
              <w:left w:val="nil"/>
              <w:bottom w:val="nil"/>
              <w:right w:val="single" w:sz="4" w:space="0" w:color="auto"/>
            </w:tcBorders>
            <w:shd w:val="clear" w:color="auto" w:fill="auto"/>
            <w:noWrap/>
            <w:vAlign w:val="bottom"/>
            <w:hideMark/>
          </w:tcPr>
          <w:p w14:paraId="16813416" w14:textId="77777777" w:rsidR="00A61FF5" w:rsidRPr="00040036" w:rsidRDefault="00A61FF5" w:rsidP="00D07480">
            <w:pPr>
              <w:pStyle w:val="ESTablebody3ptafter"/>
              <w:rPr>
                <w:sz w:val="14"/>
                <w:szCs w:val="14"/>
                <w:lang w:val="en-AU" w:eastAsia="en-AU"/>
              </w:rPr>
            </w:pPr>
            <w:r w:rsidRPr="00040036">
              <w:rPr>
                <w:sz w:val="14"/>
                <w:szCs w:val="14"/>
                <w:lang w:val="en-AU" w:eastAsia="en-AU"/>
              </w:rPr>
              <w:t>44,705.7</w:t>
            </w:r>
          </w:p>
        </w:tc>
        <w:tc>
          <w:tcPr>
            <w:tcW w:w="254" w:type="pct"/>
            <w:tcBorders>
              <w:top w:val="nil"/>
              <w:left w:val="nil"/>
              <w:bottom w:val="nil"/>
              <w:right w:val="nil"/>
            </w:tcBorders>
            <w:shd w:val="clear" w:color="auto" w:fill="auto"/>
            <w:noWrap/>
            <w:vAlign w:val="bottom"/>
            <w:hideMark/>
          </w:tcPr>
          <w:p w14:paraId="75B7F0F4" w14:textId="77777777" w:rsidR="00A61FF5" w:rsidRPr="00040036" w:rsidRDefault="00A61FF5" w:rsidP="00D07480">
            <w:pPr>
              <w:pStyle w:val="ESTablebody3ptafter"/>
              <w:rPr>
                <w:sz w:val="14"/>
                <w:szCs w:val="14"/>
                <w:lang w:val="en-AU" w:eastAsia="en-AU"/>
              </w:rPr>
            </w:pPr>
            <w:r w:rsidRPr="00040036">
              <w:rPr>
                <w:sz w:val="14"/>
                <w:szCs w:val="14"/>
                <w:lang w:val="en-AU" w:eastAsia="en-AU"/>
              </w:rPr>
              <w:t>22,730</w:t>
            </w:r>
          </w:p>
        </w:tc>
        <w:tc>
          <w:tcPr>
            <w:tcW w:w="253" w:type="pct"/>
            <w:tcBorders>
              <w:top w:val="nil"/>
              <w:left w:val="nil"/>
              <w:bottom w:val="nil"/>
              <w:right w:val="nil"/>
            </w:tcBorders>
            <w:shd w:val="clear" w:color="auto" w:fill="auto"/>
            <w:noWrap/>
            <w:vAlign w:val="bottom"/>
            <w:hideMark/>
          </w:tcPr>
          <w:p w14:paraId="2CA3ACFD"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14,397</w:t>
            </w:r>
          </w:p>
        </w:tc>
        <w:tc>
          <w:tcPr>
            <w:tcW w:w="305" w:type="pct"/>
            <w:tcBorders>
              <w:top w:val="nil"/>
              <w:left w:val="nil"/>
              <w:bottom w:val="nil"/>
              <w:right w:val="single" w:sz="4" w:space="0" w:color="auto"/>
            </w:tcBorders>
            <w:shd w:val="clear" w:color="auto" w:fill="auto"/>
            <w:noWrap/>
            <w:vAlign w:val="bottom"/>
            <w:hideMark/>
          </w:tcPr>
          <w:p w14:paraId="1E303290" w14:textId="77777777" w:rsidR="00A61FF5" w:rsidRPr="00040036" w:rsidRDefault="00A61FF5" w:rsidP="00D07480">
            <w:pPr>
              <w:pStyle w:val="ESTablebody3ptafter"/>
              <w:rPr>
                <w:sz w:val="14"/>
                <w:szCs w:val="14"/>
                <w:lang w:val="en-AU" w:eastAsia="en-AU"/>
              </w:rPr>
            </w:pPr>
            <w:r w:rsidRPr="00040036">
              <w:rPr>
                <w:sz w:val="14"/>
                <w:szCs w:val="14"/>
                <w:lang w:val="en-AU" w:eastAsia="en-AU"/>
              </w:rPr>
              <w:t>31,897.8</w:t>
            </w:r>
          </w:p>
        </w:tc>
        <w:tc>
          <w:tcPr>
            <w:tcW w:w="357" w:type="pct"/>
            <w:tcBorders>
              <w:top w:val="nil"/>
              <w:left w:val="nil"/>
              <w:bottom w:val="nil"/>
              <w:right w:val="nil"/>
            </w:tcBorders>
            <w:shd w:val="clear" w:color="auto" w:fill="auto"/>
            <w:noWrap/>
            <w:vAlign w:val="bottom"/>
            <w:hideMark/>
          </w:tcPr>
          <w:p w14:paraId="3A10912F" w14:textId="77777777" w:rsidR="00A61FF5" w:rsidRPr="00040036" w:rsidRDefault="00A61FF5" w:rsidP="00D07480">
            <w:pPr>
              <w:pStyle w:val="ESTablebody3ptafter"/>
              <w:rPr>
                <w:sz w:val="14"/>
                <w:szCs w:val="14"/>
                <w:lang w:val="en-AU" w:eastAsia="en-AU"/>
              </w:rPr>
            </w:pPr>
            <w:r w:rsidRPr="00040036">
              <w:rPr>
                <w:sz w:val="14"/>
                <w:szCs w:val="14"/>
                <w:lang w:val="en-AU" w:eastAsia="en-AU"/>
              </w:rPr>
              <w:t>16,331</w:t>
            </w:r>
          </w:p>
        </w:tc>
        <w:tc>
          <w:tcPr>
            <w:tcW w:w="307" w:type="pct"/>
            <w:tcBorders>
              <w:top w:val="nil"/>
              <w:left w:val="nil"/>
              <w:bottom w:val="nil"/>
              <w:right w:val="single" w:sz="8" w:space="0" w:color="auto"/>
            </w:tcBorders>
            <w:shd w:val="clear" w:color="auto" w:fill="auto"/>
            <w:noWrap/>
            <w:vAlign w:val="bottom"/>
            <w:hideMark/>
          </w:tcPr>
          <w:p w14:paraId="289E8DDE" w14:textId="77777777" w:rsidR="00A61FF5" w:rsidRPr="00040036" w:rsidRDefault="00A61FF5" w:rsidP="00D07480">
            <w:pPr>
              <w:pStyle w:val="ESTablebody3ptafter"/>
              <w:rPr>
                <w:sz w:val="14"/>
                <w:szCs w:val="14"/>
                <w:lang w:val="en-AU" w:eastAsia="en-AU"/>
              </w:rPr>
            </w:pPr>
            <w:r w:rsidRPr="00040036">
              <w:rPr>
                <w:sz w:val="14"/>
                <w:szCs w:val="14"/>
                <w:lang w:val="en-AU" w:eastAsia="en-AU"/>
              </w:rPr>
              <w:t>12,807.9</w:t>
            </w:r>
          </w:p>
        </w:tc>
        <w:tc>
          <w:tcPr>
            <w:tcW w:w="356" w:type="pct"/>
            <w:tcBorders>
              <w:top w:val="nil"/>
              <w:left w:val="nil"/>
              <w:bottom w:val="nil"/>
              <w:right w:val="nil"/>
            </w:tcBorders>
            <w:shd w:val="clear" w:color="auto" w:fill="auto"/>
            <w:noWrap/>
            <w:vAlign w:val="bottom"/>
            <w:hideMark/>
          </w:tcPr>
          <w:p w14:paraId="65B556A9" w14:textId="77777777" w:rsidR="00A61FF5" w:rsidRPr="00040036" w:rsidRDefault="00A61FF5" w:rsidP="00D07480">
            <w:pPr>
              <w:pStyle w:val="ESTablebody3ptafter"/>
              <w:rPr>
                <w:sz w:val="14"/>
                <w:szCs w:val="14"/>
                <w:lang w:val="en-AU" w:eastAsia="en-AU"/>
              </w:rPr>
            </w:pPr>
            <w:r w:rsidRPr="00040036">
              <w:rPr>
                <w:sz w:val="14"/>
                <w:szCs w:val="14"/>
                <w:lang w:val="en-AU" w:eastAsia="en-AU"/>
              </w:rPr>
              <w:t>52,319</w:t>
            </w:r>
          </w:p>
        </w:tc>
        <w:tc>
          <w:tcPr>
            <w:tcW w:w="304" w:type="pct"/>
            <w:tcBorders>
              <w:top w:val="nil"/>
              <w:left w:val="nil"/>
              <w:bottom w:val="nil"/>
              <w:right w:val="single" w:sz="4" w:space="0" w:color="auto"/>
            </w:tcBorders>
            <w:shd w:val="clear" w:color="auto" w:fill="auto"/>
            <w:noWrap/>
            <w:vAlign w:val="bottom"/>
            <w:hideMark/>
          </w:tcPr>
          <w:p w14:paraId="78CA8980" w14:textId="77777777" w:rsidR="00A61FF5" w:rsidRPr="00040036" w:rsidRDefault="00A61FF5" w:rsidP="00D07480">
            <w:pPr>
              <w:pStyle w:val="ESTablebody3ptafter"/>
              <w:rPr>
                <w:sz w:val="14"/>
                <w:szCs w:val="14"/>
                <w:lang w:val="en-AU" w:eastAsia="en-AU"/>
              </w:rPr>
            </w:pPr>
            <w:r w:rsidRPr="00040036">
              <w:rPr>
                <w:sz w:val="14"/>
                <w:szCs w:val="14"/>
                <w:lang w:val="en-AU" w:eastAsia="en-AU"/>
              </w:rPr>
              <w:t>43,741.7</w:t>
            </w:r>
          </w:p>
        </w:tc>
        <w:tc>
          <w:tcPr>
            <w:tcW w:w="309" w:type="pct"/>
            <w:tcBorders>
              <w:top w:val="nil"/>
              <w:left w:val="nil"/>
              <w:bottom w:val="nil"/>
              <w:right w:val="nil"/>
            </w:tcBorders>
            <w:shd w:val="clear" w:color="auto" w:fill="auto"/>
            <w:noWrap/>
            <w:vAlign w:val="bottom"/>
            <w:hideMark/>
          </w:tcPr>
          <w:p w14:paraId="0D09FA39" w14:textId="77777777" w:rsidR="00A61FF5" w:rsidRPr="00040036" w:rsidRDefault="00A61FF5" w:rsidP="00D07480">
            <w:pPr>
              <w:pStyle w:val="ESTablebody3ptafter"/>
              <w:rPr>
                <w:sz w:val="14"/>
                <w:szCs w:val="14"/>
                <w:lang w:val="en-AU" w:eastAsia="en-AU"/>
              </w:rPr>
            </w:pPr>
            <w:r w:rsidRPr="00040036">
              <w:rPr>
                <w:sz w:val="14"/>
                <w:szCs w:val="14"/>
                <w:lang w:val="en-AU" w:eastAsia="en-AU"/>
              </w:rPr>
              <w:t>22,859</w:t>
            </w:r>
          </w:p>
        </w:tc>
        <w:tc>
          <w:tcPr>
            <w:tcW w:w="306" w:type="pct"/>
            <w:gridSpan w:val="2"/>
            <w:tcBorders>
              <w:top w:val="nil"/>
              <w:left w:val="nil"/>
              <w:bottom w:val="nil"/>
              <w:right w:val="nil"/>
            </w:tcBorders>
            <w:shd w:val="clear" w:color="auto" w:fill="auto"/>
            <w:noWrap/>
            <w:vAlign w:val="bottom"/>
            <w:hideMark/>
          </w:tcPr>
          <w:p w14:paraId="52D126F6"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14,971</w:t>
            </w:r>
          </w:p>
        </w:tc>
        <w:tc>
          <w:tcPr>
            <w:tcW w:w="307" w:type="pct"/>
            <w:gridSpan w:val="2"/>
            <w:tcBorders>
              <w:top w:val="nil"/>
              <w:left w:val="nil"/>
              <w:bottom w:val="nil"/>
              <w:right w:val="single" w:sz="4" w:space="0" w:color="auto"/>
            </w:tcBorders>
            <w:shd w:val="clear" w:color="auto" w:fill="auto"/>
            <w:noWrap/>
            <w:vAlign w:val="bottom"/>
            <w:hideMark/>
          </w:tcPr>
          <w:p w14:paraId="3CD0856E" w14:textId="77777777" w:rsidR="00A61FF5" w:rsidRPr="00040036" w:rsidRDefault="00A61FF5" w:rsidP="00D07480">
            <w:pPr>
              <w:pStyle w:val="ESTablebody3ptafter"/>
              <w:rPr>
                <w:sz w:val="14"/>
                <w:szCs w:val="14"/>
                <w:lang w:val="en-AU" w:eastAsia="en-AU"/>
              </w:rPr>
            </w:pPr>
            <w:r w:rsidRPr="00040036">
              <w:rPr>
                <w:sz w:val="14"/>
                <w:szCs w:val="14"/>
                <w:lang w:val="en-AU" w:eastAsia="en-AU"/>
              </w:rPr>
              <w:t>32,405.8</w:t>
            </w:r>
          </w:p>
        </w:tc>
        <w:tc>
          <w:tcPr>
            <w:tcW w:w="294" w:type="pct"/>
            <w:tcBorders>
              <w:top w:val="nil"/>
              <w:left w:val="nil"/>
              <w:bottom w:val="nil"/>
              <w:right w:val="nil"/>
            </w:tcBorders>
            <w:shd w:val="clear" w:color="auto" w:fill="auto"/>
            <w:noWrap/>
            <w:vAlign w:val="bottom"/>
            <w:hideMark/>
          </w:tcPr>
          <w:p w14:paraId="269BB38A"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14,489</w:t>
            </w:r>
          </w:p>
        </w:tc>
        <w:tc>
          <w:tcPr>
            <w:tcW w:w="277" w:type="pct"/>
            <w:tcBorders>
              <w:top w:val="nil"/>
              <w:left w:val="nil"/>
              <w:bottom w:val="nil"/>
              <w:right w:val="nil"/>
            </w:tcBorders>
            <w:shd w:val="clear" w:color="auto" w:fill="auto"/>
            <w:noWrap/>
            <w:vAlign w:val="bottom"/>
            <w:hideMark/>
          </w:tcPr>
          <w:p w14:paraId="3E438229"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11,335.9</w:t>
            </w:r>
          </w:p>
        </w:tc>
      </w:tr>
      <w:tr w:rsidR="00A61FF5" w:rsidRPr="00932A90" w14:paraId="3F1DDC1A" w14:textId="77777777" w:rsidTr="00D07480">
        <w:trPr>
          <w:trHeight w:val="150"/>
        </w:trPr>
        <w:tc>
          <w:tcPr>
            <w:tcW w:w="182" w:type="pct"/>
            <w:vMerge/>
            <w:tcBorders>
              <w:left w:val="nil"/>
              <w:right w:val="nil"/>
            </w:tcBorders>
            <w:shd w:val="clear" w:color="auto" w:fill="auto"/>
            <w:textDirection w:val="btLr"/>
            <w:vAlign w:val="center"/>
            <w:hideMark/>
          </w:tcPr>
          <w:p w14:paraId="792BE812"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2472FBCB" w14:textId="77777777" w:rsidR="00A61FF5" w:rsidRPr="00040036" w:rsidRDefault="00A61FF5" w:rsidP="00D07480">
            <w:pPr>
              <w:pStyle w:val="ESTablebody3ptafter"/>
              <w:rPr>
                <w:sz w:val="14"/>
                <w:szCs w:val="14"/>
                <w:lang w:val="en-AU" w:eastAsia="en-AU"/>
              </w:rPr>
            </w:pPr>
            <w:r w:rsidRPr="00040036">
              <w:rPr>
                <w:b/>
                <w:bCs/>
                <w:sz w:val="14"/>
                <w:szCs w:val="14"/>
                <w:lang w:val="en-AU" w:eastAsia="en-AU"/>
              </w:rPr>
              <w:t>Age</w:t>
            </w:r>
          </w:p>
        </w:tc>
        <w:tc>
          <w:tcPr>
            <w:tcW w:w="355" w:type="pct"/>
            <w:tcBorders>
              <w:top w:val="nil"/>
              <w:left w:val="nil"/>
              <w:bottom w:val="nil"/>
              <w:right w:val="nil"/>
            </w:tcBorders>
            <w:shd w:val="clear" w:color="auto" w:fill="auto"/>
            <w:noWrap/>
            <w:vAlign w:val="bottom"/>
            <w:hideMark/>
          </w:tcPr>
          <w:p w14:paraId="6A325AF5" w14:textId="77777777" w:rsidR="00A61FF5" w:rsidRPr="00040036" w:rsidRDefault="00A61FF5" w:rsidP="00D07480">
            <w:pPr>
              <w:pStyle w:val="ESTablebody3ptafter"/>
              <w:rPr>
                <w:rFonts w:ascii="Times New Roman" w:hAnsi="Times New Roman"/>
                <w:sz w:val="14"/>
                <w:szCs w:val="14"/>
                <w:lang w:val="en-AU" w:eastAsia="en-AU"/>
              </w:rPr>
            </w:pPr>
          </w:p>
        </w:tc>
        <w:tc>
          <w:tcPr>
            <w:tcW w:w="305" w:type="pct"/>
            <w:tcBorders>
              <w:top w:val="nil"/>
              <w:left w:val="nil"/>
              <w:bottom w:val="nil"/>
              <w:right w:val="single" w:sz="4" w:space="0" w:color="auto"/>
            </w:tcBorders>
            <w:shd w:val="clear" w:color="auto" w:fill="auto"/>
            <w:noWrap/>
            <w:vAlign w:val="bottom"/>
            <w:hideMark/>
          </w:tcPr>
          <w:p w14:paraId="28D85C65"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254" w:type="pct"/>
            <w:tcBorders>
              <w:top w:val="nil"/>
              <w:left w:val="nil"/>
              <w:bottom w:val="nil"/>
              <w:right w:val="nil"/>
            </w:tcBorders>
            <w:shd w:val="clear" w:color="auto" w:fill="auto"/>
            <w:noWrap/>
            <w:vAlign w:val="bottom"/>
            <w:hideMark/>
          </w:tcPr>
          <w:p w14:paraId="0F5D5E0B" w14:textId="77777777" w:rsidR="00A61FF5" w:rsidRPr="00040036" w:rsidRDefault="00A61FF5" w:rsidP="00D07480">
            <w:pPr>
              <w:pStyle w:val="ESTablebody3ptafter"/>
              <w:rPr>
                <w:sz w:val="14"/>
                <w:szCs w:val="14"/>
                <w:lang w:val="en-AU" w:eastAsia="en-AU"/>
              </w:rPr>
            </w:pPr>
          </w:p>
        </w:tc>
        <w:tc>
          <w:tcPr>
            <w:tcW w:w="253" w:type="pct"/>
            <w:tcBorders>
              <w:top w:val="nil"/>
              <w:left w:val="nil"/>
              <w:bottom w:val="nil"/>
              <w:right w:val="nil"/>
            </w:tcBorders>
            <w:shd w:val="clear" w:color="auto" w:fill="auto"/>
            <w:noWrap/>
            <w:vAlign w:val="bottom"/>
            <w:hideMark/>
          </w:tcPr>
          <w:p w14:paraId="0BED8D30" w14:textId="77777777" w:rsidR="00A61FF5" w:rsidRPr="00040036" w:rsidRDefault="00A61FF5" w:rsidP="00D07480">
            <w:pPr>
              <w:pStyle w:val="ESTablebody3ptafter"/>
              <w:rPr>
                <w:rFonts w:ascii="Times New Roman" w:hAnsi="Times New Roman"/>
                <w:sz w:val="14"/>
                <w:szCs w:val="14"/>
                <w:lang w:val="en-AU" w:eastAsia="en-AU"/>
              </w:rPr>
            </w:pPr>
          </w:p>
        </w:tc>
        <w:tc>
          <w:tcPr>
            <w:tcW w:w="305" w:type="pct"/>
            <w:tcBorders>
              <w:top w:val="nil"/>
              <w:left w:val="nil"/>
              <w:bottom w:val="nil"/>
              <w:right w:val="single" w:sz="4" w:space="0" w:color="auto"/>
            </w:tcBorders>
            <w:shd w:val="clear" w:color="auto" w:fill="auto"/>
            <w:noWrap/>
            <w:vAlign w:val="bottom"/>
            <w:hideMark/>
          </w:tcPr>
          <w:p w14:paraId="334E1EF7"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57" w:type="pct"/>
            <w:tcBorders>
              <w:top w:val="nil"/>
              <w:left w:val="nil"/>
              <w:bottom w:val="nil"/>
              <w:right w:val="nil"/>
            </w:tcBorders>
            <w:shd w:val="clear" w:color="auto" w:fill="auto"/>
            <w:noWrap/>
            <w:vAlign w:val="bottom"/>
            <w:hideMark/>
          </w:tcPr>
          <w:p w14:paraId="5706A9DE" w14:textId="77777777" w:rsidR="00A61FF5" w:rsidRPr="00040036" w:rsidRDefault="00A61FF5" w:rsidP="00D07480">
            <w:pPr>
              <w:pStyle w:val="ESTablebody3ptafter"/>
              <w:rPr>
                <w:sz w:val="14"/>
                <w:szCs w:val="14"/>
                <w:lang w:val="en-AU" w:eastAsia="en-AU"/>
              </w:rPr>
            </w:pPr>
          </w:p>
        </w:tc>
        <w:tc>
          <w:tcPr>
            <w:tcW w:w="307" w:type="pct"/>
            <w:tcBorders>
              <w:top w:val="nil"/>
              <w:left w:val="nil"/>
              <w:bottom w:val="nil"/>
              <w:right w:val="single" w:sz="8" w:space="0" w:color="auto"/>
            </w:tcBorders>
            <w:shd w:val="clear" w:color="auto" w:fill="auto"/>
            <w:noWrap/>
            <w:vAlign w:val="bottom"/>
            <w:hideMark/>
          </w:tcPr>
          <w:p w14:paraId="35AF9612"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56" w:type="pct"/>
            <w:tcBorders>
              <w:top w:val="nil"/>
              <w:left w:val="nil"/>
              <w:bottom w:val="nil"/>
              <w:right w:val="nil"/>
            </w:tcBorders>
            <w:shd w:val="clear" w:color="auto" w:fill="auto"/>
            <w:noWrap/>
            <w:vAlign w:val="bottom"/>
            <w:hideMark/>
          </w:tcPr>
          <w:p w14:paraId="2C1D0403" w14:textId="77777777" w:rsidR="00A61FF5" w:rsidRPr="00040036" w:rsidRDefault="00A61FF5" w:rsidP="00D07480">
            <w:pPr>
              <w:pStyle w:val="ESTablebody3ptafter"/>
              <w:rPr>
                <w:sz w:val="14"/>
                <w:szCs w:val="14"/>
                <w:lang w:val="en-AU" w:eastAsia="en-AU"/>
              </w:rPr>
            </w:pPr>
          </w:p>
        </w:tc>
        <w:tc>
          <w:tcPr>
            <w:tcW w:w="304" w:type="pct"/>
            <w:tcBorders>
              <w:top w:val="nil"/>
              <w:left w:val="nil"/>
              <w:bottom w:val="nil"/>
              <w:right w:val="single" w:sz="4" w:space="0" w:color="auto"/>
            </w:tcBorders>
            <w:shd w:val="clear" w:color="auto" w:fill="auto"/>
            <w:noWrap/>
            <w:vAlign w:val="bottom"/>
            <w:hideMark/>
          </w:tcPr>
          <w:p w14:paraId="702FA7E6"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09" w:type="pct"/>
            <w:tcBorders>
              <w:top w:val="nil"/>
              <w:left w:val="nil"/>
              <w:bottom w:val="nil"/>
              <w:right w:val="nil"/>
            </w:tcBorders>
            <w:shd w:val="clear" w:color="auto" w:fill="auto"/>
            <w:noWrap/>
            <w:vAlign w:val="bottom"/>
            <w:hideMark/>
          </w:tcPr>
          <w:p w14:paraId="6F492753" w14:textId="77777777" w:rsidR="00A61FF5" w:rsidRPr="00040036" w:rsidRDefault="00A61FF5" w:rsidP="00D07480">
            <w:pPr>
              <w:pStyle w:val="ESTablebody3ptafter"/>
              <w:rPr>
                <w:sz w:val="14"/>
                <w:szCs w:val="14"/>
                <w:lang w:val="en-AU" w:eastAsia="en-AU"/>
              </w:rPr>
            </w:pPr>
          </w:p>
        </w:tc>
        <w:tc>
          <w:tcPr>
            <w:tcW w:w="306" w:type="pct"/>
            <w:gridSpan w:val="2"/>
            <w:tcBorders>
              <w:top w:val="nil"/>
              <w:left w:val="nil"/>
              <w:bottom w:val="nil"/>
              <w:right w:val="nil"/>
            </w:tcBorders>
            <w:shd w:val="clear" w:color="auto" w:fill="auto"/>
            <w:noWrap/>
            <w:vAlign w:val="bottom"/>
            <w:hideMark/>
          </w:tcPr>
          <w:p w14:paraId="64769642" w14:textId="77777777" w:rsidR="00A61FF5" w:rsidRPr="00040036" w:rsidRDefault="00A61FF5" w:rsidP="00D07480">
            <w:pPr>
              <w:pStyle w:val="ESTablebody3ptafter"/>
              <w:rPr>
                <w:rFonts w:ascii="Times New Roman" w:hAnsi="Times New Roman"/>
                <w:sz w:val="14"/>
                <w:szCs w:val="14"/>
                <w:lang w:val="en-AU" w:eastAsia="en-AU"/>
              </w:rPr>
            </w:pPr>
          </w:p>
        </w:tc>
        <w:tc>
          <w:tcPr>
            <w:tcW w:w="307" w:type="pct"/>
            <w:gridSpan w:val="2"/>
            <w:tcBorders>
              <w:top w:val="nil"/>
              <w:left w:val="nil"/>
              <w:bottom w:val="nil"/>
              <w:right w:val="single" w:sz="4" w:space="0" w:color="auto"/>
            </w:tcBorders>
            <w:shd w:val="clear" w:color="auto" w:fill="auto"/>
            <w:noWrap/>
            <w:vAlign w:val="bottom"/>
            <w:hideMark/>
          </w:tcPr>
          <w:p w14:paraId="346F4C9A"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294" w:type="pct"/>
            <w:tcBorders>
              <w:top w:val="nil"/>
              <w:left w:val="nil"/>
              <w:bottom w:val="nil"/>
              <w:right w:val="nil"/>
            </w:tcBorders>
            <w:shd w:val="clear" w:color="auto" w:fill="auto"/>
            <w:noWrap/>
            <w:vAlign w:val="bottom"/>
            <w:hideMark/>
          </w:tcPr>
          <w:p w14:paraId="2CDA75A1" w14:textId="77777777" w:rsidR="00A61FF5" w:rsidRPr="00040036" w:rsidRDefault="00A61FF5" w:rsidP="00D07480">
            <w:pPr>
              <w:pStyle w:val="ESTablebody3ptafter"/>
              <w:rPr>
                <w:sz w:val="14"/>
                <w:szCs w:val="14"/>
                <w:lang w:val="en-AU" w:eastAsia="en-AU"/>
              </w:rPr>
            </w:pPr>
          </w:p>
        </w:tc>
        <w:tc>
          <w:tcPr>
            <w:tcW w:w="277" w:type="pct"/>
            <w:tcBorders>
              <w:top w:val="nil"/>
              <w:left w:val="nil"/>
              <w:bottom w:val="nil"/>
              <w:right w:val="nil"/>
            </w:tcBorders>
            <w:shd w:val="clear" w:color="auto" w:fill="auto"/>
            <w:noWrap/>
            <w:vAlign w:val="bottom"/>
            <w:hideMark/>
          </w:tcPr>
          <w:p w14:paraId="53DF787B" w14:textId="77777777" w:rsidR="00A61FF5" w:rsidRPr="00040036" w:rsidRDefault="00A61FF5" w:rsidP="00D07480">
            <w:pPr>
              <w:pStyle w:val="ESTablebody3ptafter"/>
              <w:rPr>
                <w:rFonts w:ascii="Times New Roman" w:hAnsi="Times New Roman"/>
                <w:sz w:val="14"/>
                <w:szCs w:val="14"/>
                <w:lang w:val="en-AU" w:eastAsia="en-AU"/>
              </w:rPr>
            </w:pPr>
          </w:p>
        </w:tc>
      </w:tr>
      <w:tr w:rsidR="00A61FF5" w:rsidRPr="00932A90" w14:paraId="5681A12B" w14:textId="77777777" w:rsidTr="00D07480">
        <w:trPr>
          <w:trHeight w:val="300"/>
        </w:trPr>
        <w:tc>
          <w:tcPr>
            <w:tcW w:w="182" w:type="pct"/>
            <w:vMerge/>
            <w:tcBorders>
              <w:left w:val="nil"/>
              <w:right w:val="nil"/>
            </w:tcBorders>
            <w:shd w:val="clear" w:color="auto" w:fill="auto"/>
            <w:vAlign w:val="center"/>
            <w:hideMark/>
          </w:tcPr>
          <w:p w14:paraId="7791ADFB"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2ACC5C8A" w14:textId="77777777" w:rsidR="00A61FF5" w:rsidRPr="00040036" w:rsidRDefault="00A61FF5" w:rsidP="00D07480">
            <w:pPr>
              <w:pStyle w:val="ESTablebody3ptafter"/>
              <w:rPr>
                <w:b/>
                <w:bCs/>
                <w:sz w:val="14"/>
                <w:szCs w:val="14"/>
                <w:lang w:val="en-AU" w:eastAsia="en-AU"/>
              </w:rPr>
            </w:pPr>
            <w:r w:rsidRPr="00040036">
              <w:rPr>
                <w:sz w:val="14"/>
                <w:szCs w:val="14"/>
                <w:lang w:val="en-AU" w:eastAsia="en-AU"/>
              </w:rPr>
              <w:t>Under 25</w:t>
            </w:r>
          </w:p>
        </w:tc>
        <w:tc>
          <w:tcPr>
            <w:tcW w:w="355" w:type="pct"/>
            <w:tcBorders>
              <w:top w:val="nil"/>
              <w:left w:val="nil"/>
              <w:bottom w:val="nil"/>
              <w:right w:val="nil"/>
            </w:tcBorders>
            <w:shd w:val="clear" w:color="auto" w:fill="auto"/>
            <w:noWrap/>
            <w:vAlign w:val="bottom"/>
            <w:hideMark/>
          </w:tcPr>
          <w:p w14:paraId="7D06D267" w14:textId="5A2F6E73" w:rsidR="00A61FF5" w:rsidRPr="00040036" w:rsidRDefault="00A61FF5" w:rsidP="00D07480">
            <w:pPr>
              <w:pStyle w:val="ESTablebody3ptafter"/>
              <w:rPr>
                <w:b/>
                <w:bCs/>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038</w:t>
            </w:r>
          </w:p>
        </w:tc>
        <w:tc>
          <w:tcPr>
            <w:tcW w:w="305" w:type="pct"/>
            <w:tcBorders>
              <w:top w:val="nil"/>
              <w:left w:val="nil"/>
              <w:bottom w:val="nil"/>
              <w:right w:val="single" w:sz="4" w:space="0" w:color="auto"/>
            </w:tcBorders>
            <w:shd w:val="clear" w:color="auto" w:fill="auto"/>
            <w:noWrap/>
            <w:vAlign w:val="bottom"/>
            <w:hideMark/>
          </w:tcPr>
          <w:p w14:paraId="09C2A312" w14:textId="24C9FFE3" w:rsidR="00A61FF5" w:rsidRPr="00040036" w:rsidRDefault="00A61FF5" w:rsidP="00D07480">
            <w:pPr>
              <w:pStyle w:val="ESTablebody3ptafter"/>
              <w:rPr>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785.8</w:t>
            </w:r>
          </w:p>
        </w:tc>
        <w:tc>
          <w:tcPr>
            <w:tcW w:w="254" w:type="pct"/>
            <w:tcBorders>
              <w:top w:val="nil"/>
              <w:left w:val="nil"/>
              <w:bottom w:val="nil"/>
              <w:right w:val="nil"/>
            </w:tcBorders>
            <w:shd w:val="clear" w:color="auto" w:fill="auto"/>
            <w:noWrap/>
            <w:vAlign w:val="bottom"/>
            <w:hideMark/>
          </w:tcPr>
          <w:p w14:paraId="0AF6A184" w14:textId="77777777" w:rsidR="00A61FF5" w:rsidRPr="00040036" w:rsidRDefault="00A61FF5" w:rsidP="00D07480">
            <w:pPr>
              <w:pStyle w:val="ESTablebody3ptafter"/>
              <w:rPr>
                <w:sz w:val="14"/>
                <w:szCs w:val="14"/>
                <w:lang w:val="en-AU" w:eastAsia="en-AU"/>
              </w:rPr>
            </w:pPr>
            <w:r w:rsidRPr="00040036">
              <w:rPr>
                <w:sz w:val="14"/>
                <w:szCs w:val="14"/>
                <w:lang w:val="en-AU" w:eastAsia="en-AU"/>
              </w:rPr>
              <w:t>482</w:t>
            </w:r>
          </w:p>
        </w:tc>
        <w:tc>
          <w:tcPr>
            <w:tcW w:w="253" w:type="pct"/>
            <w:tcBorders>
              <w:top w:val="nil"/>
              <w:left w:val="nil"/>
              <w:bottom w:val="nil"/>
              <w:right w:val="nil"/>
            </w:tcBorders>
            <w:shd w:val="clear" w:color="auto" w:fill="auto"/>
            <w:noWrap/>
            <w:vAlign w:val="bottom"/>
            <w:hideMark/>
          </w:tcPr>
          <w:p w14:paraId="329EEC5E" w14:textId="77777777" w:rsidR="00A61FF5" w:rsidRPr="00040036" w:rsidRDefault="00A61FF5" w:rsidP="00D07480">
            <w:pPr>
              <w:pStyle w:val="ESTablebody3ptafter"/>
              <w:rPr>
                <w:rFonts w:ascii="Times New Roman" w:hAnsi="Times New Roman"/>
                <w:sz w:val="14"/>
                <w:szCs w:val="14"/>
                <w:lang w:val="en-AU" w:eastAsia="en-AU"/>
              </w:rPr>
            </w:pPr>
            <w:r w:rsidRPr="00040036">
              <w:rPr>
                <w:sz w:val="14"/>
                <w:szCs w:val="14"/>
                <w:lang w:val="en-AU" w:eastAsia="en-AU"/>
              </w:rPr>
              <w:t>55</w:t>
            </w:r>
          </w:p>
        </w:tc>
        <w:tc>
          <w:tcPr>
            <w:tcW w:w="305" w:type="pct"/>
            <w:tcBorders>
              <w:top w:val="nil"/>
              <w:left w:val="nil"/>
              <w:bottom w:val="nil"/>
              <w:right w:val="single" w:sz="4" w:space="0" w:color="auto"/>
            </w:tcBorders>
            <w:shd w:val="clear" w:color="auto" w:fill="auto"/>
            <w:noWrap/>
            <w:vAlign w:val="bottom"/>
            <w:hideMark/>
          </w:tcPr>
          <w:p w14:paraId="15DE9A75" w14:textId="77777777" w:rsidR="00A61FF5" w:rsidRPr="00040036" w:rsidRDefault="00A61FF5" w:rsidP="00D07480">
            <w:pPr>
              <w:pStyle w:val="ESTablebody3ptafter"/>
              <w:rPr>
                <w:sz w:val="14"/>
                <w:szCs w:val="14"/>
                <w:lang w:val="en-AU" w:eastAsia="en-AU"/>
              </w:rPr>
            </w:pPr>
            <w:r w:rsidRPr="00040036">
              <w:rPr>
                <w:sz w:val="14"/>
                <w:szCs w:val="14"/>
                <w:lang w:val="en-AU" w:eastAsia="en-AU"/>
              </w:rPr>
              <w:t>520.1</w:t>
            </w:r>
          </w:p>
        </w:tc>
        <w:tc>
          <w:tcPr>
            <w:tcW w:w="357" w:type="pct"/>
            <w:tcBorders>
              <w:top w:val="nil"/>
              <w:left w:val="nil"/>
              <w:bottom w:val="nil"/>
              <w:right w:val="nil"/>
            </w:tcBorders>
            <w:shd w:val="clear" w:color="auto" w:fill="auto"/>
            <w:noWrap/>
            <w:vAlign w:val="bottom"/>
            <w:hideMark/>
          </w:tcPr>
          <w:p w14:paraId="17D838D9" w14:textId="6C9B05DD" w:rsidR="00A61FF5" w:rsidRPr="00040036" w:rsidRDefault="00A61FF5" w:rsidP="00D07480">
            <w:pPr>
              <w:pStyle w:val="ESTablebody3ptafter"/>
              <w:rPr>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501</w:t>
            </w:r>
          </w:p>
        </w:tc>
        <w:tc>
          <w:tcPr>
            <w:tcW w:w="307" w:type="pct"/>
            <w:tcBorders>
              <w:top w:val="nil"/>
              <w:left w:val="nil"/>
              <w:bottom w:val="nil"/>
              <w:right w:val="single" w:sz="8" w:space="0" w:color="auto"/>
            </w:tcBorders>
            <w:shd w:val="clear" w:color="auto" w:fill="auto"/>
            <w:noWrap/>
            <w:vAlign w:val="bottom"/>
            <w:hideMark/>
          </w:tcPr>
          <w:p w14:paraId="5D09951A" w14:textId="6D54E325" w:rsidR="00A61FF5" w:rsidRPr="00040036" w:rsidRDefault="00A61FF5" w:rsidP="00D07480">
            <w:pPr>
              <w:pStyle w:val="ESTablebody3ptafter"/>
              <w:rPr>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265.7</w:t>
            </w:r>
          </w:p>
        </w:tc>
        <w:tc>
          <w:tcPr>
            <w:tcW w:w="356" w:type="pct"/>
            <w:tcBorders>
              <w:top w:val="nil"/>
              <w:left w:val="nil"/>
              <w:bottom w:val="nil"/>
              <w:right w:val="nil"/>
            </w:tcBorders>
            <w:shd w:val="clear" w:color="auto" w:fill="auto"/>
            <w:noWrap/>
            <w:vAlign w:val="bottom"/>
            <w:hideMark/>
          </w:tcPr>
          <w:p w14:paraId="53A9F018" w14:textId="12EF2BE1" w:rsidR="00A61FF5" w:rsidRPr="00040036" w:rsidRDefault="00A61FF5" w:rsidP="00D07480">
            <w:pPr>
              <w:pStyle w:val="ESTablebody3ptafter"/>
              <w:rPr>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987</w:t>
            </w:r>
          </w:p>
        </w:tc>
        <w:tc>
          <w:tcPr>
            <w:tcW w:w="304" w:type="pct"/>
            <w:tcBorders>
              <w:top w:val="nil"/>
              <w:left w:val="nil"/>
              <w:bottom w:val="nil"/>
              <w:right w:val="single" w:sz="4" w:space="0" w:color="auto"/>
            </w:tcBorders>
            <w:shd w:val="clear" w:color="auto" w:fill="auto"/>
            <w:noWrap/>
            <w:vAlign w:val="bottom"/>
            <w:hideMark/>
          </w:tcPr>
          <w:p w14:paraId="396CA6E8" w14:textId="4C743C0F" w:rsidR="00A61FF5" w:rsidRPr="00040036" w:rsidRDefault="00A61FF5" w:rsidP="00D07480">
            <w:pPr>
              <w:pStyle w:val="ESTablebody3ptafter"/>
              <w:rPr>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733.2</w:t>
            </w:r>
          </w:p>
        </w:tc>
        <w:tc>
          <w:tcPr>
            <w:tcW w:w="309" w:type="pct"/>
            <w:tcBorders>
              <w:top w:val="nil"/>
              <w:left w:val="nil"/>
              <w:bottom w:val="nil"/>
              <w:right w:val="nil"/>
            </w:tcBorders>
            <w:shd w:val="clear" w:color="auto" w:fill="auto"/>
            <w:noWrap/>
            <w:vAlign w:val="bottom"/>
            <w:hideMark/>
          </w:tcPr>
          <w:p w14:paraId="184BD21F" w14:textId="77777777" w:rsidR="00A61FF5" w:rsidRPr="00040036" w:rsidRDefault="00A61FF5" w:rsidP="00D07480">
            <w:pPr>
              <w:pStyle w:val="ESTablebody3ptafter"/>
              <w:rPr>
                <w:sz w:val="14"/>
                <w:szCs w:val="14"/>
                <w:lang w:val="en-AU" w:eastAsia="en-AU"/>
              </w:rPr>
            </w:pPr>
            <w:r w:rsidRPr="00040036">
              <w:rPr>
                <w:sz w:val="14"/>
                <w:szCs w:val="14"/>
                <w:lang w:val="en-AU" w:eastAsia="en-AU"/>
              </w:rPr>
              <w:t>524</w:t>
            </w:r>
          </w:p>
        </w:tc>
        <w:tc>
          <w:tcPr>
            <w:tcW w:w="306" w:type="pct"/>
            <w:gridSpan w:val="2"/>
            <w:tcBorders>
              <w:top w:val="nil"/>
              <w:left w:val="nil"/>
              <w:bottom w:val="nil"/>
              <w:right w:val="nil"/>
            </w:tcBorders>
            <w:shd w:val="clear" w:color="auto" w:fill="auto"/>
            <w:noWrap/>
            <w:vAlign w:val="bottom"/>
            <w:hideMark/>
          </w:tcPr>
          <w:p w14:paraId="2FC8BFD0" w14:textId="77777777" w:rsidR="00A61FF5" w:rsidRPr="00040036" w:rsidRDefault="00A61FF5" w:rsidP="00D07480">
            <w:pPr>
              <w:pStyle w:val="ESTablebody3ptafter"/>
              <w:rPr>
                <w:rFonts w:ascii="Times New Roman" w:hAnsi="Times New Roman"/>
                <w:sz w:val="14"/>
                <w:szCs w:val="14"/>
                <w:lang w:val="en-AU" w:eastAsia="en-AU"/>
              </w:rPr>
            </w:pPr>
            <w:r w:rsidRPr="00040036">
              <w:rPr>
                <w:sz w:val="14"/>
                <w:szCs w:val="14"/>
                <w:lang w:val="en-AU" w:eastAsia="en-AU"/>
              </w:rPr>
              <w:t>144</w:t>
            </w:r>
          </w:p>
        </w:tc>
        <w:tc>
          <w:tcPr>
            <w:tcW w:w="307" w:type="pct"/>
            <w:gridSpan w:val="2"/>
            <w:tcBorders>
              <w:top w:val="nil"/>
              <w:left w:val="nil"/>
              <w:bottom w:val="nil"/>
              <w:right w:val="single" w:sz="4" w:space="0" w:color="auto"/>
            </w:tcBorders>
            <w:shd w:val="clear" w:color="auto" w:fill="auto"/>
            <w:noWrap/>
            <w:vAlign w:val="bottom"/>
            <w:hideMark/>
          </w:tcPr>
          <w:p w14:paraId="43734C27" w14:textId="77777777" w:rsidR="00A61FF5" w:rsidRPr="00040036" w:rsidRDefault="00A61FF5" w:rsidP="00D07480">
            <w:pPr>
              <w:pStyle w:val="ESTablebody3ptafter"/>
              <w:rPr>
                <w:sz w:val="14"/>
                <w:szCs w:val="14"/>
                <w:lang w:val="en-AU" w:eastAsia="en-AU"/>
              </w:rPr>
            </w:pPr>
            <w:r w:rsidRPr="00040036">
              <w:rPr>
                <w:sz w:val="14"/>
                <w:szCs w:val="14"/>
                <w:lang w:val="en-AU" w:eastAsia="en-AU"/>
              </w:rPr>
              <w:t>622.9</w:t>
            </w:r>
          </w:p>
        </w:tc>
        <w:tc>
          <w:tcPr>
            <w:tcW w:w="294" w:type="pct"/>
            <w:tcBorders>
              <w:top w:val="nil"/>
              <w:left w:val="nil"/>
              <w:bottom w:val="nil"/>
              <w:right w:val="nil"/>
            </w:tcBorders>
            <w:shd w:val="clear" w:color="auto" w:fill="auto"/>
            <w:noWrap/>
            <w:vAlign w:val="bottom"/>
            <w:hideMark/>
          </w:tcPr>
          <w:p w14:paraId="393D59D9" w14:textId="77777777" w:rsidR="00A61FF5" w:rsidRPr="00040036" w:rsidRDefault="00A61FF5" w:rsidP="00D07480">
            <w:pPr>
              <w:pStyle w:val="ESTablebody3ptafter"/>
              <w:rPr>
                <w:sz w:val="14"/>
                <w:szCs w:val="14"/>
                <w:lang w:val="en-AU" w:eastAsia="en-AU"/>
              </w:rPr>
            </w:pPr>
            <w:r w:rsidRPr="00040036">
              <w:rPr>
                <w:sz w:val="14"/>
                <w:szCs w:val="14"/>
                <w:lang w:val="en-AU" w:eastAsia="en-AU"/>
              </w:rPr>
              <w:t>2,319</w:t>
            </w:r>
          </w:p>
        </w:tc>
        <w:tc>
          <w:tcPr>
            <w:tcW w:w="277" w:type="pct"/>
            <w:tcBorders>
              <w:top w:val="nil"/>
              <w:left w:val="nil"/>
              <w:bottom w:val="nil"/>
              <w:right w:val="nil"/>
            </w:tcBorders>
            <w:shd w:val="clear" w:color="auto" w:fill="auto"/>
            <w:noWrap/>
            <w:vAlign w:val="bottom"/>
            <w:hideMark/>
          </w:tcPr>
          <w:p w14:paraId="01AC9FF8" w14:textId="77777777" w:rsidR="00A61FF5" w:rsidRPr="00040036" w:rsidRDefault="00A61FF5" w:rsidP="00D07480">
            <w:pPr>
              <w:pStyle w:val="ESTablebody3ptafter"/>
              <w:rPr>
                <w:rFonts w:ascii="Times New Roman" w:hAnsi="Times New Roman"/>
                <w:sz w:val="14"/>
                <w:szCs w:val="14"/>
                <w:lang w:val="en-AU" w:eastAsia="en-AU"/>
              </w:rPr>
            </w:pPr>
            <w:r w:rsidRPr="00040036">
              <w:rPr>
                <w:sz w:val="14"/>
                <w:szCs w:val="14"/>
                <w:lang w:val="en-AU" w:eastAsia="en-AU"/>
              </w:rPr>
              <w:t>2,110.3</w:t>
            </w:r>
          </w:p>
        </w:tc>
      </w:tr>
      <w:tr w:rsidR="00A61FF5" w:rsidRPr="00932A90" w14:paraId="31517F9A" w14:textId="77777777" w:rsidTr="00D07480">
        <w:trPr>
          <w:trHeight w:val="300"/>
        </w:trPr>
        <w:tc>
          <w:tcPr>
            <w:tcW w:w="182" w:type="pct"/>
            <w:vMerge/>
            <w:tcBorders>
              <w:left w:val="nil"/>
              <w:right w:val="nil"/>
            </w:tcBorders>
            <w:shd w:val="clear" w:color="auto" w:fill="auto"/>
            <w:vAlign w:val="center"/>
            <w:hideMark/>
          </w:tcPr>
          <w:p w14:paraId="4610D1AE"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0E48CFA3" w14:textId="7DAED726" w:rsidR="00A61FF5" w:rsidRPr="00040036" w:rsidRDefault="00A61FF5" w:rsidP="008C1498">
            <w:pPr>
              <w:pStyle w:val="ESTablebody3ptafter"/>
              <w:rPr>
                <w:sz w:val="14"/>
                <w:szCs w:val="14"/>
                <w:lang w:val="en-AU" w:eastAsia="en-AU"/>
              </w:rPr>
            </w:pPr>
            <w:r w:rsidRPr="00040036">
              <w:rPr>
                <w:sz w:val="14"/>
                <w:szCs w:val="14"/>
                <w:lang w:val="en-AU" w:eastAsia="en-AU"/>
              </w:rPr>
              <w:t>25</w:t>
            </w:r>
            <w:r w:rsidR="008C1498" w:rsidRPr="00040036">
              <w:rPr>
                <w:sz w:val="14"/>
                <w:szCs w:val="14"/>
                <w:lang w:val="en-AU" w:eastAsia="en-AU"/>
              </w:rPr>
              <w:t>–</w:t>
            </w:r>
            <w:r w:rsidRPr="00040036">
              <w:rPr>
                <w:sz w:val="14"/>
                <w:szCs w:val="14"/>
                <w:lang w:val="en-AU" w:eastAsia="en-AU"/>
              </w:rPr>
              <w:t>34</w:t>
            </w:r>
          </w:p>
        </w:tc>
        <w:tc>
          <w:tcPr>
            <w:tcW w:w="355" w:type="pct"/>
            <w:tcBorders>
              <w:top w:val="nil"/>
              <w:left w:val="nil"/>
              <w:bottom w:val="nil"/>
              <w:right w:val="nil"/>
            </w:tcBorders>
            <w:shd w:val="clear" w:color="auto" w:fill="auto"/>
            <w:noWrap/>
            <w:vAlign w:val="bottom"/>
            <w:hideMark/>
          </w:tcPr>
          <w:p w14:paraId="1A526860" w14:textId="77777777" w:rsidR="00A61FF5" w:rsidRPr="00040036" w:rsidRDefault="00A61FF5" w:rsidP="00D07480">
            <w:pPr>
              <w:pStyle w:val="ESTablebody3ptafter"/>
              <w:rPr>
                <w:sz w:val="14"/>
                <w:szCs w:val="14"/>
                <w:lang w:val="en-AU" w:eastAsia="en-AU"/>
              </w:rPr>
            </w:pPr>
            <w:r w:rsidRPr="00040036">
              <w:rPr>
                <w:sz w:val="14"/>
                <w:szCs w:val="14"/>
                <w:lang w:val="en-AU" w:eastAsia="en-AU"/>
              </w:rPr>
              <w:t>17,901</w:t>
            </w:r>
          </w:p>
        </w:tc>
        <w:tc>
          <w:tcPr>
            <w:tcW w:w="305" w:type="pct"/>
            <w:tcBorders>
              <w:top w:val="nil"/>
              <w:left w:val="nil"/>
              <w:bottom w:val="nil"/>
              <w:right w:val="single" w:sz="4" w:space="0" w:color="auto"/>
            </w:tcBorders>
            <w:shd w:val="clear" w:color="auto" w:fill="auto"/>
            <w:noWrap/>
            <w:vAlign w:val="bottom"/>
            <w:hideMark/>
          </w:tcPr>
          <w:p w14:paraId="667ADB47" w14:textId="77777777" w:rsidR="00A61FF5" w:rsidRPr="00040036" w:rsidRDefault="00A61FF5" w:rsidP="00D07480">
            <w:pPr>
              <w:pStyle w:val="ESTablebody3ptafter"/>
              <w:rPr>
                <w:sz w:val="14"/>
                <w:szCs w:val="14"/>
                <w:lang w:val="en-AU" w:eastAsia="en-AU"/>
              </w:rPr>
            </w:pPr>
            <w:r w:rsidRPr="00040036">
              <w:rPr>
                <w:sz w:val="14"/>
                <w:szCs w:val="14"/>
                <w:lang w:val="en-AU" w:eastAsia="en-AU"/>
              </w:rPr>
              <w:t>16,462.3</w:t>
            </w:r>
          </w:p>
        </w:tc>
        <w:tc>
          <w:tcPr>
            <w:tcW w:w="254" w:type="pct"/>
            <w:tcBorders>
              <w:top w:val="nil"/>
              <w:left w:val="nil"/>
              <w:bottom w:val="nil"/>
              <w:right w:val="nil"/>
            </w:tcBorders>
            <w:shd w:val="clear" w:color="auto" w:fill="auto"/>
            <w:noWrap/>
            <w:vAlign w:val="bottom"/>
            <w:hideMark/>
          </w:tcPr>
          <w:p w14:paraId="123B19AC" w14:textId="452EE149" w:rsidR="00A61FF5" w:rsidRPr="00040036" w:rsidRDefault="00A61FF5" w:rsidP="00D07480">
            <w:pPr>
              <w:pStyle w:val="ESTablebody3ptafter"/>
              <w:rPr>
                <w:sz w:val="14"/>
                <w:szCs w:val="14"/>
                <w:lang w:val="en-AU" w:eastAsia="en-AU"/>
              </w:rPr>
            </w:pPr>
            <w:r w:rsidRPr="00040036">
              <w:rPr>
                <w:sz w:val="14"/>
                <w:szCs w:val="14"/>
                <w:lang w:val="en-AU" w:eastAsia="en-AU"/>
              </w:rPr>
              <w:t>9</w:t>
            </w:r>
            <w:r w:rsidR="009452EC" w:rsidRPr="00040036">
              <w:rPr>
                <w:sz w:val="14"/>
                <w:szCs w:val="14"/>
                <w:lang w:val="en-AU" w:eastAsia="en-AU"/>
              </w:rPr>
              <w:t>,</w:t>
            </w:r>
            <w:r w:rsidRPr="00040036">
              <w:rPr>
                <w:sz w:val="14"/>
                <w:szCs w:val="14"/>
                <w:lang w:val="en-AU" w:eastAsia="en-AU"/>
              </w:rPr>
              <w:t>347</w:t>
            </w:r>
          </w:p>
        </w:tc>
        <w:tc>
          <w:tcPr>
            <w:tcW w:w="253" w:type="pct"/>
            <w:tcBorders>
              <w:top w:val="nil"/>
              <w:left w:val="nil"/>
              <w:bottom w:val="nil"/>
              <w:right w:val="nil"/>
            </w:tcBorders>
            <w:shd w:val="clear" w:color="auto" w:fill="auto"/>
            <w:noWrap/>
            <w:vAlign w:val="bottom"/>
            <w:hideMark/>
          </w:tcPr>
          <w:p w14:paraId="00549E06" w14:textId="2CB893EA"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940</w:t>
            </w:r>
          </w:p>
        </w:tc>
        <w:tc>
          <w:tcPr>
            <w:tcW w:w="305" w:type="pct"/>
            <w:tcBorders>
              <w:top w:val="nil"/>
              <w:left w:val="nil"/>
              <w:bottom w:val="nil"/>
              <w:right w:val="single" w:sz="4" w:space="0" w:color="auto"/>
            </w:tcBorders>
            <w:shd w:val="clear" w:color="auto" w:fill="auto"/>
            <w:noWrap/>
            <w:vAlign w:val="bottom"/>
            <w:hideMark/>
          </w:tcPr>
          <w:p w14:paraId="493F0B0B"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10,466.5</w:t>
            </w:r>
          </w:p>
        </w:tc>
        <w:tc>
          <w:tcPr>
            <w:tcW w:w="357" w:type="pct"/>
            <w:tcBorders>
              <w:top w:val="nil"/>
              <w:left w:val="nil"/>
              <w:bottom w:val="nil"/>
              <w:right w:val="nil"/>
            </w:tcBorders>
            <w:shd w:val="clear" w:color="auto" w:fill="auto"/>
            <w:noWrap/>
            <w:vAlign w:val="bottom"/>
            <w:hideMark/>
          </w:tcPr>
          <w:p w14:paraId="12978E0D" w14:textId="123CE035" w:rsidR="00A61FF5" w:rsidRPr="00040036" w:rsidRDefault="00A61FF5" w:rsidP="00D07480">
            <w:pPr>
              <w:pStyle w:val="ESTablebody3ptafter"/>
              <w:rPr>
                <w:sz w:val="14"/>
                <w:szCs w:val="14"/>
                <w:lang w:val="en-AU" w:eastAsia="en-AU"/>
              </w:rPr>
            </w:pPr>
            <w:r w:rsidRPr="00040036">
              <w:rPr>
                <w:sz w:val="14"/>
                <w:szCs w:val="14"/>
                <w:lang w:val="en-AU" w:eastAsia="en-AU"/>
              </w:rPr>
              <w:t>6</w:t>
            </w:r>
            <w:r w:rsidR="009452EC" w:rsidRPr="00040036">
              <w:rPr>
                <w:sz w:val="14"/>
                <w:szCs w:val="14"/>
                <w:lang w:val="en-AU" w:eastAsia="en-AU"/>
              </w:rPr>
              <w:t>,</w:t>
            </w:r>
            <w:r w:rsidRPr="00040036">
              <w:rPr>
                <w:sz w:val="14"/>
                <w:szCs w:val="14"/>
                <w:lang w:val="en-AU" w:eastAsia="en-AU"/>
              </w:rPr>
              <w:t>614</w:t>
            </w:r>
          </w:p>
        </w:tc>
        <w:tc>
          <w:tcPr>
            <w:tcW w:w="307" w:type="pct"/>
            <w:tcBorders>
              <w:top w:val="nil"/>
              <w:left w:val="nil"/>
              <w:bottom w:val="nil"/>
              <w:right w:val="single" w:sz="8" w:space="0" w:color="auto"/>
            </w:tcBorders>
            <w:shd w:val="clear" w:color="auto" w:fill="auto"/>
            <w:noWrap/>
            <w:vAlign w:val="bottom"/>
            <w:hideMark/>
          </w:tcPr>
          <w:p w14:paraId="5B313D8C" w14:textId="1B502980" w:rsidR="00A61FF5" w:rsidRPr="00040036" w:rsidRDefault="00A61FF5" w:rsidP="00D07480">
            <w:pPr>
              <w:pStyle w:val="ESTablebody3ptafter"/>
              <w:rPr>
                <w:sz w:val="14"/>
                <w:szCs w:val="14"/>
                <w:lang w:val="en-AU" w:eastAsia="en-AU"/>
              </w:rPr>
            </w:pPr>
            <w:r w:rsidRPr="00040036">
              <w:rPr>
                <w:sz w:val="14"/>
                <w:szCs w:val="14"/>
                <w:lang w:val="en-AU" w:eastAsia="en-AU"/>
              </w:rPr>
              <w:t>5</w:t>
            </w:r>
            <w:r w:rsidR="009452EC" w:rsidRPr="00040036">
              <w:rPr>
                <w:sz w:val="14"/>
                <w:szCs w:val="14"/>
                <w:lang w:val="en-AU" w:eastAsia="en-AU"/>
              </w:rPr>
              <w:t>,</w:t>
            </w:r>
            <w:r w:rsidRPr="00040036">
              <w:rPr>
                <w:sz w:val="14"/>
                <w:szCs w:val="14"/>
                <w:lang w:val="en-AU" w:eastAsia="en-AU"/>
              </w:rPr>
              <w:t>995.8</w:t>
            </w:r>
          </w:p>
        </w:tc>
        <w:tc>
          <w:tcPr>
            <w:tcW w:w="356" w:type="pct"/>
            <w:tcBorders>
              <w:top w:val="nil"/>
              <w:left w:val="nil"/>
              <w:bottom w:val="nil"/>
              <w:right w:val="nil"/>
            </w:tcBorders>
            <w:shd w:val="clear" w:color="auto" w:fill="auto"/>
            <w:noWrap/>
            <w:vAlign w:val="bottom"/>
            <w:hideMark/>
          </w:tcPr>
          <w:p w14:paraId="0B12FFE0" w14:textId="77777777" w:rsidR="00A61FF5" w:rsidRPr="00040036" w:rsidRDefault="00A61FF5" w:rsidP="00D07480">
            <w:pPr>
              <w:pStyle w:val="ESTablebody3ptafter"/>
              <w:rPr>
                <w:sz w:val="14"/>
                <w:szCs w:val="14"/>
                <w:lang w:val="en-AU" w:eastAsia="en-AU"/>
              </w:rPr>
            </w:pPr>
            <w:r w:rsidRPr="00040036">
              <w:rPr>
                <w:sz w:val="14"/>
                <w:szCs w:val="14"/>
                <w:lang w:val="en-AU" w:eastAsia="en-AU"/>
              </w:rPr>
              <w:t>17,309</w:t>
            </w:r>
          </w:p>
        </w:tc>
        <w:tc>
          <w:tcPr>
            <w:tcW w:w="304" w:type="pct"/>
            <w:tcBorders>
              <w:top w:val="nil"/>
              <w:left w:val="nil"/>
              <w:bottom w:val="nil"/>
              <w:right w:val="single" w:sz="4" w:space="0" w:color="auto"/>
            </w:tcBorders>
            <w:shd w:val="clear" w:color="auto" w:fill="auto"/>
            <w:noWrap/>
            <w:vAlign w:val="bottom"/>
            <w:hideMark/>
          </w:tcPr>
          <w:p w14:paraId="72EEE9F2" w14:textId="77777777" w:rsidR="00A61FF5" w:rsidRPr="00040036" w:rsidRDefault="00A61FF5" w:rsidP="00D07480">
            <w:pPr>
              <w:pStyle w:val="ESTablebody3ptafter"/>
              <w:rPr>
                <w:sz w:val="14"/>
                <w:szCs w:val="14"/>
                <w:lang w:val="en-AU" w:eastAsia="en-AU"/>
              </w:rPr>
            </w:pPr>
            <w:r w:rsidRPr="00040036">
              <w:rPr>
                <w:sz w:val="14"/>
                <w:szCs w:val="14"/>
                <w:lang w:val="en-AU" w:eastAsia="en-AU"/>
              </w:rPr>
              <w:t>15,953.7</w:t>
            </w:r>
          </w:p>
        </w:tc>
        <w:tc>
          <w:tcPr>
            <w:tcW w:w="309" w:type="pct"/>
            <w:tcBorders>
              <w:top w:val="nil"/>
              <w:left w:val="nil"/>
              <w:bottom w:val="nil"/>
              <w:right w:val="nil"/>
            </w:tcBorders>
            <w:shd w:val="clear" w:color="auto" w:fill="auto"/>
            <w:noWrap/>
            <w:vAlign w:val="bottom"/>
            <w:hideMark/>
          </w:tcPr>
          <w:p w14:paraId="5291E43F" w14:textId="2230F4A7" w:rsidR="00A61FF5" w:rsidRPr="00040036" w:rsidRDefault="00A61FF5" w:rsidP="00D07480">
            <w:pPr>
              <w:pStyle w:val="ESTablebody3ptafter"/>
              <w:rPr>
                <w:sz w:val="14"/>
                <w:szCs w:val="14"/>
                <w:lang w:val="en-AU" w:eastAsia="en-AU"/>
              </w:rPr>
            </w:pPr>
            <w:r w:rsidRPr="00040036">
              <w:rPr>
                <w:sz w:val="14"/>
                <w:szCs w:val="14"/>
                <w:lang w:val="en-AU" w:eastAsia="en-AU"/>
              </w:rPr>
              <w:t>9</w:t>
            </w:r>
            <w:r w:rsidR="009452EC" w:rsidRPr="00040036">
              <w:rPr>
                <w:sz w:val="14"/>
                <w:szCs w:val="14"/>
                <w:lang w:val="en-AU" w:eastAsia="en-AU"/>
              </w:rPr>
              <w:t>,</w:t>
            </w:r>
            <w:r w:rsidRPr="00040036">
              <w:rPr>
                <w:sz w:val="14"/>
                <w:szCs w:val="14"/>
                <w:lang w:val="en-AU" w:eastAsia="en-AU"/>
              </w:rPr>
              <w:t>379</w:t>
            </w:r>
          </w:p>
        </w:tc>
        <w:tc>
          <w:tcPr>
            <w:tcW w:w="306" w:type="pct"/>
            <w:gridSpan w:val="2"/>
            <w:tcBorders>
              <w:top w:val="nil"/>
              <w:left w:val="nil"/>
              <w:bottom w:val="nil"/>
              <w:right w:val="nil"/>
            </w:tcBorders>
            <w:shd w:val="clear" w:color="auto" w:fill="auto"/>
            <w:noWrap/>
            <w:vAlign w:val="bottom"/>
            <w:hideMark/>
          </w:tcPr>
          <w:p w14:paraId="41EE1E20" w14:textId="6A074742"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915</w:t>
            </w:r>
          </w:p>
        </w:tc>
        <w:tc>
          <w:tcPr>
            <w:tcW w:w="307" w:type="pct"/>
            <w:gridSpan w:val="2"/>
            <w:tcBorders>
              <w:top w:val="nil"/>
              <w:left w:val="nil"/>
              <w:bottom w:val="nil"/>
              <w:right w:val="single" w:sz="4" w:space="0" w:color="auto"/>
            </w:tcBorders>
            <w:shd w:val="clear" w:color="auto" w:fill="auto"/>
            <w:noWrap/>
            <w:vAlign w:val="bottom"/>
            <w:hideMark/>
          </w:tcPr>
          <w:p w14:paraId="67069846"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10,492.6</w:t>
            </w:r>
          </w:p>
        </w:tc>
        <w:tc>
          <w:tcPr>
            <w:tcW w:w="294" w:type="pct"/>
            <w:tcBorders>
              <w:top w:val="nil"/>
              <w:left w:val="nil"/>
              <w:bottom w:val="nil"/>
              <w:right w:val="nil"/>
            </w:tcBorders>
            <w:shd w:val="clear" w:color="auto" w:fill="auto"/>
            <w:noWrap/>
            <w:vAlign w:val="bottom"/>
            <w:hideMark/>
          </w:tcPr>
          <w:p w14:paraId="030CAFCB" w14:textId="77777777" w:rsidR="00A61FF5" w:rsidRPr="00040036" w:rsidRDefault="00A61FF5" w:rsidP="00D07480">
            <w:pPr>
              <w:pStyle w:val="ESTablebody3ptafter"/>
              <w:rPr>
                <w:sz w:val="14"/>
                <w:szCs w:val="14"/>
                <w:lang w:val="en-AU" w:eastAsia="en-AU"/>
              </w:rPr>
            </w:pPr>
            <w:r w:rsidRPr="00040036">
              <w:rPr>
                <w:sz w:val="14"/>
                <w:szCs w:val="14"/>
                <w:lang w:val="en-AU" w:eastAsia="en-AU"/>
              </w:rPr>
              <w:t>6,015</w:t>
            </w:r>
          </w:p>
        </w:tc>
        <w:tc>
          <w:tcPr>
            <w:tcW w:w="277" w:type="pct"/>
            <w:tcBorders>
              <w:top w:val="nil"/>
              <w:left w:val="nil"/>
              <w:bottom w:val="nil"/>
              <w:right w:val="nil"/>
            </w:tcBorders>
            <w:shd w:val="clear" w:color="auto" w:fill="auto"/>
            <w:noWrap/>
            <w:vAlign w:val="bottom"/>
            <w:hideMark/>
          </w:tcPr>
          <w:p w14:paraId="18C0A39D" w14:textId="77777777" w:rsidR="00A61FF5" w:rsidRPr="00040036" w:rsidRDefault="00A61FF5" w:rsidP="00D07480">
            <w:pPr>
              <w:pStyle w:val="ESTablebody3ptafter"/>
              <w:rPr>
                <w:sz w:val="14"/>
                <w:szCs w:val="14"/>
                <w:lang w:val="en-AU" w:eastAsia="en-AU"/>
              </w:rPr>
            </w:pPr>
            <w:r w:rsidRPr="00040036">
              <w:rPr>
                <w:sz w:val="14"/>
                <w:szCs w:val="14"/>
                <w:lang w:val="en-AU" w:eastAsia="en-AU"/>
              </w:rPr>
              <w:t>5,461.1</w:t>
            </w:r>
          </w:p>
        </w:tc>
      </w:tr>
      <w:tr w:rsidR="00A61FF5" w:rsidRPr="00932A90" w14:paraId="237415F1" w14:textId="77777777" w:rsidTr="00D07480">
        <w:trPr>
          <w:trHeight w:val="300"/>
        </w:trPr>
        <w:tc>
          <w:tcPr>
            <w:tcW w:w="182" w:type="pct"/>
            <w:vMerge/>
            <w:tcBorders>
              <w:left w:val="nil"/>
              <w:right w:val="nil"/>
            </w:tcBorders>
            <w:shd w:val="clear" w:color="auto" w:fill="auto"/>
            <w:vAlign w:val="center"/>
            <w:hideMark/>
          </w:tcPr>
          <w:p w14:paraId="1E98FEF4"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6E799F78" w14:textId="3780D9BF" w:rsidR="00A61FF5" w:rsidRPr="00040036" w:rsidRDefault="00A61FF5" w:rsidP="008C1498">
            <w:pPr>
              <w:pStyle w:val="ESTablebody3ptafter"/>
              <w:rPr>
                <w:sz w:val="14"/>
                <w:szCs w:val="14"/>
                <w:lang w:val="en-AU" w:eastAsia="en-AU"/>
              </w:rPr>
            </w:pPr>
            <w:r w:rsidRPr="00040036">
              <w:rPr>
                <w:sz w:val="14"/>
                <w:szCs w:val="14"/>
                <w:lang w:val="en-AU" w:eastAsia="en-AU"/>
              </w:rPr>
              <w:t>35</w:t>
            </w:r>
            <w:r w:rsidR="008C1498" w:rsidRPr="00040036">
              <w:rPr>
                <w:sz w:val="14"/>
                <w:szCs w:val="14"/>
                <w:lang w:val="en-AU" w:eastAsia="en-AU"/>
              </w:rPr>
              <w:t>–</w:t>
            </w:r>
            <w:r w:rsidRPr="00040036">
              <w:rPr>
                <w:sz w:val="14"/>
                <w:szCs w:val="14"/>
                <w:lang w:val="en-AU" w:eastAsia="en-AU"/>
              </w:rPr>
              <w:t>44</w:t>
            </w:r>
          </w:p>
        </w:tc>
        <w:tc>
          <w:tcPr>
            <w:tcW w:w="355" w:type="pct"/>
            <w:tcBorders>
              <w:top w:val="nil"/>
              <w:left w:val="nil"/>
              <w:bottom w:val="nil"/>
              <w:right w:val="nil"/>
            </w:tcBorders>
            <w:shd w:val="clear" w:color="auto" w:fill="auto"/>
            <w:noWrap/>
            <w:vAlign w:val="bottom"/>
            <w:hideMark/>
          </w:tcPr>
          <w:p w14:paraId="4AE7ADB6" w14:textId="77777777" w:rsidR="00A61FF5" w:rsidRPr="00040036" w:rsidRDefault="00A61FF5" w:rsidP="00D07480">
            <w:pPr>
              <w:pStyle w:val="ESTablebody3ptafter"/>
              <w:rPr>
                <w:sz w:val="14"/>
                <w:szCs w:val="14"/>
                <w:lang w:val="en-AU" w:eastAsia="en-AU"/>
              </w:rPr>
            </w:pPr>
            <w:r w:rsidRPr="00040036">
              <w:rPr>
                <w:sz w:val="14"/>
                <w:szCs w:val="14"/>
                <w:lang w:val="en-AU" w:eastAsia="en-AU"/>
              </w:rPr>
              <w:t>15,646</w:t>
            </w:r>
          </w:p>
        </w:tc>
        <w:tc>
          <w:tcPr>
            <w:tcW w:w="305" w:type="pct"/>
            <w:tcBorders>
              <w:top w:val="nil"/>
              <w:left w:val="nil"/>
              <w:bottom w:val="nil"/>
              <w:right w:val="single" w:sz="4" w:space="0" w:color="auto"/>
            </w:tcBorders>
            <w:shd w:val="clear" w:color="auto" w:fill="auto"/>
            <w:noWrap/>
            <w:vAlign w:val="bottom"/>
            <w:hideMark/>
          </w:tcPr>
          <w:p w14:paraId="35000758" w14:textId="77777777" w:rsidR="00A61FF5" w:rsidRPr="00040036" w:rsidRDefault="00A61FF5" w:rsidP="00D07480">
            <w:pPr>
              <w:pStyle w:val="ESTablebody3ptafter"/>
              <w:rPr>
                <w:sz w:val="14"/>
                <w:szCs w:val="14"/>
                <w:lang w:val="en-AU" w:eastAsia="en-AU"/>
              </w:rPr>
            </w:pPr>
            <w:r w:rsidRPr="00040036">
              <w:rPr>
                <w:sz w:val="14"/>
                <w:szCs w:val="14"/>
                <w:lang w:val="en-AU" w:eastAsia="en-AU"/>
              </w:rPr>
              <w:t>12,933.8</w:t>
            </w:r>
          </w:p>
        </w:tc>
        <w:tc>
          <w:tcPr>
            <w:tcW w:w="254" w:type="pct"/>
            <w:tcBorders>
              <w:top w:val="nil"/>
              <w:left w:val="nil"/>
              <w:bottom w:val="nil"/>
              <w:right w:val="nil"/>
            </w:tcBorders>
            <w:shd w:val="clear" w:color="auto" w:fill="auto"/>
            <w:noWrap/>
            <w:vAlign w:val="bottom"/>
            <w:hideMark/>
          </w:tcPr>
          <w:p w14:paraId="5D2687D8" w14:textId="1E63E64B" w:rsidR="00A61FF5" w:rsidRPr="00040036" w:rsidRDefault="00A61FF5" w:rsidP="00D07480">
            <w:pPr>
              <w:pStyle w:val="ESTablebody3ptafter"/>
              <w:rPr>
                <w:sz w:val="14"/>
                <w:szCs w:val="14"/>
                <w:lang w:val="en-AU" w:eastAsia="en-AU"/>
              </w:rPr>
            </w:pPr>
            <w:r w:rsidRPr="00040036">
              <w:rPr>
                <w:sz w:val="14"/>
                <w:szCs w:val="14"/>
                <w:lang w:val="en-AU" w:eastAsia="en-AU"/>
              </w:rPr>
              <w:t>7</w:t>
            </w:r>
            <w:r w:rsidR="009452EC" w:rsidRPr="00040036">
              <w:rPr>
                <w:sz w:val="14"/>
                <w:szCs w:val="14"/>
                <w:lang w:val="en-AU" w:eastAsia="en-AU"/>
              </w:rPr>
              <w:t>,</w:t>
            </w:r>
            <w:r w:rsidRPr="00040036">
              <w:rPr>
                <w:sz w:val="14"/>
                <w:szCs w:val="14"/>
                <w:lang w:val="en-AU" w:eastAsia="en-AU"/>
              </w:rPr>
              <w:t>261</w:t>
            </w:r>
          </w:p>
        </w:tc>
        <w:tc>
          <w:tcPr>
            <w:tcW w:w="253" w:type="pct"/>
            <w:tcBorders>
              <w:top w:val="nil"/>
              <w:left w:val="nil"/>
              <w:bottom w:val="nil"/>
              <w:right w:val="nil"/>
            </w:tcBorders>
            <w:shd w:val="clear" w:color="auto" w:fill="auto"/>
            <w:noWrap/>
            <w:vAlign w:val="bottom"/>
            <w:hideMark/>
          </w:tcPr>
          <w:p w14:paraId="2A36513F" w14:textId="56641354"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059</w:t>
            </w:r>
          </w:p>
        </w:tc>
        <w:tc>
          <w:tcPr>
            <w:tcW w:w="305" w:type="pct"/>
            <w:tcBorders>
              <w:top w:val="nil"/>
              <w:left w:val="nil"/>
              <w:bottom w:val="nil"/>
              <w:right w:val="single" w:sz="4" w:space="0" w:color="auto"/>
            </w:tcBorders>
            <w:shd w:val="clear" w:color="auto" w:fill="auto"/>
            <w:noWrap/>
            <w:vAlign w:val="bottom"/>
            <w:hideMark/>
          </w:tcPr>
          <w:p w14:paraId="00D7A752" w14:textId="58465CD3" w:rsidR="00A61FF5" w:rsidRPr="00040036" w:rsidRDefault="00A61FF5" w:rsidP="00D07480">
            <w:pPr>
              <w:pStyle w:val="ESTablebody3ptafter"/>
              <w:rPr>
                <w:sz w:val="14"/>
                <w:szCs w:val="14"/>
                <w:lang w:val="en-AU" w:eastAsia="en-AU"/>
              </w:rPr>
            </w:pPr>
            <w:r w:rsidRPr="00040036">
              <w:rPr>
                <w:sz w:val="14"/>
                <w:szCs w:val="14"/>
                <w:lang w:val="en-AU" w:eastAsia="en-AU"/>
              </w:rPr>
              <w:t>9</w:t>
            </w:r>
            <w:r w:rsidR="009452EC" w:rsidRPr="00040036">
              <w:rPr>
                <w:sz w:val="14"/>
                <w:szCs w:val="14"/>
                <w:lang w:val="en-AU" w:eastAsia="en-AU"/>
              </w:rPr>
              <w:t>,</w:t>
            </w:r>
            <w:r w:rsidRPr="00040036">
              <w:rPr>
                <w:sz w:val="14"/>
                <w:szCs w:val="14"/>
                <w:lang w:val="en-AU" w:eastAsia="en-AU"/>
              </w:rPr>
              <w:t>739.7</w:t>
            </w:r>
          </w:p>
        </w:tc>
        <w:tc>
          <w:tcPr>
            <w:tcW w:w="357" w:type="pct"/>
            <w:tcBorders>
              <w:top w:val="nil"/>
              <w:left w:val="nil"/>
              <w:bottom w:val="nil"/>
              <w:right w:val="nil"/>
            </w:tcBorders>
            <w:shd w:val="clear" w:color="auto" w:fill="auto"/>
            <w:noWrap/>
            <w:vAlign w:val="bottom"/>
            <w:hideMark/>
          </w:tcPr>
          <w:p w14:paraId="6C3AA890" w14:textId="4471FA8A"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326</w:t>
            </w:r>
          </w:p>
        </w:tc>
        <w:tc>
          <w:tcPr>
            <w:tcW w:w="307" w:type="pct"/>
            <w:tcBorders>
              <w:top w:val="nil"/>
              <w:left w:val="nil"/>
              <w:bottom w:val="nil"/>
              <w:right w:val="single" w:sz="8" w:space="0" w:color="auto"/>
            </w:tcBorders>
            <w:shd w:val="clear" w:color="auto" w:fill="auto"/>
            <w:noWrap/>
            <w:vAlign w:val="bottom"/>
            <w:hideMark/>
          </w:tcPr>
          <w:p w14:paraId="216189DC" w14:textId="688F0F8C" w:rsidR="00A61FF5" w:rsidRPr="00040036" w:rsidRDefault="00A61FF5" w:rsidP="00D07480">
            <w:pPr>
              <w:pStyle w:val="ESTablebody3ptafter"/>
              <w:rPr>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194.0</w:t>
            </w:r>
          </w:p>
        </w:tc>
        <w:tc>
          <w:tcPr>
            <w:tcW w:w="356" w:type="pct"/>
            <w:tcBorders>
              <w:top w:val="nil"/>
              <w:left w:val="nil"/>
              <w:bottom w:val="nil"/>
              <w:right w:val="nil"/>
            </w:tcBorders>
            <w:shd w:val="clear" w:color="auto" w:fill="auto"/>
            <w:noWrap/>
            <w:vAlign w:val="bottom"/>
            <w:hideMark/>
          </w:tcPr>
          <w:p w14:paraId="35F2915E"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14,965</w:t>
            </w:r>
          </w:p>
        </w:tc>
        <w:tc>
          <w:tcPr>
            <w:tcW w:w="304" w:type="pct"/>
            <w:tcBorders>
              <w:top w:val="nil"/>
              <w:left w:val="nil"/>
              <w:bottom w:val="nil"/>
              <w:right w:val="single" w:sz="4" w:space="0" w:color="auto"/>
            </w:tcBorders>
            <w:shd w:val="clear" w:color="auto" w:fill="auto"/>
            <w:noWrap/>
            <w:vAlign w:val="bottom"/>
            <w:hideMark/>
          </w:tcPr>
          <w:p w14:paraId="35BF91D3" w14:textId="77777777" w:rsidR="00A61FF5" w:rsidRPr="00040036" w:rsidRDefault="00A61FF5" w:rsidP="00D07480">
            <w:pPr>
              <w:pStyle w:val="ESTablebody3ptafter"/>
              <w:rPr>
                <w:sz w:val="14"/>
                <w:szCs w:val="14"/>
                <w:lang w:val="en-AU" w:eastAsia="en-AU"/>
              </w:rPr>
            </w:pPr>
            <w:r w:rsidRPr="00040036">
              <w:rPr>
                <w:sz w:val="14"/>
                <w:szCs w:val="14"/>
                <w:lang w:val="en-AU" w:eastAsia="en-AU"/>
              </w:rPr>
              <w:t>12,333.8</w:t>
            </w:r>
          </w:p>
        </w:tc>
        <w:tc>
          <w:tcPr>
            <w:tcW w:w="309" w:type="pct"/>
            <w:tcBorders>
              <w:top w:val="nil"/>
              <w:left w:val="nil"/>
              <w:bottom w:val="nil"/>
              <w:right w:val="nil"/>
            </w:tcBorders>
            <w:shd w:val="clear" w:color="auto" w:fill="auto"/>
            <w:noWrap/>
            <w:vAlign w:val="bottom"/>
            <w:hideMark/>
          </w:tcPr>
          <w:p w14:paraId="114A1ADB" w14:textId="4B265F0B" w:rsidR="00A61FF5" w:rsidRPr="00040036" w:rsidRDefault="00A61FF5" w:rsidP="00D07480">
            <w:pPr>
              <w:pStyle w:val="ESTablebody3ptafter"/>
              <w:rPr>
                <w:sz w:val="14"/>
                <w:szCs w:val="14"/>
                <w:lang w:val="en-AU" w:eastAsia="en-AU"/>
              </w:rPr>
            </w:pPr>
            <w:r w:rsidRPr="00040036">
              <w:rPr>
                <w:sz w:val="14"/>
                <w:szCs w:val="14"/>
                <w:lang w:val="en-AU" w:eastAsia="en-AU"/>
              </w:rPr>
              <w:t>7</w:t>
            </w:r>
            <w:r w:rsidR="009452EC" w:rsidRPr="00040036">
              <w:rPr>
                <w:sz w:val="14"/>
                <w:szCs w:val="14"/>
                <w:lang w:val="en-AU" w:eastAsia="en-AU"/>
              </w:rPr>
              <w:t>,</w:t>
            </w:r>
            <w:r w:rsidRPr="00040036">
              <w:rPr>
                <w:sz w:val="14"/>
                <w:szCs w:val="14"/>
                <w:lang w:val="en-AU" w:eastAsia="en-AU"/>
              </w:rPr>
              <w:t>050</w:t>
            </w:r>
          </w:p>
        </w:tc>
        <w:tc>
          <w:tcPr>
            <w:tcW w:w="306" w:type="pct"/>
            <w:gridSpan w:val="2"/>
            <w:tcBorders>
              <w:top w:val="nil"/>
              <w:left w:val="nil"/>
              <w:bottom w:val="nil"/>
              <w:right w:val="nil"/>
            </w:tcBorders>
            <w:shd w:val="clear" w:color="auto" w:fill="auto"/>
            <w:noWrap/>
            <w:vAlign w:val="bottom"/>
            <w:hideMark/>
          </w:tcPr>
          <w:p w14:paraId="62F4F6CF" w14:textId="476DE5E3"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119</w:t>
            </w:r>
          </w:p>
        </w:tc>
        <w:tc>
          <w:tcPr>
            <w:tcW w:w="307" w:type="pct"/>
            <w:gridSpan w:val="2"/>
            <w:tcBorders>
              <w:top w:val="nil"/>
              <w:left w:val="nil"/>
              <w:bottom w:val="nil"/>
              <w:right w:val="single" w:sz="4" w:space="0" w:color="auto"/>
            </w:tcBorders>
            <w:shd w:val="clear" w:color="auto" w:fill="auto"/>
            <w:noWrap/>
            <w:vAlign w:val="bottom"/>
            <w:hideMark/>
          </w:tcPr>
          <w:p w14:paraId="6AAD4654" w14:textId="77777777" w:rsidR="00A61FF5" w:rsidRPr="00040036" w:rsidRDefault="00A61FF5" w:rsidP="00D07480">
            <w:pPr>
              <w:pStyle w:val="ESTablebody3ptafter"/>
              <w:rPr>
                <w:sz w:val="14"/>
                <w:szCs w:val="14"/>
                <w:lang w:val="en-AU" w:eastAsia="en-AU"/>
              </w:rPr>
            </w:pPr>
            <w:r w:rsidRPr="00040036">
              <w:rPr>
                <w:sz w:val="14"/>
                <w:szCs w:val="14"/>
                <w:lang w:val="en-AU" w:eastAsia="en-AU"/>
              </w:rPr>
              <w:t>9,565.8</w:t>
            </w:r>
          </w:p>
        </w:tc>
        <w:tc>
          <w:tcPr>
            <w:tcW w:w="294" w:type="pct"/>
            <w:tcBorders>
              <w:top w:val="nil"/>
              <w:left w:val="nil"/>
              <w:bottom w:val="nil"/>
              <w:right w:val="nil"/>
            </w:tcBorders>
            <w:shd w:val="clear" w:color="auto" w:fill="auto"/>
            <w:noWrap/>
            <w:vAlign w:val="bottom"/>
            <w:hideMark/>
          </w:tcPr>
          <w:p w14:paraId="146FEA45" w14:textId="77777777" w:rsidR="00A61FF5" w:rsidRPr="00040036" w:rsidRDefault="00A61FF5" w:rsidP="00D07480">
            <w:pPr>
              <w:pStyle w:val="ESTablebody3ptafter"/>
              <w:rPr>
                <w:sz w:val="14"/>
                <w:szCs w:val="14"/>
                <w:lang w:val="en-AU" w:eastAsia="en-AU"/>
              </w:rPr>
            </w:pPr>
            <w:r w:rsidRPr="00040036">
              <w:rPr>
                <w:sz w:val="14"/>
                <w:szCs w:val="14"/>
                <w:lang w:val="en-AU" w:eastAsia="en-AU"/>
              </w:rPr>
              <w:t>3,796</w:t>
            </w:r>
          </w:p>
        </w:tc>
        <w:tc>
          <w:tcPr>
            <w:tcW w:w="277" w:type="pct"/>
            <w:tcBorders>
              <w:top w:val="nil"/>
              <w:left w:val="nil"/>
              <w:bottom w:val="nil"/>
              <w:right w:val="nil"/>
            </w:tcBorders>
            <w:shd w:val="clear" w:color="auto" w:fill="auto"/>
            <w:noWrap/>
            <w:vAlign w:val="bottom"/>
            <w:hideMark/>
          </w:tcPr>
          <w:p w14:paraId="247B262B" w14:textId="77777777" w:rsidR="00A61FF5" w:rsidRPr="00040036" w:rsidRDefault="00A61FF5" w:rsidP="00D07480">
            <w:pPr>
              <w:pStyle w:val="ESTablebody3ptafter"/>
              <w:rPr>
                <w:sz w:val="14"/>
                <w:szCs w:val="14"/>
                <w:lang w:val="en-AU" w:eastAsia="en-AU"/>
              </w:rPr>
            </w:pPr>
            <w:r w:rsidRPr="00040036">
              <w:rPr>
                <w:sz w:val="14"/>
                <w:szCs w:val="14"/>
                <w:lang w:val="en-AU" w:eastAsia="en-AU"/>
              </w:rPr>
              <w:t>2,768.0</w:t>
            </w:r>
          </w:p>
        </w:tc>
      </w:tr>
      <w:tr w:rsidR="00A61FF5" w:rsidRPr="00932A90" w14:paraId="0C388DC3" w14:textId="77777777" w:rsidTr="00D07480">
        <w:trPr>
          <w:trHeight w:val="300"/>
        </w:trPr>
        <w:tc>
          <w:tcPr>
            <w:tcW w:w="182" w:type="pct"/>
            <w:vMerge/>
            <w:tcBorders>
              <w:left w:val="nil"/>
              <w:right w:val="nil"/>
            </w:tcBorders>
            <w:shd w:val="clear" w:color="auto" w:fill="auto"/>
            <w:vAlign w:val="center"/>
            <w:hideMark/>
          </w:tcPr>
          <w:p w14:paraId="377A7B9E"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70E537A9" w14:textId="652E417C" w:rsidR="00A61FF5" w:rsidRPr="00040036" w:rsidRDefault="00A61FF5" w:rsidP="008C1498">
            <w:pPr>
              <w:pStyle w:val="ESTablebody3ptafter"/>
              <w:rPr>
                <w:sz w:val="14"/>
                <w:szCs w:val="14"/>
                <w:lang w:val="en-AU" w:eastAsia="en-AU"/>
              </w:rPr>
            </w:pPr>
            <w:r w:rsidRPr="00040036">
              <w:rPr>
                <w:sz w:val="14"/>
                <w:szCs w:val="14"/>
                <w:lang w:val="en-AU" w:eastAsia="en-AU"/>
              </w:rPr>
              <w:t>45</w:t>
            </w:r>
            <w:r w:rsidR="008C1498" w:rsidRPr="00040036">
              <w:rPr>
                <w:sz w:val="14"/>
                <w:szCs w:val="14"/>
                <w:lang w:val="en-AU" w:eastAsia="en-AU"/>
              </w:rPr>
              <w:t>–</w:t>
            </w:r>
            <w:r w:rsidRPr="00040036">
              <w:rPr>
                <w:sz w:val="14"/>
                <w:szCs w:val="14"/>
                <w:lang w:val="en-AU" w:eastAsia="en-AU"/>
              </w:rPr>
              <w:t>54</w:t>
            </w:r>
          </w:p>
        </w:tc>
        <w:tc>
          <w:tcPr>
            <w:tcW w:w="355" w:type="pct"/>
            <w:tcBorders>
              <w:top w:val="nil"/>
              <w:left w:val="nil"/>
              <w:bottom w:val="nil"/>
              <w:right w:val="nil"/>
            </w:tcBorders>
            <w:shd w:val="clear" w:color="auto" w:fill="auto"/>
            <w:noWrap/>
            <w:vAlign w:val="bottom"/>
            <w:hideMark/>
          </w:tcPr>
          <w:p w14:paraId="24953160" w14:textId="77777777" w:rsidR="00A61FF5" w:rsidRPr="00040036" w:rsidRDefault="00A61FF5" w:rsidP="00D07480">
            <w:pPr>
              <w:pStyle w:val="ESTablebody3ptafter"/>
              <w:rPr>
                <w:sz w:val="14"/>
                <w:szCs w:val="14"/>
                <w:lang w:val="en-AU" w:eastAsia="en-AU"/>
              </w:rPr>
            </w:pPr>
            <w:r w:rsidRPr="00040036">
              <w:rPr>
                <w:sz w:val="14"/>
                <w:szCs w:val="14"/>
                <w:lang w:val="en-AU" w:eastAsia="en-AU"/>
              </w:rPr>
              <w:t>16,833</w:t>
            </w:r>
          </w:p>
        </w:tc>
        <w:tc>
          <w:tcPr>
            <w:tcW w:w="305" w:type="pct"/>
            <w:tcBorders>
              <w:top w:val="nil"/>
              <w:left w:val="nil"/>
              <w:bottom w:val="nil"/>
              <w:right w:val="single" w:sz="4" w:space="0" w:color="auto"/>
            </w:tcBorders>
            <w:shd w:val="clear" w:color="auto" w:fill="auto"/>
            <w:noWrap/>
            <w:vAlign w:val="bottom"/>
            <w:hideMark/>
          </w:tcPr>
          <w:p w14:paraId="0A9407C5"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14,126.6</w:t>
            </w:r>
          </w:p>
        </w:tc>
        <w:tc>
          <w:tcPr>
            <w:tcW w:w="254" w:type="pct"/>
            <w:tcBorders>
              <w:top w:val="nil"/>
              <w:left w:val="nil"/>
              <w:bottom w:val="nil"/>
              <w:right w:val="nil"/>
            </w:tcBorders>
            <w:shd w:val="clear" w:color="auto" w:fill="auto"/>
            <w:noWrap/>
            <w:vAlign w:val="bottom"/>
            <w:hideMark/>
          </w:tcPr>
          <w:p w14:paraId="6BFAC683" w14:textId="79868457" w:rsidR="00A61FF5" w:rsidRPr="00040036" w:rsidRDefault="00A61FF5" w:rsidP="00D07480">
            <w:pPr>
              <w:pStyle w:val="ESTablebody3ptafter"/>
              <w:rPr>
                <w:sz w:val="14"/>
                <w:szCs w:val="14"/>
                <w:lang w:val="en-AU" w:eastAsia="en-AU"/>
              </w:rPr>
            </w:pPr>
            <w:r w:rsidRPr="00040036">
              <w:rPr>
                <w:sz w:val="14"/>
                <w:szCs w:val="14"/>
                <w:lang w:val="en-AU" w:eastAsia="en-AU"/>
              </w:rPr>
              <w:t>8</w:t>
            </w:r>
            <w:r w:rsidR="009452EC" w:rsidRPr="00040036">
              <w:rPr>
                <w:sz w:val="14"/>
                <w:szCs w:val="14"/>
                <w:lang w:val="en-AU" w:eastAsia="en-AU"/>
              </w:rPr>
              <w:t>,</w:t>
            </w:r>
            <w:r w:rsidRPr="00040036">
              <w:rPr>
                <w:sz w:val="14"/>
                <w:szCs w:val="14"/>
                <w:lang w:val="en-AU" w:eastAsia="en-AU"/>
              </w:rPr>
              <w:t>024</w:t>
            </w:r>
          </w:p>
        </w:tc>
        <w:tc>
          <w:tcPr>
            <w:tcW w:w="253" w:type="pct"/>
            <w:tcBorders>
              <w:top w:val="nil"/>
              <w:left w:val="nil"/>
              <w:bottom w:val="nil"/>
              <w:right w:val="nil"/>
            </w:tcBorders>
            <w:shd w:val="clear" w:color="auto" w:fill="auto"/>
            <w:noWrap/>
            <w:vAlign w:val="bottom"/>
            <w:hideMark/>
          </w:tcPr>
          <w:p w14:paraId="0E9E8767" w14:textId="284AF9FB"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313</w:t>
            </w:r>
          </w:p>
        </w:tc>
        <w:tc>
          <w:tcPr>
            <w:tcW w:w="305" w:type="pct"/>
            <w:tcBorders>
              <w:top w:val="nil"/>
              <w:left w:val="nil"/>
              <w:bottom w:val="nil"/>
              <w:right w:val="single" w:sz="4" w:space="0" w:color="auto"/>
            </w:tcBorders>
            <w:shd w:val="clear" w:color="auto" w:fill="auto"/>
            <w:noWrap/>
            <w:vAlign w:val="bottom"/>
            <w:hideMark/>
          </w:tcPr>
          <w:p w14:paraId="72BD3EF9"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10,947.4</w:t>
            </w:r>
          </w:p>
        </w:tc>
        <w:tc>
          <w:tcPr>
            <w:tcW w:w="357" w:type="pct"/>
            <w:tcBorders>
              <w:top w:val="nil"/>
              <w:left w:val="nil"/>
              <w:bottom w:val="nil"/>
              <w:right w:val="nil"/>
            </w:tcBorders>
            <w:shd w:val="clear" w:color="auto" w:fill="auto"/>
            <w:noWrap/>
            <w:vAlign w:val="bottom"/>
            <w:hideMark/>
          </w:tcPr>
          <w:p w14:paraId="6125DE60" w14:textId="5D5082DD"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496</w:t>
            </w:r>
          </w:p>
        </w:tc>
        <w:tc>
          <w:tcPr>
            <w:tcW w:w="307" w:type="pct"/>
            <w:tcBorders>
              <w:top w:val="nil"/>
              <w:left w:val="nil"/>
              <w:bottom w:val="nil"/>
              <w:right w:val="single" w:sz="8" w:space="0" w:color="auto"/>
            </w:tcBorders>
            <w:shd w:val="clear" w:color="auto" w:fill="auto"/>
            <w:noWrap/>
            <w:vAlign w:val="bottom"/>
            <w:hideMark/>
          </w:tcPr>
          <w:p w14:paraId="04D0F5E6" w14:textId="5CC40F62" w:rsidR="00A61FF5" w:rsidRPr="00040036" w:rsidRDefault="00A61FF5" w:rsidP="00D07480">
            <w:pPr>
              <w:pStyle w:val="ESTablebody3ptafter"/>
              <w:rPr>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179.2</w:t>
            </w:r>
          </w:p>
        </w:tc>
        <w:tc>
          <w:tcPr>
            <w:tcW w:w="356" w:type="pct"/>
            <w:tcBorders>
              <w:top w:val="nil"/>
              <w:left w:val="nil"/>
              <w:bottom w:val="nil"/>
              <w:right w:val="nil"/>
            </w:tcBorders>
            <w:shd w:val="clear" w:color="auto" w:fill="auto"/>
            <w:noWrap/>
            <w:vAlign w:val="bottom"/>
            <w:hideMark/>
          </w:tcPr>
          <w:p w14:paraId="5F76370B" w14:textId="77777777" w:rsidR="00A61FF5" w:rsidRPr="00040036" w:rsidRDefault="00A61FF5" w:rsidP="00D07480">
            <w:pPr>
              <w:pStyle w:val="ESTablebody3ptafter"/>
              <w:rPr>
                <w:sz w:val="14"/>
                <w:szCs w:val="14"/>
                <w:lang w:val="en-AU" w:eastAsia="en-AU"/>
              </w:rPr>
            </w:pPr>
            <w:r w:rsidRPr="00040036">
              <w:rPr>
                <w:sz w:val="14"/>
                <w:szCs w:val="14"/>
                <w:lang w:val="en-AU" w:eastAsia="en-AU"/>
              </w:rPr>
              <w:t>16,831</w:t>
            </w:r>
          </w:p>
        </w:tc>
        <w:tc>
          <w:tcPr>
            <w:tcW w:w="304" w:type="pct"/>
            <w:tcBorders>
              <w:top w:val="nil"/>
              <w:left w:val="nil"/>
              <w:bottom w:val="nil"/>
              <w:right w:val="single" w:sz="4" w:space="0" w:color="auto"/>
            </w:tcBorders>
            <w:shd w:val="clear" w:color="auto" w:fill="auto"/>
            <w:noWrap/>
            <w:vAlign w:val="bottom"/>
            <w:hideMark/>
          </w:tcPr>
          <w:p w14:paraId="552A8D91"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14,087.2</w:t>
            </w:r>
          </w:p>
        </w:tc>
        <w:tc>
          <w:tcPr>
            <w:tcW w:w="309" w:type="pct"/>
            <w:tcBorders>
              <w:top w:val="nil"/>
              <w:left w:val="nil"/>
              <w:bottom w:val="nil"/>
              <w:right w:val="nil"/>
            </w:tcBorders>
            <w:shd w:val="clear" w:color="auto" w:fill="auto"/>
            <w:noWrap/>
            <w:vAlign w:val="bottom"/>
            <w:hideMark/>
          </w:tcPr>
          <w:p w14:paraId="5C85D515" w14:textId="1A190190" w:rsidR="00A61FF5" w:rsidRPr="00040036" w:rsidRDefault="00A61FF5" w:rsidP="00D07480">
            <w:pPr>
              <w:pStyle w:val="ESTablebody3ptafter"/>
              <w:rPr>
                <w:sz w:val="14"/>
                <w:szCs w:val="14"/>
                <w:lang w:val="en-AU" w:eastAsia="en-AU"/>
              </w:rPr>
            </w:pPr>
            <w:r w:rsidRPr="00040036">
              <w:rPr>
                <w:sz w:val="14"/>
                <w:szCs w:val="14"/>
                <w:lang w:val="en-AU" w:eastAsia="en-AU"/>
              </w:rPr>
              <w:t>8</w:t>
            </w:r>
            <w:r w:rsidR="009452EC" w:rsidRPr="00040036">
              <w:rPr>
                <w:sz w:val="14"/>
                <w:szCs w:val="14"/>
                <w:lang w:val="en-AU" w:eastAsia="en-AU"/>
              </w:rPr>
              <w:t>,</w:t>
            </w:r>
            <w:r w:rsidRPr="00040036">
              <w:rPr>
                <w:sz w:val="14"/>
                <w:szCs w:val="14"/>
                <w:lang w:val="en-AU" w:eastAsia="en-AU"/>
              </w:rPr>
              <w:t>076</w:t>
            </w:r>
          </w:p>
        </w:tc>
        <w:tc>
          <w:tcPr>
            <w:tcW w:w="306" w:type="pct"/>
            <w:gridSpan w:val="2"/>
            <w:tcBorders>
              <w:top w:val="nil"/>
              <w:left w:val="nil"/>
              <w:bottom w:val="nil"/>
              <w:right w:val="nil"/>
            </w:tcBorders>
            <w:shd w:val="clear" w:color="auto" w:fill="auto"/>
            <w:noWrap/>
            <w:vAlign w:val="bottom"/>
            <w:hideMark/>
          </w:tcPr>
          <w:p w14:paraId="154C6591" w14:textId="1BB9F161"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835</w:t>
            </w:r>
          </w:p>
        </w:tc>
        <w:tc>
          <w:tcPr>
            <w:tcW w:w="307" w:type="pct"/>
            <w:gridSpan w:val="2"/>
            <w:tcBorders>
              <w:top w:val="nil"/>
              <w:left w:val="nil"/>
              <w:bottom w:val="nil"/>
              <w:right w:val="single" w:sz="4" w:space="0" w:color="auto"/>
            </w:tcBorders>
            <w:shd w:val="clear" w:color="auto" w:fill="auto"/>
            <w:noWrap/>
            <w:vAlign w:val="bottom"/>
            <w:hideMark/>
          </w:tcPr>
          <w:p w14:paraId="2EE12479"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11,328.5</w:t>
            </w:r>
          </w:p>
        </w:tc>
        <w:tc>
          <w:tcPr>
            <w:tcW w:w="294" w:type="pct"/>
            <w:tcBorders>
              <w:top w:val="nil"/>
              <w:left w:val="nil"/>
              <w:bottom w:val="nil"/>
              <w:right w:val="nil"/>
            </w:tcBorders>
            <w:shd w:val="clear" w:color="auto" w:fill="auto"/>
            <w:noWrap/>
            <w:vAlign w:val="bottom"/>
            <w:hideMark/>
          </w:tcPr>
          <w:p w14:paraId="0E4103A9" w14:textId="77777777" w:rsidR="00A61FF5" w:rsidRPr="00040036" w:rsidRDefault="00A61FF5" w:rsidP="00D07480">
            <w:pPr>
              <w:pStyle w:val="ESTablebody3ptafter"/>
              <w:rPr>
                <w:sz w:val="14"/>
                <w:szCs w:val="14"/>
                <w:lang w:val="en-AU" w:eastAsia="en-AU"/>
              </w:rPr>
            </w:pPr>
            <w:r w:rsidRPr="00040036">
              <w:rPr>
                <w:sz w:val="14"/>
                <w:szCs w:val="14"/>
                <w:lang w:val="en-AU" w:eastAsia="en-AU"/>
              </w:rPr>
              <w:t>3,920</w:t>
            </w:r>
          </w:p>
        </w:tc>
        <w:tc>
          <w:tcPr>
            <w:tcW w:w="277" w:type="pct"/>
            <w:tcBorders>
              <w:top w:val="nil"/>
              <w:left w:val="nil"/>
              <w:bottom w:val="nil"/>
              <w:right w:val="nil"/>
            </w:tcBorders>
            <w:shd w:val="clear" w:color="auto" w:fill="auto"/>
            <w:noWrap/>
            <w:vAlign w:val="bottom"/>
            <w:hideMark/>
          </w:tcPr>
          <w:p w14:paraId="6F362BBB" w14:textId="77777777" w:rsidR="00A61FF5" w:rsidRPr="00040036" w:rsidRDefault="00A61FF5" w:rsidP="00D07480">
            <w:pPr>
              <w:pStyle w:val="ESTablebody3ptafter"/>
              <w:rPr>
                <w:sz w:val="14"/>
                <w:szCs w:val="14"/>
                <w:lang w:val="en-AU" w:eastAsia="en-AU"/>
              </w:rPr>
            </w:pPr>
            <w:r w:rsidRPr="00040036">
              <w:rPr>
                <w:sz w:val="14"/>
                <w:szCs w:val="14"/>
                <w:lang w:val="en-AU" w:eastAsia="en-AU"/>
              </w:rPr>
              <w:t>2,758.7</w:t>
            </w:r>
          </w:p>
        </w:tc>
      </w:tr>
      <w:tr w:rsidR="00A61FF5" w:rsidRPr="00932A90" w14:paraId="5C9295D0" w14:textId="77777777" w:rsidTr="00D07480">
        <w:trPr>
          <w:trHeight w:val="300"/>
        </w:trPr>
        <w:tc>
          <w:tcPr>
            <w:tcW w:w="182" w:type="pct"/>
            <w:vMerge/>
            <w:tcBorders>
              <w:left w:val="nil"/>
              <w:right w:val="nil"/>
            </w:tcBorders>
            <w:shd w:val="clear" w:color="auto" w:fill="auto"/>
            <w:vAlign w:val="center"/>
            <w:hideMark/>
          </w:tcPr>
          <w:p w14:paraId="70A329CF"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3E87DE57" w14:textId="3A932EBA" w:rsidR="00A61FF5" w:rsidRPr="00040036" w:rsidRDefault="00A61FF5" w:rsidP="008C1498">
            <w:pPr>
              <w:pStyle w:val="ESTablebody3ptafter"/>
              <w:rPr>
                <w:sz w:val="14"/>
                <w:szCs w:val="14"/>
                <w:lang w:val="en-AU" w:eastAsia="en-AU"/>
              </w:rPr>
            </w:pPr>
            <w:r w:rsidRPr="00040036">
              <w:rPr>
                <w:sz w:val="14"/>
                <w:szCs w:val="14"/>
                <w:lang w:val="en-AU" w:eastAsia="en-AU"/>
              </w:rPr>
              <w:t>55</w:t>
            </w:r>
            <w:r w:rsidR="008C1498" w:rsidRPr="00040036">
              <w:rPr>
                <w:sz w:val="14"/>
                <w:szCs w:val="14"/>
                <w:lang w:val="en-AU" w:eastAsia="en-AU"/>
              </w:rPr>
              <w:t>–</w:t>
            </w:r>
            <w:r w:rsidRPr="00040036">
              <w:rPr>
                <w:sz w:val="14"/>
                <w:szCs w:val="14"/>
                <w:lang w:val="en-AU" w:eastAsia="en-AU"/>
              </w:rPr>
              <w:t>64</w:t>
            </w:r>
          </w:p>
        </w:tc>
        <w:tc>
          <w:tcPr>
            <w:tcW w:w="355" w:type="pct"/>
            <w:tcBorders>
              <w:top w:val="nil"/>
              <w:left w:val="nil"/>
              <w:bottom w:val="nil"/>
              <w:right w:val="nil"/>
            </w:tcBorders>
            <w:shd w:val="clear" w:color="auto" w:fill="auto"/>
            <w:noWrap/>
            <w:vAlign w:val="bottom"/>
            <w:hideMark/>
          </w:tcPr>
          <w:p w14:paraId="7D69780F"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14,235</w:t>
            </w:r>
          </w:p>
        </w:tc>
        <w:tc>
          <w:tcPr>
            <w:tcW w:w="305" w:type="pct"/>
            <w:tcBorders>
              <w:top w:val="nil"/>
              <w:left w:val="nil"/>
              <w:bottom w:val="nil"/>
              <w:right w:val="single" w:sz="4" w:space="0" w:color="auto"/>
            </w:tcBorders>
            <w:shd w:val="clear" w:color="auto" w:fill="auto"/>
            <w:noWrap/>
            <w:vAlign w:val="bottom"/>
            <w:hideMark/>
          </w:tcPr>
          <w:p w14:paraId="522FCA17"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11,923.4</w:t>
            </w:r>
          </w:p>
        </w:tc>
        <w:tc>
          <w:tcPr>
            <w:tcW w:w="254" w:type="pct"/>
            <w:tcBorders>
              <w:top w:val="nil"/>
              <w:left w:val="nil"/>
              <w:bottom w:val="nil"/>
              <w:right w:val="nil"/>
            </w:tcBorders>
            <w:shd w:val="clear" w:color="auto" w:fill="auto"/>
            <w:noWrap/>
            <w:vAlign w:val="bottom"/>
            <w:hideMark/>
          </w:tcPr>
          <w:p w14:paraId="0E68AAE7" w14:textId="388FE72E" w:rsidR="00A61FF5" w:rsidRPr="00040036" w:rsidRDefault="00A61FF5" w:rsidP="00D07480">
            <w:pPr>
              <w:pStyle w:val="ESTablebody3ptafter"/>
              <w:rPr>
                <w:sz w:val="14"/>
                <w:szCs w:val="14"/>
                <w:lang w:val="en-AU" w:eastAsia="en-AU"/>
              </w:rPr>
            </w:pPr>
            <w:r w:rsidRPr="00040036">
              <w:rPr>
                <w:sz w:val="14"/>
                <w:szCs w:val="14"/>
                <w:lang w:val="en-AU" w:eastAsia="en-AU"/>
              </w:rPr>
              <w:t>7</w:t>
            </w:r>
            <w:r w:rsidR="009452EC" w:rsidRPr="00040036">
              <w:rPr>
                <w:sz w:val="14"/>
                <w:szCs w:val="14"/>
                <w:lang w:val="en-AU" w:eastAsia="en-AU"/>
              </w:rPr>
              <w:t>,</w:t>
            </w:r>
            <w:r w:rsidRPr="00040036">
              <w:rPr>
                <w:sz w:val="14"/>
                <w:szCs w:val="14"/>
                <w:lang w:val="en-AU" w:eastAsia="en-AU"/>
              </w:rPr>
              <w:t>221</w:t>
            </w:r>
          </w:p>
        </w:tc>
        <w:tc>
          <w:tcPr>
            <w:tcW w:w="253" w:type="pct"/>
            <w:tcBorders>
              <w:top w:val="nil"/>
              <w:left w:val="nil"/>
              <w:bottom w:val="nil"/>
              <w:right w:val="nil"/>
            </w:tcBorders>
            <w:shd w:val="clear" w:color="auto" w:fill="auto"/>
            <w:noWrap/>
            <w:vAlign w:val="bottom"/>
            <w:hideMark/>
          </w:tcPr>
          <w:p w14:paraId="60710B86" w14:textId="7D088AC7"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910</w:t>
            </w:r>
          </w:p>
        </w:tc>
        <w:tc>
          <w:tcPr>
            <w:tcW w:w="305" w:type="pct"/>
            <w:tcBorders>
              <w:top w:val="nil"/>
              <w:left w:val="nil"/>
              <w:bottom w:val="nil"/>
              <w:right w:val="single" w:sz="4" w:space="0" w:color="auto"/>
            </w:tcBorders>
            <w:shd w:val="clear" w:color="auto" w:fill="auto"/>
            <w:noWrap/>
            <w:vAlign w:val="bottom"/>
            <w:hideMark/>
          </w:tcPr>
          <w:p w14:paraId="6BD408F1"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10,476.8</w:t>
            </w:r>
          </w:p>
        </w:tc>
        <w:tc>
          <w:tcPr>
            <w:tcW w:w="357" w:type="pct"/>
            <w:tcBorders>
              <w:top w:val="nil"/>
              <w:left w:val="nil"/>
              <w:bottom w:val="nil"/>
              <w:right w:val="nil"/>
            </w:tcBorders>
            <w:shd w:val="clear" w:color="auto" w:fill="auto"/>
            <w:noWrap/>
            <w:vAlign w:val="bottom"/>
            <w:hideMark/>
          </w:tcPr>
          <w:p w14:paraId="4067E9A8" w14:textId="07068BD1" w:rsidR="00A61FF5" w:rsidRPr="00040036" w:rsidRDefault="00A61FF5" w:rsidP="00D07480">
            <w:pPr>
              <w:pStyle w:val="ESTablebody3ptafter"/>
              <w:rPr>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104</w:t>
            </w:r>
          </w:p>
        </w:tc>
        <w:tc>
          <w:tcPr>
            <w:tcW w:w="307" w:type="pct"/>
            <w:tcBorders>
              <w:top w:val="nil"/>
              <w:left w:val="nil"/>
              <w:bottom w:val="nil"/>
              <w:right w:val="single" w:sz="8" w:space="0" w:color="auto"/>
            </w:tcBorders>
            <w:shd w:val="clear" w:color="auto" w:fill="auto"/>
            <w:noWrap/>
            <w:vAlign w:val="bottom"/>
            <w:hideMark/>
          </w:tcPr>
          <w:p w14:paraId="6D7B9F48" w14:textId="2D5CD0D4"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446.6</w:t>
            </w:r>
          </w:p>
        </w:tc>
        <w:tc>
          <w:tcPr>
            <w:tcW w:w="356" w:type="pct"/>
            <w:tcBorders>
              <w:top w:val="nil"/>
              <w:left w:val="nil"/>
              <w:bottom w:val="nil"/>
              <w:right w:val="nil"/>
            </w:tcBorders>
            <w:shd w:val="clear" w:color="auto" w:fill="auto"/>
            <w:noWrap/>
            <w:vAlign w:val="bottom"/>
            <w:hideMark/>
          </w:tcPr>
          <w:p w14:paraId="3A9A7169"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14,226</w:t>
            </w:r>
          </w:p>
        </w:tc>
        <w:tc>
          <w:tcPr>
            <w:tcW w:w="304" w:type="pct"/>
            <w:tcBorders>
              <w:top w:val="nil"/>
              <w:left w:val="nil"/>
              <w:bottom w:val="nil"/>
              <w:right w:val="single" w:sz="4" w:space="0" w:color="auto"/>
            </w:tcBorders>
            <w:shd w:val="clear" w:color="auto" w:fill="auto"/>
            <w:noWrap/>
            <w:vAlign w:val="bottom"/>
            <w:hideMark/>
          </w:tcPr>
          <w:p w14:paraId="51FDA47B"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11,962.8</w:t>
            </w:r>
          </w:p>
        </w:tc>
        <w:tc>
          <w:tcPr>
            <w:tcW w:w="309" w:type="pct"/>
            <w:tcBorders>
              <w:top w:val="nil"/>
              <w:left w:val="nil"/>
              <w:bottom w:val="nil"/>
              <w:right w:val="nil"/>
            </w:tcBorders>
            <w:shd w:val="clear" w:color="auto" w:fill="auto"/>
            <w:noWrap/>
            <w:vAlign w:val="bottom"/>
            <w:hideMark/>
          </w:tcPr>
          <w:p w14:paraId="0A9BECA3" w14:textId="4C5DBF9D" w:rsidR="00A61FF5" w:rsidRPr="00040036" w:rsidRDefault="00A61FF5" w:rsidP="00D07480">
            <w:pPr>
              <w:pStyle w:val="ESTablebody3ptafter"/>
              <w:rPr>
                <w:sz w:val="14"/>
                <w:szCs w:val="14"/>
                <w:lang w:val="en-AU" w:eastAsia="en-AU"/>
              </w:rPr>
            </w:pPr>
            <w:r w:rsidRPr="00040036">
              <w:rPr>
                <w:sz w:val="14"/>
                <w:szCs w:val="14"/>
                <w:lang w:val="en-AU" w:eastAsia="en-AU"/>
              </w:rPr>
              <w:t>7</w:t>
            </w:r>
            <w:r w:rsidR="009452EC" w:rsidRPr="00040036">
              <w:rPr>
                <w:sz w:val="14"/>
                <w:szCs w:val="14"/>
                <w:lang w:val="en-AU" w:eastAsia="en-AU"/>
              </w:rPr>
              <w:t>,</w:t>
            </w:r>
            <w:r w:rsidRPr="00040036">
              <w:rPr>
                <w:sz w:val="14"/>
                <w:szCs w:val="14"/>
                <w:lang w:val="en-AU" w:eastAsia="en-AU"/>
              </w:rPr>
              <w:t>439</w:t>
            </w:r>
          </w:p>
        </w:tc>
        <w:tc>
          <w:tcPr>
            <w:tcW w:w="306" w:type="pct"/>
            <w:gridSpan w:val="2"/>
            <w:tcBorders>
              <w:top w:val="nil"/>
              <w:left w:val="nil"/>
              <w:bottom w:val="nil"/>
              <w:right w:val="nil"/>
            </w:tcBorders>
            <w:shd w:val="clear" w:color="auto" w:fill="auto"/>
            <w:noWrap/>
            <w:vAlign w:val="bottom"/>
            <w:hideMark/>
          </w:tcPr>
          <w:p w14:paraId="1AD1D68D" w14:textId="4BD73FDD"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903</w:t>
            </w:r>
          </w:p>
        </w:tc>
        <w:tc>
          <w:tcPr>
            <w:tcW w:w="307" w:type="pct"/>
            <w:gridSpan w:val="2"/>
            <w:tcBorders>
              <w:top w:val="nil"/>
              <w:left w:val="nil"/>
              <w:bottom w:val="nil"/>
              <w:right w:val="single" w:sz="4" w:space="0" w:color="auto"/>
            </w:tcBorders>
            <w:shd w:val="clear" w:color="auto" w:fill="auto"/>
            <w:noWrap/>
            <w:vAlign w:val="bottom"/>
            <w:hideMark/>
          </w:tcPr>
          <w:p w14:paraId="7F208E93"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10,687.3</w:t>
            </w:r>
          </w:p>
        </w:tc>
        <w:tc>
          <w:tcPr>
            <w:tcW w:w="294" w:type="pct"/>
            <w:tcBorders>
              <w:top w:val="nil"/>
              <w:left w:val="nil"/>
              <w:bottom w:val="nil"/>
              <w:right w:val="nil"/>
            </w:tcBorders>
            <w:shd w:val="clear" w:color="auto" w:fill="auto"/>
            <w:noWrap/>
            <w:vAlign w:val="bottom"/>
            <w:hideMark/>
          </w:tcPr>
          <w:p w14:paraId="1F0A95D0" w14:textId="77777777" w:rsidR="00A61FF5" w:rsidRPr="00040036" w:rsidRDefault="00A61FF5" w:rsidP="00D07480">
            <w:pPr>
              <w:pStyle w:val="ESTablebody3ptafter"/>
              <w:rPr>
                <w:sz w:val="14"/>
                <w:szCs w:val="14"/>
                <w:lang w:val="en-AU" w:eastAsia="en-AU"/>
              </w:rPr>
            </w:pPr>
            <w:r w:rsidRPr="00040036">
              <w:rPr>
                <w:sz w:val="14"/>
                <w:szCs w:val="14"/>
                <w:lang w:val="en-AU" w:eastAsia="en-AU"/>
              </w:rPr>
              <w:t>1,884</w:t>
            </w:r>
          </w:p>
        </w:tc>
        <w:tc>
          <w:tcPr>
            <w:tcW w:w="277" w:type="pct"/>
            <w:tcBorders>
              <w:top w:val="nil"/>
              <w:left w:val="nil"/>
              <w:bottom w:val="nil"/>
              <w:right w:val="nil"/>
            </w:tcBorders>
            <w:shd w:val="clear" w:color="auto" w:fill="auto"/>
            <w:noWrap/>
            <w:vAlign w:val="bottom"/>
            <w:hideMark/>
          </w:tcPr>
          <w:p w14:paraId="74222281" w14:textId="77777777" w:rsidR="00A61FF5" w:rsidRPr="00040036" w:rsidRDefault="00A61FF5" w:rsidP="00D07480">
            <w:pPr>
              <w:pStyle w:val="ESTablebody3ptafter"/>
              <w:rPr>
                <w:sz w:val="14"/>
                <w:szCs w:val="14"/>
                <w:lang w:val="en-AU" w:eastAsia="en-AU"/>
              </w:rPr>
            </w:pPr>
            <w:r w:rsidRPr="00040036">
              <w:rPr>
                <w:sz w:val="14"/>
                <w:szCs w:val="14"/>
                <w:lang w:val="en-AU" w:eastAsia="en-AU"/>
              </w:rPr>
              <w:t>1,275.5</w:t>
            </w:r>
          </w:p>
        </w:tc>
      </w:tr>
      <w:tr w:rsidR="00A61FF5" w:rsidRPr="00932A90" w14:paraId="3315E06A" w14:textId="77777777" w:rsidTr="00D07480">
        <w:trPr>
          <w:trHeight w:val="300"/>
        </w:trPr>
        <w:tc>
          <w:tcPr>
            <w:tcW w:w="182" w:type="pct"/>
            <w:vMerge/>
            <w:tcBorders>
              <w:left w:val="nil"/>
              <w:bottom w:val="single" w:sz="4" w:space="0" w:color="000000"/>
              <w:right w:val="nil"/>
            </w:tcBorders>
            <w:shd w:val="clear" w:color="auto" w:fill="auto"/>
            <w:vAlign w:val="center"/>
            <w:hideMark/>
          </w:tcPr>
          <w:p w14:paraId="7E8A3C94" w14:textId="77777777" w:rsidR="00A61FF5" w:rsidRPr="00040036" w:rsidRDefault="00A61FF5" w:rsidP="00D07480">
            <w:pPr>
              <w:pStyle w:val="ESTablebody3ptafter"/>
              <w:rPr>
                <w:lang w:val="en-AU" w:eastAsia="en-AU"/>
              </w:rPr>
            </w:pPr>
          </w:p>
        </w:tc>
        <w:tc>
          <w:tcPr>
            <w:tcW w:w="529" w:type="pct"/>
            <w:tcBorders>
              <w:top w:val="nil"/>
              <w:left w:val="nil"/>
              <w:bottom w:val="single" w:sz="4" w:space="0" w:color="auto"/>
              <w:right w:val="nil"/>
            </w:tcBorders>
            <w:shd w:val="clear" w:color="auto" w:fill="auto"/>
            <w:noWrap/>
            <w:vAlign w:val="bottom"/>
            <w:hideMark/>
          </w:tcPr>
          <w:p w14:paraId="1842E8D0" w14:textId="77777777" w:rsidR="00A61FF5" w:rsidRPr="00040036" w:rsidRDefault="00A61FF5" w:rsidP="00D07480">
            <w:pPr>
              <w:pStyle w:val="ESTablebody3ptafter"/>
              <w:rPr>
                <w:sz w:val="14"/>
                <w:szCs w:val="14"/>
                <w:lang w:val="en-AU" w:eastAsia="en-AU"/>
              </w:rPr>
            </w:pPr>
            <w:r w:rsidRPr="00040036">
              <w:rPr>
                <w:sz w:val="14"/>
                <w:szCs w:val="14"/>
                <w:lang w:val="en-AU" w:eastAsia="en-AU"/>
              </w:rPr>
              <w:t>Over 64</w:t>
            </w:r>
          </w:p>
        </w:tc>
        <w:tc>
          <w:tcPr>
            <w:tcW w:w="355" w:type="pct"/>
            <w:tcBorders>
              <w:top w:val="nil"/>
              <w:left w:val="nil"/>
              <w:bottom w:val="single" w:sz="4" w:space="0" w:color="auto"/>
              <w:right w:val="nil"/>
            </w:tcBorders>
            <w:shd w:val="clear" w:color="auto" w:fill="auto"/>
            <w:noWrap/>
            <w:vAlign w:val="bottom"/>
            <w:hideMark/>
          </w:tcPr>
          <w:p w14:paraId="59EA2E88" w14:textId="1FFF35B4"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898</w:t>
            </w:r>
          </w:p>
        </w:tc>
        <w:tc>
          <w:tcPr>
            <w:tcW w:w="305" w:type="pct"/>
            <w:tcBorders>
              <w:top w:val="nil"/>
              <w:left w:val="nil"/>
              <w:bottom w:val="single" w:sz="4" w:space="0" w:color="auto"/>
              <w:right w:val="single" w:sz="4" w:space="0" w:color="auto"/>
            </w:tcBorders>
            <w:shd w:val="clear" w:color="auto" w:fill="auto"/>
            <w:noWrap/>
            <w:vAlign w:val="bottom"/>
            <w:hideMark/>
          </w:tcPr>
          <w:p w14:paraId="0807EF60" w14:textId="7F4E80A7"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413.6</w:t>
            </w:r>
          </w:p>
        </w:tc>
        <w:tc>
          <w:tcPr>
            <w:tcW w:w="254" w:type="pct"/>
            <w:tcBorders>
              <w:top w:val="nil"/>
              <w:left w:val="nil"/>
              <w:bottom w:val="single" w:sz="4" w:space="0" w:color="auto"/>
              <w:right w:val="nil"/>
            </w:tcBorders>
            <w:shd w:val="clear" w:color="auto" w:fill="auto"/>
            <w:noWrap/>
            <w:vAlign w:val="bottom"/>
            <w:hideMark/>
          </w:tcPr>
          <w:p w14:paraId="3376F2CB" w14:textId="77777777" w:rsidR="00A61FF5" w:rsidRPr="00040036" w:rsidRDefault="00A61FF5" w:rsidP="00D07480">
            <w:pPr>
              <w:pStyle w:val="ESTablebody3ptafter"/>
              <w:rPr>
                <w:sz w:val="14"/>
                <w:szCs w:val="14"/>
                <w:lang w:val="en-AU" w:eastAsia="en-AU"/>
              </w:rPr>
            </w:pPr>
            <w:r w:rsidRPr="00040036">
              <w:rPr>
                <w:sz w:val="14"/>
                <w:szCs w:val="14"/>
                <w:lang w:val="en-AU" w:eastAsia="en-AU"/>
              </w:rPr>
              <w:t>729</w:t>
            </w:r>
          </w:p>
        </w:tc>
        <w:tc>
          <w:tcPr>
            <w:tcW w:w="253" w:type="pct"/>
            <w:tcBorders>
              <w:top w:val="nil"/>
              <w:left w:val="nil"/>
              <w:bottom w:val="single" w:sz="4" w:space="0" w:color="auto"/>
              <w:right w:val="nil"/>
            </w:tcBorders>
            <w:shd w:val="clear" w:color="auto" w:fill="auto"/>
            <w:noWrap/>
            <w:vAlign w:val="bottom"/>
            <w:hideMark/>
          </w:tcPr>
          <w:p w14:paraId="754D2312" w14:textId="77777777" w:rsidR="00A61FF5" w:rsidRPr="00040036" w:rsidRDefault="00A61FF5" w:rsidP="00D07480">
            <w:pPr>
              <w:pStyle w:val="ESTablebody3ptafter"/>
              <w:rPr>
                <w:sz w:val="14"/>
                <w:szCs w:val="14"/>
                <w:lang w:val="en-AU" w:eastAsia="en-AU"/>
              </w:rPr>
            </w:pPr>
            <w:r w:rsidRPr="00040036">
              <w:rPr>
                <w:sz w:val="14"/>
                <w:szCs w:val="14"/>
                <w:lang w:val="en-AU" w:eastAsia="en-AU"/>
              </w:rPr>
              <w:t>918</w:t>
            </w:r>
          </w:p>
        </w:tc>
        <w:tc>
          <w:tcPr>
            <w:tcW w:w="305" w:type="pct"/>
            <w:tcBorders>
              <w:top w:val="nil"/>
              <w:left w:val="nil"/>
              <w:bottom w:val="single" w:sz="4" w:space="0" w:color="auto"/>
              <w:right w:val="single" w:sz="4" w:space="0" w:color="auto"/>
            </w:tcBorders>
            <w:shd w:val="clear" w:color="auto" w:fill="auto"/>
            <w:noWrap/>
            <w:vAlign w:val="bottom"/>
            <w:hideMark/>
          </w:tcPr>
          <w:p w14:paraId="2B4754C3" w14:textId="2B6D0813"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273.7</w:t>
            </w:r>
          </w:p>
        </w:tc>
        <w:tc>
          <w:tcPr>
            <w:tcW w:w="357" w:type="pct"/>
            <w:tcBorders>
              <w:top w:val="nil"/>
              <w:left w:val="nil"/>
              <w:bottom w:val="single" w:sz="4" w:space="0" w:color="auto"/>
              <w:right w:val="nil"/>
            </w:tcBorders>
            <w:shd w:val="clear" w:color="auto" w:fill="auto"/>
            <w:noWrap/>
            <w:vAlign w:val="bottom"/>
            <w:hideMark/>
          </w:tcPr>
          <w:p w14:paraId="6A8B93FB" w14:textId="77777777" w:rsidR="00A61FF5" w:rsidRPr="00040036" w:rsidRDefault="00A61FF5" w:rsidP="00D07480">
            <w:pPr>
              <w:pStyle w:val="ESTablebody3ptafter"/>
              <w:rPr>
                <w:sz w:val="14"/>
                <w:szCs w:val="14"/>
                <w:lang w:val="en-AU" w:eastAsia="en-AU"/>
              </w:rPr>
            </w:pPr>
            <w:r w:rsidRPr="00040036">
              <w:rPr>
                <w:sz w:val="14"/>
                <w:szCs w:val="14"/>
                <w:lang w:val="en-AU" w:eastAsia="en-AU"/>
              </w:rPr>
              <w:t>251</w:t>
            </w:r>
          </w:p>
        </w:tc>
        <w:tc>
          <w:tcPr>
            <w:tcW w:w="307" w:type="pct"/>
            <w:tcBorders>
              <w:top w:val="nil"/>
              <w:left w:val="nil"/>
              <w:bottom w:val="single" w:sz="4" w:space="0" w:color="auto"/>
              <w:right w:val="single" w:sz="8" w:space="0" w:color="auto"/>
            </w:tcBorders>
            <w:shd w:val="clear" w:color="auto" w:fill="auto"/>
            <w:noWrap/>
            <w:vAlign w:val="bottom"/>
            <w:hideMark/>
          </w:tcPr>
          <w:p w14:paraId="07B8E78B"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140.0</w:t>
            </w:r>
          </w:p>
        </w:tc>
        <w:tc>
          <w:tcPr>
            <w:tcW w:w="356" w:type="pct"/>
            <w:tcBorders>
              <w:top w:val="nil"/>
              <w:left w:val="nil"/>
              <w:bottom w:val="single" w:sz="4" w:space="0" w:color="auto"/>
              <w:right w:val="nil"/>
            </w:tcBorders>
            <w:shd w:val="clear" w:color="auto" w:fill="auto"/>
            <w:noWrap/>
            <w:vAlign w:val="bottom"/>
            <w:hideMark/>
          </w:tcPr>
          <w:p w14:paraId="5B976D6D" w14:textId="6B04657D"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701</w:t>
            </w:r>
          </w:p>
        </w:tc>
        <w:tc>
          <w:tcPr>
            <w:tcW w:w="304" w:type="pct"/>
            <w:tcBorders>
              <w:top w:val="nil"/>
              <w:left w:val="nil"/>
              <w:bottom w:val="single" w:sz="4" w:space="0" w:color="auto"/>
              <w:right w:val="single" w:sz="4" w:space="0" w:color="auto"/>
            </w:tcBorders>
            <w:shd w:val="clear" w:color="auto" w:fill="auto"/>
            <w:noWrap/>
            <w:vAlign w:val="bottom"/>
            <w:hideMark/>
          </w:tcPr>
          <w:p w14:paraId="5B4DD5B3" w14:textId="724FF0D7" w:rsidR="00A61FF5" w:rsidRPr="00040036" w:rsidRDefault="00A61FF5" w:rsidP="00D07480">
            <w:pPr>
              <w:pStyle w:val="ESTablebody3ptafter"/>
              <w:rPr>
                <w:sz w:val="14"/>
                <w:szCs w:val="14"/>
                <w:lang w:val="en-AU" w:eastAsia="en-AU"/>
              </w:rPr>
            </w:pPr>
            <w:r w:rsidRPr="00040036">
              <w:rPr>
                <w:sz w:val="14"/>
                <w:szCs w:val="14"/>
                <w:lang w:val="en-AU" w:eastAsia="en-AU"/>
              </w:rPr>
              <w:t>1</w:t>
            </w:r>
            <w:r w:rsidR="009452EC" w:rsidRPr="00040036">
              <w:rPr>
                <w:sz w:val="14"/>
                <w:szCs w:val="14"/>
                <w:lang w:val="en-AU" w:eastAsia="en-AU"/>
              </w:rPr>
              <w:t>,</w:t>
            </w:r>
            <w:r w:rsidRPr="00040036">
              <w:rPr>
                <w:sz w:val="14"/>
                <w:szCs w:val="14"/>
                <w:lang w:val="en-AU" w:eastAsia="en-AU"/>
              </w:rPr>
              <w:t>255.4</w:t>
            </w:r>
          </w:p>
        </w:tc>
        <w:tc>
          <w:tcPr>
            <w:tcW w:w="309" w:type="pct"/>
            <w:tcBorders>
              <w:top w:val="nil"/>
              <w:left w:val="nil"/>
              <w:bottom w:val="single" w:sz="4" w:space="0" w:color="auto"/>
              <w:right w:val="nil"/>
            </w:tcBorders>
            <w:shd w:val="clear" w:color="auto" w:fill="auto"/>
            <w:noWrap/>
            <w:vAlign w:val="bottom"/>
            <w:hideMark/>
          </w:tcPr>
          <w:p w14:paraId="540C0B78" w14:textId="77777777" w:rsidR="00A61FF5" w:rsidRPr="00040036" w:rsidRDefault="00A61FF5" w:rsidP="00D07480">
            <w:pPr>
              <w:pStyle w:val="ESTablebody3ptafter"/>
              <w:rPr>
                <w:sz w:val="14"/>
                <w:szCs w:val="14"/>
                <w:lang w:val="en-AU" w:eastAsia="en-AU"/>
              </w:rPr>
            </w:pPr>
            <w:r w:rsidRPr="00040036">
              <w:rPr>
                <w:sz w:val="14"/>
                <w:szCs w:val="14"/>
                <w:lang w:val="en-AU" w:eastAsia="en-AU"/>
              </w:rPr>
              <w:t>637</w:t>
            </w:r>
          </w:p>
        </w:tc>
        <w:tc>
          <w:tcPr>
            <w:tcW w:w="306" w:type="pct"/>
            <w:gridSpan w:val="2"/>
            <w:tcBorders>
              <w:top w:val="nil"/>
              <w:left w:val="nil"/>
              <w:bottom w:val="single" w:sz="4" w:space="0" w:color="auto"/>
              <w:right w:val="nil"/>
            </w:tcBorders>
            <w:shd w:val="clear" w:color="auto" w:fill="auto"/>
            <w:noWrap/>
            <w:vAlign w:val="bottom"/>
            <w:hideMark/>
          </w:tcPr>
          <w:p w14:paraId="6D20D375" w14:textId="77777777" w:rsidR="00A61FF5" w:rsidRPr="00040036" w:rsidRDefault="00A61FF5" w:rsidP="00D07480">
            <w:pPr>
              <w:pStyle w:val="ESTablebody3ptafter"/>
              <w:rPr>
                <w:sz w:val="14"/>
                <w:szCs w:val="14"/>
                <w:lang w:val="en-AU" w:eastAsia="en-AU"/>
              </w:rPr>
            </w:pPr>
            <w:r w:rsidRPr="00040036">
              <w:rPr>
                <w:sz w:val="14"/>
                <w:szCs w:val="14"/>
                <w:lang w:val="en-AU" w:eastAsia="en-AU"/>
              </w:rPr>
              <w:t>853</w:t>
            </w:r>
          </w:p>
        </w:tc>
        <w:tc>
          <w:tcPr>
            <w:tcW w:w="307" w:type="pct"/>
            <w:gridSpan w:val="2"/>
            <w:tcBorders>
              <w:top w:val="nil"/>
              <w:left w:val="nil"/>
              <w:bottom w:val="single" w:sz="4" w:space="0" w:color="auto"/>
              <w:right w:val="single" w:sz="4" w:space="0" w:color="auto"/>
            </w:tcBorders>
            <w:shd w:val="clear" w:color="auto" w:fill="auto"/>
            <w:noWrap/>
            <w:vAlign w:val="bottom"/>
            <w:hideMark/>
          </w:tcPr>
          <w:p w14:paraId="1F5D19AE"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1,145.0</w:t>
            </w:r>
          </w:p>
        </w:tc>
        <w:tc>
          <w:tcPr>
            <w:tcW w:w="294" w:type="pct"/>
            <w:tcBorders>
              <w:top w:val="nil"/>
              <w:left w:val="nil"/>
              <w:bottom w:val="single" w:sz="4" w:space="0" w:color="auto"/>
              <w:right w:val="nil"/>
            </w:tcBorders>
            <w:shd w:val="clear" w:color="auto" w:fill="auto"/>
            <w:noWrap/>
            <w:vAlign w:val="bottom"/>
            <w:hideMark/>
          </w:tcPr>
          <w:p w14:paraId="51AEEA86" w14:textId="77777777" w:rsidR="00A61FF5" w:rsidRPr="00040036" w:rsidRDefault="00A61FF5" w:rsidP="00D07480">
            <w:pPr>
              <w:pStyle w:val="ESTablebody3ptafter"/>
              <w:rPr>
                <w:sz w:val="14"/>
                <w:szCs w:val="14"/>
                <w:lang w:val="en-AU" w:eastAsia="en-AU"/>
              </w:rPr>
            </w:pPr>
            <w:r w:rsidRPr="00040036">
              <w:rPr>
                <w:sz w:val="14"/>
                <w:szCs w:val="14"/>
                <w:lang w:val="en-AU" w:eastAsia="en-AU"/>
              </w:rPr>
              <w:t>211</w:t>
            </w:r>
          </w:p>
        </w:tc>
        <w:tc>
          <w:tcPr>
            <w:tcW w:w="277" w:type="pct"/>
            <w:tcBorders>
              <w:top w:val="nil"/>
              <w:left w:val="nil"/>
              <w:bottom w:val="single" w:sz="4" w:space="0" w:color="auto"/>
              <w:right w:val="nil"/>
            </w:tcBorders>
            <w:shd w:val="clear" w:color="auto" w:fill="auto"/>
            <w:noWrap/>
            <w:vAlign w:val="bottom"/>
            <w:hideMark/>
          </w:tcPr>
          <w:p w14:paraId="3E67E701"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110.4</w:t>
            </w:r>
          </w:p>
        </w:tc>
      </w:tr>
      <w:tr w:rsidR="00A61FF5" w:rsidRPr="00932A90" w14:paraId="2C060DFE" w14:textId="77777777" w:rsidTr="00D07480">
        <w:trPr>
          <w:trHeight w:val="300"/>
        </w:trPr>
        <w:tc>
          <w:tcPr>
            <w:tcW w:w="182" w:type="pct"/>
            <w:vMerge w:val="restart"/>
            <w:tcBorders>
              <w:top w:val="nil"/>
              <w:left w:val="nil"/>
              <w:right w:val="nil"/>
            </w:tcBorders>
            <w:shd w:val="clear" w:color="auto" w:fill="auto"/>
            <w:textDirection w:val="btLr"/>
            <w:vAlign w:val="center"/>
            <w:hideMark/>
          </w:tcPr>
          <w:p w14:paraId="694F0E2F" w14:textId="77777777" w:rsidR="00A61FF5" w:rsidRPr="00040036" w:rsidRDefault="00A61FF5" w:rsidP="00D07480">
            <w:pPr>
              <w:pStyle w:val="ESTableBody"/>
              <w:jc w:val="center"/>
              <w:rPr>
                <w:lang w:val="en-AU" w:eastAsia="en-AU"/>
              </w:rPr>
            </w:pPr>
            <w:r w:rsidRPr="00040036">
              <w:rPr>
                <w:lang w:val="en-AU" w:eastAsia="en-AU"/>
              </w:rPr>
              <w:t>Classification data</w:t>
            </w:r>
          </w:p>
        </w:tc>
        <w:tc>
          <w:tcPr>
            <w:tcW w:w="529" w:type="pct"/>
            <w:tcBorders>
              <w:top w:val="nil"/>
              <w:left w:val="nil"/>
              <w:bottom w:val="nil"/>
              <w:right w:val="nil"/>
            </w:tcBorders>
            <w:shd w:val="clear" w:color="auto" w:fill="auto"/>
            <w:noWrap/>
            <w:vAlign w:val="bottom"/>
            <w:hideMark/>
          </w:tcPr>
          <w:p w14:paraId="18E00C73" w14:textId="77777777" w:rsidR="00A61FF5" w:rsidRPr="00040036" w:rsidRDefault="00A61FF5" w:rsidP="00D07480">
            <w:pPr>
              <w:pStyle w:val="ESTablebody3ptafter"/>
              <w:rPr>
                <w:sz w:val="14"/>
                <w:szCs w:val="14"/>
                <w:lang w:val="en-AU" w:eastAsia="en-AU"/>
              </w:rPr>
            </w:pPr>
            <w:r w:rsidRPr="00040036">
              <w:rPr>
                <w:sz w:val="14"/>
                <w:szCs w:val="14"/>
                <w:lang w:val="en-AU" w:eastAsia="en-AU"/>
              </w:rPr>
              <w:t>Executive Class</w:t>
            </w:r>
          </w:p>
        </w:tc>
        <w:tc>
          <w:tcPr>
            <w:tcW w:w="355" w:type="pct"/>
            <w:tcBorders>
              <w:top w:val="nil"/>
              <w:left w:val="nil"/>
              <w:bottom w:val="nil"/>
              <w:right w:val="nil"/>
            </w:tcBorders>
            <w:shd w:val="clear" w:color="auto" w:fill="auto"/>
            <w:noWrap/>
            <w:vAlign w:val="bottom"/>
            <w:hideMark/>
          </w:tcPr>
          <w:p w14:paraId="664A566A"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117</w:t>
            </w:r>
          </w:p>
        </w:tc>
        <w:tc>
          <w:tcPr>
            <w:tcW w:w="305" w:type="pct"/>
            <w:tcBorders>
              <w:top w:val="nil"/>
              <w:left w:val="nil"/>
              <w:bottom w:val="nil"/>
              <w:right w:val="single" w:sz="4" w:space="0" w:color="auto"/>
            </w:tcBorders>
            <w:shd w:val="clear" w:color="auto" w:fill="auto"/>
            <w:noWrap/>
            <w:vAlign w:val="bottom"/>
            <w:hideMark/>
          </w:tcPr>
          <w:p w14:paraId="4CE21B04"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116.0</w:t>
            </w:r>
          </w:p>
        </w:tc>
        <w:tc>
          <w:tcPr>
            <w:tcW w:w="254" w:type="pct"/>
            <w:tcBorders>
              <w:top w:val="nil"/>
              <w:left w:val="nil"/>
              <w:bottom w:val="nil"/>
              <w:right w:val="nil"/>
            </w:tcBorders>
            <w:shd w:val="clear" w:color="auto" w:fill="auto"/>
            <w:noWrap/>
            <w:vAlign w:val="bottom"/>
            <w:hideMark/>
          </w:tcPr>
          <w:p w14:paraId="1933419F"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106</w:t>
            </w:r>
          </w:p>
        </w:tc>
        <w:tc>
          <w:tcPr>
            <w:tcW w:w="253" w:type="pct"/>
            <w:tcBorders>
              <w:top w:val="nil"/>
              <w:left w:val="nil"/>
              <w:bottom w:val="nil"/>
              <w:right w:val="nil"/>
            </w:tcBorders>
            <w:shd w:val="clear" w:color="auto" w:fill="auto"/>
            <w:noWrap/>
            <w:vAlign w:val="bottom"/>
            <w:hideMark/>
          </w:tcPr>
          <w:p w14:paraId="5E692A15" w14:textId="77777777" w:rsidR="00A61FF5" w:rsidRPr="00040036" w:rsidRDefault="00A61FF5" w:rsidP="00D07480">
            <w:pPr>
              <w:pStyle w:val="ESTablebody3ptafter"/>
              <w:rPr>
                <w:sz w:val="14"/>
                <w:szCs w:val="14"/>
                <w:lang w:val="en-AU" w:eastAsia="en-AU"/>
              </w:rPr>
            </w:pPr>
            <w:r w:rsidRPr="00040036">
              <w:rPr>
                <w:sz w:val="14"/>
                <w:szCs w:val="14"/>
                <w:lang w:val="en-AU" w:eastAsia="en-AU"/>
              </w:rPr>
              <w:t>2</w:t>
            </w:r>
          </w:p>
        </w:tc>
        <w:tc>
          <w:tcPr>
            <w:tcW w:w="305" w:type="pct"/>
            <w:tcBorders>
              <w:top w:val="nil"/>
              <w:left w:val="nil"/>
              <w:bottom w:val="nil"/>
              <w:right w:val="single" w:sz="4" w:space="0" w:color="auto"/>
            </w:tcBorders>
            <w:shd w:val="clear" w:color="auto" w:fill="auto"/>
            <w:noWrap/>
            <w:vAlign w:val="bottom"/>
            <w:hideMark/>
          </w:tcPr>
          <w:p w14:paraId="03803FC0"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107.0</w:t>
            </w:r>
          </w:p>
        </w:tc>
        <w:tc>
          <w:tcPr>
            <w:tcW w:w="357" w:type="pct"/>
            <w:tcBorders>
              <w:top w:val="nil"/>
              <w:left w:val="nil"/>
              <w:bottom w:val="nil"/>
              <w:right w:val="nil"/>
            </w:tcBorders>
            <w:shd w:val="clear" w:color="auto" w:fill="auto"/>
            <w:noWrap/>
            <w:vAlign w:val="bottom"/>
            <w:hideMark/>
          </w:tcPr>
          <w:p w14:paraId="6A1A4D3D" w14:textId="77777777" w:rsidR="00A61FF5" w:rsidRPr="00040036" w:rsidRDefault="00A61FF5" w:rsidP="00D07480">
            <w:pPr>
              <w:pStyle w:val="ESTablebody3ptafter"/>
              <w:rPr>
                <w:sz w:val="14"/>
                <w:szCs w:val="14"/>
                <w:lang w:val="en-AU" w:eastAsia="en-AU"/>
              </w:rPr>
            </w:pPr>
            <w:r w:rsidRPr="00040036">
              <w:rPr>
                <w:sz w:val="14"/>
                <w:szCs w:val="14"/>
                <w:lang w:val="en-AU" w:eastAsia="en-AU"/>
              </w:rPr>
              <w:t>9</w:t>
            </w:r>
          </w:p>
        </w:tc>
        <w:tc>
          <w:tcPr>
            <w:tcW w:w="307" w:type="pct"/>
            <w:tcBorders>
              <w:top w:val="nil"/>
              <w:left w:val="nil"/>
              <w:bottom w:val="nil"/>
              <w:right w:val="single" w:sz="8" w:space="0" w:color="auto"/>
            </w:tcBorders>
            <w:shd w:val="clear" w:color="auto" w:fill="auto"/>
            <w:noWrap/>
            <w:vAlign w:val="bottom"/>
            <w:hideMark/>
          </w:tcPr>
          <w:p w14:paraId="0E12089C" w14:textId="77777777" w:rsidR="00A61FF5" w:rsidRPr="00040036" w:rsidRDefault="00A61FF5" w:rsidP="00D07480">
            <w:pPr>
              <w:pStyle w:val="ESTablebody3ptafter"/>
              <w:rPr>
                <w:sz w:val="14"/>
                <w:szCs w:val="14"/>
                <w:lang w:val="en-AU" w:eastAsia="en-AU"/>
              </w:rPr>
            </w:pPr>
            <w:r w:rsidRPr="00040036">
              <w:rPr>
                <w:sz w:val="14"/>
                <w:szCs w:val="14"/>
                <w:lang w:val="en-AU" w:eastAsia="en-AU"/>
              </w:rPr>
              <w:t>9.0</w:t>
            </w:r>
          </w:p>
        </w:tc>
        <w:tc>
          <w:tcPr>
            <w:tcW w:w="356" w:type="pct"/>
            <w:tcBorders>
              <w:top w:val="nil"/>
              <w:left w:val="nil"/>
              <w:bottom w:val="nil"/>
              <w:right w:val="nil"/>
            </w:tcBorders>
            <w:shd w:val="clear" w:color="auto" w:fill="auto"/>
            <w:noWrap/>
            <w:vAlign w:val="bottom"/>
            <w:hideMark/>
          </w:tcPr>
          <w:p w14:paraId="64E10E47"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109</w:t>
            </w:r>
          </w:p>
        </w:tc>
        <w:tc>
          <w:tcPr>
            <w:tcW w:w="304" w:type="pct"/>
            <w:tcBorders>
              <w:top w:val="nil"/>
              <w:left w:val="nil"/>
              <w:bottom w:val="nil"/>
              <w:right w:val="single" w:sz="4" w:space="0" w:color="auto"/>
            </w:tcBorders>
            <w:shd w:val="clear" w:color="auto" w:fill="auto"/>
            <w:noWrap/>
            <w:vAlign w:val="bottom"/>
            <w:hideMark/>
          </w:tcPr>
          <w:p w14:paraId="28EDB02E"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108.0</w:t>
            </w:r>
          </w:p>
        </w:tc>
        <w:tc>
          <w:tcPr>
            <w:tcW w:w="309" w:type="pct"/>
            <w:tcBorders>
              <w:top w:val="nil"/>
              <w:left w:val="nil"/>
              <w:bottom w:val="nil"/>
              <w:right w:val="nil"/>
            </w:tcBorders>
            <w:shd w:val="clear" w:color="auto" w:fill="auto"/>
            <w:noWrap/>
            <w:vAlign w:val="bottom"/>
            <w:hideMark/>
          </w:tcPr>
          <w:p w14:paraId="418CAE40" w14:textId="77777777" w:rsidR="00A61FF5" w:rsidRPr="00040036" w:rsidRDefault="00A61FF5" w:rsidP="00D07480">
            <w:pPr>
              <w:pStyle w:val="ESTablebody3ptafter"/>
              <w:rPr>
                <w:sz w:val="14"/>
                <w:szCs w:val="14"/>
                <w:lang w:val="en-AU" w:eastAsia="en-AU"/>
              </w:rPr>
            </w:pPr>
            <w:r w:rsidRPr="00040036">
              <w:rPr>
                <w:sz w:val="14"/>
                <w:szCs w:val="14"/>
                <w:lang w:val="en-AU" w:eastAsia="en-AU"/>
              </w:rPr>
              <w:t>96</w:t>
            </w:r>
          </w:p>
        </w:tc>
        <w:tc>
          <w:tcPr>
            <w:tcW w:w="306" w:type="pct"/>
            <w:gridSpan w:val="2"/>
            <w:tcBorders>
              <w:top w:val="nil"/>
              <w:left w:val="nil"/>
              <w:bottom w:val="nil"/>
              <w:right w:val="nil"/>
            </w:tcBorders>
            <w:shd w:val="clear" w:color="auto" w:fill="auto"/>
            <w:noWrap/>
            <w:vAlign w:val="bottom"/>
            <w:hideMark/>
          </w:tcPr>
          <w:p w14:paraId="4D05A969" w14:textId="77777777" w:rsidR="00A61FF5" w:rsidRPr="00040036" w:rsidRDefault="00A61FF5" w:rsidP="00D07480">
            <w:pPr>
              <w:pStyle w:val="ESTablebody3ptafter"/>
              <w:rPr>
                <w:sz w:val="14"/>
                <w:szCs w:val="14"/>
                <w:lang w:val="en-AU" w:eastAsia="en-AU"/>
              </w:rPr>
            </w:pPr>
            <w:r w:rsidRPr="00040036">
              <w:rPr>
                <w:sz w:val="14"/>
                <w:szCs w:val="14"/>
                <w:lang w:val="en-AU" w:eastAsia="en-AU"/>
              </w:rPr>
              <w:t>2</w:t>
            </w:r>
          </w:p>
        </w:tc>
        <w:tc>
          <w:tcPr>
            <w:tcW w:w="307" w:type="pct"/>
            <w:gridSpan w:val="2"/>
            <w:tcBorders>
              <w:top w:val="nil"/>
              <w:left w:val="nil"/>
              <w:bottom w:val="nil"/>
              <w:right w:val="single" w:sz="4" w:space="0" w:color="auto"/>
            </w:tcBorders>
            <w:shd w:val="clear" w:color="auto" w:fill="auto"/>
            <w:noWrap/>
            <w:vAlign w:val="bottom"/>
            <w:hideMark/>
          </w:tcPr>
          <w:p w14:paraId="6D410B04" w14:textId="77777777" w:rsidR="00A61FF5" w:rsidRPr="00040036" w:rsidRDefault="00A61FF5" w:rsidP="00D07480">
            <w:pPr>
              <w:pStyle w:val="ESTablebody3ptafter"/>
              <w:rPr>
                <w:sz w:val="14"/>
                <w:szCs w:val="14"/>
                <w:lang w:val="en-AU" w:eastAsia="en-AU"/>
              </w:rPr>
            </w:pPr>
            <w:r w:rsidRPr="00040036">
              <w:rPr>
                <w:sz w:val="14"/>
                <w:szCs w:val="14"/>
                <w:lang w:val="en-AU" w:eastAsia="en-AU"/>
              </w:rPr>
              <w:t>97.0</w:t>
            </w:r>
          </w:p>
        </w:tc>
        <w:tc>
          <w:tcPr>
            <w:tcW w:w="294" w:type="pct"/>
            <w:tcBorders>
              <w:top w:val="nil"/>
              <w:left w:val="nil"/>
              <w:bottom w:val="nil"/>
              <w:right w:val="nil"/>
            </w:tcBorders>
            <w:shd w:val="clear" w:color="auto" w:fill="auto"/>
            <w:noWrap/>
            <w:vAlign w:val="bottom"/>
            <w:hideMark/>
          </w:tcPr>
          <w:p w14:paraId="73508B8A"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w:t>
            </w:r>
          </w:p>
        </w:tc>
        <w:tc>
          <w:tcPr>
            <w:tcW w:w="277" w:type="pct"/>
            <w:tcBorders>
              <w:top w:val="nil"/>
              <w:left w:val="nil"/>
              <w:bottom w:val="nil"/>
              <w:right w:val="nil"/>
            </w:tcBorders>
            <w:shd w:val="clear" w:color="auto" w:fill="auto"/>
            <w:noWrap/>
            <w:vAlign w:val="bottom"/>
            <w:hideMark/>
          </w:tcPr>
          <w:p w14:paraId="74062D55" w14:textId="77777777" w:rsidR="00A61FF5" w:rsidRPr="00040036" w:rsidRDefault="00A61FF5" w:rsidP="00D07480">
            <w:pPr>
              <w:pStyle w:val="ESTablebody3ptafter"/>
              <w:rPr>
                <w:sz w:val="14"/>
                <w:szCs w:val="14"/>
                <w:lang w:val="en-AU" w:eastAsia="en-AU"/>
              </w:rPr>
            </w:pPr>
            <w:r w:rsidRPr="00040036">
              <w:rPr>
                <w:sz w:val="14"/>
                <w:szCs w:val="14"/>
                <w:lang w:val="en-AU" w:eastAsia="en-AU"/>
              </w:rPr>
              <w:t>11.0</w:t>
            </w:r>
          </w:p>
        </w:tc>
      </w:tr>
      <w:tr w:rsidR="00A61FF5" w:rsidRPr="00932A90" w14:paraId="2683F702" w14:textId="77777777" w:rsidTr="00D07480">
        <w:trPr>
          <w:trHeight w:val="150"/>
        </w:trPr>
        <w:tc>
          <w:tcPr>
            <w:tcW w:w="182" w:type="pct"/>
            <w:vMerge/>
            <w:tcBorders>
              <w:left w:val="nil"/>
              <w:right w:val="nil"/>
            </w:tcBorders>
            <w:shd w:val="clear" w:color="auto" w:fill="auto"/>
            <w:textDirection w:val="btLr"/>
            <w:vAlign w:val="center"/>
          </w:tcPr>
          <w:p w14:paraId="7F538357" w14:textId="77777777" w:rsidR="00A61FF5" w:rsidRPr="00040036" w:rsidRDefault="00A61FF5" w:rsidP="00D07480">
            <w:pPr>
              <w:pStyle w:val="ESTablebody3ptafter"/>
              <w:rPr>
                <w:sz w:val="14"/>
                <w:szCs w:val="14"/>
                <w:lang w:val="en-AU" w:eastAsia="en-AU"/>
              </w:rPr>
            </w:pPr>
          </w:p>
        </w:tc>
        <w:tc>
          <w:tcPr>
            <w:tcW w:w="529" w:type="pct"/>
            <w:tcBorders>
              <w:top w:val="nil"/>
              <w:left w:val="nil"/>
              <w:bottom w:val="nil"/>
              <w:right w:val="nil"/>
            </w:tcBorders>
            <w:shd w:val="clear" w:color="auto" w:fill="auto"/>
            <w:noWrap/>
            <w:vAlign w:val="bottom"/>
            <w:hideMark/>
          </w:tcPr>
          <w:p w14:paraId="41E2980B" w14:textId="77777777" w:rsidR="00A61FF5" w:rsidRPr="00040036" w:rsidRDefault="00A61FF5" w:rsidP="00D07480">
            <w:pPr>
              <w:pStyle w:val="ESTablebody3ptafter"/>
              <w:rPr>
                <w:sz w:val="14"/>
                <w:szCs w:val="14"/>
                <w:lang w:val="en-AU" w:eastAsia="en-AU"/>
              </w:rPr>
            </w:pPr>
            <w:r w:rsidRPr="00040036">
              <w:rPr>
                <w:sz w:val="14"/>
                <w:szCs w:val="14"/>
                <w:lang w:val="en-AU" w:eastAsia="en-AU"/>
              </w:rPr>
              <w:t xml:space="preserve">Principal Class </w:t>
            </w:r>
            <w:r w:rsidRPr="00040036">
              <w:rPr>
                <w:sz w:val="14"/>
                <w:szCs w:val="14"/>
                <w:vertAlign w:val="superscript"/>
                <w:lang w:val="en-AU" w:eastAsia="en-AU"/>
              </w:rPr>
              <w:t>1</w:t>
            </w:r>
          </w:p>
        </w:tc>
        <w:tc>
          <w:tcPr>
            <w:tcW w:w="355" w:type="pct"/>
            <w:tcBorders>
              <w:top w:val="nil"/>
              <w:left w:val="nil"/>
              <w:bottom w:val="nil"/>
              <w:right w:val="nil"/>
            </w:tcBorders>
            <w:shd w:val="clear" w:color="auto" w:fill="auto"/>
            <w:noWrap/>
            <w:vAlign w:val="bottom"/>
            <w:hideMark/>
          </w:tcPr>
          <w:p w14:paraId="2CEFA627" w14:textId="7FA50F92" w:rsidR="00A61FF5" w:rsidRPr="00040036" w:rsidRDefault="00A61FF5" w:rsidP="00D07480">
            <w:pPr>
              <w:pStyle w:val="ESTablebody3ptafter"/>
              <w:rPr>
                <w:rFonts w:ascii="Times New Roman" w:hAnsi="Times New Roman"/>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071</w:t>
            </w:r>
          </w:p>
        </w:tc>
        <w:tc>
          <w:tcPr>
            <w:tcW w:w="305" w:type="pct"/>
            <w:tcBorders>
              <w:top w:val="nil"/>
              <w:left w:val="nil"/>
              <w:bottom w:val="nil"/>
              <w:right w:val="single" w:sz="4" w:space="0" w:color="auto"/>
            </w:tcBorders>
            <w:shd w:val="clear" w:color="auto" w:fill="auto"/>
            <w:noWrap/>
            <w:vAlign w:val="bottom"/>
            <w:hideMark/>
          </w:tcPr>
          <w:p w14:paraId="00C5FCF0" w14:textId="24C93788" w:rsidR="00A61FF5" w:rsidRPr="00040036" w:rsidRDefault="00A61FF5" w:rsidP="00D07480">
            <w:pPr>
              <w:pStyle w:val="ESTablebody3ptafter"/>
              <w:rPr>
                <w:b/>
                <w:bCs/>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051.6</w:t>
            </w:r>
          </w:p>
        </w:tc>
        <w:tc>
          <w:tcPr>
            <w:tcW w:w="254" w:type="pct"/>
            <w:tcBorders>
              <w:top w:val="nil"/>
              <w:left w:val="nil"/>
              <w:bottom w:val="nil"/>
              <w:right w:val="nil"/>
            </w:tcBorders>
            <w:shd w:val="clear" w:color="auto" w:fill="auto"/>
            <w:noWrap/>
            <w:vAlign w:val="bottom"/>
            <w:hideMark/>
          </w:tcPr>
          <w:p w14:paraId="468543B3" w14:textId="52005163" w:rsidR="00A61FF5" w:rsidRPr="00040036" w:rsidRDefault="00A61FF5" w:rsidP="00D07480">
            <w:pPr>
              <w:pStyle w:val="ESTablebody3ptafter"/>
              <w:rPr>
                <w:b/>
                <w:bCs/>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997</w:t>
            </w:r>
          </w:p>
        </w:tc>
        <w:tc>
          <w:tcPr>
            <w:tcW w:w="253" w:type="pct"/>
            <w:tcBorders>
              <w:top w:val="nil"/>
              <w:left w:val="nil"/>
              <w:bottom w:val="nil"/>
              <w:right w:val="nil"/>
            </w:tcBorders>
            <w:shd w:val="clear" w:color="auto" w:fill="auto"/>
            <w:noWrap/>
            <w:vAlign w:val="bottom"/>
            <w:hideMark/>
          </w:tcPr>
          <w:p w14:paraId="018312EF" w14:textId="77777777" w:rsidR="00A61FF5" w:rsidRPr="00040036" w:rsidRDefault="00A61FF5" w:rsidP="00D07480">
            <w:pPr>
              <w:pStyle w:val="ESTablebody3ptafter"/>
              <w:rPr>
                <w:rFonts w:ascii="Times New Roman" w:hAnsi="Times New Roman"/>
                <w:sz w:val="14"/>
                <w:szCs w:val="14"/>
                <w:lang w:val="en-AU" w:eastAsia="en-AU"/>
              </w:rPr>
            </w:pPr>
            <w:r w:rsidRPr="00040036">
              <w:rPr>
                <w:sz w:val="14"/>
                <w:szCs w:val="14"/>
                <w:lang w:val="en-AU" w:eastAsia="en-AU"/>
              </w:rPr>
              <w:t>74</w:t>
            </w:r>
          </w:p>
        </w:tc>
        <w:tc>
          <w:tcPr>
            <w:tcW w:w="305" w:type="pct"/>
            <w:tcBorders>
              <w:top w:val="nil"/>
              <w:left w:val="nil"/>
              <w:bottom w:val="nil"/>
              <w:right w:val="single" w:sz="4" w:space="0" w:color="auto"/>
            </w:tcBorders>
            <w:shd w:val="clear" w:color="auto" w:fill="auto"/>
            <w:noWrap/>
            <w:vAlign w:val="bottom"/>
            <w:hideMark/>
          </w:tcPr>
          <w:p w14:paraId="1C79FECB" w14:textId="10DB8EC2" w:rsidR="00A61FF5" w:rsidRPr="00040036" w:rsidRDefault="00A61FF5" w:rsidP="00D07480">
            <w:pPr>
              <w:pStyle w:val="ESTablebody3ptafter"/>
              <w:rPr>
                <w:b/>
                <w:bCs/>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051.6</w:t>
            </w:r>
          </w:p>
        </w:tc>
        <w:tc>
          <w:tcPr>
            <w:tcW w:w="357" w:type="pct"/>
            <w:tcBorders>
              <w:top w:val="nil"/>
              <w:left w:val="nil"/>
              <w:bottom w:val="nil"/>
              <w:right w:val="nil"/>
            </w:tcBorders>
            <w:shd w:val="clear" w:color="auto" w:fill="auto"/>
            <w:noWrap/>
            <w:vAlign w:val="bottom"/>
            <w:hideMark/>
          </w:tcPr>
          <w:p w14:paraId="0F306C6B" w14:textId="2222DF4C" w:rsidR="00A61FF5" w:rsidRPr="00040036" w:rsidRDefault="00781DCB" w:rsidP="00D07480">
            <w:pPr>
              <w:pStyle w:val="ESTablebody3ptafter"/>
              <w:rPr>
                <w:b/>
                <w:bCs/>
                <w:sz w:val="14"/>
                <w:szCs w:val="14"/>
                <w:lang w:val="en-AU" w:eastAsia="en-AU"/>
              </w:rPr>
            </w:pPr>
            <w:r w:rsidRPr="00040036">
              <w:rPr>
                <w:sz w:val="14"/>
                <w:szCs w:val="14"/>
                <w:lang w:val="en-AU" w:eastAsia="en-AU"/>
              </w:rPr>
              <w:t>–</w:t>
            </w:r>
          </w:p>
        </w:tc>
        <w:tc>
          <w:tcPr>
            <w:tcW w:w="307" w:type="pct"/>
            <w:tcBorders>
              <w:top w:val="nil"/>
              <w:left w:val="nil"/>
              <w:bottom w:val="nil"/>
              <w:right w:val="single" w:sz="8" w:space="0" w:color="auto"/>
            </w:tcBorders>
            <w:shd w:val="clear" w:color="auto" w:fill="auto"/>
            <w:noWrap/>
            <w:vAlign w:val="bottom"/>
            <w:hideMark/>
          </w:tcPr>
          <w:p w14:paraId="4FBC0C77" w14:textId="12CC1EE6" w:rsidR="00A61FF5" w:rsidRPr="00040036" w:rsidRDefault="00781DCB" w:rsidP="00D07480">
            <w:pPr>
              <w:pStyle w:val="ESTablebody3ptafter"/>
              <w:rPr>
                <w:b/>
                <w:bCs/>
                <w:sz w:val="14"/>
                <w:szCs w:val="14"/>
                <w:lang w:val="en-AU" w:eastAsia="en-AU"/>
              </w:rPr>
            </w:pPr>
            <w:r w:rsidRPr="00040036">
              <w:rPr>
                <w:sz w:val="14"/>
                <w:szCs w:val="14"/>
                <w:lang w:val="en-AU" w:eastAsia="en-AU"/>
              </w:rPr>
              <w:t>–</w:t>
            </w:r>
          </w:p>
        </w:tc>
        <w:tc>
          <w:tcPr>
            <w:tcW w:w="356" w:type="pct"/>
            <w:tcBorders>
              <w:top w:val="nil"/>
              <w:left w:val="nil"/>
              <w:bottom w:val="nil"/>
              <w:right w:val="nil"/>
            </w:tcBorders>
            <w:shd w:val="clear" w:color="auto" w:fill="auto"/>
            <w:noWrap/>
            <w:vAlign w:val="bottom"/>
            <w:hideMark/>
          </w:tcPr>
          <w:p w14:paraId="7C370D47" w14:textId="22B66BDE" w:rsidR="00A61FF5" w:rsidRPr="00040036" w:rsidRDefault="00A61FF5" w:rsidP="00D07480">
            <w:pPr>
              <w:pStyle w:val="ESTablebody3ptafter"/>
              <w:rPr>
                <w:b/>
                <w:bCs/>
                <w:sz w:val="14"/>
                <w:szCs w:val="14"/>
                <w:lang w:val="en-AU" w:eastAsia="en-AU"/>
              </w:rPr>
            </w:pPr>
            <w:r w:rsidRPr="00040036">
              <w:rPr>
                <w:sz w:val="14"/>
                <w:szCs w:val="14"/>
                <w:lang w:val="en-AU" w:eastAsia="en-AU"/>
              </w:rPr>
              <w:t>3</w:t>
            </w:r>
            <w:r w:rsidR="009452EC" w:rsidRPr="00040036">
              <w:rPr>
                <w:sz w:val="14"/>
                <w:szCs w:val="14"/>
                <w:lang w:val="en-AU" w:eastAsia="en-AU"/>
              </w:rPr>
              <w:t>,</w:t>
            </w:r>
            <w:r w:rsidRPr="00040036">
              <w:rPr>
                <w:sz w:val="14"/>
                <w:szCs w:val="14"/>
                <w:lang w:val="en-AU" w:eastAsia="en-AU"/>
              </w:rPr>
              <w:t>008</w:t>
            </w:r>
          </w:p>
        </w:tc>
        <w:tc>
          <w:tcPr>
            <w:tcW w:w="304" w:type="pct"/>
            <w:tcBorders>
              <w:top w:val="nil"/>
              <w:left w:val="nil"/>
              <w:bottom w:val="nil"/>
              <w:right w:val="single" w:sz="4" w:space="0" w:color="auto"/>
            </w:tcBorders>
            <w:shd w:val="clear" w:color="auto" w:fill="auto"/>
            <w:noWrap/>
            <w:vAlign w:val="bottom"/>
            <w:hideMark/>
          </w:tcPr>
          <w:p w14:paraId="67054F6E" w14:textId="4B54D613" w:rsidR="00A61FF5" w:rsidRPr="00040036" w:rsidRDefault="00A61FF5" w:rsidP="00D07480">
            <w:pPr>
              <w:pStyle w:val="ESTablebody3ptafter"/>
              <w:rPr>
                <w:b/>
                <w:bCs/>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986.5</w:t>
            </w:r>
          </w:p>
        </w:tc>
        <w:tc>
          <w:tcPr>
            <w:tcW w:w="309" w:type="pct"/>
            <w:tcBorders>
              <w:top w:val="nil"/>
              <w:left w:val="nil"/>
              <w:bottom w:val="nil"/>
              <w:right w:val="nil"/>
            </w:tcBorders>
            <w:shd w:val="clear" w:color="auto" w:fill="auto"/>
            <w:noWrap/>
            <w:vAlign w:val="bottom"/>
            <w:hideMark/>
          </w:tcPr>
          <w:p w14:paraId="51C52BDE" w14:textId="438CBCC2" w:rsidR="00A61FF5" w:rsidRPr="00040036" w:rsidRDefault="00A61FF5" w:rsidP="00D07480">
            <w:pPr>
              <w:pStyle w:val="ESTablebody3ptafter"/>
              <w:rPr>
                <w:b/>
                <w:bCs/>
                <w:sz w:val="14"/>
                <w:szCs w:val="14"/>
                <w:lang w:val="en-AU" w:eastAsia="en-AU"/>
              </w:rPr>
            </w:pPr>
            <w:r w:rsidRPr="00040036">
              <w:rPr>
                <w:sz w:val="14"/>
                <w:szCs w:val="14"/>
                <w:lang w:val="en-AU" w:eastAsia="en-AU"/>
              </w:rPr>
              <w:t>2</w:t>
            </w:r>
            <w:r w:rsidR="009452EC" w:rsidRPr="00040036">
              <w:rPr>
                <w:sz w:val="14"/>
                <w:szCs w:val="14"/>
                <w:lang w:val="en-AU" w:eastAsia="en-AU"/>
              </w:rPr>
              <w:t>,</w:t>
            </w:r>
            <w:r w:rsidRPr="00040036">
              <w:rPr>
                <w:sz w:val="14"/>
                <w:szCs w:val="14"/>
                <w:lang w:val="en-AU" w:eastAsia="en-AU"/>
              </w:rPr>
              <w:t>936</w:t>
            </w:r>
          </w:p>
        </w:tc>
        <w:tc>
          <w:tcPr>
            <w:tcW w:w="306" w:type="pct"/>
            <w:gridSpan w:val="2"/>
            <w:tcBorders>
              <w:top w:val="nil"/>
              <w:left w:val="nil"/>
              <w:bottom w:val="nil"/>
              <w:right w:val="nil"/>
            </w:tcBorders>
            <w:shd w:val="clear" w:color="auto" w:fill="auto"/>
            <w:noWrap/>
            <w:vAlign w:val="bottom"/>
            <w:hideMark/>
          </w:tcPr>
          <w:p w14:paraId="1430B59F" w14:textId="77777777" w:rsidR="00A61FF5" w:rsidRPr="00040036" w:rsidRDefault="00A61FF5" w:rsidP="00D07480">
            <w:pPr>
              <w:pStyle w:val="ESTablebody3ptafter"/>
              <w:rPr>
                <w:rFonts w:ascii="Times New Roman" w:hAnsi="Times New Roman"/>
                <w:sz w:val="14"/>
                <w:szCs w:val="14"/>
                <w:lang w:val="en-AU" w:eastAsia="en-AU"/>
              </w:rPr>
            </w:pPr>
            <w:r w:rsidRPr="00040036">
              <w:rPr>
                <w:sz w:val="14"/>
                <w:szCs w:val="14"/>
                <w:lang w:val="en-AU" w:eastAsia="en-AU"/>
              </w:rPr>
              <w:t>72</w:t>
            </w:r>
          </w:p>
        </w:tc>
        <w:tc>
          <w:tcPr>
            <w:tcW w:w="307" w:type="pct"/>
            <w:gridSpan w:val="2"/>
            <w:tcBorders>
              <w:top w:val="nil"/>
              <w:left w:val="nil"/>
              <w:bottom w:val="nil"/>
              <w:right w:val="single" w:sz="4" w:space="0" w:color="auto"/>
            </w:tcBorders>
            <w:shd w:val="clear" w:color="auto" w:fill="auto"/>
            <w:noWrap/>
            <w:vAlign w:val="bottom"/>
            <w:hideMark/>
          </w:tcPr>
          <w:p w14:paraId="2BB463AA" w14:textId="77777777" w:rsidR="00A61FF5" w:rsidRPr="00040036" w:rsidRDefault="00A61FF5" w:rsidP="00D07480">
            <w:pPr>
              <w:pStyle w:val="ESTablebody3ptafter"/>
              <w:rPr>
                <w:b/>
                <w:bCs/>
                <w:sz w:val="14"/>
                <w:szCs w:val="14"/>
                <w:lang w:val="en-AU" w:eastAsia="en-AU"/>
              </w:rPr>
            </w:pPr>
            <w:r w:rsidRPr="00040036">
              <w:rPr>
                <w:sz w:val="14"/>
                <w:szCs w:val="14"/>
                <w:lang w:val="en-AU" w:eastAsia="en-AU"/>
              </w:rPr>
              <w:t>2,986.5</w:t>
            </w:r>
          </w:p>
        </w:tc>
        <w:tc>
          <w:tcPr>
            <w:tcW w:w="294" w:type="pct"/>
            <w:tcBorders>
              <w:top w:val="nil"/>
              <w:left w:val="nil"/>
              <w:bottom w:val="nil"/>
              <w:right w:val="nil"/>
            </w:tcBorders>
            <w:shd w:val="clear" w:color="auto" w:fill="auto"/>
            <w:noWrap/>
            <w:vAlign w:val="bottom"/>
            <w:hideMark/>
          </w:tcPr>
          <w:p w14:paraId="42602E80" w14:textId="77777777" w:rsidR="00A61FF5" w:rsidRPr="00040036" w:rsidRDefault="00A61FF5" w:rsidP="00D07480">
            <w:pPr>
              <w:pStyle w:val="ESTablebody3ptafter"/>
              <w:rPr>
                <w:b/>
                <w:bCs/>
                <w:sz w:val="14"/>
                <w:szCs w:val="14"/>
                <w:lang w:val="en-AU" w:eastAsia="en-AU"/>
              </w:rPr>
            </w:pPr>
            <w:r w:rsidRPr="00040036">
              <w:rPr>
                <w:sz w:val="14"/>
                <w:szCs w:val="14"/>
                <w:lang w:val="en-AU" w:eastAsia="en-AU"/>
              </w:rPr>
              <w:t>-</w:t>
            </w:r>
          </w:p>
        </w:tc>
        <w:tc>
          <w:tcPr>
            <w:tcW w:w="277" w:type="pct"/>
            <w:tcBorders>
              <w:top w:val="nil"/>
              <w:left w:val="nil"/>
              <w:bottom w:val="nil"/>
              <w:right w:val="nil"/>
            </w:tcBorders>
            <w:shd w:val="clear" w:color="auto" w:fill="auto"/>
            <w:noWrap/>
            <w:vAlign w:val="bottom"/>
            <w:hideMark/>
          </w:tcPr>
          <w:p w14:paraId="7EE4B1BF" w14:textId="77777777" w:rsidR="00A61FF5" w:rsidRPr="00040036" w:rsidRDefault="00A61FF5" w:rsidP="00D07480">
            <w:pPr>
              <w:pStyle w:val="ESTablebody3ptafter"/>
              <w:rPr>
                <w:rFonts w:ascii="Times New Roman" w:hAnsi="Times New Roman"/>
                <w:sz w:val="14"/>
                <w:szCs w:val="14"/>
                <w:lang w:val="en-AU" w:eastAsia="en-AU"/>
              </w:rPr>
            </w:pPr>
            <w:r w:rsidRPr="00040036">
              <w:rPr>
                <w:sz w:val="14"/>
                <w:szCs w:val="14"/>
                <w:lang w:val="en-AU" w:eastAsia="en-AU"/>
              </w:rPr>
              <w:t>-</w:t>
            </w:r>
          </w:p>
        </w:tc>
      </w:tr>
      <w:tr w:rsidR="00A61FF5" w:rsidRPr="00932A90" w14:paraId="39BD6BE4" w14:textId="77777777" w:rsidTr="00D07480">
        <w:trPr>
          <w:trHeight w:val="300"/>
        </w:trPr>
        <w:tc>
          <w:tcPr>
            <w:tcW w:w="182" w:type="pct"/>
            <w:vMerge/>
            <w:tcBorders>
              <w:left w:val="nil"/>
              <w:right w:val="nil"/>
            </w:tcBorders>
            <w:shd w:val="clear" w:color="auto" w:fill="auto"/>
            <w:vAlign w:val="center"/>
            <w:hideMark/>
          </w:tcPr>
          <w:p w14:paraId="2FA7BCB4"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50FF08FA" w14:textId="77777777" w:rsidR="00A61FF5" w:rsidRPr="00040036" w:rsidRDefault="00A61FF5" w:rsidP="00D07480">
            <w:pPr>
              <w:pStyle w:val="ESTablebody3ptafter"/>
              <w:rPr>
                <w:sz w:val="14"/>
                <w:szCs w:val="14"/>
                <w:lang w:val="en-AU" w:eastAsia="en-AU"/>
              </w:rPr>
            </w:pPr>
            <w:r w:rsidRPr="00040036">
              <w:rPr>
                <w:sz w:val="14"/>
                <w:szCs w:val="14"/>
                <w:lang w:val="en-AU" w:eastAsia="en-AU"/>
              </w:rPr>
              <w:t>Teacher Class</w:t>
            </w:r>
            <w:r w:rsidRPr="00040036">
              <w:rPr>
                <w:sz w:val="14"/>
                <w:szCs w:val="14"/>
                <w:vertAlign w:val="superscript"/>
                <w:lang w:val="en-AU" w:eastAsia="en-AU"/>
              </w:rPr>
              <w:t xml:space="preserve"> 2</w:t>
            </w:r>
          </w:p>
        </w:tc>
        <w:tc>
          <w:tcPr>
            <w:tcW w:w="355" w:type="pct"/>
            <w:tcBorders>
              <w:top w:val="nil"/>
              <w:left w:val="nil"/>
              <w:bottom w:val="nil"/>
              <w:right w:val="nil"/>
            </w:tcBorders>
            <w:shd w:val="clear" w:color="auto" w:fill="auto"/>
            <w:noWrap/>
            <w:vAlign w:val="bottom"/>
            <w:hideMark/>
          </w:tcPr>
          <w:p w14:paraId="63083283" w14:textId="77777777" w:rsidR="00A61FF5" w:rsidRPr="00040036" w:rsidRDefault="00A61FF5" w:rsidP="00D07480">
            <w:pPr>
              <w:pStyle w:val="ESTablebody3ptafter"/>
              <w:rPr>
                <w:sz w:val="14"/>
                <w:szCs w:val="14"/>
                <w:lang w:val="en-AU" w:eastAsia="en-AU"/>
              </w:rPr>
            </w:pPr>
            <w:r w:rsidRPr="00040036">
              <w:rPr>
                <w:sz w:val="14"/>
                <w:szCs w:val="14"/>
                <w:lang w:val="en-AU" w:eastAsia="en-AU"/>
              </w:rPr>
              <w:t>45,717</w:t>
            </w:r>
          </w:p>
        </w:tc>
        <w:tc>
          <w:tcPr>
            <w:tcW w:w="305" w:type="pct"/>
            <w:tcBorders>
              <w:top w:val="nil"/>
              <w:left w:val="nil"/>
              <w:bottom w:val="nil"/>
              <w:right w:val="single" w:sz="4" w:space="0" w:color="auto"/>
            </w:tcBorders>
            <w:shd w:val="clear" w:color="auto" w:fill="auto"/>
            <w:noWrap/>
            <w:vAlign w:val="bottom"/>
            <w:hideMark/>
          </w:tcPr>
          <w:p w14:paraId="4C86C7AC" w14:textId="77777777" w:rsidR="00A61FF5" w:rsidRPr="00040036" w:rsidRDefault="00A61FF5" w:rsidP="00D07480">
            <w:pPr>
              <w:pStyle w:val="ESTablebody3ptafter"/>
              <w:rPr>
                <w:sz w:val="14"/>
                <w:szCs w:val="14"/>
                <w:lang w:val="en-AU" w:eastAsia="en-AU"/>
              </w:rPr>
            </w:pPr>
            <w:r w:rsidRPr="00040036">
              <w:rPr>
                <w:sz w:val="14"/>
                <w:szCs w:val="14"/>
                <w:lang w:val="en-AU" w:eastAsia="en-AU"/>
              </w:rPr>
              <w:t>41,050.7</w:t>
            </w:r>
          </w:p>
        </w:tc>
        <w:tc>
          <w:tcPr>
            <w:tcW w:w="254" w:type="pct"/>
            <w:tcBorders>
              <w:top w:val="nil"/>
              <w:left w:val="nil"/>
              <w:bottom w:val="nil"/>
              <w:right w:val="nil"/>
            </w:tcBorders>
            <w:shd w:val="clear" w:color="auto" w:fill="auto"/>
            <w:noWrap/>
            <w:vAlign w:val="bottom"/>
            <w:hideMark/>
          </w:tcPr>
          <w:p w14:paraId="69A6E387" w14:textId="77777777" w:rsidR="00A61FF5" w:rsidRPr="00040036" w:rsidRDefault="00A61FF5" w:rsidP="00D07480">
            <w:pPr>
              <w:pStyle w:val="ESTablebody3ptafter"/>
              <w:rPr>
                <w:sz w:val="14"/>
                <w:szCs w:val="14"/>
                <w:lang w:val="en-AU" w:eastAsia="en-AU"/>
              </w:rPr>
            </w:pPr>
            <w:r w:rsidRPr="00040036">
              <w:rPr>
                <w:sz w:val="14"/>
                <w:szCs w:val="14"/>
                <w:lang w:val="en-AU" w:eastAsia="en-AU"/>
              </w:rPr>
              <w:t>25,055</w:t>
            </w:r>
          </w:p>
        </w:tc>
        <w:tc>
          <w:tcPr>
            <w:tcW w:w="253" w:type="pct"/>
            <w:tcBorders>
              <w:top w:val="nil"/>
              <w:left w:val="nil"/>
              <w:bottom w:val="nil"/>
              <w:right w:val="nil"/>
            </w:tcBorders>
            <w:shd w:val="clear" w:color="auto" w:fill="auto"/>
            <w:noWrap/>
            <w:vAlign w:val="bottom"/>
            <w:hideMark/>
          </w:tcPr>
          <w:p w14:paraId="4273AE46"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10,038</w:t>
            </w:r>
          </w:p>
        </w:tc>
        <w:tc>
          <w:tcPr>
            <w:tcW w:w="305" w:type="pct"/>
            <w:tcBorders>
              <w:top w:val="nil"/>
              <w:left w:val="nil"/>
              <w:bottom w:val="nil"/>
              <w:right w:val="single" w:sz="4" w:space="0" w:color="auto"/>
            </w:tcBorders>
            <w:shd w:val="clear" w:color="auto" w:fill="auto"/>
            <w:noWrap/>
            <w:vAlign w:val="bottom"/>
            <w:hideMark/>
          </w:tcPr>
          <w:p w14:paraId="6AF19369" w14:textId="77777777" w:rsidR="00A61FF5" w:rsidRPr="00040036" w:rsidRDefault="00A61FF5" w:rsidP="00D07480">
            <w:pPr>
              <w:pStyle w:val="ESTablebody3ptafter"/>
              <w:rPr>
                <w:sz w:val="14"/>
                <w:szCs w:val="14"/>
                <w:lang w:val="en-AU" w:eastAsia="en-AU"/>
              </w:rPr>
            </w:pPr>
            <w:r w:rsidRPr="00040036">
              <w:rPr>
                <w:sz w:val="14"/>
                <w:szCs w:val="14"/>
                <w:lang w:val="en-AU" w:eastAsia="en-AU"/>
              </w:rPr>
              <w:t>31,319.5</w:t>
            </w:r>
          </w:p>
        </w:tc>
        <w:tc>
          <w:tcPr>
            <w:tcW w:w="357" w:type="pct"/>
            <w:tcBorders>
              <w:top w:val="nil"/>
              <w:left w:val="nil"/>
              <w:bottom w:val="nil"/>
              <w:right w:val="nil"/>
            </w:tcBorders>
            <w:shd w:val="clear" w:color="auto" w:fill="auto"/>
            <w:noWrap/>
            <w:vAlign w:val="bottom"/>
            <w:hideMark/>
          </w:tcPr>
          <w:p w14:paraId="50B11722" w14:textId="77777777" w:rsidR="00A61FF5" w:rsidRPr="00040036" w:rsidRDefault="00A61FF5" w:rsidP="00D07480">
            <w:pPr>
              <w:pStyle w:val="ESTablebody3ptafter"/>
              <w:rPr>
                <w:sz w:val="14"/>
                <w:szCs w:val="14"/>
                <w:lang w:val="en-AU" w:eastAsia="en-AU"/>
              </w:rPr>
            </w:pPr>
            <w:r w:rsidRPr="00040036">
              <w:rPr>
                <w:sz w:val="14"/>
                <w:szCs w:val="14"/>
                <w:lang w:val="en-AU" w:eastAsia="en-AU"/>
              </w:rPr>
              <w:t>10,624</w:t>
            </w:r>
          </w:p>
        </w:tc>
        <w:tc>
          <w:tcPr>
            <w:tcW w:w="307" w:type="pct"/>
            <w:tcBorders>
              <w:top w:val="nil"/>
              <w:left w:val="nil"/>
              <w:bottom w:val="nil"/>
              <w:right w:val="single" w:sz="8" w:space="0" w:color="auto"/>
            </w:tcBorders>
            <w:shd w:val="clear" w:color="auto" w:fill="auto"/>
            <w:noWrap/>
            <w:vAlign w:val="bottom"/>
            <w:hideMark/>
          </w:tcPr>
          <w:p w14:paraId="34D15416" w14:textId="722916CE" w:rsidR="00A61FF5" w:rsidRPr="00040036" w:rsidRDefault="00A61FF5" w:rsidP="00D07480">
            <w:pPr>
              <w:pStyle w:val="ESTablebody3ptafter"/>
              <w:rPr>
                <w:sz w:val="14"/>
                <w:szCs w:val="14"/>
                <w:lang w:val="en-AU" w:eastAsia="en-AU"/>
              </w:rPr>
            </w:pPr>
            <w:r w:rsidRPr="00040036">
              <w:rPr>
                <w:sz w:val="14"/>
                <w:szCs w:val="14"/>
                <w:lang w:val="en-AU" w:eastAsia="en-AU"/>
              </w:rPr>
              <w:t>9</w:t>
            </w:r>
            <w:r w:rsidR="009452EC" w:rsidRPr="00040036">
              <w:rPr>
                <w:sz w:val="14"/>
                <w:szCs w:val="14"/>
                <w:lang w:val="en-AU" w:eastAsia="en-AU"/>
              </w:rPr>
              <w:t>,</w:t>
            </w:r>
            <w:r w:rsidRPr="00040036">
              <w:rPr>
                <w:sz w:val="14"/>
                <w:szCs w:val="14"/>
                <w:lang w:val="en-AU" w:eastAsia="en-AU"/>
              </w:rPr>
              <w:t>731.2</w:t>
            </w:r>
          </w:p>
        </w:tc>
        <w:tc>
          <w:tcPr>
            <w:tcW w:w="356" w:type="pct"/>
            <w:tcBorders>
              <w:top w:val="nil"/>
              <w:left w:val="nil"/>
              <w:bottom w:val="nil"/>
              <w:right w:val="nil"/>
            </w:tcBorders>
            <w:shd w:val="clear" w:color="auto" w:fill="auto"/>
            <w:noWrap/>
            <w:vAlign w:val="bottom"/>
            <w:hideMark/>
          </w:tcPr>
          <w:p w14:paraId="5D939693" w14:textId="77777777" w:rsidR="00A61FF5" w:rsidRPr="00040036" w:rsidRDefault="00A61FF5" w:rsidP="00D07480">
            <w:pPr>
              <w:pStyle w:val="ESTablebody3ptafter"/>
              <w:rPr>
                <w:sz w:val="14"/>
                <w:szCs w:val="14"/>
                <w:lang w:val="en-AU" w:eastAsia="en-AU"/>
              </w:rPr>
            </w:pPr>
            <w:r w:rsidRPr="00040036">
              <w:rPr>
                <w:sz w:val="14"/>
                <w:szCs w:val="14"/>
                <w:lang w:val="en-AU" w:eastAsia="en-AU"/>
              </w:rPr>
              <w:t>44,709</w:t>
            </w:r>
          </w:p>
        </w:tc>
        <w:tc>
          <w:tcPr>
            <w:tcW w:w="304" w:type="pct"/>
            <w:tcBorders>
              <w:top w:val="nil"/>
              <w:left w:val="nil"/>
              <w:bottom w:val="nil"/>
              <w:right w:val="single" w:sz="4" w:space="0" w:color="auto"/>
            </w:tcBorders>
            <w:shd w:val="clear" w:color="auto" w:fill="auto"/>
            <w:noWrap/>
            <w:vAlign w:val="bottom"/>
            <w:hideMark/>
          </w:tcPr>
          <w:p w14:paraId="0204634B" w14:textId="77777777" w:rsidR="00A61FF5" w:rsidRPr="00040036" w:rsidRDefault="00A61FF5" w:rsidP="00D07480">
            <w:pPr>
              <w:pStyle w:val="ESTablebody3ptafter"/>
              <w:rPr>
                <w:sz w:val="14"/>
                <w:szCs w:val="14"/>
                <w:lang w:val="en-AU" w:eastAsia="en-AU"/>
              </w:rPr>
            </w:pPr>
            <w:r w:rsidRPr="00040036">
              <w:rPr>
                <w:sz w:val="14"/>
                <w:szCs w:val="14"/>
                <w:lang w:val="en-AU" w:eastAsia="en-AU"/>
              </w:rPr>
              <w:t>40,239.8</w:t>
            </w:r>
          </w:p>
        </w:tc>
        <w:tc>
          <w:tcPr>
            <w:tcW w:w="309" w:type="pct"/>
            <w:tcBorders>
              <w:top w:val="nil"/>
              <w:left w:val="nil"/>
              <w:bottom w:val="nil"/>
              <w:right w:val="nil"/>
            </w:tcBorders>
            <w:shd w:val="clear" w:color="auto" w:fill="auto"/>
            <w:noWrap/>
            <w:vAlign w:val="bottom"/>
            <w:hideMark/>
          </w:tcPr>
          <w:p w14:paraId="7D61D835" w14:textId="77777777" w:rsidR="00A61FF5" w:rsidRPr="00040036" w:rsidRDefault="00A61FF5" w:rsidP="00D07480">
            <w:pPr>
              <w:pStyle w:val="ESTablebody3ptafter"/>
              <w:rPr>
                <w:sz w:val="14"/>
                <w:szCs w:val="14"/>
                <w:lang w:val="en-AU" w:eastAsia="en-AU"/>
              </w:rPr>
            </w:pPr>
            <w:r w:rsidRPr="00040036">
              <w:rPr>
                <w:sz w:val="14"/>
                <w:szCs w:val="14"/>
                <w:lang w:val="en-AU" w:eastAsia="en-AU"/>
              </w:rPr>
              <w:t>25,225</w:t>
            </w:r>
          </w:p>
        </w:tc>
        <w:tc>
          <w:tcPr>
            <w:tcW w:w="306" w:type="pct"/>
            <w:gridSpan w:val="2"/>
            <w:tcBorders>
              <w:top w:val="nil"/>
              <w:left w:val="nil"/>
              <w:bottom w:val="nil"/>
              <w:right w:val="nil"/>
            </w:tcBorders>
            <w:shd w:val="clear" w:color="auto" w:fill="auto"/>
            <w:noWrap/>
            <w:vAlign w:val="bottom"/>
            <w:hideMark/>
          </w:tcPr>
          <w:p w14:paraId="2DB070A7" w14:textId="4D90ECBF" w:rsidR="00A61FF5" w:rsidRPr="00040036" w:rsidRDefault="00A61FF5" w:rsidP="00D07480">
            <w:pPr>
              <w:pStyle w:val="ESTablebody3ptafter"/>
              <w:rPr>
                <w:sz w:val="14"/>
                <w:szCs w:val="14"/>
                <w:lang w:val="en-AU" w:eastAsia="en-AU"/>
              </w:rPr>
            </w:pPr>
            <w:r w:rsidRPr="00040036">
              <w:rPr>
                <w:sz w:val="14"/>
                <w:szCs w:val="14"/>
                <w:lang w:val="en-AU" w:eastAsia="en-AU"/>
              </w:rPr>
              <w:t>9</w:t>
            </w:r>
            <w:r w:rsidR="009452EC" w:rsidRPr="00040036">
              <w:rPr>
                <w:sz w:val="14"/>
                <w:szCs w:val="14"/>
                <w:lang w:val="en-AU" w:eastAsia="en-AU"/>
              </w:rPr>
              <w:t>,</w:t>
            </w:r>
            <w:r w:rsidRPr="00040036">
              <w:rPr>
                <w:sz w:val="14"/>
                <w:szCs w:val="14"/>
                <w:lang w:val="en-AU" w:eastAsia="en-AU"/>
              </w:rPr>
              <w:t>679</w:t>
            </w:r>
          </w:p>
        </w:tc>
        <w:tc>
          <w:tcPr>
            <w:tcW w:w="307" w:type="pct"/>
            <w:gridSpan w:val="2"/>
            <w:tcBorders>
              <w:top w:val="nil"/>
              <w:left w:val="nil"/>
              <w:bottom w:val="nil"/>
              <w:right w:val="single" w:sz="4" w:space="0" w:color="auto"/>
            </w:tcBorders>
            <w:shd w:val="clear" w:color="auto" w:fill="auto"/>
            <w:noWrap/>
            <w:vAlign w:val="bottom"/>
            <w:hideMark/>
          </w:tcPr>
          <w:p w14:paraId="64DE89C3" w14:textId="77777777" w:rsidR="00A61FF5" w:rsidRPr="00040036" w:rsidRDefault="00A61FF5" w:rsidP="00D07480">
            <w:pPr>
              <w:pStyle w:val="ESTablebody3ptafter"/>
              <w:rPr>
                <w:sz w:val="14"/>
                <w:szCs w:val="14"/>
                <w:lang w:val="en-AU" w:eastAsia="en-AU"/>
              </w:rPr>
            </w:pPr>
            <w:r w:rsidRPr="00040036">
              <w:rPr>
                <w:sz w:val="14"/>
                <w:szCs w:val="14"/>
                <w:lang w:val="en-AU" w:eastAsia="en-AU"/>
              </w:rPr>
              <w:t>31,295.0</w:t>
            </w:r>
          </w:p>
        </w:tc>
        <w:tc>
          <w:tcPr>
            <w:tcW w:w="294" w:type="pct"/>
            <w:tcBorders>
              <w:top w:val="nil"/>
              <w:left w:val="nil"/>
              <w:bottom w:val="nil"/>
              <w:right w:val="nil"/>
            </w:tcBorders>
            <w:shd w:val="clear" w:color="auto" w:fill="auto"/>
            <w:noWrap/>
            <w:vAlign w:val="bottom"/>
            <w:hideMark/>
          </w:tcPr>
          <w:p w14:paraId="4857E88A" w14:textId="77777777" w:rsidR="00A61FF5" w:rsidRPr="00040036" w:rsidRDefault="00A61FF5" w:rsidP="00D07480">
            <w:pPr>
              <w:pStyle w:val="ESTablebody3ptafter"/>
              <w:rPr>
                <w:sz w:val="14"/>
                <w:szCs w:val="14"/>
                <w:lang w:val="en-AU" w:eastAsia="en-AU"/>
              </w:rPr>
            </w:pPr>
            <w:r w:rsidRPr="00040036">
              <w:rPr>
                <w:sz w:val="14"/>
                <w:szCs w:val="14"/>
                <w:lang w:val="en-AU" w:eastAsia="en-AU"/>
              </w:rPr>
              <w:t>9,805</w:t>
            </w:r>
          </w:p>
        </w:tc>
        <w:tc>
          <w:tcPr>
            <w:tcW w:w="277" w:type="pct"/>
            <w:tcBorders>
              <w:top w:val="nil"/>
              <w:left w:val="nil"/>
              <w:bottom w:val="nil"/>
              <w:right w:val="nil"/>
            </w:tcBorders>
            <w:shd w:val="clear" w:color="auto" w:fill="auto"/>
            <w:noWrap/>
            <w:vAlign w:val="bottom"/>
            <w:hideMark/>
          </w:tcPr>
          <w:p w14:paraId="6F80C2C8" w14:textId="77777777" w:rsidR="00A61FF5" w:rsidRPr="00040036" w:rsidRDefault="00A61FF5" w:rsidP="00D07480">
            <w:pPr>
              <w:pStyle w:val="ESTablebody3ptafter"/>
              <w:rPr>
                <w:sz w:val="14"/>
                <w:szCs w:val="14"/>
                <w:lang w:val="en-AU" w:eastAsia="en-AU"/>
              </w:rPr>
            </w:pPr>
            <w:r w:rsidRPr="00040036">
              <w:rPr>
                <w:sz w:val="14"/>
                <w:szCs w:val="14"/>
                <w:lang w:val="en-AU" w:eastAsia="en-AU"/>
              </w:rPr>
              <w:t>8,944.9</w:t>
            </w:r>
          </w:p>
        </w:tc>
      </w:tr>
      <w:tr w:rsidR="00A61FF5" w:rsidRPr="00932A90" w14:paraId="73D8FC1E" w14:textId="77777777" w:rsidTr="00D07480">
        <w:trPr>
          <w:trHeight w:val="300"/>
        </w:trPr>
        <w:tc>
          <w:tcPr>
            <w:tcW w:w="182" w:type="pct"/>
            <w:vMerge/>
            <w:tcBorders>
              <w:left w:val="nil"/>
              <w:right w:val="nil"/>
            </w:tcBorders>
            <w:shd w:val="clear" w:color="auto" w:fill="auto"/>
            <w:textDirection w:val="btLr"/>
            <w:vAlign w:val="center"/>
            <w:hideMark/>
          </w:tcPr>
          <w:p w14:paraId="32E0DFC6"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77F56F84" w14:textId="77777777" w:rsidR="00A61FF5" w:rsidRPr="00040036" w:rsidRDefault="00A61FF5" w:rsidP="00D07480">
            <w:pPr>
              <w:pStyle w:val="ESTablebody3ptafter"/>
              <w:rPr>
                <w:sz w:val="14"/>
                <w:szCs w:val="14"/>
                <w:lang w:val="en-AU" w:eastAsia="en-AU"/>
              </w:rPr>
            </w:pPr>
            <w:r w:rsidRPr="00040036">
              <w:rPr>
                <w:sz w:val="14"/>
                <w:szCs w:val="14"/>
                <w:lang w:val="en-AU" w:eastAsia="en-AU"/>
              </w:rPr>
              <w:t>Education Support Class</w:t>
            </w:r>
          </w:p>
        </w:tc>
        <w:tc>
          <w:tcPr>
            <w:tcW w:w="355" w:type="pct"/>
            <w:tcBorders>
              <w:top w:val="nil"/>
              <w:left w:val="nil"/>
              <w:bottom w:val="nil"/>
              <w:right w:val="nil"/>
            </w:tcBorders>
            <w:shd w:val="clear" w:color="auto" w:fill="auto"/>
            <w:noWrap/>
            <w:vAlign w:val="bottom"/>
            <w:hideMark/>
          </w:tcPr>
          <w:p w14:paraId="1DC40AD3" w14:textId="77777777" w:rsidR="00A61FF5" w:rsidRPr="00040036" w:rsidRDefault="00A61FF5" w:rsidP="00D07480">
            <w:pPr>
              <w:pStyle w:val="ESTablebody3ptafter"/>
              <w:rPr>
                <w:sz w:val="14"/>
                <w:szCs w:val="14"/>
                <w:lang w:val="en-AU" w:eastAsia="en-AU"/>
              </w:rPr>
            </w:pPr>
            <w:r w:rsidRPr="00040036">
              <w:rPr>
                <w:sz w:val="14"/>
                <w:szCs w:val="14"/>
                <w:lang w:val="en-AU" w:eastAsia="en-AU"/>
              </w:rPr>
              <w:t>20,646</w:t>
            </w:r>
          </w:p>
        </w:tc>
        <w:tc>
          <w:tcPr>
            <w:tcW w:w="305" w:type="pct"/>
            <w:tcBorders>
              <w:top w:val="nil"/>
              <w:left w:val="nil"/>
              <w:bottom w:val="nil"/>
              <w:right w:val="single" w:sz="4" w:space="0" w:color="auto"/>
            </w:tcBorders>
            <w:shd w:val="clear" w:color="auto" w:fill="auto"/>
            <w:noWrap/>
            <w:vAlign w:val="bottom"/>
            <w:hideMark/>
          </w:tcPr>
          <w:p w14:paraId="04DFFB7A" w14:textId="77777777" w:rsidR="00A61FF5" w:rsidRPr="00040036" w:rsidRDefault="00A61FF5" w:rsidP="00D07480">
            <w:pPr>
              <w:pStyle w:val="ESTablebody3ptafter"/>
              <w:rPr>
                <w:sz w:val="14"/>
                <w:szCs w:val="14"/>
                <w:lang w:val="en-AU" w:eastAsia="en-AU"/>
              </w:rPr>
            </w:pPr>
            <w:r w:rsidRPr="00040036">
              <w:rPr>
                <w:sz w:val="14"/>
                <w:szCs w:val="14"/>
                <w:lang w:val="en-AU" w:eastAsia="en-AU"/>
              </w:rPr>
              <w:t>15,427.2</w:t>
            </w:r>
          </w:p>
        </w:tc>
        <w:tc>
          <w:tcPr>
            <w:tcW w:w="254" w:type="pct"/>
            <w:tcBorders>
              <w:top w:val="nil"/>
              <w:left w:val="nil"/>
              <w:bottom w:val="nil"/>
              <w:right w:val="nil"/>
            </w:tcBorders>
            <w:shd w:val="clear" w:color="auto" w:fill="auto"/>
            <w:noWrap/>
            <w:vAlign w:val="bottom"/>
            <w:hideMark/>
          </w:tcPr>
          <w:p w14:paraId="1FBF1AFD" w14:textId="713F238B"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906</w:t>
            </w:r>
          </w:p>
        </w:tc>
        <w:tc>
          <w:tcPr>
            <w:tcW w:w="253" w:type="pct"/>
            <w:tcBorders>
              <w:top w:val="nil"/>
              <w:left w:val="nil"/>
              <w:bottom w:val="nil"/>
              <w:right w:val="nil"/>
            </w:tcBorders>
            <w:shd w:val="clear" w:color="auto" w:fill="auto"/>
            <w:noWrap/>
            <w:vAlign w:val="bottom"/>
            <w:hideMark/>
          </w:tcPr>
          <w:p w14:paraId="017B2113" w14:textId="1E4390DF" w:rsidR="00A61FF5" w:rsidRPr="00040036" w:rsidRDefault="00A61FF5" w:rsidP="00D07480">
            <w:pPr>
              <w:pStyle w:val="ESTablebody3ptafter"/>
              <w:rPr>
                <w:sz w:val="14"/>
                <w:szCs w:val="14"/>
                <w:lang w:val="en-AU" w:eastAsia="en-AU"/>
              </w:rPr>
            </w:pPr>
            <w:r w:rsidRPr="00040036">
              <w:rPr>
                <w:sz w:val="14"/>
                <w:szCs w:val="14"/>
                <w:lang w:val="en-AU" w:eastAsia="en-AU"/>
              </w:rPr>
              <w:t>6</w:t>
            </w:r>
            <w:r w:rsidR="009452EC" w:rsidRPr="00040036">
              <w:rPr>
                <w:sz w:val="14"/>
                <w:szCs w:val="14"/>
                <w:lang w:val="en-AU" w:eastAsia="en-AU"/>
              </w:rPr>
              <w:t>,</w:t>
            </w:r>
            <w:r w:rsidRPr="00040036">
              <w:rPr>
                <w:sz w:val="14"/>
                <w:szCs w:val="14"/>
                <w:lang w:val="en-AU" w:eastAsia="en-AU"/>
              </w:rPr>
              <w:t>081</w:t>
            </w:r>
          </w:p>
        </w:tc>
        <w:tc>
          <w:tcPr>
            <w:tcW w:w="305" w:type="pct"/>
            <w:tcBorders>
              <w:top w:val="nil"/>
              <w:left w:val="nil"/>
              <w:bottom w:val="nil"/>
              <w:right w:val="single" w:sz="4" w:space="0" w:color="auto"/>
            </w:tcBorders>
            <w:shd w:val="clear" w:color="auto" w:fill="auto"/>
            <w:noWrap/>
            <w:vAlign w:val="bottom"/>
            <w:hideMark/>
          </w:tcPr>
          <w:p w14:paraId="6BB07C1D" w14:textId="53C4C52C" w:rsidR="00A61FF5" w:rsidRPr="00040036" w:rsidRDefault="00A61FF5" w:rsidP="00D07480">
            <w:pPr>
              <w:pStyle w:val="ESTablebody3ptafter"/>
              <w:rPr>
                <w:sz w:val="14"/>
                <w:szCs w:val="14"/>
                <w:lang w:val="en-AU" w:eastAsia="en-AU"/>
              </w:rPr>
            </w:pPr>
            <w:r w:rsidRPr="00040036">
              <w:rPr>
                <w:sz w:val="14"/>
                <w:szCs w:val="14"/>
                <w:lang w:val="en-AU" w:eastAsia="en-AU"/>
              </w:rPr>
              <w:t>8</w:t>
            </w:r>
            <w:r w:rsidR="009452EC" w:rsidRPr="00040036">
              <w:rPr>
                <w:sz w:val="14"/>
                <w:szCs w:val="14"/>
                <w:lang w:val="en-AU" w:eastAsia="en-AU"/>
              </w:rPr>
              <w:t>,</w:t>
            </w:r>
            <w:r w:rsidRPr="00040036">
              <w:rPr>
                <w:sz w:val="14"/>
                <w:szCs w:val="14"/>
                <w:lang w:val="en-AU" w:eastAsia="en-AU"/>
              </w:rPr>
              <w:t>946.2</w:t>
            </w:r>
          </w:p>
        </w:tc>
        <w:tc>
          <w:tcPr>
            <w:tcW w:w="357" w:type="pct"/>
            <w:tcBorders>
              <w:top w:val="nil"/>
              <w:left w:val="nil"/>
              <w:bottom w:val="nil"/>
              <w:right w:val="nil"/>
            </w:tcBorders>
            <w:shd w:val="clear" w:color="auto" w:fill="auto"/>
            <w:noWrap/>
            <w:vAlign w:val="bottom"/>
            <w:hideMark/>
          </w:tcPr>
          <w:p w14:paraId="6C9656CD" w14:textId="3ECD13E8" w:rsidR="00A61FF5" w:rsidRPr="00040036" w:rsidRDefault="00A61FF5" w:rsidP="00D07480">
            <w:pPr>
              <w:pStyle w:val="ESTablebody3ptafter"/>
              <w:rPr>
                <w:sz w:val="14"/>
                <w:szCs w:val="14"/>
                <w:lang w:val="en-AU" w:eastAsia="en-AU"/>
              </w:rPr>
            </w:pPr>
            <w:r w:rsidRPr="00040036">
              <w:rPr>
                <w:sz w:val="14"/>
                <w:szCs w:val="14"/>
                <w:lang w:val="en-AU" w:eastAsia="en-AU"/>
              </w:rPr>
              <w:t>9</w:t>
            </w:r>
            <w:r w:rsidR="009452EC" w:rsidRPr="00040036">
              <w:rPr>
                <w:sz w:val="14"/>
                <w:szCs w:val="14"/>
                <w:lang w:val="en-AU" w:eastAsia="en-AU"/>
              </w:rPr>
              <w:t>,</w:t>
            </w:r>
            <w:r w:rsidRPr="00040036">
              <w:rPr>
                <w:sz w:val="14"/>
                <w:szCs w:val="14"/>
                <w:lang w:val="en-AU" w:eastAsia="en-AU"/>
              </w:rPr>
              <w:t>659</w:t>
            </w:r>
          </w:p>
        </w:tc>
        <w:tc>
          <w:tcPr>
            <w:tcW w:w="307" w:type="pct"/>
            <w:tcBorders>
              <w:top w:val="nil"/>
              <w:left w:val="nil"/>
              <w:bottom w:val="nil"/>
              <w:right w:val="single" w:sz="8" w:space="0" w:color="auto"/>
            </w:tcBorders>
            <w:shd w:val="clear" w:color="auto" w:fill="auto"/>
            <w:noWrap/>
            <w:vAlign w:val="bottom"/>
            <w:hideMark/>
          </w:tcPr>
          <w:p w14:paraId="5E8CDC00" w14:textId="5C818CD6" w:rsidR="00A61FF5" w:rsidRPr="00040036" w:rsidRDefault="00A61FF5" w:rsidP="00D07480">
            <w:pPr>
              <w:pStyle w:val="ESTablebody3ptafter"/>
              <w:rPr>
                <w:sz w:val="14"/>
                <w:szCs w:val="14"/>
                <w:lang w:val="en-AU" w:eastAsia="en-AU"/>
              </w:rPr>
            </w:pPr>
            <w:r w:rsidRPr="00040036">
              <w:rPr>
                <w:sz w:val="14"/>
                <w:szCs w:val="14"/>
                <w:lang w:val="en-AU" w:eastAsia="en-AU"/>
              </w:rPr>
              <w:t>6</w:t>
            </w:r>
            <w:r w:rsidR="009452EC" w:rsidRPr="00040036">
              <w:rPr>
                <w:sz w:val="14"/>
                <w:szCs w:val="14"/>
                <w:lang w:val="en-AU" w:eastAsia="en-AU"/>
              </w:rPr>
              <w:t>,</w:t>
            </w:r>
            <w:r w:rsidRPr="00040036">
              <w:rPr>
                <w:sz w:val="14"/>
                <w:szCs w:val="14"/>
                <w:lang w:val="en-AU" w:eastAsia="en-AU"/>
              </w:rPr>
              <w:t>481.1</w:t>
            </w:r>
          </w:p>
        </w:tc>
        <w:tc>
          <w:tcPr>
            <w:tcW w:w="356" w:type="pct"/>
            <w:tcBorders>
              <w:top w:val="nil"/>
              <w:left w:val="nil"/>
              <w:bottom w:val="nil"/>
              <w:right w:val="nil"/>
            </w:tcBorders>
            <w:shd w:val="clear" w:color="auto" w:fill="auto"/>
            <w:noWrap/>
            <w:vAlign w:val="bottom"/>
            <w:hideMark/>
          </w:tcPr>
          <w:p w14:paraId="5CE0CAA2" w14:textId="77777777" w:rsidR="00A61FF5" w:rsidRPr="00040036" w:rsidRDefault="00A61FF5" w:rsidP="00D07480">
            <w:pPr>
              <w:pStyle w:val="ESTablebody3ptafter"/>
              <w:rPr>
                <w:sz w:val="14"/>
                <w:szCs w:val="14"/>
                <w:lang w:val="en-AU" w:eastAsia="en-AU"/>
              </w:rPr>
            </w:pPr>
            <w:r w:rsidRPr="00040036">
              <w:rPr>
                <w:sz w:val="14"/>
                <w:szCs w:val="14"/>
                <w:lang w:val="en-AU" w:eastAsia="en-AU"/>
              </w:rPr>
              <w:t>20,193</w:t>
            </w:r>
          </w:p>
        </w:tc>
        <w:tc>
          <w:tcPr>
            <w:tcW w:w="304" w:type="pct"/>
            <w:tcBorders>
              <w:top w:val="nil"/>
              <w:left w:val="nil"/>
              <w:bottom w:val="nil"/>
              <w:right w:val="single" w:sz="4" w:space="0" w:color="auto"/>
            </w:tcBorders>
            <w:shd w:val="clear" w:color="auto" w:fill="auto"/>
            <w:noWrap/>
            <w:vAlign w:val="bottom"/>
            <w:hideMark/>
          </w:tcPr>
          <w:p w14:paraId="36CA9280" w14:textId="77777777" w:rsidR="00A61FF5" w:rsidRPr="00040036" w:rsidRDefault="00A61FF5" w:rsidP="00D07480">
            <w:pPr>
              <w:pStyle w:val="ESTablebody3ptafter"/>
              <w:rPr>
                <w:sz w:val="14"/>
                <w:szCs w:val="14"/>
                <w:lang w:val="en-AU" w:eastAsia="en-AU"/>
              </w:rPr>
            </w:pPr>
            <w:r w:rsidRPr="00040036">
              <w:rPr>
                <w:sz w:val="14"/>
                <w:szCs w:val="14"/>
                <w:lang w:val="en-AU" w:eastAsia="en-AU"/>
              </w:rPr>
              <w:t>14,991.7</w:t>
            </w:r>
          </w:p>
        </w:tc>
        <w:tc>
          <w:tcPr>
            <w:tcW w:w="309" w:type="pct"/>
            <w:tcBorders>
              <w:top w:val="nil"/>
              <w:left w:val="nil"/>
              <w:bottom w:val="nil"/>
              <w:right w:val="nil"/>
            </w:tcBorders>
            <w:shd w:val="clear" w:color="auto" w:fill="auto"/>
            <w:noWrap/>
            <w:vAlign w:val="bottom"/>
            <w:hideMark/>
          </w:tcPr>
          <w:p w14:paraId="146316B0" w14:textId="09322656" w:rsidR="00A61FF5" w:rsidRPr="00040036" w:rsidRDefault="00A61FF5" w:rsidP="00D07480">
            <w:pPr>
              <w:pStyle w:val="ESTablebody3ptafter"/>
              <w:rPr>
                <w:sz w:val="14"/>
                <w:szCs w:val="14"/>
                <w:lang w:val="en-AU" w:eastAsia="en-AU"/>
              </w:rPr>
            </w:pPr>
            <w:r w:rsidRPr="00040036">
              <w:rPr>
                <w:sz w:val="14"/>
                <w:szCs w:val="14"/>
                <w:lang w:val="en-AU" w:eastAsia="en-AU"/>
              </w:rPr>
              <w:t>4</w:t>
            </w:r>
            <w:r w:rsidR="009452EC" w:rsidRPr="00040036">
              <w:rPr>
                <w:sz w:val="14"/>
                <w:szCs w:val="14"/>
                <w:lang w:val="en-AU" w:eastAsia="en-AU"/>
              </w:rPr>
              <w:t>,</w:t>
            </w:r>
            <w:r w:rsidRPr="00040036">
              <w:rPr>
                <w:sz w:val="14"/>
                <w:szCs w:val="14"/>
                <w:lang w:val="en-AU" w:eastAsia="en-AU"/>
              </w:rPr>
              <w:t>848</w:t>
            </w:r>
          </w:p>
        </w:tc>
        <w:tc>
          <w:tcPr>
            <w:tcW w:w="306" w:type="pct"/>
            <w:gridSpan w:val="2"/>
            <w:tcBorders>
              <w:top w:val="nil"/>
              <w:left w:val="nil"/>
              <w:bottom w:val="nil"/>
              <w:right w:val="nil"/>
            </w:tcBorders>
            <w:shd w:val="clear" w:color="auto" w:fill="auto"/>
            <w:noWrap/>
            <w:vAlign w:val="bottom"/>
            <w:hideMark/>
          </w:tcPr>
          <w:p w14:paraId="386A1DC7" w14:textId="63F56C22" w:rsidR="00A61FF5" w:rsidRPr="00040036" w:rsidRDefault="00A61FF5" w:rsidP="00D07480">
            <w:pPr>
              <w:pStyle w:val="ESTablebody3ptafter"/>
              <w:rPr>
                <w:sz w:val="14"/>
                <w:szCs w:val="14"/>
                <w:lang w:val="en-AU" w:eastAsia="en-AU"/>
              </w:rPr>
            </w:pPr>
            <w:r w:rsidRPr="00040036">
              <w:rPr>
                <w:sz w:val="14"/>
                <w:szCs w:val="14"/>
                <w:lang w:val="en-AU" w:eastAsia="en-AU"/>
              </w:rPr>
              <w:t>7</w:t>
            </w:r>
            <w:r w:rsidR="009452EC" w:rsidRPr="00040036">
              <w:rPr>
                <w:sz w:val="14"/>
                <w:szCs w:val="14"/>
                <w:lang w:val="en-AU" w:eastAsia="en-AU"/>
              </w:rPr>
              <w:t>,</w:t>
            </w:r>
            <w:r w:rsidRPr="00040036">
              <w:rPr>
                <w:sz w:val="14"/>
                <w:szCs w:val="14"/>
                <w:lang w:val="en-AU" w:eastAsia="en-AU"/>
              </w:rPr>
              <w:t>016</w:t>
            </w:r>
          </w:p>
        </w:tc>
        <w:tc>
          <w:tcPr>
            <w:tcW w:w="307" w:type="pct"/>
            <w:gridSpan w:val="2"/>
            <w:tcBorders>
              <w:top w:val="nil"/>
              <w:left w:val="nil"/>
              <w:bottom w:val="nil"/>
              <w:right w:val="single" w:sz="4" w:space="0" w:color="auto"/>
            </w:tcBorders>
            <w:shd w:val="clear" w:color="auto" w:fill="auto"/>
            <w:noWrap/>
            <w:vAlign w:val="bottom"/>
            <w:hideMark/>
          </w:tcPr>
          <w:p w14:paraId="5A052BD7" w14:textId="77777777" w:rsidR="00A61FF5" w:rsidRPr="00040036" w:rsidRDefault="00A61FF5" w:rsidP="00D07480">
            <w:pPr>
              <w:pStyle w:val="ESTablebody3ptafter"/>
              <w:rPr>
                <w:sz w:val="14"/>
                <w:szCs w:val="14"/>
                <w:lang w:val="en-AU" w:eastAsia="en-AU"/>
              </w:rPr>
            </w:pPr>
            <w:r w:rsidRPr="00040036">
              <w:rPr>
                <w:sz w:val="14"/>
                <w:szCs w:val="14"/>
                <w:lang w:val="en-AU" w:eastAsia="en-AU"/>
              </w:rPr>
              <w:t>9,463.6</w:t>
            </w:r>
          </w:p>
        </w:tc>
        <w:tc>
          <w:tcPr>
            <w:tcW w:w="294" w:type="pct"/>
            <w:tcBorders>
              <w:top w:val="nil"/>
              <w:left w:val="nil"/>
              <w:bottom w:val="nil"/>
              <w:right w:val="nil"/>
            </w:tcBorders>
            <w:shd w:val="clear" w:color="auto" w:fill="auto"/>
            <w:noWrap/>
            <w:vAlign w:val="bottom"/>
            <w:hideMark/>
          </w:tcPr>
          <w:p w14:paraId="136FBB10" w14:textId="77777777" w:rsidR="00A61FF5" w:rsidRPr="00040036" w:rsidRDefault="00A61FF5" w:rsidP="00D07480">
            <w:pPr>
              <w:pStyle w:val="ESTablebody3ptafter"/>
              <w:rPr>
                <w:sz w:val="14"/>
                <w:szCs w:val="14"/>
                <w:lang w:val="en-AU" w:eastAsia="en-AU"/>
              </w:rPr>
            </w:pPr>
            <w:r w:rsidRPr="00040036">
              <w:rPr>
                <w:sz w:val="14"/>
                <w:szCs w:val="14"/>
                <w:lang w:val="en-AU" w:eastAsia="en-AU"/>
              </w:rPr>
              <w:t>8,329</w:t>
            </w:r>
          </w:p>
        </w:tc>
        <w:tc>
          <w:tcPr>
            <w:tcW w:w="277" w:type="pct"/>
            <w:tcBorders>
              <w:top w:val="nil"/>
              <w:left w:val="nil"/>
              <w:bottom w:val="nil"/>
              <w:right w:val="nil"/>
            </w:tcBorders>
            <w:shd w:val="clear" w:color="auto" w:fill="auto"/>
            <w:noWrap/>
            <w:vAlign w:val="bottom"/>
            <w:hideMark/>
          </w:tcPr>
          <w:p w14:paraId="40681421" w14:textId="77777777" w:rsidR="00A61FF5" w:rsidRPr="00040036" w:rsidRDefault="00A61FF5" w:rsidP="00D07480">
            <w:pPr>
              <w:pStyle w:val="ESTablebody3ptafter"/>
              <w:rPr>
                <w:sz w:val="14"/>
                <w:szCs w:val="14"/>
                <w:lang w:val="en-AU" w:eastAsia="en-AU"/>
              </w:rPr>
            </w:pPr>
            <w:r w:rsidRPr="00040036">
              <w:rPr>
                <w:sz w:val="14"/>
                <w:szCs w:val="14"/>
                <w:lang w:val="en-AU" w:eastAsia="en-AU"/>
              </w:rPr>
              <w:t>5,528.1</w:t>
            </w:r>
          </w:p>
        </w:tc>
      </w:tr>
      <w:tr w:rsidR="00A61FF5" w:rsidRPr="00932A90" w14:paraId="25A6E53C" w14:textId="77777777" w:rsidTr="00D07480">
        <w:trPr>
          <w:trHeight w:val="300"/>
        </w:trPr>
        <w:tc>
          <w:tcPr>
            <w:tcW w:w="182" w:type="pct"/>
            <w:vMerge/>
            <w:tcBorders>
              <w:left w:val="nil"/>
              <w:right w:val="nil"/>
            </w:tcBorders>
            <w:shd w:val="clear" w:color="auto" w:fill="auto"/>
            <w:vAlign w:val="center"/>
            <w:hideMark/>
          </w:tcPr>
          <w:p w14:paraId="664D0BB3" w14:textId="77777777" w:rsidR="00A61FF5" w:rsidRPr="00040036" w:rsidRDefault="00A61FF5" w:rsidP="00D07480">
            <w:pPr>
              <w:pStyle w:val="ESTablebody3ptafter"/>
              <w:rPr>
                <w:lang w:val="en-AU" w:eastAsia="en-AU"/>
              </w:rPr>
            </w:pPr>
          </w:p>
        </w:tc>
        <w:tc>
          <w:tcPr>
            <w:tcW w:w="529" w:type="pct"/>
            <w:tcBorders>
              <w:top w:val="nil"/>
              <w:left w:val="nil"/>
              <w:bottom w:val="nil"/>
              <w:right w:val="nil"/>
            </w:tcBorders>
            <w:shd w:val="clear" w:color="auto" w:fill="auto"/>
            <w:noWrap/>
            <w:vAlign w:val="bottom"/>
            <w:hideMark/>
          </w:tcPr>
          <w:p w14:paraId="34C6B529" w14:textId="77777777" w:rsidR="00A61FF5" w:rsidRPr="00040036" w:rsidRDefault="00A61FF5" w:rsidP="00D07480">
            <w:pPr>
              <w:pStyle w:val="ESTablebody3ptafter"/>
              <w:rPr>
                <w:sz w:val="14"/>
                <w:szCs w:val="14"/>
                <w:lang w:val="en-AU" w:eastAsia="en-AU"/>
              </w:rPr>
            </w:pPr>
          </w:p>
        </w:tc>
        <w:tc>
          <w:tcPr>
            <w:tcW w:w="355" w:type="pct"/>
            <w:tcBorders>
              <w:top w:val="nil"/>
              <w:left w:val="nil"/>
              <w:bottom w:val="nil"/>
              <w:right w:val="nil"/>
            </w:tcBorders>
            <w:shd w:val="clear" w:color="auto" w:fill="auto"/>
            <w:noWrap/>
            <w:vAlign w:val="bottom"/>
            <w:hideMark/>
          </w:tcPr>
          <w:p w14:paraId="4620A549" w14:textId="77777777" w:rsidR="00A61FF5" w:rsidRPr="00040036" w:rsidRDefault="00A61FF5" w:rsidP="00D07480">
            <w:pPr>
              <w:pStyle w:val="ESTablebody3ptafter"/>
              <w:rPr>
                <w:sz w:val="14"/>
                <w:szCs w:val="14"/>
                <w:lang w:val="en-AU" w:eastAsia="en-AU"/>
              </w:rPr>
            </w:pPr>
          </w:p>
        </w:tc>
        <w:tc>
          <w:tcPr>
            <w:tcW w:w="305" w:type="pct"/>
            <w:tcBorders>
              <w:top w:val="nil"/>
              <w:left w:val="nil"/>
              <w:bottom w:val="nil"/>
              <w:right w:val="single" w:sz="4" w:space="0" w:color="auto"/>
            </w:tcBorders>
            <w:shd w:val="clear" w:color="auto" w:fill="auto"/>
            <w:noWrap/>
            <w:vAlign w:val="bottom"/>
            <w:hideMark/>
          </w:tcPr>
          <w:p w14:paraId="6D71AE9E"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254" w:type="pct"/>
            <w:tcBorders>
              <w:top w:val="nil"/>
              <w:left w:val="nil"/>
              <w:bottom w:val="nil"/>
              <w:right w:val="nil"/>
            </w:tcBorders>
            <w:shd w:val="clear" w:color="auto" w:fill="auto"/>
            <w:noWrap/>
            <w:vAlign w:val="bottom"/>
            <w:hideMark/>
          </w:tcPr>
          <w:p w14:paraId="3D44E014" w14:textId="77777777" w:rsidR="00A61FF5" w:rsidRPr="00040036" w:rsidRDefault="00A61FF5" w:rsidP="00D07480">
            <w:pPr>
              <w:pStyle w:val="ESTablebody3ptafter"/>
              <w:rPr>
                <w:sz w:val="14"/>
                <w:szCs w:val="14"/>
                <w:lang w:val="en-AU" w:eastAsia="en-AU"/>
              </w:rPr>
            </w:pPr>
          </w:p>
        </w:tc>
        <w:tc>
          <w:tcPr>
            <w:tcW w:w="253" w:type="pct"/>
            <w:tcBorders>
              <w:top w:val="nil"/>
              <w:left w:val="nil"/>
              <w:bottom w:val="nil"/>
              <w:right w:val="nil"/>
            </w:tcBorders>
            <w:shd w:val="clear" w:color="auto" w:fill="auto"/>
            <w:noWrap/>
            <w:vAlign w:val="bottom"/>
            <w:hideMark/>
          </w:tcPr>
          <w:p w14:paraId="165542B3" w14:textId="77777777" w:rsidR="00A61FF5" w:rsidRPr="00040036" w:rsidRDefault="00A61FF5" w:rsidP="00D07480">
            <w:pPr>
              <w:pStyle w:val="ESTablebody3ptafter"/>
              <w:rPr>
                <w:sz w:val="14"/>
                <w:szCs w:val="14"/>
                <w:lang w:val="en-AU" w:eastAsia="en-AU"/>
              </w:rPr>
            </w:pPr>
          </w:p>
        </w:tc>
        <w:tc>
          <w:tcPr>
            <w:tcW w:w="305" w:type="pct"/>
            <w:tcBorders>
              <w:top w:val="nil"/>
              <w:left w:val="nil"/>
              <w:bottom w:val="nil"/>
              <w:right w:val="single" w:sz="4" w:space="0" w:color="auto"/>
            </w:tcBorders>
            <w:shd w:val="clear" w:color="auto" w:fill="auto"/>
            <w:noWrap/>
            <w:vAlign w:val="bottom"/>
            <w:hideMark/>
          </w:tcPr>
          <w:p w14:paraId="5FEC81ED"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57" w:type="pct"/>
            <w:tcBorders>
              <w:top w:val="nil"/>
              <w:left w:val="nil"/>
              <w:bottom w:val="nil"/>
              <w:right w:val="nil"/>
            </w:tcBorders>
            <w:shd w:val="clear" w:color="auto" w:fill="auto"/>
            <w:noWrap/>
            <w:vAlign w:val="bottom"/>
            <w:hideMark/>
          </w:tcPr>
          <w:p w14:paraId="0F414415" w14:textId="77777777" w:rsidR="00A61FF5" w:rsidRPr="00040036" w:rsidRDefault="00A61FF5" w:rsidP="00D07480">
            <w:pPr>
              <w:pStyle w:val="ESTablebody3ptafter"/>
              <w:rPr>
                <w:sz w:val="14"/>
                <w:szCs w:val="14"/>
                <w:lang w:val="en-AU" w:eastAsia="en-AU"/>
              </w:rPr>
            </w:pPr>
          </w:p>
        </w:tc>
        <w:tc>
          <w:tcPr>
            <w:tcW w:w="307" w:type="pct"/>
            <w:tcBorders>
              <w:top w:val="nil"/>
              <w:left w:val="nil"/>
              <w:bottom w:val="nil"/>
              <w:right w:val="single" w:sz="8" w:space="0" w:color="auto"/>
            </w:tcBorders>
            <w:shd w:val="clear" w:color="auto" w:fill="auto"/>
            <w:noWrap/>
            <w:vAlign w:val="bottom"/>
            <w:hideMark/>
          </w:tcPr>
          <w:p w14:paraId="55DD8B15"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56" w:type="pct"/>
            <w:tcBorders>
              <w:top w:val="nil"/>
              <w:left w:val="nil"/>
              <w:bottom w:val="nil"/>
              <w:right w:val="nil"/>
            </w:tcBorders>
            <w:shd w:val="clear" w:color="auto" w:fill="auto"/>
            <w:noWrap/>
            <w:vAlign w:val="bottom"/>
            <w:hideMark/>
          </w:tcPr>
          <w:p w14:paraId="2F2D79F9" w14:textId="77777777" w:rsidR="00A61FF5" w:rsidRPr="00040036" w:rsidRDefault="00A61FF5" w:rsidP="00D07480">
            <w:pPr>
              <w:pStyle w:val="ESTablebody3ptafter"/>
              <w:rPr>
                <w:sz w:val="14"/>
                <w:szCs w:val="14"/>
                <w:lang w:val="en-AU" w:eastAsia="en-AU"/>
              </w:rPr>
            </w:pPr>
          </w:p>
        </w:tc>
        <w:tc>
          <w:tcPr>
            <w:tcW w:w="304" w:type="pct"/>
            <w:tcBorders>
              <w:top w:val="nil"/>
              <w:left w:val="nil"/>
              <w:bottom w:val="nil"/>
              <w:right w:val="single" w:sz="4" w:space="0" w:color="auto"/>
            </w:tcBorders>
            <w:shd w:val="clear" w:color="auto" w:fill="auto"/>
            <w:noWrap/>
            <w:vAlign w:val="bottom"/>
            <w:hideMark/>
          </w:tcPr>
          <w:p w14:paraId="7EAD1B06"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309" w:type="pct"/>
            <w:tcBorders>
              <w:top w:val="nil"/>
              <w:left w:val="nil"/>
              <w:bottom w:val="nil"/>
              <w:right w:val="nil"/>
            </w:tcBorders>
            <w:shd w:val="clear" w:color="auto" w:fill="auto"/>
            <w:noWrap/>
            <w:vAlign w:val="bottom"/>
            <w:hideMark/>
          </w:tcPr>
          <w:p w14:paraId="51F29FA7" w14:textId="77777777" w:rsidR="00A61FF5" w:rsidRPr="00040036" w:rsidRDefault="00A61FF5" w:rsidP="00D07480">
            <w:pPr>
              <w:pStyle w:val="ESTablebody3ptafter"/>
              <w:rPr>
                <w:sz w:val="14"/>
                <w:szCs w:val="14"/>
                <w:lang w:val="en-AU" w:eastAsia="en-AU"/>
              </w:rPr>
            </w:pPr>
          </w:p>
        </w:tc>
        <w:tc>
          <w:tcPr>
            <w:tcW w:w="306" w:type="pct"/>
            <w:gridSpan w:val="2"/>
            <w:tcBorders>
              <w:top w:val="nil"/>
              <w:left w:val="nil"/>
              <w:bottom w:val="nil"/>
              <w:right w:val="nil"/>
            </w:tcBorders>
            <w:shd w:val="clear" w:color="auto" w:fill="auto"/>
            <w:noWrap/>
            <w:vAlign w:val="bottom"/>
            <w:hideMark/>
          </w:tcPr>
          <w:p w14:paraId="63E3A7DA" w14:textId="77777777" w:rsidR="00A61FF5" w:rsidRPr="00040036" w:rsidRDefault="00A61FF5" w:rsidP="00D07480">
            <w:pPr>
              <w:pStyle w:val="ESTablebody3ptafter"/>
              <w:rPr>
                <w:sz w:val="14"/>
                <w:szCs w:val="14"/>
                <w:lang w:val="en-AU" w:eastAsia="en-AU"/>
              </w:rPr>
            </w:pPr>
          </w:p>
        </w:tc>
        <w:tc>
          <w:tcPr>
            <w:tcW w:w="307" w:type="pct"/>
            <w:gridSpan w:val="2"/>
            <w:tcBorders>
              <w:top w:val="nil"/>
              <w:left w:val="nil"/>
              <w:bottom w:val="nil"/>
              <w:right w:val="single" w:sz="4" w:space="0" w:color="auto"/>
            </w:tcBorders>
            <w:shd w:val="clear" w:color="auto" w:fill="auto"/>
            <w:noWrap/>
            <w:vAlign w:val="bottom"/>
            <w:hideMark/>
          </w:tcPr>
          <w:p w14:paraId="2FAB3C66" w14:textId="77777777" w:rsidR="00A61FF5" w:rsidRPr="00040036" w:rsidRDefault="00A61FF5" w:rsidP="00D07480">
            <w:pPr>
              <w:pStyle w:val="ESTablebody3ptafter"/>
              <w:rPr>
                <w:sz w:val="14"/>
                <w:szCs w:val="14"/>
                <w:lang w:val="en-AU" w:eastAsia="en-AU"/>
              </w:rPr>
            </w:pPr>
            <w:r w:rsidRPr="00040036">
              <w:rPr>
                <w:sz w:val="14"/>
                <w:szCs w:val="14"/>
                <w:lang w:val="en-AU" w:eastAsia="en-AU"/>
              </w:rPr>
              <w:t> </w:t>
            </w:r>
          </w:p>
        </w:tc>
        <w:tc>
          <w:tcPr>
            <w:tcW w:w="294" w:type="pct"/>
            <w:tcBorders>
              <w:top w:val="nil"/>
              <w:left w:val="nil"/>
              <w:bottom w:val="nil"/>
              <w:right w:val="nil"/>
            </w:tcBorders>
            <w:shd w:val="clear" w:color="auto" w:fill="auto"/>
            <w:noWrap/>
            <w:vAlign w:val="bottom"/>
            <w:hideMark/>
          </w:tcPr>
          <w:p w14:paraId="5738E59A" w14:textId="77777777" w:rsidR="00A61FF5" w:rsidRPr="00040036" w:rsidRDefault="00A61FF5" w:rsidP="00D07480">
            <w:pPr>
              <w:pStyle w:val="ESTablebody3ptafter"/>
              <w:rPr>
                <w:sz w:val="14"/>
                <w:szCs w:val="14"/>
                <w:lang w:val="en-AU" w:eastAsia="en-AU"/>
              </w:rPr>
            </w:pPr>
          </w:p>
        </w:tc>
        <w:tc>
          <w:tcPr>
            <w:tcW w:w="277" w:type="pct"/>
            <w:tcBorders>
              <w:top w:val="nil"/>
              <w:left w:val="nil"/>
              <w:bottom w:val="nil"/>
              <w:right w:val="nil"/>
            </w:tcBorders>
            <w:shd w:val="clear" w:color="auto" w:fill="auto"/>
            <w:noWrap/>
            <w:vAlign w:val="bottom"/>
            <w:hideMark/>
          </w:tcPr>
          <w:p w14:paraId="3CCD28E6" w14:textId="77777777" w:rsidR="00A61FF5" w:rsidRPr="00040036" w:rsidRDefault="00A61FF5" w:rsidP="00D07480">
            <w:pPr>
              <w:pStyle w:val="ESTablebody3ptafter"/>
              <w:rPr>
                <w:sz w:val="14"/>
                <w:szCs w:val="14"/>
                <w:lang w:val="en-AU" w:eastAsia="en-AU"/>
              </w:rPr>
            </w:pPr>
          </w:p>
        </w:tc>
      </w:tr>
      <w:tr w:rsidR="00A61FF5" w:rsidRPr="00932A90" w14:paraId="3CB58E12" w14:textId="77777777" w:rsidTr="00781DCB">
        <w:trPr>
          <w:trHeight w:val="300"/>
        </w:trPr>
        <w:tc>
          <w:tcPr>
            <w:tcW w:w="182" w:type="pct"/>
            <w:vMerge/>
            <w:tcBorders>
              <w:left w:val="nil"/>
              <w:bottom w:val="nil"/>
              <w:right w:val="nil"/>
            </w:tcBorders>
            <w:shd w:val="clear" w:color="auto" w:fill="auto"/>
            <w:vAlign w:val="center"/>
            <w:hideMark/>
          </w:tcPr>
          <w:p w14:paraId="0EB4F4EF" w14:textId="77777777" w:rsidR="00A61FF5" w:rsidRPr="00040036" w:rsidRDefault="00A61FF5" w:rsidP="00D07480">
            <w:pPr>
              <w:pStyle w:val="ESTablebody3ptafter"/>
              <w:rPr>
                <w:lang w:val="en-AU" w:eastAsia="en-AU"/>
              </w:rPr>
            </w:pPr>
          </w:p>
        </w:tc>
        <w:tc>
          <w:tcPr>
            <w:tcW w:w="529" w:type="pct"/>
            <w:tcBorders>
              <w:top w:val="single" w:sz="4" w:space="0" w:color="auto"/>
              <w:left w:val="nil"/>
              <w:bottom w:val="single" w:sz="8" w:space="0" w:color="auto"/>
              <w:right w:val="nil"/>
            </w:tcBorders>
            <w:shd w:val="clear" w:color="auto" w:fill="auto"/>
            <w:noWrap/>
            <w:vAlign w:val="bottom"/>
            <w:hideMark/>
          </w:tcPr>
          <w:p w14:paraId="4F2528E6"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Total employees</w:t>
            </w:r>
          </w:p>
        </w:tc>
        <w:tc>
          <w:tcPr>
            <w:tcW w:w="355" w:type="pct"/>
            <w:tcBorders>
              <w:top w:val="single" w:sz="4" w:space="0" w:color="auto"/>
              <w:left w:val="nil"/>
              <w:bottom w:val="single" w:sz="8" w:space="0" w:color="auto"/>
              <w:right w:val="nil"/>
            </w:tcBorders>
            <w:shd w:val="clear" w:color="auto" w:fill="auto"/>
            <w:noWrap/>
            <w:vAlign w:val="bottom"/>
            <w:hideMark/>
          </w:tcPr>
          <w:p w14:paraId="5F9EE29C"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69,551</w:t>
            </w:r>
          </w:p>
        </w:tc>
        <w:tc>
          <w:tcPr>
            <w:tcW w:w="305" w:type="pct"/>
            <w:tcBorders>
              <w:top w:val="single" w:sz="4" w:space="0" w:color="auto"/>
              <w:left w:val="nil"/>
              <w:bottom w:val="single" w:sz="8" w:space="0" w:color="auto"/>
              <w:right w:val="single" w:sz="4" w:space="0" w:color="auto"/>
            </w:tcBorders>
            <w:shd w:val="clear" w:color="auto" w:fill="auto"/>
            <w:noWrap/>
            <w:vAlign w:val="bottom"/>
            <w:hideMark/>
          </w:tcPr>
          <w:p w14:paraId="6D685974"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59,645.4</w:t>
            </w:r>
          </w:p>
        </w:tc>
        <w:tc>
          <w:tcPr>
            <w:tcW w:w="254" w:type="pct"/>
            <w:tcBorders>
              <w:top w:val="single" w:sz="4" w:space="0" w:color="auto"/>
              <w:left w:val="nil"/>
              <w:bottom w:val="single" w:sz="8" w:space="0" w:color="auto"/>
              <w:right w:val="nil"/>
            </w:tcBorders>
            <w:shd w:val="clear" w:color="auto" w:fill="auto"/>
            <w:noWrap/>
            <w:vAlign w:val="bottom"/>
            <w:hideMark/>
          </w:tcPr>
          <w:p w14:paraId="573CAEBA"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33,064</w:t>
            </w:r>
          </w:p>
        </w:tc>
        <w:tc>
          <w:tcPr>
            <w:tcW w:w="253" w:type="pct"/>
            <w:tcBorders>
              <w:top w:val="single" w:sz="4" w:space="0" w:color="auto"/>
              <w:left w:val="nil"/>
              <w:bottom w:val="single" w:sz="8" w:space="0" w:color="auto"/>
              <w:right w:val="nil"/>
            </w:tcBorders>
            <w:shd w:val="clear" w:color="auto" w:fill="auto"/>
            <w:noWrap/>
            <w:vAlign w:val="bottom"/>
            <w:hideMark/>
          </w:tcPr>
          <w:p w14:paraId="4E07EB83"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16,195</w:t>
            </w:r>
          </w:p>
        </w:tc>
        <w:tc>
          <w:tcPr>
            <w:tcW w:w="305" w:type="pct"/>
            <w:tcBorders>
              <w:top w:val="single" w:sz="4" w:space="0" w:color="auto"/>
              <w:left w:val="nil"/>
              <w:bottom w:val="single" w:sz="8" w:space="0" w:color="auto"/>
              <w:right w:val="single" w:sz="4" w:space="0" w:color="auto"/>
            </w:tcBorders>
            <w:shd w:val="clear" w:color="auto" w:fill="auto"/>
            <w:noWrap/>
            <w:vAlign w:val="bottom"/>
            <w:hideMark/>
          </w:tcPr>
          <w:p w14:paraId="20E2E78B"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43,424.2</w:t>
            </w:r>
          </w:p>
        </w:tc>
        <w:tc>
          <w:tcPr>
            <w:tcW w:w="357" w:type="pct"/>
            <w:tcBorders>
              <w:top w:val="single" w:sz="4" w:space="0" w:color="auto"/>
              <w:left w:val="nil"/>
              <w:bottom w:val="single" w:sz="8" w:space="0" w:color="auto"/>
              <w:right w:val="nil"/>
            </w:tcBorders>
            <w:shd w:val="clear" w:color="auto" w:fill="auto"/>
            <w:noWrap/>
            <w:vAlign w:val="bottom"/>
            <w:hideMark/>
          </w:tcPr>
          <w:p w14:paraId="3BD98900"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20,292</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2369A61C"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16,221.3</w:t>
            </w:r>
          </w:p>
        </w:tc>
        <w:tc>
          <w:tcPr>
            <w:tcW w:w="356" w:type="pct"/>
            <w:tcBorders>
              <w:top w:val="single" w:sz="4" w:space="0" w:color="auto"/>
              <w:left w:val="nil"/>
              <w:bottom w:val="single" w:sz="8" w:space="0" w:color="auto"/>
              <w:right w:val="nil"/>
            </w:tcBorders>
            <w:shd w:val="clear" w:color="auto" w:fill="auto"/>
            <w:noWrap/>
            <w:vAlign w:val="bottom"/>
            <w:hideMark/>
          </w:tcPr>
          <w:p w14:paraId="2716433C"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68,019</w:t>
            </w:r>
          </w:p>
        </w:tc>
        <w:tc>
          <w:tcPr>
            <w:tcW w:w="304" w:type="pct"/>
            <w:tcBorders>
              <w:top w:val="single" w:sz="4" w:space="0" w:color="auto"/>
              <w:left w:val="nil"/>
              <w:bottom w:val="single" w:sz="8" w:space="0" w:color="auto"/>
              <w:right w:val="single" w:sz="4" w:space="0" w:color="auto"/>
            </w:tcBorders>
            <w:shd w:val="clear" w:color="auto" w:fill="auto"/>
            <w:noWrap/>
            <w:vAlign w:val="bottom"/>
            <w:hideMark/>
          </w:tcPr>
          <w:p w14:paraId="1C1E1E14"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58,326.0</w:t>
            </w:r>
          </w:p>
        </w:tc>
        <w:tc>
          <w:tcPr>
            <w:tcW w:w="309" w:type="pct"/>
            <w:tcBorders>
              <w:top w:val="single" w:sz="4" w:space="0" w:color="auto"/>
              <w:left w:val="nil"/>
              <w:bottom w:val="single" w:sz="8" w:space="0" w:color="auto"/>
              <w:right w:val="nil"/>
            </w:tcBorders>
            <w:shd w:val="clear" w:color="auto" w:fill="auto"/>
            <w:noWrap/>
            <w:vAlign w:val="bottom"/>
            <w:hideMark/>
          </w:tcPr>
          <w:p w14:paraId="4A74B178"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33,105</w:t>
            </w:r>
          </w:p>
        </w:tc>
        <w:tc>
          <w:tcPr>
            <w:tcW w:w="306" w:type="pct"/>
            <w:gridSpan w:val="2"/>
            <w:tcBorders>
              <w:top w:val="single" w:sz="4" w:space="0" w:color="auto"/>
              <w:left w:val="nil"/>
              <w:bottom w:val="single" w:sz="8" w:space="0" w:color="auto"/>
              <w:right w:val="nil"/>
            </w:tcBorders>
            <w:shd w:val="clear" w:color="auto" w:fill="auto"/>
            <w:noWrap/>
            <w:vAlign w:val="bottom"/>
            <w:hideMark/>
          </w:tcPr>
          <w:p w14:paraId="79C91804"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16,769</w:t>
            </w:r>
          </w:p>
        </w:tc>
        <w:tc>
          <w:tcPr>
            <w:tcW w:w="307" w:type="pct"/>
            <w:gridSpan w:val="2"/>
            <w:tcBorders>
              <w:top w:val="single" w:sz="4" w:space="0" w:color="auto"/>
              <w:left w:val="nil"/>
              <w:bottom w:val="single" w:sz="8" w:space="0" w:color="auto"/>
              <w:right w:val="single" w:sz="4" w:space="0" w:color="auto"/>
            </w:tcBorders>
            <w:shd w:val="clear" w:color="auto" w:fill="auto"/>
            <w:noWrap/>
            <w:vAlign w:val="bottom"/>
            <w:hideMark/>
          </w:tcPr>
          <w:p w14:paraId="32AB3FF9"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43,842.0</w:t>
            </w:r>
          </w:p>
        </w:tc>
        <w:tc>
          <w:tcPr>
            <w:tcW w:w="294" w:type="pct"/>
            <w:tcBorders>
              <w:top w:val="single" w:sz="4" w:space="0" w:color="auto"/>
              <w:left w:val="nil"/>
              <w:bottom w:val="single" w:sz="8" w:space="0" w:color="auto"/>
              <w:right w:val="nil"/>
            </w:tcBorders>
            <w:shd w:val="clear" w:color="auto" w:fill="auto"/>
            <w:noWrap/>
            <w:vAlign w:val="bottom"/>
            <w:hideMark/>
          </w:tcPr>
          <w:p w14:paraId="6EC20A4C"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18,145</w:t>
            </w:r>
          </w:p>
        </w:tc>
        <w:tc>
          <w:tcPr>
            <w:tcW w:w="277" w:type="pct"/>
            <w:tcBorders>
              <w:top w:val="single" w:sz="4" w:space="0" w:color="auto"/>
              <w:left w:val="nil"/>
              <w:bottom w:val="single" w:sz="8" w:space="0" w:color="auto"/>
              <w:right w:val="nil"/>
            </w:tcBorders>
            <w:shd w:val="clear" w:color="auto" w:fill="auto"/>
            <w:noWrap/>
            <w:vAlign w:val="bottom"/>
            <w:hideMark/>
          </w:tcPr>
          <w:p w14:paraId="2511F375" w14:textId="77777777" w:rsidR="00A61FF5" w:rsidRPr="00040036" w:rsidRDefault="00A61FF5" w:rsidP="00781DCB">
            <w:pPr>
              <w:pStyle w:val="ESTablebody3ptafter"/>
              <w:rPr>
                <w:sz w:val="14"/>
                <w:szCs w:val="14"/>
                <w:lang w:val="en-AU" w:eastAsia="en-AU"/>
              </w:rPr>
            </w:pPr>
            <w:r w:rsidRPr="00040036">
              <w:rPr>
                <w:b/>
                <w:bCs/>
                <w:sz w:val="14"/>
                <w:szCs w:val="14"/>
                <w:lang w:val="en-AU" w:eastAsia="en-AU"/>
              </w:rPr>
              <w:t>14,484.0</w:t>
            </w:r>
          </w:p>
        </w:tc>
      </w:tr>
    </w:tbl>
    <w:p w14:paraId="1C1815B8" w14:textId="77777777" w:rsidR="00A61FF5" w:rsidRPr="00040036" w:rsidRDefault="00A61FF5" w:rsidP="00040036">
      <w:pPr>
        <w:pStyle w:val="ESTableBody"/>
        <w:spacing w:before="240"/>
        <w:rPr>
          <w:rStyle w:val="FootnoteReference"/>
          <w:rFonts w:asciiTheme="minorHAnsi" w:eastAsiaTheme="minorHAnsi" w:hAnsiTheme="minorHAnsi" w:cstheme="minorBidi"/>
          <w:sz w:val="24"/>
          <w:szCs w:val="24"/>
          <w:lang w:val="en-AU"/>
        </w:rPr>
      </w:pPr>
      <w:r w:rsidRPr="00040036">
        <w:rPr>
          <w:rStyle w:val="FootnoteReference"/>
          <w:lang w:val="en-AU"/>
        </w:rPr>
        <w:t>1 Principal class includes Principals, Assistant Principals and Liaison Principals.</w:t>
      </w:r>
    </w:p>
    <w:p w14:paraId="6305EAC4" w14:textId="77777777" w:rsidR="00A61FF5" w:rsidRPr="00040036" w:rsidRDefault="00A61FF5" w:rsidP="00A61FF5">
      <w:pPr>
        <w:pStyle w:val="ESTableBody"/>
        <w:rPr>
          <w:rStyle w:val="FootnoteReference"/>
          <w:highlight w:val="yellow"/>
          <w:lang w:val="en-AU"/>
        </w:rPr>
      </w:pPr>
      <w:r w:rsidRPr="00040036">
        <w:rPr>
          <w:rStyle w:val="FootnoteReference"/>
          <w:lang w:val="en-AU"/>
        </w:rPr>
        <w:t>2 Teacher Class includes Classroom Teachers and Paraprofessionals.</w:t>
      </w:r>
    </w:p>
    <w:p w14:paraId="750C4082" w14:textId="77777777" w:rsidR="00A61FF5" w:rsidRPr="006E49EE" w:rsidRDefault="00A61FF5" w:rsidP="00A61FF5">
      <w:pPr>
        <w:pStyle w:val="ESBodyText"/>
        <w:rPr>
          <w:highlight w:val="yellow"/>
          <w:lang w:val="en-AU"/>
        </w:rPr>
        <w:sectPr w:rsidR="00A61FF5" w:rsidRPr="006E49EE" w:rsidSect="00A52354">
          <w:footerReference w:type="default" r:id="rId28"/>
          <w:pgSz w:w="16840" w:h="11900" w:orient="landscape"/>
          <w:pgMar w:top="2835" w:right="1440" w:bottom="1843" w:left="1440" w:header="708" w:footer="708" w:gutter="0"/>
          <w:cols w:space="708"/>
          <w:docGrid w:linePitch="360"/>
        </w:sectPr>
      </w:pPr>
    </w:p>
    <w:p w14:paraId="7213BD39" w14:textId="77777777" w:rsidR="00A61FF5" w:rsidRPr="006E49EE" w:rsidRDefault="00A61FF5" w:rsidP="00A61FF5">
      <w:pPr>
        <w:pStyle w:val="ESBodyText"/>
        <w:rPr>
          <w:highlight w:val="yellow"/>
          <w:lang w:val="en-AU"/>
        </w:rPr>
      </w:pPr>
    </w:p>
    <w:p w14:paraId="7A4F399A" w14:textId="10DA5B2B" w:rsidR="00A61FF5" w:rsidRPr="006E49EE" w:rsidRDefault="00A61FF5" w:rsidP="00D2232D">
      <w:pPr>
        <w:pStyle w:val="ESHeading2"/>
      </w:pPr>
      <w:bookmarkStart w:id="175" w:name="_Toc488410116"/>
      <w:bookmarkStart w:id="176" w:name="_Toc488767588"/>
      <w:bookmarkStart w:id="177" w:name="_Toc488769000"/>
      <w:bookmarkStart w:id="178" w:name="_Toc489526715"/>
      <w:bookmarkStart w:id="179" w:name="_Toc491070314"/>
      <w:bookmarkStart w:id="180" w:name="_Toc491409540"/>
      <w:bookmarkStart w:id="181" w:name="_Toc491414669"/>
      <w:r w:rsidRPr="006E49EE">
        <w:t>Workforce inclusion</w:t>
      </w:r>
      <w:bookmarkEnd w:id="175"/>
      <w:bookmarkEnd w:id="176"/>
      <w:bookmarkEnd w:id="177"/>
      <w:bookmarkEnd w:id="178"/>
      <w:bookmarkEnd w:id="179"/>
      <w:bookmarkEnd w:id="180"/>
      <w:bookmarkEnd w:id="181"/>
    </w:p>
    <w:p w14:paraId="4C61B990" w14:textId="77777777" w:rsidR="00A61FF5" w:rsidRPr="006E49EE" w:rsidRDefault="00A61FF5" w:rsidP="00A61FF5">
      <w:pPr>
        <w:pStyle w:val="ESBodyText"/>
        <w:rPr>
          <w:lang w:val="en-AU"/>
        </w:rPr>
      </w:pPr>
      <w:r w:rsidRPr="006E49EE">
        <w:rPr>
          <w:lang w:val="en-AU"/>
        </w:rPr>
        <w:t>The Department is committed to supporting and developing a diverse and inclusive workforce. It adheres to the principles of access, equity and equal opportunity. The Department’s policies and practices also encourage people of all backgrounds to pursue challenging and rewarding public sector careers at all levels.</w:t>
      </w:r>
    </w:p>
    <w:p w14:paraId="5C18A373" w14:textId="77777777" w:rsidR="00A61FF5" w:rsidRPr="006E49EE" w:rsidRDefault="00A61FF5" w:rsidP="00A61FF5">
      <w:pPr>
        <w:pStyle w:val="ESBodyText"/>
        <w:rPr>
          <w:lang w:val="en-AU"/>
        </w:rPr>
      </w:pPr>
      <w:r w:rsidRPr="006E49EE">
        <w:rPr>
          <w:lang w:val="en-AU"/>
        </w:rPr>
        <w:t xml:space="preserve">In May 2017, the Department launched the </w:t>
      </w:r>
      <w:r w:rsidRPr="00380D35">
        <w:rPr>
          <w:lang w:val="en-AU"/>
        </w:rPr>
        <w:t>DET VPS Workforce Diversity and Inclusion Strategy 2017–2020</w:t>
      </w:r>
      <w:r w:rsidRPr="006E49EE">
        <w:rPr>
          <w:lang w:val="en-AU"/>
        </w:rPr>
        <w:t>. This strategy outlines the Department’s commitment to a corporate workplace culture that is grounded in respect, fosters inclusion, promotes diversity and embraces the unique skills and qualities of all our people. This commitment is supported by actions to:</w:t>
      </w:r>
    </w:p>
    <w:p w14:paraId="3AEB53DD" w14:textId="77777777" w:rsidR="00A9593E" w:rsidRPr="006E49EE" w:rsidRDefault="00A61FF5" w:rsidP="00A61FF5">
      <w:pPr>
        <w:pStyle w:val="ESBullet1indent"/>
        <w:rPr>
          <w:lang w:val="en-AU"/>
        </w:rPr>
      </w:pPr>
      <w:r w:rsidRPr="006E49EE">
        <w:rPr>
          <w:lang w:val="en-AU"/>
        </w:rPr>
        <w:t>Provide guidance and support</w:t>
      </w:r>
    </w:p>
    <w:p w14:paraId="0BD31910" w14:textId="491EBAA6" w:rsidR="00A61FF5" w:rsidRPr="006E49EE" w:rsidRDefault="00A61FF5" w:rsidP="00A61FF5">
      <w:pPr>
        <w:pStyle w:val="ESBullet1indent"/>
        <w:rPr>
          <w:lang w:val="en-AU"/>
        </w:rPr>
      </w:pPr>
      <w:r w:rsidRPr="006E49EE">
        <w:rPr>
          <w:lang w:val="en-AU"/>
        </w:rPr>
        <w:t>Raise awareness</w:t>
      </w:r>
    </w:p>
    <w:p w14:paraId="3C75242C" w14:textId="77777777" w:rsidR="00A61FF5" w:rsidRPr="006E49EE" w:rsidRDefault="00A61FF5" w:rsidP="00A61FF5">
      <w:pPr>
        <w:pStyle w:val="ESBullet1indent"/>
        <w:rPr>
          <w:lang w:val="en-AU"/>
        </w:rPr>
      </w:pPr>
      <w:r w:rsidRPr="006E49EE">
        <w:rPr>
          <w:lang w:val="en-AU"/>
        </w:rPr>
        <w:t>Build skills and capability</w:t>
      </w:r>
    </w:p>
    <w:p w14:paraId="74F99003" w14:textId="77777777" w:rsidR="00A61FF5" w:rsidRPr="006E49EE" w:rsidRDefault="00A61FF5" w:rsidP="00A61FF5">
      <w:pPr>
        <w:pStyle w:val="ESBullet1indent"/>
        <w:rPr>
          <w:lang w:val="en-AU"/>
        </w:rPr>
      </w:pPr>
      <w:r w:rsidRPr="006E49EE">
        <w:rPr>
          <w:lang w:val="en-AU"/>
        </w:rPr>
        <w:t>Build evidence and track progress</w:t>
      </w:r>
    </w:p>
    <w:p w14:paraId="36BA41AA" w14:textId="77777777" w:rsidR="00A9593E" w:rsidRPr="006E49EE" w:rsidRDefault="00A61FF5" w:rsidP="00A61FF5">
      <w:pPr>
        <w:pStyle w:val="ESBullet1indent"/>
        <w:rPr>
          <w:lang w:val="en-AU"/>
        </w:rPr>
      </w:pPr>
      <w:r w:rsidRPr="006E49EE">
        <w:rPr>
          <w:lang w:val="en-AU"/>
        </w:rPr>
        <w:t>Ensure good governance.</w:t>
      </w:r>
    </w:p>
    <w:p w14:paraId="7260A7D2" w14:textId="74296F89" w:rsidR="00A61FF5" w:rsidRPr="006E49EE" w:rsidRDefault="00A61FF5" w:rsidP="00A61FF5">
      <w:pPr>
        <w:pStyle w:val="ESBodyText"/>
        <w:rPr>
          <w:lang w:val="en-AU"/>
        </w:rPr>
      </w:pPr>
      <w:r w:rsidRPr="006E49EE">
        <w:rPr>
          <w:lang w:val="en-AU"/>
        </w:rPr>
        <w:t>The strategy supports other work being undertaken to build safe and inclusive workplaces outlined in the Investing in Our People Strategy. The Department is also working towards a new Aboriginal Inclusion Action Plan build</w:t>
      </w:r>
      <w:r w:rsidR="00380D35">
        <w:rPr>
          <w:lang w:val="en-AU"/>
        </w:rPr>
        <w:t>s</w:t>
      </w:r>
      <w:r w:rsidRPr="006E49EE">
        <w:rPr>
          <w:lang w:val="en-AU"/>
        </w:rPr>
        <w:t xml:space="preserve"> on existing approaches to engender a more inclusive workplace culture </w:t>
      </w:r>
      <w:r w:rsidR="00BE48F9">
        <w:rPr>
          <w:lang w:val="en-AU"/>
        </w:rPr>
        <w:t>to</w:t>
      </w:r>
      <w:r w:rsidRPr="006E49EE">
        <w:rPr>
          <w:lang w:val="en-AU"/>
        </w:rPr>
        <w:t xml:space="preserve"> improve attraction and retention of Koorie employees.</w:t>
      </w:r>
    </w:p>
    <w:p w14:paraId="01130C0B" w14:textId="51658FD6" w:rsidR="00A61FF5" w:rsidRPr="006E49EE" w:rsidRDefault="00A61FF5" w:rsidP="00D2232D">
      <w:pPr>
        <w:pStyle w:val="ESHeading2"/>
      </w:pPr>
      <w:bookmarkStart w:id="182" w:name="_Toc488410117"/>
      <w:bookmarkStart w:id="183" w:name="_Toc488767589"/>
      <w:bookmarkStart w:id="184" w:name="_Toc488769001"/>
      <w:bookmarkStart w:id="185" w:name="_Toc489526716"/>
      <w:bookmarkStart w:id="186" w:name="_Toc491070315"/>
      <w:bookmarkStart w:id="187" w:name="_Toc491409541"/>
      <w:bookmarkStart w:id="188" w:name="_Toc491414670"/>
      <w:r w:rsidRPr="006E49EE">
        <w:t>Industrial relations</w:t>
      </w:r>
      <w:bookmarkEnd w:id="182"/>
      <w:bookmarkEnd w:id="183"/>
      <w:bookmarkEnd w:id="184"/>
      <w:bookmarkEnd w:id="185"/>
      <w:bookmarkEnd w:id="186"/>
      <w:bookmarkEnd w:id="187"/>
      <w:bookmarkEnd w:id="188"/>
    </w:p>
    <w:p w14:paraId="1FE702EA" w14:textId="77777777" w:rsidR="00A9593E" w:rsidRPr="006E49EE" w:rsidRDefault="00A61FF5" w:rsidP="00A61FF5">
      <w:pPr>
        <w:pStyle w:val="ESBodyText"/>
        <w:rPr>
          <w:lang w:val="en-AU"/>
        </w:rPr>
      </w:pPr>
      <w:r w:rsidRPr="006E49EE">
        <w:rPr>
          <w:lang w:val="en-AU"/>
        </w:rPr>
        <w:t>Department employees, other than executive officers, are covered by industrial agreements. Industrial action is not permitted on matters within industrial agreements prior to their nominal expiry dates.</w:t>
      </w:r>
    </w:p>
    <w:p w14:paraId="2B3DD7C5" w14:textId="77777777" w:rsidR="00A9593E" w:rsidRPr="006E49EE" w:rsidRDefault="00A61FF5" w:rsidP="00A61FF5">
      <w:pPr>
        <w:pStyle w:val="ESBodyText"/>
        <w:rPr>
          <w:lang w:val="en-AU"/>
        </w:rPr>
      </w:pPr>
      <w:r w:rsidRPr="006E49EE">
        <w:rPr>
          <w:lang w:val="en-AU"/>
        </w:rPr>
        <w:t>The Victorian Government Schools Agreement 2013 covers Government Teaching Service employees and has a nominal expiry date of 31 October 2016. On 23 March 2017 it was announced the Department reached in-principle agreement for a proposed Victorian Government Schools Agreement 2017, which has been submitted to the Fair Work Commission for approval.</w:t>
      </w:r>
    </w:p>
    <w:p w14:paraId="458254DF" w14:textId="77777777" w:rsidR="00A9593E" w:rsidRPr="006E49EE" w:rsidRDefault="00A61FF5" w:rsidP="00A61FF5">
      <w:pPr>
        <w:pStyle w:val="ESBodyText"/>
        <w:rPr>
          <w:lang w:val="en-AU"/>
        </w:rPr>
      </w:pPr>
      <w:r w:rsidRPr="006E49EE">
        <w:rPr>
          <w:lang w:val="en-AU"/>
        </w:rPr>
        <w:t>The Victorian Public Service Agreement 2016 came into effect on 18 May 2016 and will not expire until 31 December 2019.</w:t>
      </w:r>
    </w:p>
    <w:p w14:paraId="20A514D7" w14:textId="7E8B6A84" w:rsidR="00A61FF5" w:rsidRPr="006E49EE" w:rsidRDefault="00A61FF5" w:rsidP="00A61FF5">
      <w:pPr>
        <w:pStyle w:val="ESBodyText"/>
        <w:rPr>
          <w:lang w:val="en-AU"/>
        </w:rPr>
      </w:pPr>
      <w:r w:rsidRPr="006E49EE">
        <w:rPr>
          <w:lang w:val="en-AU"/>
        </w:rPr>
        <w:t>The Nurses (Department of Education and Training) Agreement came into effect on 28 December 2016 and will not expire until 31 December 2019.</w:t>
      </w:r>
    </w:p>
    <w:p w14:paraId="781D42AF" w14:textId="77777777" w:rsidR="00A61FF5" w:rsidRPr="006E49EE" w:rsidRDefault="00A61FF5" w:rsidP="00A61FF5">
      <w:pPr>
        <w:pStyle w:val="ESBodyText"/>
        <w:rPr>
          <w:highlight w:val="yellow"/>
          <w:lang w:val="en-AU"/>
        </w:rPr>
      </w:pPr>
      <w:bookmarkStart w:id="189" w:name="_Toc488410118"/>
      <w:bookmarkStart w:id="190" w:name="_Toc488767590"/>
      <w:bookmarkStart w:id="191" w:name="_Toc488769002"/>
      <w:r w:rsidRPr="006E49EE">
        <w:rPr>
          <w:lang w:val="en-AU"/>
        </w:rPr>
        <w:t>No time was lost due to industrial action during 2016–17.</w:t>
      </w:r>
    </w:p>
    <w:p w14:paraId="159437D3" w14:textId="77777777" w:rsidR="00A61FF5" w:rsidRPr="006E49EE" w:rsidRDefault="00A61FF5" w:rsidP="00A61FF5">
      <w:pPr>
        <w:rPr>
          <w:rFonts w:ascii="Arial" w:eastAsiaTheme="majorEastAsia" w:hAnsi="Arial" w:cstheme="majorBidi"/>
          <w:bCs/>
          <w:color w:val="000000" w:themeColor="text1"/>
          <w:spacing w:val="5"/>
          <w:kern w:val="28"/>
          <w:sz w:val="28"/>
          <w:szCs w:val="20"/>
          <w:lang w:val="en-AU"/>
        </w:rPr>
      </w:pPr>
      <w:bookmarkStart w:id="192" w:name="_Toc489526717"/>
      <w:r w:rsidRPr="006E49EE">
        <w:rPr>
          <w:lang w:val="en-AU"/>
        </w:rPr>
        <w:br w:type="page"/>
      </w:r>
    </w:p>
    <w:p w14:paraId="722E640E" w14:textId="27F7FBCB" w:rsidR="00A61FF5" w:rsidRPr="006E49EE" w:rsidRDefault="00A61FF5" w:rsidP="00D2232D">
      <w:pPr>
        <w:pStyle w:val="ESHeading2"/>
      </w:pPr>
      <w:bookmarkStart w:id="193" w:name="_Toc491070316"/>
      <w:bookmarkStart w:id="194" w:name="_Toc491409542"/>
      <w:bookmarkStart w:id="195" w:name="_Toc491414671"/>
      <w:r w:rsidRPr="006E49EE">
        <w:t>Executive officer data</w:t>
      </w:r>
      <w:bookmarkEnd w:id="189"/>
      <w:bookmarkEnd w:id="190"/>
      <w:bookmarkEnd w:id="191"/>
      <w:bookmarkEnd w:id="192"/>
      <w:bookmarkEnd w:id="193"/>
      <w:bookmarkEnd w:id="194"/>
      <w:bookmarkEnd w:id="195"/>
    </w:p>
    <w:p w14:paraId="78C15515" w14:textId="77777777" w:rsidR="00A61FF5" w:rsidRPr="007D5DAA" w:rsidRDefault="00A61FF5" w:rsidP="00A61FF5">
      <w:pPr>
        <w:pStyle w:val="ESBodyText"/>
        <w:rPr>
          <w:lang w:val="en-AU"/>
        </w:rPr>
      </w:pPr>
      <w:r w:rsidRPr="006E49EE">
        <w:rPr>
          <w:lang w:val="en-AU"/>
        </w:rPr>
        <w:t xml:space="preserve">The </w:t>
      </w:r>
      <w:r w:rsidRPr="007D5DAA">
        <w:rPr>
          <w:lang w:val="en-AU"/>
        </w:rPr>
        <w:t>following tables disclose the executive officers of the Department and its portfolio agencies for 30 June 2017.</w:t>
      </w:r>
    </w:p>
    <w:p w14:paraId="2BEA0B54" w14:textId="2A5CD85F" w:rsidR="00A61FF5" w:rsidRPr="00EC4701" w:rsidRDefault="00A61FF5" w:rsidP="009A0BAD">
      <w:pPr>
        <w:pStyle w:val="ESTableintroheading"/>
        <w:rPr>
          <w:lang w:val="en-AU"/>
        </w:rPr>
      </w:pPr>
      <w:r w:rsidRPr="00EC4701">
        <w:rPr>
          <w:lang w:val="en-AU"/>
        </w:rPr>
        <w:t xml:space="preserve">Table </w:t>
      </w:r>
      <w:r w:rsidR="00D93BA2" w:rsidRPr="006E49EE">
        <w:rPr>
          <w:lang w:val="en-AU"/>
        </w:rPr>
        <w:fldChar w:fldCharType="begin"/>
      </w:r>
      <w:r w:rsidR="00D93BA2" w:rsidRPr="00EC4701">
        <w:rPr>
          <w:lang w:val="en-AU"/>
        </w:rPr>
        <w:instrText xml:space="preserve"> SEQ Table \* MERGEFORMAT </w:instrText>
      </w:r>
      <w:r w:rsidR="00D93BA2" w:rsidRPr="006E49EE">
        <w:rPr>
          <w:lang w:val="en-AU"/>
        </w:rPr>
        <w:fldChar w:fldCharType="separate"/>
      </w:r>
      <w:r w:rsidR="00F36F52">
        <w:rPr>
          <w:noProof/>
          <w:lang w:val="en-AU"/>
        </w:rPr>
        <w:t>18</w:t>
      </w:r>
      <w:r w:rsidR="00D93BA2" w:rsidRPr="006E49EE">
        <w:rPr>
          <w:lang w:val="en-AU"/>
        </w:rPr>
        <w:fldChar w:fldCharType="end"/>
      </w:r>
      <w:r w:rsidRPr="007D5DAA">
        <w:rPr>
          <w:lang w:val="en-AU"/>
        </w:rPr>
        <w:t xml:space="preserve"> — Total </w:t>
      </w:r>
      <w:r w:rsidR="00BE48F9">
        <w:rPr>
          <w:lang w:val="en-AU"/>
        </w:rPr>
        <w:t>Number of e</w:t>
      </w:r>
      <w:r w:rsidRPr="00EC4701">
        <w:rPr>
          <w:lang w:val="en-AU"/>
        </w:rPr>
        <w:t xml:space="preserve">xecutive </w:t>
      </w:r>
      <w:r w:rsidR="00BE48F9">
        <w:rPr>
          <w:lang w:val="en-AU"/>
        </w:rPr>
        <w:t>o</w:t>
      </w:r>
      <w:r w:rsidRPr="00EC4701">
        <w:rPr>
          <w:lang w:val="en-AU"/>
        </w:rPr>
        <w:t xml:space="preserve">fficers (FTE) </w:t>
      </w:r>
      <w:r w:rsidR="008735EA">
        <w:rPr>
          <w:lang w:val="en-AU"/>
        </w:rPr>
        <w:t xml:space="preserve">for the Department </w:t>
      </w:r>
      <w:r w:rsidR="008735EA" w:rsidRPr="007D5DAA">
        <w:rPr>
          <w:lang w:val="en-AU"/>
        </w:rPr>
        <w:t>by gender</w:t>
      </w:r>
    </w:p>
    <w:tbl>
      <w:tblPr>
        <w:tblW w:w="5000" w:type="pct"/>
        <w:tblCellMar>
          <w:left w:w="43" w:type="dxa"/>
          <w:right w:w="43" w:type="dxa"/>
        </w:tblCellMar>
        <w:tblLook w:val="01E0" w:firstRow="1" w:lastRow="1" w:firstColumn="1" w:lastColumn="1" w:noHBand="0" w:noVBand="0"/>
      </w:tblPr>
      <w:tblGrid>
        <w:gridCol w:w="1103"/>
        <w:gridCol w:w="1044"/>
        <w:gridCol w:w="1044"/>
        <w:gridCol w:w="1044"/>
        <w:gridCol w:w="1044"/>
        <w:gridCol w:w="1044"/>
        <w:gridCol w:w="1041"/>
      </w:tblGrid>
      <w:tr w:rsidR="00A61FF5" w:rsidRPr="00932A90" w14:paraId="1A6739F4" w14:textId="77777777" w:rsidTr="00D07480">
        <w:trPr>
          <w:cantSplit/>
          <w:trHeight w:val="454"/>
        </w:trPr>
        <w:tc>
          <w:tcPr>
            <w:tcW w:w="748" w:type="pct"/>
            <w:shd w:val="clear" w:color="auto" w:fill="777777"/>
            <w:vAlign w:val="center"/>
          </w:tcPr>
          <w:p w14:paraId="4CC1635E" w14:textId="77777777" w:rsidR="00A61FF5" w:rsidRPr="00932A90" w:rsidRDefault="00A61FF5" w:rsidP="00D07480">
            <w:pPr>
              <w:pStyle w:val="ESTableheadingwhite"/>
              <w:jc w:val="center"/>
              <w:rPr>
                <w:rFonts w:eastAsia="Times New Roman"/>
                <w:color w:val="FFFFFF"/>
                <w:sz w:val="16"/>
                <w:szCs w:val="16"/>
                <w:lang w:val="en-AU"/>
              </w:rPr>
            </w:pPr>
          </w:p>
        </w:tc>
        <w:tc>
          <w:tcPr>
            <w:tcW w:w="1418" w:type="pct"/>
            <w:gridSpan w:val="2"/>
            <w:shd w:val="clear" w:color="auto" w:fill="777777"/>
            <w:vAlign w:val="center"/>
            <w:hideMark/>
          </w:tcPr>
          <w:p w14:paraId="320DDC6C" w14:textId="77777777" w:rsidR="00A61FF5" w:rsidRPr="00932A90" w:rsidRDefault="00A61FF5" w:rsidP="00D07480">
            <w:pPr>
              <w:pStyle w:val="ESTableheadingwhite"/>
              <w:jc w:val="center"/>
              <w:rPr>
                <w:rFonts w:eastAsia="Times New Roman"/>
                <w:color w:val="FFFFFF"/>
                <w:sz w:val="16"/>
                <w:szCs w:val="16"/>
                <w:lang w:val="en-AU"/>
              </w:rPr>
            </w:pPr>
            <w:r w:rsidRPr="00932A90">
              <w:rPr>
                <w:rFonts w:eastAsia="Times New Roman"/>
                <w:color w:val="FFFFFF"/>
                <w:sz w:val="16"/>
                <w:szCs w:val="16"/>
                <w:lang w:val="en-AU"/>
              </w:rPr>
              <w:t>All</w:t>
            </w:r>
          </w:p>
        </w:tc>
        <w:tc>
          <w:tcPr>
            <w:tcW w:w="1418" w:type="pct"/>
            <w:gridSpan w:val="2"/>
            <w:shd w:val="clear" w:color="auto" w:fill="777777"/>
            <w:vAlign w:val="center"/>
            <w:hideMark/>
          </w:tcPr>
          <w:p w14:paraId="58CDFBD1" w14:textId="77777777" w:rsidR="00A61FF5" w:rsidRPr="00932A90" w:rsidRDefault="00A61FF5" w:rsidP="00D07480">
            <w:pPr>
              <w:pStyle w:val="ESTableheadingwhite"/>
              <w:jc w:val="center"/>
              <w:rPr>
                <w:rFonts w:eastAsia="Times New Roman"/>
                <w:color w:val="FFFFFF"/>
                <w:sz w:val="16"/>
                <w:szCs w:val="16"/>
                <w:lang w:val="en-AU"/>
              </w:rPr>
            </w:pPr>
            <w:r w:rsidRPr="00932A90">
              <w:rPr>
                <w:rFonts w:eastAsia="Times New Roman"/>
                <w:color w:val="FFFFFF"/>
                <w:sz w:val="16"/>
                <w:szCs w:val="16"/>
                <w:lang w:val="en-AU"/>
              </w:rPr>
              <w:t>Male</w:t>
            </w:r>
          </w:p>
        </w:tc>
        <w:tc>
          <w:tcPr>
            <w:tcW w:w="1416" w:type="pct"/>
            <w:gridSpan w:val="2"/>
            <w:shd w:val="clear" w:color="auto" w:fill="777777"/>
            <w:vAlign w:val="center"/>
            <w:hideMark/>
          </w:tcPr>
          <w:p w14:paraId="71425FEF" w14:textId="77777777" w:rsidR="00A61FF5" w:rsidRPr="00932A90" w:rsidRDefault="00A61FF5" w:rsidP="00D07480">
            <w:pPr>
              <w:pStyle w:val="ESTableheadingwhite"/>
              <w:jc w:val="center"/>
              <w:rPr>
                <w:rFonts w:eastAsia="Times New Roman"/>
                <w:color w:val="FFFFFF"/>
                <w:sz w:val="16"/>
                <w:szCs w:val="16"/>
                <w:lang w:val="en-AU"/>
              </w:rPr>
            </w:pPr>
            <w:r w:rsidRPr="00932A90">
              <w:rPr>
                <w:rFonts w:eastAsia="Times New Roman"/>
                <w:color w:val="FFFFFF"/>
                <w:sz w:val="16"/>
                <w:szCs w:val="16"/>
                <w:lang w:val="en-AU"/>
              </w:rPr>
              <w:t>Female</w:t>
            </w:r>
          </w:p>
        </w:tc>
      </w:tr>
      <w:tr w:rsidR="00A61FF5" w:rsidRPr="00932A90" w14:paraId="626939FF" w14:textId="77777777" w:rsidTr="00D07480">
        <w:trPr>
          <w:cantSplit/>
          <w:trHeight w:val="454"/>
        </w:trPr>
        <w:tc>
          <w:tcPr>
            <w:tcW w:w="748" w:type="pct"/>
            <w:shd w:val="clear" w:color="auto" w:fill="777777"/>
            <w:vAlign w:val="center"/>
            <w:hideMark/>
          </w:tcPr>
          <w:p w14:paraId="05270F4D" w14:textId="77777777" w:rsidR="00A61FF5" w:rsidRPr="00932A90" w:rsidRDefault="00A61FF5" w:rsidP="00442414">
            <w:pPr>
              <w:pStyle w:val="ESTableheadingwhite"/>
              <w:rPr>
                <w:rFonts w:eastAsia="Times New Roman" w:cs="Times New Roman"/>
                <w:color w:val="FFFFFF"/>
                <w:sz w:val="16"/>
                <w:szCs w:val="16"/>
                <w:lang w:val="en-AU"/>
              </w:rPr>
            </w:pPr>
            <w:r w:rsidRPr="00932A90">
              <w:rPr>
                <w:rFonts w:eastAsia="Times New Roman" w:cs="Times New Roman"/>
                <w:color w:val="FFFFFF"/>
                <w:sz w:val="16"/>
                <w:szCs w:val="16"/>
                <w:lang w:val="en-AU"/>
              </w:rPr>
              <w:t>Class</w:t>
            </w:r>
          </w:p>
        </w:tc>
        <w:tc>
          <w:tcPr>
            <w:tcW w:w="709" w:type="pct"/>
            <w:shd w:val="clear" w:color="auto" w:fill="777777"/>
            <w:vAlign w:val="center"/>
            <w:hideMark/>
          </w:tcPr>
          <w:p w14:paraId="46829F4A" w14:textId="77777777" w:rsidR="00A61FF5" w:rsidRPr="00932A90" w:rsidRDefault="00A61FF5" w:rsidP="00D07480">
            <w:pPr>
              <w:pStyle w:val="ESTableheadingwhite"/>
              <w:jc w:val="center"/>
              <w:rPr>
                <w:rFonts w:eastAsia="Times New Roman" w:cs="Times New Roman"/>
                <w:color w:val="FFFFFF"/>
                <w:sz w:val="16"/>
                <w:szCs w:val="16"/>
                <w:lang w:val="en-AU"/>
              </w:rPr>
            </w:pPr>
            <w:r w:rsidRPr="00932A90">
              <w:rPr>
                <w:rFonts w:eastAsia="Times New Roman" w:cs="Times New Roman"/>
                <w:color w:val="FFFFFF"/>
                <w:sz w:val="16"/>
                <w:szCs w:val="16"/>
                <w:lang w:val="en-AU"/>
              </w:rPr>
              <w:t>Number</w:t>
            </w:r>
          </w:p>
        </w:tc>
        <w:tc>
          <w:tcPr>
            <w:tcW w:w="709" w:type="pct"/>
            <w:shd w:val="clear" w:color="auto" w:fill="777777"/>
            <w:vAlign w:val="center"/>
            <w:hideMark/>
          </w:tcPr>
          <w:p w14:paraId="1C25BB11" w14:textId="77777777" w:rsidR="00A61FF5" w:rsidRPr="00932A90" w:rsidRDefault="00A61FF5" w:rsidP="00D07480">
            <w:pPr>
              <w:pStyle w:val="ESTableheadingwhite"/>
              <w:jc w:val="center"/>
              <w:rPr>
                <w:rFonts w:eastAsia="Times New Roman" w:cs="Times New Roman"/>
                <w:color w:val="FFFFFF"/>
                <w:sz w:val="16"/>
                <w:szCs w:val="16"/>
                <w:lang w:val="en-AU"/>
              </w:rPr>
            </w:pPr>
            <w:r w:rsidRPr="00932A90">
              <w:rPr>
                <w:rFonts w:eastAsia="Times New Roman" w:cs="Times New Roman"/>
                <w:color w:val="FFFFFF"/>
                <w:sz w:val="16"/>
                <w:szCs w:val="16"/>
                <w:lang w:val="en-AU"/>
              </w:rPr>
              <w:t>Variance</w:t>
            </w:r>
          </w:p>
        </w:tc>
        <w:tc>
          <w:tcPr>
            <w:tcW w:w="709" w:type="pct"/>
            <w:shd w:val="clear" w:color="auto" w:fill="777777"/>
            <w:vAlign w:val="center"/>
            <w:hideMark/>
          </w:tcPr>
          <w:p w14:paraId="6E864534" w14:textId="77777777" w:rsidR="00A61FF5" w:rsidRPr="00932A90" w:rsidRDefault="00A61FF5" w:rsidP="00D07480">
            <w:pPr>
              <w:pStyle w:val="ESTableheadingwhite"/>
              <w:jc w:val="center"/>
              <w:rPr>
                <w:rFonts w:eastAsia="Times New Roman" w:cs="Times New Roman"/>
                <w:color w:val="FFFFFF"/>
                <w:sz w:val="16"/>
                <w:szCs w:val="16"/>
                <w:lang w:val="en-AU"/>
              </w:rPr>
            </w:pPr>
            <w:r w:rsidRPr="00932A90">
              <w:rPr>
                <w:rFonts w:eastAsia="Times New Roman" w:cs="Times New Roman"/>
                <w:color w:val="FFFFFF"/>
                <w:sz w:val="16"/>
                <w:szCs w:val="16"/>
                <w:lang w:val="en-AU"/>
              </w:rPr>
              <w:t>Number</w:t>
            </w:r>
          </w:p>
        </w:tc>
        <w:tc>
          <w:tcPr>
            <w:tcW w:w="709" w:type="pct"/>
            <w:shd w:val="clear" w:color="auto" w:fill="777777"/>
            <w:vAlign w:val="center"/>
            <w:hideMark/>
          </w:tcPr>
          <w:p w14:paraId="3019C76A" w14:textId="77777777" w:rsidR="00A61FF5" w:rsidRPr="00932A90" w:rsidRDefault="00A61FF5" w:rsidP="00D07480">
            <w:pPr>
              <w:pStyle w:val="ESTableheadingwhite"/>
              <w:jc w:val="center"/>
              <w:rPr>
                <w:rFonts w:eastAsia="Times New Roman" w:cs="Times New Roman"/>
                <w:color w:val="FFFFFF"/>
                <w:sz w:val="16"/>
                <w:szCs w:val="16"/>
                <w:lang w:val="en-AU"/>
              </w:rPr>
            </w:pPr>
            <w:r w:rsidRPr="00932A90">
              <w:rPr>
                <w:rFonts w:eastAsia="Times New Roman" w:cs="Times New Roman"/>
                <w:color w:val="FFFFFF"/>
                <w:sz w:val="16"/>
                <w:szCs w:val="16"/>
                <w:lang w:val="en-AU"/>
              </w:rPr>
              <w:t>Variance</w:t>
            </w:r>
          </w:p>
        </w:tc>
        <w:tc>
          <w:tcPr>
            <w:tcW w:w="709" w:type="pct"/>
            <w:shd w:val="clear" w:color="auto" w:fill="777777"/>
            <w:vAlign w:val="center"/>
            <w:hideMark/>
          </w:tcPr>
          <w:p w14:paraId="6803FA28" w14:textId="77777777" w:rsidR="00A61FF5" w:rsidRPr="00932A90" w:rsidRDefault="00A61FF5" w:rsidP="00D07480">
            <w:pPr>
              <w:pStyle w:val="ESTableheadingwhite"/>
              <w:jc w:val="center"/>
              <w:rPr>
                <w:rFonts w:eastAsia="Times New Roman" w:cs="Times New Roman"/>
                <w:color w:val="FFFFFF"/>
                <w:sz w:val="16"/>
                <w:szCs w:val="16"/>
                <w:lang w:val="en-AU"/>
              </w:rPr>
            </w:pPr>
            <w:r w:rsidRPr="00932A90">
              <w:rPr>
                <w:rFonts w:eastAsia="Times New Roman" w:cs="Times New Roman"/>
                <w:color w:val="FFFFFF"/>
                <w:sz w:val="16"/>
                <w:szCs w:val="16"/>
                <w:lang w:val="en-AU"/>
              </w:rPr>
              <w:t>Number</w:t>
            </w:r>
          </w:p>
        </w:tc>
        <w:tc>
          <w:tcPr>
            <w:tcW w:w="707" w:type="pct"/>
            <w:shd w:val="clear" w:color="auto" w:fill="777777"/>
            <w:vAlign w:val="center"/>
            <w:hideMark/>
          </w:tcPr>
          <w:p w14:paraId="7BA0C9C3" w14:textId="77777777" w:rsidR="00A61FF5" w:rsidRPr="00932A90" w:rsidRDefault="00A61FF5" w:rsidP="00D07480">
            <w:pPr>
              <w:pStyle w:val="ESTableheadingwhite"/>
              <w:jc w:val="center"/>
              <w:rPr>
                <w:rFonts w:eastAsia="Times New Roman" w:cs="Times New Roman"/>
                <w:color w:val="FFFFFF"/>
                <w:sz w:val="16"/>
                <w:szCs w:val="16"/>
                <w:lang w:val="en-AU"/>
              </w:rPr>
            </w:pPr>
            <w:r w:rsidRPr="00932A90">
              <w:rPr>
                <w:rFonts w:eastAsia="Times New Roman" w:cs="Times New Roman"/>
                <w:color w:val="FFFFFF"/>
                <w:sz w:val="16"/>
                <w:szCs w:val="16"/>
                <w:lang w:val="en-AU"/>
              </w:rPr>
              <w:t>Variance</w:t>
            </w:r>
          </w:p>
        </w:tc>
      </w:tr>
      <w:tr w:rsidR="00A61FF5" w:rsidRPr="00932A90" w14:paraId="2CDE452F" w14:textId="77777777" w:rsidTr="00D07480">
        <w:trPr>
          <w:cantSplit/>
          <w:trHeight w:val="454"/>
        </w:trPr>
        <w:tc>
          <w:tcPr>
            <w:tcW w:w="748" w:type="pct"/>
            <w:vAlign w:val="center"/>
            <w:hideMark/>
          </w:tcPr>
          <w:p w14:paraId="79E2C4B9" w14:textId="77777777" w:rsidR="00A61FF5" w:rsidRPr="007D5DAA" w:rsidRDefault="00A61FF5" w:rsidP="00D07480">
            <w:pPr>
              <w:pStyle w:val="ESTableBody"/>
              <w:rPr>
                <w:rFonts w:eastAsia="Times New Roman"/>
                <w:lang w:val="en-AU"/>
              </w:rPr>
            </w:pPr>
            <w:r w:rsidRPr="007D5DAA">
              <w:rPr>
                <w:rFonts w:eastAsia="Times New Roman"/>
                <w:lang w:val="en-AU"/>
              </w:rPr>
              <w:t>EO-1</w:t>
            </w:r>
          </w:p>
        </w:tc>
        <w:tc>
          <w:tcPr>
            <w:tcW w:w="709" w:type="pct"/>
            <w:vAlign w:val="center"/>
            <w:hideMark/>
          </w:tcPr>
          <w:p w14:paraId="0BA1EC4A" w14:textId="77777777" w:rsidR="00A61FF5" w:rsidRPr="00EC4701" w:rsidRDefault="00A61FF5" w:rsidP="00D07480">
            <w:pPr>
              <w:pStyle w:val="ESTableBody"/>
              <w:jc w:val="right"/>
              <w:rPr>
                <w:rFonts w:eastAsia="Times New Roman"/>
                <w:lang w:val="en-AU"/>
              </w:rPr>
            </w:pPr>
            <w:r w:rsidRPr="00EC4701">
              <w:rPr>
                <w:rFonts w:eastAsia="Times New Roman"/>
                <w:lang w:val="en-AU"/>
              </w:rPr>
              <w:t>5</w:t>
            </w:r>
          </w:p>
        </w:tc>
        <w:tc>
          <w:tcPr>
            <w:tcW w:w="709" w:type="pct"/>
            <w:vAlign w:val="center"/>
            <w:hideMark/>
          </w:tcPr>
          <w:p w14:paraId="5DF288C1" w14:textId="77777777" w:rsidR="00A61FF5" w:rsidRPr="00EC4701" w:rsidRDefault="00A61FF5" w:rsidP="00D07480">
            <w:pPr>
              <w:pStyle w:val="ESTableBody"/>
              <w:jc w:val="right"/>
              <w:rPr>
                <w:rFonts w:eastAsia="Times New Roman"/>
                <w:lang w:val="en-AU"/>
              </w:rPr>
            </w:pPr>
            <w:r w:rsidRPr="00EC4701">
              <w:rPr>
                <w:rFonts w:eastAsia="Times New Roman"/>
                <w:lang w:val="en-AU"/>
              </w:rPr>
              <w:t>+2</w:t>
            </w:r>
          </w:p>
        </w:tc>
        <w:tc>
          <w:tcPr>
            <w:tcW w:w="709" w:type="pct"/>
            <w:vAlign w:val="center"/>
            <w:hideMark/>
          </w:tcPr>
          <w:p w14:paraId="3C7544F5" w14:textId="77777777" w:rsidR="00A61FF5" w:rsidRPr="00EC4701" w:rsidRDefault="00A61FF5" w:rsidP="00D07480">
            <w:pPr>
              <w:pStyle w:val="ESTableBody"/>
              <w:jc w:val="right"/>
              <w:rPr>
                <w:rFonts w:eastAsia="Times New Roman"/>
                <w:lang w:val="en-AU"/>
              </w:rPr>
            </w:pPr>
            <w:r w:rsidRPr="00EC4701">
              <w:rPr>
                <w:rFonts w:eastAsia="Times New Roman"/>
                <w:lang w:val="en-AU"/>
              </w:rPr>
              <w:t>2</w:t>
            </w:r>
          </w:p>
        </w:tc>
        <w:tc>
          <w:tcPr>
            <w:tcW w:w="709" w:type="pct"/>
            <w:vAlign w:val="center"/>
            <w:hideMark/>
          </w:tcPr>
          <w:p w14:paraId="79E3339B" w14:textId="77777777" w:rsidR="00A61FF5" w:rsidRPr="00EC4701" w:rsidRDefault="00A61FF5" w:rsidP="00D07480">
            <w:pPr>
              <w:pStyle w:val="ESTableBody"/>
              <w:jc w:val="right"/>
              <w:rPr>
                <w:rFonts w:eastAsia="Times New Roman"/>
                <w:lang w:val="en-AU"/>
              </w:rPr>
            </w:pPr>
            <w:r w:rsidRPr="00EC4701">
              <w:rPr>
                <w:rFonts w:eastAsia="Times New Roman"/>
                <w:lang w:val="en-AU"/>
              </w:rPr>
              <w:t>+1</w:t>
            </w:r>
          </w:p>
        </w:tc>
        <w:tc>
          <w:tcPr>
            <w:tcW w:w="709" w:type="pct"/>
            <w:vAlign w:val="center"/>
            <w:hideMark/>
          </w:tcPr>
          <w:p w14:paraId="1C3FC1E3" w14:textId="77777777" w:rsidR="00A61FF5" w:rsidRPr="00EC4701" w:rsidRDefault="00A61FF5" w:rsidP="00D07480">
            <w:pPr>
              <w:pStyle w:val="ESTableBody"/>
              <w:jc w:val="right"/>
              <w:rPr>
                <w:rFonts w:eastAsia="Times New Roman"/>
                <w:lang w:val="en-AU"/>
              </w:rPr>
            </w:pPr>
            <w:r w:rsidRPr="00EC4701">
              <w:rPr>
                <w:rFonts w:eastAsia="Times New Roman"/>
                <w:lang w:val="en-AU"/>
              </w:rPr>
              <w:t>3</w:t>
            </w:r>
          </w:p>
        </w:tc>
        <w:tc>
          <w:tcPr>
            <w:tcW w:w="707" w:type="pct"/>
            <w:vAlign w:val="center"/>
            <w:hideMark/>
          </w:tcPr>
          <w:p w14:paraId="54FDEF9D" w14:textId="77777777" w:rsidR="00A61FF5" w:rsidRPr="00EC4701" w:rsidRDefault="00A61FF5" w:rsidP="00D07480">
            <w:pPr>
              <w:pStyle w:val="ESTableBody"/>
              <w:jc w:val="right"/>
              <w:rPr>
                <w:rFonts w:eastAsia="Times New Roman"/>
                <w:lang w:val="en-AU"/>
              </w:rPr>
            </w:pPr>
            <w:r w:rsidRPr="00EC4701">
              <w:rPr>
                <w:rFonts w:eastAsia="Times New Roman"/>
                <w:lang w:val="en-AU"/>
              </w:rPr>
              <w:t>+1</w:t>
            </w:r>
          </w:p>
        </w:tc>
      </w:tr>
      <w:tr w:rsidR="00A61FF5" w:rsidRPr="00932A90" w14:paraId="4641BF99" w14:textId="77777777" w:rsidTr="00D07480">
        <w:trPr>
          <w:cantSplit/>
          <w:trHeight w:val="454"/>
        </w:trPr>
        <w:tc>
          <w:tcPr>
            <w:tcW w:w="748" w:type="pct"/>
            <w:vAlign w:val="center"/>
          </w:tcPr>
          <w:p w14:paraId="6610EC2C" w14:textId="77777777" w:rsidR="00A61FF5" w:rsidRPr="007D5DAA" w:rsidRDefault="00A61FF5" w:rsidP="00D07480">
            <w:pPr>
              <w:pStyle w:val="ESTableBody"/>
              <w:rPr>
                <w:rFonts w:eastAsia="Times New Roman"/>
                <w:lang w:val="en-AU"/>
              </w:rPr>
            </w:pPr>
            <w:r w:rsidRPr="007D5DAA">
              <w:rPr>
                <w:rFonts w:eastAsia="Times New Roman"/>
                <w:lang w:val="en-AU"/>
              </w:rPr>
              <w:t>EO-2</w:t>
            </w:r>
          </w:p>
        </w:tc>
        <w:tc>
          <w:tcPr>
            <w:tcW w:w="709" w:type="pct"/>
            <w:vAlign w:val="center"/>
          </w:tcPr>
          <w:p w14:paraId="3241347E" w14:textId="77777777" w:rsidR="00A61FF5" w:rsidRPr="00EC4701" w:rsidRDefault="00A61FF5" w:rsidP="00D07480">
            <w:pPr>
              <w:pStyle w:val="ESTableBody"/>
              <w:jc w:val="right"/>
              <w:rPr>
                <w:rFonts w:eastAsia="Times New Roman"/>
                <w:lang w:val="en-AU"/>
              </w:rPr>
            </w:pPr>
            <w:r w:rsidRPr="00EC4701">
              <w:rPr>
                <w:rFonts w:eastAsia="Times New Roman"/>
                <w:lang w:val="en-AU"/>
              </w:rPr>
              <w:t>41</w:t>
            </w:r>
          </w:p>
        </w:tc>
        <w:tc>
          <w:tcPr>
            <w:tcW w:w="709" w:type="pct"/>
            <w:vAlign w:val="center"/>
          </w:tcPr>
          <w:p w14:paraId="0A879DD1" w14:textId="77777777" w:rsidR="00A61FF5" w:rsidRPr="00EC4701" w:rsidRDefault="00A61FF5" w:rsidP="00D07480">
            <w:pPr>
              <w:pStyle w:val="ESTableBody"/>
              <w:jc w:val="right"/>
              <w:rPr>
                <w:rFonts w:eastAsia="Times New Roman"/>
                <w:lang w:val="en-AU"/>
              </w:rPr>
            </w:pPr>
            <w:r w:rsidRPr="00EC4701">
              <w:rPr>
                <w:rFonts w:eastAsia="Times New Roman"/>
                <w:lang w:val="en-AU"/>
              </w:rPr>
              <w:t>+6</w:t>
            </w:r>
          </w:p>
        </w:tc>
        <w:tc>
          <w:tcPr>
            <w:tcW w:w="709" w:type="pct"/>
            <w:vAlign w:val="center"/>
          </w:tcPr>
          <w:p w14:paraId="0FBE1ED0" w14:textId="77777777" w:rsidR="00A61FF5" w:rsidRPr="00EC4701" w:rsidRDefault="00A61FF5" w:rsidP="00D07480">
            <w:pPr>
              <w:pStyle w:val="ESTableBody"/>
              <w:jc w:val="right"/>
              <w:rPr>
                <w:rFonts w:eastAsia="Times New Roman"/>
                <w:lang w:val="en-AU"/>
              </w:rPr>
            </w:pPr>
            <w:r w:rsidRPr="00EC4701">
              <w:rPr>
                <w:rFonts w:eastAsia="Times New Roman"/>
                <w:lang w:val="en-AU"/>
              </w:rPr>
              <w:t>20.9</w:t>
            </w:r>
          </w:p>
        </w:tc>
        <w:tc>
          <w:tcPr>
            <w:tcW w:w="709" w:type="pct"/>
            <w:vAlign w:val="center"/>
          </w:tcPr>
          <w:p w14:paraId="0BB0DAC5" w14:textId="77777777" w:rsidR="00A61FF5" w:rsidRPr="00EC4701" w:rsidRDefault="00A61FF5" w:rsidP="00D07480">
            <w:pPr>
              <w:pStyle w:val="ESTableBody"/>
              <w:jc w:val="right"/>
              <w:rPr>
                <w:rFonts w:eastAsia="Times New Roman"/>
                <w:lang w:val="en-AU"/>
              </w:rPr>
            </w:pPr>
            <w:r w:rsidRPr="00EC4701">
              <w:rPr>
                <w:rFonts w:eastAsia="Times New Roman"/>
                <w:lang w:val="en-AU"/>
              </w:rPr>
              <w:t>+3.9</w:t>
            </w:r>
          </w:p>
        </w:tc>
        <w:tc>
          <w:tcPr>
            <w:tcW w:w="709" w:type="pct"/>
            <w:vAlign w:val="center"/>
          </w:tcPr>
          <w:p w14:paraId="1AC57CCE" w14:textId="77777777" w:rsidR="00A61FF5" w:rsidRPr="00EC4701" w:rsidRDefault="00A61FF5" w:rsidP="00D07480">
            <w:pPr>
              <w:pStyle w:val="ESTableBody"/>
              <w:jc w:val="right"/>
              <w:rPr>
                <w:rFonts w:eastAsia="Times New Roman"/>
                <w:lang w:val="en-AU"/>
              </w:rPr>
            </w:pPr>
            <w:r w:rsidRPr="00EC4701">
              <w:rPr>
                <w:rFonts w:eastAsia="Times New Roman"/>
                <w:lang w:val="en-AU"/>
              </w:rPr>
              <w:t>20.1</w:t>
            </w:r>
          </w:p>
        </w:tc>
        <w:tc>
          <w:tcPr>
            <w:tcW w:w="707" w:type="pct"/>
            <w:vAlign w:val="center"/>
          </w:tcPr>
          <w:p w14:paraId="25519805" w14:textId="77777777" w:rsidR="00A61FF5" w:rsidRPr="00EC4701" w:rsidRDefault="00A61FF5" w:rsidP="00D07480">
            <w:pPr>
              <w:pStyle w:val="ESTableBody"/>
              <w:jc w:val="right"/>
              <w:rPr>
                <w:rFonts w:eastAsia="Times New Roman"/>
                <w:lang w:val="en-AU"/>
              </w:rPr>
            </w:pPr>
            <w:r w:rsidRPr="00EC4701">
              <w:rPr>
                <w:rFonts w:eastAsia="Times New Roman"/>
                <w:lang w:val="en-AU"/>
              </w:rPr>
              <w:t>+2.1</w:t>
            </w:r>
          </w:p>
        </w:tc>
      </w:tr>
      <w:tr w:rsidR="00A61FF5" w:rsidRPr="00932A90" w14:paraId="7C5C5977" w14:textId="77777777" w:rsidTr="00D07480">
        <w:trPr>
          <w:cantSplit/>
          <w:trHeight w:val="454"/>
        </w:trPr>
        <w:tc>
          <w:tcPr>
            <w:tcW w:w="748" w:type="pct"/>
            <w:vAlign w:val="center"/>
            <w:hideMark/>
          </w:tcPr>
          <w:p w14:paraId="63602ADE" w14:textId="77777777" w:rsidR="00A61FF5" w:rsidRPr="007D5DAA" w:rsidRDefault="00A61FF5" w:rsidP="00D07480">
            <w:pPr>
              <w:pStyle w:val="ESTableBody"/>
              <w:rPr>
                <w:rFonts w:eastAsia="Times New Roman"/>
                <w:lang w:val="en-AU"/>
              </w:rPr>
            </w:pPr>
            <w:r w:rsidRPr="007D5DAA">
              <w:rPr>
                <w:rFonts w:eastAsia="Times New Roman"/>
                <w:lang w:val="en-AU"/>
              </w:rPr>
              <w:t>EO-3</w:t>
            </w:r>
          </w:p>
        </w:tc>
        <w:tc>
          <w:tcPr>
            <w:tcW w:w="709" w:type="pct"/>
            <w:vAlign w:val="center"/>
            <w:hideMark/>
          </w:tcPr>
          <w:p w14:paraId="7B598221" w14:textId="77777777" w:rsidR="00A61FF5" w:rsidRPr="00EC4701" w:rsidRDefault="00A61FF5" w:rsidP="00D07480">
            <w:pPr>
              <w:pStyle w:val="ESTableBody"/>
              <w:jc w:val="right"/>
              <w:rPr>
                <w:rFonts w:eastAsia="Times New Roman"/>
                <w:lang w:val="en-AU"/>
              </w:rPr>
            </w:pPr>
            <w:r w:rsidRPr="00EC4701">
              <w:rPr>
                <w:rFonts w:eastAsia="Times New Roman"/>
                <w:lang w:val="en-AU"/>
              </w:rPr>
              <w:t>34.6</w:t>
            </w:r>
          </w:p>
        </w:tc>
        <w:tc>
          <w:tcPr>
            <w:tcW w:w="709" w:type="pct"/>
            <w:vAlign w:val="center"/>
            <w:hideMark/>
          </w:tcPr>
          <w:p w14:paraId="33E21304" w14:textId="77777777" w:rsidR="00A61FF5" w:rsidRPr="00EC4701" w:rsidRDefault="00A61FF5" w:rsidP="00D07480">
            <w:pPr>
              <w:pStyle w:val="ESTableBody"/>
              <w:jc w:val="right"/>
              <w:rPr>
                <w:rFonts w:eastAsia="Times New Roman"/>
                <w:lang w:val="en-AU"/>
              </w:rPr>
            </w:pPr>
            <w:r w:rsidRPr="00EC4701">
              <w:rPr>
                <w:rFonts w:eastAsia="Times New Roman"/>
                <w:lang w:val="en-AU"/>
              </w:rPr>
              <w:t>+9.6</w:t>
            </w:r>
          </w:p>
        </w:tc>
        <w:tc>
          <w:tcPr>
            <w:tcW w:w="709" w:type="pct"/>
            <w:vAlign w:val="center"/>
            <w:hideMark/>
          </w:tcPr>
          <w:p w14:paraId="03005101" w14:textId="77777777" w:rsidR="00A61FF5" w:rsidRPr="00EC4701" w:rsidRDefault="00A61FF5" w:rsidP="00D07480">
            <w:pPr>
              <w:pStyle w:val="ESTableBody"/>
              <w:jc w:val="right"/>
              <w:rPr>
                <w:rFonts w:eastAsia="Times New Roman"/>
                <w:lang w:val="en-AU"/>
              </w:rPr>
            </w:pPr>
            <w:r w:rsidRPr="00EC4701">
              <w:rPr>
                <w:rFonts w:eastAsia="Times New Roman"/>
                <w:lang w:val="en-AU"/>
              </w:rPr>
              <w:t>16</w:t>
            </w:r>
          </w:p>
        </w:tc>
        <w:tc>
          <w:tcPr>
            <w:tcW w:w="709" w:type="pct"/>
            <w:vAlign w:val="center"/>
            <w:hideMark/>
          </w:tcPr>
          <w:p w14:paraId="3E3050F4" w14:textId="77777777" w:rsidR="00A61FF5" w:rsidRPr="00EC4701" w:rsidRDefault="00A61FF5" w:rsidP="00D07480">
            <w:pPr>
              <w:pStyle w:val="ESTableBody"/>
              <w:jc w:val="right"/>
              <w:rPr>
                <w:rFonts w:eastAsia="Times New Roman"/>
                <w:lang w:val="en-AU"/>
              </w:rPr>
            </w:pPr>
            <w:r w:rsidRPr="00EC4701">
              <w:rPr>
                <w:rFonts w:eastAsia="Times New Roman"/>
                <w:lang w:val="en-AU"/>
              </w:rPr>
              <w:t>+6</w:t>
            </w:r>
          </w:p>
        </w:tc>
        <w:tc>
          <w:tcPr>
            <w:tcW w:w="709" w:type="pct"/>
            <w:vAlign w:val="center"/>
            <w:hideMark/>
          </w:tcPr>
          <w:p w14:paraId="5E9E8652" w14:textId="77777777" w:rsidR="00A61FF5" w:rsidRPr="00EC4701" w:rsidRDefault="00A61FF5" w:rsidP="00D07480">
            <w:pPr>
              <w:pStyle w:val="ESTableBody"/>
              <w:jc w:val="right"/>
              <w:rPr>
                <w:rFonts w:eastAsia="Times New Roman"/>
                <w:lang w:val="en-AU"/>
              </w:rPr>
            </w:pPr>
            <w:r w:rsidRPr="00EC4701">
              <w:rPr>
                <w:rFonts w:eastAsia="Times New Roman"/>
                <w:lang w:val="en-AU"/>
              </w:rPr>
              <w:t>18.6</w:t>
            </w:r>
          </w:p>
        </w:tc>
        <w:tc>
          <w:tcPr>
            <w:tcW w:w="707" w:type="pct"/>
            <w:vAlign w:val="center"/>
            <w:hideMark/>
          </w:tcPr>
          <w:p w14:paraId="0293D4EE" w14:textId="77777777" w:rsidR="00A61FF5" w:rsidRPr="00EC4701" w:rsidRDefault="00A61FF5" w:rsidP="00D07480">
            <w:pPr>
              <w:pStyle w:val="ESTableBody"/>
              <w:jc w:val="right"/>
              <w:rPr>
                <w:rFonts w:eastAsia="Times New Roman"/>
                <w:lang w:val="en-AU"/>
              </w:rPr>
            </w:pPr>
            <w:r w:rsidRPr="00EC4701">
              <w:rPr>
                <w:rFonts w:eastAsia="Times New Roman"/>
                <w:lang w:val="en-AU"/>
              </w:rPr>
              <w:t>+3.6</w:t>
            </w:r>
          </w:p>
        </w:tc>
      </w:tr>
      <w:tr w:rsidR="00A61FF5" w:rsidRPr="00932A90" w14:paraId="5B16BFF0" w14:textId="77777777" w:rsidTr="00D07480">
        <w:trPr>
          <w:cantSplit/>
          <w:trHeight w:val="454"/>
        </w:trPr>
        <w:tc>
          <w:tcPr>
            <w:tcW w:w="748" w:type="pct"/>
            <w:tcBorders>
              <w:bottom w:val="single" w:sz="12" w:space="0" w:color="777777"/>
            </w:tcBorders>
            <w:vAlign w:val="center"/>
            <w:hideMark/>
          </w:tcPr>
          <w:p w14:paraId="7DE13479" w14:textId="77777777" w:rsidR="00A61FF5" w:rsidRPr="007D5DAA" w:rsidRDefault="00A61FF5" w:rsidP="00D07480">
            <w:pPr>
              <w:pStyle w:val="ESTableBody"/>
              <w:rPr>
                <w:rFonts w:eastAsia="Times New Roman"/>
                <w:b/>
                <w:lang w:val="en-AU"/>
              </w:rPr>
            </w:pPr>
            <w:r w:rsidRPr="007D5DAA">
              <w:rPr>
                <w:rFonts w:eastAsia="Times New Roman"/>
                <w:b/>
                <w:lang w:val="en-AU"/>
              </w:rPr>
              <w:t>Total</w:t>
            </w:r>
          </w:p>
        </w:tc>
        <w:tc>
          <w:tcPr>
            <w:tcW w:w="709" w:type="pct"/>
            <w:tcBorders>
              <w:bottom w:val="single" w:sz="12" w:space="0" w:color="777777"/>
            </w:tcBorders>
            <w:vAlign w:val="center"/>
            <w:hideMark/>
          </w:tcPr>
          <w:p w14:paraId="43A6FBAB" w14:textId="77777777" w:rsidR="00A61FF5" w:rsidRPr="00EC4701" w:rsidRDefault="00A61FF5" w:rsidP="00D07480">
            <w:pPr>
              <w:pStyle w:val="ESTableBody"/>
              <w:jc w:val="right"/>
              <w:rPr>
                <w:rFonts w:eastAsia="Times New Roman"/>
                <w:b/>
                <w:lang w:val="en-AU"/>
              </w:rPr>
            </w:pPr>
            <w:r w:rsidRPr="00EC4701">
              <w:rPr>
                <w:rFonts w:eastAsia="Times New Roman"/>
                <w:b/>
                <w:lang w:val="en-AU"/>
              </w:rPr>
              <w:t>80.6</w:t>
            </w:r>
          </w:p>
        </w:tc>
        <w:tc>
          <w:tcPr>
            <w:tcW w:w="709" w:type="pct"/>
            <w:tcBorders>
              <w:bottom w:val="single" w:sz="12" w:space="0" w:color="777777"/>
            </w:tcBorders>
            <w:vAlign w:val="center"/>
            <w:hideMark/>
          </w:tcPr>
          <w:p w14:paraId="7811B6BE" w14:textId="77777777" w:rsidR="00A61FF5" w:rsidRPr="00EC4701" w:rsidRDefault="00A61FF5" w:rsidP="00D07480">
            <w:pPr>
              <w:pStyle w:val="ESTableBody"/>
              <w:jc w:val="right"/>
              <w:rPr>
                <w:rFonts w:eastAsia="Times New Roman"/>
                <w:b/>
                <w:lang w:val="en-AU"/>
              </w:rPr>
            </w:pPr>
            <w:r w:rsidRPr="00EC4701">
              <w:rPr>
                <w:rFonts w:eastAsia="Times New Roman"/>
                <w:b/>
                <w:lang w:val="en-AU"/>
              </w:rPr>
              <w:t>+17.6</w:t>
            </w:r>
          </w:p>
        </w:tc>
        <w:tc>
          <w:tcPr>
            <w:tcW w:w="709" w:type="pct"/>
            <w:tcBorders>
              <w:bottom w:val="single" w:sz="12" w:space="0" w:color="777777"/>
            </w:tcBorders>
            <w:vAlign w:val="center"/>
            <w:hideMark/>
          </w:tcPr>
          <w:p w14:paraId="5A9C9F3E" w14:textId="77777777" w:rsidR="00A61FF5" w:rsidRPr="00EC4701" w:rsidRDefault="00A61FF5" w:rsidP="00D07480">
            <w:pPr>
              <w:pStyle w:val="ESTableBody"/>
              <w:jc w:val="right"/>
              <w:rPr>
                <w:rFonts w:eastAsia="Times New Roman"/>
                <w:b/>
                <w:lang w:val="en-AU"/>
              </w:rPr>
            </w:pPr>
            <w:r w:rsidRPr="00EC4701">
              <w:rPr>
                <w:rFonts w:eastAsia="Times New Roman"/>
                <w:b/>
                <w:lang w:val="en-AU"/>
              </w:rPr>
              <w:t>38.9</w:t>
            </w:r>
          </w:p>
        </w:tc>
        <w:tc>
          <w:tcPr>
            <w:tcW w:w="709" w:type="pct"/>
            <w:tcBorders>
              <w:bottom w:val="single" w:sz="12" w:space="0" w:color="777777"/>
            </w:tcBorders>
            <w:vAlign w:val="center"/>
            <w:hideMark/>
          </w:tcPr>
          <w:p w14:paraId="4595F00E" w14:textId="77777777" w:rsidR="00A61FF5" w:rsidRPr="00EC4701" w:rsidRDefault="00A61FF5" w:rsidP="00D07480">
            <w:pPr>
              <w:pStyle w:val="ESTableBody"/>
              <w:jc w:val="right"/>
              <w:rPr>
                <w:rFonts w:eastAsia="Times New Roman"/>
                <w:b/>
                <w:lang w:val="en-AU"/>
              </w:rPr>
            </w:pPr>
            <w:r w:rsidRPr="00EC4701">
              <w:rPr>
                <w:rFonts w:eastAsia="Times New Roman"/>
                <w:b/>
                <w:lang w:val="en-AU"/>
              </w:rPr>
              <w:t>+10.9</w:t>
            </w:r>
          </w:p>
        </w:tc>
        <w:tc>
          <w:tcPr>
            <w:tcW w:w="709" w:type="pct"/>
            <w:tcBorders>
              <w:bottom w:val="single" w:sz="12" w:space="0" w:color="777777"/>
            </w:tcBorders>
            <w:vAlign w:val="center"/>
            <w:hideMark/>
          </w:tcPr>
          <w:p w14:paraId="24271D75" w14:textId="77777777" w:rsidR="00A61FF5" w:rsidRPr="00EC4701" w:rsidRDefault="00A61FF5" w:rsidP="00D07480">
            <w:pPr>
              <w:pStyle w:val="ESTableBody"/>
              <w:jc w:val="right"/>
              <w:rPr>
                <w:rFonts w:eastAsia="Times New Roman"/>
                <w:b/>
                <w:lang w:val="en-AU"/>
              </w:rPr>
            </w:pPr>
            <w:r w:rsidRPr="00EC4701">
              <w:rPr>
                <w:rFonts w:eastAsia="Times New Roman"/>
                <w:b/>
                <w:lang w:val="en-AU"/>
              </w:rPr>
              <w:t>41.7</w:t>
            </w:r>
          </w:p>
        </w:tc>
        <w:tc>
          <w:tcPr>
            <w:tcW w:w="707" w:type="pct"/>
            <w:tcBorders>
              <w:bottom w:val="single" w:sz="12" w:space="0" w:color="777777"/>
            </w:tcBorders>
            <w:vAlign w:val="center"/>
            <w:hideMark/>
          </w:tcPr>
          <w:p w14:paraId="0BA1D937" w14:textId="77777777" w:rsidR="00A61FF5" w:rsidRPr="00EC4701" w:rsidRDefault="00A61FF5" w:rsidP="00D07480">
            <w:pPr>
              <w:pStyle w:val="ESTableBody"/>
              <w:jc w:val="right"/>
              <w:rPr>
                <w:rFonts w:eastAsia="Times New Roman"/>
                <w:b/>
                <w:lang w:val="en-AU"/>
              </w:rPr>
            </w:pPr>
            <w:r w:rsidRPr="00EC4701">
              <w:rPr>
                <w:rFonts w:eastAsia="Times New Roman"/>
                <w:b/>
                <w:lang w:val="en-AU"/>
              </w:rPr>
              <w:t>+6.7</w:t>
            </w:r>
          </w:p>
        </w:tc>
      </w:tr>
    </w:tbl>
    <w:p w14:paraId="0B97C341" w14:textId="6FCF41A6" w:rsidR="00A61FF5" w:rsidRPr="007D5DAA" w:rsidRDefault="00A61FF5" w:rsidP="009A0BAD">
      <w:pPr>
        <w:pStyle w:val="ESTableintroheading"/>
        <w:rPr>
          <w:highlight w:val="yellow"/>
          <w:lang w:val="en-AU"/>
        </w:rPr>
      </w:pPr>
      <w:r w:rsidRPr="007D5DAA">
        <w:rPr>
          <w:lang w:val="en-AU"/>
        </w:rPr>
        <w:t xml:space="preserve">Table </w:t>
      </w:r>
      <w:r w:rsidR="00D93BA2" w:rsidRPr="006E49EE">
        <w:rPr>
          <w:lang w:val="en-AU"/>
        </w:rPr>
        <w:fldChar w:fldCharType="begin"/>
      </w:r>
      <w:r w:rsidR="00D93BA2" w:rsidRPr="00EC4701">
        <w:rPr>
          <w:lang w:val="en-AU"/>
        </w:rPr>
        <w:instrText xml:space="preserve"> SEQ Table \* MERGEFORMAT </w:instrText>
      </w:r>
      <w:r w:rsidR="00D93BA2" w:rsidRPr="006E49EE">
        <w:rPr>
          <w:lang w:val="en-AU"/>
        </w:rPr>
        <w:fldChar w:fldCharType="separate"/>
      </w:r>
      <w:r w:rsidR="00F36F52">
        <w:rPr>
          <w:noProof/>
          <w:lang w:val="en-AU"/>
        </w:rPr>
        <w:t>19</w:t>
      </w:r>
      <w:r w:rsidR="00D93BA2" w:rsidRPr="006E49EE">
        <w:rPr>
          <w:lang w:val="en-AU"/>
        </w:rPr>
        <w:fldChar w:fldCharType="end"/>
      </w:r>
      <w:r w:rsidRPr="007D5DAA">
        <w:rPr>
          <w:lang w:val="en-AU"/>
        </w:rPr>
        <w:t xml:space="preserve"> —Reconciliation of executive officer numbers (Headcount) </w:t>
      </w:r>
      <w:r w:rsidR="008735EA">
        <w:rPr>
          <w:lang w:val="en-AU"/>
        </w:rPr>
        <w:t>for the Department</w:t>
      </w:r>
    </w:p>
    <w:tbl>
      <w:tblPr>
        <w:tblW w:w="5000" w:type="pct"/>
        <w:tblCellMar>
          <w:left w:w="43" w:type="dxa"/>
          <w:right w:w="43" w:type="dxa"/>
        </w:tblCellMar>
        <w:tblLook w:val="01E0" w:firstRow="1" w:lastRow="1" w:firstColumn="1" w:lastColumn="1" w:noHBand="0" w:noVBand="0"/>
      </w:tblPr>
      <w:tblGrid>
        <w:gridCol w:w="424"/>
        <w:gridCol w:w="3318"/>
        <w:gridCol w:w="1811"/>
        <w:gridCol w:w="1811"/>
      </w:tblGrid>
      <w:tr w:rsidR="00A61FF5" w:rsidRPr="00932A90" w14:paraId="4F38CBB1" w14:textId="77777777" w:rsidTr="00D07480">
        <w:trPr>
          <w:cantSplit/>
          <w:trHeight w:val="454"/>
        </w:trPr>
        <w:tc>
          <w:tcPr>
            <w:tcW w:w="96" w:type="pct"/>
            <w:shd w:val="clear" w:color="auto" w:fill="777777"/>
            <w:vAlign w:val="center"/>
          </w:tcPr>
          <w:p w14:paraId="582A423E" w14:textId="77777777" w:rsidR="00A61FF5" w:rsidRPr="00EC4701" w:rsidRDefault="00A61FF5" w:rsidP="00D07480">
            <w:pPr>
              <w:pStyle w:val="ESTableheadingwhite"/>
              <w:rPr>
                <w:sz w:val="16"/>
                <w:szCs w:val="16"/>
                <w:lang w:val="en-AU"/>
              </w:rPr>
            </w:pPr>
          </w:p>
        </w:tc>
        <w:tc>
          <w:tcPr>
            <w:tcW w:w="2317" w:type="pct"/>
            <w:shd w:val="clear" w:color="auto" w:fill="777777"/>
            <w:vAlign w:val="center"/>
          </w:tcPr>
          <w:p w14:paraId="683C361D" w14:textId="77777777" w:rsidR="00A61FF5" w:rsidRPr="00EC4701" w:rsidRDefault="00A61FF5" w:rsidP="00D07480">
            <w:pPr>
              <w:pStyle w:val="ESTableheadingwhite"/>
              <w:rPr>
                <w:sz w:val="16"/>
                <w:szCs w:val="16"/>
                <w:highlight w:val="magenta"/>
                <w:lang w:val="en-AU"/>
              </w:rPr>
            </w:pPr>
          </w:p>
        </w:tc>
        <w:tc>
          <w:tcPr>
            <w:tcW w:w="1293" w:type="pct"/>
            <w:shd w:val="clear" w:color="auto" w:fill="777777"/>
            <w:vAlign w:val="center"/>
          </w:tcPr>
          <w:p w14:paraId="68F4DE75" w14:textId="77777777" w:rsidR="00A61FF5" w:rsidRPr="00EC4701" w:rsidRDefault="00A61FF5" w:rsidP="003E422F">
            <w:pPr>
              <w:pStyle w:val="ESTableheadingwhite"/>
              <w:jc w:val="right"/>
              <w:rPr>
                <w:sz w:val="16"/>
                <w:szCs w:val="16"/>
                <w:lang w:val="en-AU"/>
              </w:rPr>
            </w:pPr>
            <w:r w:rsidRPr="00EC4701">
              <w:rPr>
                <w:sz w:val="16"/>
                <w:szCs w:val="16"/>
                <w:lang w:val="en-AU"/>
              </w:rPr>
              <w:t>2017</w:t>
            </w:r>
          </w:p>
        </w:tc>
        <w:tc>
          <w:tcPr>
            <w:tcW w:w="1293" w:type="pct"/>
            <w:shd w:val="clear" w:color="auto" w:fill="777777"/>
            <w:vAlign w:val="center"/>
            <w:hideMark/>
          </w:tcPr>
          <w:p w14:paraId="15072C3D" w14:textId="77777777" w:rsidR="00A61FF5" w:rsidRPr="00EC4701" w:rsidRDefault="00A61FF5" w:rsidP="003E422F">
            <w:pPr>
              <w:pStyle w:val="ESTableheadingwhite"/>
              <w:jc w:val="right"/>
              <w:rPr>
                <w:sz w:val="16"/>
                <w:szCs w:val="16"/>
                <w:lang w:val="en-AU"/>
              </w:rPr>
            </w:pPr>
            <w:r w:rsidRPr="00EC4701">
              <w:rPr>
                <w:sz w:val="16"/>
                <w:szCs w:val="16"/>
                <w:lang w:val="en-AU"/>
              </w:rPr>
              <w:t>2016</w:t>
            </w:r>
          </w:p>
        </w:tc>
      </w:tr>
      <w:tr w:rsidR="00A61FF5" w:rsidRPr="00932A90" w14:paraId="31D5E2E6" w14:textId="77777777" w:rsidTr="00D07480">
        <w:trPr>
          <w:cantSplit/>
          <w:trHeight w:val="454"/>
        </w:trPr>
        <w:tc>
          <w:tcPr>
            <w:tcW w:w="96" w:type="pct"/>
            <w:vAlign w:val="bottom"/>
          </w:tcPr>
          <w:p w14:paraId="50EB3398" w14:textId="77777777" w:rsidR="00A61FF5" w:rsidRPr="007D5DAA" w:rsidRDefault="00A61FF5" w:rsidP="00D07480">
            <w:pPr>
              <w:pStyle w:val="ESTableBody"/>
              <w:rPr>
                <w:rFonts w:eastAsia="Times New Roman"/>
                <w:lang w:val="en-AU"/>
              </w:rPr>
            </w:pPr>
          </w:p>
        </w:tc>
        <w:tc>
          <w:tcPr>
            <w:tcW w:w="2317" w:type="pct"/>
            <w:vAlign w:val="center"/>
            <w:hideMark/>
          </w:tcPr>
          <w:p w14:paraId="6A273671" w14:textId="36C01F72" w:rsidR="00A61FF5" w:rsidRPr="00EC4701" w:rsidRDefault="00A61FF5" w:rsidP="00D07480">
            <w:pPr>
              <w:pStyle w:val="ESTableBody"/>
              <w:rPr>
                <w:lang w:val="en-AU"/>
              </w:rPr>
            </w:pPr>
            <w:r w:rsidRPr="00EC4701">
              <w:rPr>
                <w:lang w:val="en-AU"/>
              </w:rPr>
              <w:t>Executives (</w:t>
            </w:r>
            <w:r w:rsidR="007E4041" w:rsidRPr="007E4041">
              <w:rPr>
                <w:lang w:val="en-AU"/>
              </w:rPr>
              <w:t>Financial statement Note 9.3</w:t>
            </w:r>
            <w:r w:rsidRPr="007E4041">
              <w:rPr>
                <w:lang w:val="en-AU"/>
              </w:rPr>
              <w:t>)</w:t>
            </w:r>
          </w:p>
        </w:tc>
        <w:tc>
          <w:tcPr>
            <w:tcW w:w="1293" w:type="pct"/>
            <w:shd w:val="clear" w:color="auto" w:fill="FFFFFF"/>
            <w:vAlign w:val="center"/>
          </w:tcPr>
          <w:p w14:paraId="7D608049" w14:textId="77777777" w:rsidR="00A61FF5" w:rsidRPr="00EC4701" w:rsidRDefault="00A61FF5" w:rsidP="003E422F">
            <w:pPr>
              <w:pStyle w:val="ESTableBody"/>
              <w:jc w:val="right"/>
              <w:rPr>
                <w:lang w:val="en-AU"/>
              </w:rPr>
            </w:pPr>
            <w:r w:rsidRPr="00EC4701">
              <w:rPr>
                <w:lang w:val="en-AU"/>
              </w:rPr>
              <w:t>99</w:t>
            </w:r>
          </w:p>
        </w:tc>
        <w:tc>
          <w:tcPr>
            <w:tcW w:w="1293" w:type="pct"/>
            <w:shd w:val="clear" w:color="auto" w:fill="F2F2F2"/>
            <w:vAlign w:val="center"/>
            <w:hideMark/>
          </w:tcPr>
          <w:p w14:paraId="7A267EA8" w14:textId="77777777" w:rsidR="00A61FF5" w:rsidRPr="00EC4701" w:rsidRDefault="00A61FF5" w:rsidP="003E422F">
            <w:pPr>
              <w:pStyle w:val="ESTableBody"/>
              <w:jc w:val="right"/>
              <w:rPr>
                <w:lang w:val="en-AU"/>
              </w:rPr>
            </w:pPr>
            <w:r w:rsidRPr="00EC4701">
              <w:rPr>
                <w:lang w:val="en-AU"/>
              </w:rPr>
              <w:t>96</w:t>
            </w:r>
          </w:p>
        </w:tc>
      </w:tr>
      <w:tr w:rsidR="00A61FF5" w:rsidRPr="00932A90" w14:paraId="0D621152" w14:textId="77777777" w:rsidTr="00D07480">
        <w:trPr>
          <w:cantSplit/>
          <w:trHeight w:val="454"/>
        </w:trPr>
        <w:tc>
          <w:tcPr>
            <w:tcW w:w="96" w:type="pct"/>
            <w:vAlign w:val="bottom"/>
          </w:tcPr>
          <w:p w14:paraId="756E72BC" w14:textId="77777777" w:rsidR="00A61FF5" w:rsidRPr="007D5DAA" w:rsidRDefault="00A61FF5" w:rsidP="00D07480">
            <w:pPr>
              <w:pStyle w:val="ESTableBody"/>
              <w:rPr>
                <w:rFonts w:eastAsia="Times New Roman"/>
                <w:lang w:val="en-AU"/>
              </w:rPr>
            </w:pPr>
          </w:p>
        </w:tc>
        <w:tc>
          <w:tcPr>
            <w:tcW w:w="2317" w:type="pct"/>
            <w:vAlign w:val="center"/>
            <w:hideMark/>
          </w:tcPr>
          <w:p w14:paraId="293486B1" w14:textId="77777777" w:rsidR="00A61FF5" w:rsidRPr="00EC4701" w:rsidRDefault="00A61FF5" w:rsidP="00D07480">
            <w:pPr>
              <w:pStyle w:val="ESTableBody"/>
              <w:rPr>
                <w:lang w:val="en-AU"/>
              </w:rPr>
            </w:pPr>
            <w:r w:rsidRPr="00EC4701">
              <w:rPr>
                <w:lang w:val="en-AU"/>
              </w:rPr>
              <w:t>Accountable Officer (Secretary)</w:t>
            </w:r>
          </w:p>
        </w:tc>
        <w:tc>
          <w:tcPr>
            <w:tcW w:w="1293" w:type="pct"/>
            <w:shd w:val="clear" w:color="auto" w:fill="FFFFFF"/>
            <w:vAlign w:val="center"/>
          </w:tcPr>
          <w:p w14:paraId="5F1FF975" w14:textId="77777777" w:rsidR="00A61FF5" w:rsidRPr="00EC4701" w:rsidRDefault="00A61FF5" w:rsidP="003E422F">
            <w:pPr>
              <w:pStyle w:val="ESTableBody"/>
              <w:jc w:val="right"/>
              <w:rPr>
                <w:lang w:val="en-AU"/>
              </w:rPr>
            </w:pPr>
            <w:r w:rsidRPr="00EC4701">
              <w:rPr>
                <w:lang w:val="en-AU"/>
              </w:rPr>
              <w:t>1</w:t>
            </w:r>
          </w:p>
        </w:tc>
        <w:tc>
          <w:tcPr>
            <w:tcW w:w="1293" w:type="pct"/>
            <w:shd w:val="clear" w:color="auto" w:fill="F2F2F2"/>
            <w:vAlign w:val="center"/>
            <w:hideMark/>
          </w:tcPr>
          <w:p w14:paraId="68B1F071" w14:textId="77777777" w:rsidR="00A61FF5" w:rsidRPr="00EC4701" w:rsidRDefault="00A61FF5" w:rsidP="003E422F">
            <w:pPr>
              <w:pStyle w:val="ESTableBody"/>
              <w:jc w:val="right"/>
              <w:rPr>
                <w:lang w:val="en-AU"/>
              </w:rPr>
            </w:pPr>
            <w:r w:rsidRPr="00EC4701">
              <w:rPr>
                <w:lang w:val="en-AU"/>
              </w:rPr>
              <w:t>1</w:t>
            </w:r>
          </w:p>
        </w:tc>
      </w:tr>
      <w:tr w:rsidR="00A61FF5" w:rsidRPr="00932A90" w14:paraId="75080394" w14:textId="77777777" w:rsidTr="00D07480">
        <w:trPr>
          <w:cantSplit/>
          <w:trHeight w:val="454"/>
        </w:trPr>
        <w:tc>
          <w:tcPr>
            <w:tcW w:w="96" w:type="pct"/>
            <w:vAlign w:val="center"/>
            <w:hideMark/>
          </w:tcPr>
          <w:p w14:paraId="063F2A58" w14:textId="77777777" w:rsidR="00A61FF5" w:rsidRPr="007D5DAA" w:rsidRDefault="00A61FF5" w:rsidP="00D07480">
            <w:pPr>
              <w:pStyle w:val="ESTableBody"/>
              <w:rPr>
                <w:rFonts w:eastAsia="Times New Roman"/>
                <w:lang w:val="en-AU"/>
              </w:rPr>
            </w:pPr>
            <w:r w:rsidRPr="007D5DAA">
              <w:rPr>
                <w:rFonts w:eastAsia="Times New Roman"/>
                <w:lang w:val="en-AU"/>
              </w:rPr>
              <w:t>Less</w:t>
            </w:r>
          </w:p>
        </w:tc>
        <w:tc>
          <w:tcPr>
            <w:tcW w:w="2317" w:type="pct"/>
            <w:vAlign w:val="center"/>
            <w:hideMark/>
          </w:tcPr>
          <w:p w14:paraId="4048243F" w14:textId="77777777" w:rsidR="00A61FF5" w:rsidRPr="00EC4701" w:rsidRDefault="00A61FF5" w:rsidP="00D07480">
            <w:pPr>
              <w:pStyle w:val="ESTableBody"/>
              <w:rPr>
                <w:lang w:val="en-AU"/>
              </w:rPr>
            </w:pPr>
            <w:r w:rsidRPr="00EC4701">
              <w:rPr>
                <w:lang w:val="en-AU"/>
              </w:rPr>
              <w:t>Separations</w:t>
            </w:r>
          </w:p>
        </w:tc>
        <w:tc>
          <w:tcPr>
            <w:tcW w:w="1293" w:type="pct"/>
            <w:shd w:val="clear" w:color="auto" w:fill="FFFFFF"/>
            <w:vAlign w:val="center"/>
          </w:tcPr>
          <w:p w14:paraId="2AA35A28" w14:textId="77777777" w:rsidR="00A61FF5" w:rsidRPr="00EC4701" w:rsidRDefault="00A61FF5" w:rsidP="003E422F">
            <w:pPr>
              <w:pStyle w:val="ESTableBody"/>
              <w:jc w:val="right"/>
              <w:rPr>
                <w:lang w:val="en-AU"/>
              </w:rPr>
            </w:pPr>
            <w:r w:rsidRPr="00EC4701">
              <w:rPr>
                <w:lang w:val="en-AU"/>
              </w:rPr>
              <w:t>(17)</w:t>
            </w:r>
          </w:p>
        </w:tc>
        <w:tc>
          <w:tcPr>
            <w:tcW w:w="1293" w:type="pct"/>
            <w:shd w:val="clear" w:color="auto" w:fill="F2F2F2"/>
            <w:vAlign w:val="center"/>
            <w:hideMark/>
          </w:tcPr>
          <w:p w14:paraId="57C67F21" w14:textId="77777777" w:rsidR="00A61FF5" w:rsidRPr="00EC4701" w:rsidRDefault="00A61FF5" w:rsidP="003E422F">
            <w:pPr>
              <w:pStyle w:val="ESTableBody"/>
              <w:jc w:val="right"/>
              <w:rPr>
                <w:lang w:val="en-AU"/>
              </w:rPr>
            </w:pPr>
            <w:r w:rsidRPr="00EC4701">
              <w:rPr>
                <w:lang w:val="en-AU"/>
              </w:rPr>
              <w:t>(21)</w:t>
            </w:r>
          </w:p>
        </w:tc>
      </w:tr>
      <w:tr w:rsidR="00A61FF5" w:rsidRPr="00932A90" w14:paraId="0B227490" w14:textId="77777777" w:rsidTr="00D07480">
        <w:trPr>
          <w:cantSplit/>
          <w:trHeight w:val="454"/>
        </w:trPr>
        <w:tc>
          <w:tcPr>
            <w:tcW w:w="96" w:type="pct"/>
            <w:tcBorders>
              <w:bottom w:val="single" w:sz="12" w:space="0" w:color="777777"/>
            </w:tcBorders>
            <w:vAlign w:val="bottom"/>
          </w:tcPr>
          <w:p w14:paraId="4F7E48DD" w14:textId="77777777" w:rsidR="00A61FF5" w:rsidRPr="007D5DAA" w:rsidRDefault="00A61FF5" w:rsidP="00D07480">
            <w:pPr>
              <w:pStyle w:val="ESTableBody"/>
              <w:rPr>
                <w:rFonts w:eastAsia="Times New Roman"/>
                <w:b/>
                <w:lang w:val="en-AU"/>
              </w:rPr>
            </w:pPr>
          </w:p>
        </w:tc>
        <w:tc>
          <w:tcPr>
            <w:tcW w:w="2317" w:type="pct"/>
            <w:tcBorders>
              <w:bottom w:val="single" w:sz="12" w:space="0" w:color="777777"/>
            </w:tcBorders>
            <w:vAlign w:val="center"/>
            <w:hideMark/>
          </w:tcPr>
          <w:p w14:paraId="3ABE291E" w14:textId="77777777" w:rsidR="00A61FF5" w:rsidRPr="00EC4701" w:rsidRDefault="00A61FF5" w:rsidP="009A0BAD">
            <w:pPr>
              <w:pStyle w:val="ESTableheading"/>
              <w:rPr>
                <w:lang w:val="en-AU"/>
              </w:rPr>
            </w:pPr>
            <w:r w:rsidRPr="00EC4701">
              <w:rPr>
                <w:lang w:val="en-AU"/>
              </w:rPr>
              <w:t>Total executive numbers at 30 June</w:t>
            </w:r>
          </w:p>
        </w:tc>
        <w:tc>
          <w:tcPr>
            <w:tcW w:w="1293" w:type="pct"/>
            <w:tcBorders>
              <w:bottom w:val="single" w:sz="12" w:space="0" w:color="777777"/>
            </w:tcBorders>
            <w:shd w:val="clear" w:color="auto" w:fill="FFFFFF"/>
            <w:vAlign w:val="center"/>
          </w:tcPr>
          <w:p w14:paraId="2C3C2DC7" w14:textId="77777777" w:rsidR="00A61FF5" w:rsidRPr="00EC4701" w:rsidRDefault="00A61FF5" w:rsidP="007D5DAA">
            <w:pPr>
              <w:pStyle w:val="ESTableheading"/>
              <w:jc w:val="right"/>
              <w:rPr>
                <w:lang w:val="en-AU"/>
              </w:rPr>
            </w:pPr>
            <w:r w:rsidRPr="00EC4701">
              <w:rPr>
                <w:lang w:val="en-AU"/>
              </w:rPr>
              <w:t>83</w:t>
            </w:r>
          </w:p>
        </w:tc>
        <w:tc>
          <w:tcPr>
            <w:tcW w:w="1293" w:type="pct"/>
            <w:tcBorders>
              <w:bottom w:val="single" w:sz="12" w:space="0" w:color="777777"/>
            </w:tcBorders>
            <w:shd w:val="clear" w:color="auto" w:fill="F2F2F2"/>
            <w:vAlign w:val="center"/>
            <w:hideMark/>
          </w:tcPr>
          <w:p w14:paraId="1BB508E2" w14:textId="77777777" w:rsidR="00A61FF5" w:rsidRPr="00EC4701" w:rsidRDefault="00A61FF5" w:rsidP="00EC4701">
            <w:pPr>
              <w:pStyle w:val="ESTableheading"/>
              <w:jc w:val="right"/>
              <w:rPr>
                <w:lang w:val="en-AU"/>
              </w:rPr>
            </w:pPr>
            <w:r w:rsidRPr="00EC4701">
              <w:rPr>
                <w:lang w:val="en-AU"/>
              </w:rPr>
              <w:t>76</w:t>
            </w:r>
          </w:p>
        </w:tc>
      </w:tr>
    </w:tbl>
    <w:p w14:paraId="44A68F67" w14:textId="614FE7C4" w:rsidR="00A61FF5" w:rsidRPr="00EC4701" w:rsidRDefault="00A61FF5" w:rsidP="009A0BAD">
      <w:pPr>
        <w:pStyle w:val="ESTableintroheading"/>
        <w:rPr>
          <w:highlight w:val="yellow"/>
          <w:lang w:val="en-AU"/>
        </w:rPr>
      </w:pPr>
      <w:r w:rsidRPr="007D5DAA">
        <w:rPr>
          <w:lang w:val="en-AU"/>
        </w:rPr>
        <w:t xml:space="preserve">Table </w:t>
      </w:r>
      <w:r w:rsidR="00D93BA2" w:rsidRPr="006E49EE">
        <w:rPr>
          <w:lang w:val="en-AU"/>
        </w:rPr>
        <w:fldChar w:fldCharType="begin"/>
      </w:r>
      <w:r w:rsidR="00D93BA2" w:rsidRPr="00EC4701">
        <w:rPr>
          <w:lang w:val="en-AU"/>
        </w:rPr>
        <w:instrText xml:space="preserve"> SEQ Table \* MERGEFORMAT </w:instrText>
      </w:r>
      <w:r w:rsidR="00D93BA2" w:rsidRPr="006E49EE">
        <w:rPr>
          <w:lang w:val="en-AU"/>
        </w:rPr>
        <w:fldChar w:fldCharType="separate"/>
      </w:r>
      <w:r w:rsidR="00F36F52">
        <w:rPr>
          <w:noProof/>
          <w:lang w:val="en-AU"/>
        </w:rPr>
        <w:t>20</w:t>
      </w:r>
      <w:r w:rsidR="00D93BA2" w:rsidRPr="006E49EE">
        <w:rPr>
          <w:lang w:val="en-AU"/>
        </w:rPr>
        <w:fldChar w:fldCharType="end"/>
      </w:r>
      <w:r w:rsidR="00BD42D0">
        <w:rPr>
          <w:lang w:val="en-AU"/>
        </w:rPr>
        <w:t xml:space="preserve"> —Number of executive o</w:t>
      </w:r>
      <w:r w:rsidRPr="007D5DAA">
        <w:rPr>
          <w:lang w:val="en-AU"/>
        </w:rPr>
        <w:t>fficers for the Department's portfolio agencies</w:t>
      </w:r>
    </w:p>
    <w:tbl>
      <w:tblPr>
        <w:tblW w:w="5000" w:type="pct"/>
        <w:tblBorders>
          <w:bottom w:val="single" w:sz="12" w:space="0" w:color="777777"/>
        </w:tblBorders>
        <w:tblLayout w:type="fixed"/>
        <w:tblCellMar>
          <w:left w:w="43" w:type="dxa"/>
          <w:right w:w="43" w:type="dxa"/>
        </w:tblCellMar>
        <w:tblLook w:val="01E0" w:firstRow="1" w:lastRow="1" w:firstColumn="1" w:lastColumn="1" w:noHBand="0" w:noVBand="0"/>
      </w:tblPr>
      <w:tblGrid>
        <w:gridCol w:w="1570"/>
        <w:gridCol w:w="810"/>
        <w:gridCol w:w="1022"/>
        <w:gridCol w:w="993"/>
        <w:gridCol w:w="992"/>
        <w:gridCol w:w="992"/>
        <w:gridCol w:w="985"/>
      </w:tblGrid>
      <w:tr w:rsidR="00A61FF5" w:rsidRPr="00932A90" w14:paraId="402E90B3" w14:textId="77777777" w:rsidTr="00D07480">
        <w:trPr>
          <w:cantSplit/>
          <w:trHeight w:val="454"/>
        </w:trPr>
        <w:tc>
          <w:tcPr>
            <w:tcW w:w="1570" w:type="dxa"/>
            <w:shd w:val="clear" w:color="auto" w:fill="777777"/>
            <w:vAlign w:val="center"/>
          </w:tcPr>
          <w:p w14:paraId="44D83DE8" w14:textId="3A8A8B7E" w:rsidR="00A61FF5" w:rsidRPr="004E3D38" w:rsidRDefault="00A61FF5" w:rsidP="00575B5B">
            <w:pPr>
              <w:pStyle w:val="ESTableheadingwhite75"/>
              <w:rPr>
                <w:rFonts w:eastAsia="Times New Roman"/>
                <w:lang w:val="en-AU"/>
              </w:rPr>
            </w:pPr>
          </w:p>
        </w:tc>
        <w:tc>
          <w:tcPr>
            <w:tcW w:w="1832" w:type="dxa"/>
            <w:gridSpan w:val="2"/>
            <w:shd w:val="clear" w:color="auto" w:fill="777777"/>
            <w:vAlign w:val="center"/>
            <w:hideMark/>
          </w:tcPr>
          <w:p w14:paraId="36CBBECE" w14:textId="77777777" w:rsidR="00A61FF5" w:rsidRPr="002C0527" w:rsidRDefault="00A61FF5" w:rsidP="00D07480">
            <w:pPr>
              <w:pStyle w:val="ESTableheadingwhite75"/>
              <w:jc w:val="center"/>
              <w:rPr>
                <w:rFonts w:eastAsia="Times New Roman"/>
                <w:lang w:val="en-AU"/>
              </w:rPr>
            </w:pPr>
            <w:r w:rsidRPr="002C0527">
              <w:rPr>
                <w:rFonts w:eastAsia="Times New Roman"/>
                <w:lang w:val="en-AU"/>
              </w:rPr>
              <w:t>Total</w:t>
            </w:r>
          </w:p>
        </w:tc>
        <w:tc>
          <w:tcPr>
            <w:tcW w:w="1985" w:type="dxa"/>
            <w:gridSpan w:val="2"/>
            <w:shd w:val="clear" w:color="auto" w:fill="777777"/>
            <w:vAlign w:val="center"/>
            <w:hideMark/>
          </w:tcPr>
          <w:p w14:paraId="4163B04A" w14:textId="77777777" w:rsidR="00A61FF5" w:rsidRPr="002C0527" w:rsidRDefault="00A61FF5" w:rsidP="00D07480">
            <w:pPr>
              <w:pStyle w:val="ESTableheadingwhite75"/>
              <w:jc w:val="center"/>
              <w:rPr>
                <w:rFonts w:eastAsia="Times New Roman"/>
                <w:lang w:val="en-AU"/>
              </w:rPr>
            </w:pPr>
            <w:r w:rsidRPr="002C0527">
              <w:rPr>
                <w:rFonts w:eastAsia="Times New Roman"/>
                <w:lang w:val="en-AU"/>
              </w:rPr>
              <w:t>Male</w:t>
            </w:r>
          </w:p>
        </w:tc>
        <w:tc>
          <w:tcPr>
            <w:tcW w:w="1977" w:type="dxa"/>
            <w:gridSpan w:val="2"/>
            <w:shd w:val="clear" w:color="auto" w:fill="777777"/>
            <w:vAlign w:val="center"/>
            <w:hideMark/>
          </w:tcPr>
          <w:p w14:paraId="286EDD5A" w14:textId="77777777" w:rsidR="00A61FF5" w:rsidRPr="002C0527" w:rsidRDefault="00A61FF5" w:rsidP="00D07480">
            <w:pPr>
              <w:pStyle w:val="ESTableheadingwhite75"/>
              <w:jc w:val="center"/>
              <w:rPr>
                <w:rFonts w:eastAsia="Times New Roman"/>
                <w:lang w:val="en-AU"/>
              </w:rPr>
            </w:pPr>
            <w:r w:rsidRPr="002C0527">
              <w:rPr>
                <w:rFonts w:eastAsia="Times New Roman"/>
                <w:lang w:val="en-AU"/>
              </w:rPr>
              <w:t>Female</w:t>
            </w:r>
          </w:p>
        </w:tc>
      </w:tr>
      <w:tr w:rsidR="00A61FF5" w:rsidRPr="00932A90" w14:paraId="57BFF59D" w14:textId="77777777" w:rsidTr="00D07480">
        <w:trPr>
          <w:cantSplit/>
          <w:trHeight w:val="454"/>
        </w:trPr>
        <w:tc>
          <w:tcPr>
            <w:tcW w:w="1570" w:type="dxa"/>
            <w:shd w:val="clear" w:color="auto" w:fill="777777"/>
            <w:vAlign w:val="center"/>
          </w:tcPr>
          <w:p w14:paraId="5571F60C" w14:textId="70162854" w:rsidR="00A61FF5" w:rsidRPr="002C0527" w:rsidRDefault="00575B5B" w:rsidP="00575B5B">
            <w:pPr>
              <w:pStyle w:val="ESTableheadingwhite75"/>
              <w:rPr>
                <w:rFonts w:eastAsia="Times New Roman" w:cs="Times New Roman"/>
                <w:lang w:val="en-AU"/>
              </w:rPr>
            </w:pPr>
            <w:r w:rsidRPr="004E3D38">
              <w:rPr>
                <w:rFonts w:eastAsia="Times New Roman"/>
                <w:lang w:val="en-AU"/>
              </w:rPr>
              <w:t>Agency</w:t>
            </w:r>
          </w:p>
        </w:tc>
        <w:tc>
          <w:tcPr>
            <w:tcW w:w="810" w:type="dxa"/>
            <w:shd w:val="clear" w:color="auto" w:fill="777777"/>
            <w:vAlign w:val="center"/>
            <w:hideMark/>
          </w:tcPr>
          <w:p w14:paraId="0FF90E18" w14:textId="77777777" w:rsidR="00A61FF5" w:rsidRPr="002C0527" w:rsidRDefault="00A61FF5" w:rsidP="00D07480">
            <w:pPr>
              <w:pStyle w:val="ESTableheadingwhite75"/>
              <w:jc w:val="center"/>
              <w:rPr>
                <w:rFonts w:eastAsia="Times New Roman" w:cs="Times New Roman"/>
                <w:snapToGrid w:val="0"/>
                <w:lang w:val="en-AU"/>
              </w:rPr>
            </w:pPr>
            <w:r w:rsidRPr="002C0527">
              <w:rPr>
                <w:rFonts w:eastAsia="Times New Roman" w:cs="Times New Roman"/>
                <w:snapToGrid w:val="0"/>
                <w:lang w:val="en-AU"/>
              </w:rPr>
              <w:t>Number</w:t>
            </w:r>
          </w:p>
        </w:tc>
        <w:tc>
          <w:tcPr>
            <w:tcW w:w="1022" w:type="dxa"/>
            <w:shd w:val="clear" w:color="auto" w:fill="777777"/>
            <w:vAlign w:val="center"/>
            <w:hideMark/>
          </w:tcPr>
          <w:p w14:paraId="609E5920" w14:textId="77777777" w:rsidR="00A61FF5" w:rsidRPr="002C0527" w:rsidRDefault="00A61FF5" w:rsidP="00D07480">
            <w:pPr>
              <w:pStyle w:val="ESTableheadingwhite75"/>
              <w:jc w:val="center"/>
              <w:rPr>
                <w:rFonts w:eastAsia="Times New Roman" w:cs="Times New Roman"/>
                <w:snapToGrid w:val="0"/>
                <w:lang w:val="en-AU"/>
              </w:rPr>
            </w:pPr>
            <w:r w:rsidRPr="002C0527">
              <w:rPr>
                <w:rFonts w:eastAsia="Times New Roman" w:cs="Times New Roman"/>
                <w:snapToGrid w:val="0"/>
                <w:lang w:val="en-AU"/>
              </w:rPr>
              <w:t>Variance</w:t>
            </w:r>
          </w:p>
        </w:tc>
        <w:tc>
          <w:tcPr>
            <w:tcW w:w="993" w:type="dxa"/>
            <w:tcBorders>
              <w:bottom w:val="nil"/>
            </w:tcBorders>
            <w:shd w:val="clear" w:color="auto" w:fill="777777"/>
            <w:vAlign w:val="center"/>
            <w:hideMark/>
          </w:tcPr>
          <w:p w14:paraId="35CE197C" w14:textId="77777777" w:rsidR="00A61FF5" w:rsidRPr="002C0527" w:rsidRDefault="00A61FF5" w:rsidP="00D07480">
            <w:pPr>
              <w:pStyle w:val="ESTableheadingwhite75"/>
              <w:jc w:val="center"/>
              <w:rPr>
                <w:rFonts w:eastAsia="Times New Roman" w:cs="Times New Roman"/>
                <w:snapToGrid w:val="0"/>
                <w:lang w:val="en-AU"/>
              </w:rPr>
            </w:pPr>
            <w:r w:rsidRPr="002C0527">
              <w:rPr>
                <w:rFonts w:eastAsia="Times New Roman" w:cs="Times New Roman"/>
                <w:snapToGrid w:val="0"/>
                <w:lang w:val="en-AU"/>
              </w:rPr>
              <w:t>Number</w:t>
            </w:r>
          </w:p>
        </w:tc>
        <w:tc>
          <w:tcPr>
            <w:tcW w:w="992" w:type="dxa"/>
            <w:shd w:val="clear" w:color="auto" w:fill="777777"/>
            <w:vAlign w:val="center"/>
            <w:hideMark/>
          </w:tcPr>
          <w:p w14:paraId="3EB4835D" w14:textId="77777777" w:rsidR="00A61FF5" w:rsidRPr="002C0527" w:rsidRDefault="00A61FF5" w:rsidP="00D07480">
            <w:pPr>
              <w:pStyle w:val="ESTableheadingwhite75"/>
              <w:jc w:val="center"/>
              <w:rPr>
                <w:rFonts w:eastAsia="Times New Roman" w:cs="Times New Roman"/>
                <w:snapToGrid w:val="0"/>
                <w:lang w:val="en-AU"/>
              </w:rPr>
            </w:pPr>
            <w:r w:rsidRPr="002C0527">
              <w:rPr>
                <w:rFonts w:eastAsia="Times New Roman" w:cs="Times New Roman"/>
                <w:snapToGrid w:val="0"/>
                <w:lang w:val="en-AU"/>
              </w:rPr>
              <w:t>Variance</w:t>
            </w:r>
          </w:p>
        </w:tc>
        <w:tc>
          <w:tcPr>
            <w:tcW w:w="992" w:type="dxa"/>
            <w:tcBorders>
              <w:bottom w:val="nil"/>
            </w:tcBorders>
            <w:shd w:val="clear" w:color="auto" w:fill="777777"/>
            <w:vAlign w:val="center"/>
            <w:hideMark/>
          </w:tcPr>
          <w:p w14:paraId="2E204E0B" w14:textId="77777777" w:rsidR="00A61FF5" w:rsidRPr="002C0527" w:rsidRDefault="00A61FF5" w:rsidP="00D07480">
            <w:pPr>
              <w:pStyle w:val="ESTableheadingwhite75"/>
              <w:jc w:val="center"/>
              <w:rPr>
                <w:rFonts w:eastAsia="Times New Roman" w:cs="Times New Roman"/>
                <w:snapToGrid w:val="0"/>
                <w:lang w:val="en-AU"/>
              </w:rPr>
            </w:pPr>
            <w:r w:rsidRPr="002C0527">
              <w:rPr>
                <w:rFonts w:eastAsia="Times New Roman" w:cs="Times New Roman"/>
                <w:snapToGrid w:val="0"/>
                <w:lang w:val="en-AU"/>
              </w:rPr>
              <w:t>Number</w:t>
            </w:r>
          </w:p>
        </w:tc>
        <w:tc>
          <w:tcPr>
            <w:tcW w:w="985" w:type="dxa"/>
            <w:shd w:val="clear" w:color="auto" w:fill="777777"/>
            <w:vAlign w:val="center"/>
            <w:hideMark/>
          </w:tcPr>
          <w:p w14:paraId="285ECBDF" w14:textId="77777777" w:rsidR="00A61FF5" w:rsidRPr="002C0527" w:rsidRDefault="00A61FF5" w:rsidP="00D07480">
            <w:pPr>
              <w:pStyle w:val="ESTableheadingwhite75"/>
              <w:jc w:val="center"/>
              <w:rPr>
                <w:rFonts w:eastAsia="Times New Roman" w:cs="Times New Roman"/>
                <w:snapToGrid w:val="0"/>
                <w:lang w:val="en-AU"/>
              </w:rPr>
            </w:pPr>
            <w:r w:rsidRPr="002C0527">
              <w:rPr>
                <w:rFonts w:eastAsia="Times New Roman" w:cs="Times New Roman"/>
                <w:snapToGrid w:val="0"/>
                <w:lang w:val="en-AU"/>
              </w:rPr>
              <w:t>Variance</w:t>
            </w:r>
          </w:p>
        </w:tc>
      </w:tr>
      <w:tr w:rsidR="00A61FF5" w:rsidRPr="00932A90" w14:paraId="4FBBD247" w14:textId="77777777" w:rsidTr="00D07480">
        <w:trPr>
          <w:cantSplit/>
          <w:trHeight w:val="454"/>
        </w:trPr>
        <w:tc>
          <w:tcPr>
            <w:tcW w:w="1570" w:type="dxa"/>
            <w:vAlign w:val="bottom"/>
            <w:hideMark/>
          </w:tcPr>
          <w:p w14:paraId="7A3E6C70" w14:textId="77777777" w:rsidR="00A61FF5" w:rsidRPr="007D5DAA" w:rsidRDefault="00A61FF5" w:rsidP="00D07480">
            <w:pPr>
              <w:pStyle w:val="ESTableBody"/>
              <w:rPr>
                <w:rFonts w:eastAsia="Times New Roman"/>
                <w:lang w:val="en-AU"/>
              </w:rPr>
            </w:pPr>
            <w:r w:rsidRPr="007D5DAA">
              <w:rPr>
                <w:rFonts w:eastAsia="Times New Roman"/>
                <w:lang w:val="en-AU"/>
              </w:rPr>
              <w:t>VCAA</w:t>
            </w:r>
          </w:p>
        </w:tc>
        <w:tc>
          <w:tcPr>
            <w:tcW w:w="810" w:type="dxa"/>
            <w:vAlign w:val="bottom"/>
            <w:hideMark/>
          </w:tcPr>
          <w:p w14:paraId="47D2EDD0"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5</w:t>
            </w:r>
          </w:p>
        </w:tc>
        <w:tc>
          <w:tcPr>
            <w:tcW w:w="1022" w:type="dxa"/>
            <w:tcBorders>
              <w:right w:val="single" w:sz="6" w:space="0" w:color="777777"/>
            </w:tcBorders>
            <w:vAlign w:val="bottom"/>
            <w:hideMark/>
          </w:tcPr>
          <w:p w14:paraId="01FA1869"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-1</w:t>
            </w:r>
          </w:p>
        </w:tc>
        <w:tc>
          <w:tcPr>
            <w:tcW w:w="993" w:type="dxa"/>
            <w:tcBorders>
              <w:left w:val="single" w:sz="6" w:space="0" w:color="777777"/>
              <w:bottom w:val="nil"/>
            </w:tcBorders>
            <w:vAlign w:val="bottom"/>
            <w:hideMark/>
          </w:tcPr>
          <w:p w14:paraId="7287316F"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2</w:t>
            </w:r>
          </w:p>
        </w:tc>
        <w:tc>
          <w:tcPr>
            <w:tcW w:w="992" w:type="dxa"/>
            <w:tcBorders>
              <w:right w:val="single" w:sz="6" w:space="0" w:color="777777"/>
            </w:tcBorders>
            <w:vAlign w:val="bottom"/>
            <w:hideMark/>
          </w:tcPr>
          <w:p w14:paraId="47805F7E"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-2</w:t>
            </w:r>
          </w:p>
        </w:tc>
        <w:tc>
          <w:tcPr>
            <w:tcW w:w="992" w:type="dxa"/>
            <w:tcBorders>
              <w:left w:val="single" w:sz="6" w:space="0" w:color="777777"/>
              <w:bottom w:val="nil"/>
            </w:tcBorders>
            <w:vAlign w:val="bottom"/>
            <w:hideMark/>
          </w:tcPr>
          <w:p w14:paraId="22DC5265"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3</w:t>
            </w:r>
          </w:p>
        </w:tc>
        <w:tc>
          <w:tcPr>
            <w:tcW w:w="985" w:type="dxa"/>
            <w:vAlign w:val="bottom"/>
            <w:hideMark/>
          </w:tcPr>
          <w:p w14:paraId="7951BC90"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+1</w:t>
            </w:r>
          </w:p>
        </w:tc>
      </w:tr>
      <w:tr w:rsidR="00A61FF5" w:rsidRPr="00932A90" w14:paraId="58A376C6" w14:textId="77777777" w:rsidTr="00D07480">
        <w:trPr>
          <w:cantSplit/>
          <w:trHeight w:val="454"/>
        </w:trPr>
        <w:tc>
          <w:tcPr>
            <w:tcW w:w="1570" w:type="dxa"/>
            <w:vAlign w:val="bottom"/>
            <w:hideMark/>
          </w:tcPr>
          <w:p w14:paraId="737ED245" w14:textId="77777777" w:rsidR="00A61FF5" w:rsidRPr="007D5DAA" w:rsidRDefault="00A61FF5" w:rsidP="00D07480">
            <w:pPr>
              <w:pStyle w:val="ESTableBody"/>
              <w:rPr>
                <w:rFonts w:eastAsia="Times New Roman"/>
                <w:lang w:val="en-AU"/>
              </w:rPr>
            </w:pPr>
            <w:r w:rsidRPr="007D5DAA">
              <w:rPr>
                <w:rFonts w:eastAsia="Times New Roman"/>
                <w:lang w:val="en-AU"/>
              </w:rPr>
              <w:t>VRQA</w:t>
            </w:r>
          </w:p>
        </w:tc>
        <w:tc>
          <w:tcPr>
            <w:tcW w:w="810" w:type="dxa"/>
            <w:vAlign w:val="bottom"/>
            <w:hideMark/>
          </w:tcPr>
          <w:p w14:paraId="63559128"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2</w:t>
            </w:r>
          </w:p>
        </w:tc>
        <w:tc>
          <w:tcPr>
            <w:tcW w:w="1022" w:type="dxa"/>
            <w:tcBorders>
              <w:right w:val="single" w:sz="6" w:space="0" w:color="777777"/>
            </w:tcBorders>
            <w:vAlign w:val="bottom"/>
            <w:hideMark/>
          </w:tcPr>
          <w:p w14:paraId="64AEA18B"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-1</w:t>
            </w:r>
          </w:p>
        </w:tc>
        <w:tc>
          <w:tcPr>
            <w:tcW w:w="993" w:type="dxa"/>
            <w:tcBorders>
              <w:left w:val="single" w:sz="6" w:space="0" w:color="777777"/>
              <w:bottom w:val="nil"/>
            </w:tcBorders>
            <w:vAlign w:val="bottom"/>
            <w:hideMark/>
          </w:tcPr>
          <w:p w14:paraId="1A782E8F"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1</w:t>
            </w:r>
          </w:p>
        </w:tc>
        <w:tc>
          <w:tcPr>
            <w:tcW w:w="992" w:type="dxa"/>
            <w:tcBorders>
              <w:right w:val="single" w:sz="6" w:space="0" w:color="777777"/>
            </w:tcBorders>
            <w:vAlign w:val="bottom"/>
            <w:hideMark/>
          </w:tcPr>
          <w:p w14:paraId="0F9EEE5B"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-1</w:t>
            </w:r>
          </w:p>
        </w:tc>
        <w:tc>
          <w:tcPr>
            <w:tcW w:w="992" w:type="dxa"/>
            <w:tcBorders>
              <w:left w:val="single" w:sz="6" w:space="0" w:color="777777"/>
              <w:bottom w:val="nil"/>
            </w:tcBorders>
            <w:vAlign w:val="bottom"/>
            <w:hideMark/>
          </w:tcPr>
          <w:p w14:paraId="5F2ADAB2"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1</w:t>
            </w:r>
          </w:p>
        </w:tc>
        <w:tc>
          <w:tcPr>
            <w:tcW w:w="985" w:type="dxa"/>
            <w:vAlign w:val="bottom"/>
            <w:hideMark/>
          </w:tcPr>
          <w:p w14:paraId="0A14BD01" w14:textId="77777777" w:rsidR="00A61FF5" w:rsidRPr="00EC4701" w:rsidRDefault="00A61FF5" w:rsidP="00421660">
            <w:pPr>
              <w:pStyle w:val="ESTableBody"/>
              <w:jc w:val="center"/>
              <w:rPr>
                <w:rFonts w:eastAsia="Times New Roman"/>
                <w:snapToGrid w:val="0"/>
                <w:lang w:val="en-AU"/>
              </w:rPr>
            </w:pPr>
            <w:r w:rsidRPr="00EC4701">
              <w:rPr>
                <w:rFonts w:eastAsia="Times New Roman"/>
                <w:snapToGrid w:val="0"/>
                <w:lang w:val="en-AU"/>
              </w:rPr>
              <w:t>‒</w:t>
            </w:r>
          </w:p>
        </w:tc>
      </w:tr>
      <w:tr w:rsidR="00A61FF5" w:rsidRPr="00932A90" w14:paraId="5697F030" w14:textId="77777777" w:rsidTr="00D07480">
        <w:trPr>
          <w:cantSplit/>
          <w:trHeight w:val="454"/>
        </w:trPr>
        <w:tc>
          <w:tcPr>
            <w:tcW w:w="1570" w:type="dxa"/>
            <w:vAlign w:val="bottom"/>
            <w:hideMark/>
          </w:tcPr>
          <w:p w14:paraId="1210789A" w14:textId="77777777" w:rsidR="00A61FF5" w:rsidRPr="00EC4701" w:rsidRDefault="00A61FF5" w:rsidP="00D07480">
            <w:pPr>
              <w:pStyle w:val="ESTableBody"/>
              <w:rPr>
                <w:rFonts w:eastAsia="Times New Roman"/>
                <w:lang w:val="en-AU"/>
              </w:rPr>
            </w:pPr>
            <w:r w:rsidRPr="004E3D38">
              <w:rPr>
                <w:rFonts w:eastAsia="Times New Roman"/>
                <w:b/>
                <w:lang w:val="en-AU"/>
              </w:rPr>
              <w:t>Total</w:t>
            </w:r>
          </w:p>
        </w:tc>
        <w:tc>
          <w:tcPr>
            <w:tcW w:w="810" w:type="dxa"/>
            <w:vAlign w:val="bottom"/>
            <w:hideMark/>
          </w:tcPr>
          <w:p w14:paraId="1CEF6A4A" w14:textId="77777777" w:rsidR="00A61FF5" w:rsidRPr="004E3D38" w:rsidRDefault="00A61FF5" w:rsidP="00421660">
            <w:pPr>
              <w:pStyle w:val="ESTableBody"/>
              <w:jc w:val="center"/>
              <w:rPr>
                <w:rFonts w:eastAsia="Times New Roman"/>
                <w:b/>
                <w:snapToGrid w:val="0"/>
                <w:lang w:val="en-AU"/>
              </w:rPr>
            </w:pPr>
            <w:r w:rsidRPr="004E3D38">
              <w:rPr>
                <w:rFonts w:eastAsia="Times New Roman"/>
                <w:b/>
                <w:snapToGrid w:val="0"/>
                <w:lang w:val="en-AU"/>
              </w:rPr>
              <w:t>7</w:t>
            </w:r>
          </w:p>
        </w:tc>
        <w:tc>
          <w:tcPr>
            <w:tcW w:w="1022" w:type="dxa"/>
            <w:tcBorders>
              <w:right w:val="single" w:sz="6" w:space="0" w:color="777777"/>
            </w:tcBorders>
            <w:vAlign w:val="bottom"/>
            <w:hideMark/>
          </w:tcPr>
          <w:p w14:paraId="27CD5128" w14:textId="77777777" w:rsidR="00A61FF5" w:rsidRPr="004E3D38" w:rsidRDefault="00A61FF5" w:rsidP="00421660">
            <w:pPr>
              <w:pStyle w:val="ESTableBody"/>
              <w:jc w:val="center"/>
              <w:rPr>
                <w:rFonts w:eastAsia="Times New Roman"/>
                <w:b/>
                <w:snapToGrid w:val="0"/>
                <w:lang w:val="en-AU"/>
              </w:rPr>
            </w:pPr>
            <w:r w:rsidRPr="00EC4701">
              <w:rPr>
                <w:rFonts w:eastAsia="Times New Roman"/>
                <w:snapToGrid w:val="0"/>
                <w:lang w:val="en-AU"/>
              </w:rPr>
              <w:t>-2</w:t>
            </w:r>
          </w:p>
        </w:tc>
        <w:tc>
          <w:tcPr>
            <w:tcW w:w="993" w:type="dxa"/>
            <w:tcBorders>
              <w:left w:val="single" w:sz="6" w:space="0" w:color="777777"/>
              <w:bottom w:val="single" w:sz="12" w:space="0" w:color="777777"/>
            </w:tcBorders>
            <w:vAlign w:val="bottom"/>
            <w:hideMark/>
          </w:tcPr>
          <w:p w14:paraId="0AAF2ED2" w14:textId="77777777" w:rsidR="00A61FF5" w:rsidRPr="002C0527" w:rsidRDefault="00A61FF5" w:rsidP="00421660">
            <w:pPr>
              <w:pStyle w:val="ESTableBody"/>
              <w:jc w:val="center"/>
              <w:rPr>
                <w:rFonts w:eastAsia="Times New Roman"/>
                <w:b/>
                <w:snapToGrid w:val="0"/>
                <w:lang w:val="en-AU"/>
              </w:rPr>
            </w:pPr>
            <w:r w:rsidRPr="002C0527">
              <w:rPr>
                <w:rFonts w:eastAsia="Times New Roman"/>
                <w:b/>
                <w:snapToGrid w:val="0"/>
                <w:lang w:val="en-AU"/>
              </w:rPr>
              <w:t>3</w:t>
            </w:r>
          </w:p>
        </w:tc>
        <w:tc>
          <w:tcPr>
            <w:tcW w:w="992" w:type="dxa"/>
            <w:tcBorders>
              <w:right w:val="single" w:sz="6" w:space="0" w:color="777777"/>
            </w:tcBorders>
            <w:vAlign w:val="bottom"/>
            <w:hideMark/>
          </w:tcPr>
          <w:p w14:paraId="7DA3E61B" w14:textId="77777777" w:rsidR="00A61FF5" w:rsidRPr="004E3D38" w:rsidRDefault="00A61FF5" w:rsidP="00421660">
            <w:pPr>
              <w:pStyle w:val="ESTableBody"/>
              <w:jc w:val="center"/>
              <w:rPr>
                <w:rFonts w:eastAsia="Times New Roman"/>
                <w:b/>
                <w:snapToGrid w:val="0"/>
                <w:lang w:val="en-AU"/>
              </w:rPr>
            </w:pPr>
            <w:r w:rsidRPr="00EC4701">
              <w:rPr>
                <w:rFonts w:eastAsia="Times New Roman"/>
                <w:snapToGrid w:val="0"/>
                <w:lang w:val="en-AU"/>
              </w:rPr>
              <w:t>-3</w:t>
            </w:r>
          </w:p>
        </w:tc>
        <w:tc>
          <w:tcPr>
            <w:tcW w:w="992" w:type="dxa"/>
            <w:tcBorders>
              <w:left w:val="single" w:sz="6" w:space="0" w:color="777777"/>
              <w:bottom w:val="single" w:sz="12" w:space="0" w:color="777777"/>
            </w:tcBorders>
            <w:vAlign w:val="bottom"/>
            <w:hideMark/>
          </w:tcPr>
          <w:p w14:paraId="13BFA661" w14:textId="77777777" w:rsidR="00A61FF5" w:rsidRPr="002C0527" w:rsidRDefault="00A61FF5" w:rsidP="00421660">
            <w:pPr>
              <w:pStyle w:val="ESTableBody"/>
              <w:jc w:val="center"/>
              <w:rPr>
                <w:rFonts w:eastAsia="Times New Roman"/>
                <w:b/>
                <w:snapToGrid w:val="0"/>
                <w:lang w:val="en-AU"/>
              </w:rPr>
            </w:pPr>
            <w:r w:rsidRPr="002C0527">
              <w:rPr>
                <w:rFonts w:eastAsia="Times New Roman"/>
                <w:b/>
                <w:snapToGrid w:val="0"/>
                <w:lang w:val="en-AU"/>
              </w:rPr>
              <w:t>4</w:t>
            </w:r>
          </w:p>
        </w:tc>
        <w:tc>
          <w:tcPr>
            <w:tcW w:w="985" w:type="dxa"/>
            <w:vAlign w:val="bottom"/>
            <w:hideMark/>
          </w:tcPr>
          <w:p w14:paraId="3A5E816C" w14:textId="77777777" w:rsidR="00A61FF5" w:rsidRPr="004E3D38" w:rsidRDefault="00A61FF5" w:rsidP="00421660">
            <w:pPr>
              <w:pStyle w:val="ESTableBody"/>
              <w:jc w:val="center"/>
              <w:rPr>
                <w:rFonts w:eastAsia="Times New Roman"/>
                <w:b/>
                <w:snapToGrid w:val="0"/>
                <w:lang w:val="en-AU"/>
              </w:rPr>
            </w:pPr>
            <w:r w:rsidRPr="00EC4701">
              <w:rPr>
                <w:rFonts w:eastAsia="Times New Roman"/>
                <w:snapToGrid w:val="0"/>
                <w:lang w:val="en-AU"/>
              </w:rPr>
              <w:t>+1</w:t>
            </w:r>
          </w:p>
        </w:tc>
      </w:tr>
    </w:tbl>
    <w:p w14:paraId="17176306" w14:textId="77777777" w:rsidR="003E0EFB" w:rsidRDefault="003E0EFB" w:rsidP="009D5940">
      <w:pPr>
        <w:pStyle w:val="ESTableintroheading"/>
        <w:rPr>
          <w:lang w:val="en-AU"/>
        </w:rPr>
      </w:pPr>
      <w:bookmarkStart w:id="196" w:name="_Toc488410119"/>
      <w:bookmarkStart w:id="197" w:name="_Toc488767591"/>
      <w:bookmarkStart w:id="198" w:name="_Toc488769003"/>
      <w:bookmarkStart w:id="199" w:name="_Toc489526718"/>
      <w:bookmarkStart w:id="200" w:name="_Toc491070317"/>
    </w:p>
    <w:p w14:paraId="38DB30B3" w14:textId="77777777" w:rsidR="003E0EFB" w:rsidRDefault="003E0EFB">
      <w:pPr>
        <w:rPr>
          <w:rFonts w:ascii="Arial" w:eastAsiaTheme="minorEastAsia" w:hAnsi="Arial" w:cs="Arial"/>
          <w:b/>
          <w:i/>
          <w:color w:val="000000" w:themeColor="text1"/>
          <w:spacing w:val="-4"/>
          <w:w w:val="98"/>
          <w:sz w:val="19"/>
          <w:szCs w:val="19"/>
          <w:lang w:val="en-AU"/>
        </w:rPr>
      </w:pPr>
      <w:r>
        <w:rPr>
          <w:lang w:val="en-AU"/>
        </w:rPr>
        <w:br w:type="page"/>
      </w:r>
    </w:p>
    <w:p w14:paraId="26F8D67F" w14:textId="7C8A0702" w:rsidR="009D5940" w:rsidRPr="0052072A" w:rsidRDefault="007F31BA" w:rsidP="009D5940">
      <w:pPr>
        <w:pStyle w:val="ESTableintroheading"/>
        <w:rPr>
          <w:highlight w:val="yellow"/>
          <w:lang w:val="en-AU"/>
        </w:rPr>
      </w:pPr>
      <w:r w:rsidRPr="0052072A">
        <w:rPr>
          <w:lang w:val="en-AU"/>
        </w:rPr>
        <w:t xml:space="preserve">Table </w:t>
      </w:r>
      <w:r w:rsidRPr="0052072A">
        <w:rPr>
          <w:lang w:val="en-AU"/>
        </w:rPr>
        <w:fldChar w:fldCharType="begin"/>
      </w:r>
      <w:r w:rsidRPr="0052072A">
        <w:rPr>
          <w:lang w:val="en-AU"/>
        </w:rPr>
        <w:instrText xml:space="preserve"> SEQ Table \* MERGEFORMAT </w:instrText>
      </w:r>
      <w:r w:rsidRPr="0052072A">
        <w:rPr>
          <w:lang w:val="en-AU"/>
        </w:rPr>
        <w:fldChar w:fldCharType="separate"/>
      </w:r>
      <w:r w:rsidR="00F36F52">
        <w:rPr>
          <w:noProof/>
          <w:lang w:val="en-AU"/>
        </w:rPr>
        <w:t>21</w:t>
      </w:r>
      <w:r w:rsidRPr="0052072A">
        <w:rPr>
          <w:noProof/>
          <w:lang w:val="en-AU"/>
        </w:rPr>
        <w:fldChar w:fldCharType="end"/>
      </w:r>
      <w:r w:rsidR="00BD42D0">
        <w:rPr>
          <w:lang w:val="en-AU"/>
        </w:rPr>
        <w:t xml:space="preserve"> —Number of executive o</w:t>
      </w:r>
      <w:r w:rsidRPr="0052072A">
        <w:rPr>
          <w:lang w:val="en-AU"/>
        </w:rPr>
        <w:t xml:space="preserve">fficers </w:t>
      </w:r>
      <w:r w:rsidR="009D5940" w:rsidRPr="0052072A">
        <w:rPr>
          <w:lang w:val="en-AU"/>
        </w:rPr>
        <w:t>for the Department's portfolio agencies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302"/>
        <w:gridCol w:w="776"/>
        <w:gridCol w:w="689"/>
        <w:gridCol w:w="689"/>
        <w:gridCol w:w="688"/>
        <w:gridCol w:w="690"/>
        <w:gridCol w:w="689"/>
        <w:gridCol w:w="689"/>
        <w:gridCol w:w="578"/>
        <w:gridCol w:w="577"/>
      </w:tblGrid>
      <w:tr w:rsidR="005E30E1" w:rsidRPr="0087752B" w14:paraId="04AC38E9" w14:textId="77777777" w:rsidTr="006E49EE">
        <w:trPr>
          <w:cantSplit/>
          <w:trHeight w:hRule="exact" w:val="284"/>
        </w:trPr>
        <w:tc>
          <w:tcPr>
            <w:tcW w:w="1302" w:type="dxa"/>
            <w:tcBorders>
              <w:top w:val="nil"/>
              <w:left w:val="nil"/>
              <w:bottom w:val="nil"/>
              <w:right w:val="nil"/>
            </w:tcBorders>
            <w:shd w:val="clear" w:color="auto" w:fill="7F7F7F" w:themeFill="text1" w:themeFillTint="80"/>
            <w:vAlign w:val="center"/>
          </w:tcPr>
          <w:p w14:paraId="6FA57FD3" w14:textId="77777777" w:rsidR="005E30E1" w:rsidRPr="007D5DAA" w:rsidRDefault="005E30E1" w:rsidP="007D5DAA">
            <w:pPr>
              <w:pStyle w:val="ESTableheadingwhite"/>
              <w:jc w:val="center"/>
              <w:rPr>
                <w:sz w:val="16"/>
              </w:rPr>
            </w:pPr>
          </w:p>
        </w:tc>
        <w:tc>
          <w:tcPr>
            <w:tcW w:w="2154" w:type="dxa"/>
            <w:gridSpan w:val="3"/>
            <w:tcBorders>
              <w:top w:val="nil"/>
              <w:left w:val="nil"/>
              <w:bottom w:val="nil"/>
              <w:right w:val="nil"/>
            </w:tcBorders>
            <w:shd w:val="clear" w:color="auto" w:fill="7F7F7F" w:themeFill="text1" w:themeFillTint="80"/>
            <w:vAlign w:val="center"/>
          </w:tcPr>
          <w:p w14:paraId="3B25A515" w14:textId="67088F15" w:rsidR="005E30E1" w:rsidRPr="007D5DAA" w:rsidRDefault="005E30E1" w:rsidP="00EC4701">
            <w:pPr>
              <w:pStyle w:val="ESTableheadingwhite"/>
              <w:jc w:val="center"/>
              <w:rPr>
                <w:sz w:val="16"/>
              </w:rPr>
            </w:pPr>
            <w:r w:rsidRPr="004E3D38">
              <w:rPr>
                <w:sz w:val="16"/>
              </w:rPr>
              <w:t>201</w:t>
            </w:r>
            <w:r w:rsidR="00FD5C50" w:rsidRPr="00675F02">
              <w:rPr>
                <w:bCs/>
                <w:sz w:val="16"/>
              </w:rPr>
              <w:t>7</w:t>
            </w:r>
          </w:p>
        </w:tc>
        <w:tc>
          <w:tcPr>
            <w:tcW w:w="2067" w:type="dxa"/>
            <w:gridSpan w:val="3"/>
            <w:tcBorders>
              <w:top w:val="nil"/>
              <w:left w:val="nil"/>
              <w:bottom w:val="nil"/>
              <w:right w:val="nil"/>
            </w:tcBorders>
            <w:shd w:val="clear" w:color="auto" w:fill="7F7F7F" w:themeFill="text1" w:themeFillTint="80"/>
            <w:vAlign w:val="center"/>
          </w:tcPr>
          <w:p w14:paraId="2E3AF1F8" w14:textId="1D5ACAE0" w:rsidR="005E30E1" w:rsidRPr="007D5DAA" w:rsidRDefault="005E30E1" w:rsidP="00EC4701">
            <w:pPr>
              <w:pStyle w:val="ESTableheadingwhite"/>
              <w:jc w:val="center"/>
              <w:rPr>
                <w:sz w:val="16"/>
              </w:rPr>
            </w:pPr>
            <w:r w:rsidRPr="004E3D38">
              <w:rPr>
                <w:sz w:val="16"/>
              </w:rPr>
              <w:t>201</w:t>
            </w:r>
            <w:r w:rsidR="00FD5C50" w:rsidRPr="00675F02">
              <w:rPr>
                <w:bCs/>
                <w:sz w:val="16"/>
              </w:rPr>
              <w:t>6</w:t>
            </w:r>
          </w:p>
        </w:tc>
        <w:tc>
          <w:tcPr>
            <w:tcW w:w="1844" w:type="dxa"/>
            <w:gridSpan w:val="3"/>
            <w:tcBorders>
              <w:top w:val="nil"/>
              <w:left w:val="nil"/>
              <w:bottom w:val="nil"/>
              <w:right w:val="nil"/>
            </w:tcBorders>
            <w:shd w:val="clear" w:color="auto" w:fill="7F7F7F" w:themeFill="text1" w:themeFillTint="80"/>
            <w:vAlign w:val="center"/>
          </w:tcPr>
          <w:p w14:paraId="26617AAE" w14:textId="77777777" w:rsidR="005E30E1" w:rsidRPr="00EC4701" w:rsidRDefault="005E30E1" w:rsidP="00EC4701">
            <w:pPr>
              <w:pStyle w:val="ESTableheadingwhite"/>
              <w:jc w:val="center"/>
              <w:rPr>
                <w:sz w:val="16"/>
              </w:rPr>
            </w:pPr>
            <w:r w:rsidRPr="004E3D38">
              <w:rPr>
                <w:sz w:val="16"/>
              </w:rPr>
              <w:t>Change</w:t>
            </w:r>
          </w:p>
        </w:tc>
      </w:tr>
      <w:tr w:rsidR="00746934" w:rsidRPr="0087752B" w14:paraId="6574F51A" w14:textId="77777777" w:rsidTr="006E49EE">
        <w:trPr>
          <w:cantSplit/>
          <w:trHeight w:val="454"/>
        </w:trPr>
        <w:tc>
          <w:tcPr>
            <w:tcW w:w="1302" w:type="dxa"/>
            <w:tcBorders>
              <w:top w:val="nil"/>
              <w:left w:val="nil"/>
              <w:bottom w:val="nil"/>
              <w:right w:val="nil"/>
            </w:tcBorders>
            <w:shd w:val="clear" w:color="auto" w:fill="7F7F7F" w:themeFill="text1" w:themeFillTint="80"/>
            <w:vAlign w:val="center"/>
            <w:hideMark/>
          </w:tcPr>
          <w:p w14:paraId="5E0FF1FF" w14:textId="77777777" w:rsidR="005E30E1" w:rsidRPr="00EC4701" w:rsidRDefault="005E30E1" w:rsidP="007D5DAA">
            <w:pPr>
              <w:pStyle w:val="ESTableheadingwhite"/>
              <w:jc w:val="center"/>
              <w:rPr>
                <w:sz w:val="16"/>
              </w:rPr>
            </w:pPr>
            <w:r w:rsidRPr="004E3D38">
              <w:rPr>
                <w:sz w:val="16"/>
              </w:rPr>
              <w:t>Portfolio agency</w:t>
            </w:r>
          </w:p>
        </w:tc>
        <w:tc>
          <w:tcPr>
            <w:tcW w:w="776" w:type="dxa"/>
            <w:tcBorders>
              <w:top w:val="nil"/>
              <w:left w:val="nil"/>
              <w:bottom w:val="nil"/>
              <w:right w:val="nil"/>
            </w:tcBorders>
            <w:shd w:val="clear" w:color="auto" w:fill="7F7F7F" w:themeFill="text1" w:themeFillTint="80"/>
            <w:vAlign w:val="center"/>
          </w:tcPr>
          <w:p w14:paraId="24C3BC0C" w14:textId="77777777" w:rsidR="005E30E1" w:rsidRPr="00EC4701" w:rsidRDefault="005E30E1" w:rsidP="00EC4701">
            <w:pPr>
              <w:pStyle w:val="ESTableheadingwhite"/>
              <w:jc w:val="center"/>
              <w:rPr>
                <w:sz w:val="16"/>
              </w:rPr>
            </w:pPr>
            <w:r w:rsidRPr="004E3D38">
              <w:rPr>
                <w:sz w:val="16"/>
              </w:rPr>
              <w:t>Female</w:t>
            </w:r>
          </w:p>
        </w:tc>
        <w:tc>
          <w:tcPr>
            <w:tcW w:w="689" w:type="dxa"/>
            <w:tcBorders>
              <w:top w:val="nil"/>
              <w:left w:val="nil"/>
              <w:bottom w:val="nil"/>
              <w:right w:val="nil"/>
            </w:tcBorders>
            <w:shd w:val="clear" w:color="auto" w:fill="7F7F7F" w:themeFill="text1" w:themeFillTint="80"/>
            <w:vAlign w:val="center"/>
            <w:hideMark/>
          </w:tcPr>
          <w:p w14:paraId="0411EE3B" w14:textId="77777777" w:rsidR="005E30E1" w:rsidRPr="00EC4701" w:rsidRDefault="005E30E1" w:rsidP="00EC4701">
            <w:pPr>
              <w:pStyle w:val="ESTableheadingwhite"/>
              <w:jc w:val="center"/>
              <w:rPr>
                <w:sz w:val="16"/>
              </w:rPr>
            </w:pPr>
            <w:r w:rsidRPr="004E3D38">
              <w:rPr>
                <w:sz w:val="16"/>
              </w:rPr>
              <w:t>Male</w:t>
            </w:r>
          </w:p>
        </w:tc>
        <w:tc>
          <w:tcPr>
            <w:tcW w:w="689" w:type="dxa"/>
            <w:tcBorders>
              <w:top w:val="nil"/>
              <w:left w:val="nil"/>
              <w:bottom w:val="nil"/>
              <w:right w:val="nil"/>
            </w:tcBorders>
            <w:shd w:val="clear" w:color="auto" w:fill="7F7F7F" w:themeFill="text1" w:themeFillTint="80"/>
            <w:vAlign w:val="center"/>
            <w:hideMark/>
          </w:tcPr>
          <w:p w14:paraId="3EED070E" w14:textId="77777777" w:rsidR="005E30E1" w:rsidRPr="00EC4701" w:rsidRDefault="005E30E1" w:rsidP="00EC4701">
            <w:pPr>
              <w:pStyle w:val="ESTableheadingwhite"/>
              <w:jc w:val="center"/>
              <w:rPr>
                <w:sz w:val="16"/>
              </w:rPr>
            </w:pPr>
            <w:r w:rsidRPr="004E3D38">
              <w:rPr>
                <w:sz w:val="16"/>
              </w:rPr>
              <w:t>Total</w:t>
            </w:r>
          </w:p>
        </w:tc>
        <w:tc>
          <w:tcPr>
            <w:tcW w:w="688" w:type="dxa"/>
            <w:tcBorders>
              <w:top w:val="nil"/>
              <w:left w:val="nil"/>
              <w:bottom w:val="nil"/>
              <w:right w:val="nil"/>
            </w:tcBorders>
            <w:shd w:val="clear" w:color="auto" w:fill="7F7F7F" w:themeFill="text1" w:themeFillTint="80"/>
            <w:vAlign w:val="center"/>
          </w:tcPr>
          <w:p w14:paraId="263471B7" w14:textId="77777777" w:rsidR="005E30E1" w:rsidRPr="00EC4701" w:rsidRDefault="005E30E1" w:rsidP="00EC4701">
            <w:pPr>
              <w:pStyle w:val="ESTableheadingwhite"/>
              <w:jc w:val="center"/>
              <w:rPr>
                <w:sz w:val="16"/>
              </w:rPr>
            </w:pPr>
            <w:r w:rsidRPr="004E3D38">
              <w:rPr>
                <w:sz w:val="16"/>
              </w:rPr>
              <w:t>Female</w:t>
            </w:r>
          </w:p>
        </w:tc>
        <w:tc>
          <w:tcPr>
            <w:tcW w:w="690" w:type="dxa"/>
            <w:tcBorders>
              <w:top w:val="nil"/>
              <w:left w:val="nil"/>
              <w:bottom w:val="nil"/>
              <w:right w:val="nil"/>
            </w:tcBorders>
            <w:shd w:val="clear" w:color="auto" w:fill="7F7F7F" w:themeFill="text1" w:themeFillTint="80"/>
            <w:vAlign w:val="center"/>
          </w:tcPr>
          <w:p w14:paraId="44FB33DA" w14:textId="77777777" w:rsidR="005E30E1" w:rsidRPr="00EC4701" w:rsidRDefault="005E30E1" w:rsidP="00EC4701">
            <w:pPr>
              <w:pStyle w:val="ESTableheadingwhite"/>
              <w:jc w:val="center"/>
              <w:rPr>
                <w:sz w:val="16"/>
              </w:rPr>
            </w:pPr>
            <w:r w:rsidRPr="004E3D38">
              <w:rPr>
                <w:sz w:val="16"/>
              </w:rPr>
              <w:t>Male</w:t>
            </w:r>
          </w:p>
        </w:tc>
        <w:tc>
          <w:tcPr>
            <w:tcW w:w="689" w:type="dxa"/>
            <w:tcBorders>
              <w:top w:val="nil"/>
              <w:left w:val="nil"/>
              <w:bottom w:val="nil"/>
              <w:right w:val="nil"/>
            </w:tcBorders>
            <w:shd w:val="clear" w:color="auto" w:fill="7F7F7F" w:themeFill="text1" w:themeFillTint="80"/>
            <w:vAlign w:val="center"/>
            <w:hideMark/>
          </w:tcPr>
          <w:p w14:paraId="7400F8C6" w14:textId="77777777" w:rsidR="005E30E1" w:rsidRPr="00EC4701" w:rsidRDefault="005E30E1" w:rsidP="00EC4701">
            <w:pPr>
              <w:pStyle w:val="ESTableheadingwhite"/>
              <w:jc w:val="center"/>
              <w:rPr>
                <w:sz w:val="16"/>
              </w:rPr>
            </w:pPr>
            <w:r w:rsidRPr="004E3D38">
              <w:rPr>
                <w:sz w:val="16"/>
              </w:rPr>
              <w:t>Total</w:t>
            </w:r>
          </w:p>
        </w:tc>
        <w:tc>
          <w:tcPr>
            <w:tcW w:w="689" w:type="dxa"/>
            <w:tcBorders>
              <w:top w:val="nil"/>
              <w:left w:val="nil"/>
              <w:bottom w:val="nil"/>
              <w:right w:val="nil"/>
            </w:tcBorders>
            <w:shd w:val="clear" w:color="auto" w:fill="7F7F7F" w:themeFill="text1" w:themeFillTint="80"/>
            <w:vAlign w:val="center"/>
          </w:tcPr>
          <w:p w14:paraId="6454C82D" w14:textId="77777777" w:rsidR="005E30E1" w:rsidRPr="00EC4701" w:rsidRDefault="005E30E1" w:rsidP="00EC4701">
            <w:pPr>
              <w:pStyle w:val="ESTableheadingwhite"/>
              <w:jc w:val="center"/>
              <w:rPr>
                <w:sz w:val="16"/>
              </w:rPr>
            </w:pPr>
            <w:r w:rsidRPr="004E3D38">
              <w:rPr>
                <w:sz w:val="16"/>
              </w:rPr>
              <w:t>Female</w:t>
            </w:r>
          </w:p>
        </w:tc>
        <w:tc>
          <w:tcPr>
            <w:tcW w:w="578" w:type="dxa"/>
            <w:tcBorders>
              <w:top w:val="nil"/>
              <w:left w:val="nil"/>
              <w:bottom w:val="nil"/>
              <w:right w:val="nil"/>
            </w:tcBorders>
            <w:shd w:val="clear" w:color="auto" w:fill="7F7F7F" w:themeFill="text1" w:themeFillTint="80"/>
            <w:vAlign w:val="center"/>
          </w:tcPr>
          <w:p w14:paraId="2390571E" w14:textId="77777777" w:rsidR="005E30E1" w:rsidRPr="00EC4701" w:rsidRDefault="005E30E1" w:rsidP="00EC4701">
            <w:pPr>
              <w:pStyle w:val="ESTableheadingwhite"/>
              <w:jc w:val="center"/>
              <w:rPr>
                <w:sz w:val="16"/>
              </w:rPr>
            </w:pPr>
            <w:r w:rsidRPr="004E3D38">
              <w:rPr>
                <w:sz w:val="16"/>
              </w:rPr>
              <w:t>Male</w:t>
            </w:r>
          </w:p>
        </w:tc>
        <w:tc>
          <w:tcPr>
            <w:tcW w:w="577" w:type="dxa"/>
            <w:tcBorders>
              <w:top w:val="nil"/>
              <w:left w:val="nil"/>
              <w:bottom w:val="nil"/>
              <w:right w:val="nil"/>
            </w:tcBorders>
            <w:shd w:val="clear" w:color="auto" w:fill="7F7F7F" w:themeFill="text1" w:themeFillTint="80"/>
            <w:vAlign w:val="center"/>
          </w:tcPr>
          <w:p w14:paraId="736ADB88" w14:textId="77777777" w:rsidR="005E30E1" w:rsidRPr="00EC4701" w:rsidRDefault="005E30E1" w:rsidP="00EC4701">
            <w:pPr>
              <w:pStyle w:val="ESTableheadingwhite"/>
              <w:jc w:val="center"/>
              <w:rPr>
                <w:sz w:val="16"/>
              </w:rPr>
            </w:pPr>
            <w:r w:rsidRPr="004E3D38">
              <w:rPr>
                <w:sz w:val="16"/>
              </w:rPr>
              <w:t>Total</w:t>
            </w:r>
          </w:p>
        </w:tc>
      </w:tr>
      <w:tr w:rsidR="000966E9" w:rsidRPr="0087752B" w14:paraId="3A6F1238" w14:textId="77777777" w:rsidTr="006E49EE">
        <w:trPr>
          <w:cantSplit/>
          <w:trHeight w:val="454"/>
        </w:trPr>
        <w:tc>
          <w:tcPr>
            <w:tcW w:w="1302" w:type="dxa"/>
            <w:tcBorders>
              <w:top w:val="nil"/>
              <w:left w:val="nil"/>
              <w:bottom w:val="nil"/>
              <w:right w:val="nil"/>
            </w:tcBorders>
            <w:shd w:val="clear" w:color="auto" w:fill="F8F8F8"/>
            <w:vAlign w:val="center"/>
          </w:tcPr>
          <w:p w14:paraId="52EBDAA9" w14:textId="77777777" w:rsidR="000966E9" w:rsidRPr="0087752B" w:rsidRDefault="000966E9" w:rsidP="007D5DAA">
            <w:pPr>
              <w:pStyle w:val="ESTablebody0"/>
            </w:pPr>
            <w:r w:rsidRPr="0087752B">
              <w:t>AMES Australia</w:t>
            </w:r>
          </w:p>
        </w:tc>
        <w:tc>
          <w:tcPr>
            <w:tcW w:w="776" w:type="dxa"/>
            <w:tcBorders>
              <w:top w:val="nil"/>
              <w:left w:val="nil"/>
              <w:bottom w:val="nil"/>
              <w:right w:val="nil"/>
            </w:tcBorders>
            <w:vAlign w:val="bottom"/>
          </w:tcPr>
          <w:p w14:paraId="3D3054AB" w14:textId="338A010A" w:rsidR="000966E9" w:rsidRPr="0087752B" w:rsidRDefault="000966E9" w:rsidP="00876E39">
            <w:pPr>
              <w:pStyle w:val="ESTablebody0"/>
              <w:jc w:val="right"/>
            </w:pPr>
            <w:r>
              <w:t>6</w:t>
            </w:r>
          </w:p>
        </w:tc>
        <w:tc>
          <w:tcPr>
            <w:tcW w:w="689" w:type="dxa"/>
            <w:tcBorders>
              <w:top w:val="nil"/>
              <w:left w:val="nil"/>
              <w:bottom w:val="nil"/>
              <w:right w:val="nil"/>
            </w:tcBorders>
            <w:vAlign w:val="bottom"/>
          </w:tcPr>
          <w:p w14:paraId="022D04B5" w14:textId="1639598A" w:rsidR="000966E9" w:rsidRPr="0087752B" w:rsidRDefault="000966E9" w:rsidP="00876E39">
            <w:pPr>
              <w:pStyle w:val="ESTablebody0"/>
              <w:jc w:val="right"/>
            </w:pPr>
            <w:r>
              <w:t>3</w:t>
            </w:r>
          </w:p>
        </w:tc>
        <w:tc>
          <w:tcPr>
            <w:tcW w:w="689" w:type="dxa"/>
            <w:tcBorders>
              <w:top w:val="nil"/>
              <w:left w:val="nil"/>
              <w:bottom w:val="nil"/>
              <w:right w:val="single" w:sz="4" w:space="0" w:color="auto"/>
            </w:tcBorders>
            <w:vAlign w:val="bottom"/>
          </w:tcPr>
          <w:p w14:paraId="141A4C67" w14:textId="1BAFAA7D" w:rsidR="000966E9" w:rsidRPr="00876E39" w:rsidRDefault="000966E9" w:rsidP="00876E39">
            <w:pPr>
              <w:pStyle w:val="ESTablebody0"/>
              <w:jc w:val="right"/>
              <w:rPr>
                <w:b/>
              </w:rPr>
            </w:pPr>
            <w:r w:rsidRPr="00876E39">
              <w:rPr>
                <w:b/>
              </w:rPr>
              <w:t>9</w:t>
            </w:r>
          </w:p>
        </w:tc>
        <w:tc>
          <w:tcPr>
            <w:tcW w:w="688" w:type="dxa"/>
            <w:tcBorders>
              <w:top w:val="nil"/>
              <w:left w:val="single" w:sz="4" w:space="0" w:color="auto"/>
              <w:bottom w:val="nil"/>
              <w:right w:val="nil"/>
            </w:tcBorders>
            <w:shd w:val="clear" w:color="auto" w:fill="auto"/>
            <w:vAlign w:val="bottom"/>
          </w:tcPr>
          <w:p w14:paraId="4FF1CB2F" w14:textId="66EC7A4B" w:rsidR="000966E9" w:rsidRPr="0087752B" w:rsidRDefault="000966E9" w:rsidP="00876E39">
            <w:pPr>
              <w:pStyle w:val="ESTablebody0"/>
              <w:jc w:val="right"/>
            </w:pPr>
            <w:r w:rsidRPr="0047102E">
              <w:t>6</w:t>
            </w:r>
          </w:p>
        </w:tc>
        <w:tc>
          <w:tcPr>
            <w:tcW w:w="690" w:type="dxa"/>
            <w:tcBorders>
              <w:top w:val="nil"/>
              <w:left w:val="nil"/>
              <w:bottom w:val="nil"/>
              <w:right w:val="nil"/>
            </w:tcBorders>
            <w:shd w:val="clear" w:color="auto" w:fill="auto"/>
            <w:vAlign w:val="bottom"/>
          </w:tcPr>
          <w:p w14:paraId="0A0CAAA9" w14:textId="7733C665" w:rsidR="000966E9" w:rsidRPr="0087752B" w:rsidRDefault="000966E9" w:rsidP="00876E39">
            <w:pPr>
              <w:pStyle w:val="ESTablebody0"/>
              <w:jc w:val="right"/>
            </w:pPr>
            <w:r w:rsidRPr="0047102E">
              <w:t>5</w:t>
            </w:r>
          </w:p>
        </w:tc>
        <w:tc>
          <w:tcPr>
            <w:tcW w:w="689" w:type="dxa"/>
            <w:tcBorders>
              <w:top w:val="nil"/>
              <w:left w:val="nil"/>
              <w:bottom w:val="nil"/>
              <w:right w:val="single" w:sz="4" w:space="0" w:color="auto"/>
            </w:tcBorders>
            <w:shd w:val="clear" w:color="auto" w:fill="auto"/>
            <w:vAlign w:val="bottom"/>
          </w:tcPr>
          <w:p w14:paraId="22FBCE0B" w14:textId="2BE07798" w:rsidR="000966E9" w:rsidRPr="00876E39" w:rsidRDefault="000966E9" w:rsidP="00876E39">
            <w:pPr>
              <w:pStyle w:val="ESTablebody0"/>
              <w:jc w:val="right"/>
              <w:rPr>
                <w:b/>
              </w:rPr>
            </w:pPr>
            <w:r w:rsidRPr="00876E39">
              <w:rPr>
                <w:b/>
              </w:rPr>
              <w:t>11</w:t>
            </w:r>
          </w:p>
        </w:tc>
        <w:tc>
          <w:tcPr>
            <w:tcW w:w="689" w:type="dxa"/>
            <w:tcBorders>
              <w:top w:val="nil"/>
              <w:left w:val="single" w:sz="4" w:space="0" w:color="auto"/>
              <w:bottom w:val="nil"/>
              <w:right w:val="nil"/>
            </w:tcBorders>
            <w:shd w:val="clear" w:color="auto" w:fill="F8F8F8"/>
            <w:vAlign w:val="bottom"/>
          </w:tcPr>
          <w:p w14:paraId="311C3BC3" w14:textId="1310A299" w:rsidR="000966E9" w:rsidRPr="0087752B" w:rsidRDefault="000966E9" w:rsidP="00876E39">
            <w:pPr>
              <w:pStyle w:val="ESTablebody0"/>
              <w:jc w:val="right"/>
            </w:pPr>
            <w:r>
              <w:t>0</w:t>
            </w:r>
          </w:p>
        </w:tc>
        <w:tc>
          <w:tcPr>
            <w:tcW w:w="578" w:type="dxa"/>
            <w:tcBorders>
              <w:top w:val="nil"/>
              <w:left w:val="nil"/>
              <w:bottom w:val="nil"/>
              <w:right w:val="nil"/>
            </w:tcBorders>
            <w:shd w:val="clear" w:color="auto" w:fill="F8F8F8"/>
            <w:vAlign w:val="bottom"/>
          </w:tcPr>
          <w:p w14:paraId="232D716C" w14:textId="0411E622" w:rsidR="000966E9" w:rsidRPr="0087752B" w:rsidRDefault="000966E9" w:rsidP="00876E39">
            <w:pPr>
              <w:pStyle w:val="ESTablebody0"/>
              <w:jc w:val="right"/>
            </w:pPr>
            <w:r>
              <w:t>-2</w:t>
            </w:r>
          </w:p>
        </w:tc>
        <w:tc>
          <w:tcPr>
            <w:tcW w:w="577" w:type="dxa"/>
            <w:tcBorders>
              <w:top w:val="nil"/>
              <w:left w:val="nil"/>
              <w:bottom w:val="nil"/>
              <w:right w:val="nil"/>
            </w:tcBorders>
            <w:shd w:val="clear" w:color="auto" w:fill="F8F8F8"/>
            <w:vAlign w:val="bottom"/>
          </w:tcPr>
          <w:p w14:paraId="2164FDF3" w14:textId="6097FE29" w:rsidR="000966E9" w:rsidRPr="00876E39" w:rsidRDefault="000966E9" w:rsidP="00876E39">
            <w:pPr>
              <w:pStyle w:val="ESTablebody0"/>
              <w:jc w:val="right"/>
              <w:rPr>
                <w:b/>
              </w:rPr>
            </w:pPr>
            <w:r w:rsidRPr="00876E39">
              <w:rPr>
                <w:b/>
              </w:rPr>
              <w:t>-2</w:t>
            </w:r>
          </w:p>
        </w:tc>
      </w:tr>
      <w:tr w:rsidR="000966E9" w:rsidRPr="0087752B" w14:paraId="5A8539FD" w14:textId="77777777" w:rsidTr="006E49EE">
        <w:trPr>
          <w:cantSplit/>
          <w:trHeight w:val="454"/>
        </w:trPr>
        <w:tc>
          <w:tcPr>
            <w:tcW w:w="1302" w:type="dxa"/>
            <w:tcBorders>
              <w:top w:val="nil"/>
              <w:left w:val="nil"/>
              <w:bottom w:val="nil"/>
              <w:right w:val="nil"/>
            </w:tcBorders>
            <w:shd w:val="clear" w:color="auto" w:fill="F8F8F8"/>
            <w:vAlign w:val="center"/>
          </w:tcPr>
          <w:p w14:paraId="521AB7FF" w14:textId="77777777" w:rsidR="000966E9" w:rsidRPr="0087752B" w:rsidRDefault="000966E9" w:rsidP="007D5DAA">
            <w:pPr>
              <w:pStyle w:val="ESTablebody0"/>
            </w:pPr>
            <w:r w:rsidRPr="0087752B">
              <w:t>Bendigo Kangan Institute</w:t>
            </w:r>
          </w:p>
        </w:tc>
        <w:tc>
          <w:tcPr>
            <w:tcW w:w="776" w:type="dxa"/>
            <w:tcBorders>
              <w:top w:val="nil"/>
              <w:left w:val="nil"/>
              <w:bottom w:val="nil"/>
              <w:right w:val="nil"/>
            </w:tcBorders>
            <w:vAlign w:val="bottom"/>
          </w:tcPr>
          <w:p w14:paraId="6611A0AE" w14:textId="67893F71" w:rsidR="000966E9" w:rsidRPr="0087752B" w:rsidRDefault="000966E9" w:rsidP="00876E39">
            <w:pPr>
              <w:pStyle w:val="ESTablebody0"/>
              <w:jc w:val="right"/>
            </w:pPr>
            <w:r>
              <w:t>3</w:t>
            </w:r>
          </w:p>
        </w:tc>
        <w:tc>
          <w:tcPr>
            <w:tcW w:w="689" w:type="dxa"/>
            <w:tcBorders>
              <w:top w:val="nil"/>
              <w:left w:val="nil"/>
              <w:bottom w:val="nil"/>
              <w:right w:val="nil"/>
            </w:tcBorders>
            <w:vAlign w:val="bottom"/>
          </w:tcPr>
          <w:p w14:paraId="4D4E1464" w14:textId="65D22280" w:rsidR="000966E9" w:rsidRPr="0087752B" w:rsidRDefault="000966E9" w:rsidP="00876E39">
            <w:pPr>
              <w:pStyle w:val="ESTablebody0"/>
              <w:jc w:val="right"/>
            </w:pPr>
            <w:r>
              <w:t>3</w:t>
            </w:r>
          </w:p>
        </w:tc>
        <w:tc>
          <w:tcPr>
            <w:tcW w:w="689" w:type="dxa"/>
            <w:tcBorders>
              <w:top w:val="nil"/>
              <w:left w:val="nil"/>
              <w:bottom w:val="nil"/>
              <w:right w:val="single" w:sz="4" w:space="0" w:color="auto"/>
            </w:tcBorders>
            <w:vAlign w:val="bottom"/>
          </w:tcPr>
          <w:p w14:paraId="477130B8" w14:textId="18640B4A" w:rsidR="000966E9" w:rsidRPr="00876E39" w:rsidRDefault="000966E9" w:rsidP="00876E39">
            <w:pPr>
              <w:pStyle w:val="ESTablebody0"/>
              <w:jc w:val="right"/>
              <w:rPr>
                <w:b/>
              </w:rPr>
            </w:pPr>
            <w:r w:rsidRPr="00876E39">
              <w:rPr>
                <w:b/>
              </w:rPr>
              <w:t>6</w:t>
            </w:r>
          </w:p>
        </w:tc>
        <w:tc>
          <w:tcPr>
            <w:tcW w:w="688" w:type="dxa"/>
            <w:tcBorders>
              <w:top w:val="nil"/>
              <w:left w:val="single" w:sz="4" w:space="0" w:color="auto"/>
              <w:bottom w:val="nil"/>
              <w:right w:val="nil"/>
            </w:tcBorders>
            <w:shd w:val="clear" w:color="auto" w:fill="auto"/>
            <w:vAlign w:val="bottom"/>
          </w:tcPr>
          <w:p w14:paraId="5C66EE5D" w14:textId="35359AAA" w:rsidR="000966E9" w:rsidRPr="0087752B" w:rsidRDefault="000966E9" w:rsidP="00876E39">
            <w:pPr>
              <w:pStyle w:val="ESTablebody0"/>
              <w:jc w:val="right"/>
            </w:pPr>
            <w:r w:rsidRPr="0047102E">
              <w:t>4</w:t>
            </w:r>
          </w:p>
        </w:tc>
        <w:tc>
          <w:tcPr>
            <w:tcW w:w="690" w:type="dxa"/>
            <w:tcBorders>
              <w:top w:val="nil"/>
              <w:left w:val="nil"/>
              <w:bottom w:val="nil"/>
              <w:right w:val="nil"/>
            </w:tcBorders>
            <w:shd w:val="clear" w:color="auto" w:fill="auto"/>
            <w:vAlign w:val="bottom"/>
          </w:tcPr>
          <w:p w14:paraId="73D358B9" w14:textId="67DC33BE" w:rsidR="000966E9" w:rsidRPr="0087752B" w:rsidRDefault="000966E9" w:rsidP="00876E39">
            <w:pPr>
              <w:pStyle w:val="ESTablebody0"/>
              <w:jc w:val="right"/>
            </w:pPr>
            <w:r w:rsidRPr="0047102E">
              <w:t>6</w:t>
            </w:r>
          </w:p>
        </w:tc>
        <w:tc>
          <w:tcPr>
            <w:tcW w:w="689" w:type="dxa"/>
            <w:tcBorders>
              <w:top w:val="nil"/>
              <w:left w:val="nil"/>
              <w:bottom w:val="nil"/>
              <w:right w:val="single" w:sz="4" w:space="0" w:color="auto"/>
            </w:tcBorders>
            <w:shd w:val="clear" w:color="auto" w:fill="auto"/>
            <w:vAlign w:val="bottom"/>
          </w:tcPr>
          <w:p w14:paraId="0DFFA37A" w14:textId="4B03AA1D" w:rsidR="000966E9" w:rsidRPr="00876E39" w:rsidRDefault="000966E9" w:rsidP="00876E39">
            <w:pPr>
              <w:pStyle w:val="ESTablebody0"/>
              <w:jc w:val="right"/>
              <w:rPr>
                <w:b/>
              </w:rPr>
            </w:pPr>
            <w:r w:rsidRPr="00876E39">
              <w:rPr>
                <w:b/>
              </w:rPr>
              <w:t>10</w:t>
            </w:r>
          </w:p>
        </w:tc>
        <w:tc>
          <w:tcPr>
            <w:tcW w:w="689" w:type="dxa"/>
            <w:tcBorders>
              <w:top w:val="nil"/>
              <w:left w:val="single" w:sz="4" w:space="0" w:color="auto"/>
              <w:bottom w:val="nil"/>
              <w:right w:val="nil"/>
            </w:tcBorders>
            <w:shd w:val="clear" w:color="auto" w:fill="F8F8F8"/>
            <w:vAlign w:val="bottom"/>
          </w:tcPr>
          <w:p w14:paraId="232F32F3" w14:textId="77777777" w:rsidR="000966E9" w:rsidRPr="0087752B" w:rsidRDefault="000966E9" w:rsidP="00876E39">
            <w:pPr>
              <w:pStyle w:val="ESTablebody0"/>
              <w:jc w:val="right"/>
            </w:pPr>
            <w:r w:rsidRPr="0087752B">
              <w:t>-1</w:t>
            </w:r>
          </w:p>
        </w:tc>
        <w:tc>
          <w:tcPr>
            <w:tcW w:w="578" w:type="dxa"/>
            <w:tcBorders>
              <w:top w:val="nil"/>
              <w:left w:val="nil"/>
              <w:bottom w:val="nil"/>
              <w:right w:val="nil"/>
            </w:tcBorders>
            <w:shd w:val="clear" w:color="auto" w:fill="F8F8F8"/>
            <w:vAlign w:val="bottom"/>
          </w:tcPr>
          <w:p w14:paraId="64C24D85" w14:textId="228FB3E6" w:rsidR="000966E9" w:rsidRPr="0087752B" w:rsidRDefault="000966E9" w:rsidP="00876E39">
            <w:pPr>
              <w:pStyle w:val="ESTablebody0"/>
              <w:jc w:val="right"/>
            </w:pPr>
            <w:r>
              <w:t>-3</w:t>
            </w:r>
          </w:p>
        </w:tc>
        <w:tc>
          <w:tcPr>
            <w:tcW w:w="577" w:type="dxa"/>
            <w:tcBorders>
              <w:top w:val="nil"/>
              <w:left w:val="nil"/>
              <w:bottom w:val="nil"/>
              <w:right w:val="nil"/>
            </w:tcBorders>
            <w:shd w:val="clear" w:color="auto" w:fill="F8F8F8"/>
            <w:vAlign w:val="bottom"/>
          </w:tcPr>
          <w:p w14:paraId="0D24DED5" w14:textId="12158016" w:rsidR="000966E9" w:rsidRPr="00876E39" w:rsidRDefault="000966E9" w:rsidP="00876E39">
            <w:pPr>
              <w:pStyle w:val="ESTablebody0"/>
              <w:jc w:val="right"/>
              <w:rPr>
                <w:b/>
              </w:rPr>
            </w:pPr>
            <w:r w:rsidRPr="00876E39">
              <w:rPr>
                <w:b/>
              </w:rPr>
              <w:t>-4</w:t>
            </w:r>
          </w:p>
        </w:tc>
      </w:tr>
      <w:tr w:rsidR="000966E9" w:rsidRPr="0087752B" w14:paraId="0FD0131B" w14:textId="77777777" w:rsidTr="006E49EE">
        <w:trPr>
          <w:cantSplit/>
          <w:trHeight w:val="454"/>
        </w:trPr>
        <w:tc>
          <w:tcPr>
            <w:tcW w:w="1302" w:type="dxa"/>
            <w:tcBorders>
              <w:top w:val="nil"/>
              <w:left w:val="nil"/>
              <w:bottom w:val="nil"/>
              <w:right w:val="nil"/>
            </w:tcBorders>
            <w:shd w:val="clear" w:color="auto" w:fill="F8F8F8"/>
            <w:vAlign w:val="center"/>
          </w:tcPr>
          <w:p w14:paraId="440E89FC" w14:textId="77777777" w:rsidR="000966E9" w:rsidRPr="0087752B" w:rsidRDefault="000966E9" w:rsidP="007D5DAA">
            <w:pPr>
              <w:pStyle w:val="ESTablebody0"/>
            </w:pPr>
            <w:r w:rsidRPr="0087752B">
              <w:t>Box Hill Institute</w:t>
            </w:r>
          </w:p>
        </w:tc>
        <w:tc>
          <w:tcPr>
            <w:tcW w:w="776" w:type="dxa"/>
            <w:tcBorders>
              <w:top w:val="nil"/>
              <w:left w:val="nil"/>
              <w:bottom w:val="nil"/>
              <w:right w:val="nil"/>
            </w:tcBorders>
            <w:vAlign w:val="bottom"/>
          </w:tcPr>
          <w:p w14:paraId="7CD051AC" w14:textId="24105BDE" w:rsidR="000966E9" w:rsidRPr="0087752B" w:rsidRDefault="000966E9" w:rsidP="00876E39">
            <w:pPr>
              <w:pStyle w:val="ESTablebody0"/>
              <w:jc w:val="right"/>
            </w:pPr>
            <w:r>
              <w:t>6</w:t>
            </w:r>
          </w:p>
        </w:tc>
        <w:tc>
          <w:tcPr>
            <w:tcW w:w="689" w:type="dxa"/>
            <w:tcBorders>
              <w:top w:val="nil"/>
              <w:left w:val="nil"/>
              <w:bottom w:val="nil"/>
              <w:right w:val="nil"/>
            </w:tcBorders>
            <w:vAlign w:val="bottom"/>
          </w:tcPr>
          <w:p w14:paraId="5EDA3E7A" w14:textId="08B7480A" w:rsidR="000966E9" w:rsidRPr="0087752B" w:rsidRDefault="000966E9" w:rsidP="00876E39">
            <w:pPr>
              <w:pStyle w:val="ESTablebody0"/>
              <w:jc w:val="right"/>
            </w:pPr>
            <w:r>
              <w:t>5</w:t>
            </w:r>
          </w:p>
        </w:tc>
        <w:tc>
          <w:tcPr>
            <w:tcW w:w="689" w:type="dxa"/>
            <w:tcBorders>
              <w:top w:val="nil"/>
              <w:left w:val="nil"/>
              <w:bottom w:val="nil"/>
              <w:right w:val="single" w:sz="4" w:space="0" w:color="auto"/>
            </w:tcBorders>
            <w:vAlign w:val="bottom"/>
          </w:tcPr>
          <w:p w14:paraId="759BA60F" w14:textId="637A984F" w:rsidR="000966E9" w:rsidRPr="00876E39" w:rsidRDefault="000966E9" w:rsidP="00876E39">
            <w:pPr>
              <w:pStyle w:val="ESTablebody0"/>
              <w:jc w:val="right"/>
              <w:rPr>
                <w:b/>
              </w:rPr>
            </w:pPr>
            <w:r w:rsidRPr="00876E39">
              <w:rPr>
                <w:b/>
              </w:rPr>
              <w:t>11</w:t>
            </w:r>
          </w:p>
        </w:tc>
        <w:tc>
          <w:tcPr>
            <w:tcW w:w="688" w:type="dxa"/>
            <w:tcBorders>
              <w:top w:val="nil"/>
              <w:left w:val="single" w:sz="4" w:space="0" w:color="auto"/>
              <w:bottom w:val="nil"/>
              <w:right w:val="nil"/>
            </w:tcBorders>
            <w:shd w:val="clear" w:color="auto" w:fill="auto"/>
            <w:vAlign w:val="bottom"/>
          </w:tcPr>
          <w:p w14:paraId="6F3E822F" w14:textId="6ECCB12C" w:rsidR="000966E9" w:rsidRPr="0087752B" w:rsidRDefault="000966E9" w:rsidP="00876E39">
            <w:pPr>
              <w:pStyle w:val="ESTablebody0"/>
              <w:jc w:val="right"/>
            </w:pPr>
            <w:r w:rsidRPr="0047102E">
              <w:t>8</w:t>
            </w:r>
          </w:p>
        </w:tc>
        <w:tc>
          <w:tcPr>
            <w:tcW w:w="690" w:type="dxa"/>
            <w:tcBorders>
              <w:top w:val="nil"/>
              <w:left w:val="nil"/>
              <w:bottom w:val="nil"/>
              <w:right w:val="nil"/>
            </w:tcBorders>
            <w:shd w:val="clear" w:color="auto" w:fill="auto"/>
            <w:vAlign w:val="bottom"/>
          </w:tcPr>
          <w:p w14:paraId="4C154547" w14:textId="055FDD30" w:rsidR="000966E9" w:rsidRPr="0087752B" w:rsidRDefault="000966E9" w:rsidP="00876E39">
            <w:pPr>
              <w:pStyle w:val="ESTablebody0"/>
              <w:jc w:val="right"/>
            </w:pPr>
            <w:r w:rsidRPr="0047102E">
              <w:t>5</w:t>
            </w:r>
          </w:p>
        </w:tc>
        <w:tc>
          <w:tcPr>
            <w:tcW w:w="689" w:type="dxa"/>
            <w:tcBorders>
              <w:top w:val="nil"/>
              <w:left w:val="nil"/>
              <w:bottom w:val="nil"/>
              <w:right w:val="single" w:sz="4" w:space="0" w:color="auto"/>
            </w:tcBorders>
            <w:shd w:val="clear" w:color="auto" w:fill="auto"/>
            <w:vAlign w:val="bottom"/>
          </w:tcPr>
          <w:p w14:paraId="670F868A" w14:textId="45536B54" w:rsidR="000966E9" w:rsidRPr="00876E39" w:rsidRDefault="000966E9" w:rsidP="00876E39">
            <w:pPr>
              <w:pStyle w:val="ESTablebody0"/>
              <w:jc w:val="right"/>
              <w:rPr>
                <w:b/>
              </w:rPr>
            </w:pPr>
            <w:r w:rsidRPr="00876E39">
              <w:rPr>
                <w:b/>
              </w:rPr>
              <w:t>13</w:t>
            </w:r>
          </w:p>
        </w:tc>
        <w:tc>
          <w:tcPr>
            <w:tcW w:w="689" w:type="dxa"/>
            <w:tcBorders>
              <w:top w:val="nil"/>
              <w:left w:val="single" w:sz="4" w:space="0" w:color="auto"/>
              <w:bottom w:val="nil"/>
              <w:right w:val="nil"/>
            </w:tcBorders>
            <w:shd w:val="clear" w:color="auto" w:fill="F8F8F8"/>
            <w:vAlign w:val="bottom"/>
          </w:tcPr>
          <w:p w14:paraId="59A93C7D" w14:textId="3895C862" w:rsidR="000966E9" w:rsidRPr="0087752B" w:rsidRDefault="000966E9" w:rsidP="00876E39">
            <w:pPr>
              <w:pStyle w:val="ESTablebody0"/>
              <w:jc w:val="right"/>
            </w:pPr>
            <w:r>
              <w:t>-2</w:t>
            </w:r>
          </w:p>
        </w:tc>
        <w:tc>
          <w:tcPr>
            <w:tcW w:w="578" w:type="dxa"/>
            <w:tcBorders>
              <w:top w:val="nil"/>
              <w:left w:val="nil"/>
              <w:bottom w:val="nil"/>
              <w:right w:val="nil"/>
            </w:tcBorders>
            <w:shd w:val="clear" w:color="auto" w:fill="F8F8F8"/>
            <w:vAlign w:val="bottom"/>
          </w:tcPr>
          <w:p w14:paraId="4C8277E1" w14:textId="4837D462" w:rsidR="000966E9" w:rsidRPr="0087752B" w:rsidRDefault="000966E9" w:rsidP="00876E39">
            <w:pPr>
              <w:pStyle w:val="ESTablebody0"/>
              <w:jc w:val="right"/>
            </w:pPr>
            <w:r>
              <w:t>0</w:t>
            </w:r>
          </w:p>
        </w:tc>
        <w:tc>
          <w:tcPr>
            <w:tcW w:w="577" w:type="dxa"/>
            <w:tcBorders>
              <w:top w:val="nil"/>
              <w:left w:val="nil"/>
              <w:bottom w:val="nil"/>
              <w:right w:val="nil"/>
            </w:tcBorders>
            <w:shd w:val="clear" w:color="auto" w:fill="F8F8F8"/>
            <w:vAlign w:val="bottom"/>
          </w:tcPr>
          <w:p w14:paraId="443DBEDE" w14:textId="5C536324" w:rsidR="000966E9" w:rsidRPr="00876E39" w:rsidRDefault="000966E9" w:rsidP="00876E39">
            <w:pPr>
              <w:pStyle w:val="ESTablebody0"/>
              <w:jc w:val="right"/>
              <w:rPr>
                <w:b/>
              </w:rPr>
            </w:pPr>
            <w:r w:rsidRPr="00876E39">
              <w:rPr>
                <w:b/>
              </w:rPr>
              <w:t>-2</w:t>
            </w:r>
          </w:p>
        </w:tc>
      </w:tr>
      <w:tr w:rsidR="000966E9" w:rsidRPr="0087752B" w14:paraId="2980FB9B" w14:textId="77777777" w:rsidTr="006E49EE">
        <w:trPr>
          <w:cantSplit/>
          <w:trHeight w:val="454"/>
        </w:trPr>
        <w:tc>
          <w:tcPr>
            <w:tcW w:w="1302" w:type="dxa"/>
            <w:tcBorders>
              <w:top w:val="nil"/>
              <w:left w:val="nil"/>
              <w:bottom w:val="nil"/>
              <w:right w:val="nil"/>
            </w:tcBorders>
            <w:shd w:val="clear" w:color="auto" w:fill="F8F8F8"/>
            <w:vAlign w:val="center"/>
          </w:tcPr>
          <w:p w14:paraId="713F9AEA" w14:textId="77777777" w:rsidR="000966E9" w:rsidRPr="0087752B" w:rsidRDefault="000966E9" w:rsidP="007D5DAA">
            <w:pPr>
              <w:pStyle w:val="ESTablebody0"/>
            </w:pPr>
            <w:r w:rsidRPr="0087752B">
              <w:t>Chisholm Institute</w:t>
            </w:r>
          </w:p>
        </w:tc>
        <w:tc>
          <w:tcPr>
            <w:tcW w:w="776" w:type="dxa"/>
            <w:tcBorders>
              <w:top w:val="nil"/>
              <w:left w:val="nil"/>
              <w:bottom w:val="nil"/>
              <w:right w:val="nil"/>
            </w:tcBorders>
            <w:vAlign w:val="bottom"/>
          </w:tcPr>
          <w:p w14:paraId="3026FC8B" w14:textId="788EF8AF" w:rsidR="000966E9" w:rsidRPr="0087752B" w:rsidRDefault="000966E9" w:rsidP="00876E39">
            <w:pPr>
              <w:pStyle w:val="ESTablebody0"/>
              <w:jc w:val="right"/>
            </w:pPr>
            <w:r>
              <w:t>7</w:t>
            </w:r>
          </w:p>
        </w:tc>
        <w:tc>
          <w:tcPr>
            <w:tcW w:w="689" w:type="dxa"/>
            <w:tcBorders>
              <w:top w:val="nil"/>
              <w:left w:val="nil"/>
              <w:bottom w:val="nil"/>
              <w:right w:val="nil"/>
            </w:tcBorders>
            <w:vAlign w:val="bottom"/>
          </w:tcPr>
          <w:p w14:paraId="62B32BF2" w14:textId="0D245C28" w:rsidR="000966E9" w:rsidRPr="0087752B" w:rsidRDefault="000966E9" w:rsidP="00876E39">
            <w:pPr>
              <w:pStyle w:val="ESTablebody0"/>
              <w:jc w:val="right"/>
            </w:pPr>
            <w:r>
              <w:t>7</w:t>
            </w:r>
          </w:p>
        </w:tc>
        <w:tc>
          <w:tcPr>
            <w:tcW w:w="689" w:type="dxa"/>
            <w:tcBorders>
              <w:top w:val="nil"/>
              <w:left w:val="nil"/>
              <w:bottom w:val="nil"/>
              <w:right w:val="single" w:sz="4" w:space="0" w:color="auto"/>
            </w:tcBorders>
            <w:vAlign w:val="bottom"/>
          </w:tcPr>
          <w:p w14:paraId="0EA9DFBF" w14:textId="2EFE906A" w:rsidR="000966E9" w:rsidRPr="00876E39" w:rsidRDefault="000966E9" w:rsidP="00876E39">
            <w:pPr>
              <w:pStyle w:val="ESTablebody0"/>
              <w:jc w:val="right"/>
              <w:rPr>
                <w:b/>
              </w:rPr>
            </w:pPr>
            <w:r w:rsidRPr="00876E39">
              <w:rPr>
                <w:b/>
              </w:rPr>
              <w:t>14</w:t>
            </w:r>
          </w:p>
        </w:tc>
        <w:tc>
          <w:tcPr>
            <w:tcW w:w="688" w:type="dxa"/>
            <w:tcBorders>
              <w:top w:val="nil"/>
              <w:left w:val="single" w:sz="4" w:space="0" w:color="auto"/>
              <w:bottom w:val="nil"/>
              <w:right w:val="nil"/>
            </w:tcBorders>
            <w:shd w:val="clear" w:color="auto" w:fill="auto"/>
            <w:vAlign w:val="bottom"/>
          </w:tcPr>
          <w:p w14:paraId="25F96D64" w14:textId="136208A4" w:rsidR="000966E9" w:rsidRPr="0087752B" w:rsidRDefault="000966E9" w:rsidP="00876E39">
            <w:pPr>
              <w:pStyle w:val="ESTablebody0"/>
              <w:jc w:val="right"/>
            </w:pPr>
            <w:r w:rsidRPr="0047102E">
              <w:t>6</w:t>
            </w:r>
          </w:p>
        </w:tc>
        <w:tc>
          <w:tcPr>
            <w:tcW w:w="690" w:type="dxa"/>
            <w:tcBorders>
              <w:top w:val="nil"/>
              <w:left w:val="nil"/>
              <w:bottom w:val="nil"/>
              <w:right w:val="nil"/>
            </w:tcBorders>
            <w:shd w:val="clear" w:color="auto" w:fill="auto"/>
            <w:vAlign w:val="bottom"/>
          </w:tcPr>
          <w:p w14:paraId="6CE66859" w14:textId="0E85AEF6" w:rsidR="000966E9" w:rsidRPr="0087752B" w:rsidRDefault="000966E9" w:rsidP="00876E39">
            <w:pPr>
              <w:pStyle w:val="ESTablebody0"/>
              <w:jc w:val="right"/>
            </w:pPr>
            <w:r w:rsidRPr="0047102E">
              <w:t>5</w:t>
            </w:r>
          </w:p>
        </w:tc>
        <w:tc>
          <w:tcPr>
            <w:tcW w:w="689" w:type="dxa"/>
            <w:tcBorders>
              <w:top w:val="nil"/>
              <w:left w:val="nil"/>
              <w:bottom w:val="nil"/>
              <w:right w:val="single" w:sz="4" w:space="0" w:color="auto"/>
            </w:tcBorders>
            <w:shd w:val="clear" w:color="auto" w:fill="auto"/>
            <w:vAlign w:val="bottom"/>
          </w:tcPr>
          <w:p w14:paraId="5E3E020F" w14:textId="438F6BE8" w:rsidR="000966E9" w:rsidRPr="00876E39" w:rsidRDefault="000966E9" w:rsidP="00876E39">
            <w:pPr>
              <w:pStyle w:val="ESTablebody0"/>
              <w:jc w:val="right"/>
              <w:rPr>
                <w:b/>
              </w:rPr>
            </w:pPr>
            <w:r w:rsidRPr="00876E39">
              <w:rPr>
                <w:b/>
              </w:rPr>
              <w:t>11</w:t>
            </w:r>
          </w:p>
        </w:tc>
        <w:tc>
          <w:tcPr>
            <w:tcW w:w="689" w:type="dxa"/>
            <w:tcBorders>
              <w:top w:val="nil"/>
              <w:left w:val="single" w:sz="4" w:space="0" w:color="auto"/>
              <w:bottom w:val="nil"/>
              <w:right w:val="nil"/>
            </w:tcBorders>
            <w:shd w:val="clear" w:color="auto" w:fill="F8F8F8"/>
            <w:vAlign w:val="bottom"/>
          </w:tcPr>
          <w:p w14:paraId="0BE1F0AA" w14:textId="77777777" w:rsidR="000966E9" w:rsidRPr="0087752B" w:rsidRDefault="000966E9" w:rsidP="00876E39">
            <w:pPr>
              <w:pStyle w:val="ESTablebody0"/>
              <w:jc w:val="right"/>
            </w:pPr>
            <w:r w:rsidRPr="0087752B">
              <w:t>1</w:t>
            </w:r>
          </w:p>
        </w:tc>
        <w:tc>
          <w:tcPr>
            <w:tcW w:w="578" w:type="dxa"/>
            <w:tcBorders>
              <w:top w:val="nil"/>
              <w:left w:val="nil"/>
              <w:bottom w:val="nil"/>
              <w:right w:val="nil"/>
            </w:tcBorders>
            <w:shd w:val="clear" w:color="auto" w:fill="F8F8F8"/>
            <w:vAlign w:val="bottom"/>
          </w:tcPr>
          <w:p w14:paraId="75DA5CDB" w14:textId="5D9375E2" w:rsidR="000966E9" w:rsidRPr="0087752B" w:rsidRDefault="000966E9" w:rsidP="00876E39">
            <w:pPr>
              <w:pStyle w:val="ESTablebody0"/>
              <w:jc w:val="right"/>
            </w:pPr>
            <w:r>
              <w:t>2</w:t>
            </w:r>
          </w:p>
        </w:tc>
        <w:tc>
          <w:tcPr>
            <w:tcW w:w="577" w:type="dxa"/>
            <w:tcBorders>
              <w:top w:val="nil"/>
              <w:left w:val="nil"/>
              <w:bottom w:val="nil"/>
              <w:right w:val="nil"/>
            </w:tcBorders>
            <w:shd w:val="clear" w:color="auto" w:fill="F8F8F8"/>
            <w:vAlign w:val="bottom"/>
          </w:tcPr>
          <w:p w14:paraId="5529391D" w14:textId="683BECDD" w:rsidR="000966E9" w:rsidRPr="00876E39" w:rsidRDefault="000966E9" w:rsidP="00876E39">
            <w:pPr>
              <w:pStyle w:val="ESTablebody0"/>
              <w:jc w:val="right"/>
              <w:rPr>
                <w:b/>
              </w:rPr>
            </w:pPr>
            <w:r w:rsidRPr="00876E39">
              <w:rPr>
                <w:b/>
              </w:rPr>
              <w:t>3</w:t>
            </w:r>
          </w:p>
        </w:tc>
      </w:tr>
      <w:tr w:rsidR="000966E9" w:rsidRPr="0087752B" w14:paraId="1E2ECF76" w14:textId="77777777" w:rsidTr="006E49EE">
        <w:trPr>
          <w:cantSplit/>
          <w:trHeight w:val="454"/>
        </w:trPr>
        <w:tc>
          <w:tcPr>
            <w:tcW w:w="1302" w:type="dxa"/>
            <w:tcBorders>
              <w:top w:val="nil"/>
              <w:left w:val="nil"/>
              <w:bottom w:val="nil"/>
              <w:right w:val="nil"/>
            </w:tcBorders>
            <w:shd w:val="clear" w:color="auto" w:fill="F8F8F8"/>
            <w:vAlign w:val="center"/>
          </w:tcPr>
          <w:p w14:paraId="54413CA1" w14:textId="77777777" w:rsidR="000966E9" w:rsidRPr="0087752B" w:rsidRDefault="000966E9" w:rsidP="007D5DAA">
            <w:pPr>
              <w:pStyle w:val="ESTablebody0"/>
            </w:pPr>
            <w:r w:rsidRPr="0087752B">
              <w:t>Federation Training Institute</w:t>
            </w:r>
          </w:p>
        </w:tc>
        <w:tc>
          <w:tcPr>
            <w:tcW w:w="776" w:type="dxa"/>
            <w:tcBorders>
              <w:top w:val="nil"/>
              <w:left w:val="nil"/>
              <w:bottom w:val="nil"/>
              <w:right w:val="nil"/>
            </w:tcBorders>
            <w:vAlign w:val="bottom"/>
          </w:tcPr>
          <w:p w14:paraId="65BFC5BA" w14:textId="4288D64A" w:rsidR="000966E9" w:rsidRPr="0087752B" w:rsidRDefault="000966E9" w:rsidP="00876E39">
            <w:pPr>
              <w:pStyle w:val="ESTablebody0"/>
              <w:jc w:val="right"/>
            </w:pPr>
            <w:r>
              <w:t>1</w:t>
            </w:r>
          </w:p>
        </w:tc>
        <w:tc>
          <w:tcPr>
            <w:tcW w:w="689" w:type="dxa"/>
            <w:tcBorders>
              <w:top w:val="nil"/>
              <w:left w:val="nil"/>
              <w:bottom w:val="nil"/>
              <w:right w:val="nil"/>
            </w:tcBorders>
            <w:vAlign w:val="bottom"/>
          </w:tcPr>
          <w:p w14:paraId="0911573A" w14:textId="3814B210" w:rsidR="000966E9" w:rsidRPr="0087752B" w:rsidRDefault="000966E9" w:rsidP="00876E39">
            <w:pPr>
              <w:pStyle w:val="ESTablebody0"/>
              <w:jc w:val="right"/>
            </w:pPr>
            <w:r>
              <w:t>4</w:t>
            </w:r>
          </w:p>
        </w:tc>
        <w:tc>
          <w:tcPr>
            <w:tcW w:w="689" w:type="dxa"/>
            <w:tcBorders>
              <w:top w:val="nil"/>
              <w:left w:val="nil"/>
              <w:bottom w:val="nil"/>
              <w:right w:val="single" w:sz="4" w:space="0" w:color="auto"/>
            </w:tcBorders>
            <w:vAlign w:val="bottom"/>
          </w:tcPr>
          <w:p w14:paraId="794BF9B3" w14:textId="5CD97D7C" w:rsidR="000966E9" w:rsidRPr="00876E39" w:rsidRDefault="000966E9" w:rsidP="00876E39">
            <w:pPr>
              <w:pStyle w:val="ESTablebody0"/>
              <w:jc w:val="right"/>
              <w:rPr>
                <w:b/>
              </w:rPr>
            </w:pPr>
            <w:r w:rsidRPr="00876E39">
              <w:rPr>
                <w:b/>
              </w:rPr>
              <w:t>5</w:t>
            </w:r>
          </w:p>
        </w:tc>
        <w:tc>
          <w:tcPr>
            <w:tcW w:w="688" w:type="dxa"/>
            <w:tcBorders>
              <w:top w:val="nil"/>
              <w:left w:val="single" w:sz="4" w:space="0" w:color="auto"/>
              <w:bottom w:val="nil"/>
              <w:right w:val="nil"/>
            </w:tcBorders>
            <w:shd w:val="clear" w:color="auto" w:fill="auto"/>
            <w:vAlign w:val="bottom"/>
          </w:tcPr>
          <w:p w14:paraId="72B7399E" w14:textId="4E830A69" w:rsidR="000966E9" w:rsidRPr="0087752B" w:rsidRDefault="000966E9" w:rsidP="00876E39">
            <w:pPr>
              <w:pStyle w:val="ESTablebody0"/>
              <w:jc w:val="right"/>
            </w:pPr>
            <w:r w:rsidRPr="0047102E">
              <w:t>3</w:t>
            </w:r>
          </w:p>
        </w:tc>
        <w:tc>
          <w:tcPr>
            <w:tcW w:w="690" w:type="dxa"/>
            <w:tcBorders>
              <w:top w:val="nil"/>
              <w:left w:val="nil"/>
              <w:bottom w:val="nil"/>
              <w:right w:val="nil"/>
            </w:tcBorders>
            <w:shd w:val="clear" w:color="auto" w:fill="auto"/>
            <w:vAlign w:val="bottom"/>
          </w:tcPr>
          <w:p w14:paraId="7A2A4A52" w14:textId="0A3164A8" w:rsidR="000966E9" w:rsidRPr="0087752B" w:rsidRDefault="000966E9" w:rsidP="00876E39">
            <w:pPr>
              <w:pStyle w:val="ESTablebody0"/>
              <w:jc w:val="right"/>
            </w:pPr>
            <w:r w:rsidRPr="0047102E">
              <w:t>3</w:t>
            </w:r>
          </w:p>
        </w:tc>
        <w:tc>
          <w:tcPr>
            <w:tcW w:w="689" w:type="dxa"/>
            <w:tcBorders>
              <w:top w:val="nil"/>
              <w:left w:val="nil"/>
              <w:bottom w:val="nil"/>
              <w:right w:val="single" w:sz="4" w:space="0" w:color="auto"/>
            </w:tcBorders>
            <w:shd w:val="clear" w:color="auto" w:fill="auto"/>
            <w:vAlign w:val="bottom"/>
          </w:tcPr>
          <w:p w14:paraId="43722998" w14:textId="2A84B37D" w:rsidR="000966E9" w:rsidRPr="00876E39" w:rsidRDefault="000966E9" w:rsidP="00876E39">
            <w:pPr>
              <w:pStyle w:val="ESTablebody0"/>
              <w:jc w:val="right"/>
              <w:rPr>
                <w:b/>
              </w:rPr>
            </w:pPr>
            <w:r w:rsidRPr="00876E39">
              <w:rPr>
                <w:b/>
              </w:rPr>
              <w:t>6</w:t>
            </w:r>
          </w:p>
        </w:tc>
        <w:tc>
          <w:tcPr>
            <w:tcW w:w="689" w:type="dxa"/>
            <w:tcBorders>
              <w:top w:val="nil"/>
              <w:left w:val="single" w:sz="4" w:space="0" w:color="auto"/>
              <w:bottom w:val="nil"/>
              <w:right w:val="nil"/>
            </w:tcBorders>
            <w:shd w:val="clear" w:color="auto" w:fill="F8F8F8"/>
            <w:vAlign w:val="bottom"/>
          </w:tcPr>
          <w:p w14:paraId="0DB28529" w14:textId="4F2153D5" w:rsidR="000966E9" w:rsidRPr="0087752B" w:rsidRDefault="000966E9" w:rsidP="00876E39">
            <w:pPr>
              <w:pStyle w:val="ESTablebody0"/>
              <w:jc w:val="right"/>
            </w:pPr>
            <w:r>
              <w:t>-2</w:t>
            </w:r>
          </w:p>
        </w:tc>
        <w:tc>
          <w:tcPr>
            <w:tcW w:w="578" w:type="dxa"/>
            <w:tcBorders>
              <w:top w:val="nil"/>
              <w:left w:val="nil"/>
              <w:bottom w:val="nil"/>
              <w:right w:val="nil"/>
            </w:tcBorders>
            <w:shd w:val="clear" w:color="auto" w:fill="F8F8F8"/>
            <w:vAlign w:val="bottom"/>
          </w:tcPr>
          <w:p w14:paraId="14AB40AD" w14:textId="2E0C1A6E" w:rsidR="000966E9" w:rsidRPr="0087752B" w:rsidRDefault="000966E9" w:rsidP="00876E39">
            <w:pPr>
              <w:pStyle w:val="ESTablebody0"/>
              <w:jc w:val="right"/>
            </w:pPr>
            <w:r>
              <w:t>1</w:t>
            </w:r>
          </w:p>
        </w:tc>
        <w:tc>
          <w:tcPr>
            <w:tcW w:w="577" w:type="dxa"/>
            <w:tcBorders>
              <w:top w:val="nil"/>
              <w:left w:val="nil"/>
              <w:bottom w:val="nil"/>
              <w:right w:val="nil"/>
            </w:tcBorders>
            <w:shd w:val="clear" w:color="auto" w:fill="F8F8F8"/>
            <w:vAlign w:val="bottom"/>
          </w:tcPr>
          <w:p w14:paraId="08DCEAF8" w14:textId="312541AC" w:rsidR="000966E9" w:rsidRPr="00876E39" w:rsidRDefault="000966E9" w:rsidP="00876E39">
            <w:pPr>
              <w:pStyle w:val="ESTablebody0"/>
              <w:jc w:val="right"/>
              <w:rPr>
                <w:b/>
              </w:rPr>
            </w:pPr>
            <w:r w:rsidRPr="00876E39">
              <w:rPr>
                <w:b/>
              </w:rPr>
              <w:t>-1</w:t>
            </w:r>
          </w:p>
        </w:tc>
      </w:tr>
      <w:tr w:rsidR="000966E9" w:rsidRPr="0087752B" w14:paraId="35E2BC4C" w14:textId="77777777" w:rsidTr="006E49EE">
        <w:trPr>
          <w:cantSplit/>
          <w:trHeight w:val="454"/>
        </w:trPr>
        <w:tc>
          <w:tcPr>
            <w:tcW w:w="1302" w:type="dxa"/>
            <w:tcBorders>
              <w:top w:val="nil"/>
              <w:left w:val="nil"/>
              <w:bottom w:val="nil"/>
              <w:right w:val="nil"/>
            </w:tcBorders>
            <w:shd w:val="clear" w:color="auto" w:fill="F8F8F8"/>
            <w:vAlign w:val="center"/>
          </w:tcPr>
          <w:p w14:paraId="04D9B185" w14:textId="77777777" w:rsidR="000966E9" w:rsidRPr="0087752B" w:rsidRDefault="000966E9" w:rsidP="007D5DAA">
            <w:pPr>
              <w:pStyle w:val="ESTablebody0"/>
            </w:pPr>
            <w:r w:rsidRPr="0087752B">
              <w:t>Gordon Institute of TAFE</w:t>
            </w:r>
          </w:p>
        </w:tc>
        <w:tc>
          <w:tcPr>
            <w:tcW w:w="776" w:type="dxa"/>
            <w:tcBorders>
              <w:top w:val="nil"/>
              <w:left w:val="nil"/>
              <w:bottom w:val="nil"/>
              <w:right w:val="nil"/>
            </w:tcBorders>
            <w:vAlign w:val="bottom"/>
          </w:tcPr>
          <w:p w14:paraId="2E7BF204" w14:textId="500DB53D" w:rsidR="000966E9" w:rsidRPr="0087752B" w:rsidRDefault="000966E9" w:rsidP="00876E39">
            <w:pPr>
              <w:pStyle w:val="ESTablebody0"/>
              <w:jc w:val="right"/>
            </w:pPr>
            <w:r>
              <w:t>5</w:t>
            </w:r>
          </w:p>
        </w:tc>
        <w:tc>
          <w:tcPr>
            <w:tcW w:w="689" w:type="dxa"/>
            <w:tcBorders>
              <w:top w:val="nil"/>
              <w:left w:val="nil"/>
              <w:bottom w:val="nil"/>
              <w:right w:val="nil"/>
            </w:tcBorders>
            <w:vAlign w:val="bottom"/>
          </w:tcPr>
          <w:p w14:paraId="64004DDB" w14:textId="489133D3" w:rsidR="000966E9" w:rsidRPr="0087752B" w:rsidRDefault="000966E9" w:rsidP="00876E39">
            <w:pPr>
              <w:pStyle w:val="ESTablebody0"/>
              <w:jc w:val="right"/>
            </w:pPr>
            <w:r>
              <w:t>2</w:t>
            </w:r>
          </w:p>
        </w:tc>
        <w:tc>
          <w:tcPr>
            <w:tcW w:w="689" w:type="dxa"/>
            <w:tcBorders>
              <w:top w:val="nil"/>
              <w:left w:val="nil"/>
              <w:bottom w:val="nil"/>
              <w:right w:val="single" w:sz="4" w:space="0" w:color="auto"/>
            </w:tcBorders>
            <w:vAlign w:val="bottom"/>
          </w:tcPr>
          <w:p w14:paraId="7AB7B28E" w14:textId="289BE4EB" w:rsidR="000966E9" w:rsidRPr="00876E39" w:rsidRDefault="000966E9" w:rsidP="00876E39">
            <w:pPr>
              <w:pStyle w:val="ESTablebody0"/>
              <w:jc w:val="right"/>
              <w:rPr>
                <w:b/>
              </w:rPr>
            </w:pPr>
            <w:r w:rsidRPr="00876E39">
              <w:rPr>
                <w:b/>
              </w:rPr>
              <w:t>7</w:t>
            </w:r>
          </w:p>
        </w:tc>
        <w:tc>
          <w:tcPr>
            <w:tcW w:w="688" w:type="dxa"/>
            <w:tcBorders>
              <w:top w:val="nil"/>
              <w:left w:val="single" w:sz="4" w:space="0" w:color="auto"/>
              <w:bottom w:val="nil"/>
              <w:right w:val="nil"/>
            </w:tcBorders>
            <w:shd w:val="clear" w:color="auto" w:fill="auto"/>
            <w:vAlign w:val="bottom"/>
          </w:tcPr>
          <w:p w14:paraId="7449F648" w14:textId="080E8E16" w:rsidR="000966E9" w:rsidRPr="0087752B" w:rsidRDefault="000966E9" w:rsidP="00876E39">
            <w:pPr>
              <w:pStyle w:val="ESTablebody0"/>
              <w:jc w:val="right"/>
            </w:pPr>
            <w:r w:rsidRPr="0047102E">
              <w:t>3</w:t>
            </w:r>
          </w:p>
        </w:tc>
        <w:tc>
          <w:tcPr>
            <w:tcW w:w="690" w:type="dxa"/>
            <w:tcBorders>
              <w:top w:val="nil"/>
              <w:left w:val="nil"/>
              <w:bottom w:val="nil"/>
              <w:right w:val="nil"/>
            </w:tcBorders>
            <w:shd w:val="clear" w:color="auto" w:fill="auto"/>
            <w:vAlign w:val="bottom"/>
          </w:tcPr>
          <w:p w14:paraId="547A1C5E" w14:textId="56BDCF3A" w:rsidR="000966E9" w:rsidRPr="0087752B" w:rsidRDefault="000966E9" w:rsidP="00876E39">
            <w:pPr>
              <w:pStyle w:val="ESTablebody0"/>
              <w:jc w:val="right"/>
            </w:pPr>
            <w:r w:rsidRPr="0047102E">
              <w:t>1</w:t>
            </w:r>
          </w:p>
        </w:tc>
        <w:tc>
          <w:tcPr>
            <w:tcW w:w="689" w:type="dxa"/>
            <w:tcBorders>
              <w:top w:val="nil"/>
              <w:left w:val="nil"/>
              <w:bottom w:val="nil"/>
              <w:right w:val="single" w:sz="4" w:space="0" w:color="auto"/>
            </w:tcBorders>
            <w:shd w:val="clear" w:color="auto" w:fill="auto"/>
            <w:vAlign w:val="bottom"/>
          </w:tcPr>
          <w:p w14:paraId="6B9F37DC" w14:textId="538A179B" w:rsidR="000966E9" w:rsidRPr="00876E39" w:rsidRDefault="000966E9" w:rsidP="00876E39">
            <w:pPr>
              <w:pStyle w:val="ESTablebody0"/>
              <w:jc w:val="right"/>
              <w:rPr>
                <w:b/>
              </w:rPr>
            </w:pPr>
            <w:r w:rsidRPr="00876E39">
              <w:rPr>
                <w:b/>
              </w:rPr>
              <w:t>4</w:t>
            </w:r>
          </w:p>
        </w:tc>
        <w:tc>
          <w:tcPr>
            <w:tcW w:w="689" w:type="dxa"/>
            <w:tcBorders>
              <w:top w:val="nil"/>
              <w:left w:val="single" w:sz="4" w:space="0" w:color="auto"/>
              <w:bottom w:val="nil"/>
              <w:right w:val="nil"/>
            </w:tcBorders>
            <w:shd w:val="clear" w:color="auto" w:fill="F8F8F8"/>
            <w:vAlign w:val="bottom"/>
          </w:tcPr>
          <w:p w14:paraId="562EDA79" w14:textId="4A79D0D9" w:rsidR="000966E9" w:rsidRPr="0087752B" w:rsidRDefault="000966E9" w:rsidP="00876E39">
            <w:pPr>
              <w:pStyle w:val="ESTablebody0"/>
              <w:jc w:val="right"/>
            </w:pPr>
            <w:r>
              <w:t>2</w:t>
            </w:r>
          </w:p>
        </w:tc>
        <w:tc>
          <w:tcPr>
            <w:tcW w:w="578" w:type="dxa"/>
            <w:tcBorders>
              <w:top w:val="nil"/>
              <w:left w:val="nil"/>
              <w:bottom w:val="nil"/>
              <w:right w:val="nil"/>
            </w:tcBorders>
            <w:shd w:val="clear" w:color="auto" w:fill="F8F8F8"/>
            <w:vAlign w:val="bottom"/>
          </w:tcPr>
          <w:p w14:paraId="5E802EFE" w14:textId="291C3F32" w:rsidR="000966E9" w:rsidRPr="0087752B" w:rsidRDefault="000966E9" w:rsidP="00876E39">
            <w:pPr>
              <w:pStyle w:val="ESTablebody0"/>
              <w:jc w:val="right"/>
            </w:pPr>
            <w:r>
              <w:t>1</w:t>
            </w:r>
          </w:p>
        </w:tc>
        <w:tc>
          <w:tcPr>
            <w:tcW w:w="577" w:type="dxa"/>
            <w:tcBorders>
              <w:top w:val="nil"/>
              <w:left w:val="nil"/>
              <w:bottom w:val="nil"/>
              <w:right w:val="nil"/>
            </w:tcBorders>
            <w:shd w:val="clear" w:color="auto" w:fill="F8F8F8"/>
            <w:vAlign w:val="bottom"/>
          </w:tcPr>
          <w:p w14:paraId="7697BAB6" w14:textId="77FB64E2" w:rsidR="000966E9" w:rsidRPr="00876E39" w:rsidRDefault="000966E9" w:rsidP="00876E39">
            <w:pPr>
              <w:pStyle w:val="ESTablebody0"/>
              <w:jc w:val="right"/>
              <w:rPr>
                <w:b/>
              </w:rPr>
            </w:pPr>
            <w:r w:rsidRPr="00876E39">
              <w:rPr>
                <w:b/>
              </w:rPr>
              <w:t>3</w:t>
            </w:r>
          </w:p>
        </w:tc>
      </w:tr>
      <w:tr w:rsidR="000966E9" w:rsidRPr="0087752B" w14:paraId="2621C78C" w14:textId="77777777" w:rsidTr="006E49EE">
        <w:trPr>
          <w:cantSplit/>
          <w:trHeight w:val="454"/>
        </w:trPr>
        <w:tc>
          <w:tcPr>
            <w:tcW w:w="1302" w:type="dxa"/>
            <w:tcBorders>
              <w:top w:val="nil"/>
              <w:left w:val="nil"/>
              <w:bottom w:val="nil"/>
              <w:right w:val="nil"/>
            </w:tcBorders>
            <w:shd w:val="clear" w:color="auto" w:fill="F8F8F8"/>
            <w:vAlign w:val="center"/>
          </w:tcPr>
          <w:p w14:paraId="565E83E7" w14:textId="77777777" w:rsidR="000966E9" w:rsidRPr="0087752B" w:rsidRDefault="000966E9" w:rsidP="007D5DAA">
            <w:pPr>
              <w:pStyle w:val="ESTablebody0"/>
            </w:pPr>
            <w:r w:rsidRPr="0087752B">
              <w:t>Goulburn Ovens Institute of TAFE</w:t>
            </w:r>
          </w:p>
        </w:tc>
        <w:tc>
          <w:tcPr>
            <w:tcW w:w="776" w:type="dxa"/>
            <w:tcBorders>
              <w:top w:val="nil"/>
              <w:left w:val="nil"/>
              <w:bottom w:val="nil"/>
              <w:right w:val="nil"/>
            </w:tcBorders>
            <w:vAlign w:val="bottom"/>
          </w:tcPr>
          <w:p w14:paraId="02F71C06" w14:textId="58A74D48" w:rsidR="000966E9" w:rsidRPr="0087752B" w:rsidRDefault="000966E9" w:rsidP="00876E39">
            <w:pPr>
              <w:pStyle w:val="ESTablebody0"/>
              <w:jc w:val="right"/>
            </w:pPr>
            <w:r>
              <w:t>4</w:t>
            </w:r>
          </w:p>
        </w:tc>
        <w:tc>
          <w:tcPr>
            <w:tcW w:w="689" w:type="dxa"/>
            <w:tcBorders>
              <w:top w:val="nil"/>
              <w:left w:val="nil"/>
              <w:bottom w:val="nil"/>
              <w:right w:val="nil"/>
            </w:tcBorders>
            <w:vAlign w:val="bottom"/>
          </w:tcPr>
          <w:p w14:paraId="5CFAC342" w14:textId="52F6AF19" w:rsidR="000966E9" w:rsidRPr="0087752B" w:rsidRDefault="000966E9" w:rsidP="00876E39">
            <w:pPr>
              <w:pStyle w:val="ESTablebody0"/>
              <w:jc w:val="right"/>
            </w:pPr>
            <w:r>
              <w:t>3</w:t>
            </w:r>
          </w:p>
        </w:tc>
        <w:tc>
          <w:tcPr>
            <w:tcW w:w="689" w:type="dxa"/>
            <w:tcBorders>
              <w:top w:val="nil"/>
              <w:left w:val="nil"/>
              <w:bottom w:val="nil"/>
              <w:right w:val="single" w:sz="4" w:space="0" w:color="auto"/>
            </w:tcBorders>
            <w:vAlign w:val="bottom"/>
          </w:tcPr>
          <w:p w14:paraId="1B2193D9" w14:textId="3E43C2B6" w:rsidR="000966E9" w:rsidRPr="00876E39" w:rsidRDefault="000966E9" w:rsidP="00876E39">
            <w:pPr>
              <w:pStyle w:val="ESTablebody0"/>
              <w:jc w:val="right"/>
              <w:rPr>
                <w:b/>
              </w:rPr>
            </w:pPr>
            <w:r w:rsidRPr="00876E39">
              <w:rPr>
                <w:b/>
              </w:rPr>
              <w:t>7</w:t>
            </w:r>
          </w:p>
        </w:tc>
        <w:tc>
          <w:tcPr>
            <w:tcW w:w="688" w:type="dxa"/>
            <w:tcBorders>
              <w:top w:val="nil"/>
              <w:left w:val="single" w:sz="4" w:space="0" w:color="auto"/>
              <w:bottom w:val="nil"/>
              <w:right w:val="nil"/>
            </w:tcBorders>
            <w:shd w:val="clear" w:color="auto" w:fill="auto"/>
            <w:vAlign w:val="bottom"/>
          </w:tcPr>
          <w:p w14:paraId="7231A047" w14:textId="09022EA6" w:rsidR="000966E9" w:rsidRPr="0087752B" w:rsidRDefault="000966E9" w:rsidP="00876E39">
            <w:pPr>
              <w:pStyle w:val="ESTablebody0"/>
              <w:jc w:val="right"/>
            </w:pPr>
            <w:r w:rsidRPr="0047102E">
              <w:t>2</w:t>
            </w:r>
          </w:p>
        </w:tc>
        <w:tc>
          <w:tcPr>
            <w:tcW w:w="690" w:type="dxa"/>
            <w:tcBorders>
              <w:top w:val="nil"/>
              <w:left w:val="nil"/>
              <w:bottom w:val="nil"/>
              <w:right w:val="nil"/>
            </w:tcBorders>
            <w:shd w:val="clear" w:color="auto" w:fill="auto"/>
            <w:vAlign w:val="bottom"/>
          </w:tcPr>
          <w:p w14:paraId="74DEC9B0" w14:textId="0BC5558A" w:rsidR="000966E9" w:rsidRPr="0087752B" w:rsidRDefault="000966E9" w:rsidP="00876E39">
            <w:pPr>
              <w:pStyle w:val="ESTablebody0"/>
              <w:jc w:val="right"/>
            </w:pPr>
            <w:r w:rsidRPr="0047102E">
              <w:t>3</w:t>
            </w:r>
          </w:p>
        </w:tc>
        <w:tc>
          <w:tcPr>
            <w:tcW w:w="689" w:type="dxa"/>
            <w:tcBorders>
              <w:top w:val="nil"/>
              <w:left w:val="nil"/>
              <w:bottom w:val="nil"/>
              <w:right w:val="single" w:sz="4" w:space="0" w:color="auto"/>
            </w:tcBorders>
            <w:shd w:val="clear" w:color="auto" w:fill="auto"/>
            <w:vAlign w:val="bottom"/>
          </w:tcPr>
          <w:p w14:paraId="21EC558F" w14:textId="442FE2C6" w:rsidR="000966E9" w:rsidRPr="00876E39" w:rsidRDefault="000966E9" w:rsidP="00876E39">
            <w:pPr>
              <w:pStyle w:val="ESTablebody0"/>
              <w:jc w:val="right"/>
              <w:rPr>
                <w:b/>
              </w:rPr>
            </w:pPr>
            <w:r w:rsidRPr="00876E39">
              <w:rPr>
                <w:b/>
              </w:rPr>
              <w:t>5</w:t>
            </w:r>
          </w:p>
        </w:tc>
        <w:tc>
          <w:tcPr>
            <w:tcW w:w="689" w:type="dxa"/>
            <w:tcBorders>
              <w:top w:val="nil"/>
              <w:left w:val="single" w:sz="4" w:space="0" w:color="auto"/>
              <w:bottom w:val="nil"/>
              <w:right w:val="nil"/>
            </w:tcBorders>
            <w:shd w:val="clear" w:color="auto" w:fill="F8F8F8"/>
            <w:vAlign w:val="bottom"/>
          </w:tcPr>
          <w:p w14:paraId="029B02BB" w14:textId="0C403120" w:rsidR="000966E9" w:rsidRPr="0087752B" w:rsidRDefault="000966E9" w:rsidP="00876E39">
            <w:pPr>
              <w:pStyle w:val="ESTablebody0"/>
              <w:jc w:val="right"/>
            </w:pPr>
            <w:r>
              <w:t>2</w:t>
            </w:r>
          </w:p>
        </w:tc>
        <w:tc>
          <w:tcPr>
            <w:tcW w:w="578" w:type="dxa"/>
            <w:tcBorders>
              <w:top w:val="nil"/>
              <w:left w:val="nil"/>
              <w:bottom w:val="nil"/>
              <w:right w:val="nil"/>
            </w:tcBorders>
            <w:shd w:val="clear" w:color="auto" w:fill="F8F8F8"/>
            <w:vAlign w:val="bottom"/>
          </w:tcPr>
          <w:p w14:paraId="0FC460C1" w14:textId="3A57A36F" w:rsidR="000966E9" w:rsidRPr="0087752B" w:rsidRDefault="000966E9" w:rsidP="00876E39">
            <w:pPr>
              <w:pStyle w:val="ESTablebody0"/>
              <w:jc w:val="right"/>
            </w:pPr>
            <w:r>
              <w:t>0</w:t>
            </w:r>
          </w:p>
        </w:tc>
        <w:tc>
          <w:tcPr>
            <w:tcW w:w="577" w:type="dxa"/>
            <w:tcBorders>
              <w:top w:val="nil"/>
              <w:left w:val="nil"/>
              <w:bottom w:val="nil"/>
              <w:right w:val="nil"/>
            </w:tcBorders>
            <w:shd w:val="clear" w:color="auto" w:fill="F8F8F8"/>
            <w:vAlign w:val="bottom"/>
          </w:tcPr>
          <w:p w14:paraId="7BC09504" w14:textId="7BAACCA0" w:rsidR="000966E9" w:rsidRPr="00876E39" w:rsidRDefault="000966E9" w:rsidP="00876E39">
            <w:pPr>
              <w:pStyle w:val="ESTablebody0"/>
              <w:jc w:val="right"/>
              <w:rPr>
                <w:b/>
              </w:rPr>
            </w:pPr>
            <w:r w:rsidRPr="00876E39">
              <w:rPr>
                <w:b/>
              </w:rPr>
              <w:t>2</w:t>
            </w:r>
          </w:p>
        </w:tc>
      </w:tr>
      <w:tr w:rsidR="000966E9" w:rsidRPr="0087752B" w14:paraId="5D258CCD" w14:textId="77777777" w:rsidTr="006E49EE">
        <w:trPr>
          <w:cantSplit/>
          <w:trHeight w:val="454"/>
        </w:trPr>
        <w:tc>
          <w:tcPr>
            <w:tcW w:w="1302" w:type="dxa"/>
            <w:tcBorders>
              <w:top w:val="nil"/>
              <w:left w:val="nil"/>
              <w:bottom w:val="nil"/>
              <w:right w:val="nil"/>
            </w:tcBorders>
            <w:shd w:val="clear" w:color="auto" w:fill="F8F8F8"/>
            <w:vAlign w:val="center"/>
          </w:tcPr>
          <w:p w14:paraId="78F0FA88" w14:textId="77777777" w:rsidR="000966E9" w:rsidRPr="0087752B" w:rsidRDefault="000966E9" w:rsidP="007D5DAA">
            <w:pPr>
              <w:pStyle w:val="ESTablebody0"/>
            </w:pPr>
            <w:r w:rsidRPr="0087752B">
              <w:t>Holmesglen Institute</w:t>
            </w:r>
          </w:p>
        </w:tc>
        <w:tc>
          <w:tcPr>
            <w:tcW w:w="776" w:type="dxa"/>
            <w:tcBorders>
              <w:top w:val="nil"/>
              <w:left w:val="nil"/>
              <w:bottom w:val="nil"/>
              <w:right w:val="nil"/>
            </w:tcBorders>
            <w:vAlign w:val="bottom"/>
          </w:tcPr>
          <w:p w14:paraId="4FC827D8" w14:textId="1B180EBF" w:rsidR="000966E9" w:rsidRPr="0087752B" w:rsidRDefault="000966E9" w:rsidP="00876E39">
            <w:pPr>
              <w:pStyle w:val="ESTablebody0"/>
              <w:jc w:val="right"/>
            </w:pPr>
            <w:r>
              <w:t>11</w:t>
            </w:r>
          </w:p>
        </w:tc>
        <w:tc>
          <w:tcPr>
            <w:tcW w:w="689" w:type="dxa"/>
            <w:tcBorders>
              <w:top w:val="nil"/>
              <w:left w:val="nil"/>
              <w:bottom w:val="nil"/>
              <w:right w:val="nil"/>
            </w:tcBorders>
            <w:vAlign w:val="bottom"/>
          </w:tcPr>
          <w:p w14:paraId="4CAD6DCC" w14:textId="0B4764B7" w:rsidR="000966E9" w:rsidRPr="0087752B" w:rsidRDefault="000966E9" w:rsidP="00876E39">
            <w:pPr>
              <w:pStyle w:val="ESTablebody0"/>
              <w:jc w:val="right"/>
            </w:pPr>
            <w:r>
              <w:t>8</w:t>
            </w:r>
          </w:p>
        </w:tc>
        <w:tc>
          <w:tcPr>
            <w:tcW w:w="689" w:type="dxa"/>
            <w:tcBorders>
              <w:top w:val="nil"/>
              <w:left w:val="nil"/>
              <w:bottom w:val="nil"/>
              <w:right w:val="single" w:sz="4" w:space="0" w:color="auto"/>
            </w:tcBorders>
            <w:vAlign w:val="bottom"/>
          </w:tcPr>
          <w:p w14:paraId="345A0D44" w14:textId="2B720583" w:rsidR="000966E9" w:rsidRPr="00876E39" w:rsidRDefault="000966E9" w:rsidP="00876E39">
            <w:pPr>
              <w:pStyle w:val="ESTablebody0"/>
              <w:jc w:val="right"/>
              <w:rPr>
                <w:b/>
              </w:rPr>
            </w:pPr>
            <w:r w:rsidRPr="00876E39">
              <w:rPr>
                <w:b/>
              </w:rPr>
              <w:t>19</w:t>
            </w:r>
          </w:p>
        </w:tc>
        <w:tc>
          <w:tcPr>
            <w:tcW w:w="688" w:type="dxa"/>
            <w:tcBorders>
              <w:top w:val="nil"/>
              <w:left w:val="single" w:sz="4" w:space="0" w:color="auto"/>
              <w:bottom w:val="nil"/>
              <w:right w:val="nil"/>
            </w:tcBorders>
            <w:shd w:val="clear" w:color="auto" w:fill="auto"/>
            <w:vAlign w:val="bottom"/>
          </w:tcPr>
          <w:p w14:paraId="7DBBC197" w14:textId="4B0697A7" w:rsidR="000966E9" w:rsidRPr="0087752B" w:rsidRDefault="000966E9" w:rsidP="00876E39">
            <w:pPr>
              <w:pStyle w:val="ESTablebody0"/>
              <w:jc w:val="right"/>
            </w:pPr>
            <w:r w:rsidRPr="0047102E">
              <w:t>10</w:t>
            </w:r>
          </w:p>
        </w:tc>
        <w:tc>
          <w:tcPr>
            <w:tcW w:w="690" w:type="dxa"/>
            <w:tcBorders>
              <w:top w:val="nil"/>
              <w:left w:val="nil"/>
              <w:bottom w:val="nil"/>
              <w:right w:val="nil"/>
            </w:tcBorders>
            <w:shd w:val="clear" w:color="auto" w:fill="auto"/>
            <w:vAlign w:val="bottom"/>
          </w:tcPr>
          <w:p w14:paraId="26FEC088" w14:textId="04E44640" w:rsidR="000966E9" w:rsidRPr="0087752B" w:rsidRDefault="000966E9" w:rsidP="00876E39">
            <w:pPr>
              <w:pStyle w:val="ESTablebody0"/>
              <w:jc w:val="right"/>
            </w:pPr>
            <w:r w:rsidRPr="0047102E">
              <w:t>7</w:t>
            </w:r>
          </w:p>
        </w:tc>
        <w:tc>
          <w:tcPr>
            <w:tcW w:w="689" w:type="dxa"/>
            <w:tcBorders>
              <w:top w:val="nil"/>
              <w:left w:val="nil"/>
              <w:bottom w:val="nil"/>
              <w:right w:val="single" w:sz="4" w:space="0" w:color="auto"/>
            </w:tcBorders>
            <w:shd w:val="clear" w:color="auto" w:fill="auto"/>
            <w:vAlign w:val="bottom"/>
          </w:tcPr>
          <w:p w14:paraId="162CF2DB" w14:textId="57BF64EB" w:rsidR="000966E9" w:rsidRPr="00876E39" w:rsidRDefault="000966E9" w:rsidP="00876E39">
            <w:pPr>
              <w:pStyle w:val="ESTablebody0"/>
              <w:jc w:val="right"/>
              <w:rPr>
                <w:b/>
              </w:rPr>
            </w:pPr>
            <w:r w:rsidRPr="00876E39">
              <w:rPr>
                <w:b/>
              </w:rPr>
              <w:t>17</w:t>
            </w:r>
          </w:p>
        </w:tc>
        <w:tc>
          <w:tcPr>
            <w:tcW w:w="689" w:type="dxa"/>
            <w:tcBorders>
              <w:top w:val="nil"/>
              <w:left w:val="single" w:sz="4" w:space="0" w:color="auto"/>
              <w:bottom w:val="nil"/>
              <w:right w:val="nil"/>
            </w:tcBorders>
            <w:shd w:val="clear" w:color="auto" w:fill="F8F8F8"/>
            <w:vAlign w:val="bottom"/>
          </w:tcPr>
          <w:p w14:paraId="556D800B" w14:textId="445A78D6" w:rsidR="000966E9" w:rsidRPr="0087752B" w:rsidRDefault="000966E9" w:rsidP="00876E39">
            <w:pPr>
              <w:pStyle w:val="ESTablebody0"/>
              <w:jc w:val="right"/>
            </w:pPr>
            <w:r>
              <w:t>1</w:t>
            </w:r>
          </w:p>
        </w:tc>
        <w:tc>
          <w:tcPr>
            <w:tcW w:w="578" w:type="dxa"/>
            <w:tcBorders>
              <w:top w:val="nil"/>
              <w:left w:val="nil"/>
              <w:bottom w:val="nil"/>
              <w:right w:val="nil"/>
            </w:tcBorders>
            <w:shd w:val="clear" w:color="auto" w:fill="F8F8F8"/>
            <w:vAlign w:val="bottom"/>
          </w:tcPr>
          <w:p w14:paraId="64D60095" w14:textId="2BF8DECF" w:rsidR="000966E9" w:rsidRPr="0087752B" w:rsidRDefault="000966E9" w:rsidP="00876E39">
            <w:pPr>
              <w:pStyle w:val="ESTablebody0"/>
              <w:jc w:val="right"/>
            </w:pPr>
            <w:r>
              <w:t>1</w:t>
            </w:r>
          </w:p>
        </w:tc>
        <w:tc>
          <w:tcPr>
            <w:tcW w:w="577" w:type="dxa"/>
            <w:tcBorders>
              <w:top w:val="nil"/>
              <w:left w:val="nil"/>
              <w:bottom w:val="nil"/>
              <w:right w:val="nil"/>
            </w:tcBorders>
            <w:shd w:val="clear" w:color="auto" w:fill="F8F8F8"/>
            <w:vAlign w:val="bottom"/>
          </w:tcPr>
          <w:p w14:paraId="00E14520" w14:textId="017EC8BB" w:rsidR="000966E9" w:rsidRPr="00876E39" w:rsidRDefault="000966E9" w:rsidP="00876E39">
            <w:pPr>
              <w:pStyle w:val="ESTablebody0"/>
              <w:jc w:val="right"/>
              <w:rPr>
                <w:b/>
              </w:rPr>
            </w:pPr>
            <w:r w:rsidRPr="00876E39">
              <w:rPr>
                <w:b/>
              </w:rPr>
              <w:t>2</w:t>
            </w:r>
          </w:p>
        </w:tc>
      </w:tr>
      <w:tr w:rsidR="000966E9" w:rsidRPr="0087752B" w14:paraId="54965E02" w14:textId="77777777" w:rsidTr="006E49EE">
        <w:trPr>
          <w:cantSplit/>
          <w:trHeight w:val="454"/>
        </w:trPr>
        <w:tc>
          <w:tcPr>
            <w:tcW w:w="1302" w:type="dxa"/>
            <w:tcBorders>
              <w:top w:val="nil"/>
              <w:left w:val="nil"/>
              <w:bottom w:val="nil"/>
              <w:right w:val="nil"/>
            </w:tcBorders>
            <w:shd w:val="clear" w:color="auto" w:fill="F8F8F8"/>
            <w:vAlign w:val="center"/>
          </w:tcPr>
          <w:p w14:paraId="153AEEFC" w14:textId="77777777" w:rsidR="000966E9" w:rsidRPr="0087752B" w:rsidRDefault="000966E9" w:rsidP="007D5DAA">
            <w:pPr>
              <w:pStyle w:val="ESTablebody0"/>
            </w:pPr>
            <w:r w:rsidRPr="0087752B">
              <w:t>Melbourne Polytechnic</w:t>
            </w:r>
          </w:p>
        </w:tc>
        <w:tc>
          <w:tcPr>
            <w:tcW w:w="776" w:type="dxa"/>
            <w:tcBorders>
              <w:top w:val="nil"/>
              <w:left w:val="nil"/>
              <w:bottom w:val="nil"/>
              <w:right w:val="nil"/>
            </w:tcBorders>
            <w:vAlign w:val="bottom"/>
          </w:tcPr>
          <w:p w14:paraId="10EEF305" w14:textId="163FD3EB" w:rsidR="000966E9" w:rsidRPr="0087752B" w:rsidRDefault="000966E9" w:rsidP="00876E39">
            <w:pPr>
              <w:pStyle w:val="ESTablebody0"/>
              <w:jc w:val="right"/>
            </w:pPr>
            <w:r w:rsidRPr="009F6930">
              <w:t>9</w:t>
            </w:r>
          </w:p>
        </w:tc>
        <w:tc>
          <w:tcPr>
            <w:tcW w:w="689" w:type="dxa"/>
            <w:tcBorders>
              <w:top w:val="nil"/>
              <w:left w:val="nil"/>
              <w:bottom w:val="nil"/>
              <w:right w:val="nil"/>
            </w:tcBorders>
            <w:vAlign w:val="bottom"/>
          </w:tcPr>
          <w:p w14:paraId="39EDC682" w14:textId="1DE9EFD9" w:rsidR="000966E9" w:rsidRPr="0087752B" w:rsidRDefault="000966E9" w:rsidP="00876E39">
            <w:pPr>
              <w:pStyle w:val="ESTablebody0"/>
              <w:jc w:val="right"/>
            </w:pPr>
            <w:r w:rsidRPr="009F6930">
              <w:t>16</w:t>
            </w:r>
          </w:p>
        </w:tc>
        <w:tc>
          <w:tcPr>
            <w:tcW w:w="689" w:type="dxa"/>
            <w:tcBorders>
              <w:top w:val="nil"/>
              <w:left w:val="nil"/>
              <w:bottom w:val="nil"/>
              <w:right w:val="single" w:sz="4" w:space="0" w:color="auto"/>
            </w:tcBorders>
            <w:vAlign w:val="bottom"/>
          </w:tcPr>
          <w:p w14:paraId="71E52BD6" w14:textId="37C13BA9" w:rsidR="000966E9" w:rsidRPr="00876E39" w:rsidRDefault="000966E9" w:rsidP="00876E39">
            <w:pPr>
              <w:pStyle w:val="ESTablebody0"/>
              <w:jc w:val="right"/>
              <w:rPr>
                <w:b/>
              </w:rPr>
            </w:pPr>
            <w:r w:rsidRPr="00876E39">
              <w:rPr>
                <w:b/>
              </w:rPr>
              <w:t>25</w:t>
            </w:r>
          </w:p>
        </w:tc>
        <w:tc>
          <w:tcPr>
            <w:tcW w:w="688" w:type="dxa"/>
            <w:tcBorders>
              <w:top w:val="nil"/>
              <w:left w:val="single" w:sz="4" w:space="0" w:color="auto"/>
              <w:bottom w:val="nil"/>
              <w:right w:val="nil"/>
            </w:tcBorders>
            <w:shd w:val="clear" w:color="auto" w:fill="auto"/>
            <w:vAlign w:val="bottom"/>
          </w:tcPr>
          <w:p w14:paraId="7FCF9CEF" w14:textId="6C081BD7" w:rsidR="000966E9" w:rsidRPr="0087752B" w:rsidRDefault="000966E9" w:rsidP="00876E39">
            <w:pPr>
              <w:pStyle w:val="ESTablebody0"/>
              <w:jc w:val="right"/>
            </w:pPr>
            <w:r w:rsidRPr="0047102E">
              <w:t>12</w:t>
            </w:r>
          </w:p>
        </w:tc>
        <w:tc>
          <w:tcPr>
            <w:tcW w:w="690" w:type="dxa"/>
            <w:tcBorders>
              <w:top w:val="nil"/>
              <w:left w:val="nil"/>
              <w:bottom w:val="nil"/>
              <w:right w:val="nil"/>
            </w:tcBorders>
            <w:shd w:val="clear" w:color="auto" w:fill="auto"/>
            <w:vAlign w:val="bottom"/>
          </w:tcPr>
          <w:p w14:paraId="5AC4881D" w14:textId="1FFAA34D" w:rsidR="000966E9" w:rsidRPr="0087752B" w:rsidRDefault="000966E9" w:rsidP="00876E39">
            <w:pPr>
              <w:pStyle w:val="ESTablebody0"/>
              <w:jc w:val="right"/>
            </w:pPr>
            <w:r w:rsidRPr="0047102E">
              <w:t>20</w:t>
            </w:r>
          </w:p>
        </w:tc>
        <w:tc>
          <w:tcPr>
            <w:tcW w:w="689" w:type="dxa"/>
            <w:tcBorders>
              <w:top w:val="nil"/>
              <w:left w:val="nil"/>
              <w:bottom w:val="nil"/>
              <w:right w:val="single" w:sz="4" w:space="0" w:color="auto"/>
            </w:tcBorders>
            <w:shd w:val="clear" w:color="auto" w:fill="auto"/>
            <w:vAlign w:val="bottom"/>
          </w:tcPr>
          <w:p w14:paraId="40A6B426" w14:textId="4E9F9702" w:rsidR="000966E9" w:rsidRPr="00876E39" w:rsidRDefault="000966E9" w:rsidP="00876E39">
            <w:pPr>
              <w:pStyle w:val="ESTablebody0"/>
              <w:jc w:val="right"/>
              <w:rPr>
                <w:b/>
              </w:rPr>
            </w:pPr>
            <w:r w:rsidRPr="00876E39">
              <w:rPr>
                <w:b/>
              </w:rPr>
              <w:t>32</w:t>
            </w:r>
          </w:p>
        </w:tc>
        <w:tc>
          <w:tcPr>
            <w:tcW w:w="689" w:type="dxa"/>
            <w:tcBorders>
              <w:top w:val="nil"/>
              <w:left w:val="single" w:sz="4" w:space="0" w:color="auto"/>
              <w:bottom w:val="nil"/>
              <w:right w:val="nil"/>
            </w:tcBorders>
            <w:shd w:val="clear" w:color="auto" w:fill="F8F8F8"/>
            <w:vAlign w:val="bottom"/>
          </w:tcPr>
          <w:p w14:paraId="5659FA0F" w14:textId="42837F50" w:rsidR="000966E9" w:rsidRPr="0087752B" w:rsidRDefault="000966E9" w:rsidP="00876E39">
            <w:pPr>
              <w:pStyle w:val="ESTablebody0"/>
              <w:jc w:val="right"/>
            </w:pPr>
            <w:r w:rsidRPr="00F03792">
              <w:t>-3</w:t>
            </w:r>
          </w:p>
        </w:tc>
        <w:tc>
          <w:tcPr>
            <w:tcW w:w="578" w:type="dxa"/>
            <w:tcBorders>
              <w:top w:val="nil"/>
              <w:left w:val="nil"/>
              <w:bottom w:val="nil"/>
              <w:right w:val="nil"/>
            </w:tcBorders>
            <w:shd w:val="clear" w:color="auto" w:fill="F8F8F8"/>
            <w:vAlign w:val="bottom"/>
          </w:tcPr>
          <w:p w14:paraId="54DAECA3" w14:textId="2F8560EA" w:rsidR="000966E9" w:rsidRPr="0087752B" w:rsidRDefault="000966E9" w:rsidP="00876E39">
            <w:pPr>
              <w:pStyle w:val="ESTablebody0"/>
              <w:jc w:val="right"/>
            </w:pPr>
            <w:r w:rsidRPr="00F03792">
              <w:t>-4</w:t>
            </w:r>
          </w:p>
        </w:tc>
        <w:tc>
          <w:tcPr>
            <w:tcW w:w="577" w:type="dxa"/>
            <w:tcBorders>
              <w:top w:val="nil"/>
              <w:left w:val="nil"/>
              <w:bottom w:val="nil"/>
              <w:right w:val="nil"/>
            </w:tcBorders>
            <w:shd w:val="clear" w:color="auto" w:fill="F8F8F8"/>
            <w:vAlign w:val="bottom"/>
          </w:tcPr>
          <w:p w14:paraId="6DB50539" w14:textId="7D1DF8B4" w:rsidR="000966E9" w:rsidRPr="00876E39" w:rsidRDefault="000966E9" w:rsidP="00876E39">
            <w:pPr>
              <w:pStyle w:val="ESTablebody0"/>
              <w:jc w:val="right"/>
              <w:rPr>
                <w:b/>
              </w:rPr>
            </w:pPr>
            <w:r w:rsidRPr="00876E39">
              <w:rPr>
                <w:b/>
              </w:rPr>
              <w:t>-7</w:t>
            </w:r>
          </w:p>
        </w:tc>
      </w:tr>
      <w:tr w:rsidR="000966E9" w:rsidRPr="0087752B" w14:paraId="4FDF81FE" w14:textId="77777777" w:rsidTr="006E49EE">
        <w:trPr>
          <w:cantSplit/>
          <w:trHeight w:val="454"/>
        </w:trPr>
        <w:tc>
          <w:tcPr>
            <w:tcW w:w="1302" w:type="dxa"/>
            <w:tcBorders>
              <w:top w:val="nil"/>
              <w:left w:val="nil"/>
              <w:bottom w:val="nil"/>
              <w:right w:val="nil"/>
            </w:tcBorders>
            <w:shd w:val="clear" w:color="auto" w:fill="F8F8F8"/>
            <w:vAlign w:val="center"/>
          </w:tcPr>
          <w:p w14:paraId="27A147C6" w14:textId="77777777" w:rsidR="000966E9" w:rsidRPr="0087752B" w:rsidRDefault="000966E9" w:rsidP="007D5DAA">
            <w:pPr>
              <w:pStyle w:val="ESTablebody0"/>
            </w:pPr>
            <w:r w:rsidRPr="0087752B">
              <w:t>South West Institute of TAFE</w:t>
            </w:r>
          </w:p>
        </w:tc>
        <w:tc>
          <w:tcPr>
            <w:tcW w:w="776" w:type="dxa"/>
            <w:tcBorders>
              <w:top w:val="nil"/>
              <w:left w:val="nil"/>
              <w:bottom w:val="nil"/>
              <w:right w:val="nil"/>
            </w:tcBorders>
            <w:vAlign w:val="bottom"/>
          </w:tcPr>
          <w:p w14:paraId="714B309F" w14:textId="151110AE" w:rsidR="000966E9" w:rsidRPr="0087752B" w:rsidRDefault="000966E9" w:rsidP="00876E39">
            <w:pPr>
              <w:pStyle w:val="ESTablebody0"/>
              <w:jc w:val="right"/>
            </w:pPr>
            <w:r w:rsidRPr="009F6930">
              <w:t>1</w:t>
            </w:r>
          </w:p>
        </w:tc>
        <w:tc>
          <w:tcPr>
            <w:tcW w:w="689" w:type="dxa"/>
            <w:tcBorders>
              <w:top w:val="nil"/>
              <w:left w:val="nil"/>
              <w:bottom w:val="nil"/>
              <w:right w:val="nil"/>
            </w:tcBorders>
            <w:vAlign w:val="bottom"/>
          </w:tcPr>
          <w:p w14:paraId="6C953EB7" w14:textId="5051C785" w:rsidR="000966E9" w:rsidRPr="0087752B" w:rsidRDefault="000966E9" w:rsidP="00876E39">
            <w:pPr>
              <w:pStyle w:val="ESTablebody0"/>
              <w:jc w:val="right"/>
            </w:pPr>
            <w:r w:rsidRPr="009F6930">
              <w:t>3</w:t>
            </w:r>
          </w:p>
        </w:tc>
        <w:tc>
          <w:tcPr>
            <w:tcW w:w="689" w:type="dxa"/>
            <w:tcBorders>
              <w:top w:val="nil"/>
              <w:left w:val="nil"/>
              <w:bottom w:val="nil"/>
              <w:right w:val="single" w:sz="4" w:space="0" w:color="auto"/>
            </w:tcBorders>
            <w:vAlign w:val="bottom"/>
          </w:tcPr>
          <w:p w14:paraId="3493F588" w14:textId="3AFFCBE5" w:rsidR="000966E9" w:rsidRPr="00876E39" w:rsidRDefault="000966E9" w:rsidP="00876E39">
            <w:pPr>
              <w:pStyle w:val="ESTablebody0"/>
              <w:jc w:val="right"/>
              <w:rPr>
                <w:b/>
              </w:rPr>
            </w:pPr>
            <w:r w:rsidRPr="00876E39">
              <w:rPr>
                <w:b/>
              </w:rPr>
              <w:t>4</w:t>
            </w:r>
          </w:p>
        </w:tc>
        <w:tc>
          <w:tcPr>
            <w:tcW w:w="688" w:type="dxa"/>
            <w:tcBorders>
              <w:top w:val="nil"/>
              <w:left w:val="single" w:sz="4" w:space="0" w:color="auto"/>
              <w:bottom w:val="nil"/>
              <w:right w:val="nil"/>
            </w:tcBorders>
            <w:shd w:val="clear" w:color="auto" w:fill="auto"/>
            <w:vAlign w:val="bottom"/>
          </w:tcPr>
          <w:p w14:paraId="2B3F3068" w14:textId="1CD6C100" w:rsidR="000966E9" w:rsidRPr="0087752B" w:rsidRDefault="000966E9" w:rsidP="00876E39">
            <w:pPr>
              <w:pStyle w:val="ESTablebody0"/>
              <w:jc w:val="right"/>
            </w:pPr>
            <w:r w:rsidRPr="0047102E">
              <w:t>1</w:t>
            </w:r>
          </w:p>
        </w:tc>
        <w:tc>
          <w:tcPr>
            <w:tcW w:w="690" w:type="dxa"/>
            <w:tcBorders>
              <w:top w:val="nil"/>
              <w:left w:val="nil"/>
              <w:bottom w:val="nil"/>
              <w:right w:val="nil"/>
            </w:tcBorders>
            <w:shd w:val="clear" w:color="auto" w:fill="auto"/>
            <w:vAlign w:val="bottom"/>
          </w:tcPr>
          <w:p w14:paraId="3230E2FE" w14:textId="04204AB3" w:rsidR="000966E9" w:rsidRPr="0087752B" w:rsidRDefault="000966E9" w:rsidP="00876E39">
            <w:pPr>
              <w:pStyle w:val="ESTablebody0"/>
              <w:jc w:val="right"/>
            </w:pPr>
            <w:r w:rsidRPr="0047102E">
              <w:t>3</w:t>
            </w:r>
          </w:p>
        </w:tc>
        <w:tc>
          <w:tcPr>
            <w:tcW w:w="689" w:type="dxa"/>
            <w:tcBorders>
              <w:top w:val="nil"/>
              <w:left w:val="nil"/>
              <w:bottom w:val="nil"/>
              <w:right w:val="single" w:sz="4" w:space="0" w:color="auto"/>
            </w:tcBorders>
            <w:shd w:val="clear" w:color="auto" w:fill="auto"/>
            <w:vAlign w:val="bottom"/>
          </w:tcPr>
          <w:p w14:paraId="1881029E" w14:textId="20506F0E" w:rsidR="000966E9" w:rsidRPr="00876E39" w:rsidRDefault="000966E9" w:rsidP="00876E39">
            <w:pPr>
              <w:pStyle w:val="ESTablebody0"/>
              <w:jc w:val="right"/>
              <w:rPr>
                <w:b/>
              </w:rPr>
            </w:pPr>
            <w:r w:rsidRPr="00876E39">
              <w:rPr>
                <w:b/>
              </w:rPr>
              <w:t>4</w:t>
            </w:r>
          </w:p>
        </w:tc>
        <w:tc>
          <w:tcPr>
            <w:tcW w:w="689" w:type="dxa"/>
            <w:tcBorders>
              <w:top w:val="nil"/>
              <w:left w:val="single" w:sz="4" w:space="0" w:color="auto"/>
              <w:bottom w:val="nil"/>
              <w:right w:val="nil"/>
            </w:tcBorders>
            <w:shd w:val="clear" w:color="auto" w:fill="F8F8F8"/>
            <w:vAlign w:val="bottom"/>
          </w:tcPr>
          <w:p w14:paraId="284E20CC" w14:textId="4ABAB759" w:rsidR="000966E9" w:rsidRPr="0087752B" w:rsidRDefault="000966E9" w:rsidP="00876E39">
            <w:pPr>
              <w:pStyle w:val="ESTablebody0"/>
              <w:jc w:val="right"/>
            </w:pPr>
            <w:r w:rsidRPr="00F03792">
              <w:t>0</w:t>
            </w:r>
          </w:p>
        </w:tc>
        <w:tc>
          <w:tcPr>
            <w:tcW w:w="578" w:type="dxa"/>
            <w:tcBorders>
              <w:top w:val="nil"/>
              <w:left w:val="nil"/>
              <w:bottom w:val="nil"/>
              <w:right w:val="nil"/>
            </w:tcBorders>
            <w:shd w:val="clear" w:color="auto" w:fill="F8F8F8"/>
            <w:vAlign w:val="bottom"/>
          </w:tcPr>
          <w:p w14:paraId="584CEAD4" w14:textId="683D1F32" w:rsidR="000966E9" w:rsidRPr="0087752B" w:rsidRDefault="000966E9" w:rsidP="00876E39">
            <w:pPr>
              <w:pStyle w:val="ESTablebody0"/>
              <w:jc w:val="right"/>
            </w:pPr>
            <w:r w:rsidRPr="00F03792">
              <w:t>0</w:t>
            </w:r>
          </w:p>
        </w:tc>
        <w:tc>
          <w:tcPr>
            <w:tcW w:w="577" w:type="dxa"/>
            <w:tcBorders>
              <w:top w:val="nil"/>
              <w:left w:val="nil"/>
              <w:bottom w:val="nil"/>
              <w:right w:val="nil"/>
            </w:tcBorders>
            <w:shd w:val="clear" w:color="auto" w:fill="F8F8F8"/>
            <w:vAlign w:val="bottom"/>
          </w:tcPr>
          <w:p w14:paraId="19D9B41D" w14:textId="13EA92CA" w:rsidR="000966E9" w:rsidRPr="00876E39" w:rsidRDefault="000966E9" w:rsidP="00876E39">
            <w:pPr>
              <w:pStyle w:val="ESTablebody0"/>
              <w:jc w:val="right"/>
              <w:rPr>
                <w:b/>
              </w:rPr>
            </w:pPr>
            <w:r w:rsidRPr="00876E39">
              <w:rPr>
                <w:b/>
              </w:rPr>
              <w:t>0</w:t>
            </w:r>
          </w:p>
        </w:tc>
      </w:tr>
      <w:tr w:rsidR="000966E9" w:rsidRPr="0087752B" w14:paraId="22D2D569" w14:textId="77777777" w:rsidTr="006E49EE">
        <w:trPr>
          <w:cantSplit/>
          <w:trHeight w:val="454"/>
        </w:trPr>
        <w:tc>
          <w:tcPr>
            <w:tcW w:w="1302" w:type="dxa"/>
            <w:tcBorders>
              <w:top w:val="nil"/>
              <w:left w:val="nil"/>
              <w:bottom w:val="nil"/>
              <w:right w:val="nil"/>
            </w:tcBorders>
            <w:shd w:val="clear" w:color="auto" w:fill="F8F8F8"/>
            <w:vAlign w:val="center"/>
          </w:tcPr>
          <w:p w14:paraId="4C8AD5B9" w14:textId="77777777" w:rsidR="000966E9" w:rsidRPr="0087752B" w:rsidRDefault="000966E9" w:rsidP="007D5DAA">
            <w:pPr>
              <w:pStyle w:val="ESTablebody0"/>
            </w:pPr>
            <w:r w:rsidRPr="0087752B">
              <w:t>Sunraysia Institute of TAFE</w:t>
            </w:r>
          </w:p>
        </w:tc>
        <w:tc>
          <w:tcPr>
            <w:tcW w:w="776" w:type="dxa"/>
            <w:tcBorders>
              <w:top w:val="nil"/>
              <w:left w:val="nil"/>
              <w:bottom w:val="nil"/>
              <w:right w:val="nil"/>
            </w:tcBorders>
            <w:vAlign w:val="bottom"/>
          </w:tcPr>
          <w:p w14:paraId="0535FBFE" w14:textId="1D507AAF" w:rsidR="000966E9" w:rsidRPr="0087752B" w:rsidRDefault="000966E9" w:rsidP="00876E39">
            <w:pPr>
              <w:pStyle w:val="ESTablebody0"/>
              <w:jc w:val="right"/>
            </w:pPr>
            <w:r w:rsidRPr="009F6930">
              <w:t>0</w:t>
            </w:r>
          </w:p>
        </w:tc>
        <w:tc>
          <w:tcPr>
            <w:tcW w:w="689" w:type="dxa"/>
            <w:tcBorders>
              <w:top w:val="nil"/>
              <w:left w:val="nil"/>
              <w:bottom w:val="nil"/>
              <w:right w:val="nil"/>
            </w:tcBorders>
            <w:vAlign w:val="bottom"/>
          </w:tcPr>
          <w:p w14:paraId="0310F454" w14:textId="343DF76A" w:rsidR="000966E9" w:rsidRPr="0087752B" w:rsidRDefault="000966E9" w:rsidP="00876E39">
            <w:pPr>
              <w:pStyle w:val="ESTablebody0"/>
              <w:jc w:val="right"/>
            </w:pPr>
            <w:r w:rsidRPr="009F6930">
              <w:t>1</w:t>
            </w:r>
          </w:p>
        </w:tc>
        <w:tc>
          <w:tcPr>
            <w:tcW w:w="689" w:type="dxa"/>
            <w:tcBorders>
              <w:top w:val="nil"/>
              <w:left w:val="nil"/>
              <w:bottom w:val="nil"/>
              <w:right w:val="single" w:sz="4" w:space="0" w:color="auto"/>
            </w:tcBorders>
            <w:vAlign w:val="bottom"/>
          </w:tcPr>
          <w:p w14:paraId="3C79DEB5" w14:textId="452C863D" w:rsidR="000966E9" w:rsidRPr="00876E39" w:rsidRDefault="000966E9" w:rsidP="00876E39">
            <w:pPr>
              <w:pStyle w:val="ESTablebody0"/>
              <w:jc w:val="right"/>
              <w:rPr>
                <w:b/>
              </w:rPr>
            </w:pPr>
            <w:r w:rsidRPr="00876E39">
              <w:rPr>
                <w:b/>
              </w:rPr>
              <w:t>1</w:t>
            </w:r>
          </w:p>
        </w:tc>
        <w:tc>
          <w:tcPr>
            <w:tcW w:w="688" w:type="dxa"/>
            <w:tcBorders>
              <w:top w:val="nil"/>
              <w:left w:val="single" w:sz="4" w:space="0" w:color="auto"/>
              <w:bottom w:val="nil"/>
              <w:right w:val="nil"/>
            </w:tcBorders>
            <w:shd w:val="clear" w:color="auto" w:fill="auto"/>
            <w:vAlign w:val="bottom"/>
          </w:tcPr>
          <w:p w14:paraId="2A619555" w14:textId="364BCD4F" w:rsidR="000966E9" w:rsidRPr="0087752B" w:rsidRDefault="000966E9" w:rsidP="00876E39">
            <w:pPr>
              <w:pStyle w:val="ESTablebody0"/>
              <w:jc w:val="right"/>
            </w:pPr>
            <w:r w:rsidRPr="0047102E">
              <w:t>1</w:t>
            </w:r>
          </w:p>
        </w:tc>
        <w:tc>
          <w:tcPr>
            <w:tcW w:w="690" w:type="dxa"/>
            <w:tcBorders>
              <w:top w:val="nil"/>
              <w:left w:val="nil"/>
              <w:bottom w:val="nil"/>
              <w:right w:val="nil"/>
            </w:tcBorders>
            <w:shd w:val="clear" w:color="auto" w:fill="auto"/>
            <w:vAlign w:val="bottom"/>
          </w:tcPr>
          <w:p w14:paraId="7CAAA49C" w14:textId="281664CE" w:rsidR="000966E9" w:rsidRPr="0087752B" w:rsidRDefault="000966E9" w:rsidP="00876E39">
            <w:pPr>
              <w:pStyle w:val="ESTablebody0"/>
              <w:jc w:val="right"/>
            </w:pPr>
            <w:r w:rsidRPr="0047102E">
              <w:t>3</w:t>
            </w:r>
          </w:p>
        </w:tc>
        <w:tc>
          <w:tcPr>
            <w:tcW w:w="689" w:type="dxa"/>
            <w:tcBorders>
              <w:top w:val="nil"/>
              <w:left w:val="nil"/>
              <w:bottom w:val="nil"/>
              <w:right w:val="single" w:sz="4" w:space="0" w:color="auto"/>
            </w:tcBorders>
            <w:shd w:val="clear" w:color="auto" w:fill="auto"/>
            <w:vAlign w:val="bottom"/>
          </w:tcPr>
          <w:p w14:paraId="3979E07F" w14:textId="14AFDB4C" w:rsidR="000966E9" w:rsidRPr="00876E39" w:rsidRDefault="000966E9" w:rsidP="00876E39">
            <w:pPr>
              <w:pStyle w:val="ESTablebody0"/>
              <w:jc w:val="right"/>
              <w:rPr>
                <w:b/>
              </w:rPr>
            </w:pPr>
            <w:r w:rsidRPr="00876E39">
              <w:rPr>
                <w:b/>
              </w:rPr>
              <w:t>4</w:t>
            </w:r>
          </w:p>
        </w:tc>
        <w:tc>
          <w:tcPr>
            <w:tcW w:w="689" w:type="dxa"/>
            <w:tcBorders>
              <w:top w:val="nil"/>
              <w:left w:val="single" w:sz="4" w:space="0" w:color="auto"/>
              <w:bottom w:val="nil"/>
              <w:right w:val="nil"/>
            </w:tcBorders>
            <w:shd w:val="clear" w:color="auto" w:fill="F8F8F8"/>
            <w:vAlign w:val="bottom"/>
          </w:tcPr>
          <w:p w14:paraId="13A62A4D" w14:textId="1CF49C8A" w:rsidR="000966E9" w:rsidRPr="0087752B" w:rsidRDefault="000966E9" w:rsidP="00876E39">
            <w:pPr>
              <w:pStyle w:val="ESTablebody0"/>
              <w:jc w:val="right"/>
            </w:pPr>
            <w:r w:rsidRPr="00F03792">
              <w:t>-1</w:t>
            </w:r>
          </w:p>
        </w:tc>
        <w:tc>
          <w:tcPr>
            <w:tcW w:w="578" w:type="dxa"/>
            <w:tcBorders>
              <w:top w:val="nil"/>
              <w:left w:val="nil"/>
              <w:bottom w:val="nil"/>
              <w:right w:val="nil"/>
            </w:tcBorders>
            <w:shd w:val="clear" w:color="auto" w:fill="F8F8F8"/>
            <w:vAlign w:val="bottom"/>
          </w:tcPr>
          <w:p w14:paraId="68B18E5B" w14:textId="2509C722" w:rsidR="000966E9" w:rsidRPr="0087752B" w:rsidRDefault="000966E9" w:rsidP="00876E39">
            <w:pPr>
              <w:pStyle w:val="ESTablebody0"/>
              <w:jc w:val="right"/>
            </w:pPr>
            <w:r w:rsidRPr="00F03792">
              <w:t>-2</w:t>
            </w:r>
          </w:p>
        </w:tc>
        <w:tc>
          <w:tcPr>
            <w:tcW w:w="577" w:type="dxa"/>
            <w:tcBorders>
              <w:top w:val="nil"/>
              <w:left w:val="nil"/>
              <w:bottom w:val="nil"/>
              <w:right w:val="nil"/>
            </w:tcBorders>
            <w:shd w:val="clear" w:color="auto" w:fill="F8F8F8"/>
            <w:vAlign w:val="bottom"/>
          </w:tcPr>
          <w:p w14:paraId="7EAF36B6" w14:textId="5F9ED829" w:rsidR="000966E9" w:rsidRPr="00876E39" w:rsidRDefault="000966E9" w:rsidP="00876E39">
            <w:pPr>
              <w:pStyle w:val="ESTablebody0"/>
              <w:jc w:val="right"/>
              <w:rPr>
                <w:b/>
              </w:rPr>
            </w:pPr>
            <w:r w:rsidRPr="00876E39">
              <w:rPr>
                <w:b/>
              </w:rPr>
              <w:t>-3</w:t>
            </w:r>
          </w:p>
        </w:tc>
      </w:tr>
      <w:tr w:rsidR="000966E9" w:rsidRPr="0087752B" w14:paraId="3D6AD311" w14:textId="77777777" w:rsidTr="006E49EE">
        <w:trPr>
          <w:cantSplit/>
          <w:trHeight w:val="419"/>
        </w:trPr>
        <w:tc>
          <w:tcPr>
            <w:tcW w:w="1302" w:type="dxa"/>
            <w:tcBorders>
              <w:top w:val="nil"/>
              <w:left w:val="nil"/>
              <w:bottom w:val="nil"/>
              <w:right w:val="nil"/>
            </w:tcBorders>
            <w:shd w:val="clear" w:color="auto" w:fill="F8F8F8"/>
            <w:vAlign w:val="center"/>
          </w:tcPr>
          <w:p w14:paraId="0D51E933" w14:textId="77777777" w:rsidR="000966E9" w:rsidRPr="0087752B" w:rsidRDefault="000966E9" w:rsidP="007D5DAA">
            <w:pPr>
              <w:pStyle w:val="ESTablebody0"/>
            </w:pPr>
            <w:r w:rsidRPr="0087752B">
              <w:t>VET Development Centre</w:t>
            </w:r>
          </w:p>
        </w:tc>
        <w:tc>
          <w:tcPr>
            <w:tcW w:w="776" w:type="dxa"/>
            <w:tcBorders>
              <w:top w:val="nil"/>
              <w:left w:val="nil"/>
              <w:bottom w:val="nil"/>
              <w:right w:val="nil"/>
            </w:tcBorders>
            <w:vAlign w:val="bottom"/>
          </w:tcPr>
          <w:p w14:paraId="1A6C0B04" w14:textId="5CC14345" w:rsidR="000966E9" w:rsidRPr="0087752B" w:rsidRDefault="000966E9" w:rsidP="00876E39">
            <w:pPr>
              <w:pStyle w:val="ESTablebody0"/>
              <w:jc w:val="right"/>
            </w:pPr>
            <w:r w:rsidRPr="009F6930">
              <w:t>0</w:t>
            </w:r>
          </w:p>
        </w:tc>
        <w:tc>
          <w:tcPr>
            <w:tcW w:w="689" w:type="dxa"/>
            <w:tcBorders>
              <w:top w:val="nil"/>
              <w:left w:val="nil"/>
              <w:bottom w:val="nil"/>
              <w:right w:val="nil"/>
            </w:tcBorders>
            <w:vAlign w:val="bottom"/>
          </w:tcPr>
          <w:p w14:paraId="3DEF68DA" w14:textId="628645BD" w:rsidR="000966E9" w:rsidRPr="0087752B" w:rsidRDefault="000966E9" w:rsidP="00876E39">
            <w:pPr>
              <w:pStyle w:val="ESTablebody0"/>
              <w:jc w:val="right"/>
            </w:pPr>
            <w:r w:rsidRPr="009F6930">
              <w:t>1</w:t>
            </w:r>
          </w:p>
        </w:tc>
        <w:tc>
          <w:tcPr>
            <w:tcW w:w="689" w:type="dxa"/>
            <w:tcBorders>
              <w:top w:val="nil"/>
              <w:left w:val="nil"/>
              <w:bottom w:val="nil"/>
              <w:right w:val="single" w:sz="4" w:space="0" w:color="auto"/>
            </w:tcBorders>
            <w:vAlign w:val="bottom"/>
          </w:tcPr>
          <w:p w14:paraId="24964937" w14:textId="0CC66B81" w:rsidR="000966E9" w:rsidRPr="00876E39" w:rsidRDefault="000966E9" w:rsidP="00876E39">
            <w:pPr>
              <w:pStyle w:val="ESTablebody0"/>
              <w:jc w:val="right"/>
              <w:rPr>
                <w:b/>
              </w:rPr>
            </w:pPr>
            <w:r w:rsidRPr="00876E39">
              <w:rPr>
                <w:b/>
              </w:rPr>
              <w:t>1</w:t>
            </w:r>
          </w:p>
        </w:tc>
        <w:tc>
          <w:tcPr>
            <w:tcW w:w="688" w:type="dxa"/>
            <w:tcBorders>
              <w:top w:val="nil"/>
              <w:left w:val="single" w:sz="4" w:space="0" w:color="auto"/>
              <w:bottom w:val="nil"/>
              <w:right w:val="nil"/>
            </w:tcBorders>
            <w:shd w:val="clear" w:color="auto" w:fill="auto"/>
            <w:vAlign w:val="bottom"/>
          </w:tcPr>
          <w:p w14:paraId="34838A8A" w14:textId="019FC1C4" w:rsidR="000966E9" w:rsidRPr="0087752B" w:rsidRDefault="000966E9" w:rsidP="00876E39">
            <w:pPr>
              <w:pStyle w:val="ESTablebody0"/>
              <w:jc w:val="right"/>
            </w:pPr>
            <w:r w:rsidRPr="0047102E">
              <w:t>0</w:t>
            </w:r>
          </w:p>
        </w:tc>
        <w:tc>
          <w:tcPr>
            <w:tcW w:w="690" w:type="dxa"/>
            <w:tcBorders>
              <w:top w:val="nil"/>
              <w:left w:val="nil"/>
              <w:bottom w:val="nil"/>
              <w:right w:val="nil"/>
            </w:tcBorders>
            <w:shd w:val="clear" w:color="auto" w:fill="auto"/>
            <w:vAlign w:val="bottom"/>
          </w:tcPr>
          <w:p w14:paraId="35669584" w14:textId="70152BBA" w:rsidR="000966E9" w:rsidRPr="0087752B" w:rsidRDefault="000966E9" w:rsidP="00876E39">
            <w:pPr>
              <w:pStyle w:val="ESTablebody0"/>
              <w:jc w:val="right"/>
            </w:pPr>
            <w:r w:rsidRPr="0047102E">
              <w:t>1</w:t>
            </w:r>
          </w:p>
        </w:tc>
        <w:tc>
          <w:tcPr>
            <w:tcW w:w="689" w:type="dxa"/>
            <w:tcBorders>
              <w:top w:val="nil"/>
              <w:left w:val="nil"/>
              <w:bottom w:val="nil"/>
              <w:right w:val="single" w:sz="4" w:space="0" w:color="auto"/>
            </w:tcBorders>
            <w:shd w:val="clear" w:color="auto" w:fill="auto"/>
            <w:vAlign w:val="bottom"/>
          </w:tcPr>
          <w:p w14:paraId="3B82CA6F" w14:textId="3BD25946" w:rsidR="000966E9" w:rsidRPr="00876E39" w:rsidRDefault="000966E9" w:rsidP="00876E39">
            <w:pPr>
              <w:pStyle w:val="ESTablebody0"/>
              <w:jc w:val="right"/>
              <w:rPr>
                <w:b/>
              </w:rPr>
            </w:pPr>
            <w:r w:rsidRPr="00876E39">
              <w:rPr>
                <w:b/>
              </w:rPr>
              <w:t>1</w:t>
            </w:r>
          </w:p>
        </w:tc>
        <w:tc>
          <w:tcPr>
            <w:tcW w:w="689" w:type="dxa"/>
            <w:tcBorders>
              <w:top w:val="nil"/>
              <w:left w:val="single" w:sz="4" w:space="0" w:color="auto"/>
              <w:bottom w:val="nil"/>
              <w:right w:val="nil"/>
            </w:tcBorders>
            <w:shd w:val="clear" w:color="auto" w:fill="F8F8F8"/>
            <w:vAlign w:val="bottom"/>
          </w:tcPr>
          <w:p w14:paraId="239CEA3B" w14:textId="480F03A3" w:rsidR="000966E9" w:rsidRPr="0087752B" w:rsidRDefault="000966E9" w:rsidP="00876E39">
            <w:pPr>
              <w:pStyle w:val="ESTablebody0"/>
              <w:jc w:val="right"/>
            </w:pPr>
            <w:r w:rsidRPr="00F03792">
              <w:t>0</w:t>
            </w:r>
          </w:p>
        </w:tc>
        <w:tc>
          <w:tcPr>
            <w:tcW w:w="578" w:type="dxa"/>
            <w:tcBorders>
              <w:top w:val="nil"/>
              <w:left w:val="nil"/>
              <w:bottom w:val="nil"/>
              <w:right w:val="nil"/>
            </w:tcBorders>
            <w:shd w:val="clear" w:color="auto" w:fill="F8F8F8"/>
            <w:vAlign w:val="bottom"/>
          </w:tcPr>
          <w:p w14:paraId="55D28E1B" w14:textId="68A7F3C9" w:rsidR="000966E9" w:rsidRPr="0087752B" w:rsidRDefault="000966E9" w:rsidP="00876E39">
            <w:pPr>
              <w:pStyle w:val="ESTablebody0"/>
              <w:jc w:val="right"/>
            </w:pPr>
            <w:r w:rsidRPr="00F03792">
              <w:t>0</w:t>
            </w:r>
          </w:p>
        </w:tc>
        <w:tc>
          <w:tcPr>
            <w:tcW w:w="577" w:type="dxa"/>
            <w:tcBorders>
              <w:top w:val="nil"/>
              <w:left w:val="nil"/>
              <w:bottom w:val="nil"/>
              <w:right w:val="nil"/>
            </w:tcBorders>
            <w:shd w:val="clear" w:color="auto" w:fill="F8F8F8"/>
            <w:vAlign w:val="bottom"/>
          </w:tcPr>
          <w:p w14:paraId="09A29640" w14:textId="5731464C" w:rsidR="000966E9" w:rsidRPr="00876E39" w:rsidRDefault="000966E9" w:rsidP="00876E39">
            <w:pPr>
              <w:pStyle w:val="ESTablebody0"/>
              <w:jc w:val="right"/>
              <w:rPr>
                <w:b/>
              </w:rPr>
            </w:pPr>
            <w:r w:rsidRPr="00876E39">
              <w:rPr>
                <w:b/>
              </w:rPr>
              <w:t>0</w:t>
            </w:r>
          </w:p>
        </w:tc>
      </w:tr>
      <w:tr w:rsidR="000966E9" w:rsidRPr="0087752B" w14:paraId="4B4EC3E8" w14:textId="77777777" w:rsidTr="006E49EE">
        <w:trPr>
          <w:cantSplit/>
          <w:trHeight w:val="454"/>
        </w:trPr>
        <w:tc>
          <w:tcPr>
            <w:tcW w:w="1302" w:type="dxa"/>
            <w:tcBorders>
              <w:top w:val="nil"/>
              <w:left w:val="nil"/>
              <w:bottom w:val="nil"/>
              <w:right w:val="nil"/>
            </w:tcBorders>
            <w:shd w:val="clear" w:color="auto" w:fill="F8F8F8"/>
            <w:vAlign w:val="center"/>
          </w:tcPr>
          <w:p w14:paraId="46300765" w14:textId="77777777" w:rsidR="000966E9" w:rsidRPr="0087752B" w:rsidRDefault="000966E9" w:rsidP="007D5DAA">
            <w:pPr>
              <w:pStyle w:val="ESTablebody0"/>
            </w:pPr>
            <w:r w:rsidRPr="0087752B">
              <w:t>Victorian Institute of Teaching</w:t>
            </w:r>
          </w:p>
        </w:tc>
        <w:tc>
          <w:tcPr>
            <w:tcW w:w="776" w:type="dxa"/>
            <w:tcBorders>
              <w:top w:val="nil"/>
              <w:left w:val="nil"/>
              <w:bottom w:val="nil"/>
              <w:right w:val="nil"/>
            </w:tcBorders>
            <w:vAlign w:val="bottom"/>
          </w:tcPr>
          <w:p w14:paraId="3B988DD3" w14:textId="1042CB74" w:rsidR="000966E9" w:rsidRPr="0087752B" w:rsidRDefault="000966E9" w:rsidP="00876E39">
            <w:pPr>
              <w:pStyle w:val="ESTablebody0"/>
              <w:jc w:val="right"/>
            </w:pPr>
            <w:r w:rsidRPr="009F6930">
              <w:t>1</w:t>
            </w:r>
          </w:p>
        </w:tc>
        <w:tc>
          <w:tcPr>
            <w:tcW w:w="689" w:type="dxa"/>
            <w:tcBorders>
              <w:top w:val="nil"/>
              <w:left w:val="nil"/>
              <w:bottom w:val="nil"/>
              <w:right w:val="nil"/>
            </w:tcBorders>
            <w:vAlign w:val="bottom"/>
          </w:tcPr>
          <w:p w14:paraId="6685B336" w14:textId="77243030" w:rsidR="000966E9" w:rsidRPr="0087752B" w:rsidRDefault="000966E9" w:rsidP="00876E39">
            <w:pPr>
              <w:pStyle w:val="ESTablebody0"/>
              <w:jc w:val="right"/>
            </w:pPr>
            <w:r w:rsidRPr="009F6930">
              <w:t>0</w:t>
            </w:r>
          </w:p>
        </w:tc>
        <w:tc>
          <w:tcPr>
            <w:tcW w:w="689" w:type="dxa"/>
            <w:tcBorders>
              <w:top w:val="nil"/>
              <w:left w:val="nil"/>
              <w:bottom w:val="nil"/>
              <w:right w:val="single" w:sz="4" w:space="0" w:color="auto"/>
            </w:tcBorders>
            <w:vAlign w:val="bottom"/>
          </w:tcPr>
          <w:p w14:paraId="32391D79" w14:textId="7F9B905D" w:rsidR="000966E9" w:rsidRPr="00876E39" w:rsidRDefault="000966E9" w:rsidP="00876E39">
            <w:pPr>
              <w:pStyle w:val="ESTablebody0"/>
              <w:jc w:val="right"/>
              <w:rPr>
                <w:b/>
              </w:rPr>
            </w:pPr>
            <w:r w:rsidRPr="00876E39">
              <w:rPr>
                <w:b/>
              </w:rPr>
              <w:t>1</w:t>
            </w:r>
          </w:p>
        </w:tc>
        <w:tc>
          <w:tcPr>
            <w:tcW w:w="688" w:type="dxa"/>
            <w:tcBorders>
              <w:top w:val="nil"/>
              <w:left w:val="single" w:sz="4" w:space="0" w:color="auto"/>
              <w:bottom w:val="nil"/>
              <w:right w:val="nil"/>
            </w:tcBorders>
            <w:shd w:val="clear" w:color="auto" w:fill="auto"/>
            <w:vAlign w:val="bottom"/>
          </w:tcPr>
          <w:p w14:paraId="542C724A" w14:textId="11E04131" w:rsidR="000966E9" w:rsidRPr="0087752B" w:rsidRDefault="000966E9" w:rsidP="00876E39">
            <w:pPr>
              <w:pStyle w:val="ESTablebody0"/>
              <w:jc w:val="right"/>
            </w:pPr>
            <w:r w:rsidRPr="0047102E">
              <w:t>1</w:t>
            </w:r>
          </w:p>
        </w:tc>
        <w:tc>
          <w:tcPr>
            <w:tcW w:w="690" w:type="dxa"/>
            <w:tcBorders>
              <w:top w:val="nil"/>
              <w:left w:val="nil"/>
              <w:bottom w:val="nil"/>
              <w:right w:val="nil"/>
            </w:tcBorders>
            <w:shd w:val="clear" w:color="auto" w:fill="auto"/>
            <w:vAlign w:val="bottom"/>
          </w:tcPr>
          <w:p w14:paraId="482957B9" w14:textId="06A39458" w:rsidR="000966E9" w:rsidRPr="0087752B" w:rsidRDefault="000966E9" w:rsidP="00876E39">
            <w:pPr>
              <w:pStyle w:val="ESTablebody0"/>
              <w:jc w:val="right"/>
            </w:pPr>
            <w:r w:rsidRPr="0047102E">
              <w:t>0</w:t>
            </w:r>
          </w:p>
        </w:tc>
        <w:tc>
          <w:tcPr>
            <w:tcW w:w="689" w:type="dxa"/>
            <w:tcBorders>
              <w:top w:val="nil"/>
              <w:left w:val="nil"/>
              <w:bottom w:val="nil"/>
              <w:right w:val="single" w:sz="4" w:space="0" w:color="auto"/>
            </w:tcBorders>
            <w:shd w:val="clear" w:color="auto" w:fill="auto"/>
            <w:vAlign w:val="bottom"/>
          </w:tcPr>
          <w:p w14:paraId="7517420D" w14:textId="30ED9D78" w:rsidR="000966E9" w:rsidRPr="00876E39" w:rsidRDefault="000966E9" w:rsidP="00876E39">
            <w:pPr>
              <w:pStyle w:val="ESTablebody0"/>
              <w:jc w:val="right"/>
              <w:rPr>
                <w:b/>
              </w:rPr>
            </w:pPr>
            <w:r w:rsidRPr="00876E39">
              <w:rPr>
                <w:b/>
              </w:rPr>
              <w:t>1</w:t>
            </w:r>
          </w:p>
        </w:tc>
        <w:tc>
          <w:tcPr>
            <w:tcW w:w="689" w:type="dxa"/>
            <w:tcBorders>
              <w:top w:val="nil"/>
              <w:left w:val="single" w:sz="4" w:space="0" w:color="auto"/>
              <w:bottom w:val="nil"/>
              <w:right w:val="nil"/>
            </w:tcBorders>
            <w:shd w:val="clear" w:color="auto" w:fill="F8F8F8"/>
            <w:vAlign w:val="bottom"/>
          </w:tcPr>
          <w:p w14:paraId="184DD181" w14:textId="1B63D772" w:rsidR="000966E9" w:rsidRPr="0087752B" w:rsidRDefault="000966E9" w:rsidP="00876E39">
            <w:pPr>
              <w:pStyle w:val="ESTablebody0"/>
              <w:jc w:val="right"/>
            </w:pPr>
            <w:r w:rsidRPr="00F03792">
              <w:t>0</w:t>
            </w:r>
          </w:p>
        </w:tc>
        <w:tc>
          <w:tcPr>
            <w:tcW w:w="578" w:type="dxa"/>
            <w:tcBorders>
              <w:top w:val="nil"/>
              <w:left w:val="nil"/>
              <w:bottom w:val="nil"/>
              <w:right w:val="nil"/>
            </w:tcBorders>
            <w:shd w:val="clear" w:color="auto" w:fill="F8F8F8"/>
            <w:vAlign w:val="bottom"/>
          </w:tcPr>
          <w:p w14:paraId="7C6B012D" w14:textId="017ECB9D" w:rsidR="000966E9" w:rsidRPr="0087752B" w:rsidRDefault="000966E9" w:rsidP="00876E39">
            <w:pPr>
              <w:pStyle w:val="ESTablebody0"/>
              <w:jc w:val="right"/>
            </w:pPr>
            <w:r w:rsidRPr="00F03792">
              <w:t>0</w:t>
            </w:r>
          </w:p>
        </w:tc>
        <w:tc>
          <w:tcPr>
            <w:tcW w:w="577" w:type="dxa"/>
            <w:tcBorders>
              <w:top w:val="nil"/>
              <w:left w:val="nil"/>
              <w:bottom w:val="nil"/>
              <w:right w:val="nil"/>
            </w:tcBorders>
            <w:shd w:val="clear" w:color="auto" w:fill="F8F8F8"/>
            <w:vAlign w:val="bottom"/>
          </w:tcPr>
          <w:p w14:paraId="301907D8" w14:textId="17D2EB6D" w:rsidR="000966E9" w:rsidRPr="00876E39" w:rsidRDefault="000966E9" w:rsidP="00876E39">
            <w:pPr>
              <w:pStyle w:val="ESTablebody0"/>
              <w:jc w:val="right"/>
              <w:rPr>
                <w:b/>
              </w:rPr>
            </w:pPr>
            <w:r w:rsidRPr="00876E39">
              <w:rPr>
                <w:b/>
              </w:rPr>
              <w:t>0</w:t>
            </w:r>
          </w:p>
        </w:tc>
      </w:tr>
      <w:tr w:rsidR="000966E9" w:rsidRPr="0087752B" w14:paraId="6FFBB644" w14:textId="77777777" w:rsidTr="006E49EE">
        <w:trPr>
          <w:cantSplit/>
          <w:trHeight w:val="454"/>
        </w:trPr>
        <w:tc>
          <w:tcPr>
            <w:tcW w:w="1302" w:type="dxa"/>
            <w:tcBorders>
              <w:top w:val="nil"/>
              <w:left w:val="nil"/>
              <w:bottom w:val="nil"/>
              <w:right w:val="nil"/>
            </w:tcBorders>
            <w:shd w:val="clear" w:color="auto" w:fill="F8F8F8"/>
            <w:vAlign w:val="center"/>
          </w:tcPr>
          <w:p w14:paraId="27BE7E57" w14:textId="77777777" w:rsidR="000966E9" w:rsidRPr="0087752B" w:rsidRDefault="000966E9" w:rsidP="007D5DAA">
            <w:pPr>
              <w:pStyle w:val="ESTablebody0"/>
            </w:pPr>
            <w:r w:rsidRPr="0087752B">
              <w:t>William Angliss Institute of TAFE</w:t>
            </w:r>
          </w:p>
        </w:tc>
        <w:tc>
          <w:tcPr>
            <w:tcW w:w="776" w:type="dxa"/>
            <w:tcBorders>
              <w:top w:val="nil"/>
              <w:left w:val="nil"/>
              <w:bottom w:val="nil"/>
              <w:right w:val="nil"/>
            </w:tcBorders>
            <w:vAlign w:val="bottom"/>
          </w:tcPr>
          <w:p w14:paraId="52018807" w14:textId="6A8865A8" w:rsidR="000966E9" w:rsidRPr="0087752B" w:rsidRDefault="000966E9" w:rsidP="00876E39">
            <w:pPr>
              <w:pStyle w:val="ESTablebody0"/>
              <w:jc w:val="right"/>
            </w:pPr>
            <w:r w:rsidRPr="009F6930">
              <w:t>0</w:t>
            </w:r>
          </w:p>
        </w:tc>
        <w:tc>
          <w:tcPr>
            <w:tcW w:w="689" w:type="dxa"/>
            <w:tcBorders>
              <w:top w:val="nil"/>
              <w:left w:val="nil"/>
              <w:bottom w:val="nil"/>
              <w:right w:val="nil"/>
            </w:tcBorders>
            <w:vAlign w:val="bottom"/>
          </w:tcPr>
          <w:p w14:paraId="1FCC45C4" w14:textId="537BAA4A" w:rsidR="000966E9" w:rsidRPr="0087752B" w:rsidRDefault="000966E9" w:rsidP="00876E39">
            <w:pPr>
              <w:pStyle w:val="ESTablebody0"/>
              <w:jc w:val="right"/>
            </w:pPr>
            <w:r w:rsidRPr="009F6930">
              <w:t>5</w:t>
            </w:r>
          </w:p>
        </w:tc>
        <w:tc>
          <w:tcPr>
            <w:tcW w:w="689" w:type="dxa"/>
            <w:tcBorders>
              <w:top w:val="nil"/>
              <w:left w:val="nil"/>
              <w:bottom w:val="nil"/>
              <w:right w:val="single" w:sz="4" w:space="0" w:color="auto"/>
            </w:tcBorders>
            <w:vAlign w:val="bottom"/>
          </w:tcPr>
          <w:p w14:paraId="7A9D4625" w14:textId="30B60221" w:rsidR="000966E9" w:rsidRPr="00876E39" w:rsidRDefault="000966E9" w:rsidP="00876E39">
            <w:pPr>
              <w:pStyle w:val="ESTablebody0"/>
              <w:jc w:val="right"/>
              <w:rPr>
                <w:b/>
              </w:rPr>
            </w:pPr>
            <w:r w:rsidRPr="00876E39">
              <w:rPr>
                <w:b/>
              </w:rPr>
              <w:t>5</w:t>
            </w:r>
          </w:p>
        </w:tc>
        <w:tc>
          <w:tcPr>
            <w:tcW w:w="688" w:type="dxa"/>
            <w:tcBorders>
              <w:top w:val="nil"/>
              <w:left w:val="single" w:sz="4" w:space="0" w:color="auto"/>
              <w:bottom w:val="nil"/>
              <w:right w:val="nil"/>
            </w:tcBorders>
            <w:shd w:val="clear" w:color="auto" w:fill="auto"/>
            <w:vAlign w:val="bottom"/>
          </w:tcPr>
          <w:p w14:paraId="7E98E064" w14:textId="0031FEFD" w:rsidR="000966E9" w:rsidRPr="0087752B" w:rsidRDefault="000966E9" w:rsidP="00876E39">
            <w:pPr>
              <w:pStyle w:val="ESTablebody0"/>
              <w:jc w:val="right"/>
            </w:pPr>
            <w:r w:rsidRPr="0047102E">
              <w:t>0</w:t>
            </w:r>
          </w:p>
        </w:tc>
        <w:tc>
          <w:tcPr>
            <w:tcW w:w="690" w:type="dxa"/>
            <w:tcBorders>
              <w:top w:val="nil"/>
              <w:left w:val="nil"/>
              <w:bottom w:val="nil"/>
              <w:right w:val="nil"/>
            </w:tcBorders>
            <w:shd w:val="clear" w:color="auto" w:fill="auto"/>
            <w:vAlign w:val="bottom"/>
          </w:tcPr>
          <w:p w14:paraId="49E54C58" w14:textId="0FE9B1C8" w:rsidR="000966E9" w:rsidRPr="0087752B" w:rsidRDefault="000966E9" w:rsidP="00876E39">
            <w:pPr>
              <w:pStyle w:val="ESTablebody0"/>
              <w:jc w:val="right"/>
            </w:pPr>
            <w:r w:rsidRPr="0047102E">
              <w:t>5</w:t>
            </w:r>
          </w:p>
        </w:tc>
        <w:tc>
          <w:tcPr>
            <w:tcW w:w="689" w:type="dxa"/>
            <w:tcBorders>
              <w:top w:val="nil"/>
              <w:left w:val="nil"/>
              <w:bottom w:val="nil"/>
              <w:right w:val="single" w:sz="4" w:space="0" w:color="auto"/>
            </w:tcBorders>
            <w:shd w:val="clear" w:color="auto" w:fill="auto"/>
            <w:vAlign w:val="bottom"/>
          </w:tcPr>
          <w:p w14:paraId="7CAEBB16" w14:textId="65C3D5B9" w:rsidR="000966E9" w:rsidRPr="00876E39" w:rsidRDefault="000966E9" w:rsidP="00876E39">
            <w:pPr>
              <w:pStyle w:val="ESTablebody0"/>
              <w:jc w:val="right"/>
              <w:rPr>
                <w:b/>
              </w:rPr>
            </w:pPr>
            <w:r w:rsidRPr="00876E39">
              <w:rPr>
                <w:b/>
              </w:rPr>
              <w:t>5</w:t>
            </w:r>
          </w:p>
        </w:tc>
        <w:tc>
          <w:tcPr>
            <w:tcW w:w="689" w:type="dxa"/>
            <w:tcBorders>
              <w:top w:val="nil"/>
              <w:left w:val="single" w:sz="4" w:space="0" w:color="auto"/>
              <w:bottom w:val="nil"/>
              <w:right w:val="nil"/>
            </w:tcBorders>
            <w:shd w:val="clear" w:color="auto" w:fill="F8F8F8"/>
            <w:vAlign w:val="bottom"/>
          </w:tcPr>
          <w:p w14:paraId="564C2324" w14:textId="06F9DC55" w:rsidR="000966E9" w:rsidRPr="0087752B" w:rsidRDefault="000966E9" w:rsidP="00876E39">
            <w:pPr>
              <w:pStyle w:val="ESTablebody0"/>
              <w:jc w:val="right"/>
            </w:pPr>
            <w:r w:rsidRPr="00F03792">
              <w:t>0</w:t>
            </w:r>
          </w:p>
        </w:tc>
        <w:tc>
          <w:tcPr>
            <w:tcW w:w="578" w:type="dxa"/>
            <w:tcBorders>
              <w:top w:val="nil"/>
              <w:left w:val="nil"/>
              <w:bottom w:val="nil"/>
              <w:right w:val="nil"/>
            </w:tcBorders>
            <w:shd w:val="clear" w:color="auto" w:fill="F8F8F8"/>
            <w:vAlign w:val="bottom"/>
          </w:tcPr>
          <w:p w14:paraId="41ED0880" w14:textId="5282FED9" w:rsidR="000966E9" w:rsidRPr="0087752B" w:rsidRDefault="000966E9" w:rsidP="00876E39">
            <w:pPr>
              <w:pStyle w:val="ESTablebody0"/>
              <w:jc w:val="right"/>
            </w:pPr>
            <w:r w:rsidRPr="00F03792">
              <w:t>0</w:t>
            </w:r>
          </w:p>
        </w:tc>
        <w:tc>
          <w:tcPr>
            <w:tcW w:w="577" w:type="dxa"/>
            <w:tcBorders>
              <w:top w:val="nil"/>
              <w:left w:val="nil"/>
              <w:bottom w:val="nil"/>
              <w:right w:val="nil"/>
            </w:tcBorders>
            <w:shd w:val="clear" w:color="auto" w:fill="F8F8F8"/>
            <w:vAlign w:val="bottom"/>
          </w:tcPr>
          <w:p w14:paraId="3D6BE9F8" w14:textId="360F3681" w:rsidR="000966E9" w:rsidRPr="00876E39" w:rsidRDefault="000966E9" w:rsidP="00876E39">
            <w:pPr>
              <w:pStyle w:val="ESTablebody0"/>
              <w:jc w:val="right"/>
              <w:rPr>
                <w:b/>
              </w:rPr>
            </w:pPr>
            <w:r w:rsidRPr="00876E39">
              <w:rPr>
                <w:b/>
              </w:rPr>
              <w:t>0</w:t>
            </w:r>
          </w:p>
        </w:tc>
      </w:tr>
      <w:tr w:rsidR="006F6746" w:rsidRPr="0087752B" w14:paraId="7A316F49" w14:textId="77777777" w:rsidTr="009340F0">
        <w:trPr>
          <w:cantSplit/>
          <w:trHeight w:val="340"/>
        </w:trPr>
        <w:tc>
          <w:tcPr>
            <w:tcW w:w="1302" w:type="dxa"/>
            <w:tcBorders>
              <w:top w:val="nil"/>
              <w:left w:val="nil"/>
              <w:bottom w:val="single" w:sz="4" w:space="0" w:color="auto"/>
              <w:right w:val="nil"/>
            </w:tcBorders>
            <w:shd w:val="clear" w:color="auto" w:fill="F8F8F8"/>
            <w:vAlign w:val="center"/>
          </w:tcPr>
          <w:p w14:paraId="268C537A" w14:textId="77777777" w:rsidR="000966E9" w:rsidRPr="0087752B" w:rsidRDefault="000966E9" w:rsidP="007D5DAA">
            <w:pPr>
              <w:pStyle w:val="ESTablebody0"/>
            </w:pPr>
            <w:r w:rsidRPr="0087752B">
              <w:t>Wodonga Institute of TAFE</w:t>
            </w:r>
          </w:p>
        </w:tc>
        <w:tc>
          <w:tcPr>
            <w:tcW w:w="776" w:type="dxa"/>
            <w:tcBorders>
              <w:top w:val="nil"/>
              <w:left w:val="nil"/>
              <w:bottom w:val="single" w:sz="4" w:space="0" w:color="auto"/>
              <w:right w:val="nil"/>
            </w:tcBorders>
            <w:vAlign w:val="bottom"/>
          </w:tcPr>
          <w:p w14:paraId="706B4410" w14:textId="2DC5AE9E" w:rsidR="000966E9" w:rsidRPr="0087752B" w:rsidRDefault="000966E9" w:rsidP="00876E39">
            <w:pPr>
              <w:pStyle w:val="ESTablebody0"/>
              <w:jc w:val="right"/>
            </w:pPr>
            <w:r w:rsidRPr="009F6930">
              <w:t>1</w:t>
            </w:r>
          </w:p>
        </w:tc>
        <w:tc>
          <w:tcPr>
            <w:tcW w:w="689" w:type="dxa"/>
            <w:tcBorders>
              <w:top w:val="nil"/>
              <w:left w:val="nil"/>
              <w:bottom w:val="single" w:sz="4" w:space="0" w:color="auto"/>
              <w:right w:val="nil"/>
            </w:tcBorders>
            <w:vAlign w:val="bottom"/>
          </w:tcPr>
          <w:p w14:paraId="5E1F045C" w14:textId="132B2BB6" w:rsidR="000966E9" w:rsidRPr="0087752B" w:rsidRDefault="000966E9" w:rsidP="00876E39">
            <w:pPr>
              <w:pStyle w:val="ESTablebody0"/>
              <w:jc w:val="right"/>
            </w:pPr>
            <w:r w:rsidRPr="009F6930">
              <w:t>3</w:t>
            </w:r>
          </w:p>
        </w:tc>
        <w:tc>
          <w:tcPr>
            <w:tcW w:w="689" w:type="dxa"/>
            <w:tcBorders>
              <w:top w:val="nil"/>
              <w:left w:val="nil"/>
              <w:bottom w:val="single" w:sz="4" w:space="0" w:color="auto"/>
              <w:right w:val="single" w:sz="4" w:space="0" w:color="auto"/>
            </w:tcBorders>
            <w:vAlign w:val="bottom"/>
          </w:tcPr>
          <w:p w14:paraId="66F722A6" w14:textId="69C6DF6E" w:rsidR="000966E9" w:rsidRPr="00876E39" w:rsidRDefault="000966E9" w:rsidP="00876E39">
            <w:pPr>
              <w:pStyle w:val="ESTablebody0"/>
              <w:jc w:val="right"/>
              <w:rPr>
                <w:b/>
              </w:rPr>
            </w:pPr>
            <w:r w:rsidRPr="00876E39">
              <w:rPr>
                <w:b/>
              </w:rPr>
              <w:t>4</w:t>
            </w:r>
          </w:p>
        </w:tc>
        <w:tc>
          <w:tcPr>
            <w:tcW w:w="688" w:type="dxa"/>
            <w:tcBorders>
              <w:top w:val="nil"/>
              <w:left w:val="single" w:sz="4" w:space="0" w:color="auto"/>
              <w:bottom w:val="single" w:sz="4" w:space="0" w:color="auto"/>
              <w:right w:val="nil"/>
            </w:tcBorders>
            <w:shd w:val="clear" w:color="auto" w:fill="auto"/>
            <w:vAlign w:val="bottom"/>
          </w:tcPr>
          <w:p w14:paraId="31F9235B" w14:textId="69A29067" w:rsidR="000966E9" w:rsidRPr="0087752B" w:rsidRDefault="000966E9" w:rsidP="00876E39">
            <w:pPr>
              <w:pStyle w:val="ESTablebody0"/>
              <w:jc w:val="right"/>
            </w:pPr>
            <w:r w:rsidRPr="0047102E">
              <w:t>0</w:t>
            </w:r>
          </w:p>
        </w:tc>
        <w:tc>
          <w:tcPr>
            <w:tcW w:w="690" w:type="dxa"/>
            <w:tcBorders>
              <w:top w:val="nil"/>
              <w:left w:val="nil"/>
              <w:bottom w:val="single" w:sz="4" w:space="0" w:color="auto"/>
              <w:right w:val="nil"/>
            </w:tcBorders>
            <w:shd w:val="clear" w:color="auto" w:fill="auto"/>
            <w:vAlign w:val="bottom"/>
          </w:tcPr>
          <w:p w14:paraId="3DCE26DC" w14:textId="0D03A0B2" w:rsidR="000966E9" w:rsidRPr="0087752B" w:rsidRDefault="000966E9" w:rsidP="00876E39">
            <w:pPr>
              <w:pStyle w:val="ESTablebody0"/>
              <w:jc w:val="right"/>
            </w:pPr>
            <w:r w:rsidRPr="0047102E">
              <w:t>5</w:t>
            </w:r>
          </w:p>
        </w:tc>
        <w:tc>
          <w:tcPr>
            <w:tcW w:w="689" w:type="dxa"/>
            <w:tcBorders>
              <w:top w:val="nil"/>
              <w:left w:val="nil"/>
              <w:bottom w:val="single" w:sz="4" w:space="0" w:color="auto"/>
              <w:right w:val="single" w:sz="4" w:space="0" w:color="auto"/>
            </w:tcBorders>
            <w:shd w:val="clear" w:color="auto" w:fill="auto"/>
            <w:vAlign w:val="bottom"/>
          </w:tcPr>
          <w:p w14:paraId="28B5A6BB" w14:textId="13F7E981" w:rsidR="000966E9" w:rsidRPr="00876E39" w:rsidRDefault="000966E9" w:rsidP="00876E39">
            <w:pPr>
              <w:pStyle w:val="ESTablebody0"/>
              <w:jc w:val="right"/>
              <w:rPr>
                <w:b/>
              </w:rPr>
            </w:pPr>
            <w:r w:rsidRPr="00876E39">
              <w:rPr>
                <w:b/>
              </w:rPr>
              <w:t>5</w:t>
            </w:r>
          </w:p>
        </w:tc>
        <w:tc>
          <w:tcPr>
            <w:tcW w:w="689" w:type="dxa"/>
            <w:tcBorders>
              <w:top w:val="nil"/>
              <w:left w:val="single" w:sz="4" w:space="0" w:color="auto"/>
              <w:bottom w:val="single" w:sz="4" w:space="0" w:color="auto"/>
              <w:right w:val="nil"/>
            </w:tcBorders>
            <w:shd w:val="clear" w:color="auto" w:fill="F8F8F8"/>
            <w:vAlign w:val="bottom"/>
          </w:tcPr>
          <w:p w14:paraId="5BCA217C" w14:textId="3114C2BD" w:rsidR="000966E9" w:rsidRPr="0087752B" w:rsidRDefault="000966E9" w:rsidP="00876E39">
            <w:pPr>
              <w:pStyle w:val="ESTablebody0"/>
              <w:jc w:val="right"/>
            </w:pPr>
            <w:r w:rsidRPr="00F03792">
              <w:t>1</w:t>
            </w:r>
          </w:p>
        </w:tc>
        <w:tc>
          <w:tcPr>
            <w:tcW w:w="578" w:type="dxa"/>
            <w:tcBorders>
              <w:top w:val="nil"/>
              <w:left w:val="nil"/>
              <w:bottom w:val="single" w:sz="4" w:space="0" w:color="auto"/>
              <w:right w:val="nil"/>
            </w:tcBorders>
            <w:shd w:val="clear" w:color="auto" w:fill="F8F8F8"/>
            <w:vAlign w:val="bottom"/>
          </w:tcPr>
          <w:p w14:paraId="74736BCF" w14:textId="3000DB3A" w:rsidR="000966E9" w:rsidRPr="0087752B" w:rsidRDefault="000966E9" w:rsidP="00876E39">
            <w:pPr>
              <w:pStyle w:val="ESTablebody0"/>
              <w:jc w:val="right"/>
            </w:pPr>
            <w:r w:rsidRPr="00F03792">
              <w:t>-2</w:t>
            </w:r>
          </w:p>
        </w:tc>
        <w:tc>
          <w:tcPr>
            <w:tcW w:w="577" w:type="dxa"/>
            <w:tcBorders>
              <w:top w:val="nil"/>
              <w:left w:val="nil"/>
              <w:bottom w:val="single" w:sz="4" w:space="0" w:color="auto"/>
              <w:right w:val="nil"/>
            </w:tcBorders>
            <w:shd w:val="clear" w:color="auto" w:fill="F8F8F8"/>
            <w:vAlign w:val="bottom"/>
          </w:tcPr>
          <w:p w14:paraId="0AFBD545" w14:textId="59E437E2" w:rsidR="000966E9" w:rsidRPr="00876E39" w:rsidRDefault="000966E9" w:rsidP="00876E39">
            <w:pPr>
              <w:pStyle w:val="ESTablebody0"/>
              <w:jc w:val="right"/>
              <w:rPr>
                <w:b/>
              </w:rPr>
            </w:pPr>
            <w:r w:rsidRPr="00876E39">
              <w:rPr>
                <w:b/>
              </w:rPr>
              <w:t>-1</w:t>
            </w:r>
          </w:p>
        </w:tc>
      </w:tr>
      <w:tr w:rsidR="006F6746" w:rsidRPr="0087752B" w14:paraId="0F6CC187" w14:textId="77777777" w:rsidTr="009340F0">
        <w:trPr>
          <w:cantSplit/>
          <w:trHeight w:val="405"/>
        </w:trPr>
        <w:tc>
          <w:tcPr>
            <w:tcW w:w="1302" w:type="dxa"/>
            <w:tcBorders>
              <w:top w:val="single" w:sz="4" w:space="0" w:color="auto"/>
              <w:left w:val="nil"/>
              <w:bottom w:val="single" w:sz="4" w:space="0" w:color="auto"/>
              <w:right w:val="nil"/>
            </w:tcBorders>
            <w:shd w:val="clear" w:color="auto" w:fill="F8F8F8"/>
            <w:vAlign w:val="bottom"/>
            <w:hideMark/>
          </w:tcPr>
          <w:p w14:paraId="55873EB3" w14:textId="77777777" w:rsidR="000966E9" w:rsidRPr="007D5DAA" w:rsidRDefault="000966E9" w:rsidP="007D5DAA">
            <w:pPr>
              <w:pStyle w:val="ESTablebody0"/>
              <w:rPr>
                <w:b/>
              </w:rPr>
            </w:pPr>
            <w:r w:rsidRPr="004E3D38">
              <w:rPr>
                <w:b/>
              </w:rPr>
              <w:t>Total</w:t>
            </w:r>
          </w:p>
        </w:tc>
        <w:tc>
          <w:tcPr>
            <w:tcW w:w="776" w:type="dxa"/>
            <w:tcBorders>
              <w:top w:val="single" w:sz="4" w:space="0" w:color="auto"/>
              <w:left w:val="nil"/>
              <w:bottom w:val="single" w:sz="4" w:space="0" w:color="auto"/>
              <w:right w:val="nil"/>
            </w:tcBorders>
            <w:vAlign w:val="bottom"/>
          </w:tcPr>
          <w:p w14:paraId="407D4A8B" w14:textId="130821D1" w:rsidR="000966E9" w:rsidRPr="00EC4701" w:rsidRDefault="000966E9" w:rsidP="00876E39">
            <w:pPr>
              <w:pStyle w:val="ESTablebody0"/>
              <w:jc w:val="right"/>
              <w:rPr>
                <w:b/>
              </w:rPr>
            </w:pPr>
            <w:r w:rsidRPr="004E3D38">
              <w:rPr>
                <w:b/>
              </w:rPr>
              <w:t>55</w:t>
            </w:r>
          </w:p>
        </w:tc>
        <w:tc>
          <w:tcPr>
            <w:tcW w:w="689" w:type="dxa"/>
            <w:tcBorders>
              <w:top w:val="single" w:sz="4" w:space="0" w:color="auto"/>
              <w:left w:val="nil"/>
              <w:bottom w:val="single" w:sz="4" w:space="0" w:color="auto"/>
              <w:right w:val="nil"/>
            </w:tcBorders>
            <w:vAlign w:val="bottom"/>
          </w:tcPr>
          <w:p w14:paraId="21A19775" w14:textId="145A724C" w:rsidR="000966E9" w:rsidRPr="00EC4701" w:rsidRDefault="000966E9" w:rsidP="00876E39">
            <w:pPr>
              <w:pStyle w:val="ESTablebody0"/>
              <w:jc w:val="right"/>
              <w:rPr>
                <w:b/>
              </w:rPr>
            </w:pPr>
            <w:r w:rsidRPr="004E3D38">
              <w:rPr>
                <w:b/>
              </w:rPr>
              <w:t>64</w:t>
            </w:r>
          </w:p>
        </w:tc>
        <w:tc>
          <w:tcPr>
            <w:tcW w:w="689" w:type="dxa"/>
            <w:tcBorders>
              <w:top w:val="single" w:sz="4" w:space="0" w:color="auto"/>
              <w:left w:val="nil"/>
              <w:bottom w:val="single" w:sz="4" w:space="0" w:color="auto"/>
              <w:right w:val="single" w:sz="4" w:space="0" w:color="auto"/>
            </w:tcBorders>
            <w:vAlign w:val="bottom"/>
          </w:tcPr>
          <w:p w14:paraId="4F3C18A1" w14:textId="59560D66" w:rsidR="000966E9" w:rsidRPr="00876E39" w:rsidRDefault="000966E9" w:rsidP="00876E39">
            <w:pPr>
              <w:pStyle w:val="ESTablebody0"/>
              <w:jc w:val="right"/>
              <w:rPr>
                <w:b/>
              </w:rPr>
            </w:pPr>
            <w:r w:rsidRPr="00876E39">
              <w:rPr>
                <w:b/>
              </w:rPr>
              <w:t>119</w:t>
            </w:r>
          </w:p>
        </w:tc>
        <w:tc>
          <w:tcPr>
            <w:tcW w:w="688" w:type="dxa"/>
            <w:tcBorders>
              <w:top w:val="single" w:sz="4" w:space="0" w:color="auto"/>
              <w:left w:val="single" w:sz="4" w:space="0" w:color="auto"/>
              <w:bottom w:val="single" w:sz="4" w:space="0" w:color="auto"/>
              <w:right w:val="nil"/>
            </w:tcBorders>
            <w:shd w:val="clear" w:color="auto" w:fill="auto"/>
            <w:vAlign w:val="bottom"/>
          </w:tcPr>
          <w:p w14:paraId="4F89AA02" w14:textId="45D66EE7" w:rsidR="000966E9" w:rsidRPr="00EC4701" w:rsidRDefault="000966E9" w:rsidP="00876E39">
            <w:pPr>
              <w:pStyle w:val="ESTablebody0"/>
              <w:jc w:val="right"/>
              <w:rPr>
                <w:b/>
              </w:rPr>
            </w:pPr>
            <w:r w:rsidRPr="004E3D38">
              <w:rPr>
                <w:b/>
              </w:rPr>
              <w:t>57</w:t>
            </w:r>
          </w:p>
        </w:tc>
        <w:tc>
          <w:tcPr>
            <w:tcW w:w="690" w:type="dxa"/>
            <w:tcBorders>
              <w:top w:val="single" w:sz="4" w:space="0" w:color="auto"/>
              <w:left w:val="nil"/>
              <w:bottom w:val="single" w:sz="4" w:space="0" w:color="auto"/>
              <w:right w:val="nil"/>
            </w:tcBorders>
            <w:shd w:val="clear" w:color="auto" w:fill="auto"/>
            <w:vAlign w:val="bottom"/>
          </w:tcPr>
          <w:p w14:paraId="6F4C008A" w14:textId="3D5120E6" w:rsidR="000966E9" w:rsidRPr="00EC4701" w:rsidRDefault="000966E9" w:rsidP="00876E39">
            <w:pPr>
              <w:pStyle w:val="ESTablebody0"/>
              <w:jc w:val="right"/>
              <w:rPr>
                <w:b/>
              </w:rPr>
            </w:pPr>
            <w:r w:rsidRPr="004E3D38">
              <w:rPr>
                <w:b/>
              </w:rPr>
              <w:t>72</w:t>
            </w:r>
          </w:p>
        </w:tc>
        <w:tc>
          <w:tcPr>
            <w:tcW w:w="689" w:type="dxa"/>
            <w:tcBorders>
              <w:top w:val="single" w:sz="4" w:space="0" w:color="auto"/>
              <w:left w:val="nil"/>
              <w:bottom w:val="single" w:sz="4" w:space="0" w:color="auto"/>
              <w:right w:val="single" w:sz="4" w:space="0" w:color="auto"/>
            </w:tcBorders>
            <w:shd w:val="clear" w:color="auto" w:fill="auto"/>
            <w:vAlign w:val="bottom"/>
          </w:tcPr>
          <w:p w14:paraId="51BDAAF6" w14:textId="6B3CDA82" w:rsidR="000966E9" w:rsidRPr="00876E39" w:rsidRDefault="000966E9" w:rsidP="00876E39">
            <w:pPr>
              <w:pStyle w:val="ESTablebody0"/>
              <w:jc w:val="right"/>
              <w:rPr>
                <w:b/>
              </w:rPr>
            </w:pPr>
            <w:r w:rsidRPr="00876E39">
              <w:rPr>
                <w:b/>
              </w:rPr>
              <w:t>129</w:t>
            </w:r>
          </w:p>
        </w:tc>
        <w:tc>
          <w:tcPr>
            <w:tcW w:w="689" w:type="dxa"/>
            <w:tcBorders>
              <w:top w:val="single" w:sz="4" w:space="0" w:color="auto"/>
              <w:left w:val="single" w:sz="4" w:space="0" w:color="auto"/>
              <w:bottom w:val="single" w:sz="4" w:space="0" w:color="auto"/>
              <w:right w:val="nil"/>
            </w:tcBorders>
            <w:shd w:val="clear" w:color="auto" w:fill="F8F8F8"/>
            <w:vAlign w:val="bottom"/>
          </w:tcPr>
          <w:p w14:paraId="745490E1" w14:textId="057519CF" w:rsidR="000966E9" w:rsidRPr="00EC4701" w:rsidRDefault="000966E9" w:rsidP="00876E39">
            <w:pPr>
              <w:pStyle w:val="ESTablebody0"/>
              <w:jc w:val="right"/>
              <w:rPr>
                <w:b/>
              </w:rPr>
            </w:pPr>
            <w:r w:rsidRPr="004E3D38">
              <w:rPr>
                <w:b/>
              </w:rPr>
              <w:t>-2</w:t>
            </w:r>
          </w:p>
        </w:tc>
        <w:tc>
          <w:tcPr>
            <w:tcW w:w="578" w:type="dxa"/>
            <w:tcBorders>
              <w:top w:val="single" w:sz="4" w:space="0" w:color="auto"/>
              <w:left w:val="nil"/>
              <w:bottom w:val="single" w:sz="4" w:space="0" w:color="auto"/>
              <w:right w:val="nil"/>
            </w:tcBorders>
            <w:shd w:val="clear" w:color="auto" w:fill="F8F8F8"/>
            <w:vAlign w:val="bottom"/>
          </w:tcPr>
          <w:p w14:paraId="6B470F0E" w14:textId="5C22A77B" w:rsidR="000966E9" w:rsidRPr="00EC4701" w:rsidRDefault="000966E9" w:rsidP="00876E39">
            <w:pPr>
              <w:pStyle w:val="ESTablebody0"/>
              <w:jc w:val="right"/>
              <w:rPr>
                <w:b/>
              </w:rPr>
            </w:pPr>
            <w:r w:rsidRPr="004E3D38">
              <w:rPr>
                <w:b/>
              </w:rPr>
              <w:t>-8</w:t>
            </w:r>
          </w:p>
        </w:tc>
        <w:tc>
          <w:tcPr>
            <w:tcW w:w="577" w:type="dxa"/>
            <w:tcBorders>
              <w:top w:val="single" w:sz="4" w:space="0" w:color="auto"/>
              <w:left w:val="nil"/>
              <w:bottom w:val="single" w:sz="4" w:space="0" w:color="auto"/>
              <w:right w:val="nil"/>
            </w:tcBorders>
            <w:shd w:val="clear" w:color="auto" w:fill="F8F8F8"/>
            <w:vAlign w:val="bottom"/>
          </w:tcPr>
          <w:p w14:paraId="20198E17" w14:textId="238B00DE" w:rsidR="000966E9" w:rsidRPr="00876E39" w:rsidRDefault="000966E9" w:rsidP="00876E39">
            <w:pPr>
              <w:pStyle w:val="ESTablebody0"/>
              <w:jc w:val="right"/>
              <w:rPr>
                <w:b/>
              </w:rPr>
            </w:pPr>
            <w:r w:rsidRPr="00876E39">
              <w:rPr>
                <w:b/>
              </w:rPr>
              <w:t>-10</w:t>
            </w:r>
          </w:p>
        </w:tc>
      </w:tr>
    </w:tbl>
    <w:p w14:paraId="187F8F8B" w14:textId="77777777" w:rsidR="009340F0" w:rsidRDefault="009340F0" w:rsidP="007D5DAA">
      <w:pPr>
        <w:pStyle w:val="FootnoteTextforobjectivestablesOHStable1"/>
      </w:pPr>
    </w:p>
    <w:p w14:paraId="0ECE9887" w14:textId="7183CBF9" w:rsidR="009340F0" w:rsidRPr="009340F0" w:rsidRDefault="009340F0" w:rsidP="00EC4701">
      <w:pPr>
        <w:pStyle w:val="FootnoteText"/>
      </w:pPr>
      <w:r w:rsidRPr="009340F0">
        <w:t>For the purpose of this table, Executive Officers are defined as employees who have significan</w:t>
      </w:r>
      <w:r>
        <w:t xml:space="preserve">t management responsibility AND </w:t>
      </w:r>
      <w:r w:rsidRPr="009340F0">
        <w:t xml:space="preserve">receive a </w:t>
      </w:r>
      <w:r w:rsidR="00BE48F9">
        <w:t>total remuneration package</w:t>
      </w:r>
      <w:r>
        <w:t xml:space="preserve"> of $156,374 or more.</w:t>
      </w:r>
    </w:p>
    <w:p w14:paraId="26BE23AC" w14:textId="78088DEC" w:rsidR="009340F0" w:rsidRPr="009340F0" w:rsidRDefault="009340F0" w:rsidP="00EC4701">
      <w:pPr>
        <w:pStyle w:val="FootnoteText"/>
      </w:pPr>
      <w:r w:rsidRPr="009340F0">
        <w:t xml:space="preserve">All figures reflect employment levels as at 30 June </w:t>
      </w:r>
      <w:r>
        <w:t>2017 unless otherwise stated.</w:t>
      </w:r>
    </w:p>
    <w:p w14:paraId="676B52E7" w14:textId="77480E1E" w:rsidR="009340F0" w:rsidRPr="009340F0" w:rsidRDefault="009340F0" w:rsidP="00EC4701">
      <w:pPr>
        <w:pStyle w:val="FootnoteText"/>
      </w:pPr>
      <w:r w:rsidRPr="009340F0">
        <w:t>Excluded are those on leave without pay or absent on secondment, external contractors / consultants and temporary staff employed by</w:t>
      </w:r>
      <w:r>
        <w:t xml:space="preserve"> employment agencies.</w:t>
      </w:r>
    </w:p>
    <w:p w14:paraId="1B584475" w14:textId="42274542" w:rsidR="009340F0" w:rsidRPr="009340F0" w:rsidRDefault="009340F0" w:rsidP="00EC4701">
      <w:pPr>
        <w:pStyle w:val="FootnoteText"/>
      </w:pPr>
      <w:r w:rsidRPr="009340F0">
        <w:t>Centre for Adult Education reported that they have no personnel meeting executive c</w:t>
      </w:r>
      <w:r>
        <w:t>riteria.</w:t>
      </w:r>
    </w:p>
    <w:p w14:paraId="721646B7" w14:textId="658F4B4D" w:rsidR="009340F0" w:rsidRDefault="009340F0" w:rsidP="00EC4701">
      <w:pPr>
        <w:pStyle w:val="FootnoteText"/>
      </w:pPr>
      <w:r w:rsidRPr="009340F0">
        <w:t>AMES Australia (1 Female) and Box Hill Institute (2 Females and 1 Male) each have executives they will not be including in</w:t>
      </w:r>
      <w:r>
        <w:t xml:space="preserve"> their annual report.</w:t>
      </w:r>
    </w:p>
    <w:p w14:paraId="44EA0CB9" w14:textId="77777777" w:rsidR="003E0EFB" w:rsidRDefault="003E0EFB">
      <w:pPr>
        <w:rPr>
          <w:rFonts w:ascii="Arial" w:eastAsiaTheme="majorEastAsia" w:hAnsi="Arial" w:cstheme="majorBidi"/>
          <w:bCs/>
          <w:color w:val="000000" w:themeColor="text1"/>
          <w:spacing w:val="5"/>
          <w:kern w:val="28"/>
          <w:sz w:val="28"/>
          <w:szCs w:val="20"/>
          <w:lang w:val="en-AU"/>
        </w:rPr>
      </w:pPr>
      <w:bookmarkStart w:id="201" w:name="_Toc491409543"/>
      <w:bookmarkStart w:id="202" w:name="_Toc491414672"/>
      <w:r>
        <w:rPr>
          <w:lang w:val="en-AU"/>
        </w:rPr>
        <w:br w:type="page"/>
      </w:r>
    </w:p>
    <w:p w14:paraId="1DE6471E" w14:textId="0C62C9F2" w:rsidR="00A61FF5" w:rsidRPr="007D5DAA" w:rsidRDefault="00A61FF5" w:rsidP="00D2232D">
      <w:pPr>
        <w:pStyle w:val="ESHeading2"/>
      </w:pPr>
      <w:r w:rsidRPr="007D5DAA">
        <w:t>Pecuniary interests</w:t>
      </w:r>
      <w:bookmarkEnd w:id="196"/>
      <w:bookmarkEnd w:id="197"/>
      <w:bookmarkEnd w:id="198"/>
      <w:bookmarkEnd w:id="199"/>
      <w:bookmarkEnd w:id="200"/>
      <w:bookmarkEnd w:id="201"/>
      <w:bookmarkEnd w:id="202"/>
    </w:p>
    <w:p w14:paraId="26431009" w14:textId="77777777" w:rsidR="00A61FF5" w:rsidRPr="00EC4701" w:rsidRDefault="00A61FF5" w:rsidP="00A61FF5">
      <w:pPr>
        <w:pStyle w:val="ESBodyText"/>
        <w:rPr>
          <w:highlight w:val="yellow"/>
          <w:lang w:val="en-AU"/>
        </w:rPr>
      </w:pPr>
      <w:bookmarkStart w:id="203" w:name="_Toc488410120"/>
      <w:bookmarkStart w:id="204" w:name="_Toc488767592"/>
      <w:bookmarkStart w:id="205" w:name="_Toc488769004"/>
      <w:r w:rsidRPr="00EC4701">
        <w:rPr>
          <w:lang w:val="en-AU"/>
        </w:rPr>
        <w:t>Declarations of pecuniary interests have been duly completed by all relevant officers.</w:t>
      </w:r>
    </w:p>
    <w:p w14:paraId="75CADD57" w14:textId="79CF08DC" w:rsidR="00A61FF5" w:rsidRPr="00EC4701" w:rsidRDefault="00A61FF5" w:rsidP="00D2232D">
      <w:pPr>
        <w:pStyle w:val="ESHeading2"/>
      </w:pPr>
      <w:bookmarkStart w:id="206" w:name="_Toc489526719"/>
      <w:bookmarkStart w:id="207" w:name="_Toc491070318"/>
      <w:bookmarkStart w:id="208" w:name="_Toc491409544"/>
      <w:bookmarkStart w:id="209" w:name="_Toc491414673"/>
      <w:r w:rsidRPr="00EC4701">
        <w:t>Shares held by senior officers</w:t>
      </w:r>
      <w:bookmarkEnd w:id="203"/>
      <w:bookmarkEnd w:id="204"/>
      <w:bookmarkEnd w:id="205"/>
      <w:bookmarkEnd w:id="206"/>
      <w:bookmarkEnd w:id="207"/>
      <w:bookmarkEnd w:id="208"/>
      <w:bookmarkEnd w:id="209"/>
    </w:p>
    <w:p w14:paraId="029A5C07" w14:textId="77777777" w:rsidR="00A61FF5" w:rsidRPr="00EC4701" w:rsidRDefault="00A61FF5" w:rsidP="00A61FF5">
      <w:pPr>
        <w:pStyle w:val="ESBodyText"/>
        <w:rPr>
          <w:highlight w:val="yellow"/>
          <w:lang w:val="en-AU"/>
        </w:rPr>
      </w:pPr>
      <w:bookmarkStart w:id="210" w:name="_Toc488410121"/>
      <w:bookmarkStart w:id="211" w:name="_Toc488767593"/>
      <w:bookmarkStart w:id="212" w:name="_Toc488769005"/>
      <w:r w:rsidRPr="00EC4701">
        <w:rPr>
          <w:lang w:val="en-AU"/>
        </w:rPr>
        <w:t>No shares are held by a senior officer as nominee, or held beneficially in a statutory authority or subsidiary.</w:t>
      </w:r>
    </w:p>
    <w:p w14:paraId="76C9311C" w14:textId="257047FF" w:rsidR="00A61FF5" w:rsidRPr="00EC4701" w:rsidRDefault="00A61FF5" w:rsidP="00A61FF5">
      <w:pPr>
        <w:pStyle w:val="ESHeading1"/>
        <w:rPr>
          <w:lang w:val="en-AU"/>
        </w:rPr>
      </w:pPr>
      <w:bookmarkStart w:id="213" w:name="_Toc489526720"/>
      <w:bookmarkStart w:id="214" w:name="_Toc491070319"/>
      <w:bookmarkStart w:id="215" w:name="_Toc491409545"/>
      <w:bookmarkStart w:id="216" w:name="_Toc491410377"/>
      <w:bookmarkStart w:id="217" w:name="_Toc491410756"/>
      <w:bookmarkStart w:id="218" w:name="_Toc491414674"/>
      <w:r w:rsidRPr="00EC4701">
        <w:rPr>
          <w:lang w:val="en-AU"/>
        </w:rPr>
        <w:t>Other disclosures</w:t>
      </w:r>
      <w:bookmarkEnd w:id="210"/>
      <w:bookmarkEnd w:id="211"/>
      <w:bookmarkEnd w:id="212"/>
      <w:bookmarkEnd w:id="213"/>
      <w:bookmarkEnd w:id="214"/>
      <w:bookmarkEnd w:id="215"/>
      <w:bookmarkEnd w:id="216"/>
      <w:bookmarkEnd w:id="217"/>
      <w:bookmarkEnd w:id="218"/>
    </w:p>
    <w:p w14:paraId="1F6E04B3" w14:textId="7900D365" w:rsidR="00A61FF5" w:rsidRPr="004E3D38" w:rsidRDefault="00A61FF5" w:rsidP="00D2232D">
      <w:pPr>
        <w:pStyle w:val="ESHeading2"/>
      </w:pPr>
      <w:bookmarkStart w:id="219" w:name="_Toc488410122"/>
      <w:bookmarkStart w:id="220" w:name="_Toc488767594"/>
      <w:bookmarkStart w:id="221" w:name="_Toc488769006"/>
      <w:bookmarkStart w:id="222" w:name="_Toc489526721"/>
      <w:bookmarkStart w:id="223" w:name="_Toc491070320"/>
      <w:bookmarkStart w:id="224" w:name="_Toc491409546"/>
      <w:bookmarkStart w:id="225" w:name="_Toc491414675"/>
      <w:r w:rsidRPr="00EC4701">
        <w:t>Victorian Industry Participation Policy</w:t>
      </w:r>
      <w:bookmarkEnd w:id="219"/>
      <w:bookmarkEnd w:id="220"/>
      <w:bookmarkEnd w:id="221"/>
      <w:bookmarkEnd w:id="222"/>
      <w:bookmarkEnd w:id="223"/>
      <w:bookmarkEnd w:id="224"/>
      <w:bookmarkEnd w:id="225"/>
    </w:p>
    <w:p w14:paraId="4F133463" w14:textId="77777777" w:rsidR="00A9593E" w:rsidRPr="002C0527" w:rsidRDefault="00A61FF5" w:rsidP="00A61FF5">
      <w:pPr>
        <w:pStyle w:val="ESBodyText"/>
        <w:rPr>
          <w:lang w:val="en-AU"/>
        </w:rPr>
      </w:pPr>
      <w:r w:rsidRPr="002C0527">
        <w:rPr>
          <w:lang w:val="en-AU"/>
        </w:rPr>
        <w:t>The Victorian Industry Participation Policy Act 2003 requires departments and public sector bodies to report on the implementation of the Victorian Industry Participation Policy (VIPP). The policy applies to procurement activities valued at $3 million or more for projects in Metropolitan Melbourne, and $1 million or more for procurement activities in regional Victoria.</w:t>
      </w:r>
    </w:p>
    <w:p w14:paraId="1EF9DF87" w14:textId="19A47C00" w:rsidR="00A9593E" w:rsidRPr="002C0527" w:rsidRDefault="00A61FF5" w:rsidP="00A61FF5">
      <w:pPr>
        <w:pStyle w:val="ESBodyText"/>
        <w:rPr>
          <w:lang w:val="en-AU"/>
        </w:rPr>
      </w:pPr>
      <w:r w:rsidRPr="002C0527">
        <w:rPr>
          <w:lang w:val="en-AU"/>
        </w:rPr>
        <w:t>During 2016–17, the Department commenced and completed contracts under the State Capital Works Program. The VIPP applied to 77 contracts totalling $481.5 million: 40 metropolitan contracts totalling $319.2 million and 37 regional contracts totalling $162.3</w:t>
      </w:r>
      <w:r w:rsidR="00C755D0" w:rsidRPr="002C0527">
        <w:rPr>
          <w:lang w:val="en-AU"/>
        </w:rPr>
        <w:t> </w:t>
      </w:r>
      <w:r w:rsidRPr="002C0527">
        <w:rPr>
          <w:lang w:val="en-AU"/>
        </w:rPr>
        <w:t>million.</w:t>
      </w:r>
    </w:p>
    <w:p w14:paraId="09F8A20E" w14:textId="77777777" w:rsidR="00A9593E" w:rsidRPr="002C0527" w:rsidRDefault="00A61FF5" w:rsidP="00A61FF5">
      <w:pPr>
        <w:pStyle w:val="ESBodyText"/>
        <w:rPr>
          <w:lang w:val="en-AU"/>
        </w:rPr>
      </w:pPr>
      <w:r w:rsidRPr="002C0527">
        <w:rPr>
          <w:lang w:val="en-AU"/>
        </w:rPr>
        <w:t>The commitments under the VIPP policy included:</w:t>
      </w:r>
    </w:p>
    <w:p w14:paraId="657E9E41" w14:textId="18008613" w:rsidR="00A9593E" w:rsidRPr="002C0527" w:rsidRDefault="00682774" w:rsidP="00A61FF5">
      <w:pPr>
        <w:pStyle w:val="ESBullet1indent"/>
        <w:rPr>
          <w:lang w:val="en-AU"/>
        </w:rPr>
      </w:pPr>
      <w:r w:rsidRPr="002C0527">
        <w:rPr>
          <w:lang w:val="en-AU"/>
        </w:rPr>
        <w:t xml:space="preserve">an </w:t>
      </w:r>
      <w:r w:rsidR="00A61FF5" w:rsidRPr="002C0527">
        <w:rPr>
          <w:lang w:val="en-AU"/>
        </w:rPr>
        <w:t>average level of local content of 86 per cent across the contracts</w:t>
      </w:r>
    </w:p>
    <w:p w14:paraId="5F369E7A" w14:textId="77777777" w:rsidR="00A9593E" w:rsidRPr="002C0527" w:rsidRDefault="00A61FF5" w:rsidP="00A61FF5">
      <w:pPr>
        <w:pStyle w:val="ESBullet1indent"/>
        <w:rPr>
          <w:lang w:val="en-AU"/>
        </w:rPr>
      </w:pPr>
      <w:r w:rsidRPr="002C0527">
        <w:rPr>
          <w:lang w:val="en-AU"/>
        </w:rPr>
        <w:t>3,433 continuing and new full-time equivalent jobs and 493 continuing and new full-time equivalent apprenticeships or traineeships</w:t>
      </w:r>
    </w:p>
    <w:p w14:paraId="07BE8297" w14:textId="67243FFF" w:rsidR="00A61FF5" w:rsidRPr="002C0527" w:rsidRDefault="00682774" w:rsidP="00A61FF5">
      <w:pPr>
        <w:pStyle w:val="ESBullet1indent"/>
        <w:rPr>
          <w:lang w:val="en-AU"/>
        </w:rPr>
      </w:pPr>
      <w:r w:rsidRPr="002C0527">
        <w:rPr>
          <w:lang w:val="en-AU"/>
        </w:rPr>
        <w:t xml:space="preserve">benefits </w:t>
      </w:r>
      <w:r w:rsidR="00A61FF5" w:rsidRPr="002C0527">
        <w:rPr>
          <w:lang w:val="en-AU"/>
        </w:rPr>
        <w:t>to the Victorian economy through: development and implementation of technology in schools; professional development for staff; skills development through work on infrastructure projects; and participation in related training in occupational health and safety and trades.</w:t>
      </w:r>
    </w:p>
    <w:p w14:paraId="6F90320E" w14:textId="77777777" w:rsidR="00A61FF5" w:rsidRPr="002C0527" w:rsidRDefault="00A61FF5" w:rsidP="00A61FF5">
      <w:pPr>
        <w:pStyle w:val="ESBodyText"/>
        <w:rPr>
          <w:highlight w:val="yellow"/>
          <w:lang w:val="en-AU"/>
        </w:rPr>
        <w:sectPr w:rsidR="00A61FF5" w:rsidRPr="002C0527" w:rsidSect="006D0155">
          <w:pgSz w:w="11900" w:h="16840"/>
          <w:pgMar w:top="1440" w:right="1701" w:bottom="1440" w:left="2835" w:header="708" w:footer="708" w:gutter="0"/>
          <w:cols w:space="708"/>
          <w:docGrid w:linePitch="360"/>
        </w:sectPr>
      </w:pPr>
    </w:p>
    <w:p w14:paraId="09DD34FB" w14:textId="77777777" w:rsidR="00A61FF5" w:rsidRPr="002C0527" w:rsidRDefault="00A61FF5" w:rsidP="00A61FF5">
      <w:pPr>
        <w:pStyle w:val="ESBodyText"/>
        <w:rPr>
          <w:lang w:val="en-AU"/>
        </w:rPr>
      </w:pPr>
    </w:p>
    <w:p w14:paraId="06463842" w14:textId="6F07BCA2" w:rsidR="00A61FF5" w:rsidRPr="002C0527" w:rsidRDefault="00A61FF5" w:rsidP="00D2232D">
      <w:pPr>
        <w:pStyle w:val="ESHeading2"/>
      </w:pPr>
      <w:bookmarkStart w:id="226" w:name="_Toc488410123"/>
      <w:bookmarkStart w:id="227" w:name="_Toc488767595"/>
      <w:bookmarkStart w:id="228" w:name="_Toc488769007"/>
      <w:bookmarkStart w:id="229" w:name="_Toc489526722"/>
      <w:bookmarkStart w:id="230" w:name="_Toc491070321"/>
      <w:bookmarkStart w:id="231" w:name="_Toc491409547"/>
      <w:bookmarkStart w:id="232" w:name="_Toc491414676"/>
      <w:r w:rsidRPr="002C0527">
        <w:t>Government advertising expenditure</w:t>
      </w:r>
      <w:bookmarkEnd w:id="226"/>
      <w:bookmarkEnd w:id="227"/>
      <w:bookmarkEnd w:id="228"/>
      <w:bookmarkEnd w:id="229"/>
      <w:bookmarkEnd w:id="230"/>
      <w:bookmarkEnd w:id="231"/>
      <w:bookmarkEnd w:id="232"/>
    </w:p>
    <w:p w14:paraId="274F1400" w14:textId="5189CF30" w:rsidR="00E8529C" w:rsidRPr="002C0527" w:rsidRDefault="00A61FF5" w:rsidP="009A0BAD">
      <w:pPr>
        <w:pStyle w:val="ESTableintroheading"/>
        <w:rPr>
          <w:lang w:val="en-AU"/>
        </w:rPr>
      </w:pPr>
      <w:r w:rsidRPr="002C0527">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22</w:t>
      </w:r>
      <w:r w:rsidR="00D93BA2" w:rsidRPr="006E49EE">
        <w:rPr>
          <w:lang w:val="en-AU"/>
        </w:rPr>
        <w:fldChar w:fldCharType="end"/>
      </w:r>
      <w:r w:rsidRPr="004E3D38">
        <w:rPr>
          <w:lang w:val="en-AU"/>
        </w:rPr>
        <w:t xml:space="preserve"> – Campaigns with a media spend of $100,000 or greater 2016–17 (</w:t>
      </w:r>
      <w:r w:rsidR="00C755D0" w:rsidRPr="002C0527">
        <w:rPr>
          <w:lang w:val="en-AU"/>
        </w:rPr>
        <w:t xml:space="preserve">$ </w:t>
      </w:r>
      <w:r w:rsidRPr="002C0527">
        <w:rPr>
          <w:lang w:val="en-AU"/>
        </w:rPr>
        <w:t>excluding GST)</w:t>
      </w:r>
    </w:p>
    <w:tbl>
      <w:tblPr>
        <w:tblW w:w="4976" w:type="pct"/>
        <w:tblBorders>
          <w:bottom w:val="single" w:sz="12" w:space="0" w:color="777777"/>
        </w:tblBorders>
        <w:tblLayout w:type="fixed"/>
        <w:tblCellMar>
          <w:left w:w="45" w:type="dxa"/>
          <w:right w:w="45" w:type="dxa"/>
        </w:tblCellMar>
        <w:tblLook w:val="01E0" w:firstRow="1" w:lastRow="1" w:firstColumn="1" w:lastColumn="1" w:noHBand="0" w:noVBand="0"/>
      </w:tblPr>
      <w:tblGrid>
        <w:gridCol w:w="1700"/>
        <w:gridCol w:w="4820"/>
        <w:gridCol w:w="1134"/>
        <w:gridCol w:w="992"/>
        <w:gridCol w:w="1134"/>
        <w:gridCol w:w="992"/>
        <w:gridCol w:w="995"/>
        <w:gridCol w:w="992"/>
        <w:gridCol w:w="1134"/>
      </w:tblGrid>
      <w:tr w:rsidR="00A61FF5" w:rsidRPr="00932A90" w14:paraId="22109571" w14:textId="77777777" w:rsidTr="00442414">
        <w:trPr>
          <w:cantSplit/>
          <w:trHeight w:val="866"/>
        </w:trPr>
        <w:tc>
          <w:tcPr>
            <w:tcW w:w="612" w:type="pct"/>
            <w:tcBorders>
              <w:bottom w:val="single" w:sz="6" w:space="0" w:color="777777"/>
            </w:tcBorders>
            <w:shd w:val="clear" w:color="auto" w:fill="7F7F7F"/>
            <w:vAlign w:val="bottom"/>
          </w:tcPr>
          <w:p w14:paraId="5C1F8551" w14:textId="6FB90058" w:rsidR="00A61FF5" w:rsidRPr="006E49EE" w:rsidRDefault="00A61FF5" w:rsidP="00442414">
            <w:pPr>
              <w:pStyle w:val="ESTableheadingwhite75"/>
              <w:rPr>
                <w:sz w:val="16"/>
                <w:szCs w:val="16"/>
                <w:lang w:val="en-AU"/>
              </w:rPr>
            </w:pPr>
            <w:r w:rsidRPr="006E49EE">
              <w:rPr>
                <w:sz w:val="16"/>
                <w:szCs w:val="16"/>
                <w:lang w:val="en-AU"/>
              </w:rPr>
              <w:t>Campaign</w:t>
            </w:r>
          </w:p>
        </w:tc>
        <w:tc>
          <w:tcPr>
            <w:tcW w:w="1735" w:type="pct"/>
            <w:tcBorders>
              <w:bottom w:val="single" w:sz="6" w:space="0" w:color="777777"/>
            </w:tcBorders>
            <w:shd w:val="clear" w:color="auto" w:fill="7F7F7F"/>
            <w:vAlign w:val="bottom"/>
          </w:tcPr>
          <w:p w14:paraId="404A54A2" w14:textId="77777777" w:rsidR="00A61FF5" w:rsidRPr="006E49EE" w:rsidRDefault="00A61FF5" w:rsidP="00442414">
            <w:pPr>
              <w:pStyle w:val="ESTableheadingwhite75"/>
              <w:rPr>
                <w:sz w:val="16"/>
                <w:szCs w:val="16"/>
                <w:lang w:val="en-AU"/>
              </w:rPr>
            </w:pPr>
            <w:r w:rsidRPr="006E49EE">
              <w:rPr>
                <w:sz w:val="16"/>
                <w:szCs w:val="16"/>
                <w:lang w:val="en-AU"/>
              </w:rPr>
              <w:t>Summary</w:t>
            </w:r>
          </w:p>
        </w:tc>
        <w:tc>
          <w:tcPr>
            <w:tcW w:w="408" w:type="pct"/>
            <w:tcBorders>
              <w:bottom w:val="single" w:sz="6" w:space="0" w:color="777777"/>
            </w:tcBorders>
            <w:shd w:val="clear" w:color="auto" w:fill="7F7F7F"/>
            <w:vAlign w:val="bottom"/>
          </w:tcPr>
          <w:p w14:paraId="7E9DAD61" w14:textId="1A7CC267" w:rsidR="00A61FF5" w:rsidRPr="006E49EE" w:rsidRDefault="00BE48F9" w:rsidP="00442414">
            <w:pPr>
              <w:pStyle w:val="ESTableheadingwhite75"/>
              <w:rPr>
                <w:sz w:val="16"/>
                <w:szCs w:val="16"/>
                <w:lang w:val="en-AU"/>
              </w:rPr>
            </w:pPr>
            <w:r>
              <w:rPr>
                <w:sz w:val="16"/>
                <w:szCs w:val="16"/>
                <w:lang w:val="en-AU"/>
              </w:rPr>
              <w:t>Start/</w:t>
            </w:r>
            <w:r w:rsidR="00A61FF5" w:rsidRPr="006E49EE">
              <w:rPr>
                <w:sz w:val="16"/>
                <w:szCs w:val="16"/>
                <w:lang w:val="en-AU"/>
              </w:rPr>
              <w:t>End</w:t>
            </w:r>
          </w:p>
        </w:tc>
        <w:tc>
          <w:tcPr>
            <w:tcW w:w="357" w:type="pct"/>
            <w:tcBorders>
              <w:bottom w:val="single" w:sz="6" w:space="0" w:color="777777"/>
            </w:tcBorders>
            <w:shd w:val="clear" w:color="auto" w:fill="7F7F7F"/>
            <w:vAlign w:val="bottom"/>
          </w:tcPr>
          <w:p w14:paraId="02115CFA" w14:textId="77777777" w:rsidR="00A61FF5" w:rsidRPr="006E49EE" w:rsidRDefault="00A61FF5" w:rsidP="00442414">
            <w:pPr>
              <w:pStyle w:val="ESTableheadingwhite75"/>
              <w:jc w:val="right"/>
              <w:rPr>
                <w:sz w:val="16"/>
                <w:szCs w:val="16"/>
                <w:lang w:val="en-AU"/>
              </w:rPr>
            </w:pPr>
            <w:r w:rsidRPr="006E49EE">
              <w:rPr>
                <w:sz w:val="16"/>
                <w:szCs w:val="16"/>
                <w:lang w:val="en-AU"/>
              </w:rPr>
              <w:t>Advertising (media)</w:t>
            </w:r>
          </w:p>
        </w:tc>
        <w:tc>
          <w:tcPr>
            <w:tcW w:w="408" w:type="pct"/>
            <w:tcBorders>
              <w:bottom w:val="single" w:sz="6" w:space="0" w:color="777777"/>
            </w:tcBorders>
            <w:shd w:val="clear" w:color="auto" w:fill="7F7F7F"/>
            <w:vAlign w:val="bottom"/>
          </w:tcPr>
          <w:p w14:paraId="6F288450" w14:textId="77777777" w:rsidR="00A61FF5" w:rsidRPr="006E49EE" w:rsidRDefault="00A61FF5" w:rsidP="00442414">
            <w:pPr>
              <w:pStyle w:val="ESTableheadingwhite75"/>
              <w:jc w:val="right"/>
              <w:rPr>
                <w:sz w:val="16"/>
                <w:szCs w:val="16"/>
                <w:lang w:val="en-AU"/>
              </w:rPr>
            </w:pPr>
            <w:r w:rsidRPr="006E49EE">
              <w:rPr>
                <w:sz w:val="16"/>
                <w:szCs w:val="16"/>
                <w:lang w:val="en-AU"/>
              </w:rPr>
              <w:t>Creative &amp; campaign development</w:t>
            </w:r>
          </w:p>
        </w:tc>
        <w:tc>
          <w:tcPr>
            <w:tcW w:w="357" w:type="pct"/>
            <w:tcBorders>
              <w:bottom w:val="single" w:sz="6" w:space="0" w:color="777777"/>
            </w:tcBorders>
            <w:shd w:val="clear" w:color="auto" w:fill="7F7F7F"/>
            <w:vAlign w:val="bottom"/>
          </w:tcPr>
          <w:p w14:paraId="0068D253" w14:textId="77777777" w:rsidR="00A61FF5" w:rsidRPr="006E49EE" w:rsidRDefault="00A61FF5" w:rsidP="00442414">
            <w:pPr>
              <w:pStyle w:val="ESTableheadingwhite75"/>
              <w:jc w:val="right"/>
              <w:rPr>
                <w:sz w:val="16"/>
                <w:szCs w:val="16"/>
                <w:lang w:val="en-AU"/>
              </w:rPr>
            </w:pPr>
            <w:r w:rsidRPr="006E49EE">
              <w:rPr>
                <w:sz w:val="16"/>
                <w:szCs w:val="16"/>
                <w:lang w:val="en-AU"/>
              </w:rPr>
              <w:t>Research &amp; evaluation</w:t>
            </w:r>
          </w:p>
        </w:tc>
        <w:tc>
          <w:tcPr>
            <w:tcW w:w="358" w:type="pct"/>
            <w:tcBorders>
              <w:bottom w:val="single" w:sz="6" w:space="0" w:color="777777"/>
            </w:tcBorders>
            <w:shd w:val="clear" w:color="auto" w:fill="7F7F7F"/>
            <w:vAlign w:val="bottom"/>
          </w:tcPr>
          <w:p w14:paraId="50597BDD" w14:textId="77777777" w:rsidR="00A61FF5" w:rsidRPr="006E49EE" w:rsidRDefault="00A61FF5" w:rsidP="00442414">
            <w:pPr>
              <w:pStyle w:val="ESTableheadingwhite75"/>
              <w:jc w:val="right"/>
              <w:rPr>
                <w:sz w:val="16"/>
                <w:szCs w:val="16"/>
                <w:lang w:val="en-AU"/>
              </w:rPr>
            </w:pPr>
            <w:r w:rsidRPr="006E49EE">
              <w:rPr>
                <w:sz w:val="16"/>
                <w:szCs w:val="16"/>
                <w:lang w:val="en-AU"/>
              </w:rPr>
              <w:t>Print &amp; collateral</w:t>
            </w:r>
          </w:p>
        </w:tc>
        <w:tc>
          <w:tcPr>
            <w:tcW w:w="357" w:type="pct"/>
            <w:tcBorders>
              <w:bottom w:val="single" w:sz="6" w:space="0" w:color="777777"/>
            </w:tcBorders>
            <w:shd w:val="clear" w:color="auto" w:fill="7F7F7F"/>
            <w:vAlign w:val="bottom"/>
          </w:tcPr>
          <w:p w14:paraId="13F1B298" w14:textId="77777777" w:rsidR="00A61FF5" w:rsidRPr="006E49EE" w:rsidRDefault="00A61FF5" w:rsidP="00442414">
            <w:pPr>
              <w:pStyle w:val="ESTableheadingwhite75"/>
              <w:jc w:val="right"/>
              <w:rPr>
                <w:sz w:val="16"/>
                <w:szCs w:val="16"/>
                <w:lang w:val="en-AU"/>
              </w:rPr>
            </w:pPr>
            <w:r w:rsidRPr="006E49EE">
              <w:rPr>
                <w:sz w:val="16"/>
                <w:szCs w:val="16"/>
                <w:lang w:val="en-AU"/>
              </w:rPr>
              <w:t>Other</w:t>
            </w:r>
          </w:p>
        </w:tc>
        <w:tc>
          <w:tcPr>
            <w:tcW w:w="408" w:type="pct"/>
            <w:tcBorders>
              <w:bottom w:val="single" w:sz="6" w:space="0" w:color="777777"/>
            </w:tcBorders>
            <w:shd w:val="clear" w:color="auto" w:fill="7F7F7F"/>
            <w:vAlign w:val="bottom"/>
          </w:tcPr>
          <w:p w14:paraId="3A5D22E6" w14:textId="77777777" w:rsidR="00A61FF5" w:rsidRPr="006E49EE" w:rsidRDefault="00A61FF5" w:rsidP="00442414">
            <w:pPr>
              <w:pStyle w:val="ESTableheadingwhite75"/>
              <w:jc w:val="right"/>
              <w:rPr>
                <w:sz w:val="16"/>
                <w:szCs w:val="16"/>
                <w:lang w:val="en-AU"/>
              </w:rPr>
            </w:pPr>
            <w:r w:rsidRPr="006E49EE">
              <w:rPr>
                <w:sz w:val="16"/>
                <w:szCs w:val="16"/>
                <w:lang w:val="en-AU"/>
              </w:rPr>
              <w:t>Total</w:t>
            </w:r>
          </w:p>
        </w:tc>
      </w:tr>
      <w:tr w:rsidR="00A61FF5" w:rsidRPr="00932A90" w14:paraId="3E8875FD" w14:textId="77777777" w:rsidTr="00D07480">
        <w:trPr>
          <w:cantSplit/>
        </w:trPr>
        <w:tc>
          <w:tcPr>
            <w:tcW w:w="612" w:type="pct"/>
            <w:tcBorders>
              <w:top w:val="single" w:sz="6" w:space="0" w:color="777777"/>
              <w:bottom w:val="single" w:sz="6" w:space="0" w:color="777777"/>
            </w:tcBorders>
            <w:shd w:val="clear" w:color="auto" w:fill="auto"/>
          </w:tcPr>
          <w:p w14:paraId="7141D941" w14:textId="77777777" w:rsidR="00A61FF5" w:rsidRPr="004E3D38" w:rsidRDefault="00A61FF5" w:rsidP="00D07480">
            <w:pPr>
              <w:pStyle w:val="ESTableBody"/>
              <w:rPr>
                <w:lang w:val="en-AU"/>
              </w:rPr>
            </w:pPr>
            <w:r w:rsidRPr="004E3D38">
              <w:rPr>
                <w:lang w:val="en-AU"/>
              </w:rPr>
              <w:t xml:space="preserve">Never Leave Kids in Cars </w:t>
            </w:r>
          </w:p>
        </w:tc>
        <w:tc>
          <w:tcPr>
            <w:tcW w:w="1735" w:type="pct"/>
            <w:tcBorders>
              <w:top w:val="single" w:sz="6" w:space="0" w:color="777777"/>
              <w:bottom w:val="single" w:sz="6" w:space="0" w:color="777777"/>
            </w:tcBorders>
            <w:shd w:val="clear" w:color="auto" w:fill="auto"/>
          </w:tcPr>
          <w:p w14:paraId="06387E37" w14:textId="77777777" w:rsidR="00A61FF5" w:rsidRPr="002C0527" w:rsidRDefault="00A61FF5" w:rsidP="00D07480">
            <w:pPr>
              <w:pStyle w:val="ESTableBody"/>
              <w:rPr>
                <w:lang w:val="en-AU"/>
              </w:rPr>
            </w:pPr>
            <w:r w:rsidRPr="002C0527">
              <w:rPr>
                <w:lang w:val="en-AU"/>
              </w:rPr>
              <w:t>To raise awareness of the dangers of leaving children unattended in cars on hot days, and the speed the temperature doubles inside a parked car.</w:t>
            </w:r>
          </w:p>
          <w:p w14:paraId="404EB12A" w14:textId="77777777" w:rsidR="00A61FF5" w:rsidRPr="002C0527" w:rsidRDefault="00A61FF5" w:rsidP="00D07480">
            <w:pPr>
              <w:pStyle w:val="ESTableBody"/>
              <w:rPr>
                <w:lang w:val="en-AU"/>
              </w:rPr>
            </w:pPr>
            <w:r w:rsidRPr="002C0527">
              <w:rPr>
                <w:lang w:val="en-AU"/>
              </w:rPr>
              <w:t xml:space="preserve">Campaign is in partnership with the Department of Health and Human Services, Ambulance Victoria and KidSafe. </w:t>
            </w:r>
          </w:p>
        </w:tc>
        <w:tc>
          <w:tcPr>
            <w:tcW w:w="408" w:type="pct"/>
            <w:tcBorders>
              <w:top w:val="single" w:sz="6" w:space="0" w:color="777777"/>
              <w:bottom w:val="single" w:sz="6" w:space="0" w:color="777777"/>
            </w:tcBorders>
          </w:tcPr>
          <w:p w14:paraId="25EF600B" w14:textId="77777777" w:rsidR="00A61FF5" w:rsidRPr="002C0527" w:rsidRDefault="00A61FF5" w:rsidP="00D07480">
            <w:pPr>
              <w:pStyle w:val="ESTableBody"/>
              <w:rPr>
                <w:lang w:val="en-AU"/>
              </w:rPr>
            </w:pPr>
            <w:r w:rsidRPr="002C0527">
              <w:rPr>
                <w:lang w:val="en-AU"/>
              </w:rPr>
              <w:t>Dec 2016–March 2017</w:t>
            </w:r>
          </w:p>
        </w:tc>
        <w:tc>
          <w:tcPr>
            <w:tcW w:w="357" w:type="pct"/>
            <w:tcBorders>
              <w:top w:val="single" w:sz="6" w:space="0" w:color="777777"/>
              <w:bottom w:val="single" w:sz="6" w:space="0" w:color="777777"/>
            </w:tcBorders>
          </w:tcPr>
          <w:p w14:paraId="6B4439EB" w14:textId="4DE20FD7" w:rsidR="00A61FF5" w:rsidRPr="004E3D38" w:rsidRDefault="00EC4701" w:rsidP="00D07480">
            <w:pPr>
              <w:pStyle w:val="ESTablebody3ptafter"/>
              <w:jc w:val="right"/>
              <w:rPr>
                <w:sz w:val="14"/>
                <w:lang w:val="en-AU"/>
              </w:rPr>
            </w:pPr>
            <w:r w:rsidRPr="002C0527">
              <w:rPr>
                <w:sz w:val="14"/>
                <w:lang w:val="en-AU"/>
              </w:rPr>
              <w:t>169,</w:t>
            </w:r>
            <w:r>
              <w:rPr>
                <w:sz w:val="14"/>
                <w:lang w:val="en-AU"/>
              </w:rPr>
              <w:t>852</w:t>
            </w:r>
          </w:p>
        </w:tc>
        <w:tc>
          <w:tcPr>
            <w:tcW w:w="408" w:type="pct"/>
            <w:tcBorders>
              <w:top w:val="single" w:sz="6" w:space="0" w:color="777777"/>
              <w:bottom w:val="single" w:sz="6" w:space="0" w:color="777777"/>
            </w:tcBorders>
          </w:tcPr>
          <w:p w14:paraId="336EE7DB" w14:textId="55B792C0" w:rsidR="00A61FF5" w:rsidRPr="002C0527" w:rsidRDefault="00EC4701" w:rsidP="00D07480">
            <w:pPr>
              <w:pStyle w:val="ESTablebody3ptafter"/>
              <w:jc w:val="right"/>
              <w:rPr>
                <w:sz w:val="14"/>
                <w:lang w:val="en-AU"/>
              </w:rPr>
            </w:pPr>
            <w:r w:rsidRPr="002C0527">
              <w:rPr>
                <w:sz w:val="14"/>
                <w:lang w:val="en-AU"/>
              </w:rPr>
              <w:t>15,265</w:t>
            </w:r>
          </w:p>
        </w:tc>
        <w:tc>
          <w:tcPr>
            <w:tcW w:w="357" w:type="pct"/>
            <w:tcBorders>
              <w:top w:val="single" w:sz="6" w:space="0" w:color="777777"/>
              <w:bottom w:val="single" w:sz="6" w:space="0" w:color="777777"/>
            </w:tcBorders>
          </w:tcPr>
          <w:p w14:paraId="40C17D39" w14:textId="77777777" w:rsidR="00A61FF5" w:rsidRPr="002C0527" w:rsidRDefault="00A61FF5" w:rsidP="00D07480">
            <w:pPr>
              <w:pStyle w:val="ESTablebody3ptafter"/>
              <w:jc w:val="right"/>
              <w:rPr>
                <w:sz w:val="14"/>
                <w:lang w:val="en-AU"/>
              </w:rPr>
            </w:pPr>
            <w:r w:rsidRPr="002C0527">
              <w:rPr>
                <w:sz w:val="14"/>
                <w:lang w:val="en-AU"/>
              </w:rPr>
              <w:t>0</w:t>
            </w:r>
          </w:p>
        </w:tc>
        <w:tc>
          <w:tcPr>
            <w:tcW w:w="358" w:type="pct"/>
            <w:tcBorders>
              <w:top w:val="single" w:sz="6" w:space="0" w:color="777777"/>
              <w:bottom w:val="single" w:sz="6" w:space="0" w:color="777777"/>
            </w:tcBorders>
            <w:shd w:val="clear" w:color="auto" w:fill="auto"/>
          </w:tcPr>
          <w:p w14:paraId="59EDC42E" w14:textId="1235601D" w:rsidR="00A61FF5" w:rsidRPr="004E3D38" w:rsidRDefault="00A61FF5" w:rsidP="00D07480">
            <w:pPr>
              <w:pStyle w:val="ESTablebody3ptafter"/>
              <w:jc w:val="right"/>
              <w:rPr>
                <w:sz w:val="14"/>
                <w:lang w:val="en-AU"/>
              </w:rPr>
            </w:pPr>
            <w:r w:rsidRPr="00EC4701">
              <w:rPr>
                <w:sz w:val="14"/>
                <w:lang w:val="en-AU"/>
              </w:rPr>
              <w:t>8</w:t>
            </w:r>
            <w:r w:rsidR="009452EC" w:rsidRPr="00EC4701">
              <w:rPr>
                <w:sz w:val="14"/>
                <w:lang w:val="en-AU"/>
              </w:rPr>
              <w:t>,</w:t>
            </w:r>
            <w:r w:rsidR="00EC4701">
              <w:rPr>
                <w:sz w:val="14"/>
                <w:lang w:val="en-AU"/>
              </w:rPr>
              <w:t>134</w:t>
            </w:r>
          </w:p>
        </w:tc>
        <w:tc>
          <w:tcPr>
            <w:tcW w:w="357" w:type="pct"/>
            <w:tcBorders>
              <w:top w:val="single" w:sz="6" w:space="0" w:color="777777"/>
              <w:bottom w:val="single" w:sz="6" w:space="0" w:color="777777"/>
            </w:tcBorders>
          </w:tcPr>
          <w:p w14:paraId="118BF5B3" w14:textId="13F4F985" w:rsidR="00A61FF5" w:rsidRPr="002C0527" w:rsidRDefault="00A61FF5" w:rsidP="00EC4701">
            <w:pPr>
              <w:pStyle w:val="ESTablebody3ptafter"/>
              <w:jc w:val="right"/>
              <w:rPr>
                <w:sz w:val="14"/>
                <w:lang w:val="en-AU"/>
              </w:rPr>
            </w:pPr>
            <w:r w:rsidRPr="002C0527">
              <w:rPr>
                <w:sz w:val="14"/>
                <w:lang w:val="en-AU"/>
              </w:rPr>
              <w:t>67,030</w:t>
            </w:r>
          </w:p>
        </w:tc>
        <w:tc>
          <w:tcPr>
            <w:tcW w:w="408" w:type="pct"/>
            <w:tcBorders>
              <w:top w:val="single" w:sz="6" w:space="0" w:color="777777"/>
              <w:bottom w:val="single" w:sz="6" w:space="0" w:color="777777"/>
            </w:tcBorders>
            <w:shd w:val="clear" w:color="auto" w:fill="F8F8F8"/>
          </w:tcPr>
          <w:p w14:paraId="415D9777" w14:textId="654E4D6A" w:rsidR="00A61FF5" w:rsidRPr="002C0527" w:rsidRDefault="00A61FF5" w:rsidP="00EC4701">
            <w:pPr>
              <w:pStyle w:val="ESTablebody3ptafter"/>
              <w:jc w:val="right"/>
              <w:rPr>
                <w:sz w:val="14"/>
                <w:lang w:val="en-AU"/>
              </w:rPr>
            </w:pPr>
            <w:r w:rsidRPr="002C0527">
              <w:rPr>
                <w:sz w:val="14"/>
                <w:lang w:val="en-AU"/>
              </w:rPr>
              <w:t>260,281</w:t>
            </w:r>
          </w:p>
        </w:tc>
      </w:tr>
      <w:tr w:rsidR="00A61FF5" w:rsidRPr="00932A90" w14:paraId="15C5ED49" w14:textId="77777777" w:rsidTr="00D07480">
        <w:trPr>
          <w:cantSplit/>
        </w:trPr>
        <w:tc>
          <w:tcPr>
            <w:tcW w:w="612" w:type="pct"/>
            <w:tcBorders>
              <w:top w:val="single" w:sz="6" w:space="0" w:color="777777"/>
              <w:bottom w:val="single" w:sz="4" w:space="0" w:color="auto"/>
            </w:tcBorders>
            <w:shd w:val="clear" w:color="auto" w:fill="auto"/>
          </w:tcPr>
          <w:p w14:paraId="142348E0" w14:textId="77777777" w:rsidR="00A61FF5" w:rsidRPr="004E3D38" w:rsidRDefault="00A61FF5" w:rsidP="00D07480">
            <w:pPr>
              <w:pStyle w:val="ESTableBody"/>
              <w:rPr>
                <w:lang w:val="en-AU"/>
              </w:rPr>
            </w:pPr>
            <w:r w:rsidRPr="004E3D38">
              <w:rPr>
                <w:lang w:val="en-AU"/>
              </w:rPr>
              <w:t xml:space="preserve">TAFE Victoria </w:t>
            </w:r>
          </w:p>
        </w:tc>
        <w:tc>
          <w:tcPr>
            <w:tcW w:w="1735" w:type="pct"/>
            <w:tcBorders>
              <w:top w:val="single" w:sz="6" w:space="0" w:color="777777"/>
              <w:bottom w:val="single" w:sz="4" w:space="0" w:color="auto"/>
            </w:tcBorders>
            <w:shd w:val="clear" w:color="auto" w:fill="auto"/>
          </w:tcPr>
          <w:p w14:paraId="28AF6450" w14:textId="77777777" w:rsidR="00A61FF5" w:rsidRPr="00932A90" w:rsidRDefault="00A61FF5" w:rsidP="00D07480">
            <w:pPr>
              <w:pStyle w:val="ESTableBody"/>
              <w:rPr>
                <w:bCs/>
                <w:lang w:val="en-AU"/>
              </w:rPr>
            </w:pPr>
            <w:r w:rsidRPr="00932A90">
              <w:rPr>
                <w:lang w:val="en-AU"/>
              </w:rPr>
              <w:t>This</w:t>
            </w:r>
            <w:r w:rsidRPr="00932A90">
              <w:rPr>
                <w:i/>
                <w:lang w:val="en-AU"/>
              </w:rPr>
              <w:t xml:space="preserve"> </w:t>
            </w:r>
            <w:r w:rsidRPr="00932A90">
              <w:rPr>
                <w:lang w:val="en-AU"/>
              </w:rPr>
              <w:t>campaign aims to</w:t>
            </w:r>
            <w:r w:rsidRPr="004E3D38">
              <w:rPr>
                <w:lang w:val="en-AU"/>
              </w:rPr>
              <w:t xml:space="preserve"> restore pride in the TAFE network, position TAFE as a market leader and, ultimately increase enrolments</w:t>
            </w:r>
            <w:r w:rsidRPr="002C0527">
              <w:rPr>
                <w:lang w:val="en-AU"/>
              </w:rPr>
              <w:t>.</w:t>
            </w:r>
          </w:p>
        </w:tc>
        <w:tc>
          <w:tcPr>
            <w:tcW w:w="408" w:type="pct"/>
            <w:tcBorders>
              <w:top w:val="single" w:sz="6" w:space="0" w:color="777777"/>
              <w:bottom w:val="single" w:sz="4" w:space="0" w:color="auto"/>
            </w:tcBorders>
          </w:tcPr>
          <w:p w14:paraId="6BA8079C" w14:textId="77777777" w:rsidR="00A61FF5" w:rsidRPr="004E3D38" w:rsidRDefault="00A61FF5" w:rsidP="00D07480">
            <w:pPr>
              <w:pStyle w:val="ESTableBody"/>
              <w:rPr>
                <w:lang w:val="en-AU"/>
              </w:rPr>
            </w:pPr>
            <w:r w:rsidRPr="004E3D38">
              <w:rPr>
                <w:lang w:val="en-AU"/>
              </w:rPr>
              <w:t>Dec 2016–June 2017</w:t>
            </w:r>
          </w:p>
        </w:tc>
        <w:tc>
          <w:tcPr>
            <w:tcW w:w="357" w:type="pct"/>
            <w:tcBorders>
              <w:top w:val="single" w:sz="6" w:space="0" w:color="777777"/>
              <w:bottom w:val="single" w:sz="4" w:space="0" w:color="auto"/>
            </w:tcBorders>
          </w:tcPr>
          <w:p w14:paraId="2838CE81" w14:textId="4BD5529E" w:rsidR="00A61FF5" w:rsidRPr="004E3D38" w:rsidRDefault="00EC4701" w:rsidP="00D07480">
            <w:pPr>
              <w:pStyle w:val="ESTablebody3ptafter"/>
              <w:jc w:val="right"/>
              <w:rPr>
                <w:sz w:val="14"/>
                <w:lang w:val="en-AU"/>
              </w:rPr>
            </w:pPr>
            <w:r w:rsidRPr="002C0527">
              <w:rPr>
                <w:sz w:val="14"/>
                <w:lang w:val="en-AU"/>
              </w:rPr>
              <w:t>1,498,</w:t>
            </w:r>
            <w:r>
              <w:rPr>
                <w:sz w:val="14"/>
                <w:lang w:val="en-AU"/>
              </w:rPr>
              <w:t>615</w:t>
            </w:r>
          </w:p>
          <w:p w14:paraId="2656F4D2" w14:textId="77777777" w:rsidR="00A61FF5" w:rsidRPr="00932A90" w:rsidRDefault="00A61FF5" w:rsidP="00D07480">
            <w:pPr>
              <w:pStyle w:val="ESTablebody3ptafter"/>
              <w:jc w:val="right"/>
              <w:rPr>
                <w:sz w:val="14"/>
                <w:szCs w:val="13"/>
                <w:lang w:val="en-AU"/>
              </w:rPr>
            </w:pPr>
          </w:p>
        </w:tc>
        <w:tc>
          <w:tcPr>
            <w:tcW w:w="408" w:type="pct"/>
            <w:tcBorders>
              <w:top w:val="single" w:sz="6" w:space="0" w:color="777777"/>
              <w:bottom w:val="single" w:sz="4" w:space="0" w:color="auto"/>
            </w:tcBorders>
          </w:tcPr>
          <w:p w14:paraId="70FADA7A" w14:textId="41F6636F" w:rsidR="00A61FF5" w:rsidRPr="004E3D38" w:rsidRDefault="00A61FF5" w:rsidP="00EC4701">
            <w:pPr>
              <w:pStyle w:val="ESTablebody3ptafter"/>
              <w:jc w:val="right"/>
              <w:rPr>
                <w:sz w:val="14"/>
                <w:lang w:val="en-AU"/>
              </w:rPr>
            </w:pPr>
            <w:r w:rsidRPr="004E3D38">
              <w:rPr>
                <w:sz w:val="14"/>
                <w:lang w:val="en-AU"/>
              </w:rPr>
              <w:t>695,518</w:t>
            </w:r>
          </w:p>
        </w:tc>
        <w:tc>
          <w:tcPr>
            <w:tcW w:w="357" w:type="pct"/>
            <w:tcBorders>
              <w:top w:val="single" w:sz="6" w:space="0" w:color="777777"/>
              <w:bottom w:val="single" w:sz="4" w:space="0" w:color="auto"/>
            </w:tcBorders>
          </w:tcPr>
          <w:p w14:paraId="629C7161" w14:textId="39735238" w:rsidR="00A61FF5" w:rsidRPr="002C0527" w:rsidRDefault="00A61FF5" w:rsidP="00EC4701">
            <w:pPr>
              <w:pStyle w:val="ESTablebody3ptafter"/>
              <w:jc w:val="right"/>
              <w:rPr>
                <w:sz w:val="14"/>
                <w:lang w:val="en-AU"/>
              </w:rPr>
            </w:pPr>
            <w:r w:rsidRPr="002C0527">
              <w:rPr>
                <w:sz w:val="14"/>
                <w:lang w:val="en-AU"/>
              </w:rPr>
              <w:t>104,400</w:t>
            </w:r>
          </w:p>
        </w:tc>
        <w:tc>
          <w:tcPr>
            <w:tcW w:w="358" w:type="pct"/>
            <w:tcBorders>
              <w:top w:val="single" w:sz="6" w:space="0" w:color="777777"/>
              <w:bottom w:val="single" w:sz="4" w:space="0" w:color="auto"/>
            </w:tcBorders>
            <w:shd w:val="clear" w:color="auto" w:fill="auto"/>
          </w:tcPr>
          <w:p w14:paraId="26B68835" w14:textId="6ECC0C15" w:rsidR="00A61FF5" w:rsidRPr="002C0527" w:rsidRDefault="00A61FF5" w:rsidP="00EC4701">
            <w:pPr>
              <w:pStyle w:val="ESTablebody3ptafter"/>
              <w:jc w:val="right"/>
              <w:rPr>
                <w:sz w:val="14"/>
                <w:lang w:val="en-AU"/>
              </w:rPr>
            </w:pPr>
            <w:r w:rsidRPr="002C0527">
              <w:rPr>
                <w:sz w:val="14"/>
                <w:lang w:val="en-AU"/>
              </w:rPr>
              <w:t>15,120</w:t>
            </w:r>
          </w:p>
        </w:tc>
        <w:tc>
          <w:tcPr>
            <w:tcW w:w="357" w:type="pct"/>
            <w:tcBorders>
              <w:top w:val="single" w:sz="6" w:space="0" w:color="777777"/>
              <w:bottom w:val="single" w:sz="4" w:space="0" w:color="auto"/>
            </w:tcBorders>
          </w:tcPr>
          <w:p w14:paraId="4394174B" w14:textId="4A29148E" w:rsidR="00A61FF5" w:rsidRPr="002C0527" w:rsidRDefault="00A61FF5" w:rsidP="00EC4701">
            <w:pPr>
              <w:pStyle w:val="ESTablebody3ptafter"/>
              <w:jc w:val="right"/>
              <w:rPr>
                <w:sz w:val="14"/>
                <w:lang w:val="en-AU"/>
              </w:rPr>
            </w:pPr>
            <w:r w:rsidRPr="002C0527">
              <w:rPr>
                <w:sz w:val="14"/>
                <w:lang w:val="en-AU"/>
              </w:rPr>
              <w:t>25,560</w:t>
            </w:r>
          </w:p>
        </w:tc>
        <w:tc>
          <w:tcPr>
            <w:tcW w:w="408" w:type="pct"/>
            <w:tcBorders>
              <w:top w:val="single" w:sz="6" w:space="0" w:color="777777"/>
              <w:bottom w:val="single" w:sz="4" w:space="0" w:color="auto"/>
            </w:tcBorders>
            <w:shd w:val="clear" w:color="auto" w:fill="F8F8F8"/>
          </w:tcPr>
          <w:p w14:paraId="234E815F" w14:textId="13B081FA" w:rsidR="00A61FF5" w:rsidRPr="002C0527" w:rsidRDefault="00A61FF5" w:rsidP="00EC4701">
            <w:pPr>
              <w:pStyle w:val="ESTablebody3ptafter"/>
              <w:jc w:val="right"/>
              <w:rPr>
                <w:sz w:val="14"/>
                <w:lang w:val="en-AU"/>
              </w:rPr>
            </w:pPr>
            <w:r w:rsidRPr="002C0527">
              <w:rPr>
                <w:sz w:val="14"/>
                <w:lang w:val="en-AU"/>
              </w:rPr>
              <w:t>2,339,213</w:t>
            </w:r>
          </w:p>
        </w:tc>
      </w:tr>
    </w:tbl>
    <w:p w14:paraId="0BB9876A" w14:textId="77777777" w:rsidR="00442414" w:rsidRPr="006E49EE" w:rsidRDefault="00442414" w:rsidP="00D2232D">
      <w:pPr>
        <w:pStyle w:val="ESHeading2"/>
        <w:sectPr w:rsidR="00442414" w:rsidRPr="006E49EE" w:rsidSect="007B4838">
          <w:pgSz w:w="16840" w:h="11900" w:orient="landscape"/>
          <w:pgMar w:top="2835" w:right="1440" w:bottom="1701" w:left="1440" w:header="708" w:footer="708" w:gutter="0"/>
          <w:cols w:space="708"/>
          <w:docGrid w:linePitch="360"/>
        </w:sectPr>
      </w:pPr>
      <w:bookmarkStart w:id="233" w:name="_Toc488410124"/>
      <w:bookmarkStart w:id="234" w:name="_Toc488767596"/>
      <w:bookmarkStart w:id="235" w:name="_Toc488769008"/>
      <w:bookmarkStart w:id="236" w:name="_Toc489526723"/>
      <w:bookmarkStart w:id="237" w:name="_Toc491070322"/>
    </w:p>
    <w:p w14:paraId="652CBFD7" w14:textId="352C9E16" w:rsidR="00A61FF5" w:rsidRPr="006E49EE" w:rsidRDefault="00A61FF5" w:rsidP="00D2232D">
      <w:pPr>
        <w:pStyle w:val="ESHeading2"/>
      </w:pPr>
      <w:bookmarkStart w:id="238" w:name="_Toc491409548"/>
      <w:bookmarkStart w:id="239" w:name="_Toc491414677"/>
      <w:r w:rsidRPr="006E49EE">
        <w:t>Consultancy expenditure</w:t>
      </w:r>
      <w:bookmarkEnd w:id="233"/>
      <w:bookmarkEnd w:id="234"/>
      <w:bookmarkEnd w:id="235"/>
      <w:bookmarkEnd w:id="236"/>
      <w:bookmarkEnd w:id="237"/>
      <w:bookmarkEnd w:id="238"/>
      <w:bookmarkEnd w:id="239"/>
    </w:p>
    <w:p w14:paraId="00C88F66" w14:textId="77777777" w:rsidR="00A61FF5" w:rsidRPr="006E49EE" w:rsidRDefault="00A61FF5" w:rsidP="00A61FF5">
      <w:pPr>
        <w:pStyle w:val="ESHeading3"/>
        <w:rPr>
          <w:lang w:val="en-AU"/>
        </w:rPr>
      </w:pPr>
      <w:r w:rsidRPr="006E49EE">
        <w:rPr>
          <w:lang w:val="en-AU"/>
        </w:rPr>
        <w:t>Details of consultancies valued at $10,000 or greater</w:t>
      </w:r>
    </w:p>
    <w:p w14:paraId="2931EBF0" w14:textId="77777777" w:rsidR="00A61FF5" w:rsidRPr="006E49EE" w:rsidRDefault="00A61FF5" w:rsidP="00A61FF5">
      <w:pPr>
        <w:pStyle w:val="ESBodyText"/>
        <w:rPr>
          <w:lang w:val="en-AU"/>
        </w:rPr>
      </w:pPr>
      <w:r w:rsidRPr="006E49EE">
        <w:rPr>
          <w:lang w:val="en-AU"/>
        </w:rPr>
        <w:t>In 2016–17, there were 105 consultancies where the total fees payable to the consultants were $10,000 or greater. The total expenditure incurred during 2016–17 in relation to these consultancies was $11.4 million (excluding GST).</w:t>
      </w:r>
    </w:p>
    <w:p w14:paraId="7B350C49" w14:textId="77777777" w:rsidR="00A61FF5" w:rsidRPr="006E49EE" w:rsidRDefault="00A61FF5" w:rsidP="00A61FF5">
      <w:pPr>
        <w:pStyle w:val="ESBodyText"/>
        <w:rPr>
          <w:lang w:val="en-AU"/>
        </w:rPr>
      </w:pPr>
      <w:r w:rsidRPr="006E49EE">
        <w:rPr>
          <w:lang w:val="en-AU"/>
        </w:rPr>
        <w:t xml:space="preserve">A list of consultancies $10,000 or greater is published in the </w:t>
      </w:r>
      <w:r w:rsidRPr="006E49EE">
        <w:rPr>
          <w:i/>
          <w:lang w:val="en-AU"/>
        </w:rPr>
        <w:t xml:space="preserve">Department of Education and Training Annual Report 2016–17 Additional Information </w:t>
      </w:r>
      <w:r w:rsidRPr="006E49EE">
        <w:rPr>
          <w:lang w:val="en-AU"/>
        </w:rPr>
        <w:t xml:space="preserve">available at </w:t>
      </w:r>
      <w:hyperlink r:id="rId29" w:history="1">
        <w:r w:rsidRPr="00932A90">
          <w:rPr>
            <w:rStyle w:val="Hyperlink"/>
            <w:lang w:val="en-AU"/>
          </w:rPr>
          <w:t>www.education.vic.gov.au</w:t>
        </w:r>
      </w:hyperlink>
      <w:r w:rsidRPr="006E49EE">
        <w:rPr>
          <w:lang w:val="en-AU"/>
        </w:rPr>
        <w:t>.</w:t>
      </w:r>
    </w:p>
    <w:p w14:paraId="3D253768" w14:textId="77777777" w:rsidR="00A61FF5" w:rsidRPr="006E49EE" w:rsidRDefault="00A61FF5" w:rsidP="00A61FF5">
      <w:pPr>
        <w:pStyle w:val="ESHeading3"/>
        <w:rPr>
          <w:lang w:val="en-AU"/>
        </w:rPr>
      </w:pPr>
      <w:r w:rsidRPr="006E49EE">
        <w:rPr>
          <w:lang w:val="en-AU"/>
        </w:rPr>
        <w:t>Details of consultancies valued at less than $10,000</w:t>
      </w:r>
    </w:p>
    <w:p w14:paraId="57CB5BC9" w14:textId="58751E69" w:rsidR="00A61FF5" w:rsidRPr="006E49EE" w:rsidRDefault="00A61FF5" w:rsidP="00A61FF5">
      <w:pPr>
        <w:pStyle w:val="ESBodyText"/>
        <w:rPr>
          <w:lang w:val="en-AU"/>
        </w:rPr>
      </w:pPr>
      <w:r w:rsidRPr="006E49EE">
        <w:rPr>
          <w:lang w:val="en-AU"/>
        </w:rPr>
        <w:t>In 2016–17, there was one consultancy where the consultant’s total fees were less than $10,000. This consultancy’s total 2016–17 cost was $7</w:t>
      </w:r>
      <w:r w:rsidR="009452EC" w:rsidRPr="006E49EE">
        <w:rPr>
          <w:lang w:val="en-AU"/>
        </w:rPr>
        <w:t>,</w:t>
      </w:r>
      <w:r w:rsidRPr="006E49EE">
        <w:rPr>
          <w:lang w:val="en-AU"/>
        </w:rPr>
        <w:t>500 (excluding GST).</w:t>
      </w:r>
    </w:p>
    <w:p w14:paraId="2F8D010B" w14:textId="77777777" w:rsidR="00A61FF5" w:rsidRPr="006E49EE" w:rsidRDefault="00A61FF5" w:rsidP="00A61FF5">
      <w:pPr>
        <w:pStyle w:val="ESBodyText"/>
        <w:rPr>
          <w:highlight w:val="yellow"/>
          <w:lang w:val="en-AU"/>
        </w:rPr>
      </w:pPr>
    </w:p>
    <w:p w14:paraId="4F6DC05D" w14:textId="5650AEC2" w:rsidR="00A61FF5" w:rsidRPr="006E49EE" w:rsidRDefault="00A61FF5" w:rsidP="00D2232D">
      <w:pPr>
        <w:pStyle w:val="ESHeading2"/>
      </w:pPr>
      <w:bookmarkStart w:id="240" w:name="_Toc488410125"/>
      <w:bookmarkStart w:id="241" w:name="_Toc488767597"/>
      <w:bookmarkStart w:id="242" w:name="_Toc488769009"/>
      <w:bookmarkStart w:id="243" w:name="_Toc489526724"/>
      <w:bookmarkStart w:id="244" w:name="_Toc491070323"/>
      <w:bookmarkStart w:id="245" w:name="_Toc491409549"/>
      <w:bookmarkStart w:id="246" w:name="_Toc491414678"/>
      <w:r w:rsidRPr="006E49EE">
        <w:t>Information and Communication Technology (ICT) expenditure</w:t>
      </w:r>
      <w:bookmarkEnd w:id="240"/>
      <w:bookmarkEnd w:id="241"/>
      <w:bookmarkEnd w:id="242"/>
      <w:bookmarkEnd w:id="243"/>
      <w:bookmarkEnd w:id="244"/>
      <w:bookmarkEnd w:id="245"/>
      <w:bookmarkEnd w:id="246"/>
    </w:p>
    <w:p w14:paraId="4079808F" w14:textId="77777777" w:rsidR="00A61FF5" w:rsidRPr="006E49EE" w:rsidRDefault="00A61FF5" w:rsidP="00A61FF5">
      <w:pPr>
        <w:pStyle w:val="ESBodyText"/>
        <w:rPr>
          <w:lang w:val="en-AU"/>
        </w:rPr>
      </w:pPr>
      <w:r w:rsidRPr="006E49EE">
        <w:rPr>
          <w:lang w:val="en-AU"/>
        </w:rPr>
        <w:t>In accordance with the Victorian Public Service ICT Reporting Standard, the Department’s ICT expenditure is reported in the table below.</w:t>
      </w:r>
    </w:p>
    <w:p w14:paraId="1045C073" w14:textId="21F639B7"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2C0527">
        <w:rPr>
          <w:lang w:val="en-AU"/>
        </w:rPr>
        <w:instrText xml:space="preserve"> SEQ Table \* MERGEFORMAT </w:instrText>
      </w:r>
      <w:r w:rsidR="00D93BA2" w:rsidRPr="006E49EE">
        <w:rPr>
          <w:lang w:val="en-AU"/>
        </w:rPr>
        <w:fldChar w:fldCharType="separate"/>
      </w:r>
      <w:r w:rsidR="00F36F52">
        <w:rPr>
          <w:noProof/>
          <w:lang w:val="en-AU"/>
        </w:rPr>
        <w:t>23</w:t>
      </w:r>
      <w:r w:rsidR="00D93BA2" w:rsidRPr="006E49EE">
        <w:rPr>
          <w:lang w:val="en-AU"/>
        </w:rPr>
        <w:fldChar w:fldCharType="end"/>
      </w:r>
      <w:r w:rsidRPr="006E49EE">
        <w:rPr>
          <w:lang w:val="en-AU"/>
        </w:rPr>
        <w:t xml:space="preserve"> – ICT expenditure</w:t>
      </w:r>
    </w:p>
    <w:tbl>
      <w:tblPr>
        <w:tblW w:w="6946" w:type="dxa"/>
        <w:tblLayout w:type="fixed"/>
        <w:tblLook w:val="04A0" w:firstRow="1" w:lastRow="0" w:firstColumn="1" w:lastColumn="0" w:noHBand="0" w:noVBand="1"/>
      </w:tblPr>
      <w:tblGrid>
        <w:gridCol w:w="5954"/>
        <w:gridCol w:w="992"/>
      </w:tblGrid>
      <w:tr w:rsidR="00A61FF5" w:rsidRPr="00932A90" w14:paraId="0BE73EAE" w14:textId="77777777" w:rsidTr="00D07480">
        <w:tc>
          <w:tcPr>
            <w:tcW w:w="5954" w:type="dxa"/>
            <w:tcBorders>
              <w:top w:val="nil"/>
              <w:left w:val="nil"/>
              <w:bottom w:val="nil"/>
              <w:right w:val="nil"/>
            </w:tcBorders>
            <w:shd w:val="clear" w:color="auto" w:fill="7F7F7F"/>
          </w:tcPr>
          <w:p w14:paraId="5EF4AEBA" w14:textId="77777777" w:rsidR="00A61FF5" w:rsidRPr="00932A90" w:rsidRDefault="00A61FF5" w:rsidP="00D07480">
            <w:pPr>
              <w:pStyle w:val="ESTableheadingwhite"/>
              <w:rPr>
                <w:b w:val="0"/>
                <w:sz w:val="16"/>
                <w:szCs w:val="16"/>
                <w:lang w:val="en-AU"/>
              </w:rPr>
            </w:pPr>
          </w:p>
        </w:tc>
        <w:tc>
          <w:tcPr>
            <w:tcW w:w="992" w:type="dxa"/>
            <w:tcBorders>
              <w:top w:val="nil"/>
              <w:left w:val="nil"/>
              <w:bottom w:val="nil"/>
              <w:right w:val="nil"/>
            </w:tcBorders>
            <w:shd w:val="clear" w:color="auto" w:fill="7F7F7F"/>
          </w:tcPr>
          <w:p w14:paraId="6BE00330" w14:textId="77777777" w:rsidR="00A61FF5" w:rsidRPr="00932A90" w:rsidRDefault="00A61FF5" w:rsidP="003E422F">
            <w:pPr>
              <w:pStyle w:val="ESTableheadingwhite"/>
              <w:jc w:val="center"/>
              <w:rPr>
                <w:b w:val="0"/>
                <w:sz w:val="16"/>
                <w:szCs w:val="16"/>
                <w:lang w:val="en-AU"/>
              </w:rPr>
            </w:pPr>
            <w:r w:rsidRPr="00932A90">
              <w:rPr>
                <w:b w:val="0"/>
                <w:sz w:val="16"/>
                <w:szCs w:val="16"/>
                <w:lang w:val="en-AU"/>
              </w:rPr>
              <w:t>$m</w:t>
            </w:r>
          </w:p>
        </w:tc>
      </w:tr>
      <w:tr w:rsidR="00A61FF5" w:rsidRPr="00932A90" w14:paraId="7784EF9D" w14:textId="77777777" w:rsidTr="00D07480">
        <w:tc>
          <w:tcPr>
            <w:tcW w:w="5954" w:type="dxa"/>
            <w:tcBorders>
              <w:top w:val="nil"/>
              <w:left w:val="nil"/>
              <w:bottom w:val="nil"/>
              <w:right w:val="nil"/>
            </w:tcBorders>
            <w:shd w:val="clear" w:color="auto" w:fill="F8F8F8" w:themeFill="background2"/>
          </w:tcPr>
          <w:p w14:paraId="415C3E9A" w14:textId="77777777" w:rsidR="00A61FF5" w:rsidRPr="006E49EE" w:rsidRDefault="00A61FF5" w:rsidP="00D07480">
            <w:pPr>
              <w:pStyle w:val="ESTableBody"/>
              <w:rPr>
                <w:lang w:val="en-AU"/>
              </w:rPr>
            </w:pPr>
            <w:r w:rsidRPr="006E49EE">
              <w:rPr>
                <w:lang w:val="en-AU"/>
              </w:rPr>
              <w:t>Business As Usual (BAU) ICT expenditure</w:t>
            </w:r>
          </w:p>
        </w:tc>
        <w:tc>
          <w:tcPr>
            <w:tcW w:w="992" w:type="dxa"/>
            <w:tcBorders>
              <w:top w:val="nil"/>
              <w:left w:val="nil"/>
              <w:bottom w:val="nil"/>
              <w:right w:val="nil"/>
            </w:tcBorders>
            <w:shd w:val="clear" w:color="auto" w:fill="F8F8F8" w:themeFill="background2"/>
          </w:tcPr>
          <w:p w14:paraId="0ADA65ED" w14:textId="77777777" w:rsidR="00A61FF5" w:rsidRPr="006E49EE" w:rsidRDefault="00A61FF5" w:rsidP="00D07480">
            <w:pPr>
              <w:pStyle w:val="ESTableBody"/>
              <w:jc w:val="right"/>
              <w:rPr>
                <w:lang w:val="en-AU"/>
              </w:rPr>
            </w:pPr>
            <w:r w:rsidRPr="006E49EE">
              <w:rPr>
                <w:lang w:val="en-AU"/>
              </w:rPr>
              <w:t>295.490</w:t>
            </w:r>
          </w:p>
        </w:tc>
      </w:tr>
      <w:tr w:rsidR="00A61FF5" w:rsidRPr="00932A90" w14:paraId="4CA71188" w14:textId="77777777" w:rsidTr="00D07480">
        <w:tc>
          <w:tcPr>
            <w:tcW w:w="5954" w:type="dxa"/>
            <w:tcBorders>
              <w:top w:val="nil"/>
              <w:left w:val="nil"/>
              <w:bottom w:val="nil"/>
              <w:right w:val="nil"/>
            </w:tcBorders>
            <w:shd w:val="clear" w:color="auto" w:fill="F8F8F8" w:themeFill="background2"/>
          </w:tcPr>
          <w:p w14:paraId="41E954EB" w14:textId="77777777" w:rsidR="00A61FF5" w:rsidRPr="006E49EE" w:rsidRDefault="00A61FF5" w:rsidP="00D07480">
            <w:pPr>
              <w:pStyle w:val="ESTableBody"/>
              <w:rPr>
                <w:lang w:val="en-AU"/>
              </w:rPr>
            </w:pPr>
            <w:r w:rsidRPr="006E49EE">
              <w:rPr>
                <w:lang w:val="en-AU"/>
              </w:rPr>
              <w:t>Non-Business as Usual (non-BAU) ICT expenditure</w:t>
            </w:r>
          </w:p>
        </w:tc>
        <w:tc>
          <w:tcPr>
            <w:tcW w:w="992" w:type="dxa"/>
            <w:tcBorders>
              <w:top w:val="nil"/>
              <w:left w:val="nil"/>
              <w:bottom w:val="nil"/>
              <w:right w:val="nil"/>
            </w:tcBorders>
            <w:shd w:val="clear" w:color="auto" w:fill="F8F8F8" w:themeFill="background2"/>
          </w:tcPr>
          <w:p w14:paraId="2F6B9104" w14:textId="77777777" w:rsidR="00A61FF5" w:rsidRPr="006E49EE" w:rsidRDefault="00A61FF5" w:rsidP="00D07480">
            <w:pPr>
              <w:pStyle w:val="ESTableBody"/>
              <w:jc w:val="right"/>
              <w:rPr>
                <w:lang w:val="en-AU"/>
              </w:rPr>
            </w:pPr>
          </w:p>
        </w:tc>
      </w:tr>
      <w:tr w:rsidR="00A61FF5" w:rsidRPr="00932A90" w14:paraId="7EC2BD1E" w14:textId="77777777" w:rsidTr="00D07480">
        <w:tc>
          <w:tcPr>
            <w:tcW w:w="5954" w:type="dxa"/>
            <w:tcBorders>
              <w:top w:val="nil"/>
              <w:left w:val="nil"/>
              <w:bottom w:val="nil"/>
              <w:right w:val="nil"/>
            </w:tcBorders>
            <w:shd w:val="clear" w:color="auto" w:fill="F8F8F8" w:themeFill="background2"/>
          </w:tcPr>
          <w:p w14:paraId="40586865" w14:textId="77777777" w:rsidR="00A61FF5" w:rsidRPr="006E49EE" w:rsidRDefault="00A61FF5" w:rsidP="00D07480">
            <w:pPr>
              <w:pStyle w:val="ESTableBody"/>
              <w:rPr>
                <w:lang w:val="en-AU"/>
              </w:rPr>
            </w:pPr>
            <w:r w:rsidRPr="006E49EE">
              <w:rPr>
                <w:lang w:val="en-AU"/>
              </w:rPr>
              <w:tab/>
              <w:t>Operating expenditure</w:t>
            </w:r>
          </w:p>
        </w:tc>
        <w:tc>
          <w:tcPr>
            <w:tcW w:w="992" w:type="dxa"/>
            <w:tcBorders>
              <w:top w:val="nil"/>
              <w:left w:val="nil"/>
              <w:bottom w:val="nil"/>
              <w:right w:val="nil"/>
            </w:tcBorders>
            <w:shd w:val="clear" w:color="auto" w:fill="F8F8F8" w:themeFill="background2"/>
          </w:tcPr>
          <w:p w14:paraId="1AA9CA4D" w14:textId="77777777" w:rsidR="00A61FF5" w:rsidRPr="006E49EE" w:rsidRDefault="00A61FF5" w:rsidP="00D07480">
            <w:pPr>
              <w:pStyle w:val="ESTableBody"/>
              <w:jc w:val="right"/>
              <w:rPr>
                <w:lang w:val="en-AU"/>
              </w:rPr>
            </w:pPr>
            <w:r w:rsidRPr="006E49EE">
              <w:rPr>
                <w:lang w:val="en-AU"/>
              </w:rPr>
              <w:t>11.816</w:t>
            </w:r>
          </w:p>
        </w:tc>
      </w:tr>
      <w:tr w:rsidR="00A61FF5" w:rsidRPr="00932A90" w14:paraId="466700E2" w14:textId="77777777" w:rsidTr="00D07480">
        <w:tc>
          <w:tcPr>
            <w:tcW w:w="5954" w:type="dxa"/>
            <w:tcBorders>
              <w:top w:val="nil"/>
              <w:left w:val="nil"/>
              <w:bottom w:val="single" w:sz="4" w:space="0" w:color="auto"/>
              <w:right w:val="nil"/>
            </w:tcBorders>
            <w:shd w:val="clear" w:color="auto" w:fill="F8F8F8" w:themeFill="background2"/>
          </w:tcPr>
          <w:p w14:paraId="0FDE1D3D" w14:textId="77777777" w:rsidR="00A61FF5" w:rsidRPr="006E49EE" w:rsidRDefault="00A61FF5" w:rsidP="00D07480">
            <w:pPr>
              <w:pStyle w:val="ESTableBody"/>
              <w:rPr>
                <w:lang w:val="en-AU"/>
              </w:rPr>
            </w:pPr>
            <w:r w:rsidRPr="006E49EE">
              <w:rPr>
                <w:lang w:val="en-AU"/>
              </w:rPr>
              <w:tab/>
              <w:t>Capital expenditure</w:t>
            </w:r>
          </w:p>
        </w:tc>
        <w:tc>
          <w:tcPr>
            <w:tcW w:w="992" w:type="dxa"/>
            <w:tcBorders>
              <w:top w:val="nil"/>
              <w:left w:val="nil"/>
              <w:bottom w:val="single" w:sz="4" w:space="0" w:color="auto"/>
              <w:right w:val="nil"/>
            </w:tcBorders>
            <w:shd w:val="clear" w:color="auto" w:fill="F8F8F8" w:themeFill="background2"/>
          </w:tcPr>
          <w:p w14:paraId="57147205" w14:textId="77777777" w:rsidR="00A61FF5" w:rsidRPr="006E49EE" w:rsidRDefault="00A61FF5" w:rsidP="00D07480">
            <w:pPr>
              <w:pStyle w:val="ESTableBody"/>
              <w:jc w:val="right"/>
              <w:rPr>
                <w:lang w:val="en-AU"/>
              </w:rPr>
            </w:pPr>
            <w:r w:rsidRPr="006E49EE">
              <w:rPr>
                <w:lang w:val="en-AU"/>
              </w:rPr>
              <w:t>27.727</w:t>
            </w:r>
          </w:p>
        </w:tc>
      </w:tr>
      <w:tr w:rsidR="00A61FF5" w:rsidRPr="00932A90" w14:paraId="1A7BF662" w14:textId="77777777" w:rsidTr="00D07480">
        <w:tc>
          <w:tcPr>
            <w:tcW w:w="5954" w:type="dxa"/>
            <w:tcBorders>
              <w:top w:val="single" w:sz="4" w:space="0" w:color="auto"/>
              <w:left w:val="nil"/>
              <w:bottom w:val="single" w:sz="4" w:space="0" w:color="auto"/>
              <w:right w:val="nil"/>
            </w:tcBorders>
          </w:tcPr>
          <w:p w14:paraId="7899BA7C" w14:textId="77777777" w:rsidR="00A61FF5" w:rsidRPr="006E49EE" w:rsidRDefault="00A61FF5" w:rsidP="00D07480">
            <w:pPr>
              <w:pStyle w:val="ESTableBody"/>
              <w:rPr>
                <w:lang w:val="en-AU"/>
              </w:rPr>
            </w:pPr>
            <w:r w:rsidRPr="006E49EE">
              <w:rPr>
                <w:lang w:val="en-AU"/>
              </w:rPr>
              <w:t>Total ICT non-BAU expenditure</w:t>
            </w:r>
          </w:p>
        </w:tc>
        <w:tc>
          <w:tcPr>
            <w:tcW w:w="992" w:type="dxa"/>
            <w:tcBorders>
              <w:top w:val="single" w:sz="4" w:space="0" w:color="auto"/>
              <w:left w:val="nil"/>
              <w:bottom w:val="single" w:sz="4" w:space="0" w:color="auto"/>
              <w:right w:val="nil"/>
            </w:tcBorders>
            <w:shd w:val="clear" w:color="auto" w:fill="auto"/>
          </w:tcPr>
          <w:p w14:paraId="3C9425D3" w14:textId="77777777" w:rsidR="00A61FF5" w:rsidRPr="006E49EE" w:rsidRDefault="00A61FF5" w:rsidP="00D07480">
            <w:pPr>
              <w:pStyle w:val="ESTableBody"/>
              <w:jc w:val="right"/>
              <w:rPr>
                <w:lang w:val="en-AU"/>
              </w:rPr>
            </w:pPr>
            <w:r w:rsidRPr="006E49EE">
              <w:rPr>
                <w:lang w:val="en-AU"/>
              </w:rPr>
              <w:t>39.543</w:t>
            </w:r>
          </w:p>
        </w:tc>
      </w:tr>
      <w:tr w:rsidR="00A61FF5" w:rsidRPr="00932A90" w14:paraId="3B231DF0" w14:textId="77777777" w:rsidTr="00D07480">
        <w:tc>
          <w:tcPr>
            <w:tcW w:w="5954" w:type="dxa"/>
            <w:tcBorders>
              <w:top w:val="nil"/>
              <w:left w:val="nil"/>
              <w:bottom w:val="single" w:sz="4" w:space="0" w:color="auto"/>
              <w:right w:val="nil"/>
            </w:tcBorders>
          </w:tcPr>
          <w:p w14:paraId="20A7C234" w14:textId="77777777" w:rsidR="00A61FF5" w:rsidRPr="006E49EE" w:rsidRDefault="00A61FF5" w:rsidP="00D07480">
            <w:pPr>
              <w:pStyle w:val="ESTableBody"/>
              <w:rPr>
                <w:b/>
                <w:lang w:val="en-AU"/>
              </w:rPr>
            </w:pPr>
            <w:r w:rsidRPr="006E49EE">
              <w:rPr>
                <w:b/>
                <w:lang w:val="en-AU"/>
              </w:rPr>
              <w:t>Total ICT expenditure</w:t>
            </w:r>
          </w:p>
        </w:tc>
        <w:tc>
          <w:tcPr>
            <w:tcW w:w="992" w:type="dxa"/>
            <w:tcBorders>
              <w:top w:val="nil"/>
              <w:left w:val="nil"/>
              <w:bottom w:val="single" w:sz="4" w:space="0" w:color="auto"/>
              <w:right w:val="nil"/>
            </w:tcBorders>
            <w:shd w:val="clear" w:color="auto" w:fill="auto"/>
          </w:tcPr>
          <w:p w14:paraId="5ED20BFF" w14:textId="77777777" w:rsidR="00A61FF5" w:rsidRPr="00932A90" w:rsidRDefault="00A61FF5" w:rsidP="00D07480">
            <w:pPr>
              <w:pStyle w:val="ESTableBody"/>
              <w:jc w:val="right"/>
              <w:rPr>
                <w:b/>
                <w:lang w:val="en-AU"/>
              </w:rPr>
            </w:pPr>
            <w:r w:rsidRPr="00932A90">
              <w:rPr>
                <w:b/>
                <w:lang w:val="en-AU"/>
              </w:rPr>
              <w:t>335.033</w:t>
            </w:r>
          </w:p>
        </w:tc>
      </w:tr>
    </w:tbl>
    <w:p w14:paraId="4D405408" w14:textId="19C62383" w:rsidR="00A61FF5" w:rsidRPr="006E49EE" w:rsidRDefault="00A61FF5" w:rsidP="00D2232D">
      <w:pPr>
        <w:pStyle w:val="ESHeading2"/>
      </w:pPr>
      <w:bookmarkStart w:id="247" w:name="_Toc488410126"/>
      <w:bookmarkStart w:id="248" w:name="_Toc488767598"/>
      <w:bookmarkStart w:id="249" w:name="_Toc488769010"/>
      <w:bookmarkStart w:id="250" w:name="_Toc489526725"/>
      <w:bookmarkStart w:id="251" w:name="_Toc491070324"/>
      <w:bookmarkStart w:id="252" w:name="_Toc491409550"/>
      <w:bookmarkStart w:id="253" w:name="_Toc491414679"/>
      <w:r w:rsidRPr="006E49EE">
        <w:t>Disclosure of major contracts</w:t>
      </w:r>
      <w:bookmarkEnd w:id="247"/>
      <w:bookmarkEnd w:id="248"/>
      <w:bookmarkEnd w:id="249"/>
      <w:bookmarkEnd w:id="250"/>
      <w:bookmarkEnd w:id="251"/>
      <w:bookmarkEnd w:id="252"/>
      <w:bookmarkEnd w:id="253"/>
    </w:p>
    <w:p w14:paraId="37E49A90" w14:textId="77777777" w:rsidR="00A61FF5" w:rsidRPr="006E49EE" w:rsidRDefault="00A61FF5" w:rsidP="00A61FF5">
      <w:pPr>
        <w:pStyle w:val="ESBodyText"/>
        <w:rPr>
          <w:lang w:val="en-AU"/>
        </w:rPr>
      </w:pPr>
      <w:r w:rsidRPr="006E49EE">
        <w:rPr>
          <w:lang w:val="en-AU"/>
        </w:rPr>
        <w:t xml:space="preserve">The Department has disclosed, in accordance with the requirements of government policy and accompanying guidelines, all contracts greater than $10 million in value it entered into during the year ended 30 June 2017. Details of contracts disclosed in the Victorian Government contracts’ publishing system can be viewed on the internet at </w:t>
      </w:r>
      <w:hyperlink r:id="rId30" w:history="1">
        <w:r w:rsidRPr="006E49EE">
          <w:rPr>
            <w:rStyle w:val="Hyperlink"/>
          </w:rPr>
          <w:t>www.procurement.vic.gov.au</w:t>
        </w:r>
      </w:hyperlink>
      <w:r w:rsidRPr="006E49EE">
        <w:rPr>
          <w:lang w:val="en-AU"/>
        </w:rPr>
        <w:t>.</w:t>
      </w:r>
    </w:p>
    <w:p w14:paraId="580A501E" w14:textId="77777777" w:rsidR="00A61FF5" w:rsidRPr="006E49EE" w:rsidRDefault="00A61FF5" w:rsidP="00A61FF5">
      <w:pPr>
        <w:pStyle w:val="ESBodyText"/>
        <w:rPr>
          <w:lang w:val="en-AU"/>
        </w:rPr>
      </w:pPr>
      <w:r w:rsidRPr="006E49EE">
        <w:rPr>
          <w:lang w:val="en-AU"/>
        </w:rPr>
        <w:t xml:space="preserve">Contractual details have not been disclosed for those contracts for which disclosure is exempted under the </w:t>
      </w:r>
      <w:r w:rsidRPr="006E49EE">
        <w:rPr>
          <w:i/>
          <w:lang w:val="en-AU"/>
        </w:rPr>
        <w:t>Freedom of Information Act 1982</w:t>
      </w:r>
      <w:r w:rsidRPr="006E49EE">
        <w:rPr>
          <w:lang w:val="en-AU"/>
        </w:rPr>
        <w:t xml:space="preserve"> and/or government guidelines.</w:t>
      </w:r>
    </w:p>
    <w:p w14:paraId="1EB06585" w14:textId="3B1BA3C1" w:rsidR="00A61FF5" w:rsidRPr="006E49EE" w:rsidRDefault="00A61FF5" w:rsidP="00D2232D">
      <w:pPr>
        <w:pStyle w:val="ESHeading2"/>
      </w:pPr>
      <w:bookmarkStart w:id="254" w:name="_Toc488410127"/>
      <w:bookmarkStart w:id="255" w:name="_Toc488767599"/>
      <w:bookmarkStart w:id="256" w:name="_Toc488769011"/>
      <w:bookmarkStart w:id="257" w:name="_Toc489526726"/>
      <w:bookmarkStart w:id="258" w:name="_Toc491070325"/>
      <w:bookmarkStart w:id="259" w:name="_Toc491409551"/>
      <w:bookmarkStart w:id="260" w:name="_Toc491414680"/>
      <w:r w:rsidRPr="006E49EE">
        <w:t>Freedom of information</w:t>
      </w:r>
      <w:bookmarkEnd w:id="254"/>
      <w:bookmarkEnd w:id="255"/>
      <w:bookmarkEnd w:id="256"/>
      <w:bookmarkEnd w:id="257"/>
      <w:bookmarkEnd w:id="258"/>
      <w:bookmarkEnd w:id="259"/>
      <w:bookmarkEnd w:id="260"/>
    </w:p>
    <w:p w14:paraId="703351E4" w14:textId="77777777" w:rsidR="00A61FF5" w:rsidRPr="006E49EE" w:rsidRDefault="00A61FF5" w:rsidP="00A61FF5">
      <w:pPr>
        <w:pStyle w:val="ESBodyText"/>
        <w:rPr>
          <w:lang w:val="en-AU"/>
        </w:rPr>
      </w:pPr>
      <w:r w:rsidRPr="006E49EE">
        <w:rPr>
          <w:lang w:val="en-AU"/>
        </w:rPr>
        <w:t>The Freedom of Information Act</w:t>
      </w:r>
      <w:r w:rsidRPr="006E49EE">
        <w:rPr>
          <w:i/>
          <w:lang w:val="en-AU"/>
        </w:rPr>
        <w:t xml:space="preserve"> </w:t>
      </w:r>
      <w:r w:rsidRPr="006E49EE">
        <w:rPr>
          <w:lang w:val="en-AU"/>
        </w:rPr>
        <w:t>allows the public a right of access to documents held by the Department. During 2016–17, the Department received 398 applications. Of these, 211 were from individuals seeking access to their own records, 47 were requests from members of parliament, 44 from media organisations and 96 from members of the public seeking access to policy-related and other miscellaneous documents.</w:t>
      </w:r>
    </w:p>
    <w:p w14:paraId="7BD988F7" w14:textId="77777777" w:rsidR="00A61FF5" w:rsidRPr="006E49EE" w:rsidRDefault="00A61FF5" w:rsidP="00A61FF5">
      <w:pPr>
        <w:pStyle w:val="ESBodyText"/>
        <w:rPr>
          <w:lang w:val="en-AU"/>
        </w:rPr>
      </w:pPr>
      <w:r w:rsidRPr="006E49EE">
        <w:rPr>
          <w:lang w:val="en-AU"/>
        </w:rPr>
        <w:t>In most instances, the Department provided full or partial access to the requested documents, but 27 decisions went to the FOI Commissioner for review and five went on appeal to the Victorian Civil and Administrative Tribunal (VCAT).</w:t>
      </w:r>
    </w:p>
    <w:p w14:paraId="636876B8" w14:textId="45CD461E" w:rsidR="00A61FF5" w:rsidRPr="006E49EE" w:rsidRDefault="00A61FF5" w:rsidP="00A61FF5">
      <w:pPr>
        <w:pStyle w:val="ESBodyText"/>
        <w:rPr>
          <w:u w:val="single"/>
          <w:lang w:val="en-AU"/>
        </w:rPr>
      </w:pPr>
      <w:r w:rsidRPr="006E49EE">
        <w:rPr>
          <w:lang w:val="en-AU"/>
        </w:rPr>
        <w:t xml:space="preserve">The information required to be published pursuant to section 7 of the Freedom of Information Act is contained elsewhere in this report or at </w:t>
      </w:r>
      <w:hyperlink r:id="rId31" w:tgtFrame="_blank" w:history="1">
        <w:r w:rsidRPr="00932A90">
          <w:rPr>
            <w:rStyle w:val="Hyperlink"/>
            <w:lang w:val="en-AU"/>
          </w:rPr>
          <w:t>www.education.vic.gov.au/about/working/Pages/foi2.aspx</w:t>
        </w:r>
      </w:hyperlink>
      <w:r w:rsidRPr="006E49EE">
        <w:rPr>
          <w:lang w:val="en-AU"/>
        </w:rPr>
        <w:t>.</w:t>
      </w:r>
    </w:p>
    <w:p w14:paraId="399F6EF3" w14:textId="77777777" w:rsidR="00A61FF5" w:rsidRPr="006E49EE" w:rsidRDefault="00A61FF5" w:rsidP="00A61FF5">
      <w:pPr>
        <w:pStyle w:val="ESBodyText"/>
        <w:rPr>
          <w:b/>
          <w:lang w:val="en-AU"/>
        </w:rPr>
      </w:pPr>
      <w:r w:rsidRPr="006E49EE">
        <w:rPr>
          <w:b/>
          <w:lang w:val="en-AU"/>
        </w:rPr>
        <w:t>Making a request</w:t>
      </w:r>
    </w:p>
    <w:p w14:paraId="34702EA7" w14:textId="77777777" w:rsidR="00A61FF5" w:rsidRPr="006E49EE" w:rsidRDefault="00A61FF5" w:rsidP="00A61FF5">
      <w:pPr>
        <w:pStyle w:val="ESBodyText"/>
        <w:rPr>
          <w:lang w:val="en-AU"/>
        </w:rPr>
      </w:pPr>
      <w:r w:rsidRPr="006E49EE">
        <w:rPr>
          <w:lang w:val="en-AU"/>
        </w:rPr>
        <w:t>Access to documents is via written request to the Department’s Freedom of Information Unit as detailed in section 17 of the Freedom of Information Act. In summary, a request must:</w:t>
      </w:r>
    </w:p>
    <w:p w14:paraId="4EBA965B" w14:textId="77777777" w:rsidR="00A61FF5" w:rsidRPr="006E49EE" w:rsidRDefault="00A61FF5" w:rsidP="00A61FF5">
      <w:pPr>
        <w:pStyle w:val="ESBullet1indent"/>
        <w:rPr>
          <w:lang w:val="en-AU"/>
        </w:rPr>
      </w:pPr>
      <w:r w:rsidRPr="006E49EE">
        <w:rPr>
          <w:lang w:val="en-AU"/>
        </w:rPr>
        <w:t>be in writing</w:t>
      </w:r>
    </w:p>
    <w:p w14:paraId="67270B28" w14:textId="77777777" w:rsidR="00A61FF5" w:rsidRPr="006E49EE" w:rsidRDefault="00A61FF5" w:rsidP="00A61FF5">
      <w:pPr>
        <w:pStyle w:val="ESBullet1indent"/>
        <w:rPr>
          <w:lang w:val="en-AU"/>
        </w:rPr>
      </w:pPr>
      <w:r w:rsidRPr="006E49EE">
        <w:rPr>
          <w:lang w:val="en-AU"/>
        </w:rPr>
        <w:t>identify as clearly as possible the document(s) being requested</w:t>
      </w:r>
    </w:p>
    <w:p w14:paraId="5FE3DF29" w14:textId="77777777" w:rsidR="00A61FF5" w:rsidRPr="006E49EE" w:rsidRDefault="00A61FF5" w:rsidP="00A61FF5">
      <w:pPr>
        <w:pStyle w:val="ESBullet1indent"/>
        <w:rPr>
          <w:lang w:val="en-AU"/>
        </w:rPr>
      </w:pPr>
      <w:r w:rsidRPr="006E49EE">
        <w:rPr>
          <w:lang w:val="en-AU"/>
        </w:rPr>
        <w:t>be accompanied by the appropriate application fee (the fee may be waived in certain circumstances).</w:t>
      </w:r>
    </w:p>
    <w:p w14:paraId="43F51BBC" w14:textId="667EAFE8"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2C0527">
        <w:rPr>
          <w:lang w:val="en-AU"/>
        </w:rPr>
        <w:instrText xml:space="preserve"> SEQ Table \* MERGEFORMAT </w:instrText>
      </w:r>
      <w:r w:rsidR="00D93BA2" w:rsidRPr="006E49EE">
        <w:rPr>
          <w:lang w:val="en-AU"/>
        </w:rPr>
        <w:fldChar w:fldCharType="separate"/>
      </w:r>
      <w:r w:rsidR="00F36F52">
        <w:rPr>
          <w:noProof/>
          <w:lang w:val="en-AU"/>
        </w:rPr>
        <w:t>24</w:t>
      </w:r>
      <w:r w:rsidR="00D93BA2" w:rsidRPr="006E49EE">
        <w:rPr>
          <w:lang w:val="en-AU"/>
        </w:rPr>
        <w:fldChar w:fldCharType="end"/>
      </w:r>
      <w:r w:rsidRPr="006E49EE">
        <w:rPr>
          <w:lang w:val="en-AU"/>
        </w:rPr>
        <w:t xml:space="preserve"> – Freedom of Information contacts</w:t>
      </w:r>
    </w:p>
    <w:tbl>
      <w:tblPr>
        <w:tblW w:w="7460" w:type="dxa"/>
        <w:tblBorders>
          <w:bottom w:val="single" w:sz="12" w:space="0" w:color="777777"/>
        </w:tblBorders>
        <w:tblLayout w:type="fixed"/>
        <w:tblLook w:val="04A0" w:firstRow="1" w:lastRow="0" w:firstColumn="1" w:lastColumn="0" w:noHBand="0" w:noVBand="1"/>
      </w:tblPr>
      <w:tblGrid>
        <w:gridCol w:w="1840"/>
        <w:gridCol w:w="1891"/>
        <w:gridCol w:w="2551"/>
        <w:gridCol w:w="1178"/>
      </w:tblGrid>
      <w:tr w:rsidR="00A61FF5" w:rsidRPr="00932A90" w14:paraId="40D95096" w14:textId="77777777" w:rsidTr="00421660">
        <w:trPr>
          <w:cantSplit/>
          <w:trHeight w:val="567"/>
          <w:tblHeader/>
        </w:trPr>
        <w:tc>
          <w:tcPr>
            <w:tcW w:w="1840" w:type="dxa"/>
            <w:tcBorders>
              <w:top w:val="nil"/>
              <w:left w:val="nil"/>
              <w:bottom w:val="nil"/>
              <w:right w:val="nil"/>
            </w:tcBorders>
            <w:shd w:val="clear" w:color="auto" w:fill="7F7F7F"/>
            <w:tcMar>
              <w:top w:w="0" w:type="dxa"/>
              <w:left w:w="45" w:type="dxa"/>
              <w:bottom w:w="0" w:type="dxa"/>
              <w:right w:w="45" w:type="dxa"/>
            </w:tcMar>
            <w:vAlign w:val="center"/>
            <w:hideMark/>
          </w:tcPr>
          <w:p w14:paraId="2D35CE18" w14:textId="77777777" w:rsidR="00A61FF5" w:rsidRPr="006E49EE" w:rsidRDefault="00A61FF5" w:rsidP="00D07480">
            <w:pPr>
              <w:pStyle w:val="ESTableheadingwhite"/>
              <w:rPr>
                <w:sz w:val="16"/>
                <w:szCs w:val="16"/>
                <w:lang w:val="en-AU"/>
              </w:rPr>
            </w:pPr>
            <w:r w:rsidRPr="006E49EE">
              <w:rPr>
                <w:sz w:val="16"/>
                <w:szCs w:val="16"/>
                <w:lang w:val="en-AU"/>
              </w:rPr>
              <w:t>Agency</w:t>
            </w:r>
          </w:p>
        </w:tc>
        <w:tc>
          <w:tcPr>
            <w:tcW w:w="1891" w:type="dxa"/>
            <w:tcBorders>
              <w:top w:val="nil"/>
              <w:left w:val="nil"/>
              <w:bottom w:val="nil"/>
              <w:right w:val="nil"/>
            </w:tcBorders>
            <w:shd w:val="clear" w:color="auto" w:fill="7F7F7F"/>
            <w:tcMar>
              <w:top w:w="0" w:type="dxa"/>
              <w:left w:w="45" w:type="dxa"/>
              <w:bottom w:w="0" w:type="dxa"/>
              <w:right w:w="45" w:type="dxa"/>
            </w:tcMar>
            <w:vAlign w:val="center"/>
            <w:hideMark/>
          </w:tcPr>
          <w:p w14:paraId="04303D8C" w14:textId="77777777" w:rsidR="00A61FF5" w:rsidRPr="006E49EE" w:rsidRDefault="00A61FF5" w:rsidP="00D07480">
            <w:pPr>
              <w:pStyle w:val="ESTableheadingwhite"/>
              <w:rPr>
                <w:sz w:val="16"/>
                <w:szCs w:val="16"/>
                <w:lang w:val="en-AU"/>
              </w:rPr>
            </w:pPr>
            <w:r w:rsidRPr="006E49EE">
              <w:rPr>
                <w:sz w:val="16"/>
                <w:szCs w:val="16"/>
                <w:lang w:val="en-AU"/>
              </w:rPr>
              <w:t>Postal address</w:t>
            </w:r>
          </w:p>
        </w:tc>
        <w:tc>
          <w:tcPr>
            <w:tcW w:w="2551" w:type="dxa"/>
            <w:tcBorders>
              <w:top w:val="nil"/>
              <w:left w:val="nil"/>
              <w:bottom w:val="nil"/>
              <w:right w:val="nil"/>
            </w:tcBorders>
            <w:shd w:val="clear" w:color="auto" w:fill="7F7F7F"/>
            <w:tcMar>
              <w:top w:w="0" w:type="dxa"/>
              <w:left w:w="45" w:type="dxa"/>
              <w:bottom w:w="0" w:type="dxa"/>
              <w:right w:w="45" w:type="dxa"/>
            </w:tcMar>
            <w:vAlign w:val="center"/>
            <w:hideMark/>
          </w:tcPr>
          <w:p w14:paraId="49B5DAA2" w14:textId="77777777" w:rsidR="00A61FF5" w:rsidRPr="006E49EE" w:rsidRDefault="00A61FF5" w:rsidP="00D07480">
            <w:pPr>
              <w:pStyle w:val="ESTableheadingwhite"/>
              <w:rPr>
                <w:sz w:val="16"/>
                <w:szCs w:val="16"/>
                <w:lang w:val="en-AU"/>
              </w:rPr>
            </w:pPr>
            <w:r w:rsidRPr="006E49EE">
              <w:rPr>
                <w:sz w:val="16"/>
                <w:szCs w:val="16"/>
                <w:lang w:val="en-AU"/>
              </w:rPr>
              <w:t>Email</w:t>
            </w:r>
          </w:p>
        </w:tc>
        <w:tc>
          <w:tcPr>
            <w:tcW w:w="1178" w:type="dxa"/>
            <w:tcBorders>
              <w:top w:val="nil"/>
              <w:left w:val="nil"/>
              <w:bottom w:val="nil"/>
              <w:right w:val="nil"/>
            </w:tcBorders>
            <w:shd w:val="clear" w:color="auto" w:fill="7F7F7F"/>
            <w:tcMar>
              <w:top w:w="0" w:type="dxa"/>
              <w:left w:w="45" w:type="dxa"/>
              <w:bottom w:w="0" w:type="dxa"/>
              <w:right w:w="45" w:type="dxa"/>
            </w:tcMar>
            <w:vAlign w:val="center"/>
            <w:hideMark/>
          </w:tcPr>
          <w:p w14:paraId="60914A39" w14:textId="77777777" w:rsidR="00A61FF5" w:rsidRPr="006E49EE" w:rsidRDefault="00A61FF5" w:rsidP="00D07480">
            <w:pPr>
              <w:pStyle w:val="ESTableheadingwhite"/>
              <w:rPr>
                <w:sz w:val="16"/>
                <w:szCs w:val="16"/>
                <w:lang w:val="en-AU"/>
              </w:rPr>
            </w:pPr>
            <w:r w:rsidRPr="006E49EE">
              <w:rPr>
                <w:sz w:val="16"/>
                <w:szCs w:val="16"/>
                <w:lang w:val="en-AU"/>
              </w:rPr>
              <w:t>Telephone</w:t>
            </w:r>
          </w:p>
        </w:tc>
      </w:tr>
      <w:tr w:rsidR="00A61FF5" w:rsidRPr="00932A90" w14:paraId="314190D2" w14:textId="77777777" w:rsidTr="00421660">
        <w:trPr>
          <w:cantSplit/>
        </w:trPr>
        <w:tc>
          <w:tcPr>
            <w:tcW w:w="1840" w:type="dxa"/>
            <w:tcBorders>
              <w:top w:val="nil"/>
              <w:left w:val="nil"/>
              <w:bottom w:val="nil"/>
              <w:right w:val="nil"/>
            </w:tcBorders>
            <w:tcMar>
              <w:top w:w="0" w:type="dxa"/>
              <w:left w:w="45" w:type="dxa"/>
              <w:bottom w:w="0" w:type="dxa"/>
              <w:right w:w="45" w:type="dxa"/>
            </w:tcMar>
            <w:hideMark/>
          </w:tcPr>
          <w:p w14:paraId="6BF56933" w14:textId="77777777" w:rsidR="00A61FF5" w:rsidRPr="006E49EE" w:rsidRDefault="00A61FF5" w:rsidP="00D07480">
            <w:pPr>
              <w:pStyle w:val="ESTableBody"/>
              <w:rPr>
                <w:lang w:val="en-AU"/>
              </w:rPr>
            </w:pPr>
            <w:r w:rsidRPr="006E49EE">
              <w:rPr>
                <w:lang w:val="en-AU"/>
              </w:rPr>
              <w:t>Department of Education and Training</w:t>
            </w:r>
          </w:p>
        </w:tc>
        <w:tc>
          <w:tcPr>
            <w:tcW w:w="1891" w:type="dxa"/>
            <w:tcBorders>
              <w:top w:val="nil"/>
              <w:left w:val="nil"/>
              <w:bottom w:val="nil"/>
              <w:right w:val="nil"/>
            </w:tcBorders>
            <w:tcMar>
              <w:top w:w="0" w:type="dxa"/>
              <w:left w:w="45" w:type="dxa"/>
              <w:bottom w:w="0" w:type="dxa"/>
              <w:right w:w="45" w:type="dxa"/>
            </w:tcMar>
            <w:hideMark/>
          </w:tcPr>
          <w:p w14:paraId="40D1BA25" w14:textId="77777777" w:rsidR="00A61FF5" w:rsidRPr="006E49EE" w:rsidRDefault="00A61FF5" w:rsidP="00D07480">
            <w:pPr>
              <w:pStyle w:val="ESTableBody"/>
              <w:rPr>
                <w:lang w:val="en-AU"/>
              </w:rPr>
            </w:pPr>
            <w:r w:rsidRPr="006E49EE">
              <w:rPr>
                <w:lang w:val="en-AU"/>
              </w:rPr>
              <w:t>Manager, Freedom of Information</w:t>
            </w:r>
            <w:r w:rsidRPr="006E49EE">
              <w:rPr>
                <w:lang w:val="en-AU"/>
              </w:rPr>
              <w:br/>
              <w:t>Department of Education and Training</w:t>
            </w:r>
            <w:r w:rsidRPr="006E49EE">
              <w:rPr>
                <w:lang w:val="en-AU"/>
              </w:rPr>
              <w:br/>
              <w:t>GPO Box 4367</w:t>
            </w:r>
            <w:r w:rsidRPr="006E49EE">
              <w:rPr>
                <w:lang w:val="en-AU"/>
              </w:rPr>
              <w:br/>
              <w:t>Melbourne 3001</w:t>
            </w:r>
          </w:p>
        </w:tc>
        <w:tc>
          <w:tcPr>
            <w:tcW w:w="2551" w:type="dxa"/>
            <w:tcBorders>
              <w:top w:val="nil"/>
              <w:left w:val="nil"/>
              <w:bottom w:val="nil"/>
              <w:right w:val="nil"/>
            </w:tcBorders>
            <w:tcMar>
              <w:top w:w="0" w:type="dxa"/>
              <w:left w:w="45" w:type="dxa"/>
              <w:bottom w:w="0" w:type="dxa"/>
              <w:right w:w="45" w:type="dxa"/>
            </w:tcMar>
          </w:tcPr>
          <w:p w14:paraId="48DEF794" w14:textId="77777777" w:rsidR="00A61FF5" w:rsidRPr="006E49EE" w:rsidRDefault="00674F4D" w:rsidP="00D07480">
            <w:pPr>
              <w:pStyle w:val="ESTableBody"/>
              <w:rPr>
                <w:szCs w:val="16"/>
                <w:u w:val="single"/>
                <w:lang w:val="en-AU"/>
              </w:rPr>
            </w:pPr>
            <w:hyperlink r:id="rId32" w:history="1">
              <w:r w:rsidR="00A61FF5" w:rsidRPr="00932A90">
                <w:rPr>
                  <w:rStyle w:val="Hyperlink"/>
                  <w:szCs w:val="16"/>
                  <w:lang w:val="en-AU"/>
                </w:rPr>
                <w:t>foi@edumail.vic.gov.au</w:t>
              </w:r>
            </w:hyperlink>
          </w:p>
          <w:p w14:paraId="2CCCD650" w14:textId="77777777" w:rsidR="00A61FF5" w:rsidRPr="006E49EE" w:rsidRDefault="00A61FF5" w:rsidP="00D07480">
            <w:pPr>
              <w:pStyle w:val="ESTableBody"/>
              <w:rPr>
                <w:szCs w:val="16"/>
                <w:u w:val="single"/>
                <w:lang w:val="en-AU"/>
              </w:rPr>
            </w:pPr>
          </w:p>
        </w:tc>
        <w:tc>
          <w:tcPr>
            <w:tcW w:w="1178" w:type="dxa"/>
            <w:tcBorders>
              <w:top w:val="nil"/>
              <w:left w:val="nil"/>
              <w:bottom w:val="nil"/>
              <w:right w:val="nil"/>
            </w:tcBorders>
            <w:tcMar>
              <w:top w:w="0" w:type="dxa"/>
              <w:left w:w="45" w:type="dxa"/>
              <w:bottom w:w="0" w:type="dxa"/>
              <w:right w:w="45" w:type="dxa"/>
            </w:tcMar>
            <w:hideMark/>
          </w:tcPr>
          <w:p w14:paraId="494683F8" w14:textId="77777777" w:rsidR="00A61FF5" w:rsidRPr="006E49EE" w:rsidRDefault="00A61FF5" w:rsidP="00D07480">
            <w:pPr>
              <w:pStyle w:val="ESTableBody"/>
              <w:rPr>
                <w:lang w:val="en-AU"/>
              </w:rPr>
            </w:pPr>
            <w:r w:rsidRPr="006E49EE">
              <w:rPr>
                <w:lang w:val="en-AU"/>
              </w:rPr>
              <w:t>(03) 9637 2670</w:t>
            </w:r>
          </w:p>
        </w:tc>
      </w:tr>
      <w:tr w:rsidR="00A61FF5" w:rsidRPr="00932A90" w14:paraId="4C605356" w14:textId="77777777" w:rsidTr="00421660">
        <w:trPr>
          <w:cantSplit/>
        </w:trPr>
        <w:tc>
          <w:tcPr>
            <w:tcW w:w="1840" w:type="dxa"/>
            <w:tcBorders>
              <w:top w:val="nil"/>
              <w:left w:val="nil"/>
              <w:bottom w:val="nil"/>
              <w:right w:val="nil"/>
            </w:tcBorders>
            <w:tcMar>
              <w:top w:w="0" w:type="dxa"/>
              <w:left w:w="45" w:type="dxa"/>
              <w:bottom w:w="0" w:type="dxa"/>
              <w:right w:w="45" w:type="dxa"/>
            </w:tcMar>
            <w:hideMark/>
          </w:tcPr>
          <w:p w14:paraId="3B5D85F5" w14:textId="77777777" w:rsidR="00A61FF5" w:rsidRPr="006E49EE" w:rsidRDefault="00A61FF5" w:rsidP="00D07480">
            <w:pPr>
              <w:pStyle w:val="ESTableBody"/>
              <w:rPr>
                <w:lang w:val="en-AU"/>
              </w:rPr>
            </w:pPr>
            <w:r w:rsidRPr="006E49EE">
              <w:rPr>
                <w:lang w:val="en-AU"/>
              </w:rPr>
              <w:t>Victorian Curriculum and Assessment Authority</w:t>
            </w:r>
          </w:p>
        </w:tc>
        <w:tc>
          <w:tcPr>
            <w:tcW w:w="1891" w:type="dxa"/>
            <w:tcBorders>
              <w:top w:val="nil"/>
              <w:left w:val="nil"/>
              <w:bottom w:val="nil"/>
              <w:right w:val="nil"/>
            </w:tcBorders>
            <w:tcMar>
              <w:top w:w="0" w:type="dxa"/>
              <w:left w:w="45" w:type="dxa"/>
              <w:bottom w:w="0" w:type="dxa"/>
              <w:right w:w="45" w:type="dxa"/>
            </w:tcMar>
            <w:vAlign w:val="bottom"/>
            <w:hideMark/>
          </w:tcPr>
          <w:p w14:paraId="0DE8CE4A" w14:textId="77777777" w:rsidR="00A61FF5" w:rsidRPr="006E49EE" w:rsidRDefault="00A61FF5" w:rsidP="00D07480">
            <w:pPr>
              <w:pStyle w:val="ESTableBody"/>
              <w:rPr>
                <w:lang w:val="en-AU"/>
              </w:rPr>
            </w:pPr>
            <w:r w:rsidRPr="006E49EE">
              <w:rPr>
                <w:lang w:val="en-AU"/>
              </w:rPr>
              <w:t>Level 1</w:t>
            </w:r>
            <w:r w:rsidRPr="006E49EE">
              <w:rPr>
                <w:lang w:val="en-AU"/>
              </w:rPr>
              <w:br/>
              <w:t>2 Lonsdale Street</w:t>
            </w:r>
            <w:r w:rsidRPr="006E49EE">
              <w:rPr>
                <w:lang w:val="en-AU"/>
              </w:rPr>
              <w:br/>
              <w:t>Melbourne, 3000</w:t>
            </w:r>
            <w:r w:rsidRPr="006E49EE">
              <w:rPr>
                <w:lang w:val="en-AU"/>
              </w:rPr>
              <w:br/>
              <w:t>Australia</w:t>
            </w:r>
          </w:p>
        </w:tc>
        <w:tc>
          <w:tcPr>
            <w:tcW w:w="2551" w:type="dxa"/>
            <w:tcBorders>
              <w:top w:val="nil"/>
              <w:left w:val="nil"/>
              <w:bottom w:val="nil"/>
              <w:right w:val="nil"/>
            </w:tcBorders>
            <w:tcMar>
              <w:top w:w="0" w:type="dxa"/>
              <w:left w:w="45" w:type="dxa"/>
              <w:bottom w:w="0" w:type="dxa"/>
              <w:right w:w="45" w:type="dxa"/>
            </w:tcMar>
          </w:tcPr>
          <w:p w14:paraId="373EAEE5" w14:textId="77777777" w:rsidR="00A61FF5" w:rsidRPr="006E49EE" w:rsidRDefault="00674F4D" w:rsidP="00D07480">
            <w:pPr>
              <w:pStyle w:val="ESTableBody"/>
              <w:rPr>
                <w:szCs w:val="16"/>
                <w:u w:val="single"/>
                <w:lang w:val="en-AU"/>
              </w:rPr>
            </w:pPr>
            <w:hyperlink r:id="rId33" w:history="1">
              <w:r w:rsidR="00A61FF5" w:rsidRPr="00932A90">
                <w:rPr>
                  <w:rStyle w:val="Hyperlink"/>
                  <w:szCs w:val="16"/>
                  <w:lang w:val="en-AU"/>
                </w:rPr>
                <w:t>vcaa.foi@edumail.vic.gov.au</w:t>
              </w:r>
            </w:hyperlink>
          </w:p>
          <w:p w14:paraId="7AC86200" w14:textId="77777777" w:rsidR="00A61FF5" w:rsidRPr="006E49EE" w:rsidRDefault="00A61FF5" w:rsidP="00D07480">
            <w:pPr>
              <w:rPr>
                <w:sz w:val="16"/>
                <w:szCs w:val="16"/>
                <w:u w:val="single"/>
                <w:lang w:val="en-AU"/>
              </w:rPr>
            </w:pPr>
          </w:p>
        </w:tc>
        <w:tc>
          <w:tcPr>
            <w:tcW w:w="1178" w:type="dxa"/>
            <w:tcBorders>
              <w:top w:val="nil"/>
              <w:left w:val="nil"/>
              <w:bottom w:val="nil"/>
              <w:right w:val="nil"/>
            </w:tcBorders>
            <w:tcMar>
              <w:top w:w="0" w:type="dxa"/>
              <w:left w:w="45" w:type="dxa"/>
              <w:bottom w:w="0" w:type="dxa"/>
              <w:right w:w="45" w:type="dxa"/>
            </w:tcMar>
            <w:hideMark/>
          </w:tcPr>
          <w:p w14:paraId="74649FE5" w14:textId="77777777" w:rsidR="00A61FF5" w:rsidRPr="006E49EE" w:rsidRDefault="00A61FF5" w:rsidP="00D07480">
            <w:pPr>
              <w:pStyle w:val="ESTableBody"/>
              <w:rPr>
                <w:lang w:val="en-AU"/>
              </w:rPr>
            </w:pPr>
            <w:r w:rsidRPr="006E49EE">
              <w:rPr>
                <w:lang w:val="en-AU"/>
              </w:rPr>
              <w:t>(03) 9032 1700</w:t>
            </w:r>
          </w:p>
          <w:p w14:paraId="535704CF" w14:textId="77777777" w:rsidR="00A61FF5" w:rsidRPr="006E49EE" w:rsidRDefault="00A61FF5" w:rsidP="00D07480">
            <w:pPr>
              <w:pStyle w:val="ESTableBody"/>
              <w:rPr>
                <w:lang w:val="en-AU"/>
              </w:rPr>
            </w:pPr>
            <w:r w:rsidRPr="006E49EE">
              <w:rPr>
                <w:lang w:val="en-AU"/>
              </w:rPr>
              <w:t>1800 134 197</w:t>
            </w:r>
          </w:p>
        </w:tc>
      </w:tr>
      <w:tr w:rsidR="00A61FF5" w:rsidRPr="00932A90" w14:paraId="6D3844D6" w14:textId="77777777" w:rsidTr="00421660">
        <w:trPr>
          <w:cantSplit/>
        </w:trPr>
        <w:tc>
          <w:tcPr>
            <w:tcW w:w="1840" w:type="dxa"/>
            <w:tcBorders>
              <w:top w:val="nil"/>
              <w:left w:val="nil"/>
              <w:bottom w:val="nil"/>
              <w:right w:val="nil"/>
            </w:tcBorders>
            <w:tcMar>
              <w:top w:w="0" w:type="dxa"/>
              <w:left w:w="45" w:type="dxa"/>
              <w:bottom w:w="0" w:type="dxa"/>
              <w:right w:w="45" w:type="dxa"/>
            </w:tcMar>
            <w:hideMark/>
          </w:tcPr>
          <w:p w14:paraId="2669F7CA" w14:textId="77777777" w:rsidR="00A61FF5" w:rsidRPr="006E49EE" w:rsidRDefault="00A61FF5" w:rsidP="00D07480">
            <w:pPr>
              <w:pStyle w:val="ESTableBody"/>
              <w:rPr>
                <w:lang w:val="en-AU"/>
              </w:rPr>
            </w:pPr>
            <w:r w:rsidRPr="006E49EE">
              <w:rPr>
                <w:lang w:val="en-AU"/>
              </w:rPr>
              <w:t>Victorian Registration and Qualifications Authority</w:t>
            </w:r>
          </w:p>
        </w:tc>
        <w:tc>
          <w:tcPr>
            <w:tcW w:w="1891" w:type="dxa"/>
            <w:tcBorders>
              <w:top w:val="nil"/>
              <w:left w:val="nil"/>
              <w:bottom w:val="nil"/>
              <w:right w:val="nil"/>
            </w:tcBorders>
            <w:tcMar>
              <w:top w:w="0" w:type="dxa"/>
              <w:left w:w="45" w:type="dxa"/>
              <w:bottom w:w="0" w:type="dxa"/>
              <w:right w:w="45" w:type="dxa"/>
            </w:tcMar>
            <w:vAlign w:val="bottom"/>
            <w:hideMark/>
          </w:tcPr>
          <w:p w14:paraId="4A53C94A" w14:textId="77777777" w:rsidR="00A61FF5" w:rsidRPr="006E49EE" w:rsidRDefault="00A61FF5" w:rsidP="00D07480">
            <w:pPr>
              <w:pStyle w:val="ESTableBody"/>
              <w:rPr>
                <w:lang w:val="en-AU"/>
              </w:rPr>
            </w:pPr>
            <w:r w:rsidRPr="006E49EE">
              <w:rPr>
                <w:lang w:val="en-AU"/>
              </w:rPr>
              <w:t xml:space="preserve">Level 4 </w:t>
            </w:r>
            <w:r w:rsidRPr="006E49EE">
              <w:rPr>
                <w:lang w:val="en-AU"/>
              </w:rPr>
              <w:br/>
              <w:t>2 Lonsdale Street</w:t>
            </w:r>
            <w:r w:rsidRPr="006E49EE">
              <w:rPr>
                <w:lang w:val="en-AU"/>
              </w:rPr>
              <w:br/>
              <w:t>Melbourne 3000</w:t>
            </w:r>
          </w:p>
        </w:tc>
        <w:tc>
          <w:tcPr>
            <w:tcW w:w="2551" w:type="dxa"/>
            <w:tcBorders>
              <w:top w:val="nil"/>
              <w:left w:val="nil"/>
              <w:bottom w:val="nil"/>
              <w:right w:val="nil"/>
            </w:tcBorders>
            <w:tcMar>
              <w:top w:w="0" w:type="dxa"/>
              <w:left w:w="45" w:type="dxa"/>
              <w:bottom w:w="0" w:type="dxa"/>
              <w:right w:w="45" w:type="dxa"/>
            </w:tcMar>
          </w:tcPr>
          <w:p w14:paraId="0B5DEB9C" w14:textId="77777777" w:rsidR="00A61FF5" w:rsidRPr="006E49EE" w:rsidRDefault="00674F4D" w:rsidP="00D07480">
            <w:pPr>
              <w:pStyle w:val="ESTableBody"/>
              <w:rPr>
                <w:szCs w:val="16"/>
                <w:u w:val="single"/>
                <w:lang w:val="en-AU"/>
              </w:rPr>
            </w:pPr>
            <w:hyperlink r:id="rId34" w:history="1">
              <w:r w:rsidR="00A61FF5" w:rsidRPr="00932A90">
                <w:rPr>
                  <w:rStyle w:val="Hyperlink"/>
                  <w:szCs w:val="16"/>
                  <w:lang w:val="en-AU"/>
                </w:rPr>
                <w:t>vrqa@edumail.vic.gov.au</w:t>
              </w:r>
            </w:hyperlink>
          </w:p>
          <w:p w14:paraId="2D247D57" w14:textId="77777777" w:rsidR="00A61FF5" w:rsidRPr="006E49EE" w:rsidRDefault="00A61FF5" w:rsidP="00D07480">
            <w:pPr>
              <w:rPr>
                <w:sz w:val="16"/>
                <w:szCs w:val="16"/>
                <w:u w:val="single"/>
                <w:lang w:val="en-AU"/>
              </w:rPr>
            </w:pPr>
          </w:p>
        </w:tc>
        <w:tc>
          <w:tcPr>
            <w:tcW w:w="1178" w:type="dxa"/>
            <w:tcBorders>
              <w:top w:val="nil"/>
              <w:left w:val="nil"/>
              <w:bottom w:val="nil"/>
              <w:right w:val="nil"/>
            </w:tcBorders>
            <w:tcMar>
              <w:top w:w="0" w:type="dxa"/>
              <w:left w:w="45" w:type="dxa"/>
              <w:bottom w:w="0" w:type="dxa"/>
              <w:right w:w="45" w:type="dxa"/>
            </w:tcMar>
            <w:hideMark/>
          </w:tcPr>
          <w:p w14:paraId="6BE938E3" w14:textId="77777777" w:rsidR="00A61FF5" w:rsidRPr="006E49EE" w:rsidRDefault="00A61FF5" w:rsidP="00D07480">
            <w:pPr>
              <w:pStyle w:val="ESTableBody"/>
              <w:rPr>
                <w:lang w:val="en-AU"/>
              </w:rPr>
            </w:pPr>
            <w:r w:rsidRPr="006E49EE">
              <w:rPr>
                <w:lang w:val="en-AU"/>
              </w:rPr>
              <w:t>(03) 9637 2806</w:t>
            </w:r>
          </w:p>
        </w:tc>
      </w:tr>
      <w:tr w:rsidR="00A61FF5" w:rsidRPr="00932A90" w14:paraId="72AAC1F2" w14:textId="77777777" w:rsidTr="00421660">
        <w:trPr>
          <w:cantSplit/>
        </w:trPr>
        <w:tc>
          <w:tcPr>
            <w:tcW w:w="1840" w:type="dxa"/>
            <w:tcBorders>
              <w:top w:val="nil"/>
              <w:left w:val="nil"/>
              <w:bottom w:val="nil"/>
              <w:right w:val="nil"/>
            </w:tcBorders>
            <w:tcMar>
              <w:top w:w="0" w:type="dxa"/>
              <w:left w:w="45" w:type="dxa"/>
              <w:bottom w:w="0" w:type="dxa"/>
              <w:right w:w="45" w:type="dxa"/>
            </w:tcMar>
            <w:hideMark/>
          </w:tcPr>
          <w:p w14:paraId="22B5C6FF" w14:textId="77777777" w:rsidR="00A61FF5" w:rsidRPr="006E49EE" w:rsidRDefault="00A61FF5" w:rsidP="00D07480">
            <w:pPr>
              <w:pStyle w:val="ESTableBody"/>
              <w:rPr>
                <w:lang w:val="en-AU"/>
              </w:rPr>
            </w:pPr>
            <w:r w:rsidRPr="006E49EE">
              <w:rPr>
                <w:lang w:val="en-AU"/>
              </w:rPr>
              <w:t>Merit Protection Boards</w:t>
            </w:r>
          </w:p>
        </w:tc>
        <w:tc>
          <w:tcPr>
            <w:tcW w:w="1891" w:type="dxa"/>
            <w:tcBorders>
              <w:top w:val="nil"/>
              <w:left w:val="nil"/>
              <w:bottom w:val="nil"/>
              <w:right w:val="nil"/>
            </w:tcBorders>
            <w:tcMar>
              <w:top w:w="0" w:type="dxa"/>
              <w:left w:w="45" w:type="dxa"/>
              <w:bottom w:w="0" w:type="dxa"/>
              <w:right w:w="45" w:type="dxa"/>
            </w:tcMar>
            <w:vAlign w:val="bottom"/>
            <w:hideMark/>
          </w:tcPr>
          <w:p w14:paraId="329FE4DA" w14:textId="77777777" w:rsidR="00A61FF5" w:rsidRPr="006E49EE" w:rsidRDefault="00A61FF5" w:rsidP="00D07480">
            <w:pPr>
              <w:pStyle w:val="ESTableBody"/>
              <w:rPr>
                <w:lang w:val="en-AU"/>
              </w:rPr>
            </w:pPr>
            <w:r w:rsidRPr="006E49EE">
              <w:rPr>
                <w:lang w:val="en-AU"/>
              </w:rPr>
              <w:t>Level 4</w:t>
            </w:r>
          </w:p>
          <w:p w14:paraId="3B1B4C39" w14:textId="77777777" w:rsidR="00A61FF5" w:rsidRPr="006E49EE" w:rsidRDefault="00A61FF5" w:rsidP="00D07480">
            <w:pPr>
              <w:pStyle w:val="ESTableBody"/>
              <w:rPr>
                <w:lang w:val="en-AU"/>
              </w:rPr>
            </w:pPr>
            <w:r w:rsidRPr="006E49EE">
              <w:rPr>
                <w:lang w:val="en-AU"/>
              </w:rPr>
              <w:t xml:space="preserve">2 Lonsdale Street </w:t>
            </w:r>
            <w:r w:rsidRPr="006E49EE">
              <w:rPr>
                <w:lang w:val="en-AU"/>
              </w:rPr>
              <w:br/>
              <w:t>Melbourne 3000</w:t>
            </w:r>
          </w:p>
        </w:tc>
        <w:tc>
          <w:tcPr>
            <w:tcW w:w="2551" w:type="dxa"/>
            <w:tcBorders>
              <w:top w:val="nil"/>
              <w:left w:val="nil"/>
              <w:bottom w:val="nil"/>
              <w:right w:val="nil"/>
            </w:tcBorders>
            <w:tcMar>
              <w:top w:w="0" w:type="dxa"/>
              <w:left w:w="45" w:type="dxa"/>
              <w:bottom w:w="0" w:type="dxa"/>
              <w:right w:w="45" w:type="dxa"/>
            </w:tcMar>
          </w:tcPr>
          <w:p w14:paraId="2147F60F" w14:textId="77777777" w:rsidR="00A61FF5" w:rsidRPr="006E49EE" w:rsidRDefault="00674F4D" w:rsidP="00D07480">
            <w:pPr>
              <w:pStyle w:val="ESTableBody"/>
              <w:rPr>
                <w:szCs w:val="16"/>
                <w:u w:val="single"/>
                <w:lang w:val="en-AU"/>
              </w:rPr>
            </w:pPr>
            <w:hyperlink r:id="rId35" w:history="1">
              <w:r w:rsidR="00A61FF5" w:rsidRPr="00932A90">
                <w:rPr>
                  <w:rStyle w:val="Hyperlink"/>
                  <w:szCs w:val="16"/>
                  <w:lang w:val="en-AU"/>
                </w:rPr>
                <w:t>meritboards@edumail.vic.gov.au</w:t>
              </w:r>
            </w:hyperlink>
          </w:p>
          <w:p w14:paraId="60B75EA3" w14:textId="77777777" w:rsidR="00A61FF5" w:rsidRPr="006E49EE" w:rsidRDefault="00A61FF5" w:rsidP="00D07480">
            <w:pPr>
              <w:rPr>
                <w:sz w:val="16"/>
                <w:szCs w:val="16"/>
                <w:u w:val="single"/>
                <w:lang w:val="en-AU"/>
              </w:rPr>
            </w:pPr>
          </w:p>
        </w:tc>
        <w:tc>
          <w:tcPr>
            <w:tcW w:w="1178" w:type="dxa"/>
            <w:tcBorders>
              <w:top w:val="nil"/>
              <w:left w:val="nil"/>
              <w:bottom w:val="nil"/>
              <w:right w:val="nil"/>
            </w:tcBorders>
            <w:tcMar>
              <w:top w:w="0" w:type="dxa"/>
              <w:left w:w="45" w:type="dxa"/>
              <w:bottom w:w="0" w:type="dxa"/>
              <w:right w:w="45" w:type="dxa"/>
            </w:tcMar>
            <w:hideMark/>
          </w:tcPr>
          <w:p w14:paraId="75B66E1A" w14:textId="77777777" w:rsidR="00A61FF5" w:rsidRPr="006E49EE" w:rsidRDefault="00A61FF5" w:rsidP="00D07480">
            <w:pPr>
              <w:pStyle w:val="ESTableBody"/>
              <w:rPr>
                <w:lang w:val="en-AU"/>
              </w:rPr>
            </w:pPr>
            <w:r w:rsidRPr="006E49EE">
              <w:rPr>
                <w:lang w:val="en-AU"/>
              </w:rPr>
              <w:t>(03) 9032 1707</w:t>
            </w:r>
          </w:p>
        </w:tc>
      </w:tr>
      <w:tr w:rsidR="00A61FF5" w:rsidRPr="00932A90" w14:paraId="340D9DB8" w14:textId="77777777" w:rsidTr="00421660">
        <w:trPr>
          <w:cantSplit/>
        </w:trPr>
        <w:tc>
          <w:tcPr>
            <w:tcW w:w="1840" w:type="dxa"/>
            <w:tcBorders>
              <w:top w:val="nil"/>
              <w:left w:val="nil"/>
              <w:bottom w:val="nil"/>
              <w:right w:val="nil"/>
            </w:tcBorders>
            <w:tcMar>
              <w:top w:w="0" w:type="dxa"/>
              <w:left w:w="45" w:type="dxa"/>
              <w:bottom w:w="0" w:type="dxa"/>
              <w:right w:w="45" w:type="dxa"/>
            </w:tcMar>
            <w:hideMark/>
          </w:tcPr>
          <w:p w14:paraId="1BDF4D56" w14:textId="77777777" w:rsidR="00A61FF5" w:rsidRPr="006E49EE" w:rsidRDefault="00A61FF5" w:rsidP="00D07480">
            <w:pPr>
              <w:pStyle w:val="ESTableBody"/>
              <w:rPr>
                <w:lang w:val="en-AU"/>
              </w:rPr>
            </w:pPr>
            <w:r w:rsidRPr="006E49EE">
              <w:rPr>
                <w:lang w:val="en-AU"/>
              </w:rPr>
              <w:t>Victorian Institute of Teaching</w:t>
            </w:r>
          </w:p>
        </w:tc>
        <w:tc>
          <w:tcPr>
            <w:tcW w:w="1891" w:type="dxa"/>
            <w:tcBorders>
              <w:top w:val="nil"/>
              <w:left w:val="nil"/>
              <w:bottom w:val="nil"/>
              <w:right w:val="nil"/>
            </w:tcBorders>
            <w:tcMar>
              <w:top w:w="0" w:type="dxa"/>
              <w:left w:w="45" w:type="dxa"/>
              <w:bottom w:w="0" w:type="dxa"/>
              <w:right w:w="45" w:type="dxa"/>
            </w:tcMar>
            <w:vAlign w:val="bottom"/>
            <w:hideMark/>
          </w:tcPr>
          <w:p w14:paraId="60A6AFC9" w14:textId="77777777" w:rsidR="00A61FF5" w:rsidRPr="006E49EE" w:rsidRDefault="00A61FF5" w:rsidP="00D07480">
            <w:pPr>
              <w:pStyle w:val="ESTableBody"/>
              <w:rPr>
                <w:lang w:val="en-AU"/>
              </w:rPr>
            </w:pPr>
            <w:r w:rsidRPr="006E49EE">
              <w:rPr>
                <w:lang w:val="en-AU"/>
              </w:rPr>
              <w:t>PO Box 531</w:t>
            </w:r>
            <w:r w:rsidRPr="006E49EE">
              <w:rPr>
                <w:lang w:val="en-AU"/>
              </w:rPr>
              <w:br/>
              <w:t>Collins Street West</w:t>
            </w:r>
            <w:r w:rsidRPr="006E49EE">
              <w:rPr>
                <w:lang w:val="en-AU"/>
              </w:rPr>
              <w:br/>
              <w:t>Victoria 8007</w:t>
            </w:r>
          </w:p>
        </w:tc>
        <w:tc>
          <w:tcPr>
            <w:tcW w:w="2551" w:type="dxa"/>
            <w:tcBorders>
              <w:top w:val="nil"/>
              <w:left w:val="nil"/>
              <w:bottom w:val="nil"/>
              <w:right w:val="nil"/>
            </w:tcBorders>
            <w:tcMar>
              <w:top w:w="0" w:type="dxa"/>
              <w:left w:w="45" w:type="dxa"/>
              <w:bottom w:w="0" w:type="dxa"/>
              <w:right w:w="45" w:type="dxa"/>
            </w:tcMar>
          </w:tcPr>
          <w:p w14:paraId="75B2A029" w14:textId="77777777" w:rsidR="00A61FF5" w:rsidRPr="006E49EE" w:rsidRDefault="00674F4D" w:rsidP="00D07480">
            <w:pPr>
              <w:pStyle w:val="ESTableBody"/>
              <w:rPr>
                <w:szCs w:val="16"/>
                <w:u w:val="single"/>
                <w:lang w:val="en-AU"/>
              </w:rPr>
            </w:pPr>
            <w:hyperlink r:id="rId36" w:history="1">
              <w:r w:rsidR="00A61FF5" w:rsidRPr="00932A90">
                <w:rPr>
                  <w:rStyle w:val="Hyperlink"/>
                  <w:szCs w:val="16"/>
                  <w:lang w:val="en-AU"/>
                </w:rPr>
                <w:t>vit@vit.vic.edu.au</w:t>
              </w:r>
            </w:hyperlink>
          </w:p>
          <w:p w14:paraId="60B7458B" w14:textId="77777777" w:rsidR="00A61FF5" w:rsidRPr="006E49EE" w:rsidRDefault="00A61FF5" w:rsidP="00D07480">
            <w:pPr>
              <w:rPr>
                <w:sz w:val="16"/>
                <w:szCs w:val="16"/>
                <w:u w:val="single"/>
                <w:lang w:val="en-AU"/>
              </w:rPr>
            </w:pPr>
          </w:p>
        </w:tc>
        <w:tc>
          <w:tcPr>
            <w:tcW w:w="1178" w:type="dxa"/>
            <w:tcBorders>
              <w:top w:val="nil"/>
              <w:left w:val="nil"/>
              <w:bottom w:val="nil"/>
              <w:right w:val="nil"/>
            </w:tcBorders>
            <w:tcMar>
              <w:top w:w="0" w:type="dxa"/>
              <w:left w:w="45" w:type="dxa"/>
              <w:bottom w:w="0" w:type="dxa"/>
              <w:right w:w="45" w:type="dxa"/>
            </w:tcMar>
            <w:hideMark/>
          </w:tcPr>
          <w:p w14:paraId="71F3E10D" w14:textId="77777777" w:rsidR="00A61FF5" w:rsidRPr="006E49EE" w:rsidRDefault="00A61FF5" w:rsidP="00D07480">
            <w:pPr>
              <w:pStyle w:val="ESTableBody"/>
              <w:rPr>
                <w:lang w:val="en-AU"/>
              </w:rPr>
            </w:pPr>
            <w:r w:rsidRPr="006E49EE">
              <w:rPr>
                <w:lang w:val="en-AU"/>
              </w:rPr>
              <w:t>1300 888 067</w:t>
            </w:r>
          </w:p>
        </w:tc>
      </w:tr>
      <w:tr w:rsidR="00A61FF5" w:rsidRPr="00932A90" w14:paraId="4D8860DC" w14:textId="77777777" w:rsidTr="00421660">
        <w:trPr>
          <w:cantSplit/>
        </w:trPr>
        <w:tc>
          <w:tcPr>
            <w:tcW w:w="1840" w:type="dxa"/>
            <w:tcBorders>
              <w:top w:val="nil"/>
              <w:left w:val="nil"/>
              <w:bottom w:val="single" w:sz="4" w:space="0" w:color="auto"/>
              <w:right w:val="nil"/>
            </w:tcBorders>
            <w:tcMar>
              <w:top w:w="0" w:type="dxa"/>
              <w:left w:w="45" w:type="dxa"/>
              <w:bottom w:w="0" w:type="dxa"/>
              <w:right w:w="45" w:type="dxa"/>
            </w:tcMar>
            <w:hideMark/>
          </w:tcPr>
          <w:p w14:paraId="09686833" w14:textId="77777777" w:rsidR="00A61FF5" w:rsidRPr="006E49EE" w:rsidRDefault="00A61FF5" w:rsidP="00D07480">
            <w:pPr>
              <w:pStyle w:val="ESTableBody"/>
              <w:rPr>
                <w:lang w:val="en-AU"/>
              </w:rPr>
            </w:pPr>
            <w:r w:rsidRPr="006E49EE">
              <w:rPr>
                <w:lang w:val="en-AU"/>
              </w:rPr>
              <w:t>Disciplinary Appeals Boards</w:t>
            </w:r>
          </w:p>
        </w:tc>
        <w:tc>
          <w:tcPr>
            <w:tcW w:w="1891" w:type="dxa"/>
            <w:tcBorders>
              <w:top w:val="nil"/>
              <w:left w:val="nil"/>
              <w:bottom w:val="single" w:sz="4" w:space="0" w:color="auto"/>
              <w:right w:val="nil"/>
            </w:tcBorders>
            <w:tcMar>
              <w:top w:w="0" w:type="dxa"/>
              <w:left w:w="45" w:type="dxa"/>
              <w:bottom w:w="0" w:type="dxa"/>
              <w:right w:w="45" w:type="dxa"/>
            </w:tcMar>
            <w:vAlign w:val="bottom"/>
            <w:hideMark/>
          </w:tcPr>
          <w:p w14:paraId="05722387" w14:textId="77777777" w:rsidR="00A61FF5" w:rsidRPr="006E49EE" w:rsidRDefault="00A61FF5" w:rsidP="00D07480">
            <w:pPr>
              <w:pStyle w:val="ESTableBody"/>
              <w:rPr>
                <w:lang w:val="en-AU"/>
              </w:rPr>
            </w:pPr>
            <w:r w:rsidRPr="006E49EE">
              <w:rPr>
                <w:lang w:val="en-AU"/>
              </w:rPr>
              <w:t xml:space="preserve">Level 4 </w:t>
            </w:r>
            <w:r w:rsidRPr="006E49EE">
              <w:rPr>
                <w:lang w:val="en-AU"/>
              </w:rPr>
              <w:br/>
              <w:t>2 Lonsdale Street</w:t>
            </w:r>
            <w:r w:rsidRPr="006E49EE">
              <w:rPr>
                <w:lang w:val="en-AU"/>
              </w:rPr>
              <w:br/>
              <w:t>Melbourne 3000</w:t>
            </w:r>
          </w:p>
        </w:tc>
        <w:tc>
          <w:tcPr>
            <w:tcW w:w="2551" w:type="dxa"/>
            <w:tcBorders>
              <w:top w:val="nil"/>
              <w:left w:val="nil"/>
              <w:bottom w:val="single" w:sz="4" w:space="0" w:color="auto"/>
              <w:right w:val="nil"/>
            </w:tcBorders>
            <w:tcMar>
              <w:top w:w="0" w:type="dxa"/>
              <w:left w:w="45" w:type="dxa"/>
              <w:bottom w:w="0" w:type="dxa"/>
              <w:right w:w="45" w:type="dxa"/>
            </w:tcMar>
          </w:tcPr>
          <w:p w14:paraId="06C9B1F6" w14:textId="77777777" w:rsidR="00A61FF5" w:rsidRPr="006E49EE" w:rsidRDefault="00674F4D" w:rsidP="00D07480">
            <w:pPr>
              <w:pStyle w:val="ESTableBody"/>
              <w:rPr>
                <w:szCs w:val="16"/>
                <w:u w:val="single"/>
                <w:lang w:val="en-AU"/>
              </w:rPr>
            </w:pPr>
            <w:hyperlink r:id="rId37" w:history="1">
              <w:r w:rsidR="00A61FF5" w:rsidRPr="00932A90">
                <w:rPr>
                  <w:rStyle w:val="Hyperlink"/>
                  <w:szCs w:val="16"/>
                  <w:lang w:val="en-AU"/>
                </w:rPr>
                <w:t>meritboards@edumail.vic.gov.au</w:t>
              </w:r>
            </w:hyperlink>
          </w:p>
          <w:p w14:paraId="02BCDB86" w14:textId="77777777" w:rsidR="00A61FF5" w:rsidRPr="006E49EE" w:rsidRDefault="00A61FF5" w:rsidP="00D07480">
            <w:pPr>
              <w:rPr>
                <w:u w:val="single"/>
                <w:lang w:val="en-AU"/>
              </w:rPr>
            </w:pPr>
          </w:p>
        </w:tc>
        <w:tc>
          <w:tcPr>
            <w:tcW w:w="1178" w:type="dxa"/>
            <w:tcBorders>
              <w:top w:val="nil"/>
              <w:left w:val="nil"/>
              <w:bottom w:val="single" w:sz="4" w:space="0" w:color="auto"/>
              <w:right w:val="nil"/>
            </w:tcBorders>
            <w:tcMar>
              <w:top w:w="0" w:type="dxa"/>
              <w:left w:w="45" w:type="dxa"/>
              <w:bottom w:w="0" w:type="dxa"/>
              <w:right w:w="45" w:type="dxa"/>
            </w:tcMar>
            <w:hideMark/>
          </w:tcPr>
          <w:p w14:paraId="223E5D27" w14:textId="77777777" w:rsidR="00A61FF5" w:rsidRPr="006E49EE" w:rsidRDefault="00A61FF5" w:rsidP="00D07480">
            <w:pPr>
              <w:pStyle w:val="ESTableBody"/>
              <w:rPr>
                <w:lang w:val="en-AU"/>
              </w:rPr>
            </w:pPr>
            <w:r w:rsidRPr="006E49EE">
              <w:rPr>
                <w:lang w:val="en-AU"/>
              </w:rPr>
              <w:t>(03) 9032 1701</w:t>
            </w:r>
          </w:p>
        </w:tc>
      </w:tr>
    </w:tbl>
    <w:p w14:paraId="03F8B18A" w14:textId="77777777" w:rsidR="00A61FF5" w:rsidRPr="004B6C01" w:rsidRDefault="00A61FF5" w:rsidP="006E49EE">
      <w:pPr>
        <w:pStyle w:val="Normalaftertable"/>
      </w:pPr>
      <w:r w:rsidRPr="004B6C01">
        <w:t xml:space="preserve">Requests can also be lodged online at </w:t>
      </w:r>
      <w:hyperlink r:id="rId38" w:history="1">
        <w:r w:rsidRPr="00932A90">
          <w:rPr>
            <w:rStyle w:val="Hyperlink"/>
          </w:rPr>
          <w:t>www.foi.vic.gov.au</w:t>
        </w:r>
      </w:hyperlink>
      <w:r w:rsidRPr="00BE48F9">
        <w:t>.</w:t>
      </w:r>
    </w:p>
    <w:p w14:paraId="76BFB7E6" w14:textId="77777777" w:rsidR="00A61FF5" w:rsidRPr="006E49EE" w:rsidRDefault="00A61FF5" w:rsidP="00A61FF5">
      <w:pPr>
        <w:pStyle w:val="ESBodyText"/>
        <w:rPr>
          <w:lang w:val="en-AU"/>
        </w:rPr>
      </w:pPr>
      <w:r w:rsidRPr="006E49EE">
        <w:rPr>
          <w:lang w:val="en-AU"/>
        </w:rPr>
        <w:t>Access charges may apply once documents have been processed and a decision is made on access; for example, for photocopying, and search and retrieval charges.</w:t>
      </w:r>
    </w:p>
    <w:p w14:paraId="33FED84F" w14:textId="77777777" w:rsidR="00A61FF5" w:rsidRPr="006E49EE" w:rsidRDefault="00A61FF5" w:rsidP="00A61FF5">
      <w:pPr>
        <w:pStyle w:val="ESBodyText"/>
        <w:rPr>
          <w:lang w:val="en-AU"/>
        </w:rPr>
      </w:pPr>
      <w:r w:rsidRPr="006E49EE">
        <w:rPr>
          <w:lang w:val="en-AU"/>
        </w:rPr>
        <w:t>Further information regarding freedom of information can be found at www.foi.vic.gov.au.</w:t>
      </w:r>
    </w:p>
    <w:p w14:paraId="52BD1BF3" w14:textId="61FBBD38" w:rsidR="00A61FF5" w:rsidRPr="006E49EE" w:rsidRDefault="00A61FF5" w:rsidP="00D2232D">
      <w:pPr>
        <w:pStyle w:val="ESHeading2"/>
      </w:pPr>
      <w:bookmarkStart w:id="261" w:name="_Toc488410128"/>
      <w:bookmarkStart w:id="262" w:name="_Toc488767600"/>
      <w:bookmarkStart w:id="263" w:name="_Toc488769012"/>
      <w:bookmarkStart w:id="264" w:name="_Toc489526727"/>
      <w:bookmarkStart w:id="265" w:name="_Toc491070326"/>
      <w:bookmarkStart w:id="266" w:name="_Toc491409552"/>
      <w:bookmarkStart w:id="267" w:name="_Toc491414681"/>
      <w:r w:rsidRPr="006E49EE">
        <w:t>Compliance with DataVic Access Policy</w:t>
      </w:r>
      <w:bookmarkEnd w:id="261"/>
      <w:bookmarkEnd w:id="262"/>
      <w:bookmarkEnd w:id="263"/>
      <w:bookmarkEnd w:id="264"/>
      <w:bookmarkEnd w:id="265"/>
      <w:bookmarkEnd w:id="266"/>
      <w:bookmarkEnd w:id="267"/>
    </w:p>
    <w:p w14:paraId="3BE61D88" w14:textId="77777777" w:rsidR="00A61FF5" w:rsidRPr="006E49EE" w:rsidRDefault="00A61FF5" w:rsidP="00A61FF5">
      <w:pPr>
        <w:pStyle w:val="ESBodyText"/>
        <w:rPr>
          <w:lang w:val="en-AU"/>
        </w:rPr>
      </w:pPr>
      <w:r w:rsidRPr="006E49EE">
        <w:rPr>
          <w:lang w:val="en-AU"/>
        </w:rPr>
        <w:t>Consistent with the DataVic Access Policy issued by the Victorian Government in 2012, the information listed below and included in this Annual Report will be available at www.data.vic.gov.au in electronic readable format:</w:t>
      </w:r>
    </w:p>
    <w:p w14:paraId="0607C599" w14:textId="77777777" w:rsidR="00A61FF5" w:rsidRPr="006E49EE" w:rsidRDefault="00A61FF5" w:rsidP="00A61FF5">
      <w:pPr>
        <w:pStyle w:val="ESBullet1indent"/>
        <w:ind w:left="568" w:hanging="284"/>
        <w:rPr>
          <w:lang w:val="en-AU"/>
        </w:rPr>
      </w:pPr>
      <w:r w:rsidRPr="006E49EE">
        <w:rPr>
          <w:lang w:val="en-AU"/>
        </w:rPr>
        <w:t>Progress towards achieving departmental objectives</w:t>
      </w:r>
    </w:p>
    <w:p w14:paraId="7334343A" w14:textId="77777777" w:rsidR="00A61FF5" w:rsidRPr="006E49EE" w:rsidRDefault="00A61FF5" w:rsidP="00A61FF5">
      <w:pPr>
        <w:pStyle w:val="ESBullet1indent"/>
        <w:ind w:left="568" w:hanging="284"/>
        <w:rPr>
          <w:lang w:val="en-AU"/>
        </w:rPr>
      </w:pPr>
      <w:r w:rsidRPr="006E49EE">
        <w:rPr>
          <w:lang w:val="en-AU"/>
        </w:rPr>
        <w:t>Performance against output performance measures</w:t>
      </w:r>
    </w:p>
    <w:p w14:paraId="34C4975F" w14:textId="77777777" w:rsidR="00A61FF5" w:rsidRPr="006E49EE" w:rsidRDefault="00A61FF5" w:rsidP="00A61FF5">
      <w:pPr>
        <w:pStyle w:val="ESBullet1indent"/>
        <w:ind w:left="568" w:hanging="284"/>
        <w:rPr>
          <w:lang w:val="en-AU"/>
        </w:rPr>
      </w:pPr>
      <w:r w:rsidRPr="006E49EE">
        <w:rPr>
          <w:lang w:val="en-AU"/>
        </w:rPr>
        <w:t>Five-year financial summary</w:t>
      </w:r>
    </w:p>
    <w:p w14:paraId="74EFEC8D" w14:textId="77777777" w:rsidR="00A61FF5" w:rsidRPr="006E49EE" w:rsidRDefault="00A61FF5" w:rsidP="00A61FF5">
      <w:pPr>
        <w:pStyle w:val="ESBullet1indent"/>
        <w:ind w:left="568" w:hanging="284"/>
        <w:rPr>
          <w:lang w:val="en-AU"/>
        </w:rPr>
      </w:pPr>
      <w:r w:rsidRPr="006E49EE">
        <w:rPr>
          <w:lang w:val="en-AU"/>
        </w:rPr>
        <w:t>Performance management of occupational health and safety and workers compensation management measures</w:t>
      </w:r>
    </w:p>
    <w:p w14:paraId="3352E3A5" w14:textId="77777777" w:rsidR="00A61FF5" w:rsidRPr="006E49EE" w:rsidRDefault="00A61FF5" w:rsidP="00A61FF5">
      <w:pPr>
        <w:pStyle w:val="ESBullet1indent"/>
        <w:ind w:left="568" w:hanging="284"/>
        <w:rPr>
          <w:lang w:val="en-AU"/>
        </w:rPr>
      </w:pPr>
      <w:r w:rsidRPr="006E49EE">
        <w:rPr>
          <w:lang w:val="en-AU"/>
        </w:rPr>
        <w:t>Comparative workforce data</w:t>
      </w:r>
    </w:p>
    <w:p w14:paraId="0DF405B0" w14:textId="77777777" w:rsidR="00A61FF5" w:rsidRPr="006E49EE" w:rsidRDefault="00A61FF5" w:rsidP="00A61FF5">
      <w:pPr>
        <w:pStyle w:val="ESBullet1indent"/>
        <w:ind w:left="568" w:hanging="284"/>
        <w:rPr>
          <w:lang w:val="en-AU"/>
        </w:rPr>
      </w:pPr>
      <w:r w:rsidRPr="006E49EE">
        <w:rPr>
          <w:lang w:val="en-AU"/>
        </w:rPr>
        <w:t>Executive officers data</w:t>
      </w:r>
    </w:p>
    <w:p w14:paraId="658AF51F" w14:textId="77777777" w:rsidR="00A61FF5" w:rsidRPr="006E49EE" w:rsidRDefault="00A61FF5" w:rsidP="00A61FF5">
      <w:pPr>
        <w:pStyle w:val="ESBullet1indent"/>
        <w:ind w:left="568" w:hanging="284"/>
        <w:rPr>
          <w:lang w:val="en-AU"/>
        </w:rPr>
      </w:pPr>
      <w:r w:rsidRPr="006E49EE">
        <w:rPr>
          <w:lang w:val="en-AU"/>
        </w:rPr>
        <w:t>Government advertising expenditure</w:t>
      </w:r>
    </w:p>
    <w:p w14:paraId="1EEA8B58" w14:textId="77777777" w:rsidR="00A61FF5" w:rsidRPr="006E49EE" w:rsidRDefault="00A61FF5" w:rsidP="00A61FF5">
      <w:pPr>
        <w:pStyle w:val="ESBullet1indent"/>
        <w:ind w:left="568" w:hanging="284"/>
        <w:rPr>
          <w:lang w:val="en-AU"/>
        </w:rPr>
      </w:pPr>
      <w:r w:rsidRPr="006E49EE">
        <w:rPr>
          <w:lang w:val="en-AU"/>
        </w:rPr>
        <w:t>Financial statements (key financial information)</w:t>
      </w:r>
    </w:p>
    <w:p w14:paraId="26F063B8" w14:textId="667333B7" w:rsidR="00A61FF5" w:rsidRPr="006E49EE" w:rsidRDefault="00A61FF5" w:rsidP="00A61FF5">
      <w:pPr>
        <w:pStyle w:val="ESBullet1indent"/>
        <w:ind w:left="568" w:hanging="284"/>
        <w:rPr>
          <w:lang w:val="en-AU"/>
        </w:rPr>
      </w:pPr>
      <w:r w:rsidRPr="006E49EE">
        <w:rPr>
          <w:lang w:val="en-AU"/>
        </w:rPr>
        <w:t>Appendix 2 Budget portfolio outcomes</w:t>
      </w:r>
      <w:r w:rsidR="00682774" w:rsidRPr="006E49EE">
        <w:rPr>
          <w:lang w:val="en-AU"/>
        </w:rPr>
        <w:t>.</w:t>
      </w:r>
    </w:p>
    <w:p w14:paraId="6F2E5EE3" w14:textId="72B0BDA7" w:rsidR="00A61FF5" w:rsidRPr="006E49EE" w:rsidRDefault="00A61FF5" w:rsidP="00D2232D">
      <w:pPr>
        <w:pStyle w:val="ESHeading2"/>
      </w:pPr>
      <w:bookmarkStart w:id="268" w:name="_Toc488410129"/>
      <w:bookmarkStart w:id="269" w:name="_Toc488767601"/>
      <w:bookmarkStart w:id="270" w:name="_Toc488769013"/>
      <w:bookmarkStart w:id="271" w:name="_Toc489526728"/>
      <w:bookmarkStart w:id="272" w:name="_Toc491070327"/>
      <w:bookmarkStart w:id="273" w:name="_Toc491409553"/>
      <w:bookmarkStart w:id="274" w:name="_Toc491414682"/>
      <w:r w:rsidRPr="006E49EE">
        <w:t xml:space="preserve">Compliance with the </w:t>
      </w:r>
      <w:r w:rsidRPr="006E49EE">
        <w:rPr>
          <w:i/>
        </w:rPr>
        <w:t>Building Act 1993</w:t>
      </w:r>
      <w:bookmarkEnd w:id="268"/>
      <w:bookmarkEnd w:id="269"/>
      <w:bookmarkEnd w:id="270"/>
      <w:bookmarkEnd w:id="271"/>
      <w:bookmarkEnd w:id="272"/>
      <w:bookmarkEnd w:id="273"/>
      <w:bookmarkEnd w:id="274"/>
    </w:p>
    <w:p w14:paraId="60FB0A85" w14:textId="77777777" w:rsidR="00A61FF5" w:rsidRPr="006E49EE" w:rsidRDefault="00A61FF5" w:rsidP="00A61FF5">
      <w:pPr>
        <w:pStyle w:val="ESHeading3"/>
        <w:rPr>
          <w:lang w:val="en-AU"/>
        </w:rPr>
      </w:pPr>
      <w:r w:rsidRPr="006E49EE">
        <w:rPr>
          <w:lang w:val="en-AU"/>
        </w:rPr>
        <w:t>Mechanisms to ensure that buildings conform to the building standards</w:t>
      </w:r>
    </w:p>
    <w:p w14:paraId="19CF8B6D" w14:textId="77777777" w:rsidR="00A61FF5" w:rsidRPr="006E49EE" w:rsidRDefault="00A61FF5" w:rsidP="00A61FF5">
      <w:pPr>
        <w:pStyle w:val="ESBodyText"/>
        <w:rPr>
          <w:lang w:val="en-AU"/>
        </w:rPr>
      </w:pPr>
      <w:r w:rsidRPr="006E49EE">
        <w:rPr>
          <w:lang w:val="en-AU"/>
        </w:rPr>
        <w:t xml:space="preserve">The Department complies with the </w:t>
      </w:r>
      <w:r w:rsidRPr="006E49EE">
        <w:rPr>
          <w:i/>
          <w:lang w:val="en-AU"/>
        </w:rPr>
        <w:t>Building Act 1993</w:t>
      </w:r>
      <w:r w:rsidRPr="006E49EE">
        <w:rPr>
          <w:lang w:val="en-AU"/>
        </w:rPr>
        <w:t xml:space="preserve"> and other statutory obligations with respect to construction and modernisation of educational facilities. The school modernisation program and building compliance program progressively ensure that existing buildings comply with relevant legislative requirements.</w:t>
      </w:r>
    </w:p>
    <w:p w14:paraId="4A2498C8" w14:textId="77777777" w:rsidR="00A61FF5" w:rsidRPr="006E49EE" w:rsidRDefault="00A61FF5" w:rsidP="00A61FF5">
      <w:pPr>
        <w:pStyle w:val="ESHeading3"/>
        <w:rPr>
          <w:lang w:val="en-AU"/>
        </w:rPr>
      </w:pPr>
      <w:r w:rsidRPr="006E49EE">
        <w:rPr>
          <w:lang w:val="en-AU"/>
        </w:rPr>
        <w:t>Major works projects (greater than $50,000)</w:t>
      </w:r>
    </w:p>
    <w:p w14:paraId="790615BB" w14:textId="77777777" w:rsidR="00A61FF5" w:rsidRPr="006E49EE" w:rsidRDefault="00A61FF5" w:rsidP="00A61FF5">
      <w:pPr>
        <w:pStyle w:val="ESBodyText"/>
        <w:rPr>
          <w:rFonts w:eastAsia="Times New Roman"/>
          <w:lang w:val="en-AU"/>
        </w:rPr>
      </w:pPr>
      <w:r w:rsidRPr="006E49EE">
        <w:rPr>
          <w:rFonts w:eastAsia="Times New Roman"/>
          <w:lang w:val="en-AU"/>
        </w:rPr>
        <w:t>For details of all such projects, see 2016–17 Budget Paper No. 4: State Capital Program.</w:t>
      </w:r>
    </w:p>
    <w:p w14:paraId="797CA868" w14:textId="77777777" w:rsidR="00A61FF5" w:rsidRPr="006E49EE" w:rsidRDefault="00A61FF5" w:rsidP="00A61FF5">
      <w:pPr>
        <w:pStyle w:val="ESBodyText"/>
        <w:rPr>
          <w:lang w:val="en-AU"/>
        </w:rPr>
      </w:pPr>
      <w:r w:rsidRPr="006E49EE">
        <w:rPr>
          <w:lang w:val="en-AU"/>
        </w:rPr>
        <w:t>During 2016–17, major works (greater than $50,000) not subject to certification of plans, mandatory inspections of the works, and issue of occupancy permits or certificates of final inspection, were undertaken at the following schools:</w:t>
      </w:r>
    </w:p>
    <w:tbl>
      <w:tblPr>
        <w:tblW w:w="0" w:type="auto"/>
        <w:tblBorders>
          <w:bottom w:val="single" w:sz="4" w:space="0" w:color="auto"/>
        </w:tblBorders>
        <w:tblLook w:val="04A0" w:firstRow="1" w:lastRow="0" w:firstColumn="1" w:lastColumn="0" w:noHBand="0" w:noVBand="1"/>
      </w:tblPr>
      <w:tblGrid>
        <w:gridCol w:w="3677"/>
        <w:gridCol w:w="3687"/>
      </w:tblGrid>
      <w:tr w:rsidR="00A61FF5" w:rsidRPr="00932A90" w14:paraId="1C098702" w14:textId="77777777" w:rsidTr="00D07480">
        <w:tc>
          <w:tcPr>
            <w:tcW w:w="3677" w:type="dxa"/>
          </w:tcPr>
          <w:p w14:paraId="3E559930" w14:textId="77777777" w:rsidR="00A61FF5" w:rsidRPr="006E49EE" w:rsidRDefault="00A61FF5" w:rsidP="00D07480">
            <w:pPr>
              <w:pStyle w:val="ESTableBody"/>
              <w:ind w:left="-107"/>
              <w:rPr>
                <w:rFonts w:eastAsia="Calibri"/>
                <w:lang w:val="en-AU"/>
              </w:rPr>
            </w:pPr>
            <w:r w:rsidRPr="006E49EE">
              <w:rPr>
                <w:rFonts w:eastAsia="Calibri"/>
                <w:lang w:val="en-AU"/>
              </w:rPr>
              <w:t>Bellbrae Primary School</w:t>
            </w:r>
          </w:p>
          <w:p w14:paraId="74E2A691" w14:textId="77777777" w:rsidR="00A61FF5" w:rsidRPr="006E49EE" w:rsidRDefault="00A61FF5" w:rsidP="00D07480">
            <w:pPr>
              <w:pStyle w:val="ESTableBody"/>
              <w:ind w:left="-107"/>
              <w:rPr>
                <w:rFonts w:eastAsia="Calibri"/>
                <w:lang w:val="en-AU"/>
              </w:rPr>
            </w:pPr>
            <w:r w:rsidRPr="006E49EE">
              <w:rPr>
                <w:rFonts w:eastAsia="Calibri"/>
                <w:lang w:val="en-AU"/>
              </w:rPr>
              <w:t>Ceres Primary School</w:t>
            </w:r>
          </w:p>
          <w:p w14:paraId="361D0A9A" w14:textId="77777777" w:rsidR="00A61FF5" w:rsidRPr="006E49EE" w:rsidRDefault="00A61FF5" w:rsidP="00D07480">
            <w:pPr>
              <w:pStyle w:val="ESTableBody"/>
              <w:ind w:left="-107"/>
              <w:rPr>
                <w:rFonts w:eastAsia="Calibri"/>
                <w:lang w:val="en-AU"/>
              </w:rPr>
            </w:pPr>
            <w:r w:rsidRPr="006E49EE">
              <w:rPr>
                <w:rFonts w:eastAsia="Calibri"/>
                <w:lang w:val="en-AU"/>
              </w:rPr>
              <w:t>Dandenong North Primary School</w:t>
            </w:r>
          </w:p>
          <w:p w14:paraId="132C8E97" w14:textId="77777777" w:rsidR="00A61FF5" w:rsidRPr="006E49EE" w:rsidRDefault="00A61FF5" w:rsidP="00D07480">
            <w:pPr>
              <w:pStyle w:val="ESTableBody"/>
              <w:ind w:left="-107"/>
              <w:rPr>
                <w:rFonts w:eastAsia="Calibri"/>
                <w:lang w:val="en-AU"/>
              </w:rPr>
            </w:pPr>
            <w:r w:rsidRPr="006E49EE">
              <w:rPr>
                <w:rFonts w:eastAsia="Calibri"/>
                <w:lang w:val="en-AU"/>
              </w:rPr>
              <w:t>Dimboola Primary School</w:t>
            </w:r>
          </w:p>
          <w:p w14:paraId="2F66E5C3" w14:textId="77777777" w:rsidR="00A61FF5" w:rsidRPr="006E49EE" w:rsidRDefault="00A61FF5" w:rsidP="00D07480">
            <w:pPr>
              <w:pStyle w:val="ESTableBody"/>
              <w:ind w:left="-107"/>
              <w:rPr>
                <w:rFonts w:eastAsia="Calibri"/>
                <w:lang w:val="en-AU"/>
              </w:rPr>
            </w:pPr>
            <w:r w:rsidRPr="006E49EE">
              <w:rPr>
                <w:rFonts w:eastAsia="Calibri"/>
                <w:lang w:val="en-AU"/>
              </w:rPr>
              <w:t>Drouin Secondary College</w:t>
            </w:r>
          </w:p>
          <w:p w14:paraId="19893871" w14:textId="77777777" w:rsidR="00A61FF5" w:rsidRPr="006E49EE" w:rsidRDefault="00A61FF5" w:rsidP="00D07480">
            <w:pPr>
              <w:pStyle w:val="ESTableBody"/>
              <w:ind w:left="-107"/>
              <w:rPr>
                <w:rFonts w:eastAsia="Calibri"/>
                <w:lang w:val="en-AU"/>
              </w:rPr>
            </w:pPr>
            <w:r w:rsidRPr="006E49EE">
              <w:rPr>
                <w:rFonts w:eastAsia="Calibri"/>
                <w:lang w:val="en-AU"/>
              </w:rPr>
              <w:t>Drouin South Primary School</w:t>
            </w:r>
          </w:p>
          <w:p w14:paraId="40470F48" w14:textId="77777777" w:rsidR="00A61FF5" w:rsidRPr="006E49EE" w:rsidRDefault="00A61FF5" w:rsidP="00D07480">
            <w:pPr>
              <w:pStyle w:val="ESTableBody"/>
              <w:ind w:left="-107"/>
              <w:rPr>
                <w:rFonts w:eastAsia="Calibri"/>
                <w:lang w:val="en-AU"/>
              </w:rPr>
            </w:pPr>
            <w:r w:rsidRPr="006E49EE">
              <w:rPr>
                <w:rFonts w:eastAsia="Calibri"/>
                <w:lang w:val="en-AU"/>
              </w:rPr>
              <w:t>Epping Primary School</w:t>
            </w:r>
          </w:p>
          <w:p w14:paraId="01221AE5" w14:textId="77777777" w:rsidR="00A61FF5" w:rsidRPr="006E49EE" w:rsidRDefault="00A61FF5" w:rsidP="00D07480">
            <w:pPr>
              <w:pStyle w:val="ESTableBody"/>
              <w:ind w:left="-107"/>
              <w:rPr>
                <w:rFonts w:eastAsia="Calibri"/>
                <w:lang w:val="en-AU"/>
              </w:rPr>
            </w:pPr>
            <w:r w:rsidRPr="006E49EE">
              <w:rPr>
                <w:rFonts w:eastAsia="Calibri"/>
                <w:lang w:val="en-AU"/>
              </w:rPr>
              <w:t>Epping Secondary College</w:t>
            </w:r>
          </w:p>
          <w:p w14:paraId="146E7F96" w14:textId="77777777" w:rsidR="00A61FF5" w:rsidRPr="006E49EE" w:rsidRDefault="00A61FF5" w:rsidP="00D07480">
            <w:pPr>
              <w:pStyle w:val="ESTableBody"/>
              <w:ind w:left="-107"/>
              <w:rPr>
                <w:rFonts w:eastAsia="Calibri"/>
                <w:lang w:val="en-AU"/>
              </w:rPr>
            </w:pPr>
            <w:r w:rsidRPr="006E49EE">
              <w:rPr>
                <w:rFonts w:eastAsia="Calibri"/>
                <w:lang w:val="en-AU"/>
              </w:rPr>
              <w:t>Gisborne Secondary College</w:t>
            </w:r>
          </w:p>
          <w:p w14:paraId="6E216067" w14:textId="77777777" w:rsidR="00A61FF5" w:rsidRPr="006E49EE" w:rsidRDefault="00A61FF5" w:rsidP="00D07480">
            <w:pPr>
              <w:pStyle w:val="ESTableBody"/>
              <w:ind w:left="-107"/>
              <w:rPr>
                <w:rFonts w:eastAsia="Calibri"/>
                <w:lang w:val="en-AU"/>
              </w:rPr>
            </w:pPr>
            <w:r w:rsidRPr="006E49EE">
              <w:rPr>
                <w:rFonts w:eastAsia="Calibri"/>
                <w:lang w:val="en-AU"/>
              </w:rPr>
              <w:t>Glen Waverley Secondary College</w:t>
            </w:r>
          </w:p>
          <w:p w14:paraId="117C3CA1" w14:textId="77777777" w:rsidR="00A61FF5" w:rsidRPr="006E49EE" w:rsidRDefault="00A61FF5" w:rsidP="00D07480">
            <w:pPr>
              <w:pStyle w:val="ESTableBody"/>
              <w:ind w:left="-107"/>
              <w:rPr>
                <w:rFonts w:eastAsia="Calibri"/>
                <w:lang w:val="en-AU"/>
              </w:rPr>
            </w:pPr>
            <w:r w:rsidRPr="006E49EE">
              <w:rPr>
                <w:rFonts w:eastAsia="Calibri"/>
                <w:lang w:val="en-AU"/>
              </w:rPr>
              <w:t>Glenferrie Primary School</w:t>
            </w:r>
          </w:p>
          <w:p w14:paraId="662EA941" w14:textId="77777777" w:rsidR="00A61FF5" w:rsidRPr="006E49EE" w:rsidRDefault="00A61FF5" w:rsidP="00D07480">
            <w:pPr>
              <w:pStyle w:val="ESTableBody"/>
              <w:ind w:left="-107"/>
              <w:rPr>
                <w:rFonts w:eastAsia="Calibri"/>
                <w:lang w:val="en-AU"/>
              </w:rPr>
            </w:pPr>
            <w:r w:rsidRPr="006E49EE">
              <w:rPr>
                <w:rFonts w:eastAsia="Calibri"/>
                <w:lang w:val="en-AU"/>
              </w:rPr>
              <w:t>Grovedale College</w:t>
            </w:r>
          </w:p>
          <w:p w14:paraId="2720085E" w14:textId="77777777" w:rsidR="00A61FF5" w:rsidRPr="006E49EE" w:rsidRDefault="00A61FF5" w:rsidP="00D07480">
            <w:pPr>
              <w:pStyle w:val="ESTableBody"/>
              <w:ind w:left="-107"/>
              <w:rPr>
                <w:rFonts w:eastAsia="Calibri"/>
                <w:lang w:val="en-AU"/>
              </w:rPr>
            </w:pPr>
            <w:r w:rsidRPr="006E49EE">
              <w:rPr>
                <w:rFonts w:eastAsia="Calibri"/>
                <w:lang w:val="en-AU"/>
              </w:rPr>
              <w:t>Heatherhill Primary School</w:t>
            </w:r>
          </w:p>
          <w:p w14:paraId="12EDCB41" w14:textId="77777777" w:rsidR="00A61FF5" w:rsidRPr="006E49EE" w:rsidRDefault="00A61FF5" w:rsidP="00D07480">
            <w:pPr>
              <w:pStyle w:val="ESTableBody"/>
              <w:ind w:left="-107"/>
              <w:rPr>
                <w:rFonts w:eastAsia="Calibri"/>
                <w:lang w:val="en-AU"/>
              </w:rPr>
            </w:pPr>
            <w:r w:rsidRPr="006E49EE">
              <w:rPr>
                <w:rFonts w:eastAsia="Calibri"/>
                <w:lang w:val="en-AU"/>
              </w:rPr>
              <w:t>Horsham West and Haven Primary School</w:t>
            </w:r>
          </w:p>
          <w:p w14:paraId="479B2C91" w14:textId="77777777" w:rsidR="00A61FF5" w:rsidRPr="006E49EE" w:rsidRDefault="00A61FF5" w:rsidP="00D07480">
            <w:pPr>
              <w:pStyle w:val="ESTableBody"/>
              <w:ind w:left="-107"/>
              <w:rPr>
                <w:rFonts w:eastAsia="Calibri"/>
                <w:lang w:val="en-AU"/>
              </w:rPr>
            </w:pPr>
            <w:r w:rsidRPr="006E49EE">
              <w:rPr>
                <w:rFonts w:eastAsia="Calibri"/>
                <w:lang w:val="en-AU"/>
              </w:rPr>
              <w:t>Katandra West Primary School</w:t>
            </w:r>
          </w:p>
          <w:p w14:paraId="27099A1C" w14:textId="77777777" w:rsidR="00A61FF5" w:rsidRPr="006E49EE" w:rsidRDefault="00A61FF5" w:rsidP="00D07480">
            <w:pPr>
              <w:pStyle w:val="ESTableBody"/>
              <w:ind w:left="-107"/>
              <w:rPr>
                <w:rFonts w:eastAsia="Calibri"/>
                <w:lang w:val="en-AU"/>
              </w:rPr>
            </w:pPr>
            <w:r w:rsidRPr="006E49EE">
              <w:rPr>
                <w:rFonts w:eastAsia="Calibri"/>
                <w:lang w:val="en-AU"/>
              </w:rPr>
              <w:t>Laharum Primary School</w:t>
            </w:r>
          </w:p>
          <w:p w14:paraId="3669D912" w14:textId="77777777" w:rsidR="00A61FF5" w:rsidRPr="006E49EE" w:rsidRDefault="00A61FF5" w:rsidP="00D07480">
            <w:pPr>
              <w:pStyle w:val="ESTableBody"/>
              <w:ind w:left="-107"/>
              <w:rPr>
                <w:rFonts w:eastAsia="Calibri"/>
                <w:lang w:val="en-AU"/>
              </w:rPr>
            </w:pPr>
            <w:r w:rsidRPr="006E49EE">
              <w:rPr>
                <w:rFonts w:eastAsia="Calibri"/>
                <w:lang w:val="en-AU"/>
              </w:rPr>
              <w:t>Lalor East Primary School</w:t>
            </w:r>
          </w:p>
          <w:p w14:paraId="15B96A86" w14:textId="77777777" w:rsidR="00A61FF5" w:rsidRPr="006E49EE" w:rsidRDefault="00A61FF5" w:rsidP="00D07480">
            <w:pPr>
              <w:pStyle w:val="ESTableBody"/>
              <w:ind w:left="-107"/>
              <w:rPr>
                <w:rFonts w:eastAsia="Calibri"/>
                <w:lang w:val="en-AU"/>
              </w:rPr>
            </w:pPr>
            <w:r w:rsidRPr="006E49EE">
              <w:rPr>
                <w:rFonts w:eastAsia="Calibri"/>
                <w:lang w:val="en-AU"/>
              </w:rPr>
              <w:t>Lara Primary School</w:t>
            </w:r>
          </w:p>
          <w:p w14:paraId="05384823" w14:textId="77777777" w:rsidR="00A61FF5" w:rsidRPr="006E49EE" w:rsidRDefault="00A61FF5" w:rsidP="00D07480">
            <w:pPr>
              <w:pStyle w:val="ESTableBody"/>
              <w:ind w:left="-107"/>
              <w:rPr>
                <w:rFonts w:eastAsia="Calibri"/>
                <w:lang w:val="en-AU"/>
              </w:rPr>
            </w:pPr>
            <w:r w:rsidRPr="006E49EE">
              <w:rPr>
                <w:rFonts w:eastAsia="Calibri"/>
                <w:lang w:val="en-AU"/>
              </w:rPr>
              <w:t>Leongatha Primary School</w:t>
            </w:r>
          </w:p>
          <w:p w14:paraId="5B3415B2" w14:textId="77777777" w:rsidR="00A61FF5" w:rsidRPr="006E49EE" w:rsidRDefault="00A61FF5" w:rsidP="00D07480">
            <w:pPr>
              <w:pStyle w:val="ESTableBody"/>
              <w:ind w:left="-107"/>
              <w:rPr>
                <w:rFonts w:eastAsia="Calibri"/>
                <w:lang w:val="en-AU"/>
              </w:rPr>
            </w:pPr>
            <w:r w:rsidRPr="006E49EE">
              <w:rPr>
                <w:rFonts w:eastAsia="Calibri"/>
                <w:lang w:val="en-AU"/>
              </w:rPr>
              <w:t>Leopold Primary School</w:t>
            </w:r>
          </w:p>
        </w:tc>
        <w:tc>
          <w:tcPr>
            <w:tcW w:w="3687" w:type="dxa"/>
          </w:tcPr>
          <w:p w14:paraId="7831233B" w14:textId="77777777" w:rsidR="00A61FF5" w:rsidRPr="006E49EE" w:rsidRDefault="00A61FF5" w:rsidP="00D07480">
            <w:pPr>
              <w:pStyle w:val="ESTableBody"/>
              <w:rPr>
                <w:rFonts w:eastAsia="Calibri"/>
                <w:lang w:val="en-AU"/>
              </w:rPr>
            </w:pPr>
            <w:r w:rsidRPr="006E49EE">
              <w:rPr>
                <w:rFonts w:eastAsia="Calibri"/>
                <w:lang w:val="en-AU"/>
              </w:rPr>
              <w:t>Lindenow Primary School</w:t>
            </w:r>
          </w:p>
          <w:p w14:paraId="102178E9" w14:textId="77777777" w:rsidR="00A61FF5" w:rsidRPr="006E49EE" w:rsidRDefault="00A61FF5" w:rsidP="00D07480">
            <w:pPr>
              <w:pStyle w:val="ESTableBody"/>
              <w:rPr>
                <w:rFonts w:eastAsia="Calibri"/>
                <w:lang w:val="en-AU"/>
              </w:rPr>
            </w:pPr>
            <w:r w:rsidRPr="006E49EE">
              <w:rPr>
                <w:rFonts w:eastAsia="Calibri"/>
                <w:lang w:val="en-AU"/>
              </w:rPr>
              <w:t>Manifold Heights Primary School</w:t>
            </w:r>
          </w:p>
          <w:p w14:paraId="6F283A77" w14:textId="77777777" w:rsidR="00A61FF5" w:rsidRPr="006E49EE" w:rsidRDefault="00A61FF5" w:rsidP="00D07480">
            <w:pPr>
              <w:pStyle w:val="ESTableBody"/>
              <w:rPr>
                <w:rFonts w:eastAsia="Calibri"/>
                <w:lang w:val="en-AU"/>
              </w:rPr>
            </w:pPr>
            <w:r w:rsidRPr="006E49EE">
              <w:rPr>
                <w:rFonts w:eastAsia="Calibri"/>
                <w:lang w:val="en-AU"/>
              </w:rPr>
              <w:t>Mansfield Primary School</w:t>
            </w:r>
          </w:p>
          <w:p w14:paraId="7557CD6E" w14:textId="77777777" w:rsidR="00A61FF5" w:rsidRPr="006E49EE" w:rsidRDefault="00A61FF5" w:rsidP="00D07480">
            <w:pPr>
              <w:pStyle w:val="ESTableBody"/>
              <w:rPr>
                <w:rFonts w:eastAsia="Calibri"/>
                <w:lang w:val="en-AU"/>
              </w:rPr>
            </w:pPr>
            <w:r w:rsidRPr="006E49EE">
              <w:rPr>
                <w:rFonts w:eastAsia="Calibri"/>
                <w:lang w:val="en-AU"/>
              </w:rPr>
              <w:t>Melton Secondary College</w:t>
            </w:r>
          </w:p>
          <w:p w14:paraId="4470EBDF" w14:textId="77777777" w:rsidR="00A61FF5" w:rsidRPr="006E49EE" w:rsidRDefault="00A61FF5" w:rsidP="00D07480">
            <w:pPr>
              <w:pStyle w:val="ESTableBody"/>
              <w:rPr>
                <w:rFonts w:eastAsia="Calibri"/>
                <w:lang w:val="en-AU"/>
              </w:rPr>
            </w:pPr>
            <w:r w:rsidRPr="006E49EE">
              <w:rPr>
                <w:rFonts w:eastAsia="Calibri"/>
                <w:lang w:val="en-AU"/>
              </w:rPr>
              <w:t>Melton South Primary School</w:t>
            </w:r>
          </w:p>
          <w:p w14:paraId="3B15AE0B" w14:textId="77777777" w:rsidR="00A61FF5" w:rsidRPr="006E49EE" w:rsidRDefault="00A61FF5" w:rsidP="00D07480">
            <w:pPr>
              <w:pStyle w:val="ESTableBody"/>
              <w:rPr>
                <w:rFonts w:eastAsia="Calibri"/>
                <w:lang w:val="en-AU"/>
              </w:rPr>
            </w:pPr>
            <w:r w:rsidRPr="006E49EE">
              <w:rPr>
                <w:rFonts w:eastAsia="Calibri"/>
                <w:lang w:val="en-AU"/>
              </w:rPr>
              <w:t>Mooroopna Park Primary School</w:t>
            </w:r>
          </w:p>
          <w:p w14:paraId="49C2A247" w14:textId="77777777" w:rsidR="00A61FF5" w:rsidRPr="006E49EE" w:rsidRDefault="00A61FF5" w:rsidP="00D07480">
            <w:pPr>
              <w:pStyle w:val="ESTableBody"/>
              <w:rPr>
                <w:rFonts w:eastAsia="Calibri"/>
                <w:lang w:val="en-AU"/>
              </w:rPr>
            </w:pPr>
            <w:r w:rsidRPr="006E49EE">
              <w:rPr>
                <w:rFonts w:eastAsia="Calibri"/>
                <w:lang w:val="en-AU"/>
              </w:rPr>
              <w:t>Mount Waverley Secondary College</w:t>
            </w:r>
          </w:p>
          <w:p w14:paraId="4AD8662B" w14:textId="77777777" w:rsidR="00A61FF5" w:rsidRPr="006E49EE" w:rsidRDefault="00A61FF5" w:rsidP="00D07480">
            <w:pPr>
              <w:pStyle w:val="ESTableBody"/>
              <w:rPr>
                <w:rFonts w:eastAsia="Calibri"/>
                <w:lang w:val="en-AU"/>
              </w:rPr>
            </w:pPr>
            <w:r w:rsidRPr="006E49EE">
              <w:rPr>
                <w:rFonts w:eastAsia="Calibri"/>
                <w:lang w:val="en-AU"/>
              </w:rPr>
              <w:t>Newcomb Secondary College</w:t>
            </w:r>
          </w:p>
          <w:p w14:paraId="6AD45A6F" w14:textId="77777777" w:rsidR="00A61FF5" w:rsidRPr="006E49EE" w:rsidRDefault="00A61FF5" w:rsidP="00D07480">
            <w:pPr>
              <w:pStyle w:val="ESTableBody"/>
              <w:rPr>
                <w:rFonts w:eastAsia="Calibri"/>
                <w:lang w:val="en-AU"/>
              </w:rPr>
            </w:pPr>
            <w:r w:rsidRPr="006E49EE">
              <w:rPr>
                <w:rFonts w:eastAsia="Calibri"/>
                <w:lang w:val="en-AU"/>
              </w:rPr>
              <w:t>Noble Park Primary School</w:t>
            </w:r>
          </w:p>
          <w:p w14:paraId="6F9E33DB" w14:textId="77777777" w:rsidR="00A61FF5" w:rsidRPr="006E49EE" w:rsidRDefault="00A61FF5" w:rsidP="00D07480">
            <w:pPr>
              <w:pStyle w:val="ESTableBody"/>
              <w:rPr>
                <w:rFonts w:eastAsia="Calibri"/>
                <w:lang w:val="en-AU"/>
              </w:rPr>
            </w:pPr>
            <w:r w:rsidRPr="006E49EE">
              <w:rPr>
                <w:rFonts w:eastAsia="Calibri"/>
                <w:lang w:val="en-AU"/>
              </w:rPr>
              <w:t>Noorat Primary School</w:t>
            </w:r>
          </w:p>
          <w:p w14:paraId="2338492E" w14:textId="77777777" w:rsidR="00A61FF5" w:rsidRPr="006E49EE" w:rsidRDefault="00A61FF5" w:rsidP="00D07480">
            <w:pPr>
              <w:pStyle w:val="ESTableBody"/>
              <w:rPr>
                <w:rFonts w:eastAsia="Calibri"/>
                <w:lang w:val="en-AU"/>
              </w:rPr>
            </w:pPr>
            <w:r w:rsidRPr="006E49EE">
              <w:rPr>
                <w:rFonts w:eastAsia="Calibri"/>
                <w:lang w:val="en-AU"/>
              </w:rPr>
              <w:t>Park Orchards Primary School</w:t>
            </w:r>
          </w:p>
          <w:p w14:paraId="415C1D7D" w14:textId="77777777" w:rsidR="00A61FF5" w:rsidRPr="006E49EE" w:rsidRDefault="00A61FF5" w:rsidP="00D07480">
            <w:pPr>
              <w:pStyle w:val="ESTableBody"/>
              <w:rPr>
                <w:rFonts w:eastAsia="Calibri"/>
                <w:lang w:val="en-AU"/>
              </w:rPr>
            </w:pPr>
            <w:r w:rsidRPr="006E49EE">
              <w:rPr>
                <w:rFonts w:eastAsia="Calibri"/>
                <w:lang w:val="en-AU"/>
              </w:rPr>
              <w:t>Romsey Primary School</w:t>
            </w:r>
          </w:p>
          <w:p w14:paraId="05E40B99" w14:textId="77777777" w:rsidR="00A61FF5" w:rsidRPr="006E49EE" w:rsidRDefault="00A61FF5" w:rsidP="00D07480">
            <w:pPr>
              <w:pStyle w:val="ESTableBody"/>
              <w:rPr>
                <w:rFonts w:eastAsia="Calibri"/>
                <w:lang w:val="en-AU"/>
              </w:rPr>
            </w:pPr>
            <w:r w:rsidRPr="006E49EE">
              <w:rPr>
                <w:rFonts w:eastAsia="Calibri"/>
                <w:lang w:val="en-AU"/>
              </w:rPr>
              <w:t>Sunbury Heights Primary School</w:t>
            </w:r>
          </w:p>
          <w:p w14:paraId="189D8F20" w14:textId="77777777" w:rsidR="00A61FF5" w:rsidRPr="006E49EE" w:rsidRDefault="00A61FF5" w:rsidP="00D07480">
            <w:pPr>
              <w:pStyle w:val="ESTableBody"/>
              <w:rPr>
                <w:rFonts w:eastAsia="Calibri"/>
                <w:lang w:val="en-AU"/>
              </w:rPr>
            </w:pPr>
            <w:r w:rsidRPr="006E49EE">
              <w:rPr>
                <w:rFonts w:eastAsia="Calibri"/>
                <w:lang w:val="en-AU"/>
              </w:rPr>
              <w:t>Sunshine Heights Primary School</w:t>
            </w:r>
          </w:p>
          <w:p w14:paraId="6F888E59" w14:textId="77777777" w:rsidR="00A61FF5" w:rsidRPr="006E49EE" w:rsidRDefault="00A61FF5" w:rsidP="00D07480">
            <w:pPr>
              <w:pStyle w:val="ESTableBody"/>
              <w:rPr>
                <w:rFonts w:eastAsia="Calibri"/>
                <w:lang w:val="en-AU"/>
              </w:rPr>
            </w:pPr>
            <w:r w:rsidRPr="006E49EE">
              <w:rPr>
                <w:rFonts w:eastAsia="Calibri"/>
                <w:lang w:val="en-AU"/>
              </w:rPr>
              <w:t>Thomastown Secondary College</w:t>
            </w:r>
          </w:p>
          <w:p w14:paraId="64C9D05C" w14:textId="77777777" w:rsidR="00A61FF5" w:rsidRPr="006E49EE" w:rsidRDefault="00A61FF5" w:rsidP="00D07480">
            <w:pPr>
              <w:pStyle w:val="ESTableBody"/>
              <w:rPr>
                <w:rFonts w:eastAsia="Calibri"/>
                <w:lang w:val="en-AU"/>
              </w:rPr>
            </w:pPr>
            <w:r w:rsidRPr="006E49EE">
              <w:rPr>
                <w:rFonts w:eastAsia="Calibri"/>
                <w:lang w:val="en-AU"/>
              </w:rPr>
              <w:t>Torquay P-6 College</w:t>
            </w:r>
          </w:p>
          <w:p w14:paraId="2D4B4625" w14:textId="77777777" w:rsidR="00A61FF5" w:rsidRPr="006E49EE" w:rsidRDefault="00A61FF5" w:rsidP="00D07480">
            <w:pPr>
              <w:pStyle w:val="ESTableBody"/>
              <w:rPr>
                <w:rFonts w:eastAsia="Calibri"/>
                <w:lang w:val="en-AU"/>
              </w:rPr>
            </w:pPr>
            <w:r w:rsidRPr="006E49EE">
              <w:rPr>
                <w:rFonts w:eastAsia="Calibri"/>
                <w:lang w:val="en-AU"/>
              </w:rPr>
              <w:t>Traralgon (Liddiard Road) Primary School</w:t>
            </w:r>
          </w:p>
          <w:p w14:paraId="3BCEC26C" w14:textId="77777777" w:rsidR="00A61FF5" w:rsidRPr="006E49EE" w:rsidRDefault="00A61FF5" w:rsidP="00D07480">
            <w:pPr>
              <w:pStyle w:val="ESTableBody"/>
              <w:rPr>
                <w:rFonts w:eastAsia="Calibri"/>
                <w:lang w:val="en-AU"/>
              </w:rPr>
            </w:pPr>
            <w:r w:rsidRPr="006E49EE">
              <w:rPr>
                <w:rFonts w:eastAsia="Calibri"/>
                <w:lang w:val="en-AU"/>
              </w:rPr>
              <w:t>Warracknabeal Primary School</w:t>
            </w:r>
          </w:p>
          <w:p w14:paraId="06057FEE" w14:textId="77777777" w:rsidR="00A61FF5" w:rsidRPr="006E49EE" w:rsidRDefault="00A61FF5" w:rsidP="00D07480">
            <w:pPr>
              <w:pStyle w:val="ESTableBody"/>
              <w:rPr>
                <w:rFonts w:eastAsia="Calibri"/>
                <w:lang w:val="en-AU"/>
              </w:rPr>
            </w:pPr>
            <w:r w:rsidRPr="006E49EE">
              <w:rPr>
                <w:rFonts w:eastAsia="Calibri"/>
                <w:lang w:val="en-AU"/>
              </w:rPr>
              <w:t>Wonthaggi Primary School</w:t>
            </w:r>
          </w:p>
        </w:tc>
      </w:tr>
    </w:tbl>
    <w:p w14:paraId="348D1E63" w14:textId="77777777" w:rsidR="00A61FF5" w:rsidRPr="006E49EE" w:rsidRDefault="00A61FF5" w:rsidP="00A61FF5">
      <w:pPr>
        <w:pStyle w:val="ESHeading3"/>
        <w:rPr>
          <w:lang w:val="en-AU"/>
        </w:rPr>
      </w:pPr>
      <w:r w:rsidRPr="006E49EE">
        <w:rPr>
          <w:lang w:val="en-AU"/>
        </w:rPr>
        <w:t>Mechanisms for inspection, reporting, scheduling and carrying out of rectification and maintenance works on existing buildings</w:t>
      </w:r>
    </w:p>
    <w:p w14:paraId="24D37A75" w14:textId="77777777" w:rsidR="00A61FF5" w:rsidRPr="006E49EE" w:rsidRDefault="00A61FF5" w:rsidP="00A61FF5">
      <w:pPr>
        <w:pStyle w:val="ESBodyText"/>
        <w:rPr>
          <w:highlight w:val="yellow"/>
          <w:lang w:val="en-AU"/>
        </w:rPr>
      </w:pPr>
      <w:r w:rsidRPr="006E49EE">
        <w:rPr>
          <w:lang w:val="en-AU"/>
        </w:rPr>
        <w:t>The Department engages the program managers of compliance programs to carry out inspections, reporting, scheduling, and rectification works designed to bring existing buildings into compliance with current building regulations. Compliance programs cover areas such as asbestos removal, fire service upgrades, integration (disability access), environmental (such as the removal of underground petroleum storage systems), and works aimed at preventing falls. The Department also operates an emergency maintenance program to respond to any unforeseen issues that pose an immediate and serious health and safety risk.</w:t>
      </w:r>
    </w:p>
    <w:p w14:paraId="600DA0B6" w14:textId="2C96C45F" w:rsidR="00A61FF5" w:rsidRPr="006E49EE" w:rsidRDefault="00A61FF5" w:rsidP="00D2232D">
      <w:pPr>
        <w:pStyle w:val="ESHeading2"/>
      </w:pPr>
      <w:bookmarkStart w:id="275" w:name="_Toc488410130"/>
      <w:bookmarkStart w:id="276" w:name="_Toc488767602"/>
      <w:bookmarkStart w:id="277" w:name="_Toc488769014"/>
      <w:bookmarkStart w:id="278" w:name="_Toc489526729"/>
      <w:bookmarkStart w:id="279" w:name="_Toc491070328"/>
      <w:bookmarkStart w:id="280" w:name="_Toc491409554"/>
      <w:bookmarkStart w:id="281" w:name="_Toc491414683"/>
      <w:r w:rsidRPr="006E49EE">
        <w:t>National Competition Policy</w:t>
      </w:r>
      <w:bookmarkEnd w:id="275"/>
      <w:bookmarkEnd w:id="276"/>
      <w:bookmarkEnd w:id="277"/>
      <w:bookmarkEnd w:id="278"/>
      <w:bookmarkEnd w:id="279"/>
      <w:bookmarkEnd w:id="280"/>
      <w:bookmarkEnd w:id="281"/>
    </w:p>
    <w:p w14:paraId="05DB4787" w14:textId="0A50A020" w:rsidR="00A61FF5" w:rsidRDefault="00AA0450" w:rsidP="00A61FF5">
      <w:pPr>
        <w:pStyle w:val="ESBodyText"/>
        <w:rPr>
          <w:lang w:val="en-AU"/>
        </w:rPr>
      </w:pPr>
      <w:r w:rsidRPr="00AA0450">
        <w:rPr>
          <w:lang w:val="en-AU"/>
        </w:rPr>
        <w:t>Under the National Competition Policy, the guiding principle is that legislation, including future legislative proposals, should not restrict competition unless it can be demonstrated that the:</w:t>
      </w:r>
    </w:p>
    <w:p w14:paraId="521B9F79" w14:textId="57F25A16" w:rsidR="00AA0450" w:rsidRDefault="00AA0450" w:rsidP="00AA0450">
      <w:pPr>
        <w:pStyle w:val="ESBullet1indent"/>
        <w:ind w:left="568" w:hanging="284"/>
        <w:rPr>
          <w:lang w:val="en-AU"/>
        </w:rPr>
      </w:pPr>
      <w:r w:rsidRPr="00AA0450">
        <w:rPr>
          <w:lang w:val="en-AU"/>
        </w:rPr>
        <w:t>benefits of the restriction to the community as a whole outweigh the costs</w:t>
      </w:r>
    </w:p>
    <w:p w14:paraId="0776D86F" w14:textId="2ED79B0F" w:rsidR="00AA0450" w:rsidRDefault="00AA0450" w:rsidP="00AA0450">
      <w:pPr>
        <w:pStyle w:val="ESBullet1indent"/>
        <w:ind w:left="568" w:hanging="284"/>
        <w:rPr>
          <w:lang w:val="en-AU"/>
        </w:rPr>
      </w:pPr>
      <w:r w:rsidRPr="00AA0450">
        <w:rPr>
          <w:lang w:val="en-AU"/>
        </w:rPr>
        <w:t>objectives of the legislation can only be achieved by restricting competition.</w:t>
      </w:r>
    </w:p>
    <w:p w14:paraId="11572E22" w14:textId="771A3F8B" w:rsidR="00AA0450" w:rsidRDefault="00AA0450" w:rsidP="00C76FDC">
      <w:pPr>
        <w:pStyle w:val="ESBodyText"/>
        <w:rPr>
          <w:lang w:val="en-AU"/>
        </w:rPr>
      </w:pPr>
      <w:r>
        <w:rPr>
          <w:lang w:val="en-AU"/>
        </w:rPr>
        <w:t>C</w:t>
      </w:r>
      <w:r w:rsidRPr="00AA0450">
        <w:rPr>
          <w:lang w:val="en-AU"/>
        </w:rPr>
        <w:t>ompetitive neutrality requires government businesses to ensure, where services compete or potentially compete with the private sector, that any advantage arising solely from their government ownership be removed if it is not in the public interest. Government businesses are required to cost and price these services as if they were privately owned and are therefore required to be fully cost-reflective. The National Competition Policy provides government businesses with a tool to enhance decisions on resource allocation. It does not override other policy objectives and focuses on efficient service provision</w:t>
      </w:r>
      <w:r>
        <w:rPr>
          <w:lang w:val="en-AU"/>
        </w:rPr>
        <w:t>.</w:t>
      </w:r>
    </w:p>
    <w:p w14:paraId="4504B141" w14:textId="3E17DEAD" w:rsidR="00AA0450" w:rsidRPr="00AA0450" w:rsidRDefault="00AA0450" w:rsidP="00C76FDC">
      <w:pPr>
        <w:pStyle w:val="ESBodyText"/>
        <w:rPr>
          <w:lang w:val="en-AU"/>
        </w:rPr>
      </w:pPr>
      <w:r>
        <w:rPr>
          <w:lang w:val="en-AU"/>
        </w:rPr>
        <w:t xml:space="preserve">The Department continues to comply with the National Competition Policy. All new legislation and regulations enacted within the portfolio during 2016–17 were subject to </w:t>
      </w:r>
      <w:r w:rsidR="002D510A">
        <w:rPr>
          <w:lang w:val="en-AU"/>
        </w:rPr>
        <w:t xml:space="preserve">a regulatory burden </w:t>
      </w:r>
      <w:r>
        <w:rPr>
          <w:lang w:val="en-AU"/>
        </w:rPr>
        <w:t>assessment</w:t>
      </w:r>
      <w:r w:rsidR="002D510A">
        <w:rPr>
          <w:lang w:val="en-AU"/>
        </w:rPr>
        <w:t xml:space="preserve">, which included consideration of the principles contained in the </w:t>
      </w:r>
      <w:r>
        <w:rPr>
          <w:lang w:val="en-AU"/>
        </w:rPr>
        <w:t xml:space="preserve">National Competition Policy. </w:t>
      </w:r>
    </w:p>
    <w:p w14:paraId="4853BE9D" w14:textId="4F340BFD" w:rsidR="00A61FF5" w:rsidRPr="006E49EE" w:rsidRDefault="00A61FF5" w:rsidP="00D2232D">
      <w:pPr>
        <w:pStyle w:val="ESHeading2"/>
      </w:pPr>
      <w:bookmarkStart w:id="282" w:name="_Toc488410131"/>
      <w:bookmarkStart w:id="283" w:name="_Toc488767603"/>
      <w:bookmarkStart w:id="284" w:name="_Toc488769015"/>
      <w:bookmarkStart w:id="285" w:name="_Toc489526730"/>
      <w:bookmarkStart w:id="286" w:name="_Toc491070329"/>
      <w:bookmarkStart w:id="287" w:name="_Toc491409555"/>
      <w:bookmarkStart w:id="288" w:name="_Toc491414684"/>
      <w:r w:rsidRPr="006E49EE">
        <w:t>Compliance with Protected Disclosure Act 2012</w:t>
      </w:r>
      <w:r w:rsidR="005A2828" w:rsidRPr="006E49EE">
        <w:br/>
      </w:r>
      <w:r w:rsidRPr="006E49EE">
        <w:t>(formerly Whistleblowers Protection Act 2001)</w:t>
      </w:r>
      <w:bookmarkEnd w:id="282"/>
      <w:bookmarkEnd w:id="283"/>
      <w:bookmarkEnd w:id="284"/>
      <w:bookmarkEnd w:id="285"/>
      <w:bookmarkEnd w:id="286"/>
      <w:bookmarkEnd w:id="287"/>
      <w:bookmarkEnd w:id="288"/>
    </w:p>
    <w:p w14:paraId="4FC46C32" w14:textId="77777777" w:rsidR="00A61FF5" w:rsidRPr="006E49EE" w:rsidRDefault="00A61FF5" w:rsidP="00A61FF5">
      <w:pPr>
        <w:pStyle w:val="ESBodyText"/>
        <w:rPr>
          <w:lang w:val="en-AU"/>
        </w:rPr>
      </w:pPr>
      <w:r w:rsidRPr="006E49EE">
        <w:rPr>
          <w:lang w:val="en-AU"/>
        </w:rPr>
        <w:t xml:space="preserve">The </w:t>
      </w:r>
      <w:r w:rsidRPr="006E49EE">
        <w:rPr>
          <w:i/>
          <w:lang w:val="en-AU"/>
        </w:rPr>
        <w:t>Protected Disclosure Act 2012</w:t>
      </w:r>
      <w:r w:rsidRPr="006E49EE">
        <w:rPr>
          <w:lang w:val="en-AU"/>
        </w:rPr>
        <w:t xml:space="preserve"> encourages and helps people disclose improper conduct by public officers and public bodies. It provides protection to people who make disclosures and establishes a system for the matters disclosed to be investigated and rectifying action to be taken.</w:t>
      </w:r>
    </w:p>
    <w:p w14:paraId="3D7787DD" w14:textId="77777777" w:rsidR="00A61FF5" w:rsidRPr="006E49EE" w:rsidRDefault="00A61FF5" w:rsidP="00A61FF5">
      <w:pPr>
        <w:pStyle w:val="ESBodyText"/>
        <w:rPr>
          <w:lang w:val="en-AU"/>
        </w:rPr>
      </w:pPr>
      <w:r w:rsidRPr="006E49EE">
        <w:rPr>
          <w:lang w:val="en-AU"/>
        </w:rPr>
        <w:t>The Department does not tolerate improper conduct by employees, nor reprisals taken against those who disclose such conduct. It is committed to ensuring transparency and accountability in administrative and management practices, and supports the making of disclosures that reveal corrupt conduct, conduct involving a substantial mismanagement of public resources, or conduct involving a substantial risk to public health and safety or the environment.</w:t>
      </w:r>
    </w:p>
    <w:p w14:paraId="2DA410FD" w14:textId="77777777" w:rsidR="00A61FF5" w:rsidRPr="006E49EE" w:rsidRDefault="00A61FF5" w:rsidP="00A61FF5">
      <w:pPr>
        <w:pStyle w:val="ESBodyText"/>
        <w:rPr>
          <w:lang w:val="en-AU"/>
        </w:rPr>
      </w:pPr>
      <w:r w:rsidRPr="006E49EE">
        <w:rPr>
          <w:lang w:val="en-AU"/>
        </w:rPr>
        <w:t>The Department takes all reasonable steps to protect people from any detrimental action in reprisal for making such disclosures.</w:t>
      </w:r>
    </w:p>
    <w:p w14:paraId="0A2C7C60" w14:textId="77777777" w:rsidR="00A61FF5" w:rsidRPr="006E49EE" w:rsidRDefault="00A61FF5" w:rsidP="00A61FF5">
      <w:pPr>
        <w:pStyle w:val="ESHeading3"/>
        <w:rPr>
          <w:lang w:val="en-AU"/>
        </w:rPr>
      </w:pPr>
      <w:r w:rsidRPr="006E49EE">
        <w:rPr>
          <w:lang w:val="en-AU"/>
        </w:rPr>
        <w:t>Making a disclosure</w:t>
      </w:r>
    </w:p>
    <w:p w14:paraId="67AC26C5" w14:textId="77777777" w:rsidR="00A61FF5" w:rsidRPr="006E49EE" w:rsidRDefault="00A61FF5" w:rsidP="00A61FF5">
      <w:pPr>
        <w:pStyle w:val="ESBodyText"/>
        <w:rPr>
          <w:lang w:val="en-AU"/>
        </w:rPr>
      </w:pPr>
      <w:r w:rsidRPr="006E49EE">
        <w:rPr>
          <w:lang w:val="en-AU"/>
        </w:rPr>
        <w:t>Disclosures of improper conduct or detrimental action by the Department or any of its employees may be made to:</w:t>
      </w:r>
    </w:p>
    <w:p w14:paraId="525840BC" w14:textId="77777777" w:rsidR="00A61FF5" w:rsidRPr="006E49EE" w:rsidRDefault="00A61FF5" w:rsidP="00A61FF5">
      <w:pPr>
        <w:pStyle w:val="ESBodyText"/>
        <w:rPr>
          <w:lang w:val="en-AU"/>
        </w:rPr>
      </w:pPr>
      <w:r w:rsidRPr="006E49EE">
        <w:rPr>
          <w:lang w:val="en-AU"/>
        </w:rPr>
        <w:t>Mr Jonathan Kaplan</w:t>
      </w:r>
      <w:r w:rsidRPr="006E49EE">
        <w:rPr>
          <w:lang w:val="en-AU"/>
        </w:rPr>
        <w:br/>
        <w:t>Protected Disclosure Coordinator</w:t>
      </w:r>
      <w:r w:rsidRPr="006E49EE">
        <w:rPr>
          <w:lang w:val="en-AU"/>
        </w:rPr>
        <w:br/>
        <w:t>Executive Director, Integrity and Assurance Division</w:t>
      </w:r>
      <w:r w:rsidRPr="006E49EE">
        <w:rPr>
          <w:lang w:val="en-AU"/>
        </w:rPr>
        <w:br/>
        <w:t>Department of Education and Training</w:t>
      </w:r>
    </w:p>
    <w:p w14:paraId="1EB85F17" w14:textId="77777777" w:rsidR="00A61FF5" w:rsidRPr="006E49EE" w:rsidRDefault="00A61FF5" w:rsidP="00A61FF5">
      <w:pPr>
        <w:pStyle w:val="ESBodyText"/>
        <w:rPr>
          <w:lang w:val="en-AU"/>
        </w:rPr>
      </w:pPr>
      <w:r w:rsidRPr="006E49EE">
        <w:rPr>
          <w:lang w:val="en-AU"/>
        </w:rPr>
        <w:t>Street address:</w:t>
      </w:r>
    </w:p>
    <w:p w14:paraId="2224B353" w14:textId="77777777" w:rsidR="00A61FF5" w:rsidRPr="006E49EE" w:rsidRDefault="00A61FF5" w:rsidP="00A61FF5">
      <w:pPr>
        <w:pStyle w:val="ESBodyText"/>
        <w:rPr>
          <w:lang w:val="en-AU"/>
        </w:rPr>
      </w:pPr>
      <w:r w:rsidRPr="006E49EE">
        <w:rPr>
          <w:lang w:val="en-AU"/>
        </w:rPr>
        <w:t>2 Treasury Place</w:t>
      </w:r>
      <w:r w:rsidRPr="006E49EE">
        <w:rPr>
          <w:lang w:val="en-AU"/>
        </w:rPr>
        <w:br/>
        <w:t>East Melbourne Victoria 3002</w:t>
      </w:r>
    </w:p>
    <w:p w14:paraId="750032F1" w14:textId="77777777" w:rsidR="00A61FF5" w:rsidRPr="006E49EE" w:rsidRDefault="00A61FF5" w:rsidP="00A61FF5">
      <w:pPr>
        <w:pStyle w:val="ESBodyText"/>
        <w:rPr>
          <w:lang w:val="en-AU"/>
        </w:rPr>
      </w:pPr>
      <w:r w:rsidRPr="006E49EE">
        <w:rPr>
          <w:lang w:val="en-AU"/>
        </w:rPr>
        <w:t>Document Exchange address:</w:t>
      </w:r>
    </w:p>
    <w:p w14:paraId="0C2CD09A" w14:textId="77777777" w:rsidR="00A9593E" w:rsidRPr="006E49EE" w:rsidRDefault="00A61FF5" w:rsidP="00A61FF5">
      <w:pPr>
        <w:pStyle w:val="ESBodyText"/>
        <w:rPr>
          <w:lang w:val="en-AU"/>
        </w:rPr>
      </w:pPr>
      <w:r w:rsidRPr="006E49EE">
        <w:rPr>
          <w:lang w:val="en-AU"/>
        </w:rPr>
        <w:t>DX 210083</w:t>
      </w:r>
      <w:r w:rsidRPr="006E49EE">
        <w:rPr>
          <w:lang w:val="en-AU"/>
        </w:rPr>
        <w:br/>
        <w:t>Postal address:</w:t>
      </w:r>
      <w:r w:rsidRPr="006E49EE">
        <w:rPr>
          <w:lang w:val="en-AU"/>
        </w:rPr>
        <w:br/>
        <w:t>GPO Box 4367</w:t>
      </w:r>
      <w:r w:rsidRPr="006E49EE">
        <w:rPr>
          <w:lang w:val="en-AU"/>
        </w:rPr>
        <w:br/>
        <w:t>Melbourne VIC 3001</w:t>
      </w:r>
      <w:r w:rsidRPr="006E49EE">
        <w:rPr>
          <w:lang w:val="en-AU"/>
        </w:rPr>
        <w:br/>
        <w:t>Telephone: 03 9651 3650</w:t>
      </w:r>
      <w:r w:rsidRPr="006E49EE">
        <w:rPr>
          <w:lang w:val="en-AU"/>
        </w:rPr>
        <w:br/>
        <w:t xml:space="preserve">Email: </w:t>
      </w:r>
      <w:hyperlink r:id="rId39" w:history="1">
        <w:r w:rsidRPr="006E49EE">
          <w:rPr>
            <w:rStyle w:val="Hyperlink"/>
            <w:lang w:val="en-AU"/>
          </w:rPr>
          <w:t>kaplan.jonathan.e@edumail.vic.gov.au</w:t>
        </w:r>
      </w:hyperlink>
    </w:p>
    <w:p w14:paraId="1615CC3A" w14:textId="4D6A9040" w:rsidR="00A61FF5" w:rsidRPr="006E49EE" w:rsidRDefault="00A61FF5" w:rsidP="00A61FF5">
      <w:pPr>
        <w:pStyle w:val="ESBodyText"/>
        <w:rPr>
          <w:lang w:val="en-AU"/>
        </w:rPr>
      </w:pPr>
      <w:r w:rsidRPr="006E49EE">
        <w:rPr>
          <w:lang w:val="en-AU"/>
        </w:rPr>
        <w:t>or one of the following officers of the Department:</w:t>
      </w:r>
    </w:p>
    <w:p w14:paraId="5D487F1F" w14:textId="77777777" w:rsidR="00A61FF5" w:rsidRPr="006E49EE" w:rsidRDefault="00A61FF5" w:rsidP="00A61FF5">
      <w:pPr>
        <w:pStyle w:val="ESBullet1indent"/>
        <w:rPr>
          <w:lang w:val="en-AU"/>
        </w:rPr>
      </w:pPr>
      <w:r w:rsidRPr="006E49EE">
        <w:rPr>
          <w:lang w:val="en-AU"/>
        </w:rPr>
        <w:t>a manager or supervisor of a person from the Department who chooses to make a disclosure</w:t>
      </w:r>
    </w:p>
    <w:p w14:paraId="4141AEFD" w14:textId="77777777" w:rsidR="00A61FF5" w:rsidRPr="006E49EE" w:rsidRDefault="00A61FF5" w:rsidP="00A61FF5">
      <w:pPr>
        <w:pStyle w:val="ESBullet1indent"/>
        <w:rPr>
          <w:lang w:val="en-AU"/>
        </w:rPr>
      </w:pPr>
      <w:r w:rsidRPr="006E49EE">
        <w:rPr>
          <w:lang w:val="en-AU"/>
        </w:rPr>
        <w:t>a manager or supervisor of a person from the Department about whom a disclosure has been made</w:t>
      </w:r>
    </w:p>
    <w:p w14:paraId="0FE2FAE0" w14:textId="77777777" w:rsidR="00A61FF5" w:rsidRPr="006E49EE" w:rsidRDefault="00A61FF5" w:rsidP="00A61FF5">
      <w:pPr>
        <w:pStyle w:val="ESBullet1indent"/>
        <w:rPr>
          <w:lang w:val="en-AU"/>
        </w:rPr>
      </w:pPr>
      <w:r w:rsidRPr="006E49EE">
        <w:rPr>
          <w:lang w:val="en-AU"/>
        </w:rPr>
        <w:t>the Secretary of the Department.</w:t>
      </w:r>
    </w:p>
    <w:p w14:paraId="11BF2A7C" w14:textId="77777777" w:rsidR="00A61FF5" w:rsidRPr="006E49EE" w:rsidRDefault="00A61FF5" w:rsidP="00A61FF5">
      <w:pPr>
        <w:pStyle w:val="ESBodyText"/>
        <w:rPr>
          <w:lang w:val="en-AU"/>
        </w:rPr>
      </w:pPr>
      <w:r w:rsidRPr="006E49EE">
        <w:rPr>
          <w:lang w:val="en-AU"/>
        </w:rPr>
        <w:t>or:</w:t>
      </w:r>
    </w:p>
    <w:p w14:paraId="6DCD98FB" w14:textId="77777777" w:rsidR="00A61FF5" w:rsidRPr="006E49EE" w:rsidRDefault="00A61FF5" w:rsidP="00A61FF5">
      <w:pPr>
        <w:pStyle w:val="ESBodyText"/>
        <w:rPr>
          <w:lang w:val="en-AU"/>
        </w:rPr>
      </w:pPr>
      <w:r w:rsidRPr="006E49EE">
        <w:rPr>
          <w:lang w:val="en-AU"/>
        </w:rPr>
        <w:t>The Independent Broad-based Anti-corruption Commission (IBAC)</w:t>
      </w:r>
    </w:p>
    <w:p w14:paraId="0372CF65" w14:textId="77777777" w:rsidR="00A61FF5" w:rsidRPr="006E49EE" w:rsidRDefault="00A61FF5" w:rsidP="00A61FF5">
      <w:pPr>
        <w:pStyle w:val="ESBodyText"/>
        <w:rPr>
          <w:lang w:val="en-AU"/>
        </w:rPr>
      </w:pPr>
      <w:r w:rsidRPr="006E49EE">
        <w:rPr>
          <w:lang w:val="en-AU"/>
        </w:rPr>
        <w:t>Street address:</w:t>
      </w:r>
      <w:r w:rsidRPr="006E49EE">
        <w:rPr>
          <w:lang w:val="en-AU"/>
        </w:rPr>
        <w:br/>
        <w:t>Level 1, North Tower</w:t>
      </w:r>
      <w:r w:rsidRPr="006E49EE">
        <w:rPr>
          <w:lang w:val="en-AU"/>
        </w:rPr>
        <w:br/>
        <w:t>459 Collins Street</w:t>
      </w:r>
      <w:r w:rsidRPr="006E49EE">
        <w:rPr>
          <w:lang w:val="en-AU"/>
        </w:rPr>
        <w:br/>
        <w:t>Melbourne Vic 3000</w:t>
      </w:r>
    </w:p>
    <w:p w14:paraId="668B130E" w14:textId="77777777" w:rsidR="00A61FF5" w:rsidRPr="006E49EE" w:rsidRDefault="00A61FF5" w:rsidP="00A61FF5">
      <w:pPr>
        <w:pStyle w:val="ESBodyText"/>
        <w:rPr>
          <w:lang w:val="en-AU"/>
        </w:rPr>
      </w:pPr>
      <w:r w:rsidRPr="006E49EE">
        <w:rPr>
          <w:lang w:val="en-AU"/>
        </w:rPr>
        <w:t>Postal address:</w:t>
      </w:r>
      <w:r w:rsidRPr="006E49EE">
        <w:rPr>
          <w:lang w:val="en-AU"/>
        </w:rPr>
        <w:br/>
        <w:t>GPO Box 24234</w:t>
      </w:r>
      <w:r w:rsidRPr="006E49EE">
        <w:rPr>
          <w:lang w:val="en-AU"/>
        </w:rPr>
        <w:br/>
        <w:t>Melbourne Victoria 3001</w:t>
      </w:r>
      <w:r w:rsidRPr="006E49EE">
        <w:rPr>
          <w:lang w:val="en-AU"/>
        </w:rPr>
        <w:br/>
        <w:t>Telephone: 1300 735 135</w:t>
      </w:r>
      <w:r w:rsidRPr="006E49EE">
        <w:rPr>
          <w:lang w:val="en-AU"/>
        </w:rPr>
        <w:br/>
        <w:t xml:space="preserve">Internet: </w:t>
      </w:r>
      <w:hyperlink r:id="rId40" w:history="1">
        <w:r w:rsidRPr="006E49EE">
          <w:rPr>
            <w:rStyle w:val="Hyperlink"/>
            <w:lang w:val="en-AU"/>
          </w:rPr>
          <w:t>www.ibac.vic.gov.au</w:t>
        </w:r>
      </w:hyperlink>
    </w:p>
    <w:p w14:paraId="0066F73A" w14:textId="77777777" w:rsidR="00A61FF5" w:rsidRPr="006E49EE" w:rsidRDefault="00A61FF5" w:rsidP="00A61FF5">
      <w:pPr>
        <w:pStyle w:val="ESHeading3"/>
        <w:rPr>
          <w:lang w:val="en-AU"/>
        </w:rPr>
      </w:pPr>
      <w:r w:rsidRPr="006E49EE">
        <w:rPr>
          <w:lang w:val="en-AU"/>
        </w:rPr>
        <w:t>Further information</w:t>
      </w:r>
    </w:p>
    <w:p w14:paraId="09271835" w14:textId="77777777" w:rsidR="00A61FF5" w:rsidRPr="006E49EE" w:rsidRDefault="00A61FF5" w:rsidP="00A61FF5">
      <w:pPr>
        <w:pStyle w:val="ESBodyText"/>
        <w:rPr>
          <w:lang w:val="en-AU"/>
        </w:rPr>
      </w:pPr>
      <w:r w:rsidRPr="006E49EE">
        <w:rPr>
          <w:lang w:val="en-AU"/>
        </w:rPr>
        <w:t xml:space="preserve">The Department has published guidelines regarding the procedures it has instituted to comply with the Protected Disclosures Act: </w:t>
      </w:r>
      <w:hyperlink r:id="rId41" w:history="1">
        <w:r w:rsidRPr="006E49EE">
          <w:rPr>
            <w:rStyle w:val="Hyperlink"/>
            <w:lang w:val="en-AU"/>
          </w:rPr>
          <w:t>www.education.vic.gov.au/about/contact/Pages/protecteddisclosure.aspx</w:t>
        </w:r>
      </w:hyperlink>
    </w:p>
    <w:p w14:paraId="765632E2" w14:textId="225ED730" w:rsidR="00A61FF5" w:rsidRPr="006E49EE" w:rsidRDefault="00A61FF5" w:rsidP="009A0BAD">
      <w:pPr>
        <w:pStyle w:val="ESTableintroheading"/>
        <w:rPr>
          <w:rFonts w:eastAsia="Calibri"/>
          <w:bdr w:val="none" w:sz="0" w:space="0" w:color="auto" w:frame="1"/>
          <w:lang w:val="en-AU"/>
        </w:rPr>
      </w:pPr>
      <w:r w:rsidRPr="006E49EE">
        <w:rPr>
          <w:rFonts w:eastAsia="Calibri"/>
          <w:bdr w:val="none" w:sz="0" w:space="0" w:color="auto" w:frame="1"/>
          <w:lang w:val="en-AU"/>
        </w:rPr>
        <w:t xml:space="preserve">Table </w:t>
      </w:r>
      <w:r w:rsidR="0074729C" w:rsidRPr="006E49EE">
        <w:rPr>
          <w:rFonts w:eastAsia="Calibri"/>
          <w:bdr w:val="none" w:sz="0" w:space="0" w:color="auto" w:frame="1"/>
          <w:lang w:val="en-AU"/>
        </w:rPr>
        <w:fldChar w:fldCharType="begin"/>
      </w:r>
      <w:r w:rsidR="0074729C" w:rsidRPr="006E49EE">
        <w:rPr>
          <w:rFonts w:eastAsia="Calibri"/>
          <w:bdr w:val="none" w:sz="0" w:space="0" w:color="auto" w:frame="1"/>
          <w:lang w:val="en-AU"/>
        </w:rPr>
        <w:instrText xml:space="preserve"> SEQ Table \* MERGEFORMAT </w:instrText>
      </w:r>
      <w:r w:rsidR="0074729C" w:rsidRPr="006E49EE">
        <w:rPr>
          <w:rFonts w:eastAsia="Calibri"/>
          <w:bdr w:val="none" w:sz="0" w:space="0" w:color="auto" w:frame="1"/>
          <w:lang w:val="en-AU"/>
        </w:rPr>
        <w:fldChar w:fldCharType="separate"/>
      </w:r>
      <w:r w:rsidR="00F36F52">
        <w:rPr>
          <w:rFonts w:eastAsia="Calibri"/>
          <w:noProof/>
          <w:bdr w:val="none" w:sz="0" w:space="0" w:color="auto" w:frame="1"/>
          <w:lang w:val="en-AU"/>
        </w:rPr>
        <w:t>25</w:t>
      </w:r>
      <w:r w:rsidR="0074729C" w:rsidRPr="006E49EE">
        <w:rPr>
          <w:rFonts w:eastAsia="Calibri"/>
          <w:bdr w:val="none" w:sz="0" w:space="0" w:color="auto" w:frame="1"/>
          <w:lang w:val="en-AU"/>
        </w:rPr>
        <w:fldChar w:fldCharType="end"/>
      </w:r>
      <w:r w:rsidRPr="006E49EE">
        <w:rPr>
          <w:rFonts w:eastAsia="Calibri"/>
          <w:bdr w:val="none" w:sz="0" w:space="0" w:color="auto" w:frame="1"/>
          <w:lang w:val="en-AU"/>
        </w:rPr>
        <w:t xml:space="preserve"> </w:t>
      </w:r>
      <w:r w:rsidR="00932A90">
        <w:rPr>
          <w:rFonts w:eastAsia="Calibri"/>
          <w:bdr w:val="none" w:sz="0" w:space="0" w:color="auto" w:frame="1"/>
          <w:lang w:val="en-AU"/>
        </w:rPr>
        <w:t>–</w:t>
      </w:r>
      <w:r w:rsidR="00932A90" w:rsidRPr="006E49EE">
        <w:rPr>
          <w:rFonts w:eastAsia="Calibri"/>
          <w:bdr w:val="none" w:sz="0" w:space="0" w:color="auto" w:frame="1"/>
          <w:lang w:val="en-AU"/>
        </w:rPr>
        <w:t xml:space="preserve"> </w:t>
      </w:r>
      <w:r w:rsidRPr="006E49EE">
        <w:rPr>
          <w:rFonts w:eastAsia="Calibri"/>
          <w:bdr w:val="none" w:sz="0" w:space="0" w:color="auto" w:frame="1"/>
          <w:lang w:val="en-AU"/>
        </w:rPr>
        <w:t>Disclosures under the Protected Disclosure Act 2012</w:t>
      </w:r>
    </w:p>
    <w:tbl>
      <w:tblPr>
        <w:tblW w:w="7980" w:type="dxa"/>
        <w:tblLayout w:type="fixed"/>
        <w:tblCellMar>
          <w:left w:w="0" w:type="dxa"/>
          <w:right w:w="0" w:type="dxa"/>
        </w:tblCellMar>
        <w:tblLook w:val="04A0" w:firstRow="1" w:lastRow="0" w:firstColumn="1" w:lastColumn="0" w:noHBand="0" w:noVBand="1"/>
      </w:tblPr>
      <w:tblGrid>
        <w:gridCol w:w="5144"/>
        <w:gridCol w:w="993"/>
        <w:gridCol w:w="993"/>
        <w:gridCol w:w="850"/>
      </w:tblGrid>
      <w:tr w:rsidR="00A61FF5" w:rsidRPr="00932A90" w14:paraId="2AA37ABE" w14:textId="77777777" w:rsidTr="00D07480">
        <w:trPr>
          <w:cantSplit/>
          <w:trHeight w:val="217"/>
        </w:trPr>
        <w:tc>
          <w:tcPr>
            <w:tcW w:w="5144" w:type="dxa"/>
            <w:shd w:val="clear" w:color="auto" w:fill="7F7F7F"/>
            <w:tcMar>
              <w:top w:w="0" w:type="dxa"/>
              <w:left w:w="43" w:type="dxa"/>
              <w:bottom w:w="0" w:type="dxa"/>
              <w:right w:w="43" w:type="dxa"/>
            </w:tcMar>
            <w:vAlign w:val="bottom"/>
            <w:hideMark/>
          </w:tcPr>
          <w:p w14:paraId="63EB109E" w14:textId="77777777" w:rsidR="00A61FF5" w:rsidRPr="006E49EE" w:rsidRDefault="00A61FF5" w:rsidP="00D07480">
            <w:pPr>
              <w:pStyle w:val="ESTableheadingwhite75"/>
              <w:rPr>
                <w:lang w:val="en-AU"/>
              </w:rPr>
            </w:pPr>
            <w:r w:rsidRPr="006E49EE">
              <w:rPr>
                <w:lang w:val="en-AU"/>
              </w:rPr>
              <w:t xml:space="preserve">Disclosures under the </w:t>
            </w:r>
            <w:r w:rsidRPr="006E49EE">
              <w:rPr>
                <w:i/>
                <w:lang w:val="en-AU"/>
              </w:rPr>
              <w:t>Protected Disclosure Act 2012</w:t>
            </w:r>
          </w:p>
        </w:tc>
        <w:tc>
          <w:tcPr>
            <w:tcW w:w="993" w:type="dxa"/>
            <w:shd w:val="clear" w:color="auto" w:fill="7F7F7F"/>
            <w:tcMar>
              <w:top w:w="0" w:type="dxa"/>
              <w:left w:w="43" w:type="dxa"/>
              <w:bottom w:w="0" w:type="dxa"/>
              <w:right w:w="43" w:type="dxa"/>
            </w:tcMar>
            <w:hideMark/>
          </w:tcPr>
          <w:p w14:paraId="4BE97BCD" w14:textId="73A4B041" w:rsidR="00A61FF5" w:rsidRPr="006E49EE" w:rsidRDefault="00A61FF5" w:rsidP="008C1498">
            <w:pPr>
              <w:pStyle w:val="ESTableheadingwhite75"/>
              <w:rPr>
                <w:lang w:val="en-AU"/>
              </w:rPr>
            </w:pPr>
            <w:r w:rsidRPr="006E49EE">
              <w:rPr>
                <w:lang w:val="en-AU"/>
              </w:rPr>
              <w:t>2016</w:t>
            </w:r>
            <w:r w:rsidRPr="002C0527">
              <w:rPr>
                <w:lang w:val="en-AU"/>
              </w:rPr>
              <w:t>-</w:t>
            </w:r>
            <w:r w:rsidR="008C1498" w:rsidRPr="002C0527">
              <w:rPr>
                <w:lang w:val="en-AU"/>
              </w:rPr>
              <w:t>–</w:t>
            </w:r>
            <w:r w:rsidR="008C1498" w:rsidRPr="006E49EE">
              <w:rPr>
                <w:lang w:val="en-AU"/>
              </w:rPr>
              <w:t>17</w:t>
            </w:r>
          </w:p>
        </w:tc>
        <w:tc>
          <w:tcPr>
            <w:tcW w:w="993" w:type="dxa"/>
            <w:shd w:val="clear" w:color="auto" w:fill="7F7F7F"/>
            <w:tcMar>
              <w:top w:w="0" w:type="dxa"/>
              <w:left w:w="43" w:type="dxa"/>
              <w:bottom w:w="0" w:type="dxa"/>
              <w:right w:w="43" w:type="dxa"/>
            </w:tcMar>
            <w:vAlign w:val="bottom"/>
            <w:hideMark/>
          </w:tcPr>
          <w:p w14:paraId="573F51B8" w14:textId="77777777" w:rsidR="00A61FF5" w:rsidRPr="006E49EE" w:rsidRDefault="00A61FF5" w:rsidP="00D07480">
            <w:pPr>
              <w:pStyle w:val="ESTableheadingwhite75"/>
              <w:rPr>
                <w:lang w:val="en-AU"/>
              </w:rPr>
            </w:pPr>
            <w:r w:rsidRPr="006E49EE">
              <w:rPr>
                <w:lang w:val="en-AU"/>
              </w:rPr>
              <w:t xml:space="preserve">2015–16 </w:t>
            </w:r>
          </w:p>
        </w:tc>
        <w:tc>
          <w:tcPr>
            <w:tcW w:w="850" w:type="dxa"/>
            <w:shd w:val="clear" w:color="auto" w:fill="7F7F7F"/>
            <w:tcMar>
              <w:top w:w="0" w:type="dxa"/>
              <w:left w:w="43" w:type="dxa"/>
              <w:bottom w:w="0" w:type="dxa"/>
              <w:right w:w="43" w:type="dxa"/>
            </w:tcMar>
            <w:vAlign w:val="bottom"/>
            <w:hideMark/>
          </w:tcPr>
          <w:p w14:paraId="332EEF6A" w14:textId="77777777" w:rsidR="00A61FF5" w:rsidRPr="006E49EE" w:rsidRDefault="00A61FF5" w:rsidP="00D07480">
            <w:pPr>
              <w:pStyle w:val="ESTableheadingwhite75"/>
              <w:rPr>
                <w:lang w:val="en-AU"/>
              </w:rPr>
            </w:pPr>
            <w:r w:rsidRPr="006E49EE">
              <w:rPr>
                <w:lang w:val="en-AU"/>
              </w:rPr>
              <w:t xml:space="preserve">2014–15 </w:t>
            </w:r>
          </w:p>
        </w:tc>
      </w:tr>
      <w:tr w:rsidR="00A61FF5" w:rsidRPr="00932A90" w14:paraId="35B12721" w14:textId="77777777" w:rsidTr="00421660">
        <w:trPr>
          <w:cantSplit/>
          <w:trHeight w:val="499"/>
        </w:trPr>
        <w:tc>
          <w:tcPr>
            <w:tcW w:w="5144" w:type="dxa"/>
            <w:tcMar>
              <w:top w:w="0" w:type="dxa"/>
              <w:left w:w="43" w:type="dxa"/>
              <w:bottom w:w="0" w:type="dxa"/>
              <w:right w:w="43" w:type="dxa"/>
            </w:tcMar>
            <w:vAlign w:val="bottom"/>
            <w:hideMark/>
          </w:tcPr>
          <w:p w14:paraId="5CA89E91" w14:textId="77777777" w:rsidR="00A61FF5" w:rsidRPr="006E49EE" w:rsidRDefault="00A61FF5" w:rsidP="00D07480">
            <w:pPr>
              <w:pStyle w:val="ESTableBody"/>
              <w:rPr>
                <w:lang w:val="en-AU"/>
              </w:rPr>
            </w:pPr>
            <w:r w:rsidRPr="006E49EE">
              <w:rPr>
                <w:lang w:val="en-AU"/>
              </w:rPr>
              <w:t>The number of disclosures made by an individual to the Department and notified to the Independent Broad</w:t>
            </w:r>
            <w:r w:rsidRPr="006E49EE">
              <w:rPr>
                <w:lang w:val="en-AU"/>
              </w:rPr>
              <w:noBreakHyphen/>
              <w:t>based Anti</w:t>
            </w:r>
            <w:r w:rsidRPr="006E49EE">
              <w:rPr>
                <w:lang w:val="en-AU"/>
              </w:rPr>
              <w:noBreakHyphen/>
              <w:t>corruption Commission—assessable disclosures</w:t>
            </w:r>
          </w:p>
        </w:tc>
        <w:tc>
          <w:tcPr>
            <w:tcW w:w="993" w:type="dxa"/>
            <w:shd w:val="clear" w:color="auto" w:fill="F8F8F8"/>
            <w:tcMar>
              <w:top w:w="0" w:type="dxa"/>
              <w:left w:w="43" w:type="dxa"/>
              <w:bottom w:w="0" w:type="dxa"/>
              <w:right w:w="43" w:type="dxa"/>
            </w:tcMar>
            <w:hideMark/>
          </w:tcPr>
          <w:p w14:paraId="4BD80ED2" w14:textId="77777777" w:rsidR="00A61FF5" w:rsidRPr="006E49EE" w:rsidRDefault="00A61FF5" w:rsidP="00421660">
            <w:pPr>
              <w:pStyle w:val="ESTableBody"/>
              <w:jc w:val="center"/>
              <w:rPr>
                <w:lang w:val="en-AU"/>
              </w:rPr>
            </w:pPr>
            <w:r w:rsidRPr="006E49EE">
              <w:rPr>
                <w:lang w:val="en-AU"/>
              </w:rPr>
              <w:t>6</w:t>
            </w:r>
          </w:p>
        </w:tc>
        <w:tc>
          <w:tcPr>
            <w:tcW w:w="993" w:type="dxa"/>
            <w:shd w:val="clear" w:color="auto" w:fill="F8F8F8"/>
            <w:tcMar>
              <w:top w:w="0" w:type="dxa"/>
              <w:left w:w="43" w:type="dxa"/>
              <w:bottom w:w="0" w:type="dxa"/>
              <w:right w:w="43" w:type="dxa"/>
            </w:tcMar>
            <w:hideMark/>
          </w:tcPr>
          <w:p w14:paraId="3ABD6894" w14:textId="77777777" w:rsidR="00A61FF5" w:rsidRPr="006E49EE" w:rsidRDefault="00A61FF5" w:rsidP="00421660">
            <w:pPr>
              <w:pStyle w:val="ESTableBody"/>
              <w:jc w:val="center"/>
              <w:rPr>
                <w:lang w:val="en-AU"/>
              </w:rPr>
            </w:pPr>
            <w:r w:rsidRPr="006E49EE">
              <w:rPr>
                <w:lang w:val="en-AU"/>
              </w:rPr>
              <w:t>3</w:t>
            </w:r>
          </w:p>
        </w:tc>
        <w:tc>
          <w:tcPr>
            <w:tcW w:w="850" w:type="dxa"/>
            <w:tcMar>
              <w:top w:w="0" w:type="dxa"/>
              <w:left w:w="43" w:type="dxa"/>
              <w:bottom w:w="0" w:type="dxa"/>
              <w:right w:w="43" w:type="dxa"/>
            </w:tcMar>
            <w:hideMark/>
          </w:tcPr>
          <w:p w14:paraId="0F61CAE3" w14:textId="77777777" w:rsidR="00A61FF5" w:rsidRPr="006E49EE" w:rsidRDefault="00A61FF5" w:rsidP="00421660">
            <w:pPr>
              <w:pStyle w:val="ESTableBody"/>
              <w:jc w:val="center"/>
              <w:rPr>
                <w:lang w:val="en-AU"/>
              </w:rPr>
            </w:pPr>
            <w:r w:rsidRPr="006E49EE">
              <w:rPr>
                <w:lang w:val="en-AU"/>
              </w:rPr>
              <w:t>9</w:t>
            </w:r>
          </w:p>
        </w:tc>
      </w:tr>
      <w:tr w:rsidR="00A61FF5" w:rsidRPr="00932A90" w14:paraId="3D474E19" w14:textId="77777777" w:rsidTr="00421660">
        <w:trPr>
          <w:cantSplit/>
          <w:trHeight w:val="183"/>
        </w:trPr>
        <w:tc>
          <w:tcPr>
            <w:tcW w:w="5144" w:type="dxa"/>
            <w:tcBorders>
              <w:top w:val="nil"/>
              <w:left w:val="nil"/>
              <w:bottom w:val="single" w:sz="4" w:space="0" w:color="auto"/>
              <w:right w:val="nil"/>
            </w:tcBorders>
            <w:tcMar>
              <w:top w:w="0" w:type="dxa"/>
              <w:left w:w="43" w:type="dxa"/>
              <w:bottom w:w="0" w:type="dxa"/>
              <w:right w:w="43" w:type="dxa"/>
            </w:tcMar>
            <w:vAlign w:val="bottom"/>
            <w:hideMark/>
          </w:tcPr>
          <w:p w14:paraId="73AB7BF6" w14:textId="77777777" w:rsidR="00A61FF5" w:rsidRPr="006E49EE" w:rsidRDefault="00A61FF5" w:rsidP="00D07480">
            <w:pPr>
              <w:pStyle w:val="ESTableBody"/>
              <w:rPr>
                <w:lang w:val="en-AU"/>
              </w:rPr>
            </w:pPr>
            <w:r w:rsidRPr="006E49EE">
              <w:rPr>
                <w:lang w:val="en-AU"/>
              </w:rPr>
              <w:t xml:space="preserve">Matters referred by IBAC pursuant to section 73 of the </w:t>
            </w:r>
            <w:r w:rsidRPr="006E49EE">
              <w:rPr>
                <w:i/>
                <w:lang w:val="en-AU"/>
              </w:rPr>
              <w:t>Independent Broad-based Anti-corruption Commission Act 2011</w:t>
            </w:r>
          </w:p>
        </w:tc>
        <w:tc>
          <w:tcPr>
            <w:tcW w:w="993" w:type="dxa"/>
            <w:tcBorders>
              <w:top w:val="nil"/>
              <w:left w:val="nil"/>
              <w:bottom w:val="single" w:sz="4" w:space="0" w:color="auto"/>
              <w:right w:val="nil"/>
            </w:tcBorders>
            <w:shd w:val="clear" w:color="auto" w:fill="F8F8F8"/>
            <w:tcMar>
              <w:top w:w="0" w:type="dxa"/>
              <w:left w:w="43" w:type="dxa"/>
              <w:bottom w:w="0" w:type="dxa"/>
              <w:right w:w="43" w:type="dxa"/>
            </w:tcMar>
          </w:tcPr>
          <w:p w14:paraId="13F66969" w14:textId="77777777" w:rsidR="00A61FF5" w:rsidRPr="006E49EE" w:rsidRDefault="00A61FF5" w:rsidP="00421660">
            <w:pPr>
              <w:pStyle w:val="ESTableBody"/>
              <w:jc w:val="center"/>
              <w:rPr>
                <w:lang w:val="en-AU"/>
              </w:rPr>
            </w:pPr>
            <w:r w:rsidRPr="006E49EE">
              <w:rPr>
                <w:lang w:val="en-AU"/>
              </w:rPr>
              <w:t>8</w:t>
            </w:r>
          </w:p>
        </w:tc>
        <w:tc>
          <w:tcPr>
            <w:tcW w:w="993" w:type="dxa"/>
            <w:tcBorders>
              <w:top w:val="nil"/>
              <w:left w:val="nil"/>
              <w:bottom w:val="single" w:sz="4" w:space="0" w:color="auto"/>
              <w:right w:val="nil"/>
            </w:tcBorders>
            <w:shd w:val="clear" w:color="auto" w:fill="F8F8F8"/>
            <w:tcMar>
              <w:top w:w="0" w:type="dxa"/>
              <w:left w:w="43" w:type="dxa"/>
              <w:bottom w:w="0" w:type="dxa"/>
              <w:right w:w="43" w:type="dxa"/>
            </w:tcMar>
            <w:hideMark/>
          </w:tcPr>
          <w:p w14:paraId="6F36AB05" w14:textId="77777777" w:rsidR="00A61FF5" w:rsidRPr="006E49EE" w:rsidRDefault="00A61FF5" w:rsidP="00421660">
            <w:pPr>
              <w:pStyle w:val="ESTableBody"/>
              <w:jc w:val="center"/>
              <w:rPr>
                <w:lang w:val="en-AU"/>
              </w:rPr>
            </w:pPr>
            <w:r w:rsidRPr="006E49EE">
              <w:rPr>
                <w:lang w:val="en-AU"/>
              </w:rPr>
              <w:t>37</w:t>
            </w:r>
          </w:p>
        </w:tc>
        <w:tc>
          <w:tcPr>
            <w:tcW w:w="850" w:type="dxa"/>
            <w:tcBorders>
              <w:top w:val="nil"/>
              <w:left w:val="nil"/>
              <w:bottom w:val="single" w:sz="4" w:space="0" w:color="auto"/>
              <w:right w:val="nil"/>
            </w:tcBorders>
            <w:tcMar>
              <w:top w:w="0" w:type="dxa"/>
              <w:left w:w="43" w:type="dxa"/>
              <w:bottom w:w="0" w:type="dxa"/>
              <w:right w:w="43" w:type="dxa"/>
            </w:tcMar>
            <w:hideMark/>
          </w:tcPr>
          <w:p w14:paraId="1F4BE2C4" w14:textId="77777777" w:rsidR="00A61FF5" w:rsidRPr="006E49EE" w:rsidRDefault="00A61FF5" w:rsidP="00421660">
            <w:pPr>
              <w:pStyle w:val="ESTableBody"/>
              <w:jc w:val="center"/>
              <w:rPr>
                <w:lang w:val="en-AU"/>
              </w:rPr>
            </w:pPr>
            <w:r w:rsidRPr="006E49EE">
              <w:rPr>
                <w:lang w:val="en-AU"/>
              </w:rPr>
              <w:t>3</w:t>
            </w:r>
          </w:p>
        </w:tc>
      </w:tr>
      <w:tr w:rsidR="00A61FF5" w:rsidRPr="00932A90" w14:paraId="79C31440" w14:textId="77777777" w:rsidTr="00421660">
        <w:trPr>
          <w:cantSplit/>
          <w:trHeight w:val="183"/>
        </w:trPr>
        <w:tc>
          <w:tcPr>
            <w:tcW w:w="5144" w:type="dxa"/>
            <w:tcBorders>
              <w:top w:val="single" w:sz="4" w:space="0" w:color="auto"/>
              <w:left w:val="nil"/>
              <w:bottom w:val="single" w:sz="4" w:space="0" w:color="auto"/>
              <w:right w:val="nil"/>
            </w:tcBorders>
            <w:tcMar>
              <w:top w:w="0" w:type="dxa"/>
              <w:left w:w="43" w:type="dxa"/>
              <w:bottom w:w="0" w:type="dxa"/>
              <w:right w:w="43" w:type="dxa"/>
            </w:tcMar>
            <w:vAlign w:val="bottom"/>
            <w:hideMark/>
          </w:tcPr>
          <w:p w14:paraId="738BE733" w14:textId="77777777" w:rsidR="00A61FF5" w:rsidRPr="006E49EE" w:rsidRDefault="00A61FF5" w:rsidP="00D07480">
            <w:pPr>
              <w:pStyle w:val="ESTableBody"/>
              <w:rPr>
                <w:b/>
                <w:lang w:val="en-AU"/>
              </w:rPr>
            </w:pPr>
            <w:r w:rsidRPr="006E49EE">
              <w:rPr>
                <w:b/>
                <w:lang w:val="en-AU"/>
              </w:rPr>
              <w:t xml:space="preserve">Total number of disclosures </w:t>
            </w:r>
          </w:p>
        </w:tc>
        <w:tc>
          <w:tcPr>
            <w:tcW w:w="993" w:type="dxa"/>
            <w:tcBorders>
              <w:top w:val="single" w:sz="4" w:space="0" w:color="auto"/>
              <w:left w:val="nil"/>
              <w:bottom w:val="single" w:sz="4" w:space="0" w:color="auto"/>
              <w:right w:val="nil"/>
            </w:tcBorders>
            <w:shd w:val="clear" w:color="auto" w:fill="F8F8F8"/>
            <w:tcMar>
              <w:top w:w="0" w:type="dxa"/>
              <w:left w:w="43" w:type="dxa"/>
              <w:bottom w:w="0" w:type="dxa"/>
              <w:right w:w="43" w:type="dxa"/>
            </w:tcMar>
            <w:hideMark/>
          </w:tcPr>
          <w:p w14:paraId="593192BA" w14:textId="77777777" w:rsidR="00A61FF5" w:rsidRPr="006E49EE" w:rsidRDefault="00A61FF5" w:rsidP="00421660">
            <w:pPr>
              <w:pStyle w:val="ESTableBody"/>
              <w:jc w:val="center"/>
              <w:rPr>
                <w:b/>
                <w:lang w:val="en-AU"/>
              </w:rPr>
            </w:pPr>
            <w:r w:rsidRPr="006E49EE">
              <w:rPr>
                <w:b/>
                <w:lang w:val="en-AU"/>
              </w:rPr>
              <w:t>14</w:t>
            </w:r>
          </w:p>
        </w:tc>
        <w:tc>
          <w:tcPr>
            <w:tcW w:w="993" w:type="dxa"/>
            <w:tcBorders>
              <w:top w:val="single" w:sz="4" w:space="0" w:color="auto"/>
              <w:left w:val="nil"/>
              <w:bottom w:val="single" w:sz="4" w:space="0" w:color="auto"/>
              <w:right w:val="nil"/>
            </w:tcBorders>
            <w:shd w:val="clear" w:color="auto" w:fill="F8F8F8"/>
            <w:tcMar>
              <w:top w:w="0" w:type="dxa"/>
              <w:left w:w="43" w:type="dxa"/>
              <w:bottom w:w="0" w:type="dxa"/>
              <w:right w:w="43" w:type="dxa"/>
            </w:tcMar>
            <w:hideMark/>
          </w:tcPr>
          <w:p w14:paraId="5DD6C581" w14:textId="77777777" w:rsidR="00A61FF5" w:rsidRPr="006E49EE" w:rsidRDefault="00A61FF5" w:rsidP="00421660">
            <w:pPr>
              <w:pStyle w:val="ESTableBody"/>
              <w:jc w:val="center"/>
              <w:rPr>
                <w:b/>
                <w:lang w:val="en-AU"/>
              </w:rPr>
            </w:pPr>
            <w:r w:rsidRPr="006E49EE">
              <w:rPr>
                <w:b/>
                <w:lang w:val="en-AU"/>
              </w:rPr>
              <w:t>40</w:t>
            </w:r>
          </w:p>
        </w:tc>
        <w:tc>
          <w:tcPr>
            <w:tcW w:w="850" w:type="dxa"/>
            <w:tcBorders>
              <w:top w:val="single" w:sz="4" w:space="0" w:color="auto"/>
              <w:left w:val="nil"/>
              <w:bottom w:val="single" w:sz="4" w:space="0" w:color="auto"/>
              <w:right w:val="nil"/>
            </w:tcBorders>
            <w:tcMar>
              <w:top w:w="0" w:type="dxa"/>
              <w:left w:w="43" w:type="dxa"/>
              <w:bottom w:w="0" w:type="dxa"/>
              <w:right w:w="43" w:type="dxa"/>
            </w:tcMar>
            <w:hideMark/>
          </w:tcPr>
          <w:p w14:paraId="1363E133" w14:textId="77777777" w:rsidR="00A61FF5" w:rsidRPr="006E49EE" w:rsidRDefault="00A61FF5" w:rsidP="00421660">
            <w:pPr>
              <w:pStyle w:val="ESTableBody"/>
              <w:jc w:val="center"/>
              <w:rPr>
                <w:b/>
                <w:lang w:val="en-AU"/>
              </w:rPr>
            </w:pPr>
            <w:r w:rsidRPr="006E49EE">
              <w:rPr>
                <w:b/>
                <w:lang w:val="en-AU"/>
              </w:rPr>
              <w:t>12</w:t>
            </w:r>
          </w:p>
        </w:tc>
      </w:tr>
    </w:tbl>
    <w:p w14:paraId="4BECDA54" w14:textId="189404A2" w:rsidR="00A61FF5" w:rsidRPr="006E49EE" w:rsidRDefault="00A61FF5" w:rsidP="00D2232D">
      <w:pPr>
        <w:pStyle w:val="ESHeading2"/>
      </w:pPr>
      <w:bookmarkStart w:id="289" w:name="_Toc488410132"/>
      <w:bookmarkStart w:id="290" w:name="_Toc488767604"/>
      <w:bookmarkStart w:id="291" w:name="_Toc488769016"/>
      <w:bookmarkStart w:id="292" w:name="_Toc489526731"/>
      <w:bookmarkStart w:id="293" w:name="_Toc491070330"/>
      <w:bookmarkStart w:id="294" w:name="_Toc491409556"/>
      <w:bookmarkStart w:id="295" w:name="_Toc491414685"/>
      <w:r w:rsidRPr="006E49EE">
        <w:t>Compliance with Disabilities Act 2006</w:t>
      </w:r>
      <w:bookmarkEnd w:id="289"/>
      <w:bookmarkEnd w:id="290"/>
      <w:bookmarkEnd w:id="291"/>
      <w:bookmarkEnd w:id="292"/>
      <w:bookmarkEnd w:id="293"/>
      <w:bookmarkEnd w:id="294"/>
      <w:bookmarkEnd w:id="295"/>
    </w:p>
    <w:p w14:paraId="1D9EC24D" w14:textId="638D3EF2" w:rsidR="00A9593E" w:rsidRPr="006E49EE" w:rsidRDefault="00A61FF5" w:rsidP="00A61FF5">
      <w:pPr>
        <w:pStyle w:val="ESBodyText"/>
        <w:rPr>
          <w:lang w:val="en-AU"/>
        </w:rPr>
      </w:pPr>
      <w:r w:rsidRPr="006E49EE">
        <w:rPr>
          <w:lang w:val="en-AU"/>
        </w:rPr>
        <w:t>The Department of Education and Training has a disability action plan in place, setting out the Department’s commitments and actions within the Victorian State Disability Action plan 2013</w:t>
      </w:r>
      <w:r w:rsidR="008C1498" w:rsidRPr="002C0527">
        <w:rPr>
          <w:lang w:val="en-AU"/>
        </w:rPr>
        <w:t>–</w:t>
      </w:r>
      <w:r w:rsidRPr="006E49EE">
        <w:rPr>
          <w:lang w:val="en-AU"/>
        </w:rPr>
        <w:t>16.</w:t>
      </w:r>
    </w:p>
    <w:p w14:paraId="5A3D4A97" w14:textId="261FA013" w:rsidR="00A61FF5" w:rsidRPr="006E49EE" w:rsidRDefault="00A61FF5" w:rsidP="00A61FF5">
      <w:pPr>
        <w:pStyle w:val="ESBodyText"/>
        <w:rPr>
          <w:lang w:val="en-AU"/>
        </w:rPr>
      </w:pPr>
      <w:r w:rsidRPr="006E49EE">
        <w:rPr>
          <w:lang w:val="en-AU"/>
        </w:rPr>
        <w:t>The Department participated in the development of Absolutely Everyone: State Disability Plan 2017</w:t>
      </w:r>
      <w:r w:rsidR="008C1498" w:rsidRPr="002C0527">
        <w:rPr>
          <w:lang w:val="en-AU"/>
        </w:rPr>
        <w:t>–</w:t>
      </w:r>
      <w:r w:rsidRPr="006E49EE">
        <w:rPr>
          <w:lang w:val="en-AU"/>
        </w:rPr>
        <w:t>20, and is developing a new departmental disability action plan to align with the new State plan.</w:t>
      </w:r>
    </w:p>
    <w:p w14:paraId="7C6371D2" w14:textId="492F7A63" w:rsidR="00A61FF5" w:rsidRPr="006E49EE" w:rsidRDefault="00A61FF5" w:rsidP="00D2232D">
      <w:pPr>
        <w:pStyle w:val="ESHeading2"/>
      </w:pPr>
      <w:bookmarkStart w:id="296" w:name="_Toc488410133"/>
      <w:bookmarkStart w:id="297" w:name="_Toc488767605"/>
      <w:bookmarkStart w:id="298" w:name="_Toc488769017"/>
      <w:bookmarkStart w:id="299" w:name="_Toc489526732"/>
      <w:bookmarkStart w:id="300" w:name="_Toc491070331"/>
      <w:bookmarkStart w:id="301" w:name="_Toc491409557"/>
      <w:bookmarkStart w:id="302" w:name="_Toc491414686"/>
      <w:r w:rsidRPr="006E49EE">
        <w:t>Compliance with Carers Recognition Act 2012</w:t>
      </w:r>
      <w:bookmarkEnd w:id="296"/>
      <w:bookmarkEnd w:id="297"/>
      <w:bookmarkEnd w:id="298"/>
      <w:bookmarkEnd w:id="299"/>
      <w:bookmarkEnd w:id="300"/>
      <w:bookmarkEnd w:id="301"/>
      <w:bookmarkEnd w:id="302"/>
    </w:p>
    <w:p w14:paraId="0E1285DF" w14:textId="614683CD" w:rsidR="00A61FF5" w:rsidRPr="00BD7B7D" w:rsidRDefault="000D2E47" w:rsidP="00A61FF5">
      <w:pPr>
        <w:pStyle w:val="ESBodyText"/>
        <w:rPr>
          <w:lang w:val="en-AU"/>
        </w:rPr>
      </w:pPr>
      <w:r w:rsidRPr="000D2E47">
        <w:rPr>
          <w:lang w:val="en-AU"/>
        </w:rPr>
        <w:t>The Department is committed to ensuring that the rights and interests articulated in the Carers Recognition Act are considered in the delivery of its services to clients who are in a care relationship and has taken all practical measures to comply with its obligations under the Act.</w:t>
      </w:r>
    </w:p>
    <w:p w14:paraId="374E6665" w14:textId="77777777" w:rsidR="00442414" w:rsidRPr="006E49EE" w:rsidRDefault="00442414">
      <w:pPr>
        <w:rPr>
          <w:rFonts w:ascii="Arial" w:eastAsiaTheme="majorEastAsia" w:hAnsi="Arial" w:cstheme="majorBidi"/>
          <w:color w:val="000000" w:themeColor="text1"/>
          <w:spacing w:val="5"/>
          <w:kern w:val="28"/>
          <w:sz w:val="28"/>
          <w:szCs w:val="20"/>
          <w:lang w:val="en-AU"/>
        </w:rPr>
      </w:pPr>
      <w:bookmarkStart w:id="303" w:name="_Toc488410134"/>
      <w:bookmarkStart w:id="304" w:name="_Toc488767606"/>
      <w:bookmarkStart w:id="305" w:name="_Toc488769018"/>
      <w:bookmarkStart w:id="306" w:name="_Toc489526733"/>
      <w:bookmarkStart w:id="307" w:name="_Toc491070332"/>
      <w:r w:rsidRPr="006E49EE">
        <w:rPr>
          <w:lang w:val="en-AU"/>
        </w:rPr>
        <w:br w:type="page"/>
      </w:r>
    </w:p>
    <w:p w14:paraId="77A663CC" w14:textId="2FA064F9" w:rsidR="00A61FF5" w:rsidRPr="006E49EE" w:rsidRDefault="00A61FF5" w:rsidP="00D2232D">
      <w:pPr>
        <w:pStyle w:val="ESHeading2"/>
      </w:pPr>
      <w:bookmarkStart w:id="308" w:name="_Toc491409558"/>
      <w:bookmarkStart w:id="309" w:name="_Toc491414687"/>
      <w:r w:rsidRPr="006E49EE">
        <w:t>Office-based environmental impacts</w:t>
      </w:r>
      <w:bookmarkEnd w:id="303"/>
      <w:bookmarkEnd w:id="304"/>
      <w:bookmarkEnd w:id="305"/>
      <w:bookmarkEnd w:id="306"/>
      <w:bookmarkEnd w:id="307"/>
      <w:bookmarkEnd w:id="308"/>
      <w:bookmarkEnd w:id="309"/>
    </w:p>
    <w:p w14:paraId="454F7442" w14:textId="77777777" w:rsidR="00A61FF5" w:rsidRPr="006E49EE" w:rsidRDefault="00A61FF5" w:rsidP="00A61FF5">
      <w:pPr>
        <w:pStyle w:val="ESBodyText"/>
        <w:rPr>
          <w:rFonts w:eastAsia="Times New Roman"/>
          <w:lang w:val="en-AU"/>
        </w:rPr>
      </w:pPr>
      <w:r w:rsidRPr="006E49EE">
        <w:rPr>
          <w:rFonts w:eastAsia="Times New Roman"/>
          <w:lang w:val="en-AU"/>
        </w:rPr>
        <w:t>The Department’s Environmental Management System (EMS) provides a structured approach to planning and implementing environment protection measures in the Department’s office-based activities. In line with government directives, the Department reports on energy, paper and water consumption, waste generation, transportation, greenhouse gas emissions, and sustainable procurement for all non-school office sites with at least 10 FTEs.</w:t>
      </w:r>
    </w:p>
    <w:p w14:paraId="142BD83A" w14:textId="77777777" w:rsidR="00A61FF5" w:rsidRPr="006E49EE" w:rsidRDefault="00A61FF5" w:rsidP="00A61FF5">
      <w:pPr>
        <w:pStyle w:val="ESBodyText"/>
        <w:rPr>
          <w:rFonts w:eastAsia="Times New Roman"/>
          <w:lang w:val="en-AU"/>
        </w:rPr>
      </w:pPr>
      <w:r w:rsidRPr="006E49EE">
        <w:rPr>
          <w:rFonts w:eastAsia="Times New Roman"/>
          <w:lang w:val="en-AU"/>
        </w:rPr>
        <w:t>The EMS objectives include:</w:t>
      </w:r>
    </w:p>
    <w:p w14:paraId="7112F126" w14:textId="77777777" w:rsidR="00A61FF5" w:rsidRPr="006E49EE" w:rsidRDefault="00A61FF5" w:rsidP="00A61FF5">
      <w:pPr>
        <w:pStyle w:val="ESBullet1indent"/>
        <w:rPr>
          <w:rFonts w:eastAsia="Times New Roman"/>
          <w:lang w:val="en-AU"/>
        </w:rPr>
      </w:pPr>
      <w:r w:rsidRPr="006E49EE">
        <w:rPr>
          <w:rFonts w:eastAsia="Times New Roman"/>
          <w:lang w:val="en-AU"/>
        </w:rPr>
        <w:t>reducing the amount of waste and maximising re-use and recycling</w:t>
      </w:r>
    </w:p>
    <w:p w14:paraId="7EBA34F7" w14:textId="77777777" w:rsidR="00A61FF5" w:rsidRPr="006E49EE" w:rsidRDefault="00A61FF5" w:rsidP="00A61FF5">
      <w:pPr>
        <w:pStyle w:val="ESBullet1indent"/>
        <w:rPr>
          <w:rFonts w:eastAsia="Times New Roman"/>
          <w:lang w:val="en-AU"/>
        </w:rPr>
      </w:pPr>
      <w:r w:rsidRPr="006E49EE">
        <w:rPr>
          <w:rFonts w:eastAsia="Times New Roman"/>
          <w:lang w:val="en-AU"/>
        </w:rPr>
        <w:t>separating office waste into reusable, recyclable, compostable and landfill</w:t>
      </w:r>
    </w:p>
    <w:p w14:paraId="488ED2CE" w14:textId="77777777" w:rsidR="00A61FF5" w:rsidRPr="006E49EE" w:rsidRDefault="00A61FF5" w:rsidP="00A61FF5">
      <w:pPr>
        <w:pStyle w:val="ESBullet1indent"/>
        <w:rPr>
          <w:rFonts w:eastAsia="Times New Roman"/>
          <w:lang w:val="en-AU"/>
        </w:rPr>
      </w:pPr>
      <w:r w:rsidRPr="006E49EE">
        <w:rPr>
          <w:rFonts w:eastAsia="Times New Roman"/>
          <w:lang w:val="en-AU"/>
        </w:rPr>
        <w:t>minimising energy, paper and water consumption</w:t>
      </w:r>
    </w:p>
    <w:p w14:paraId="2A39F20B" w14:textId="77777777" w:rsidR="00A61FF5" w:rsidRPr="006E49EE" w:rsidRDefault="00A61FF5" w:rsidP="00A61FF5">
      <w:pPr>
        <w:pStyle w:val="ESBullet1indent"/>
        <w:rPr>
          <w:rFonts w:eastAsia="Times New Roman"/>
          <w:lang w:val="en-AU"/>
        </w:rPr>
      </w:pPr>
      <w:r w:rsidRPr="006E49EE">
        <w:rPr>
          <w:rFonts w:eastAsia="Times New Roman"/>
          <w:lang w:val="en-AU"/>
        </w:rPr>
        <w:t>reducing passenger vehicle fleet emissions</w:t>
      </w:r>
    </w:p>
    <w:p w14:paraId="0C07553C" w14:textId="77777777" w:rsidR="00A61FF5" w:rsidRPr="006E49EE" w:rsidRDefault="00A61FF5" w:rsidP="00A61FF5">
      <w:pPr>
        <w:pStyle w:val="ESBullet1indent"/>
        <w:rPr>
          <w:rFonts w:eastAsia="Times New Roman"/>
          <w:lang w:val="en-AU"/>
        </w:rPr>
      </w:pPr>
      <w:r w:rsidRPr="006E49EE">
        <w:rPr>
          <w:rFonts w:eastAsia="Times New Roman"/>
          <w:lang w:val="en-AU"/>
        </w:rPr>
        <w:t>ensuring new office accommodation incorporates environmental sustainability principles</w:t>
      </w:r>
    </w:p>
    <w:p w14:paraId="105D8BFB" w14:textId="77777777" w:rsidR="00A61FF5" w:rsidRPr="006E49EE" w:rsidRDefault="00A61FF5" w:rsidP="00A61FF5">
      <w:pPr>
        <w:pStyle w:val="ESBullet1indent"/>
        <w:rPr>
          <w:rFonts w:eastAsia="Times New Roman"/>
          <w:lang w:val="en-AU"/>
        </w:rPr>
      </w:pPr>
      <w:r w:rsidRPr="006E49EE">
        <w:rPr>
          <w:rFonts w:eastAsia="Times New Roman"/>
          <w:lang w:val="en-AU"/>
        </w:rPr>
        <w:t>adopting an environmental management system based on ISO14001</w:t>
      </w:r>
    </w:p>
    <w:p w14:paraId="6FCFE3F6" w14:textId="77777777" w:rsidR="00A61FF5" w:rsidRPr="006E49EE" w:rsidRDefault="00A61FF5" w:rsidP="00A61FF5">
      <w:pPr>
        <w:pStyle w:val="ESBullet1indent"/>
        <w:rPr>
          <w:rFonts w:eastAsia="Times New Roman"/>
          <w:lang w:val="en-AU"/>
        </w:rPr>
      </w:pPr>
      <w:r w:rsidRPr="006E49EE">
        <w:rPr>
          <w:rFonts w:eastAsia="Times New Roman"/>
          <w:lang w:val="en-AU"/>
        </w:rPr>
        <w:t>communicating environmental performance through regular reporting</w:t>
      </w:r>
    </w:p>
    <w:p w14:paraId="15695506" w14:textId="77777777" w:rsidR="00A61FF5" w:rsidRPr="006E49EE" w:rsidRDefault="00A61FF5" w:rsidP="00A61FF5">
      <w:pPr>
        <w:pStyle w:val="ESBullet1indent"/>
        <w:rPr>
          <w:rFonts w:eastAsia="Times New Roman"/>
          <w:lang w:val="en-AU"/>
        </w:rPr>
      </w:pPr>
      <w:r w:rsidRPr="006E49EE">
        <w:rPr>
          <w:rFonts w:eastAsia="Times New Roman"/>
          <w:lang w:val="en-AU"/>
        </w:rPr>
        <w:t>encouraging staff to reduce their environmental impacts.</w:t>
      </w:r>
    </w:p>
    <w:p w14:paraId="04EF7604" w14:textId="77777777" w:rsidR="00A61FF5" w:rsidRPr="006E49EE" w:rsidRDefault="00A61FF5" w:rsidP="00A61FF5">
      <w:pPr>
        <w:pStyle w:val="ESBodyText"/>
        <w:rPr>
          <w:highlight w:val="yellow"/>
          <w:lang w:val="en-AU"/>
        </w:rPr>
      </w:pPr>
      <w:r w:rsidRPr="006E49EE">
        <w:rPr>
          <w:lang w:val="en-AU"/>
        </w:rPr>
        <w:t>Unless otherwise stated, all consumption data is for 1 April 2016–31 March 2017.</w:t>
      </w:r>
    </w:p>
    <w:p w14:paraId="718F18B8" w14:textId="77777777" w:rsidR="00A61FF5" w:rsidRPr="006E49EE" w:rsidRDefault="00A61FF5" w:rsidP="00A61FF5">
      <w:pPr>
        <w:pStyle w:val="ESHeading3"/>
        <w:rPr>
          <w:lang w:val="en-AU"/>
        </w:rPr>
      </w:pPr>
      <w:r w:rsidRPr="006E49EE">
        <w:rPr>
          <w:lang w:val="en-AU"/>
        </w:rPr>
        <w:t>Energy</w:t>
      </w:r>
    </w:p>
    <w:p w14:paraId="19B43D90" w14:textId="77777777" w:rsidR="00A61FF5" w:rsidRPr="006E49EE" w:rsidRDefault="00A61FF5" w:rsidP="00A61FF5">
      <w:pPr>
        <w:pStyle w:val="ESBodyText"/>
        <w:rPr>
          <w:lang w:val="en-AU"/>
        </w:rPr>
      </w:pPr>
      <w:r w:rsidRPr="006E49EE">
        <w:rPr>
          <w:lang w:val="en-AU"/>
        </w:rPr>
        <w:t>The data presented below was collected through energy retailer billing information and represents 97 per cent of sites and 99 per cent of FTE staff.</w:t>
      </w:r>
    </w:p>
    <w:p w14:paraId="32AA7463" w14:textId="77777777" w:rsidR="00A61FF5" w:rsidRPr="006E49EE" w:rsidRDefault="00A61FF5" w:rsidP="007F172B">
      <w:pPr>
        <w:pStyle w:val="ESHeading4"/>
        <w:rPr>
          <w:lang w:val="en-AU"/>
        </w:rPr>
      </w:pPr>
      <w:r w:rsidRPr="006E49EE">
        <w:rPr>
          <w:lang w:val="en-AU"/>
        </w:rPr>
        <w:t>Target</w:t>
      </w:r>
    </w:p>
    <w:p w14:paraId="503FC0D9" w14:textId="77777777" w:rsidR="00A61FF5" w:rsidRPr="006E49EE" w:rsidRDefault="00A61FF5" w:rsidP="00A61FF5">
      <w:pPr>
        <w:pStyle w:val="ESBodyText"/>
        <w:rPr>
          <w:lang w:val="en-AU"/>
        </w:rPr>
        <w:sectPr w:rsidR="00A61FF5" w:rsidRPr="006E49EE" w:rsidSect="007B4838">
          <w:pgSz w:w="11900" w:h="16840"/>
          <w:pgMar w:top="1440" w:right="1701" w:bottom="1440" w:left="2835" w:header="708" w:footer="708" w:gutter="0"/>
          <w:cols w:space="708"/>
          <w:docGrid w:linePitch="360"/>
        </w:sectPr>
      </w:pPr>
      <w:r w:rsidRPr="006E49EE">
        <w:rPr>
          <w:lang w:val="en-AU"/>
        </w:rPr>
        <w:t>Reduce energy consumption per square metre by 15 per cent of 2013–14 levels by 31 March 2024, averaging an incremental reduction of 1.5 per cent each year for 10 years.</w:t>
      </w:r>
    </w:p>
    <w:p w14:paraId="38D6183A" w14:textId="542ACF5D"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26</w:t>
      </w:r>
      <w:r w:rsidR="00D93BA2" w:rsidRPr="006E49EE">
        <w:rPr>
          <w:lang w:val="en-AU"/>
        </w:rPr>
        <w:fldChar w:fldCharType="end"/>
      </w:r>
      <w:r w:rsidRPr="006E49EE">
        <w:rPr>
          <w:lang w:val="en-AU"/>
        </w:rPr>
        <w:t xml:space="preserve"> – Energy consumption</w:t>
      </w:r>
    </w:p>
    <w:tbl>
      <w:tblPr>
        <w:tblW w:w="5000" w:type="pct"/>
        <w:tblLayout w:type="fixed"/>
        <w:tblLook w:val="04A0" w:firstRow="1" w:lastRow="0" w:firstColumn="1" w:lastColumn="0" w:noHBand="0" w:noVBand="1"/>
      </w:tblPr>
      <w:tblGrid>
        <w:gridCol w:w="3022"/>
        <w:gridCol w:w="1365"/>
        <w:gridCol w:w="1368"/>
        <w:gridCol w:w="1368"/>
        <w:gridCol w:w="1368"/>
        <w:gridCol w:w="1368"/>
        <w:gridCol w:w="1368"/>
        <w:gridCol w:w="1368"/>
        <w:gridCol w:w="1365"/>
      </w:tblGrid>
      <w:tr w:rsidR="00421660" w:rsidRPr="00932A90" w14:paraId="2FFA1805" w14:textId="77777777" w:rsidTr="00264B66">
        <w:trPr>
          <w:cantSplit/>
        </w:trPr>
        <w:tc>
          <w:tcPr>
            <w:tcW w:w="1082" w:type="pct"/>
            <w:vMerge w:val="restart"/>
            <w:shd w:val="clear" w:color="auto" w:fill="7F7F7F" w:themeFill="text1" w:themeFillTint="80"/>
            <w:vAlign w:val="center"/>
          </w:tcPr>
          <w:p w14:paraId="3D440B53" w14:textId="77777777" w:rsidR="00421660" w:rsidRPr="00932A90" w:rsidRDefault="00421660" w:rsidP="00D07480">
            <w:pPr>
              <w:pStyle w:val="DETTablecolumnheading"/>
              <w:jc w:val="left"/>
              <w:rPr>
                <w:sz w:val="16"/>
                <w:szCs w:val="16"/>
              </w:rPr>
            </w:pPr>
            <w:r w:rsidRPr="00932A90">
              <w:rPr>
                <w:sz w:val="16"/>
                <w:szCs w:val="16"/>
              </w:rPr>
              <w:t>Indicator</w:t>
            </w:r>
          </w:p>
        </w:tc>
        <w:tc>
          <w:tcPr>
            <w:tcW w:w="1959" w:type="pct"/>
            <w:gridSpan w:val="4"/>
            <w:shd w:val="clear" w:color="auto" w:fill="7F7F7F" w:themeFill="text1" w:themeFillTint="80"/>
            <w:vAlign w:val="center"/>
          </w:tcPr>
          <w:p w14:paraId="3EF23363" w14:textId="47601A3F" w:rsidR="00421660" w:rsidRPr="00932A90" w:rsidRDefault="00421660" w:rsidP="00D07480">
            <w:pPr>
              <w:pStyle w:val="DETTablecolumnheading"/>
              <w:rPr>
                <w:sz w:val="16"/>
                <w:szCs w:val="16"/>
              </w:rPr>
            </w:pPr>
            <w:r w:rsidRPr="00932A90">
              <w:rPr>
                <w:sz w:val="16"/>
                <w:szCs w:val="16"/>
              </w:rPr>
              <w:t>2016–17</w:t>
            </w:r>
          </w:p>
        </w:tc>
        <w:tc>
          <w:tcPr>
            <w:tcW w:w="1959" w:type="pct"/>
            <w:gridSpan w:val="4"/>
            <w:shd w:val="clear" w:color="auto" w:fill="7F7F7F" w:themeFill="text1" w:themeFillTint="80"/>
            <w:vAlign w:val="center"/>
          </w:tcPr>
          <w:p w14:paraId="580E19A1" w14:textId="03CF38F9" w:rsidR="00421660" w:rsidRPr="00932A90" w:rsidRDefault="00421660" w:rsidP="00C27EA2">
            <w:pPr>
              <w:pStyle w:val="DETTablecolumnheading"/>
              <w:rPr>
                <w:sz w:val="16"/>
                <w:szCs w:val="16"/>
              </w:rPr>
            </w:pPr>
            <w:r w:rsidRPr="00932A90">
              <w:rPr>
                <w:sz w:val="16"/>
                <w:szCs w:val="16"/>
              </w:rPr>
              <w:t>2015–16</w:t>
            </w:r>
          </w:p>
        </w:tc>
      </w:tr>
      <w:tr w:rsidR="00A61FF5" w:rsidRPr="00932A90" w14:paraId="5330F534" w14:textId="77777777" w:rsidTr="00264B66">
        <w:trPr>
          <w:cantSplit/>
        </w:trPr>
        <w:tc>
          <w:tcPr>
            <w:tcW w:w="1082" w:type="pct"/>
            <w:vMerge/>
            <w:shd w:val="clear" w:color="auto" w:fill="7F7F7F" w:themeFill="text1" w:themeFillTint="80"/>
            <w:vAlign w:val="center"/>
          </w:tcPr>
          <w:p w14:paraId="28784C30" w14:textId="77777777" w:rsidR="00A61FF5" w:rsidRPr="00932A90" w:rsidRDefault="00A61FF5" w:rsidP="00D07480">
            <w:pPr>
              <w:pStyle w:val="DETTablecolumnheading"/>
              <w:jc w:val="left"/>
              <w:rPr>
                <w:sz w:val="16"/>
                <w:szCs w:val="16"/>
              </w:rPr>
            </w:pPr>
          </w:p>
        </w:tc>
        <w:tc>
          <w:tcPr>
            <w:tcW w:w="489" w:type="pct"/>
            <w:shd w:val="clear" w:color="auto" w:fill="7F7F7F" w:themeFill="text1" w:themeFillTint="80"/>
          </w:tcPr>
          <w:p w14:paraId="2A0F9525" w14:textId="77777777" w:rsidR="00A61FF5" w:rsidRPr="00932A90" w:rsidRDefault="00A61FF5" w:rsidP="00D07480">
            <w:pPr>
              <w:pStyle w:val="DETTablecolumnheading"/>
              <w:rPr>
                <w:sz w:val="16"/>
                <w:szCs w:val="16"/>
              </w:rPr>
            </w:pPr>
            <w:r w:rsidRPr="00932A90">
              <w:rPr>
                <w:sz w:val="16"/>
                <w:szCs w:val="16"/>
              </w:rPr>
              <w:t>Electricity</w:t>
            </w:r>
          </w:p>
        </w:tc>
        <w:tc>
          <w:tcPr>
            <w:tcW w:w="490" w:type="pct"/>
            <w:shd w:val="clear" w:color="auto" w:fill="7F7F7F" w:themeFill="text1" w:themeFillTint="80"/>
          </w:tcPr>
          <w:p w14:paraId="32D97FC3" w14:textId="77777777" w:rsidR="00A61FF5" w:rsidRPr="00932A90" w:rsidRDefault="00A61FF5" w:rsidP="00D07480">
            <w:pPr>
              <w:pStyle w:val="DETTablecolumnheading"/>
              <w:rPr>
                <w:sz w:val="16"/>
                <w:szCs w:val="16"/>
              </w:rPr>
            </w:pPr>
            <w:r w:rsidRPr="00932A90">
              <w:rPr>
                <w:sz w:val="16"/>
                <w:szCs w:val="16"/>
              </w:rPr>
              <w:t>Natural gas</w:t>
            </w:r>
          </w:p>
        </w:tc>
        <w:tc>
          <w:tcPr>
            <w:tcW w:w="490" w:type="pct"/>
            <w:shd w:val="clear" w:color="auto" w:fill="7F7F7F" w:themeFill="text1" w:themeFillTint="80"/>
          </w:tcPr>
          <w:p w14:paraId="5D073514" w14:textId="77777777" w:rsidR="00A61FF5" w:rsidRPr="00932A90" w:rsidRDefault="00A61FF5" w:rsidP="00D07480">
            <w:pPr>
              <w:pStyle w:val="DETTablecolumnheading"/>
              <w:rPr>
                <w:sz w:val="16"/>
                <w:szCs w:val="16"/>
              </w:rPr>
            </w:pPr>
            <w:r w:rsidRPr="00932A90">
              <w:rPr>
                <w:sz w:val="16"/>
                <w:szCs w:val="16"/>
              </w:rPr>
              <w:t>Green power</w:t>
            </w:r>
          </w:p>
        </w:tc>
        <w:tc>
          <w:tcPr>
            <w:tcW w:w="490" w:type="pct"/>
            <w:shd w:val="clear" w:color="auto" w:fill="7F7F7F" w:themeFill="text1" w:themeFillTint="80"/>
          </w:tcPr>
          <w:p w14:paraId="788C26EA" w14:textId="77777777" w:rsidR="00A61FF5" w:rsidRPr="00932A90" w:rsidRDefault="00A61FF5" w:rsidP="00D07480">
            <w:pPr>
              <w:pStyle w:val="DETTablecolumnheading"/>
              <w:rPr>
                <w:sz w:val="16"/>
                <w:szCs w:val="16"/>
              </w:rPr>
            </w:pPr>
            <w:r w:rsidRPr="00932A90">
              <w:rPr>
                <w:sz w:val="16"/>
                <w:szCs w:val="16"/>
              </w:rPr>
              <w:t>Total</w:t>
            </w:r>
          </w:p>
        </w:tc>
        <w:tc>
          <w:tcPr>
            <w:tcW w:w="490" w:type="pct"/>
            <w:shd w:val="clear" w:color="auto" w:fill="7F7F7F" w:themeFill="text1" w:themeFillTint="80"/>
          </w:tcPr>
          <w:p w14:paraId="33BDD95E" w14:textId="77777777" w:rsidR="00A61FF5" w:rsidRPr="00932A90" w:rsidRDefault="00A61FF5" w:rsidP="00D07480">
            <w:pPr>
              <w:pStyle w:val="DETTablecolumnheading"/>
              <w:rPr>
                <w:sz w:val="16"/>
                <w:szCs w:val="16"/>
              </w:rPr>
            </w:pPr>
            <w:r w:rsidRPr="00932A90">
              <w:rPr>
                <w:sz w:val="16"/>
                <w:szCs w:val="16"/>
              </w:rPr>
              <w:t>Electricity</w:t>
            </w:r>
          </w:p>
        </w:tc>
        <w:tc>
          <w:tcPr>
            <w:tcW w:w="490" w:type="pct"/>
            <w:shd w:val="clear" w:color="auto" w:fill="7F7F7F" w:themeFill="text1" w:themeFillTint="80"/>
          </w:tcPr>
          <w:p w14:paraId="1548B674" w14:textId="77777777" w:rsidR="00A61FF5" w:rsidRPr="00932A90" w:rsidRDefault="00A61FF5" w:rsidP="00D07480">
            <w:pPr>
              <w:pStyle w:val="DETTablecolumnheading"/>
              <w:rPr>
                <w:sz w:val="16"/>
                <w:szCs w:val="16"/>
              </w:rPr>
            </w:pPr>
            <w:r w:rsidRPr="00932A90">
              <w:rPr>
                <w:sz w:val="16"/>
                <w:szCs w:val="16"/>
              </w:rPr>
              <w:t>Natural gas</w:t>
            </w:r>
          </w:p>
        </w:tc>
        <w:tc>
          <w:tcPr>
            <w:tcW w:w="490" w:type="pct"/>
            <w:shd w:val="clear" w:color="auto" w:fill="7F7F7F" w:themeFill="text1" w:themeFillTint="80"/>
          </w:tcPr>
          <w:p w14:paraId="218C48AC" w14:textId="77777777" w:rsidR="00A61FF5" w:rsidRPr="00932A90" w:rsidRDefault="00A61FF5" w:rsidP="00D07480">
            <w:pPr>
              <w:pStyle w:val="DETTablecolumnheading"/>
              <w:rPr>
                <w:sz w:val="16"/>
                <w:szCs w:val="16"/>
              </w:rPr>
            </w:pPr>
            <w:r w:rsidRPr="00932A90">
              <w:rPr>
                <w:sz w:val="16"/>
                <w:szCs w:val="16"/>
              </w:rPr>
              <w:t>Green power</w:t>
            </w:r>
          </w:p>
        </w:tc>
        <w:tc>
          <w:tcPr>
            <w:tcW w:w="490" w:type="pct"/>
            <w:shd w:val="clear" w:color="auto" w:fill="7F7F7F" w:themeFill="text1" w:themeFillTint="80"/>
          </w:tcPr>
          <w:p w14:paraId="1DCCC1BB" w14:textId="77777777" w:rsidR="00A61FF5" w:rsidRPr="00932A90" w:rsidRDefault="00A61FF5" w:rsidP="00D07480">
            <w:pPr>
              <w:pStyle w:val="DETTablecolumnheading"/>
              <w:rPr>
                <w:sz w:val="16"/>
                <w:szCs w:val="16"/>
              </w:rPr>
            </w:pPr>
            <w:r w:rsidRPr="00932A90">
              <w:rPr>
                <w:sz w:val="16"/>
                <w:szCs w:val="16"/>
              </w:rPr>
              <w:t>Total</w:t>
            </w:r>
          </w:p>
        </w:tc>
      </w:tr>
      <w:tr w:rsidR="00A61FF5" w:rsidRPr="00932A90" w14:paraId="23F8CC6E" w14:textId="77777777" w:rsidTr="00264B66">
        <w:trPr>
          <w:cantSplit/>
          <w:trHeight w:val="911"/>
        </w:trPr>
        <w:tc>
          <w:tcPr>
            <w:tcW w:w="1082" w:type="pct"/>
            <w:shd w:val="clear" w:color="auto" w:fill="auto"/>
            <w:vAlign w:val="center"/>
          </w:tcPr>
          <w:p w14:paraId="183BB6AB" w14:textId="77777777" w:rsidR="00A61FF5" w:rsidRPr="006E49EE" w:rsidRDefault="00A61FF5" w:rsidP="00D07480">
            <w:pPr>
              <w:pStyle w:val="ESTableBody"/>
              <w:rPr>
                <w:lang w:val="en-AU"/>
              </w:rPr>
            </w:pPr>
            <w:r w:rsidRPr="006E49EE">
              <w:rPr>
                <w:lang w:val="en-AU"/>
              </w:rPr>
              <w:t>Total energy usage segmented by primary source (MJ)</w:t>
            </w:r>
          </w:p>
        </w:tc>
        <w:tc>
          <w:tcPr>
            <w:tcW w:w="489" w:type="pct"/>
            <w:shd w:val="clear" w:color="auto" w:fill="F8F8F8"/>
            <w:vAlign w:val="center"/>
          </w:tcPr>
          <w:p w14:paraId="45DB6B61" w14:textId="77777777" w:rsidR="00A61FF5" w:rsidRPr="006E49EE" w:rsidRDefault="00A61FF5" w:rsidP="00D07480">
            <w:pPr>
              <w:pStyle w:val="ESTableBody"/>
              <w:jc w:val="right"/>
              <w:rPr>
                <w:highlight w:val="yellow"/>
                <w:lang w:val="en-AU"/>
              </w:rPr>
            </w:pPr>
            <w:r w:rsidRPr="006E49EE">
              <w:rPr>
                <w:lang w:val="en-AU"/>
              </w:rPr>
              <w:t>21,900,076</w:t>
            </w:r>
          </w:p>
        </w:tc>
        <w:tc>
          <w:tcPr>
            <w:tcW w:w="490" w:type="pct"/>
            <w:shd w:val="clear" w:color="auto" w:fill="F8F8F8"/>
            <w:vAlign w:val="center"/>
          </w:tcPr>
          <w:p w14:paraId="0DB336FE" w14:textId="77777777" w:rsidR="00A61FF5" w:rsidRPr="006E49EE" w:rsidRDefault="00A61FF5" w:rsidP="00D07480">
            <w:pPr>
              <w:pStyle w:val="ESTableBody"/>
              <w:jc w:val="right"/>
              <w:rPr>
                <w:highlight w:val="yellow"/>
                <w:lang w:val="en-AU"/>
              </w:rPr>
            </w:pPr>
            <w:r w:rsidRPr="006E49EE">
              <w:rPr>
                <w:lang w:val="en-AU"/>
              </w:rPr>
              <w:t>7,817,788</w:t>
            </w:r>
          </w:p>
        </w:tc>
        <w:tc>
          <w:tcPr>
            <w:tcW w:w="490" w:type="pct"/>
            <w:shd w:val="clear" w:color="auto" w:fill="F8F8F8"/>
            <w:vAlign w:val="center"/>
          </w:tcPr>
          <w:p w14:paraId="2F515E14" w14:textId="77777777" w:rsidR="00A61FF5" w:rsidRPr="006E49EE" w:rsidRDefault="00A61FF5" w:rsidP="00D07480">
            <w:pPr>
              <w:pStyle w:val="ESTableBody"/>
              <w:jc w:val="right"/>
              <w:rPr>
                <w:lang w:val="en-AU"/>
              </w:rPr>
            </w:pPr>
            <w:r w:rsidRPr="006E49EE">
              <w:rPr>
                <w:lang w:val="en-AU"/>
              </w:rPr>
              <w:t>0</w:t>
            </w:r>
          </w:p>
        </w:tc>
        <w:tc>
          <w:tcPr>
            <w:tcW w:w="490" w:type="pct"/>
            <w:shd w:val="clear" w:color="auto" w:fill="F8F8F8" w:themeFill="background2"/>
            <w:vAlign w:val="center"/>
          </w:tcPr>
          <w:p w14:paraId="5F92FAC2" w14:textId="77777777" w:rsidR="00A61FF5" w:rsidRPr="006E49EE" w:rsidRDefault="00A61FF5" w:rsidP="00D07480">
            <w:pPr>
              <w:pStyle w:val="ESTableBody"/>
              <w:jc w:val="right"/>
              <w:rPr>
                <w:lang w:val="en-AU"/>
              </w:rPr>
            </w:pPr>
            <w:r w:rsidRPr="006E49EE">
              <w:rPr>
                <w:lang w:val="en-AU"/>
              </w:rPr>
              <w:t>29,717,864</w:t>
            </w:r>
          </w:p>
        </w:tc>
        <w:tc>
          <w:tcPr>
            <w:tcW w:w="490" w:type="pct"/>
            <w:shd w:val="clear" w:color="auto" w:fill="auto"/>
            <w:vAlign w:val="center"/>
          </w:tcPr>
          <w:p w14:paraId="24AAC7FC" w14:textId="77777777" w:rsidR="00A61FF5" w:rsidRPr="006E49EE" w:rsidRDefault="00A61FF5" w:rsidP="00D07480">
            <w:pPr>
              <w:pStyle w:val="ESTableBody"/>
              <w:jc w:val="right"/>
              <w:rPr>
                <w:lang w:val="en-AU"/>
              </w:rPr>
            </w:pPr>
            <w:r w:rsidRPr="006E49EE">
              <w:rPr>
                <w:lang w:val="en-AU"/>
              </w:rPr>
              <w:t>20,910,815</w:t>
            </w:r>
          </w:p>
        </w:tc>
        <w:tc>
          <w:tcPr>
            <w:tcW w:w="490" w:type="pct"/>
            <w:shd w:val="clear" w:color="auto" w:fill="auto"/>
            <w:vAlign w:val="center"/>
          </w:tcPr>
          <w:p w14:paraId="46C6CA6A" w14:textId="77777777" w:rsidR="00A61FF5" w:rsidRPr="006E49EE" w:rsidRDefault="00A61FF5" w:rsidP="00D07480">
            <w:pPr>
              <w:pStyle w:val="ESTableBody"/>
              <w:jc w:val="right"/>
              <w:rPr>
                <w:lang w:val="en-AU"/>
              </w:rPr>
            </w:pPr>
            <w:r w:rsidRPr="006E49EE">
              <w:rPr>
                <w:lang w:val="en-AU"/>
              </w:rPr>
              <w:t>6,858,907</w:t>
            </w:r>
          </w:p>
        </w:tc>
        <w:tc>
          <w:tcPr>
            <w:tcW w:w="490" w:type="pct"/>
            <w:shd w:val="clear" w:color="auto" w:fill="auto"/>
            <w:vAlign w:val="center"/>
          </w:tcPr>
          <w:p w14:paraId="5350235E" w14:textId="77777777" w:rsidR="00A61FF5" w:rsidRPr="006E49EE" w:rsidRDefault="00A61FF5" w:rsidP="00D07480">
            <w:pPr>
              <w:pStyle w:val="ESTableBody"/>
              <w:jc w:val="right"/>
              <w:rPr>
                <w:lang w:val="en-AU"/>
              </w:rPr>
            </w:pPr>
            <w:r w:rsidRPr="006E49EE">
              <w:rPr>
                <w:lang w:val="en-AU"/>
              </w:rPr>
              <w:t>0</w:t>
            </w:r>
          </w:p>
        </w:tc>
        <w:tc>
          <w:tcPr>
            <w:tcW w:w="490" w:type="pct"/>
            <w:vAlign w:val="center"/>
          </w:tcPr>
          <w:p w14:paraId="4469A557" w14:textId="77777777" w:rsidR="00A61FF5" w:rsidRPr="006E49EE" w:rsidRDefault="00A61FF5" w:rsidP="00D07480">
            <w:pPr>
              <w:pStyle w:val="ESTableBody"/>
              <w:jc w:val="right"/>
              <w:rPr>
                <w:lang w:val="en-AU"/>
              </w:rPr>
            </w:pPr>
            <w:r w:rsidRPr="006E49EE">
              <w:rPr>
                <w:lang w:val="en-AU"/>
              </w:rPr>
              <w:t>27,769,722</w:t>
            </w:r>
          </w:p>
        </w:tc>
      </w:tr>
      <w:tr w:rsidR="00A61FF5" w:rsidRPr="00932A90" w14:paraId="7FC9E78B" w14:textId="77777777" w:rsidTr="00264B66">
        <w:trPr>
          <w:cantSplit/>
          <w:trHeight w:val="60"/>
        </w:trPr>
        <w:tc>
          <w:tcPr>
            <w:tcW w:w="1082" w:type="pct"/>
            <w:shd w:val="clear" w:color="auto" w:fill="auto"/>
            <w:vAlign w:val="center"/>
          </w:tcPr>
          <w:p w14:paraId="1AC758ED" w14:textId="77777777" w:rsidR="00A61FF5" w:rsidRPr="006E49EE" w:rsidRDefault="00A61FF5" w:rsidP="00D07480">
            <w:pPr>
              <w:pStyle w:val="ESTableBody"/>
              <w:rPr>
                <w:lang w:val="en-AU"/>
              </w:rPr>
            </w:pPr>
            <w:r w:rsidRPr="006E49EE">
              <w:rPr>
                <w:lang w:val="en-AU"/>
              </w:rPr>
              <w:t>Greenhouse gas emissions associated with energy use, segmented by primary source and offsets (t CO</w:t>
            </w:r>
            <w:r w:rsidRPr="006E49EE">
              <w:rPr>
                <w:vertAlign w:val="subscript"/>
                <w:lang w:val="en-AU"/>
              </w:rPr>
              <w:t>2</w:t>
            </w:r>
            <w:r w:rsidRPr="006E49EE">
              <w:rPr>
                <w:lang w:val="en-AU"/>
              </w:rPr>
              <w:t xml:space="preserve"> e)</w:t>
            </w:r>
          </w:p>
        </w:tc>
        <w:tc>
          <w:tcPr>
            <w:tcW w:w="489" w:type="pct"/>
            <w:shd w:val="clear" w:color="auto" w:fill="F8F8F8"/>
            <w:vAlign w:val="center"/>
          </w:tcPr>
          <w:p w14:paraId="6CAB4214" w14:textId="598512E2" w:rsidR="00A61FF5" w:rsidRPr="006E49EE" w:rsidRDefault="00A61FF5" w:rsidP="00D07480">
            <w:pPr>
              <w:pStyle w:val="ESTableBody"/>
              <w:jc w:val="right"/>
              <w:rPr>
                <w:lang w:val="en-AU"/>
              </w:rPr>
            </w:pPr>
            <w:r w:rsidRPr="006E49EE">
              <w:rPr>
                <w:lang w:val="en-AU"/>
              </w:rPr>
              <w:t>7</w:t>
            </w:r>
            <w:r w:rsidR="009452EC" w:rsidRPr="006E49EE">
              <w:rPr>
                <w:lang w:val="en-AU"/>
              </w:rPr>
              <w:t>,</w:t>
            </w:r>
            <w:r w:rsidRPr="006E49EE">
              <w:rPr>
                <w:lang w:val="en-AU"/>
              </w:rPr>
              <w:t>239</w:t>
            </w:r>
          </w:p>
        </w:tc>
        <w:tc>
          <w:tcPr>
            <w:tcW w:w="490" w:type="pct"/>
            <w:shd w:val="clear" w:color="auto" w:fill="F8F8F8"/>
            <w:vAlign w:val="center"/>
          </w:tcPr>
          <w:p w14:paraId="0112EC23" w14:textId="77777777" w:rsidR="00A61FF5" w:rsidRPr="006E49EE" w:rsidRDefault="00A61FF5" w:rsidP="00D07480">
            <w:pPr>
              <w:pStyle w:val="ESTableBody"/>
              <w:jc w:val="right"/>
              <w:rPr>
                <w:lang w:val="en-AU"/>
              </w:rPr>
            </w:pPr>
            <w:r w:rsidRPr="006E49EE">
              <w:rPr>
                <w:lang w:val="en-AU"/>
              </w:rPr>
              <w:t>433</w:t>
            </w:r>
          </w:p>
        </w:tc>
        <w:tc>
          <w:tcPr>
            <w:tcW w:w="490" w:type="pct"/>
            <w:shd w:val="clear" w:color="auto" w:fill="F8F8F8"/>
            <w:vAlign w:val="center"/>
          </w:tcPr>
          <w:p w14:paraId="4DF9995C" w14:textId="30451F32" w:rsidR="00A61FF5" w:rsidRPr="006E49EE" w:rsidRDefault="00C27EA2" w:rsidP="00D07480">
            <w:pPr>
              <w:pStyle w:val="ESTableBody"/>
              <w:jc w:val="right"/>
              <w:rPr>
                <w:lang w:val="en-AU"/>
              </w:rPr>
            </w:pPr>
            <w:r w:rsidRPr="006E49EE">
              <w:rPr>
                <w:lang w:val="en-AU"/>
              </w:rPr>
              <w:t>–</w:t>
            </w:r>
          </w:p>
        </w:tc>
        <w:tc>
          <w:tcPr>
            <w:tcW w:w="490" w:type="pct"/>
            <w:shd w:val="clear" w:color="auto" w:fill="F8F8F8" w:themeFill="background2"/>
            <w:vAlign w:val="center"/>
          </w:tcPr>
          <w:p w14:paraId="7B7D436C" w14:textId="7982B584" w:rsidR="00A61FF5" w:rsidRPr="006E49EE" w:rsidRDefault="00A61FF5" w:rsidP="00D07480">
            <w:pPr>
              <w:pStyle w:val="ESTableBody"/>
              <w:jc w:val="right"/>
              <w:rPr>
                <w:lang w:val="en-AU"/>
              </w:rPr>
            </w:pPr>
            <w:r w:rsidRPr="006E49EE">
              <w:rPr>
                <w:lang w:val="en-AU"/>
              </w:rPr>
              <w:t>7</w:t>
            </w:r>
            <w:r w:rsidR="009452EC" w:rsidRPr="006E49EE">
              <w:rPr>
                <w:lang w:val="en-AU"/>
              </w:rPr>
              <w:t>,</w:t>
            </w:r>
            <w:r w:rsidRPr="006E49EE">
              <w:rPr>
                <w:lang w:val="en-AU"/>
              </w:rPr>
              <w:t>672</w:t>
            </w:r>
          </w:p>
        </w:tc>
        <w:tc>
          <w:tcPr>
            <w:tcW w:w="490" w:type="pct"/>
            <w:shd w:val="clear" w:color="auto" w:fill="auto"/>
            <w:vAlign w:val="center"/>
          </w:tcPr>
          <w:p w14:paraId="0F908C36" w14:textId="0D569BAD" w:rsidR="00A61FF5" w:rsidRPr="006E49EE" w:rsidRDefault="00A61FF5" w:rsidP="00D07480">
            <w:pPr>
              <w:pStyle w:val="ESTableBody"/>
              <w:jc w:val="right"/>
              <w:rPr>
                <w:lang w:val="en-AU"/>
              </w:rPr>
            </w:pPr>
            <w:r w:rsidRPr="006E49EE">
              <w:rPr>
                <w:lang w:val="en-AU"/>
              </w:rPr>
              <w:t>7</w:t>
            </w:r>
            <w:r w:rsidR="009452EC" w:rsidRPr="006E49EE">
              <w:rPr>
                <w:lang w:val="en-AU"/>
              </w:rPr>
              <w:t>,</w:t>
            </w:r>
            <w:r w:rsidRPr="006E49EE">
              <w:rPr>
                <w:lang w:val="en-AU"/>
              </w:rPr>
              <w:t>319</w:t>
            </w:r>
          </w:p>
        </w:tc>
        <w:tc>
          <w:tcPr>
            <w:tcW w:w="490" w:type="pct"/>
            <w:shd w:val="clear" w:color="auto" w:fill="auto"/>
            <w:vAlign w:val="center"/>
          </w:tcPr>
          <w:p w14:paraId="375F9E67" w14:textId="77777777" w:rsidR="00A61FF5" w:rsidRPr="006E49EE" w:rsidRDefault="00A61FF5" w:rsidP="00D07480">
            <w:pPr>
              <w:pStyle w:val="ESTableBody"/>
              <w:jc w:val="right"/>
              <w:rPr>
                <w:lang w:val="en-AU"/>
              </w:rPr>
            </w:pPr>
            <w:r w:rsidRPr="006E49EE">
              <w:rPr>
                <w:lang w:val="en-AU"/>
              </w:rPr>
              <w:t>380</w:t>
            </w:r>
          </w:p>
        </w:tc>
        <w:tc>
          <w:tcPr>
            <w:tcW w:w="490" w:type="pct"/>
            <w:shd w:val="clear" w:color="auto" w:fill="auto"/>
            <w:vAlign w:val="center"/>
          </w:tcPr>
          <w:p w14:paraId="6A4CA464" w14:textId="77777777" w:rsidR="00A61FF5" w:rsidRPr="006E49EE" w:rsidRDefault="00A61FF5" w:rsidP="00D07480">
            <w:pPr>
              <w:pStyle w:val="ESTableBody"/>
              <w:jc w:val="right"/>
              <w:rPr>
                <w:highlight w:val="yellow"/>
                <w:lang w:val="en-AU"/>
              </w:rPr>
            </w:pPr>
            <w:r w:rsidRPr="006E49EE">
              <w:rPr>
                <w:lang w:val="en-AU"/>
              </w:rPr>
              <w:t>–</w:t>
            </w:r>
          </w:p>
        </w:tc>
        <w:tc>
          <w:tcPr>
            <w:tcW w:w="490" w:type="pct"/>
            <w:vAlign w:val="center"/>
          </w:tcPr>
          <w:p w14:paraId="194B7B67" w14:textId="18B275E1" w:rsidR="00A61FF5" w:rsidRPr="006E49EE" w:rsidRDefault="00A61FF5" w:rsidP="00D07480">
            <w:pPr>
              <w:pStyle w:val="ESTableBody"/>
              <w:jc w:val="right"/>
              <w:rPr>
                <w:lang w:val="en-AU"/>
              </w:rPr>
            </w:pPr>
            <w:r w:rsidRPr="006E49EE">
              <w:rPr>
                <w:lang w:val="en-AU"/>
              </w:rPr>
              <w:t>7</w:t>
            </w:r>
            <w:r w:rsidR="009452EC" w:rsidRPr="006E49EE">
              <w:rPr>
                <w:lang w:val="en-AU"/>
              </w:rPr>
              <w:t>,</w:t>
            </w:r>
            <w:r w:rsidRPr="006E49EE">
              <w:rPr>
                <w:lang w:val="en-AU"/>
              </w:rPr>
              <w:t>699</w:t>
            </w:r>
          </w:p>
        </w:tc>
      </w:tr>
      <w:tr w:rsidR="00A61FF5" w:rsidRPr="00932A90" w14:paraId="0CD917B9" w14:textId="77777777" w:rsidTr="00264B66">
        <w:trPr>
          <w:cantSplit/>
          <w:trHeight w:val="60"/>
        </w:trPr>
        <w:tc>
          <w:tcPr>
            <w:tcW w:w="1082" w:type="pct"/>
            <w:shd w:val="clear" w:color="auto" w:fill="auto"/>
            <w:vAlign w:val="center"/>
          </w:tcPr>
          <w:p w14:paraId="7FC4CA7C" w14:textId="77777777" w:rsidR="00A61FF5" w:rsidRPr="006E49EE" w:rsidRDefault="00A61FF5" w:rsidP="00D07480">
            <w:pPr>
              <w:pStyle w:val="ESTableBody"/>
              <w:rPr>
                <w:lang w:val="en-AU"/>
              </w:rPr>
            </w:pPr>
            <w:r w:rsidRPr="006E49EE">
              <w:rPr>
                <w:lang w:val="en-AU"/>
              </w:rPr>
              <w:t>Units of energy (electricity plus natural gas) used per FTE</w:t>
            </w:r>
          </w:p>
          <w:p w14:paraId="3B98F527" w14:textId="77777777" w:rsidR="00A61FF5" w:rsidRPr="006E49EE" w:rsidRDefault="00A61FF5" w:rsidP="00D07480">
            <w:pPr>
              <w:pStyle w:val="ESTableBody"/>
              <w:rPr>
                <w:lang w:val="en-AU"/>
              </w:rPr>
            </w:pPr>
            <w:r w:rsidRPr="006E49EE">
              <w:rPr>
                <w:lang w:val="en-AU"/>
              </w:rPr>
              <w:t>(MJ/FTE)</w:t>
            </w:r>
          </w:p>
        </w:tc>
        <w:tc>
          <w:tcPr>
            <w:tcW w:w="489" w:type="pct"/>
            <w:shd w:val="clear" w:color="auto" w:fill="F8F8F8"/>
            <w:vAlign w:val="center"/>
          </w:tcPr>
          <w:p w14:paraId="7601A79D" w14:textId="7F63FC0E" w:rsidR="00A61FF5" w:rsidRPr="006E49EE" w:rsidRDefault="00A61FF5" w:rsidP="00D07480">
            <w:pPr>
              <w:pStyle w:val="ESTableBody"/>
              <w:jc w:val="right"/>
              <w:rPr>
                <w:lang w:val="en-AU"/>
              </w:rPr>
            </w:pPr>
            <w:r w:rsidRPr="006E49EE">
              <w:rPr>
                <w:lang w:val="en-AU"/>
              </w:rPr>
              <w:t>8</w:t>
            </w:r>
            <w:r w:rsidR="009452EC" w:rsidRPr="006E49EE">
              <w:rPr>
                <w:lang w:val="en-AU"/>
              </w:rPr>
              <w:t>,</w:t>
            </w:r>
            <w:r w:rsidRPr="006E49EE">
              <w:rPr>
                <w:lang w:val="en-AU"/>
              </w:rPr>
              <w:t>114</w:t>
            </w:r>
          </w:p>
        </w:tc>
        <w:tc>
          <w:tcPr>
            <w:tcW w:w="490" w:type="pct"/>
            <w:shd w:val="clear" w:color="auto" w:fill="F8F8F8"/>
            <w:vAlign w:val="center"/>
          </w:tcPr>
          <w:p w14:paraId="3888390F" w14:textId="1620EFE1" w:rsidR="00A61FF5" w:rsidRPr="006E49EE" w:rsidRDefault="00A61FF5" w:rsidP="00D07480">
            <w:pPr>
              <w:pStyle w:val="ESTableBody"/>
              <w:jc w:val="right"/>
              <w:rPr>
                <w:lang w:val="en-AU"/>
              </w:rPr>
            </w:pPr>
            <w:r w:rsidRPr="006E49EE">
              <w:rPr>
                <w:lang w:val="en-AU"/>
              </w:rPr>
              <w:t>2</w:t>
            </w:r>
            <w:r w:rsidR="009452EC" w:rsidRPr="006E49EE">
              <w:rPr>
                <w:lang w:val="en-AU"/>
              </w:rPr>
              <w:t>,</w:t>
            </w:r>
            <w:r w:rsidRPr="006E49EE">
              <w:rPr>
                <w:lang w:val="en-AU"/>
              </w:rPr>
              <w:t>897</w:t>
            </w:r>
          </w:p>
        </w:tc>
        <w:tc>
          <w:tcPr>
            <w:tcW w:w="490" w:type="pct"/>
            <w:shd w:val="clear" w:color="auto" w:fill="F8F8F8"/>
            <w:vAlign w:val="center"/>
          </w:tcPr>
          <w:p w14:paraId="5D01B436" w14:textId="77777777" w:rsidR="00A61FF5" w:rsidRPr="00932A90" w:rsidRDefault="00A61FF5" w:rsidP="00D07480">
            <w:pPr>
              <w:pStyle w:val="DETTableTextFinancial"/>
              <w:jc w:val="right"/>
            </w:pPr>
          </w:p>
        </w:tc>
        <w:tc>
          <w:tcPr>
            <w:tcW w:w="490" w:type="pct"/>
            <w:shd w:val="clear" w:color="auto" w:fill="F8F8F8" w:themeFill="background2"/>
            <w:vAlign w:val="center"/>
          </w:tcPr>
          <w:p w14:paraId="256B6B90" w14:textId="77777777" w:rsidR="00A61FF5" w:rsidRPr="006E49EE" w:rsidRDefault="00A61FF5" w:rsidP="00D07480">
            <w:pPr>
              <w:pStyle w:val="ESTableBody"/>
              <w:jc w:val="right"/>
              <w:rPr>
                <w:lang w:val="en-AU"/>
              </w:rPr>
            </w:pPr>
            <w:r w:rsidRPr="006E49EE">
              <w:rPr>
                <w:lang w:val="en-AU"/>
              </w:rPr>
              <w:t>11,011</w:t>
            </w:r>
          </w:p>
        </w:tc>
        <w:tc>
          <w:tcPr>
            <w:tcW w:w="490" w:type="pct"/>
            <w:shd w:val="clear" w:color="auto" w:fill="auto"/>
            <w:vAlign w:val="center"/>
          </w:tcPr>
          <w:p w14:paraId="250A3507" w14:textId="48F4846F" w:rsidR="00A61FF5" w:rsidRPr="006E49EE" w:rsidRDefault="00A61FF5" w:rsidP="00D07480">
            <w:pPr>
              <w:pStyle w:val="ESTableBody"/>
              <w:jc w:val="right"/>
              <w:rPr>
                <w:lang w:val="en-AU"/>
              </w:rPr>
            </w:pPr>
            <w:r w:rsidRPr="006E49EE">
              <w:rPr>
                <w:lang w:val="en-AU"/>
              </w:rPr>
              <w:t>9</w:t>
            </w:r>
            <w:r w:rsidR="009452EC" w:rsidRPr="006E49EE">
              <w:rPr>
                <w:lang w:val="en-AU"/>
              </w:rPr>
              <w:t>,</w:t>
            </w:r>
            <w:r w:rsidRPr="006E49EE">
              <w:rPr>
                <w:lang w:val="en-AU"/>
              </w:rPr>
              <w:t>656</w:t>
            </w:r>
          </w:p>
        </w:tc>
        <w:tc>
          <w:tcPr>
            <w:tcW w:w="490" w:type="pct"/>
            <w:shd w:val="clear" w:color="auto" w:fill="auto"/>
            <w:vAlign w:val="center"/>
          </w:tcPr>
          <w:p w14:paraId="13A10C7C" w14:textId="65F4F1F1" w:rsidR="00A61FF5" w:rsidRPr="006E49EE" w:rsidRDefault="00A61FF5" w:rsidP="00D07480">
            <w:pPr>
              <w:pStyle w:val="ESTableBody"/>
              <w:jc w:val="right"/>
              <w:rPr>
                <w:lang w:val="en-AU"/>
              </w:rPr>
            </w:pPr>
            <w:r w:rsidRPr="006E49EE">
              <w:rPr>
                <w:lang w:val="en-AU"/>
              </w:rPr>
              <w:t>3</w:t>
            </w:r>
            <w:r w:rsidR="009452EC" w:rsidRPr="006E49EE">
              <w:rPr>
                <w:lang w:val="en-AU"/>
              </w:rPr>
              <w:t>,</w:t>
            </w:r>
            <w:r w:rsidRPr="006E49EE">
              <w:rPr>
                <w:lang w:val="en-AU"/>
              </w:rPr>
              <w:t>167</w:t>
            </w:r>
          </w:p>
        </w:tc>
        <w:tc>
          <w:tcPr>
            <w:tcW w:w="490" w:type="pct"/>
            <w:shd w:val="clear" w:color="auto" w:fill="auto"/>
            <w:vAlign w:val="center"/>
          </w:tcPr>
          <w:p w14:paraId="2468BAB4" w14:textId="77777777" w:rsidR="00A61FF5" w:rsidRPr="00932A90" w:rsidRDefault="00A61FF5" w:rsidP="00D07480">
            <w:pPr>
              <w:pStyle w:val="DETTableTextFinancial"/>
              <w:jc w:val="right"/>
            </w:pPr>
            <w:r w:rsidRPr="00932A90">
              <w:t>–</w:t>
            </w:r>
          </w:p>
        </w:tc>
        <w:tc>
          <w:tcPr>
            <w:tcW w:w="490" w:type="pct"/>
            <w:vAlign w:val="center"/>
          </w:tcPr>
          <w:p w14:paraId="60CF5412" w14:textId="77777777" w:rsidR="00A61FF5" w:rsidRPr="006E49EE" w:rsidRDefault="00A61FF5" w:rsidP="00D07480">
            <w:pPr>
              <w:pStyle w:val="ESTableBody"/>
              <w:jc w:val="right"/>
              <w:rPr>
                <w:lang w:val="en-AU"/>
              </w:rPr>
            </w:pPr>
            <w:r w:rsidRPr="006E49EE">
              <w:rPr>
                <w:lang w:val="en-AU"/>
              </w:rPr>
              <w:t>12,823</w:t>
            </w:r>
          </w:p>
        </w:tc>
      </w:tr>
      <w:tr w:rsidR="00A61FF5" w:rsidRPr="00932A90" w14:paraId="248F5455" w14:textId="77777777" w:rsidTr="00264B66">
        <w:trPr>
          <w:cantSplit/>
          <w:trHeight w:val="60"/>
        </w:trPr>
        <w:tc>
          <w:tcPr>
            <w:tcW w:w="1082" w:type="pct"/>
            <w:shd w:val="clear" w:color="auto" w:fill="auto"/>
            <w:vAlign w:val="center"/>
          </w:tcPr>
          <w:p w14:paraId="7F6FDE3C" w14:textId="77777777" w:rsidR="00A61FF5" w:rsidRPr="006E49EE" w:rsidRDefault="00A61FF5" w:rsidP="00D07480">
            <w:pPr>
              <w:pStyle w:val="ESTableBody"/>
              <w:rPr>
                <w:lang w:val="en-AU"/>
              </w:rPr>
            </w:pPr>
            <w:r w:rsidRPr="006E49EE">
              <w:rPr>
                <w:lang w:val="en-AU"/>
              </w:rPr>
              <w:t>Percentage of electricity purchased as green power</w:t>
            </w:r>
          </w:p>
        </w:tc>
        <w:tc>
          <w:tcPr>
            <w:tcW w:w="489" w:type="pct"/>
            <w:shd w:val="clear" w:color="auto" w:fill="F8F8F8"/>
            <w:vAlign w:val="center"/>
          </w:tcPr>
          <w:p w14:paraId="01AD8F53" w14:textId="77777777" w:rsidR="00A61FF5" w:rsidRPr="006E49EE" w:rsidRDefault="00A61FF5" w:rsidP="00D07480">
            <w:pPr>
              <w:pStyle w:val="ESTableBody"/>
              <w:jc w:val="right"/>
              <w:rPr>
                <w:lang w:val="en-AU"/>
              </w:rPr>
            </w:pPr>
            <w:r w:rsidRPr="006E49EE">
              <w:rPr>
                <w:lang w:val="en-AU"/>
              </w:rPr>
              <w:t>–</w:t>
            </w:r>
          </w:p>
        </w:tc>
        <w:tc>
          <w:tcPr>
            <w:tcW w:w="490" w:type="pct"/>
            <w:shd w:val="clear" w:color="auto" w:fill="F8F8F8"/>
            <w:vAlign w:val="center"/>
          </w:tcPr>
          <w:p w14:paraId="7A600970" w14:textId="77777777" w:rsidR="00A61FF5" w:rsidRPr="006E49EE" w:rsidRDefault="00A61FF5" w:rsidP="00D07480">
            <w:pPr>
              <w:pStyle w:val="ESTableBody"/>
              <w:jc w:val="right"/>
              <w:rPr>
                <w:lang w:val="en-AU"/>
              </w:rPr>
            </w:pPr>
            <w:r w:rsidRPr="006E49EE">
              <w:rPr>
                <w:lang w:val="en-AU"/>
              </w:rPr>
              <w:t>–</w:t>
            </w:r>
          </w:p>
        </w:tc>
        <w:tc>
          <w:tcPr>
            <w:tcW w:w="490" w:type="pct"/>
            <w:shd w:val="clear" w:color="auto" w:fill="F8F8F8"/>
            <w:vAlign w:val="center"/>
          </w:tcPr>
          <w:p w14:paraId="515706EC" w14:textId="77777777" w:rsidR="00A61FF5" w:rsidRPr="00932A90" w:rsidRDefault="00A61FF5" w:rsidP="00D07480">
            <w:pPr>
              <w:pStyle w:val="DETTableTextFinancial"/>
              <w:jc w:val="right"/>
            </w:pPr>
          </w:p>
        </w:tc>
        <w:tc>
          <w:tcPr>
            <w:tcW w:w="490" w:type="pct"/>
            <w:shd w:val="clear" w:color="auto" w:fill="F8F8F8" w:themeFill="background2"/>
            <w:vAlign w:val="center"/>
          </w:tcPr>
          <w:p w14:paraId="12B1789C" w14:textId="77777777" w:rsidR="00A61FF5" w:rsidRPr="006E49EE" w:rsidRDefault="00A61FF5" w:rsidP="00D07480">
            <w:pPr>
              <w:pStyle w:val="ESTableBody"/>
              <w:jc w:val="right"/>
              <w:rPr>
                <w:lang w:val="en-AU"/>
              </w:rPr>
            </w:pPr>
            <w:r w:rsidRPr="006E49EE">
              <w:rPr>
                <w:lang w:val="en-AU"/>
              </w:rPr>
              <w:t>0</w:t>
            </w:r>
          </w:p>
        </w:tc>
        <w:tc>
          <w:tcPr>
            <w:tcW w:w="490" w:type="pct"/>
            <w:shd w:val="clear" w:color="auto" w:fill="auto"/>
            <w:vAlign w:val="center"/>
          </w:tcPr>
          <w:p w14:paraId="3D6CA93A" w14:textId="77777777" w:rsidR="00A61FF5" w:rsidRPr="006E49EE" w:rsidRDefault="00A61FF5" w:rsidP="00D07480">
            <w:pPr>
              <w:pStyle w:val="ESTableBody"/>
              <w:jc w:val="right"/>
              <w:rPr>
                <w:lang w:val="en-AU"/>
              </w:rPr>
            </w:pPr>
            <w:r w:rsidRPr="006E49EE">
              <w:rPr>
                <w:lang w:val="en-AU"/>
              </w:rPr>
              <w:t>–</w:t>
            </w:r>
          </w:p>
        </w:tc>
        <w:tc>
          <w:tcPr>
            <w:tcW w:w="490" w:type="pct"/>
            <w:shd w:val="clear" w:color="auto" w:fill="auto"/>
            <w:vAlign w:val="center"/>
          </w:tcPr>
          <w:p w14:paraId="0CA4E486" w14:textId="77777777" w:rsidR="00A61FF5" w:rsidRPr="006E49EE" w:rsidRDefault="00A61FF5" w:rsidP="00D07480">
            <w:pPr>
              <w:pStyle w:val="ESTableBody"/>
              <w:jc w:val="right"/>
              <w:rPr>
                <w:lang w:val="en-AU"/>
              </w:rPr>
            </w:pPr>
            <w:r w:rsidRPr="006E49EE">
              <w:rPr>
                <w:lang w:val="en-AU"/>
              </w:rPr>
              <w:t>–</w:t>
            </w:r>
          </w:p>
        </w:tc>
        <w:tc>
          <w:tcPr>
            <w:tcW w:w="490" w:type="pct"/>
            <w:shd w:val="clear" w:color="auto" w:fill="auto"/>
            <w:vAlign w:val="center"/>
          </w:tcPr>
          <w:p w14:paraId="2CDFA2FA" w14:textId="77777777" w:rsidR="00A61FF5" w:rsidRPr="00932A90" w:rsidRDefault="00A61FF5" w:rsidP="00D07480">
            <w:pPr>
              <w:pStyle w:val="DETTableTextFinancial"/>
              <w:jc w:val="right"/>
            </w:pPr>
            <w:r w:rsidRPr="00932A90">
              <w:t>–</w:t>
            </w:r>
          </w:p>
        </w:tc>
        <w:tc>
          <w:tcPr>
            <w:tcW w:w="490" w:type="pct"/>
            <w:vAlign w:val="center"/>
          </w:tcPr>
          <w:p w14:paraId="1A7C1070" w14:textId="77777777" w:rsidR="00A61FF5" w:rsidRPr="006E49EE" w:rsidRDefault="00A61FF5" w:rsidP="00D07480">
            <w:pPr>
              <w:pStyle w:val="ESTableBody"/>
              <w:jc w:val="right"/>
              <w:rPr>
                <w:lang w:val="en-AU"/>
              </w:rPr>
            </w:pPr>
            <w:r w:rsidRPr="006E49EE">
              <w:rPr>
                <w:lang w:val="en-AU"/>
              </w:rPr>
              <w:t>0</w:t>
            </w:r>
          </w:p>
        </w:tc>
      </w:tr>
      <w:tr w:rsidR="00A61FF5" w:rsidRPr="00932A90" w14:paraId="7CAFDFEC" w14:textId="77777777" w:rsidTr="00264B66">
        <w:trPr>
          <w:cantSplit/>
          <w:trHeight w:val="60"/>
        </w:trPr>
        <w:tc>
          <w:tcPr>
            <w:tcW w:w="1082" w:type="pct"/>
            <w:tcBorders>
              <w:bottom w:val="single" w:sz="4" w:space="0" w:color="auto"/>
            </w:tcBorders>
            <w:shd w:val="clear" w:color="auto" w:fill="auto"/>
            <w:vAlign w:val="center"/>
          </w:tcPr>
          <w:p w14:paraId="44FC58DB" w14:textId="77777777" w:rsidR="00A9593E" w:rsidRPr="006E49EE" w:rsidRDefault="00A61FF5" w:rsidP="00D07480">
            <w:pPr>
              <w:pStyle w:val="ESTableBody"/>
              <w:rPr>
                <w:lang w:val="en-AU"/>
              </w:rPr>
            </w:pPr>
            <w:r w:rsidRPr="006E49EE">
              <w:rPr>
                <w:lang w:val="en-AU"/>
              </w:rPr>
              <w:t>Units of energy (electricity plus natural gas) used per unit of office area</w:t>
            </w:r>
          </w:p>
          <w:p w14:paraId="6EE371EE" w14:textId="6E90D305" w:rsidR="00A61FF5" w:rsidRPr="006E49EE" w:rsidRDefault="00A61FF5" w:rsidP="00D07480">
            <w:pPr>
              <w:pStyle w:val="ESTableBody"/>
              <w:rPr>
                <w:lang w:val="en-AU"/>
              </w:rPr>
            </w:pPr>
            <w:r w:rsidRPr="006E49EE">
              <w:rPr>
                <w:lang w:val="en-AU"/>
              </w:rPr>
              <w:t>(MJ/m</w:t>
            </w:r>
            <w:r w:rsidRPr="006E49EE">
              <w:rPr>
                <w:vertAlign w:val="superscript"/>
                <w:lang w:val="en-AU"/>
              </w:rPr>
              <w:t>2</w:t>
            </w:r>
            <w:r w:rsidRPr="006E49EE">
              <w:rPr>
                <w:lang w:val="en-AU"/>
              </w:rPr>
              <w:t>)</w:t>
            </w:r>
          </w:p>
        </w:tc>
        <w:tc>
          <w:tcPr>
            <w:tcW w:w="489" w:type="pct"/>
            <w:tcBorders>
              <w:bottom w:val="single" w:sz="4" w:space="0" w:color="auto"/>
            </w:tcBorders>
            <w:shd w:val="clear" w:color="auto" w:fill="F8F8F8"/>
            <w:vAlign w:val="center"/>
          </w:tcPr>
          <w:p w14:paraId="2696AE86" w14:textId="77777777" w:rsidR="00A61FF5" w:rsidRPr="006E49EE" w:rsidRDefault="00A61FF5" w:rsidP="00D07480">
            <w:pPr>
              <w:pStyle w:val="ESTableBody"/>
              <w:jc w:val="right"/>
              <w:rPr>
                <w:lang w:val="en-AU"/>
              </w:rPr>
            </w:pPr>
            <w:r w:rsidRPr="006E49EE">
              <w:rPr>
                <w:lang w:val="en-AU"/>
              </w:rPr>
              <w:t>522</w:t>
            </w:r>
          </w:p>
        </w:tc>
        <w:tc>
          <w:tcPr>
            <w:tcW w:w="490" w:type="pct"/>
            <w:tcBorders>
              <w:bottom w:val="single" w:sz="4" w:space="0" w:color="auto"/>
            </w:tcBorders>
            <w:shd w:val="clear" w:color="auto" w:fill="F8F8F8"/>
            <w:vAlign w:val="center"/>
          </w:tcPr>
          <w:p w14:paraId="7DB21647" w14:textId="77777777" w:rsidR="00A61FF5" w:rsidRPr="006E49EE" w:rsidRDefault="00A61FF5" w:rsidP="00D07480">
            <w:pPr>
              <w:pStyle w:val="ESTableBody"/>
              <w:jc w:val="right"/>
              <w:rPr>
                <w:lang w:val="en-AU"/>
              </w:rPr>
            </w:pPr>
            <w:r w:rsidRPr="006E49EE">
              <w:rPr>
                <w:lang w:val="en-AU"/>
              </w:rPr>
              <w:t>187</w:t>
            </w:r>
          </w:p>
        </w:tc>
        <w:tc>
          <w:tcPr>
            <w:tcW w:w="490" w:type="pct"/>
            <w:tcBorders>
              <w:bottom w:val="single" w:sz="4" w:space="0" w:color="auto"/>
            </w:tcBorders>
            <w:shd w:val="clear" w:color="auto" w:fill="F8F8F8"/>
            <w:vAlign w:val="center"/>
          </w:tcPr>
          <w:p w14:paraId="340DAC90" w14:textId="77777777" w:rsidR="00A61FF5" w:rsidRPr="00932A90" w:rsidRDefault="00A61FF5" w:rsidP="00D07480">
            <w:pPr>
              <w:pStyle w:val="DETTableTextFinancial"/>
              <w:jc w:val="right"/>
            </w:pPr>
          </w:p>
        </w:tc>
        <w:tc>
          <w:tcPr>
            <w:tcW w:w="490" w:type="pct"/>
            <w:tcBorders>
              <w:bottom w:val="single" w:sz="4" w:space="0" w:color="auto"/>
            </w:tcBorders>
            <w:shd w:val="clear" w:color="auto" w:fill="F8F8F8" w:themeFill="background2"/>
            <w:vAlign w:val="center"/>
          </w:tcPr>
          <w:p w14:paraId="0BA1D314" w14:textId="77777777" w:rsidR="00A61FF5" w:rsidRPr="006E49EE" w:rsidRDefault="00A61FF5" w:rsidP="00D07480">
            <w:pPr>
              <w:pStyle w:val="ESTableBody"/>
              <w:jc w:val="right"/>
              <w:rPr>
                <w:lang w:val="en-AU"/>
              </w:rPr>
            </w:pPr>
            <w:r w:rsidRPr="006E49EE">
              <w:rPr>
                <w:lang w:val="en-AU"/>
              </w:rPr>
              <w:t>709</w:t>
            </w:r>
          </w:p>
        </w:tc>
        <w:tc>
          <w:tcPr>
            <w:tcW w:w="490" w:type="pct"/>
            <w:tcBorders>
              <w:bottom w:val="single" w:sz="4" w:space="0" w:color="auto"/>
            </w:tcBorders>
            <w:shd w:val="clear" w:color="auto" w:fill="auto"/>
            <w:vAlign w:val="center"/>
          </w:tcPr>
          <w:p w14:paraId="5A2B53AC" w14:textId="77777777" w:rsidR="00A61FF5" w:rsidRPr="006E49EE" w:rsidRDefault="00A61FF5" w:rsidP="00D07480">
            <w:pPr>
              <w:pStyle w:val="ESTableBody"/>
              <w:jc w:val="right"/>
              <w:rPr>
                <w:lang w:val="en-AU"/>
              </w:rPr>
            </w:pPr>
            <w:r w:rsidRPr="006E49EE">
              <w:rPr>
                <w:lang w:val="en-AU"/>
              </w:rPr>
              <w:t>554</w:t>
            </w:r>
          </w:p>
        </w:tc>
        <w:tc>
          <w:tcPr>
            <w:tcW w:w="490" w:type="pct"/>
            <w:tcBorders>
              <w:bottom w:val="single" w:sz="4" w:space="0" w:color="auto"/>
            </w:tcBorders>
            <w:shd w:val="clear" w:color="auto" w:fill="auto"/>
            <w:vAlign w:val="center"/>
          </w:tcPr>
          <w:p w14:paraId="4B35CA2C" w14:textId="77777777" w:rsidR="00A61FF5" w:rsidRPr="006E49EE" w:rsidRDefault="00A61FF5" w:rsidP="00D07480">
            <w:pPr>
              <w:pStyle w:val="ESTableBody"/>
              <w:jc w:val="right"/>
              <w:rPr>
                <w:lang w:val="en-AU"/>
              </w:rPr>
            </w:pPr>
            <w:r w:rsidRPr="006E49EE">
              <w:rPr>
                <w:lang w:val="en-AU"/>
              </w:rPr>
              <w:t>182</w:t>
            </w:r>
          </w:p>
        </w:tc>
        <w:tc>
          <w:tcPr>
            <w:tcW w:w="490" w:type="pct"/>
            <w:tcBorders>
              <w:bottom w:val="single" w:sz="4" w:space="0" w:color="auto"/>
            </w:tcBorders>
            <w:shd w:val="clear" w:color="auto" w:fill="auto"/>
            <w:vAlign w:val="center"/>
          </w:tcPr>
          <w:p w14:paraId="6999C7E8" w14:textId="77777777" w:rsidR="00A61FF5" w:rsidRPr="00932A90" w:rsidRDefault="00A61FF5" w:rsidP="00D07480">
            <w:pPr>
              <w:pStyle w:val="DETTableTextFinancial"/>
              <w:jc w:val="right"/>
            </w:pPr>
            <w:r w:rsidRPr="00932A90">
              <w:t>–</w:t>
            </w:r>
          </w:p>
        </w:tc>
        <w:tc>
          <w:tcPr>
            <w:tcW w:w="490" w:type="pct"/>
            <w:tcBorders>
              <w:bottom w:val="single" w:sz="4" w:space="0" w:color="auto"/>
            </w:tcBorders>
            <w:vAlign w:val="center"/>
          </w:tcPr>
          <w:p w14:paraId="4B970BE3" w14:textId="77777777" w:rsidR="00A61FF5" w:rsidRPr="006E49EE" w:rsidRDefault="00A61FF5" w:rsidP="00D07480">
            <w:pPr>
              <w:pStyle w:val="ESTableBody"/>
              <w:jc w:val="right"/>
              <w:rPr>
                <w:lang w:val="en-AU"/>
              </w:rPr>
            </w:pPr>
            <w:r w:rsidRPr="006E49EE">
              <w:rPr>
                <w:lang w:val="en-AU"/>
              </w:rPr>
              <w:t>736</w:t>
            </w:r>
          </w:p>
        </w:tc>
      </w:tr>
    </w:tbl>
    <w:p w14:paraId="022E667C" w14:textId="0081A698" w:rsidR="00A61FF5" w:rsidRPr="006E49EE" w:rsidRDefault="00A61FF5" w:rsidP="007F172B">
      <w:pPr>
        <w:pStyle w:val="ESHeading4"/>
        <w:rPr>
          <w:lang w:val="en-AU"/>
        </w:rPr>
      </w:pPr>
      <w:r w:rsidRPr="006E49EE">
        <w:rPr>
          <w:lang w:val="en-AU"/>
        </w:rPr>
        <w:t>Assessment against target</w:t>
      </w:r>
    </w:p>
    <w:p w14:paraId="491E5F5D" w14:textId="77777777" w:rsidR="00A61FF5" w:rsidRPr="006E49EE" w:rsidRDefault="00A61FF5" w:rsidP="00A61FF5">
      <w:pPr>
        <w:pStyle w:val="ESBodyText"/>
        <w:rPr>
          <w:lang w:val="en-AU"/>
        </w:rPr>
      </w:pPr>
      <w:r w:rsidRPr="006E49EE">
        <w:rPr>
          <w:lang w:val="en-AU"/>
        </w:rPr>
        <w:t>Electricity and gas consumption has increased since 2015–16, five per cent and 14 per cent respectively, translating to a seven per cent increase in total energy use. However, the reduction in energy used per square metre in 2016–17 was a four per cent drop from last year. It also represents an overall downward trend, where energy use per FTE is six per cent lower than 2013–14, and is on track to meeting the Department’s targets. The Department will continue to contribute to this downward trend through ongoing diligence in managing its energy consumption.</w:t>
      </w:r>
    </w:p>
    <w:p w14:paraId="2D3D5518" w14:textId="77777777" w:rsidR="00A61FF5" w:rsidRPr="006E49EE" w:rsidRDefault="00A61FF5" w:rsidP="007F172B">
      <w:pPr>
        <w:pStyle w:val="ESHeading4"/>
        <w:rPr>
          <w:lang w:val="en-AU"/>
        </w:rPr>
      </w:pPr>
      <w:r w:rsidRPr="006E49EE">
        <w:rPr>
          <w:lang w:val="en-AU"/>
        </w:rPr>
        <w:t>Explanatory notes</w:t>
      </w:r>
    </w:p>
    <w:p w14:paraId="24F65030" w14:textId="77777777" w:rsidR="00A61FF5" w:rsidRPr="006E49EE" w:rsidRDefault="00A61FF5" w:rsidP="00A61FF5">
      <w:pPr>
        <w:pStyle w:val="ESBodyText"/>
        <w:rPr>
          <w:lang w:val="en-AU"/>
        </w:rPr>
      </w:pPr>
      <w:r w:rsidRPr="006E49EE">
        <w:rPr>
          <w:lang w:val="en-AU"/>
        </w:rPr>
        <w:t>All central and some regional offices share energy meters with other non-Departmental buildings. The data presented is based on a percentage of the net leased area held by the Department’s buildings.</w:t>
      </w:r>
    </w:p>
    <w:p w14:paraId="186F0C72" w14:textId="77777777" w:rsidR="00A61FF5" w:rsidRPr="006E49EE" w:rsidRDefault="00A61FF5" w:rsidP="00A61FF5">
      <w:pPr>
        <w:pStyle w:val="ESHeading3"/>
        <w:rPr>
          <w:lang w:val="en-AU"/>
        </w:rPr>
        <w:sectPr w:rsidR="00A61FF5" w:rsidRPr="006E49EE" w:rsidSect="008E64AA">
          <w:pgSz w:w="16840" w:h="11900" w:orient="landscape"/>
          <w:pgMar w:top="2835" w:right="1440" w:bottom="1701" w:left="1440" w:header="708" w:footer="708" w:gutter="0"/>
          <w:cols w:space="708"/>
          <w:docGrid w:linePitch="360"/>
        </w:sectPr>
      </w:pPr>
    </w:p>
    <w:p w14:paraId="773D1E11" w14:textId="77777777" w:rsidR="00A61FF5" w:rsidRPr="006E49EE" w:rsidRDefault="00A61FF5" w:rsidP="00A61FF5">
      <w:pPr>
        <w:pStyle w:val="ESHeading3"/>
        <w:rPr>
          <w:lang w:val="en-AU"/>
        </w:rPr>
      </w:pPr>
      <w:r w:rsidRPr="006E49EE">
        <w:rPr>
          <w:lang w:val="en-AU"/>
        </w:rPr>
        <w:t>Waste</w:t>
      </w:r>
    </w:p>
    <w:p w14:paraId="7EB77C44" w14:textId="77777777" w:rsidR="00A61FF5" w:rsidRPr="006E49EE" w:rsidRDefault="00A61FF5" w:rsidP="00A61FF5">
      <w:pPr>
        <w:pStyle w:val="ESBodyText"/>
        <w:rPr>
          <w:highlight w:val="yellow"/>
          <w:lang w:val="en-AU"/>
        </w:rPr>
      </w:pPr>
      <w:r w:rsidRPr="006E49EE">
        <w:rPr>
          <w:lang w:val="en-AU"/>
        </w:rPr>
        <w:t>The Department continues to address waste generation through a variety of re-use and recycling methods. The data below is based on collections at four central offices, which comprise 48 per cent of the total reportable net leased area and 49 per cent of all reportable FTE. The landfill, co-mingled recycling and compost figures below represent point-in-time data extrapolated through sample waste audits.</w:t>
      </w:r>
    </w:p>
    <w:p w14:paraId="602733EA" w14:textId="0E67A056"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27</w:t>
      </w:r>
      <w:r w:rsidR="00D93BA2" w:rsidRPr="006E49EE">
        <w:rPr>
          <w:lang w:val="en-AU"/>
        </w:rPr>
        <w:fldChar w:fldCharType="end"/>
      </w:r>
      <w:r w:rsidRPr="006E49EE">
        <w:rPr>
          <w:lang w:val="en-AU"/>
        </w:rPr>
        <w:t xml:space="preserve"> – Waste generation</w:t>
      </w:r>
    </w:p>
    <w:tbl>
      <w:tblPr>
        <w:tblW w:w="13960" w:type="dxa"/>
        <w:tblLayout w:type="fixed"/>
        <w:tblLook w:val="04A0" w:firstRow="1" w:lastRow="0" w:firstColumn="1" w:lastColumn="0" w:noHBand="0" w:noVBand="1"/>
      </w:tblPr>
      <w:tblGrid>
        <w:gridCol w:w="1701"/>
        <w:gridCol w:w="851"/>
        <w:gridCol w:w="1134"/>
        <w:gridCol w:w="992"/>
        <w:gridCol w:w="992"/>
        <w:gridCol w:w="993"/>
        <w:gridCol w:w="992"/>
        <w:gridCol w:w="992"/>
        <w:gridCol w:w="1136"/>
        <w:gridCol w:w="990"/>
        <w:gridCol w:w="1351"/>
        <w:gridCol w:w="975"/>
        <w:gridCol w:w="861"/>
      </w:tblGrid>
      <w:tr w:rsidR="00C27EA2" w:rsidRPr="00932A90" w14:paraId="0C58AB47" w14:textId="77777777" w:rsidTr="00442414">
        <w:tc>
          <w:tcPr>
            <w:tcW w:w="1701" w:type="dxa"/>
            <w:shd w:val="clear" w:color="auto" w:fill="7F7F7F" w:themeFill="text1" w:themeFillTint="80"/>
            <w:vAlign w:val="center"/>
          </w:tcPr>
          <w:p w14:paraId="5AFF718C" w14:textId="77777777" w:rsidR="00C27EA2" w:rsidRPr="00932A90" w:rsidRDefault="00C27EA2" w:rsidP="00D07480">
            <w:pPr>
              <w:pStyle w:val="DETTablecolumnheading"/>
              <w:rPr>
                <w:sz w:val="16"/>
                <w:szCs w:val="16"/>
              </w:rPr>
            </w:pPr>
          </w:p>
        </w:tc>
        <w:tc>
          <w:tcPr>
            <w:tcW w:w="5954" w:type="dxa"/>
            <w:gridSpan w:val="6"/>
            <w:shd w:val="clear" w:color="auto" w:fill="7F7F7F" w:themeFill="text1" w:themeFillTint="80"/>
            <w:vAlign w:val="center"/>
          </w:tcPr>
          <w:p w14:paraId="543F7DB0" w14:textId="017DEE61" w:rsidR="00C27EA2" w:rsidRPr="00932A90" w:rsidRDefault="00C27EA2" w:rsidP="00C27EA2">
            <w:pPr>
              <w:pStyle w:val="DETTablecolumnheading"/>
              <w:rPr>
                <w:sz w:val="16"/>
                <w:szCs w:val="16"/>
              </w:rPr>
            </w:pPr>
            <w:r w:rsidRPr="00932A90">
              <w:rPr>
                <w:sz w:val="16"/>
                <w:szCs w:val="16"/>
              </w:rPr>
              <w:t>2016–17</w:t>
            </w:r>
          </w:p>
        </w:tc>
        <w:tc>
          <w:tcPr>
            <w:tcW w:w="6305" w:type="dxa"/>
            <w:gridSpan w:val="6"/>
            <w:shd w:val="clear" w:color="auto" w:fill="7F7F7F" w:themeFill="text1" w:themeFillTint="80"/>
            <w:vAlign w:val="center"/>
          </w:tcPr>
          <w:p w14:paraId="16CB3263" w14:textId="4D703C27" w:rsidR="00C27EA2" w:rsidRPr="00932A90" w:rsidRDefault="00C27EA2" w:rsidP="00C27EA2">
            <w:pPr>
              <w:pStyle w:val="DETTablecolumnheading"/>
              <w:rPr>
                <w:sz w:val="16"/>
                <w:szCs w:val="16"/>
              </w:rPr>
            </w:pPr>
            <w:r w:rsidRPr="00932A90">
              <w:rPr>
                <w:sz w:val="16"/>
                <w:szCs w:val="16"/>
              </w:rPr>
              <w:t>2015–16</w:t>
            </w:r>
          </w:p>
        </w:tc>
      </w:tr>
      <w:tr w:rsidR="00A61FF5" w:rsidRPr="00932A90" w14:paraId="3B23B61F" w14:textId="77777777" w:rsidTr="00BE48F9">
        <w:tc>
          <w:tcPr>
            <w:tcW w:w="1701" w:type="dxa"/>
            <w:shd w:val="clear" w:color="auto" w:fill="7F7F7F" w:themeFill="text1" w:themeFillTint="80"/>
            <w:vAlign w:val="center"/>
          </w:tcPr>
          <w:p w14:paraId="40AF75D2" w14:textId="77777777" w:rsidR="00A61FF5" w:rsidRPr="00932A90" w:rsidRDefault="00A61FF5" w:rsidP="0080586D">
            <w:pPr>
              <w:pStyle w:val="DETTablecolumnheading"/>
              <w:jc w:val="left"/>
              <w:rPr>
                <w:sz w:val="16"/>
                <w:szCs w:val="16"/>
              </w:rPr>
            </w:pPr>
            <w:r w:rsidRPr="00932A90">
              <w:rPr>
                <w:sz w:val="16"/>
                <w:szCs w:val="16"/>
              </w:rPr>
              <w:t>Indicator</w:t>
            </w:r>
          </w:p>
        </w:tc>
        <w:tc>
          <w:tcPr>
            <w:tcW w:w="851" w:type="dxa"/>
            <w:shd w:val="clear" w:color="auto" w:fill="7F7F7F" w:themeFill="text1" w:themeFillTint="80"/>
            <w:vAlign w:val="center"/>
          </w:tcPr>
          <w:p w14:paraId="2647C784" w14:textId="77777777" w:rsidR="00A61FF5" w:rsidRPr="00932A90" w:rsidRDefault="00A61FF5" w:rsidP="00D07480">
            <w:pPr>
              <w:pStyle w:val="DETTablecolumnheading"/>
              <w:rPr>
                <w:sz w:val="16"/>
                <w:szCs w:val="16"/>
              </w:rPr>
            </w:pPr>
            <w:r w:rsidRPr="00932A90">
              <w:rPr>
                <w:sz w:val="16"/>
                <w:szCs w:val="16"/>
              </w:rPr>
              <w:t>Landfill</w:t>
            </w:r>
          </w:p>
        </w:tc>
        <w:tc>
          <w:tcPr>
            <w:tcW w:w="1134" w:type="dxa"/>
            <w:shd w:val="clear" w:color="auto" w:fill="7F7F7F" w:themeFill="text1" w:themeFillTint="80"/>
            <w:vAlign w:val="center"/>
          </w:tcPr>
          <w:p w14:paraId="2ABDDEB5" w14:textId="77777777" w:rsidR="00A61FF5" w:rsidRPr="00932A90" w:rsidRDefault="00A61FF5" w:rsidP="00D07480">
            <w:pPr>
              <w:pStyle w:val="DETTablecolumnheading"/>
              <w:rPr>
                <w:sz w:val="16"/>
                <w:szCs w:val="16"/>
              </w:rPr>
            </w:pPr>
            <w:r w:rsidRPr="00932A90">
              <w:rPr>
                <w:sz w:val="16"/>
                <w:szCs w:val="16"/>
              </w:rPr>
              <w:t>Co-mingled recycling</w:t>
            </w:r>
          </w:p>
        </w:tc>
        <w:tc>
          <w:tcPr>
            <w:tcW w:w="992" w:type="dxa"/>
            <w:shd w:val="clear" w:color="auto" w:fill="7F7F7F" w:themeFill="text1" w:themeFillTint="80"/>
            <w:vAlign w:val="center"/>
          </w:tcPr>
          <w:p w14:paraId="511591BB" w14:textId="77777777" w:rsidR="00A61FF5" w:rsidRPr="00932A90" w:rsidRDefault="00A61FF5" w:rsidP="00D07480">
            <w:pPr>
              <w:pStyle w:val="DETTablecolumnheading"/>
              <w:rPr>
                <w:sz w:val="16"/>
                <w:szCs w:val="16"/>
              </w:rPr>
            </w:pPr>
            <w:r w:rsidRPr="00932A90">
              <w:rPr>
                <w:sz w:val="16"/>
                <w:szCs w:val="16"/>
              </w:rPr>
              <w:t>Compost</w:t>
            </w:r>
          </w:p>
        </w:tc>
        <w:tc>
          <w:tcPr>
            <w:tcW w:w="992" w:type="dxa"/>
            <w:shd w:val="clear" w:color="auto" w:fill="7F7F7F" w:themeFill="text1" w:themeFillTint="80"/>
            <w:vAlign w:val="center"/>
          </w:tcPr>
          <w:p w14:paraId="438493D1" w14:textId="77777777" w:rsidR="00A61FF5" w:rsidRPr="00932A90" w:rsidRDefault="00A61FF5" w:rsidP="00D07480">
            <w:pPr>
              <w:pStyle w:val="DETTablecolumnheading"/>
              <w:rPr>
                <w:sz w:val="16"/>
                <w:szCs w:val="16"/>
              </w:rPr>
            </w:pPr>
            <w:r w:rsidRPr="00932A90">
              <w:rPr>
                <w:sz w:val="16"/>
                <w:szCs w:val="16"/>
              </w:rPr>
              <w:t>Shredded paper</w:t>
            </w:r>
          </w:p>
        </w:tc>
        <w:tc>
          <w:tcPr>
            <w:tcW w:w="993" w:type="dxa"/>
            <w:shd w:val="clear" w:color="auto" w:fill="7F7F7F" w:themeFill="text1" w:themeFillTint="80"/>
            <w:vAlign w:val="center"/>
          </w:tcPr>
          <w:p w14:paraId="50278D72" w14:textId="77777777" w:rsidR="00A61FF5" w:rsidRPr="00932A90" w:rsidRDefault="00A61FF5" w:rsidP="00D07480">
            <w:pPr>
              <w:pStyle w:val="DETTablecolumnheading"/>
              <w:rPr>
                <w:sz w:val="16"/>
                <w:szCs w:val="16"/>
              </w:rPr>
            </w:pPr>
            <w:r w:rsidRPr="00932A90">
              <w:rPr>
                <w:sz w:val="16"/>
                <w:szCs w:val="16"/>
              </w:rPr>
              <w:t>Other</w:t>
            </w:r>
          </w:p>
        </w:tc>
        <w:tc>
          <w:tcPr>
            <w:tcW w:w="992" w:type="dxa"/>
            <w:shd w:val="clear" w:color="auto" w:fill="7F7F7F" w:themeFill="text1" w:themeFillTint="80"/>
            <w:vAlign w:val="center"/>
          </w:tcPr>
          <w:p w14:paraId="186A240F" w14:textId="77777777" w:rsidR="00A61FF5" w:rsidRPr="00932A90" w:rsidRDefault="00A61FF5" w:rsidP="00D07480">
            <w:pPr>
              <w:pStyle w:val="DETTablecolumnheading"/>
              <w:rPr>
                <w:sz w:val="16"/>
                <w:szCs w:val="16"/>
              </w:rPr>
            </w:pPr>
            <w:r w:rsidRPr="00932A90">
              <w:rPr>
                <w:sz w:val="16"/>
                <w:szCs w:val="16"/>
              </w:rPr>
              <w:t>Total</w:t>
            </w:r>
          </w:p>
        </w:tc>
        <w:tc>
          <w:tcPr>
            <w:tcW w:w="992" w:type="dxa"/>
            <w:shd w:val="clear" w:color="auto" w:fill="7F7F7F" w:themeFill="text1" w:themeFillTint="80"/>
            <w:vAlign w:val="center"/>
          </w:tcPr>
          <w:p w14:paraId="3AF61E87" w14:textId="77777777" w:rsidR="00A61FF5" w:rsidRPr="00932A90" w:rsidRDefault="00A61FF5" w:rsidP="00D07480">
            <w:pPr>
              <w:pStyle w:val="DETTablecolumnheading"/>
              <w:rPr>
                <w:sz w:val="16"/>
                <w:szCs w:val="16"/>
              </w:rPr>
            </w:pPr>
            <w:r w:rsidRPr="00932A90">
              <w:rPr>
                <w:sz w:val="16"/>
                <w:szCs w:val="16"/>
              </w:rPr>
              <w:t>Landfill</w:t>
            </w:r>
          </w:p>
        </w:tc>
        <w:tc>
          <w:tcPr>
            <w:tcW w:w="1136" w:type="dxa"/>
            <w:shd w:val="clear" w:color="auto" w:fill="7F7F7F" w:themeFill="text1" w:themeFillTint="80"/>
            <w:vAlign w:val="center"/>
          </w:tcPr>
          <w:p w14:paraId="0EFDFB09" w14:textId="77777777" w:rsidR="00A61FF5" w:rsidRPr="00932A90" w:rsidRDefault="00A61FF5" w:rsidP="00D07480">
            <w:pPr>
              <w:pStyle w:val="DETTablecolumnheading"/>
              <w:rPr>
                <w:sz w:val="16"/>
                <w:szCs w:val="16"/>
              </w:rPr>
            </w:pPr>
            <w:r w:rsidRPr="00932A90">
              <w:rPr>
                <w:sz w:val="16"/>
                <w:szCs w:val="16"/>
              </w:rPr>
              <w:t>Co-mingled recycling</w:t>
            </w:r>
          </w:p>
        </w:tc>
        <w:tc>
          <w:tcPr>
            <w:tcW w:w="990" w:type="dxa"/>
            <w:shd w:val="clear" w:color="auto" w:fill="7F7F7F" w:themeFill="text1" w:themeFillTint="80"/>
            <w:vAlign w:val="center"/>
          </w:tcPr>
          <w:p w14:paraId="40944184" w14:textId="77777777" w:rsidR="00A61FF5" w:rsidRPr="00932A90" w:rsidRDefault="00A61FF5" w:rsidP="00D07480">
            <w:pPr>
              <w:pStyle w:val="DETTablecolumnheading"/>
              <w:rPr>
                <w:sz w:val="16"/>
                <w:szCs w:val="16"/>
              </w:rPr>
            </w:pPr>
            <w:r w:rsidRPr="00932A90">
              <w:rPr>
                <w:sz w:val="16"/>
                <w:szCs w:val="16"/>
              </w:rPr>
              <w:t>Compost</w:t>
            </w:r>
          </w:p>
        </w:tc>
        <w:tc>
          <w:tcPr>
            <w:tcW w:w="1351" w:type="dxa"/>
            <w:shd w:val="clear" w:color="auto" w:fill="7F7F7F" w:themeFill="text1" w:themeFillTint="80"/>
            <w:vAlign w:val="center"/>
          </w:tcPr>
          <w:p w14:paraId="12A2361B" w14:textId="77777777" w:rsidR="00A61FF5" w:rsidRPr="00932A90" w:rsidRDefault="00A61FF5" w:rsidP="00D07480">
            <w:pPr>
              <w:pStyle w:val="DETTablecolumnheading"/>
              <w:rPr>
                <w:sz w:val="16"/>
                <w:szCs w:val="16"/>
                <w:highlight w:val="yellow"/>
              </w:rPr>
            </w:pPr>
            <w:r w:rsidRPr="00932A90">
              <w:rPr>
                <w:sz w:val="16"/>
                <w:szCs w:val="16"/>
              </w:rPr>
              <w:t>Shredded paper</w:t>
            </w:r>
          </w:p>
        </w:tc>
        <w:tc>
          <w:tcPr>
            <w:tcW w:w="975" w:type="dxa"/>
            <w:shd w:val="clear" w:color="auto" w:fill="7F7F7F" w:themeFill="text1" w:themeFillTint="80"/>
            <w:vAlign w:val="center"/>
          </w:tcPr>
          <w:p w14:paraId="7402526B" w14:textId="77777777" w:rsidR="00A61FF5" w:rsidRPr="00932A90" w:rsidRDefault="00A61FF5" w:rsidP="00D07480">
            <w:pPr>
              <w:pStyle w:val="DETTablecolumnheading"/>
              <w:rPr>
                <w:sz w:val="16"/>
                <w:szCs w:val="16"/>
              </w:rPr>
            </w:pPr>
            <w:r w:rsidRPr="00932A90">
              <w:rPr>
                <w:sz w:val="16"/>
                <w:szCs w:val="16"/>
              </w:rPr>
              <w:t>Other</w:t>
            </w:r>
          </w:p>
        </w:tc>
        <w:tc>
          <w:tcPr>
            <w:tcW w:w="861" w:type="dxa"/>
            <w:shd w:val="clear" w:color="auto" w:fill="7F7F7F" w:themeFill="text1" w:themeFillTint="80"/>
            <w:vAlign w:val="center"/>
          </w:tcPr>
          <w:p w14:paraId="1820BDF2" w14:textId="77777777" w:rsidR="00A61FF5" w:rsidRPr="00932A90" w:rsidRDefault="00A61FF5" w:rsidP="00D07480">
            <w:pPr>
              <w:pStyle w:val="DETTablecolumnheading"/>
              <w:rPr>
                <w:sz w:val="16"/>
                <w:szCs w:val="16"/>
              </w:rPr>
            </w:pPr>
            <w:r w:rsidRPr="00932A90">
              <w:rPr>
                <w:sz w:val="16"/>
                <w:szCs w:val="16"/>
              </w:rPr>
              <w:t>Total</w:t>
            </w:r>
          </w:p>
        </w:tc>
      </w:tr>
      <w:tr w:rsidR="00A61FF5" w:rsidRPr="00932A90" w14:paraId="117F88B1" w14:textId="77777777" w:rsidTr="00BE48F9">
        <w:tc>
          <w:tcPr>
            <w:tcW w:w="1701" w:type="dxa"/>
            <w:vAlign w:val="center"/>
          </w:tcPr>
          <w:p w14:paraId="640E887E" w14:textId="77777777" w:rsidR="00A61FF5" w:rsidRPr="006E49EE" w:rsidRDefault="00A61FF5" w:rsidP="00D07480">
            <w:pPr>
              <w:pStyle w:val="ESTableBody"/>
              <w:rPr>
                <w:lang w:val="en-AU"/>
              </w:rPr>
            </w:pPr>
            <w:r w:rsidRPr="006E49EE">
              <w:rPr>
                <w:lang w:val="en-AU"/>
              </w:rPr>
              <w:t>Total units of waste disposed of by destination (kg/yr)</w:t>
            </w:r>
          </w:p>
        </w:tc>
        <w:tc>
          <w:tcPr>
            <w:tcW w:w="851" w:type="dxa"/>
            <w:shd w:val="clear" w:color="auto" w:fill="F8F8F8"/>
            <w:vAlign w:val="center"/>
          </w:tcPr>
          <w:p w14:paraId="1C9743AF" w14:textId="77777777" w:rsidR="00A61FF5" w:rsidRPr="006E49EE" w:rsidRDefault="00A61FF5" w:rsidP="003E422F">
            <w:pPr>
              <w:pStyle w:val="ESTableBody"/>
              <w:jc w:val="right"/>
              <w:rPr>
                <w:lang w:val="en-AU"/>
              </w:rPr>
            </w:pPr>
            <w:r w:rsidRPr="006E49EE">
              <w:rPr>
                <w:lang w:val="en-AU"/>
              </w:rPr>
              <w:t>24,489</w:t>
            </w:r>
          </w:p>
        </w:tc>
        <w:tc>
          <w:tcPr>
            <w:tcW w:w="1134" w:type="dxa"/>
            <w:shd w:val="clear" w:color="auto" w:fill="F8F8F8"/>
            <w:vAlign w:val="center"/>
          </w:tcPr>
          <w:p w14:paraId="720C585A" w14:textId="5E401ED0" w:rsidR="00A61FF5" w:rsidRPr="006E49EE" w:rsidRDefault="00A61FF5" w:rsidP="003E422F">
            <w:pPr>
              <w:pStyle w:val="ESTableBody"/>
              <w:jc w:val="right"/>
              <w:rPr>
                <w:lang w:val="en-AU"/>
              </w:rPr>
            </w:pPr>
            <w:r w:rsidRPr="006E49EE">
              <w:rPr>
                <w:lang w:val="en-AU"/>
              </w:rPr>
              <w:t>9</w:t>
            </w:r>
            <w:r w:rsidR="004E4BE9" w:rsidRPr="006E49EE">
              <w:rPr>
                <w:lang w:val="en-AU"/>
              </w:rPr>
              <w:t>,</w:t>
            </w:r>
            <w:r w:rsidRPr="006E49EE">
              <w:rPr>
                <w:lang w:val="en-AU"/>
              </w:rPr>
              <w:t>755</w:t>
            </w:r>
          </w:p>
        </w:tc>
        <w:tc>
          <w:tcPr>
            <w:tcW w:w="992" w:type="dxa"/>
            <w:shd w:val="clear" w:color="auto" w:fill="F8F8F8"/>
            <w:vAlign w:val="center"/>
          </w:tcPr>
          <w:p w14:paraId="5EA67558" w14:textId="77777777" w:rsidR="00A61FF5" w:rsidRPr="006E49EE" w:rsidRDefault="00A61FF5" w:rsidP="003E422F">
            <w:pPr>
              <w:pStyle w:val="ESTableBody"/>
              <w:jc w:val="right"/>
              <w:rPr>
                <w:lang w:val="en-AU"/>
              </w:rPr>
            </w:pPr>
            <w:r w:rsidRPr="006E49EE">
              <w:rPr>
                <w:lang w:val="en-AU"/>
              </w:rPr>
              <w:t>11,905</w:t>
            </w:r>
          </w:p>
        </w:tc>
        <w:tc>
          <w:tcPr>
            <w:tcW w:w="992" w:type="dxa"/>
            <w:shd w:val="clear" w:color="auto" w:fill="F8F8F8"/>
            <w:vAlign w:val="center"/>
          </w:tcPr>
          <w:p w14:paraId="32F0AC87" w14:textId="77777777" w:rsidR="00A61FF5" w:rsidRPr="006E49EE" w:rsidRDefault="00A61FF5" w:rsidP="003E422F">
            <w:pPr>
              <w:pStyle w:val="ESTableBody"/>
              <w:jc w:val="right"/>
              <w:rPr>
                <w:lang w:val="en-AU"/>
              </w:rPr>
            </w:pPr>
            <w:r w:rsidRPr="006E49EE">
              <w:rPr>
                <w:lang w:val="en-AU"/>
              </w:rPr>
              <w:t>67,565</w:t>
            </w:r>
          </w:p>
        </w:tc>
        <w:tc>
          <w:tcPr>
            <w:tcW w:w="993" w:type="dxa"/>
            <w:shd w:val="clear" w:color="auto" w:fill="F8F8F8"/>
            <w:vAlign w:val="center"/>
          </w:tcPr>
          <w:p w14:paraId="56177EAC" w14:textId="7DBB7CB1" w:rsidR="00A61FF5" w:rsidRPr="006E49EE" w:rsidRDefault="00A61FF5" w:rsidP="003E422F">
            <w:pPr>
              <w:pStyle w:val="ESTableBody"/>
              <w:jc w:val="right"/>
              <w:rPr>
                <w:lang w:val="en-AU"/>
              </w:rPr>
            </w:pPr>
            <w:r w:rsidRPr="006E49EE">
              <w:rPr>
                <w:lang w:val="en-AU"/>
              </w:rPr>
              <w:t>1</w:t>
            </w:r>
            <w:r w:rsidR="004E4BE9" w:rsidRPr="006E49EE">
              <w:rPr>
                <w:lang w:val="en-AU"/>
              </w:rPr>
              <w:t>,</w:t>
            </w:r>
            <w:r w:rsidRPr="006E49EE">
              <w:rPr>
                <w:lang w:val="en-AU"/>
              </w:rPr>
              <w:t>178</w:t>
            </w:r>
          </w:p>
        </w:tc>
        <w:tc>
          <w:tcPr>
            <w:tcW w:w="992" w:type="dxa"/>
            <w:shd w:val="pct5" w:color="auto" w:fill="auto"/>
            <w:vAlign w:val="center"/>
          </w:tcPr>
          <w:p w14:paraId="5E637F33" w14:textId="77777777" w:rsidR="00A61FF5" w:rsidRPr="006E49EE" w:rsidRDefault="00A61FF5" w:rsidP="003E422F">
            <w:pPr>
              <w:pStyle w:val="ESTableBody"/>
              <w:jc w:val="right"/>
              <w:rPr>
                <w:lang w:val="en-AU"/>
              </w:rPr>
            </w:pPr>
            <w:r w:rsidRPr="006E49EE">
              <w:rPr>
                <w:lang w:val="en-AU"/>
              </w:rPr>
              <w:t>114,894</w:t>
            </w:r>
          </w:p>
        </w:tc>
        <w:tc>
          <w:tcPr>
            <w:tcW w:w="992" w:type="dxa"/>
            <w:shd w:val="clear" w:color="auto" w:fill="auto"/>
            <w:vAlign w:val="center"/>
          </w:tcPr>
          <w:p w14:paraId="2A13A4E4" w14:textId="77777777" w:rsidR="00A61FF5" w:rsidRPr="006E49EE" w:rsidRDefault="00A61FF5" w:rsidP="003E422F">
            <w:pPr>
              <w:pStyle w:val="ESTableBody"/>
              <w:jc w:val="right"/>
              <w:rPr>
                <w:lang w:val="en-AU"/>
              </w:rPr>
            </w:pPr>
            <w:r w:rsidRPr="006E49EE">
              <w:rPr>
                <w:lang w:val="en-AU"/>
              </w:rPr>
              <w:t>24,343</w:t>
            </w:r>
          </w:p>
        </w:tc>
        <w:tc>
          <w:tcPr>
            <w:tcW w:w="1136" w:type="dxa"/>
            <w:shd w:val="clear" w:color="auto" w:fill="auto"/>
            <w:vAlign w:val="center"/>
          </w:tcPr>
          <w:p w14:paraId="4EA97EBE" w14:textId="571251C6" w:rsidR="00A61FF5" w:rsidRPr="006E49EE" w:rsidRDefault="00A61FF5" w:rsidP="003E422F">
            <w:pPr>
              <w:pStyle w:val="ESTableBody"/>
              <w:jc w:val="right"/>
              <w:rPr>
                <w:lang w:val="en-AU"/>
              </w:rPr>
            </w:pPr>
            <w:r w:rsidRPr="006E49EE">
              <w:rPr>
                <w:lang w:val="en-AU"/>
              </w:rPr>
              <w:t>8</w:t>
            </w:r>
            <w:r w:rsidR="004E4BE9" w:rsidRPr="006E49EE">
              <w:rPr>
                <w:lang w:val="en-AU"/>
              </w:rPr>
              <w:t>,</w:t>
            </w:r>
            <w:r w:rsidRPr="006E49EE">
              <w:rPr>
                <w:lang w:val="en-AU"/>
              </w:rPr>
              <w:t>734</w:t>
            </w:r>
          </w:p>
        </w:tc>
        <w:tc>
          <w:tcPr>
            <w:tcW w:w="990" w:type="dxa"/>
            <w:shd w:val="clear" w:color="auto" w:fill="auto"/>
            <w:vAlign w:val="center"/>
          </w:tcPr>
          <w:p w14:paraId="5770168A" w14:textId="77777777" w:rsidR="00A61FF5" w:rsidRPr="006E49EE" w:rsidRDefault="00A61FF5" w:rsidP="003E422F">
            <w:pPr>
              <w:pStyle w:val="ESTableBody"/>
              <w:jc w:val="right"/>
              <w:rPr>
                <w:lang w:val="en-AU"/>
              </w:rPr>
            </w:pPr>
            <w:r w:rsidRPr="006E49EE">
              <w:rPr>
                <w:lang w:val="en-AU"/>
              </w:rPr>
              <w:t>13,440</w:t>
            </w:r>
          </w:p>
        </w:tc>
        <w:tc>
          <w:tcPr>
            <w:tcW w:w="1351" w:type="dxa"/>
            <w:shd w:val="clear" w:color="auto" w:fill="auto"/>
            <w:vAlign w:val="center"/>
          </w:tcPr>
          <w:p w14:paraId="021D8BF8" w14:textId="77777777" w:rsidR="00A61FF5" w:rsidRPr="006E49EE" w:rsidRDefault="00A61FF5" w:rsidP="003E422F">
            <w:pPr>
              <w:pStyle w:val="ESTableBody"/>
              <w:jc w:val="right"/>
              <w:rPr>
                <w:lang w:val="en-AU"/>
              </w:rPr>
            </w:pPr>
            <w:r w:rsidRPr="006E49EE">
              <w:rPr>
                <w:lang w:val="en-AU"/>
              </w:rPr>
              <w:t xml:space="preserve">35,144 </w:t>
            </w:r>
            <w:r w:rsidRPr="006E49EE">
              <w:rPr>
                <w:lang w:val="en-AU"/>
              </w:rPr>
              <w:br/>
              <w:t xml:space="preserve">(12,103) </w:t>
            </w:r>
          </w:p>
        </w:tc>
        <w:tc>
          <w:tcPr>
            <w:tcW w:w="975" w:type="dxa"/>
            <w:shd w:val="clear" w:color="auto" w:fill="auto"/>
            <w:vAlign w:val="center"/>
          </w:tcPr>
          <w:p w14:paraId="428F68C8" w14:textId="4662D80A" w:rsidR="00A61FF5" w:rsidRPr="006E49EE" w:rsidRDefault="00A61FF5" w:rsidP="003E422F">
            <w:pPr>
              <w:pStyle w:val="ESTableBody"/>
              <w:jc w:val="right"/>
              <w:rPr>
                <w:lang w:val="en-AU"/>
              </w:rPr>
            </w:pPr>
            <w:r w:rsidRPr="006E49EE">
              <w:rPr>
                <w:lang w:val="en-AU"/>
              </w:rPr>
              <w:t>1</w:t>
            </w:r>
            <w:r w:rsidR="004E4BE9" w:rsidRPr="006E49EE">
              <w:rPr>
                <w:lang w:val="en-AU"/>
              </w:rPr>
              <w:t>,</w:t>
            </w:r>
            <w:r w:rsidRPr="006E49EE">
              <w:rPr>
                <w:lang w:val="en-AU"/>
              </w:rPr>
              <w:t>435</w:t>
            </w:r>
          </w:p>
        </w:tc>
        <w:tc>
          <w:tcPr>
            <w:tcW w:w="861" w:type="dxa"/>
            <w:vAlign w:val="center"/>
          </w:tcPr>
          <w:p w14:paraId="12B3A9A3" w14:textId="77777777" w:rsidR="00A61FF5" w:rsidRPr="006E49EE" w:rsidRDefault="00A61FF5" w:rsidP="003E422F">
            <w:pPr>
              <w:pStyle w:val="ESTableBody"/>
              <w:jc w:val="right"/>
              <w:rPr>
                <w:lang w:val="en-AU"/>
              </w:rPr>
            </w:pPr>
            <w:r w:rsidRPr="006E49EE">
              <w:rPr>
                <w:lang w:val="en-AU"/>
              </w:rPr>
              <w:t>83,095</w:t>
            </w:r>
          </w:p>
        </w:tc>
      </w:tr>
      <w:tr w:rsidR="00A61FF5" w:rsidRPr="00932A90" w14:paraId="61B3FB51" w14:textId="77777777" w:rsidTr="00BE48F9">
        <w:trPr>
          <w:trHeight w:val="841"/>
        </w:trPr>
        <w:tc>
          <w:tcPr>
            <w:tcW w:w="1701" w:type="dxa"/>
            <w:vAlign w:val="center"/>
          </w:tcPr>
          <w:p w14:paraId="64ABA3CC" w14:textId="77777777" w:rsidR="00A61FF5" w:rsidRPr="006E49EE" w:rsidRDefault="00A61FF5" w:rsidP="00D07480">
            <w:pPr>
              <w:pStyle w:val="ESTableBody"/>
              <w:rPr>
                <w:lang w:val="en-AU"/>
              </w:rPr>
            </w:pPr>
            <w:r w:rsidRPr="006E49EE">
              <w:rPr>
                <w:lang w:val="en-AU"/>
              </w:rPr>
              <w:t>Units of waste disposed of per FTE by destination (kg/FTE)</w:t>
            </w:r>
          </w:p>
        </w:tc>
        <w:tc>
          <w:tcPr>
            <w:tcW w:w="851" w:type="dxa"/>
            <w:shd w:val="clear" w:color="auto" w:fill="F8F8F8"/>
            <w:vAlign w:val="center"/>
          </w:tcPr>
          <w:p w14:paraId="27B7BD7A" w14:textId="77777777" w:rsidR="00A61FF5" w:rsidRPr="006E49EE" w:rsidRDefault="00A61FF5" w:rsidP="003E422F">
            <w:pPr>
              <w:pStyle w:val="ESTableBody"/>
              <w:jc w:val="right"/>
              <w:rPr>
                <w:lang w:val="en-AU"/>
              </w:rPr>
            </w:pPr>
            <w:r w:rsidRPr="006E49EE">
              <w:rPr>
                <w:lang w:val="en-AU"/>
              </w:rPr>
              <w:t>18</w:t>
            </w:r>
          </w:p>
        </w:tc>
        <w:tc>
          <w:tcPr>
            <w:tcW w:w="1134" w:type="dxa"/>
            <w:shd w:val="clear" w:color="auto" w:fill="F8F8F8"/>
            <w:vAlign w:val="center"/>
          </w:tcPr>
          <w:p w14:paraId="4EECA82B" w14:textId="77777777" w:rsidR="00A61FF5" w:rsidRPr="006E49EE" w:rsidRDefault="00A61FF5" w:rsidP="003E422F">
            <w:pPr>
              <w:pStyle w:val="ESTableBody"/>
              <w:jc w:val="right"/>
              <w:rPr>
                <w:lang w:val="en-AU"/>
              </w:rPr>
            </w:pPr>
            <w:r w:rsidRPr="006E49EE">
              <w:rPr>
                <w:lang w:val="en-AU"/>
              </w:rPr>
              <w:t>7</w:t>
            </w:r>
          </w:p>
        </w:tc>
        <w:tc>
          <w:tcPr>
            <w:tcW w:w="992" w:type="dxa"/>
            <w:shd w:val="clear" w:color="auto" w:fill="F8F8F8"/>
            <w:vAlign w:val="center"/>
          </w:tcPr>
          <w:p w14:paraId="67FC51F6" w14:textId="77777777" w:rsidR="00A61FF5" w:rsidRPr="006E49EE" w:rsidRDefault="00A61FF5" w:rsidP="003E422F">
            <w:pPr>
              <w:pStyle w:val="ESTableBody"/>
              <w:jc w:val="right"/>
              <w:rPr>
                <w:lang w:val="en-AU"/>
              </w:rPr>
            </w:pPr>
            <w:r w:rsidRPr="006E49EE">
              <w:rPr>
                <w:lang w:val="en-AU"/>
              </w:rPr>
              <w:t>9</w:t>
            </w:r>
          </w:p>
        </w:tc>
        <w:tc>
          <w:tcPr>
            <w:tcW w:w="992" w:type="dxa"/>
            <w:shd w:val="clear" w:color="auto" w:fill="F8F8F8"/>
            <w:vAlign w:val="center"/>
          </w:tcPr>
          <w:p w14:paraId="55E12A20" w14:textId="77777777" w:rsidR="00A61FF5" w:rsidRPr="006E49EE" w:rsidRDefault="00A61FF5" w:rsidP="003E422F">
            <w:pPr>
              <w:pStyle w:val="ESTableBody"/>
              <w:jc w:val="right"/>
              <w:rPr>
                <w:lang w:val="en-AU"/>
              </w:rPr>
            </w:pPr>
            <w:r w:rsidRPr="006E49EE">
              <w:rPr>
                <w:lang w:val="en-AU"/>
              </w:rPr>
              <w:t>51</w:t>
            </w:r>
          </w:p>
        </w:tc>
        <w:tc>
          <w:tcPr>
            <w:tcW w:w="993" w:type="dxa"/>
            <w:shd w:val="clear" w:color="auto" w:fill="F8F8F8"/>
            <w:vAlign w:val="center"/>
          </w:tcPr>
          <w:p w14:paraId="3A19ECB6" w14:textId="2D197CA2" w:rsidR="00A61FF5" w:rsidRPr="006E49EE" w:rsidRDefault="00BE48F9" w:rsidP="003E422F">
            <w:pPr>
              <w:pStyle w:val="ESTableBody"/>
              <w:jc w:val="right"/>
              <w:rPr>
                <w:lang w:val="en-AU"/>
              </w:rPr>
            </w:pPr>
            <w:r>
              <w:rPr>
                <w:lang w:val="en-AU"/>
              </w:rPr>
              <w:t>1</w:t>
            </w:r>
          </w:p>
        </w:tc>
        <w:tc>
          <w:tcPr>
            <w:tcW w:w="992" w:type="dxa"/>
            <w:shd w:val="pct5" w:color="auto" w:fill="auto"/>
            <w:vAlign w:val="center"/>
          </w:tcPr>
          <w:p w14:paraId="0F9AC8DA" w14:textId="77777777" w:rsidR="00A61FF5" w:rsidRPr="006E49EE" w:rsidRDefault="00A61FF5" w:rsidP="003E422F">
            <w:pPr>
              <w:pStyle w:val="ESTableBody"/>
              <w:jc w:val="right"/>
              <w:rPr>
                <w:lang w:val="en-AU"/>
              </w:rPr>
            </w:pPr>
            <w:r w:rsidRPr="006E49EE">
              <w:rPr>
                <w:lang w:val="en-AU"/>
              </w:rPr>
              <w:t>86</w:t>
            </w:r>
          </w:p>
        </w:tc>
        <w:tc>
          <w:tcPr>
            <w:tcW w:w="992" w:type="dxa"/>
            <w:shd w:val="clear" w:color="auto" w:fill="auto"/>
            <w:vAlign w:val="center"/>
          </w:tcPr>
          <w:p w14:paraId="401818A7" w14:textId="77777777" w:rsidR="00A61FF5" w:rsidRPr="006E49EE" w:rsidRDefault="00A61FF5" w:rsidP="003E422F">
            <w:pPr>
              <w:pStyle w:val="ESTableBody"/>
              <w:jc w:val="right"/>
              <w:rPr>
                <w:lang w:val="en-AU"/>
              </w:rPr>
            </w:pPr>
            <w:r w:rsidRPr="006E49EE">
              <w:rPr>
                <w:lang w:val="en-AU"/>
              </w:rPr>
              <w:t>20</w:t>
            </w:r>
          </w:p>
        </w:tc>
        <w:tc>
          <w:tcPr>
            <w:tcW w:w="1136" w:type="dxa"/>
            <w:shd w:val="clear" w:color="auto" w:fill="auto"/>
            <w:vAlign w:val="center"/>
          </w:tcPr>
          <w:p w14:paraId="7776A71D" w14:textId="77777777" w:rsidR="00A61FF5" w:rsidRPr="006E49EE" w:rsidRDefault="00A61FF5" w:rsidP="003E422F">
            <w:pPr>
              <w:pStyle w:val="ESTableBody"/>
              <w:jc w:val="right"/>
              <w:rPr>
                <w:lang w:val="en-AU"/>
              </w:rPr>
            </w:pPr>
            <w:r w:rsidRPr="006E49EE">
              <w:rPr>
                <w:lang w:val="en-AU"/>
              </w:rPr>
              <w:t>7</w:t>
            </w:r>
          </w:p>
        </w:tc>
        <w:tc>
          <w:tcPr>
            <w:tcW w:w="990" w:type="dxa"/>
            <w:shd w:val="clear" w:color="auto" w:fill="auto"/>
            <w:vAlign w:val="center"/>
          </w:tcPr>
          <w:p w14:paraId="1DF60BAF" w14:textId="77777777" w:rsidR="00A61FF5" w:rsidRPr="006E49EE" w:rsidRDefault="00A61FF5" w:rsidP="003E422F">
            <w:pPr>
              <w:pStyle w:val="ESTableBody"/>
              <w:jc w:val="right"/>
              <w:rPr>
                <w:lang w:val="en-AU"/>
              </w:rPr>
            </w:pPr>
            <w:r w:rsidRPr="006E49EE">
              <w:rPr>
                <w:lang w:val="en-AU"/>
              </w:rPr>
              <w:t>11</w:t>
            </w:r>
          </w:p>
        </w:tc>
        <w:tc>
          <w:tcPr>
            <w:tcW w:w="1351" w:type="dxa"/>
            <w:shd w:val="clear" w:color="auto" w:fill="auto"/>
            <w:vAlign w:val="center"/>
          </w:tcPr>
          <w:p w14:paraId="032AEDB4" w14:textId="0C960112" w:rsidR="00A61FF5" w:rsidRPr="006E49EE" w:rsidRDefault="00A61FF5" w:rsidP="0080586D">
            <w:pPr>
              <w:pStyle w:val="ESTableBody"/>
              <w:jc w:val="right"/>
              <w:rPr>
                <w:lang w:val="en-AU"/>
              </w:rPr>
            </w:pPr>
            <w:r w:rsidRPr="006E49EE">
              <w:rPr>
                <w:lang w:val="en-AU"/>
              </w:rPr>
              <w:t>29</w:t>
            </w:r>
            <w:r w:rsidR="0080586D" w:rsidRPr="006E49EE">
              <w:rPr>
                <w:lang w:val="en-AU"/>
              </w:rPr>
              <w:t xml:space="preserve"> </w:t>
            </w:r>
            <w:r w:rsidRPr="006E49EE">
              <w:rPr>
                <w:lang w:val="en-AU"/>
              </w:rPr>
              <w:t xml:space="preserve">(10) </w:t>
            </w:r>
          </w:p>
        </w:tc>
        <w:tc>
          <w:tcPr>
            <w:tcW w:w="975" w:type="dxa"/>
            <w:shd w:val="clear" w:color="auto" w:fill="auto"/>
            <w:vAlign w:val="center"/>
          </w:tcPr>
          <w:p w14:paraId="20EDBD8D" w14:textId="6557B85D" w:rsidR="00A61FF5" w:rsidRPr="006E49EE" w:rsidRDefault="00BE48F9" w:rsidP="003E422F">
            <w:pPr>
              <w:pStyle w:val="ESTableBody"/>
              <w:jc w:val="right"/>
              <w:rPr>
                <w:lang w:val="en-AU"/>
              </w:rPr>
            </w:pPr>
            <w:r>
              <w:rPr>
                <w:lang w:val="en-AU"/>
              </w:rPr>
              <w:t>1</w:t>
            </w:r>
          </w:p>
        </w:tc>
        <w:tc>
          <w:tcPr>
            <w:tcW w:w="861" w:type="dxa"/>
            <w:vAlign w:val="center"/>
          </w:tcPr>
          <w:p w14:paraId="5B8D95AD" w14:textId="77777777" w:rsidR="00A61FF5" w:rsidRPr="006E49EE" w:rsidRDefault="00A61FF5" w:rsidP="003E422F">
            <w:pPr>
              <w:pStyle w:val="ESTableBody"/>
              <w:jc w:val="right"/>
              <w:rPr>
                <w:lang w:val="en-AU"/>
              </w:rPr>
            </w:pPr>
            <w:r w:rsidRPr="006E49EE">
              <w:rPr>
                <w:lang w:val="en-AU"/>
              </w:rPr>
              <w:t>69</w:t>
            </w:r>
          </w:p>
        </w:tc>
      </w:tr>
      <w:tr w:rsidR="00A61FF5" w:rsidRPr="00932A90" w14:paraId="7FE897D2" w14:textId="77777777" w:rsidTr="00BE48F9">
        <w:tc>
          <w:tcPr>
            <w:tcW w:w="1701" w:type="dxa"/>
            <w:vAlign w:val="center"/>
          </w:tcPr>
          <w:p w14:paraId="50BD3ABA" w14:textId="77777777" w:rsidR="00A61FF5" w:rsidRPr="006E49EE" w:rsidRDefault="00A61FF5" w:rsidP="00D07480">
            <w:pPr>
              <w:pStyle w:val="ESTableBody"/>
              <w:rPr>
                <w:lang w:val="en-AU"/>
              </w:rPr>
            </w:pPr>
            <w:r w:rsidRPr="006E49EE">
              <w:rPr>
                <w:lang w:val="en-AU"/>
              </w:rPr>
              <w:t xml:space="preserve">Recycling rate </w:t>
            </w:r>
            <w:r w:rsidRPr="006E49EE">
              <w:rPr>
                <w:lang w:val="en-AU"/>
              </w:rPr>
              <w:br/>
              <w:t>(% of total waste)</w:t>
            </w:r>
          </w:p>
        </w:tc>
        <w:tc>
          <w:tcPr>
            <w:tcW w:w="851" w:type="dxa"/>
            <w:shd w:val="clear" w:color="auto" w:fill="F8F8F8"/>
            <w:vAlign w:val="center"/>
          </w:tcPr>
          <w:p w14:paraId="0682C56B" w14:textId="77777777" w:rsidR="00A61FF5" w:rsidRPr="006E49EE" w:rsidRDefault="00A61FF5" w:rsidP="003E422F">
            <w:pPr>
              <w:pStyle w:val="ESTableBody"/>
              <w:jc w:val="right"/>
              <w:rPr>
                <w:lang w:val="en-AU"/>
              </w:rPr>
            </w:pPr>
            <w:r w:rsidRPr="006E49EE">
              <w:rPr>
                <w:lang w:val="en-AU"/>
              </w:rPr>
              <w:t>–</w:t>
            </w:r>
          </w:p>
        </w:tc>
        <w:tc>
          <w:tcPr>
            <w:tcW w:w="1134" w:type="dxa"/>
            <w:shd w:val="clear" w:color="auto" w:fill="F8F8F8"/>
            <w:vAlign w:val="center"/>
          </w:tcPr>
          <w:p w14:paraId="61DC5729" w14:textId="77777777" w:rsidR="00A61FF5" w:rsidRPr="006E49EE" w:rsidRDefault="00A61FF5" w:rsidP="003E422F">
            <w:pPr>
              <w:pStyle w:val="ESTableBody"/>
              <w:jc w:val="right"/>
              <w:rPr>
                <w:lang w:val="en-AU"/>
              </w:rPr>
            </w:pPr>
            <w:r w:rsidRPr="006E49EE">
              <w:rPr>
                <w:lang w:val="en-AU"/>
              </w:rPr>
              <w:t>8</w:t>
            </w:r>
          </w:p>
        </w:tc>
        <w:tc>
          <w:tcPr>
            <w:tcW w:w="992" w:type="dxa"/>
            <w:shd w:val="clear" w:color="auto" w:fill="F8F8F8"/>
            <w:vAlign w:val="center"/>
          </w:tcPr>
          <w:p w14:paraId="5D08B010" w14:textId="77777777" w:rsidR="00A61FF5" w:rsidRPr="006E49EE" w:rsidRDefault="00A61FF5" w:rsidP="003E422F">
            <w:pPr>
              <w:pStyle w:val="ESTableBody"/>
              <w:jc w:val="right"/>
              <w:rPr>
                <w:lang w:val="en-AU"/>
              </w:rPr>
            </w:pPr>
            <w:r w:rsidRPr="006E49EE">
              <w:rPr>
                <w:lang w:val="en-AU"/>
              </w:rPr>
              <w:t>10</w:t>
            </w:r>
          </w:p>
        </w:tc>
        <w:tc>
          <w:tcPr>
            <w:tcW w:w="992" w:type="dxa"/>
            <w:shd w:val="clear" w:color="auto" w:fill="F8F8F8"/>
            <w:vAlign w:val="center"/>
          </w:tcPr>
          <w:p w14:paraId="31572C6E" w14:textId="77777777" w:rsidR="00A61FF5" w:rsidRPr="006E49EE" w:rsidRDefault="00A61FF5" w:rsidP="003E422F">
            <w:pPr>
              <w:pStyle w:val="ESTableBody"/>
              <w:jc w:val="right"/>
              <w:rPr>
                <w:lang w:val="en-AU"/>
              </w:rPr>
            </w:pPr>
            <w:r w:rsidRPr="006E49EE">
              <w:rPr>
                <w:lang w:val="en-AU"/>
              </w:rPr>
              <w:t>59</w:t>
            </w:r>
          </w:p>
        </w:tc>
        <w:tc>
          <w:tcPr>
            <w:tcW w:w="993" w:type="dxa"/>
            <w:shd w:val="clear" w:color="auto" w:fill="F8F8F8"/>
            <w:vAlign w:val="center"/>
          </w:tcPr>
          <w:p w14:paraId="785050E6" w14:textId="77777777" w:rsidR="00A61FF5" w:rsidRPr="006E49EE" w:rsidRDefault="00A61FF5" w:rsidP="003E422F">
            <w:pPr>
              <w:pStyle w:val="ESTableBody"/>
              <w:jc w:val="right"/>
              <w:rPr>
                <w:lang w:val="en-AU"/>
              </w:rPr>
            </w:pPr>
            <w:r w:rsidRPr="006E49EE">
              <w:rPr>
                <w:lang w:val="en-AU"/>
              </w:rPr>
              <w:t>1</w:t>
            </w:r>
          </w:p>
        </w:tc>
        <w:tc>
          <w:tcPr>
            <w:tcW w:w="992" w:type="dxa"/>
            <w:shd w:val="pct5" w:color="auto" w:fill="auto"/>
            <w:vAlign w:val="center"/>
          </w:tcPr>
          <w:p w14:paraId="3C3C78B2" w14:textId="77777777" w:rsidR="00A61FF5" w:rsidRPr="006E49EE" w:rsidRDefault="00A61FF5" w:rsidP="003E422F">
            <w:pPr>
              <w:pStyle w:val="ESTableBody"/>
              <w:jc w:val="right"/>
              <w:rPr>
                <w:lang w:val="en-AU"/>
              </w:rPr>
            </w:pPr>
            <w:r w:rsidRPr="006E49EE">
              <w:rPr>
                <w:lang w:val="en-AU"/>
              </w:rPr>
              <w:t>79</w:t>
            </w:r>
          </w:p>
        </w:tc>
        <w:tc>
          <w:tcPr>
            <w:tcW w:w="992" w:type="dxa"/>
            <w:shd w:val="clear" w:color="auto" w:fill="auto"/>
            <w:vAlign w:val="center"/>
          </w:tcPr>
          <w:p w14:paraId="76EF294A" w14:textId="77777777" w:rsidR="00A61FF5" w:rsidRPr="006E49EE" w:rsidRDefault="00A61FF5" w:rsidP="003E422F">
            <w:pPr>
              <w:pStyle w:val="ESTableBody"/>
              <w:jc w:val="right"/>
              <w:rPr>
                <w:lang w:val="en-AU"/>
              </w:rPr>
            </w:pPr>
            <w:r w:rsidRPr="006E49EE">
              <w:rPr>
                <w:lang w:val="en-AU"/>
              </w:rPr>
              <w:t>–</w:t>
            </w:r>
          </w:p>
        </w:tc>
        <w:tc>
          <w:tcPr>
            <w:tcW w:w="1136" w:type="dxa"/>
            <w:shd w:val="clear" w:color="auto" w:fill="auto"/>
            <w:vAlign w:val="center"/>
          </w:tcPr>
          <w:p w14:paraId="500FF9E9" w14:textId="77777777" w:rsidR="00A61FF5" w:rsidRPr="006E49EE" w:rsidRDefault="00A61FF5" w:rsidP="003E422F">
            <w:pPr>
              <w:pStyle w:val="ESTableBody"/>
              <w:jc w:val="right"/>
              <w:rPr>
                <w:lang w:val="en-AU"/>
              </w:rPr>
            </w:pPr>
            <w:r w:rsidRPr="006E49EE">
              <w:rPr>
                <w:lang w:val="en-AU"/>
              </w:rPr>
              <w:t>11</w:t>
            </w:r>
          </w:p>
        </w:tc>
        <w:tc>
          <w:tcPr>
            <w:tcW w:w="990" w:type="dxa"/>
            <w:shd w:val="clear" w:color="auto" w:fill="auto"/>
            <w:vAlign w:val="center"/>
          </w:tcPr>
          <w:p w14:paraId="0FF34D91" w14:textId="77777777" w:rsidR="00A61FF5" w:rsidRPr="006E49EE" w:rsidRDefault="00A61FF5" w:rsidP="003E422F">
            <w:pPr>
              <w:pStyle w:val="ESTableBody"/>
              <w:jc w:val="right"/>
              <w:rPr>
                <w:lang w:val="en-AU"/>
              </w:rPr>
            </w:pPr>
            <w:r w:rsidRPr="006E49EE">
              <w:rPr>
                <w:lang w:val="en-AU"/>
              </w:rPr>
              <w:t>16</w:t>
            </w:r>
          </w:p>
        </w:tc>
        <w:tc>
          <w:tcPr>
            <w:tcW w:w="1351" w:type="dxa"/>
            <w:shd w:val="clear" w:color="auto" w:fill="auto"/>
            <w:vAlign w:val="center"/>
          </w:tcPr>
          <w:p w14:paraId="03F37910" w14:textId="77777777" w:rsidR="00A61FF5" w:rsidRPr="006E49EE" w:rsidRDefault="00A61FF5" w:rsidP="003E422F">
            <w:pPr>
              <w:pStyle w:val="ESTableBody"/>
              <w:jc w:val="right"/>
              <w:rPr>
                <w:lang w:val="en-AU"/>
              </w:rPr>
            </w:pPr>
            <w:r w:rsidRPr="006E49EE">
              <w:rPr>
                <w:lang w:val="en-AU"/>
              </w:rPr>
              <w:t>42</w:t>
            </w:r>
          </w:p>
        </w:tc>
        <w:tc>
          <w:tcPr>
            <w:tcW w:w="975" w:type="dxa"/>
            <w:shd w:val="clear" w:color="auto" w:fill="auto"/>
            <w:vAlign w:val="center"/>
          </w:tcPr>
          <w:p w14:paraId="2E7815EF" w14:textId="77777777" w:rsidR="00A61FF5" w:rsidRPr="006E49EE" w:rsidRDefault="00A61FF5" w:rsidP="003E422F">
            <w:pPr>
              <w:pStyle w:val="ESTableBody"/>
              <w:jc w:val="right"/>
              <w:rPr>
                <w:lang w:val="en-AU"/>
              </w:rPr>
            </w:pPr>
            <w:r w:rsidRPr="006E49EE">
              <w:rPr>
                <w:lang w:val="en-AU"/>
              </w:rPr>
              <w:t>2</w:t>
            </w:r>
          </w:p>
        </w:tc>
        <w:tc>
          <w:tcPr>
            <w:tcW w:w="861" w:type="dxa"/>
            <w:vAlign w:val="center"/>
          </w:tcPr>
          <w:p w14:paraId="4FEE315D" w14:textId="77777777" w:rsidR="00A61FF5" w:rsidRPr="006E49EE" w:rsidRDefault="00A61FF5" w:rsidP="003E422F">
            <w:pPr>
              <w:pStyle w:val="ESTableBody"/>
              <w:jc w:val="right"/>
              <w:rPr>
                <w:lang w:val="en-AU"/>
              </w:rPr>
            </w:pPr>
            <w:r w:rsidRPr="006E49EE">
              <w:rPr>
                <w:lang w:val="en-AU"/>
              </w:rPr>
              <w:t>71 (59)</w:t>
            </w:r>
          </w:p>
        </w:tc>
      </w:tr>
      <w:tr w:rsidR="00A61FF5" w:rsidRPr="00932A90" w14:paraId="55C9762A" w14:textId="77777777" w:rsidTr="00BE48F9">
        <w:tc>
          <w:tcPr>
            <w:tcW w:w="1701" w:type="dxa"/>
            <w:tcBorders>
              <w:bottom w:val="single" w:sz="4" w:space="0" w:color="000000" w:themeColor="text1"/>
            </w:tcBorders>
            <w:vAlign w:val="center"/>
          </w:tcPr>
          <w:p w14:paraId="191547BB" w14:textId="6490AFA9" w:rsidR="00A61FF5" w:rsidRPr="006E49EE" w:rsidRDefault="00A61FF5" w:rsidP="00D07480">
            <w:pPr>
              <w:pStyle w:val="ESTableBody"/>
              <w:rPr>
                <w:lang w:val="en-AU"/>
              </w:rPr>
            </w:pPr>
            <w:r w:rsidRPr="006E49EE">
              <w:rPr>
                <w:lang w:val="en-AU"/>
              </w:rPr>
              <w:t>Greenhouse gas emissions associated with waste disposal (t</w:t>
            </w:r>
            <w:r w:rsidR="00682774" w:rsidRPr="006E49EE">
              <w:rPr>
                <w:lang w:val="en-AU"/>
              </w:rPr>
              <w:t> </w:t>
            </w:r>
            <w:r w:rsidRPr="006E49EE">
              <w:rPr>
                <w:lang w:val="en-AU"/>
              </w:rPr>
              <w:t>CO</w:t>
            </w:r>
            <w:r w:rsidRPr="006E49EE">
              <w:rPr>
                <w:vertAlign w:val="subscript"/>
                <w:lang w:val="en-AU"/>
              </w:rPr>
              <w:t>2</w:t>
            </w:r>
            <w:r w:rsidRPr="006E49EE">
              <w:rPr>
                <w:lang w:val="en-AU"/>
              </w:rPr>
              <w:t xml:space="preserve"> e)</w:t>
            </w:r>
          </w:p>
        </w:tc>
        <w:tc>
          <w:tcPr>
            <w:tcW w:w="851" w:type="dxa"/>
            <w:tcBorders>
              <w:bottom w:val="single" w:sz="4" w:space="0" w:color="000000" w:themeColor="text1"/>
            </w:tcBorders>
            <w:shd w:val="clear" w:color="auto" w:fill="F8F8F8"/>
            <w:vAlign w:val="center"/>
          </w:tcPr>
          <w:p w14:paraId="606D8EE6" w14:textId="77777777" w:rsidR="00A61FF5" w:rsidRPr="006E49EE" w:rsidRDefault="00A61FF5" w:rsidP="003E422F">
            <w:pPr>
              <w:pStyle w:val="ESTableBody"/>
              <w:jc w:val="right"/>
              <w:rPr>
                <w:lang w:val="en-AU"/>
              </w:rPr>
            </w:pPr>
            <w:r w:rsidRPr="006E49EE">
              <w:rPr>
                <w:lang w:val="en-AU"/>
              </w:rPr>
              <w:t>34</w:t>
            </w:r>
          </w:p>
        </w:tc>
        <w:tc>
          <w:tcPr>
            <w:tcW w:w="1134" w:type="dxa"/>
            <w:tcBorders>
              <w:bottom w:val="single" w:sz="4" w:space="0" w:color="000000" w:themeColor="text1"/>
            </w:tcBorders>
            <w:shd w:val="clear" w:color="auto" w:fill="F8F8F8"/>
            <w:vAlign w:val="center"/>
          </w:tcPr>
          <w:p w14:paraId="660FEFB5" w14:textId="77777777" w:rsidR="00A61FF5" w:rsidRPr="006E49EE" w:rsidRDefault="00A61FF5" w:rsidP="003E422F">
            <w:pPr>
              <w:pStyle w:val="ESTableBody"/>
              <w:jc w:val="right"/>
              <w:rPr>
                <w:lang w:val="en-AU"/>
              </w:rPr>
            </w:pPr>
            <w:r w:rsidRPr="006E49EE">
              <w:rPr>
                <w:lang w:val="en-AU"/>
              </w:rPr>
              <w:t>–</w:t>
            </w:r>
          </w:p>
        </w:tc>
        <w:tc>
          <w:tcPr>
            <w:tcW w:w="992" w:type="dxa"/>
            <w:tcBorders>
              <w:bottom w:val="single" w:sz="4" w:space="0" w:color="000000" w:themeColor="text1"/>
            </w:tcBorders>
            <w:shd w:val="clear" w:color="auto" w:fill="F8F8F8"/>
            <w:vAlign w:val="center"/>
          </w:tcPr>
          <w:p w14:paraId="0C6BF103" w14:textId="77777777" w:rsidR="00A61FF5" w:rsidRPr="006E49EE" w:rsidRDefault="00A61FF5" w:rsidP="003E422F">
            <w:pPr>
              <w:pStyle w:val="ESTableBody"/>
              <w:jc w:val="right"/>
              <w:rPr>
                <w:lang w:val="en-AU"/>
              </w:rPr>
            </w:pPr>
            <w:r w:rsidRPr="006E49EE">
              <w:rPr>
                <w:lang w:val="en-AU"/>
              </w:rPr>
              <w:t>–</w:t>
            </w:r>
          </w:p>
        </w:tc>
        <w:tc>
          <w:tcPr>
            <w:tcW w:w="992" w:type="dxa"/>
            <w:tcBorders>
              <w:bottom w:val="single" w:sz="4" w:space="0" w:color="000000" w:themeColor="text1"/>
            </w:tcBorders>
            <w:shd w:val="clear" w:color="auto" w:fill="F8F8F8"/>
            <w:vAlign w:val="center"/>
          </w:tcPr>
          <w:p w14:paraId="2409B60A" w14:textId="77777777" w:rsidR="00A61FF5" w:rsidRPr="006E49EE" w:rsidRDefault="00A61FF5" w:rsidP="003E422F">
            <w:pPr>
              <w:pStyle w:val="ESTableBody"/>
              <w:jc w:val="right"/>
              <w:rPr>
                <w:lang w:val="en-AU"/>
              </w:rPr>
            </w:pPr>
            <w:r w:rsidRPr="006E49EE">
              <w:rPr>
                <w:lang w:val="en-AU"/>
              </w:rPr>
              <w:t>–</w:t>
            </w:r>
          </w:p>
        </w:tc>
        <w:tc>
          <w:tcPr>
            <w:tcW w:w="993" w:type="dxa"/>
            <w:tcBorders>
              <w:bottom w:val="single" w:sz="4" w:space="0" w:color="000000" w:themeColor="text1"/>
            </w:tcBorders>
            <w:shd w:val="clear" w:color="auto" w:fill="F8F8F8"/>
            <w:vAlign w:val="center"/>
          </w:tcPr>
          <w:p w14:paraId="23996F15" w14:textId="77777777" w:rsidR="00A61FF5" w:rsidRPr="006E49EE" w:rsidRDefault="00A61FF5" w:rsidP="003E422F">
            <w:pPr>
              <w:pStyle w:val="ESTableBody"/>
              <w:jc w:val="right"/>
              <w:rPr>
                <w:lang w:val="en-AU"/>
              </w:rPr>
            </w:pPr>
            <w:r w:rsidRPr="006E49EE">
              <w:rPr>
                <w:lang w:val="en-AU"/>
              </w:rPr>
              <w:t>–</w:t>
            </w:r>
          </w:p>
        </w:tc>
        <w:tc>
          <w:tcPr>
            <w:tcW w:w="992" w:type="dxa"/>
            <w:tcBorders>
              <w:bottom w:val="single" w:sz="4" w:space="0" w:color="000000" w:themeColor="text1"/>
            </w:tcBorders>
            <w:shd w:val="pct5" w:color="auto" w:fill="auto"/>
            <w:vAlign w:val="center"/>
          </w:tcPr>
          <w:p w14:paraId="50473D1D" w14:textId="77777777" w:rsidR="00A61FF5" w:rsidRPr="006E49EE" w:rsidRDefault="00A61FF5" w:rsidP="003E422F">
            <w:pPr>
              <w:pStyle w:val="ESTableBody"/>
              <w:jc w:val="right"/>
              <w:rPr>
                <w:lang w:val="en-AU"/>
              </w:rPr>
            </w:pPr>
            <w:r w:rsidRPr="006E49EE">
              <w:rPr>
                <w:lang w:val="en-AU"/>
              </w:rPr>
              <w:t>34</w:t>
            </w:r>
          </w:p>
        </w:tc>
        <w:tc>
          <w:tcPr>
            <w:tcW w:w="992" w:type="dxa"/>
            <w:tcBorders>
              <w:bottom w:val="single" w:sz="4" w:space="0" w:color="000000" w:themeColor="text1"/>
            </w:tcBorders>
            <w:shd w:val="clear" w:color="auto" w:fill="auto"/>
            <w:vAlign w:val="center"/>
          </w:tcPr>
          <w:p w14:paraId="58005C1F" w14:textId="77777777" w:rsidR="00A61FF5" w:rsidRPr="006E49EE" w:rsidRDefault="00A61FF5" w:rsidP="003E422F">
            <w:pPr>
              <w:pStyle w:val="ESTableBody"/>
              <w:jc w:val="right"/>
              <w:rPr>
                <w:lang w:val="en-AU"/>
              </w:rPr>
            </w:pPr>
            <w:r w:rsidRPr="006E49EE">
              <w:rPr>
                <w:lang w:val="en-AU"/>
              </w:rPr>
              <w:t>29</w:t>
            </w:r>
          </w:p>
        </w:tc>
        <w:tc>
          <w:tcPr>
            <w:tcW w:w="1136" w:type="dxa"/>
            <w:tcBorders>
              <w:bottom w:val="single" w:sz="4" w:space="0" w:color="000000" w:themeColor="text1"/>
            </w:tcBorders>
            <w:shd w:val="clear" w:color="auto" w:fill="auto"/>
            <w:vAlign w:val="center"/>
          </w:tcPr>
          <w:p w14:paraId="20DB0241" w14:textId="77777777" w:rsidR="00A61FF5" w:rsidRPr="006E49EE" w:rsidRDefault="00A61FF5" w:rsidP="003E422F">
            <w:pPr>
              <w:pStyle w:val="ESTableBody"/>
              <w:jc w:val="right"/>
              <w:rPr>
                <w:lang w:val="en-AU"/>
              </w:rPr>
            </w:pPr>
            <w:r w:rsidRPr="006E49EE">
              <w:rPr>
                <w:lang w:val="en-AU"/>
              </w:rPr>
              <w:t>–</w:t>
            </w:r>
          </w:p>
        </w:tc>
        <w:tc>
          <w:tcPr>
            <w:tcW w:w="990" w:type="dxa"/>
            <w:tcBorders>
              <w:bottom w:val="single" w:sz="4" w:space="0" w:color="000000" w:themeColor="text1"/>
            </w:tcBorders>
            <w:shd w:val="clear" w:color="auto" w:fill="auto"/>
            <w:vAlign w:val="center"/>
          </w:tcPr>
          <w:p w14:paraId="0CF24E29" w14:textId="77777777" w:rsidR="00A61FF5" w:rsidRPr="006E49EE" w:rsidRDefault="00A61FF5" w:rsidP="003E422F">
            <w:pPr>
              <w:pStyle w:val="ESTableBody"/>
              <w:jc w:val="right"/>
              <w:rPr>
                <w:lang w:val="en-AU"/>
              </w:rPr>
            </w:pPr>
            <w:r w:rsidRPr="006E49EE">
              <w:rPr>
                <w:lang w:val="en-AU"/>
              </w:rPr>
              <w:t>–</w:t>
            </w:r>
          </w:p>
        </w:tc>
        <w:tc>
          <w:tcPr>
            <w:tcW w:w="1351" w:type="dxa"/>
            <w:tcBorders>
              <w:bottom w:val="single" w:sz="4" w:space="0" w:color="000000" w:themeColor="text1"/>
            </w:tcBorders>
            <w:shd w:val="clear" w:color="auto" w:fill="auto"/>
            <w:vAlign w:val="center"/>
          </w:tcPr>
          <w:p w14:paraId="46AD2681" w14:textId="77777777" w:rsidR="00A61FF5" w:rsidRPr="006E49EE" w:rsidRDefault="00A61FF5" w:rsidP="003E422F">
            <w:pPr>
              <w:pStyle w:val="ESTableBody"/>
              <w:jc w:val="right"/>
              <w:rPr>
                <w:lang w:val="en-AU"/>
              </w:rPr>
            </w:pPr>
            <w:r w:rsidRPr="006E49EE">
              <w:rPr>
                <w:lang w:val="en-AU"/>
              </w:rPr>
              <w:t>–</w:t>
            </w:r>
          </w:p>
        </w:tc>
        <w:tc>
          <w:tcPr>
            <w:tcW w:w="975" w:type="dxa"/>
            <w:tcBorders>
              <w:bottom w:val="single" w:sz="4" w:space="0" w:color="000000" w:themeColor="text1"/>
            </w:tcBorders>
            <w:shd w:val="clear" w:color="auto" w:fill="auto"/>
            <w:vAlign w:val="center"/>
          </w:tcPr>
          <w:p w14:paraId="7BAAF1C2" w14:textId="77777777" w:rsidR="00A61FF5" w:rsidRPr="006E49EE" w:rsidRDefault="00A61FF5" w:rsidP="003E422F">
            <w:pPr>
              <w:pStyle w:val="ESTableBody"/>
              <w:jc w:val="right"/>
              <w:rPr>
                <w:lang w:val="en-AU"/>
              </w:rPr>
            </w:pPr>
            <w:r w:rsidRPr="006E49EE">
              <w:rPr>
                <w:lang w:val="en-AU"/>
              </w:rPr>
              <w:t>–</w:t>
            </w:r>
          </w:p>
        </w:tc>
        <w:tc>
          <w:tcPr>
            <w:tcW w:w="861" w:type="dxa"/>
            <w:tcBorders>
              <w:bottom w:val="single" w:sz="4" w:space="0" w:color="000000" w:themeColor="text1"/>
            </w:tcBorders>
            <w:vAlign w:val="center"/>
          </w:tcPr>
          <w:p w14:paraId="6809A9F1" w14:textId="77777777" w:rsidR="00A61FF5" w:rsidRPr="006E49EE" w:rsidRDefault="00A61FF5" w:rsidP="003E422F">
            <w:pPr>
              <w:pStyle w:val="ESTableBody"/>
              <w:jc w:val="right"/>
              <w:rPr>
                <w:lang w:val="en-AU"/>
              </w:rPr>
            </w:pPr>
            <w:r w:rsidRPr="006E49EE">
              <w:rPr>
                <w:lang w:val="en-AU"/>
              </w:rPr>
              <w:t>29</w:t>
            </w:r>
          </w:p>
        </w:tc>
      </w:tr>
    </w:tbl>
    <w:p w14:paraId="63D4B334" w14:textId="77777777" w:rsidR="00A9593E" w:rsidRPr="006E49EE" w:rsidRDefault="00A61FF5" w:rsidP="006E49EE">
      <w:pPr>
        <w:pStyle w:val="FootnoteText"/>
        <w:spacing w:before="240"/>
        <w:rPr>
          <w:lang w:val="en-AU"/>
        </w:rPr>
      </w:pPr>
      <w:r w:rsidRPr="006E49EE">
        <w:rPr>
          <w:lang w:val="en-AU"/>
        </w:rPr>
        <w:t>Note: Figures in parentheses were published in the 2015–16 Annual Report, and were based on incomplete data that has subsequently been updated.</w:t>
      </w:r>
    </w:p>
    <w:p w14:paraId="6B5E35C6" w14:textId="1FE9B515" w:rsidR="00A61FF5" w:rsidRPr="006E49EE" w:rsidRDefault="00A61FF5" w:rsidP="00A61FF5">
      <w:pPr>
        <w:pStyle w:val="FootnoteText"/>
        <w:rPr>
          <w:lang w:val="en-AU"/>
        </w:rPr>
      </w:pPr>
      <w:r w:rsidRPr="006E49EE">
        <w:rPr>
          <w:lang w:val="en-AU"/>
        </w:rPr>
        <w:t>‘Other’ includes collection of toner cartridges, steel, reusable plastics and batteries.</w:t>
      </w:r>
    </w:p>
    <w:p w14:paraId="1841EF4F" w14:textId="6044405C" w:rsidR="00A61FF5" w:rsidRPr="006E49EE" w:rsidRDefault="00A61FF5" w:rsidP="00A61FF5">
      <w:pPr>
        <w:pStyle w:val="ESBodyText"/>
        <w:rPr>
          <w:lang w:val="en-AU"/>
        </w:rPr>
        <w:sectPr w:rsidR="00A61FF5" w:rsidRPr="006E49EE" w:rsidSect="00251093">
          <w:pgSz w:w="16840" w:h="11900" w:orient="landscape"/>
          <w:pgMar w:top="2835" w:right="1440" w:bottom="1701" w:left="1440" w:header="708" w:footer="708" w:gutter="0"/>
          <w:cols w:space="708"/>
          <w:docGrid w:linePitch="360"/>
        </w:sectPr>
      </w:pPr>
    </w:p>
    <w:p w14:paraId="34865F46" w14:textId="77777777" w:rsidR="00A61FF5" w:rsidRPr="006E49EE" w:rsidRDefault="00A61FF5" w:rsidP="00A61FF5">
      <w:pPr>
        <w:pStyle w:val="StyleESBodyTextBoldAfter0pt1"/>
        <w:rPr>
          <w:lang w:val="en-AU"/>
        </w:rPr>
      </w:pPr>
      <w:r w:rsidRPr="006E49EE">
        <w:rPr>
          <w:lang w:val="en-AU"/>
        </w:rPr>
        <w:t>Target</w:t>
      </w:r>
    </w:p>
    <w:p w14:paraId="2201D567" w14:textId="77777777" w:rsidR="00A61FF5" w:rsidRPr="006E49EE" w:rsidRDefault="00A61FF5" w:rsidP="00A61FF5">
      <w:pPr>
        <w:pStyle w:val="ESBodyText"/>
        <w:rPr>
          <w:lang w:val="en-AU"/>
        </w:rPr>
      </w:pPr>
      <w:r w:rsidRPr="006E49EE">
        <w:rPr>
          <w:lang w:val="en-AU"/>
        </w:rPr>
        <w:t>Increase recycling rate to a minimum of 85 per cent by 31 March 2017.</w:t>
      </w:r>
    </w:p>
    <w:p w14:paraId="3B648325" w14:textId="77777777" w:rsidR="00A61FF5" w:rsidRPr="006E49EE" w:rsidRDefault="00A61FF5" w:rsidP="007F172B">
      <w:pPr>
        <w:pStyle w:val="ESHeading4"/>
        <w:rPr>
          <w:lang w:val="en-AU"/>
        </w:rPr>
      </w:pPr>
      <w:r w:rsidRPr="006E49EE">
        <w:rPr>
          <w:lang w:val="en-AU"/>
        </w:rPr>
        <w:t>Assessment against target</w:t>
      </w:r>
    </w:p>
    <w:p w14:paraId="072B3214" w14:textId="3E60DF9C" w:rsidR="001F1282" w:rsidRPr="006E49EE" w:rsidRDefault="00A61FF5" w:rsidP="00A61FF5">
      <w:pPr>
        <w:pStyle w:val="ESBodyText"/>
        <w:rPr>
          <w:lang w:val="en-AU"/>
        </w:rPr>
      </w:pPr>
      <w:r w:rsidRPr="006E49EE">
        <w:rPr>
          <w:lang w:val="en-AU"/>
        </w:rPr>
        <w:t>The recycling rate increased from 71 per cent in 2015</w:t>
      </w:r>
      <w:r w:rsidR="008C1498" w:rsidRPr="006E49EE">
        <w:rPr>
          <w:lang w:val="en-AU"/>
        </w:rPr>
        <w:t>–</w:t>
      </w:r>
      <w:r w:rsidRPr="006E49EE">
        <w:rPr>
          <w:lang w:val="en-AU"/>
        </w:rPr>
        <w:t>16 to 79 per cent of total waste, not quite reaching the 31 March 2017 target.</w:t>
      </w:r>
    </w:p>
    <w:p w14:paraId="3F3B09C5" w14:textId="1AF369B6" w:rsidR="00A61FF5" w:rsidRPr="006E49EE" w:rsidRDefault="00A61FF5" w:rsidP="007F172B">
      <w:pPr>
        <w:pStyle w:val="ESHeading4"/>
        <w:rPr>
          <w:lang w:val="en-AU"/>
        </w:rPr>
      </w:pPr>
      <w:r w:rsidRPr="006E49EE">
        <w:rPr>
          <w:lang w:val="en-AU"/>
        </w:rPr>
        <w:t>Explanatory notes</w:t>
      </w:r>
    </w:p>
    <w:p w14:paraId="5449DC68" w14:textId="06BDB235" w:rsidR="001F4B0D" w:rsidRPr="00BE48F9" w:rsidRDefault="001F4B0D" w:rsidP="00A61FF5">
      <w:pPr>
        <w:pStyle w:val="ESBodyText"/>
        <w:rPr>
          <w:lang w:val="en-AU"/>
        </w:rPr>
      </w:pPr>
      <w:r w:rsidRPr="00BE48F9">
        <w:rPr>
          <w:lang w:val="en-AU"/>
        </w:rPr>
        <w:t>All types of waste generation either decreased in per capita terms</w:t>
      </w:r>
      <w:r w:rsidR="004E5297" w:rsidRPr="00BE48F9">
        <w:rPr>
          <w:lang w:val="en-AU"/>
        </w:rPr>
        <w:t xml:space="preserve"> or remained neutral from 2015–16 levels, except for an increase in shredded paper. Decreases</w:t>
      </w:r>
      <w:r w:rsidRPr="00BE48F9">
        <w:rPr>
          <w:lang w:val="en-AU"/>
        </w:rPr>
        <w:t xml:space="preserve"> includ</w:t>
      </w:r>
      <w:r w:rsidR="004E5297" w:rsidRPr="00BE48F9">
        <w:rPr>
          <w:lang w:val="en-AU"/>
        </w:rPr>
        <w:t>ed</w:t>
      </w:r>
      <w:r w:rsidRPr="00BE48F9">
        <w:rPr>
          <w:lang w:val="en-AU"/>
        </w:rPr>
        <w:t xml:space="preserve"> landfill and compost, which are the second and third biggest sources of waste.</w:t>
      </w:r>
      <w:r w:rsidR="004E5297" w:rsidRPr="00BE48F9">
        <w:rPr>
          <w:lang w:val="en-AU"/>
        </w:rPr>
        <w:t xml:space="preserve"> </w:t>
      </w:r>
      <w:r w:rsidRPr="00BE48F9">
        <w:rPr>
          <w:lang w:val="en-AU"/>
        </w:rPr>
        <w:t xml:space="preserve">The </w:t>
      </w:r>
      <w:r w:rsidR="004E5297" w:rsidRPr="00BE48F9">
        <w:rPr>
          <w:lang w:val="en-AU"/>
        </w:rPr>
        <w:t xml:space="preserve">overall </w:t>
      </w:r>
      <w:r w:rsidRPr="00BE48F9">
        <w:rPr>
          <w:lang w:val="en-AU"/>
        </w:rPr>
        <w:t xml:space="preserve">increase in waste generation </w:t>
      </w:r>
      <w:r w:rsidR="004E5297" w:rsidRPr="00BE48F9">
        <w:rPr>
          <w:lang w:val="en-AU"/>
        </w:rPr>
        <w:t>is</w:t>
      </w:r>
      <w:r w:rsidRPr="00BE48F9">
        <w:rPr>
          <w:lang w:val="en-AU"/>
        </w:rPr>
        <w:t xml:space="preserve"> driven by an increase in shredded paper. </w:t>
      </w:r>
    </w:p>
    <w:p w14:paraId="56F2950B" w14:textId="0CACBA14" w:rsidR="00A61FF5" w:rsidRPr="006E49EE" w:rsidRDefault="001F4B0D" w:rsidP="00A61FF5">
      <w:pPr>
        <w:pStyle w:val="ESBodyText"/>
        <w:rPr>
          <w:lang w:val="en-AU"/>
        </w:rPr>
      </w:pPr>
      <w:r w:rsidRPr="00BE48F9">
        <w:rPr>
          <w:lang w:val="en-AU"/>
        </w:rPr>
        <w:t xml:space="preserve">The increase in shredded paper </w:t>
      </w:r>
      <w:r w:rsidR="004E5297" w:rsidRPr="00BE48F9">
        <w:rPr>
          <w:lang w:val="en-AU"/>
        </w:rPr>
        <w:t>is</w:t>
      </w:r>
      <w:r w:rsidRPr="00BE48F9">
        <w:rPr>
          <w:lang w:val="en-AU"/>
        </w:rPr>
        <w:t xml:space="preserve"> in part due to several internal restructures and </w:t>
      </w:r>
      <w:r w:rsidR="00A61FF5" w:rsidRPr="00BE48F9">
        <w:rPr>
          <w:lang w:val="en-AU"/>
        </w:rPr>
        <w:t>office relocations</w:t>
      </w:r>
      <w:r w:rsidRPr="00BE48F9">
        <w:rPr>
          <w:lang w:val="en-AU"/>
        </w:rPr>
        <w:t xml:space="preserve">, resulting in disposals of large volumes of documents and publications that had accumulated over time. With the structure settled, the impact of these changes are expected to be one-off. </w:t>
      </w:r>
    </w:p>
    <w:p w14:paraId="334CB5F7" w14:textId="77777777" w:rsidR="00A61FF5" w:rsidRPr="006E49EE" w:rsidRDefault="00A61FF5" w:rsidP="00A61FF5">
      <w:pPr>
        <w:pStyle w:val="ESHeading3"/>
        <w:rPr>
          <w:lang w:val="en-AU"/>
        </w:rPr>
      </w:pPr>
      <w:r w:rsidRPr="006E49EE">
        <w:rPr>
          <w:lang w:val="en-AU"/>
        </w:rPr>
        <w:t>Paper</w:t>
      </w:r>
    </w:p>
    <w:p w14:paraId="20ED9EF2" w14:textId="77777777" w:rsidR="00A61FF5" w:rsidRPr="006E49EE" w:rsidRDefault="00A61FF5" w:rsidP="00A61FF5">
      <w:pPr>
        <w:pStyle w:val="ESBodyText"/>
        <w:rPr>
          <w:highlight w:val="yellow"/>
          <w:lang w:val="en-AU"/>
        </w:rPr>
      </w:pPr>
      <w:r w:rsidRPr="006E49EE">
        <w:rPr>
          <w:lang w:val="en-AU"/>
        </w:rPr>
        <w:t>The data presented below was collected through stationery suppliers and represents 100 per cent of sites and 100 per cent of FTE staff.</w:t>
      </w:r>
    </w:p>
    <w:p w14:paraId="56F77810" w14:textId="70A77D57"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28</w:t>
      </w:r>
      <w:r w:rsidR="00D93BA2" w:rsidRPr="006E49EE">
        <w:rPr>
          <w:lang w:val="en-AU"/>
        </w:rPr>
        <w:fldChar w:fldCharType="end"/>
      </w:r>
      <w:r w:rsidRPr="006E49EE">
        <w:rPr>
          <w:lang w:val="en-AU"/>
        </w:rPr>
        <w:t xml:space="preserve"> – Paper purchasing and usage</w:t>
      </w:r>
    </w:p>
    <w:tbl>
      <w:tblPr>
        <w:tblW w:w="4931" w:type="pct"/>
        <w:tblInd w:w="108" w:type="dxa"/>
        <w:tblLook w:val="04A0" w:firstRow="1" w:lastRow="0" w:firstColumn="1" w:lastColumn="0" w:noHBand="0" w:noVBand="1"/>
      </w:tblPr>
      <w:tblGrid>
        <w:gridCol w:w="5137"/>
        <w:gridCol w:w="1134"/>
        <w:gridCol w:w="991"/>
      </w:tblGrid>
      <w:tr w:rsidR="00A61FF5" w:rsidRPr="00932A90" w14:paraId="1D092893" w14:textId="77777777" w:rsidTr="00D07480">
        <w:trPr>
          <w:cantSplit/>
        </w:trPr>
        <w:tc>
          <w:tcPr>
            <w:tcW w:w="3537" w:type="pct"/>
            <w:shd w:val="clear" w:color="auto" w:fill="7F7F7F" w:themeFill="text1" w:themeFillTint="80"/>
            <w:vAlign w:val="center"/>
          </w:tcPr>
          <w:p w14:paraId="6EC5E8F5" w14:textId="77777777" w:rsidR="00A61FF5" w:rsidRPr="00932A90" w:rsidRDefault="00A61FF5" w:rsidP="00D07480">
            <w:pPr>
              <w:pStyle w:val="DETTablecolumnheading"/>
              <w:jc w:val="left"/>
            </w:pPr>
            <w:r w:rsidRPr="00932A90">
              <w:t>Indicator</w:t>
            </w:r>
          </w:p>
        </w:tc>
        <w:tc>
          <w:tcPr>
            <w:tcW w:w="781" w:type="pct"/>
            <w:shd w:val="clear" w:color="auto" w:fill="7F7F7F" w:themeFill="text1" w:themeFillTint="80"/>
          </w:tcPr>
          <w:p w14:paraId="3986F577" w14:textId="31AD61A9" w:rsidR="00A61FF5" w:rsidRPr="00932A90" w:rsidRDefault="00A61FF5" w:rsidP="001B0E3D">
            <w:pPr>
              <w:pStyle w:val="DETTablecolumnheading"/>
              <w:jc w:val="right"/>
            </w:pPr>
            <w:r w:rsidRPr="00932A90">
              <w:t>2016</w:t>
            </w:r>
            <w:r w:rsidR="008C1498" w:rsidRPr="00932A90">
              <w:t>–</w:t>
            </w:r>
            <w:r w:rsidRPr="00932A90">
              <w:t>17</w:t>
            </w:r>
          </w:p>
        </w:tc>
        <w:tc>
          <w:tcPr>
            <w:tcW w:w="682" w:type="pct"/>
            <w:shd w:val="clear" w:color="auto" w:fill="7F7F7F" w:themeFill="text1" w:themeFillTint="80"/>
            <w:vAlign w:val="center"/>
          </w:tcPr>
          <w:p w14:paraId="0983B6D1" w14:textId="77777777" w:rsidR="00A61FF5" w:rsidRPr="00932A90" w:rsidRDefault="00A61FF5" w:rsidP="001B0E3D">
            <w:pPr>
              <w:pStyle w:val="DETTablecolumnheading"/>
              <w:jc w:val="right"/>
            </w:pPr>
            <w:r w:rsidRPr="00932A90">
              <w:t>2015–16</w:t>
            </w:r>
          </w:p>
        </w:tc>
      </w:tr>
      <w:tr w:rsidR="00A61FF5" w:rsidRPr="00932A90" w14:paraId="13C2B340" w14:textId="77777777" w:rsidTr="00D07480">
        <w:trPr>
          <w:cantSplit/>
        </w:trPr>
        <w:tc>
          <w:tcPr>
            <w:tcW w:w="3537" w:type="pct"/>
            <w:shd w:val="clear" w:color="auto" w:fill="auto"/>
            <w:vAlign w:val="center"/>
          </w:tcPr>
          <w:p w14:paraId="03664F2C" w14:textId="77777777" w:rsidR="00A61FF5" w:rsidRPr="006E49EE" w:rsidRDefault="00A61FF5" w:rsidP="00D07480">
            <w:pPr>
              <w:pStyle w:val="ESTableBody"/>
              <w:rPr>
                <w:lang w:val="en-AU"/>
              </w:rPr>
            </w:pPr>
            <w:r w:rsidRPr="006E49EE">
              <w:rPr>
                <w:lang w:val="en-AU"/>
              </w:rPr>
              <w:t>Total units of copy paper used (reams)</w:t>
            </w:r>
          </w:p>
        </w:tc>
        <w:tc>
          <w:tcPr>
            <w:tcW w:w="781" w:type="pct"/>
            <w:shd w:val="clear" w:color="auto" w:fill="F2F2F2" w:themeFill="background1" w:themeFillShade="F2"/>
            <w:vAlign w:val="center"/>
          </w:tcPr>
          <w:p w14:paraId="06F7EE34" w14:textId="77777777" w:rsidR="00A61FF5" w:rsidRPr="006E49EE" w:rsidRDefault="00A61FF5" w:rsidP="00D07480">
            <w:pPr>
              <w:pStyle w:val="ESTableBody"/>
              <w:jc w:val="right"/>
              <w:rPr>
                <w:lang w:val="en-AU"/>
              </w:rPr>
            </w:pPr>
            <w:r w:rsidRPr="006E49EE">
              <w:rPr>
                <w:lang w:val="en-AU"/>
              </w:rPr>
              <w:t>35,175</w:t>
            </w:r>
          </w:p>
        </w:tc>
        <w:tc>
          <w:tcPr>
            <w:tcW w:w="682" w:type="pct"/>
            <w:shd w:val="clear" w:color="auto" w:fill="auto"/>
            <w:vAlign w:val="center"/>
          </w:tcPr>
          <w:p w14:paraId="707A029A" w14:textId="77777777" w:rsidR="00A61FF5" w:rsidRPr="006E49EE" w:rsidRDefault="00A61FF5" w:rsidP="00D07480">
            <w:pPr>
              <w:pStyle w:val="ESTableBody"/>
              <w:jc w:val="right"/>
              <w:rPr>
                <w:lang w:val="en-AU"/>
              </w:rPr>
            </w:pPr>
            <w:r w:rsidRPr="006E49EE">
              <w:rPr>
                <w:lang w:val="en-AU"/>
              </w:rPr>
              <w:t>33,185</w:t>
            </w:r>
          </w:p>
        </w:tc>
      </w:tr>
      <w:tr w:rsidR="00A61FF5" w:rsidRPr="00932A90" w14:paraId="3F81E041" w14:textId="77777777" w:rsidTr="00D07480">
        <w:trPr>
          <w:cantSplit/>
        </w:trPr>
        <w:tc>
          <w:tcPr>
            <w:tcW w:w="3537" w:type="pct"/>
            <w:shd w:val="clear" w:color="auto" w:fill="auto"/>
            <w:vAlign w:val="center"/>
          </w:tcPr>
          <w:p w14:paraId="2F6367E8" w14:textId="77777777" w:rsidR="00A61FF5" w:rsidRPr="006E49EE" w:rsidRDefault="00A61FF5" w:rsidP="00D07480">
            <w:pPr>
              <w:pStyle w:val="ESTableBody"/>
              <w:rPr>
                <w:lang w:val="en-AU"/>
              </w:rPr>
            </w:pPr>
            <w:r w:rsidRPr="006E49EE">
              <w:rPr>
                <w:lang w:val="en-AU"/>
              </w:rPr>
              <w:t xml:space="preserve">Units of copy paper used per FTE (reams/FTE) </w:t>
            </w:r>
          </w:p>
        </w:tc>
        <w:tc>
          <w:tcPr>
            <w:tcW w:w="781" w:type="pct"/>
            <w:shd w:val="clear" w:color="auto" w:fill="F2F2F2" w:themeFill="background1" w:themeFillShade="F2"/>
            <w:vAlign w:val="center"/>
          </w:tcPr>
          <w:p w14:paraId="1395F7F7" w14:textId="77777777" w:rsidR="00A61FF5" w:rsidRPr="006E49EE" w:rsidRDefault="00A61FF5" w:rsidP="00D07480">
            <w:pPr>
              <w:pStyle w:val="ESTableBody"/>
              <w:jc w:val="right"/>
              <w:rPr>
                <w:color w:val="FF0000"/>
                <w:lang w:val="en-AU"/>
              </w:rPr>
            </w:pPr>
            <w:r w:rsidRPr="006E49EE">
              <w:rPr>
                <w:lang w:val="en-AU"/>
              </w:rPr>
              <w:t>13</w:t>
            </w:r>
          </w:p>
        </w:tc>
        <w:tc>
          <w:tcPr>
            <w:tcW w:w="682" w:type="pct"/>
            <w:shd w:val="clear" w:color="auto" w:fill="auto"/>
            <w:vAlign w:val="center"/>
          </w:tcPr>
          <w:p w14:paraId="7B56798C" w14:textId="77777777" w:rsidR="00A61FF5" w:rsidRPr="006E49EE" w:rsidRDefault="00A61FF5" w:rsidP="00D07480">
            <w:pPr>
              <w:pStyle w:val="ESTableBody"/>
              <w:jc w:val="right"/>
              <w:rPr>
                <w:lang w:val="en-AU"/>
              </w:rPr>
            </w:pPr>
            <w:r w:rsidRPr="006E49EE">
              <w:rPr>
                <w:lang w:val="en-AU"/>
              </w:rPr>
              <w:t>15</w:t>
            </w:r>
          </w:p>
        </w:tc>
      </w:tr>
      <w:tr w:rsidR="00A61FF5" w:rsidRPr="00932A90" w14:paraId="5473F8A5" w14:textId="77777777" w:rsidTr="00D07480">
        <w:trPr>
          <w:cantSplit/>
        </w:trPr>
        <w:tc>
          <w:tcPr>
            <w:tcW w:w="3537" w:type="pct"/>
            <w:shd w:val="clear" w:color="auto" w:fill="auto"/>
            <w:vAlign w:val="center"/>
          </w:tcPr>
          <w:p w14:paraId="7484E2C5" w14:textId="77777777" w:rsidR="00A61FF5" w:rsidRPr="006E49EE" w:rsidRDefault="00A61FF5" w:rsidP="00D07480">
            <w:pPr>
              <w:pStyle w:val="ESTableBody"/>
              <w:rPr>
                <w:lang w:val="en-AU"/>
              </w:rPr>
            </w:pPr>
            <w:r w:rsidRPr="006E49EE">
              <w:rPr>
                <w:lang w:val="en-AU"/>
              </w:rPr>
              <w:t>Percentage of 75–100% recycled content copy paper purchased (%)</w:t>
            </w:r>
          </w:p>
        </w:tc>
        <w:tc>
          <w:tcPr>
            <w:tcW w:w="781" w:type="pct"/>
            <w:shd w:val="clear" w:color="auto" w:fill="F2F2F2" w:themeFill="background1" w:themeFillShade="F2"/>
            <w:vAlign w:val="center"/>
          </w:tcPr>
          <w:p w14:paraId="28FC9282" w14:textId="77777777" w:rsidR="00A61FF5" w:rsidRPr="006E49EE" w:rsidRDefault="00A61FF5" w:rsidP="00D07480">
            <w:pPr>
              <w:pStyle w:val="ESTableBody"/>
              <w:jc w:val="right"/>
              <w:rPr>
                <w:lang w:val="en-AU"/>
              </w:rPr>
            </w:pPr>
            <w:r w:rsidRPr="006E49EE">
              <w:rPr>
                <w:lang w:val="en-AU"/>
              </w:rPr>
              <w:t>67</w:t>
            </w:r>
          </w:p>
        </w:tc>
        <w:tc>
          <w:tcPr>
            <w:tcW w:w="682" w:type="pct"/>
            <w:shd w:val="clear" w:color="auto" w:fill="auto"/>
            <w:vAlign w:val="center"/>
          </w:tcPr>
          <w:p w14:paraId="7C8D5147" w14:textId="77777777" w:rsidR="00A61FF5" w:rsidRPr="006E49EE" w:rsidRDefault="00A61FF5" w:rsidP="00D07480">
            <w:pPr>
              <w:pStyle w:val="ESTableBody"/>
              <w:jc w:val="right"/>
              <w:rPr>
                <w:lang w:val="en-AU"/>
              </w:rPr>
            </w:pPr>
            <w:r w:rsidRPr="006E49EE">
              <w:rPr>
                <w:lang w:val="en-AU"/>
              </w:rPr>
              <w:t>74</w:t>
            </w:r>
          </w:p>
        </w:tc>
      </w:tr>
      <w:tr w:rsidR="00A61FF5" w:rsidRPr="00932A90" w14:paraId="69B40B13" w14:textId="77777777" w:rsidTr="00D07480">
        <w:trPr>
          <w:cantSplit/>
        </w:trPr>
        <w:tc>
          <w:tcPr>
            <w:tcW w:w="3537" w:type="pct"/>
            <w:shd w:val="clear" w:color="auto" w:fill="auto"/>
            <w:vAlign w:val="center"/>
          </w:tcPr>
          <w:p w14:paraId="0016A27E" w14:textId="77777777" w:rsidR="00A61FF5" w:rsidRPr="006E49EE" w:rsidRDefault="00A61FF5" w:rsidP="00D07480">
            <w:pPr>
              <w:pStyle w:val="ESTableBody"/>
              <w:rPr>
                <w:lang w:val="en-AU"/>
              </w:rPr>
            </w:pPr>
            <w:r w:rsidRPr="006E49EE">
              <w:rPr>
                <w:lang w:val="en-AU"/>
              </w:rPr>
              <w:t>Percentage of 50–74% recycled content copy paper purchased (%)</w:t>
            </w:r>
          </w:p>
        </w:tc>
        <w:tc>
          <w:tcPr>
            <w:tcW w:w="781" w:type="pct"/>
            <w:shd w:val="clear" w:color="auto" w:fill="F2F2F2" w:themeFill="background1" w:themeFillShade="F2"/>
            <w:vAlign w:val="center"/>
          </w:tcPr>
          <w:p w14:paraId="7F64795C" w14:textId="77777777" w:rsidR="00A61FF5" w:rsidRPr="006E49EE" w:rsidRDefault="00A61FF5" w:rsidP="00D07480">
            <w:pPr>
              <w:pStyle w:val="ESTableBody"/>
              <w:jc w:val="right"/>
              <w:rPr>
                <w:lang w:val="en-AU"/>
              </w:rPr>
            </w:pPr>
            <w:r w:rsidRPr="006E49EE">
              <w:rPr>
                <w:lang w:val="en-AU"/>
              </w:rPr>
              <w:t>0</w:t>
            </w:r>
          </w:p>
        </w:tc>
        <w:tc>
          <w:tcPr>
            <w:tcW w:w="682" w:type="pct"/>
            <w:shd w:val="clear" w:color="auto" w:fill="auto"/>
            <w:vAlign w:val="center"/>
          </w:tcPr>
          <w:p w14:paraId="4C90CA77" w14:textId="77777777" w:rsidR="00A61FF5" w:rsidRPr="006E49EE" w:rsidRDefault="00A61FF5" w:rsidP="00D07480">
            <w:pPr>
              <w:pStyle w:val="ESTableBody"/>
              <w:jc w:val="right"/>
              <w:rPr>
                <w:lang w:val="en-AU"/>
              </w:rPr>
            </w:pPr>
            <w:r w:rsidRPr="006E49EE">
              <w:rPr>
                <w:lang w:val="en-AU"/>
              </w:rPr>
              <w:t>5</w:t>
            </w:r>
          </w:p>
        </w:tc>
      </w:tr>
      <w:tr w:rsidR="00A61FF5" w:rsidRPr="00932A90" w14:paraId="28312EE0" w14:textId="77777777" w:rsidTr="00D07480">
        <w:trPr>
          <w:cantSplit/>
        </w:trPr>
        <w:tc>
          <w:tcPr>
            <w:tcW w:w="3537" w:type="pct"/>
            <w:shd w:val="clear" w:color="auto" w:fill="auto"/>
            <w:vAlign w:val="center"/>
          </w:tcPr>
          <w:p w14:paraId="3B19BB8F" w14:textId="77777777" w:rsidR="00A61FF5" w:rsidRPr="006E49EE" w:rsidRDefault="00A61FF5" w:rsidP="00D07480">
            <w:pPr>
              <w:pStyle w:val="ESTableBody"/>
              <w:rPr>
                <w:lang w:val="en-AU"/>
              </w:rPr>
            </w:pPr>
            <w:r w:rsidRPr="006E49EE">
              <w:rPr>
                <w:lang w:val="en-AU"/>
              </w:rPr>
              <w:t>Percentage of 0–49% recycled content copy paper purchased (%)</w:t>
            </w:r>
          </w:p>
        </w:tc>
        <w:tc>
          <w:tcPr>
            <w:tcW w:w="781" w:type="pct"/>
            <w:shd w:val="clear" w:color="auto" w:fill="F2F2F2" w:themeFill="background1" w:themeFillShade="F2"/>
            <w:vAlign w:val="center"/>
          </w:tcPr>
          <w:p w14:paraId="653D26C0" w14:textId="77777777" w:rsidR="00A61FF5" w:rsidRPr="006E49EE" w:rsidRDefault="00A61FF5" w:rsidP="00D07480">
            <w:pPr>
              <w:pStyle w:val="ESTableBody"/>
              <w:jc w:val="right"/>
              <w:rPr>
                <w:lang w:val="en-AU"/>
              </w:rPr>
            </w:pPr>
            <w:r w:rsidRPr="006E49EE">
              <w:rPr>
                <w:lang w:val="en-AU"/>
              </w:rPr>
              <w:t>33</w:t>
            </w:r>
          </w:p>
        </w:tc>
        <w:tc>
          <w:tcPr>
            <w:tcW w:w="682" w:type="pct"/>
            <w:shd w:val="clear" w:color="auto" w:fill="auto"/>
            <w:vAlign w:val="center"/>
          </w:tcPr>
          <w:p w14:paraId="760490BA" w14:textId="77777777" w:rsidR="00A61FF5" w:rsidRPr="006E49EE" w:rsidRDefault="00A61FF5" w:rsidP="00D07480">
            <w:pPr>
              <w:pStyle w:val="ESTableBody"/>
              <w:jc w:val="right"/>
              <w:rPr>
                <w:lang w:val="en-AU"/>
              </w:rPr>
            </w:pPr>
            <w:r w:rsidRPr="006E49EE">
              <w:rPr>
                <w:lang w:val="en-AU"/>
              </w:rPr>
              <w:t>21</w:t>
            </w:r>
          </w:p>
        </w:tc>
      </w:tr>
      <w:tr w:rsidR="00A61FF5" w:rsidRPr="00932A90" w14:paraId="5A37481D" w14:textId="77777777" w:rsidTr="00D07480">
        <w:trPr>
          <w:cantSplit/>
        </w:trPr>
        <w:tc>
          <w:tcPr>
            <w:tcW w:w="3537" w:type="pct"/>
            <w:tcBorders>
              <w:bottom w:val="single" w:sz="6" w:space="0" w:color="auto"/>
            </w:tcBorders>
            <w:shd w:val="clear" w:color="auto" w:fill="auto"/>
            <w:vAlign w:val="center"/>
          </w:tcPr>
          <w:p w14:paraId="01E0123C" w14:textId="77777777" w:rsidR="00A61FF5" w:rsidRPr="006E49EE" w:rsidRDefault="00A61FF5" w:rsidP="00D07480">
            <w:pPr>
              <w:pStyle w:val="ESTableBody"/>
              <w:rPr>
                <w:lang w:val="en-AU"/>
              </w:rPr>
            </w:pPr>
            <w:r w:rsidRPr="006E49EE">
              <w:rPr>
                <w:lang w:val="en-AU"/>
              </w:rPr>
              <w:t xml:space="preserve">Total units of A4-equivalent paper used in publications (reams) </w:t>
            </w:r>
          </w:p>
        </w:tc>
        <w:tc>
          <w:tcPr>
            <w:tcW w:w="781" w:type="pct"/>
            <w:tcBorders>
              <w:bottom w:val="single" w:sz="6" w:space="0" w:color="auto"/>
            </w:tcBorders>
            <w:shd w:val="clear" w:color="auto" w:fill="F2F2F2" w:themeFill="background1" w:themeFillShade="F2"/>
            <w:vAlign w:val="center"/>
          </w:tcPr>
          <w:p w14:paraId="0C282685" w14:textId="77777777" w:rsidR="00A61FF5" w:rsidRPr="006E49EE" w:rsidRDefault="00A61FF5" w:rsidP="00D07480">
            <w:pPr>
              <w:pStyle w:val="ESTableBody"/>
              <w:jc w:val="right"/>
              <w:rPr>
                <w:color w:val="FF0000"/>
                <w:lang w:val="en-AU"/>
              </w:rPr>
            </w:pPr>
            <w:r w:rsidRPr="006E49EE">
              <w:rPr>
                <w:lang w:val="en-AU"/>
              </w:rPr>
              <w:t>48,872</w:t>
            </w:r>
          </w:p>
        </w:tc>
        <w:tc>
          <w:tcPr>
            <w:tcW w:w="682" w:type="pct"/>
            <w:tcBorders>
              <w:bottom w:val="single" w:sz="6" w:space="0" w:color="auto"/>
            </w:tcBorders>
            <w:shd w:val="clear" w:color="auto" w:fill="auto"/>
            <w:vAlign w:val="center"/>
          </w:tcPr>
          <w:p w14:paraId="7B5A81ED" w14:textId="77777777" w:rsidR="00A61FF5" w:rsidRPr="006E49EE" w:rsidRDefault="00A61FF5" w:rsidP="00D07480">
            <w:pPr>
              <w:pStyle w:val="ESTableBody"/>
              <w:jc w:val="right"/>
              <w:rPr>
                <w:lang w:val="en-AU"/>
              </w:rPr>
            </w:pPr>
            <w:r w:rsidRPr="006E49EE">
              <w:rPr>
                <w:lang w:val="en-AU"/>
              </w:rPr>
              <w:t>30,012</w:t>
            </w:r>
          </w:p>
        </w:tc>
      </w:tr>
    </w:tbl>
    <w:p w14:paraId="5D66CEC0" w14:textId="77777777" w:rsidR="00A61FF5" w:rsidRPr="006E49EE" w:rsidRDefault="00A61FF5" w:rsidP="007F172B">
      <w:pPr>
        <w:pStyle w:val="ESHeading4"/>
        <w:rPr>
          <w:lang w:val="en-AU"/>
        </w:rPr>
      </w:pPr>
      <w:r w:rsidRPr="006E49EE">
        <w:rPr>
          <w:lang w:val="en-AU"/>
        </w:rPr>
        <w:t>Target</w:t>
      </w:r>
    </w:p>
    <w:p w14:paraId="3040D06E" w14:textId="77777777" w:rsidR="00A9593E" w:rsidRPr="006E49EE" w:rsidRDefault="00A61FF5" w:rsidP="00A61FF5">
      <w:pPr>
        <w:pStyle w:val="ESBodyText"/>
        <w:rPr>
          <w:lang w:val="en-AU"/>
        </w:rPr>
      </w:pPr>
      <w:r w:rsidRPr="006E49EE">
        <w:rPr>
          <w:lang w:val="en-AU"/>
        </w:rPr>
        <w:t>Reduce copy paper consumption to 12 A4 reams per FTE by 31 March 2017.</w:t>
      </w:r>
    </w:p>
    <w:p w14:paraId="15F1A4C9" w14:textId="1180EA25" w:rsidR="00A61FF5" w:rsidRPr="006E49EE" w:rsidRDefault="00A61FF5" w:rsidP="00A61FF5">
      <w:pPr>
        <w:pStyle w:val="ESBodyText"/>
        <w:rPr>
          <w:lang w:val="en-AU"/>
        </w:rPr>
      </w:pPr>
      <w:r w:rsidRPr="006E49EE">
        <w:rPr>
          <w:lang w:val="en-AU"/>
        </w:rPr>
        <w:t xml:space="preserve">Increase the amount of copy paper purchased with 75–100 per cent recycled content to </w:t>
      </w:r>
      <w:r w:rsidR="00BE48F9">
        <w:rPr>
          <w:lang w:val="en-AU"/>
        </w:rPr>
        <w:t xml:space="preserve">a </w:t>
      </w:r>
      <w:r w:rsidRPr="006E49EE">
        <w:rPr>
          <w:lang w:val="en-AU"/>
        </w:rPr>
        <w:t>minimum of 75 per cent by 31 March 2017.</w:t>
      </w:r>
    </w:p>
    <w:p w14:paraId="724B82F7" w14:textId="77777777" w:rsidR="00A61FF5" w:rsidRPr="006E49EE" w:rsidRDefault="00A61FF5" w:rsidP="007F172B">
      <w:pPr>
        <w:pStyle w:val="ESHeading4"/>
        <w:rPr>
          <w:lang w:val="en-AU"/>
        </w:rPr>
      </w:pPr>
      <w:r w:rsidRPr="006E49EE">
        <w:rPr>
          <w:lang w:val="en-AU"/>
        </w:rPr>
        <w:t>Assessment against target</w:t>
      </w:r>
    </w:p>
    <w:p w14:paraId="55EC36AA" w14:textId="53800D33" w:rsidR="00A61FF5" w:rsidRPr="006E49EE" w:rsidRDefault="00A61FF5" w:rsidP="00A61FF5">
      <w:pPr>
        <w:pStyle w:val="ESBodyText"/>
        <w:rPr>
          <w:lang w:val="en-AU"/>
        </w:rPr>
      </w:pPr>
      <w:r w:rsidRPr="006E49EE">
        <w:rPr>
          <w:lang w:val="en-AU"/>
        </w:rPr>
        <w:t>Paper consumption in 2016–17 saw a 6 per cent increase on 2015</w:t>
      </w:r>
      <w:r w:rsidR="008C1498" w:rsidRPr="002C0527">
        <w:rPr>
          <w:lang w:val="en-AU"/>
        </w:rPr>
        <w:t>–</w:t>
      </w:r>
      <w:r w:rsidRPr="006E49EE">
        <w:rPr>
          <w:lang w:val="en-AU"/>
        </w:rPr>
        <w:t>16 levels, the highest it has been since 2012–13. However, the consumption increase is less than the past year’s staff growth, evidenced by a fall in copy paper used per</w:t>
      </w:r>
      <w:r w:rsidR="00BE48F9">
        <w:rPr>
          <w:lang w:val="en-AU"/>
        </w:rPr>
        <w:t xml:space="preserve"> </w:t>
      </w:r>
      <w:r w:rsidRPr="006E49EE">
        <w:rPr>
          <w:lang w:val="en-AU"/>
        </w:rPr>
        <w:t xml:space="preserve">FTE. It was down to 13 reams per FTE </w:t>
      </w:r>
      <w:r w:rsidR="00932A90" w:rsidRPr="00932A90">
        <w:rPr>
          <w:lang w:val="en-AU"/>
        </w:rPr>
        <w:t>equalling</w:t>
      </w:r>
      <w:r w:rsidRPr="006E49EE">
        <w:rPr>
          <w:lang w:val="en-AU"/>
        </w:rPr>
        <w:t xml:space="preserve"> the lowest result recorded in 2012–13.</w:t>
      </w:r>
    </w:p>
    <w:p w14:paraId="3B43C263" w14:textId="0F1551C1" w:rsidR="00A9593E" w:rsidRPr="006E49EE" w:rsidRDefault="00A61FF5" w:rsidP="00A61FF5">
      <w:pPr>
        <w:pStyle w:val="ESBodyText"/>
        <w:rPr>
          <w:lang w:val="en-AU"/>
        </w:rPr>
      </w:pPr>
      <w:r w:rsidRPr="006E49EE">
        <w:rPr>
          <w:lang w:val="en-AU"/>
        </w:rPr>
        <w:t xml:space="preserve">The proportion of paper with the highest recycled content fell by seven percentage </w:t>
      </w:r>
      <w:r w:rsidR="00BE48F9">
        <w:rPr>
          <w:lang w:val="en-AU"/>
        </w:rPr>
        <w:t>points</w:t>
      </w:r>
      <w:r w:rsidRPr="006E49EE">
        <w:rPr>
          <w:lang w:val="en-AU"/>
        </w:rPr>
        <w:t>, down from 74 per cent in 2015–16 to 67 per cent. There was a corresponding increase in copy paper with lower amounts of recycled content.</w:t>
      </w:r>
    </w:p>
    <w:p w14:paraId="4DB340DF" w14:textId="4188E19B" w:rsidR="00A61FF5" w:rsidRPr="006E49EE" w:rsidRDefault="00A61FF5" w:rsidP="00A61FF5">
      <w:pPr>
        <w:pStyle w:val="ESBodyText"/>
        <w:rPr>
          <w:lang w:val="en-AU"/>
        </w:rPr>
      </w:pPr>
      <w:r w:rsidRPr="006E49EE">
        <w:rPr>
          <w:lang w:val="en-AU"/>
        </w:rPr>
        <w:t>An increase in printed publications resulted in a 63 per cent rise in the total units of A4 equivalent paper used since 2015–16.</w:t>
      </w:r>
    </w:p>
    <w:p w14:paraId="101AE9AF" w14:textId="77777777" w:rsidR="00A20AE6" w:rsidRPr="006E49EE" w:rsidRDefault="00A20AE6">
      <w:pPr>
        <w:rPr>
          <w:rFonts w:ascii="Arial" w:eastAsiaTheme="minorEastAsia" w:hAnsi="Arial" w:cs="Arial"/>
          <w:color w:val="000000" w:themeColor="text1"/>
          <w:sz w:val="22"/>
          <w:szCs w:val="18"/>
          <w:lang w:val="en-AU"/>
        </w:rPr>
      </w:pPr>
      <w:r w:rsidRPr="006E49EE">
        <w:rPr>
          <w:lang w:val="en-AU"/>
        </w:rPr>
        <w:br w:type="page"/>
      </w:r>
    </w:p>
    <w:p w14:paraId="70CC9961" w14:textId="38BEF071" w:rsidR="00A61FF5" w:rsidRPr="006E49EE" w:rsidRDefault="00A61FF5" w:rsidP="00A61FF5">
      <w:pPr>
        <w:pStyle w:val="ESHeading3"/>
        <w:rPr>
          <w:lang w:val="en-AU"/>
        </w:rPr>
      </w:pPr>
      <w:r w:rsidRPr="006E49EE">
        <w:rPr>
          <w:lang w:val="en-AU"/>
        </w:rPr>
        <w:t>Water</w:t>
      </w:r>
    </w:p>
    <w:p w14:paraId="74250D6E" w14:textId="77777777" w:rsidR="00A61FF5" w:rsidRPr="006E49EE" w:rsidRDefault="00A61FF5" w:rsidP="00A61FF5">
      <w:pPr>
        <w:pStyle w:val="ESBodyText"/>
        <w:rPr>
          <w:highlight w:val="yellow"/>
          <w:lang w:val="en-AU"/>
        </w:rPr>
      </w:pPr>
      <w:r w:rsidRPr="006E49EE">
        <w:rPr>
          <w:lang w:val="en-AU"/>
        </w:rPr>
        <w:t>The data in the table below is based on water meter readings at 80 per cent of office sites covering 88 per cent of FTEs.</w:t>
      </w:r>
    </w:p>
    <w:p w14:paraId="4C812414" w14:textId="2CFB1562"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29</w:t>
      </w:r>
      <w:r w:rsidR="00D93BA2" w:rsidRPr="006E49EE">
        <w:rPr>
          <w:lang w:val="en-AU"/>
        </w:rPr>
        <w:fldChar w:fldCharType="end"/>
      </w:r>
      <w:r w:rsidRPr="006E49EE">
        <w:rPr>
          <w:lang w:val="en-AU"/>
        </w:rPr>
        <w:t xml:space="preserve"> – Water consumption</w:t>
      </w:r>
    </w:p>
    <w:tbl>
      <w:tblPr>
        <w:tblW w:w="5000" w:type="pct"/>
        <w:tblInd w:w="108" w:type="dxa"/>
        <w:tblLook w:val="04A0" w:firstRow="1" w:lastRow="0" w:firstColumn="1" w:lastColumn="0" w:noHBand="0" w:noVBand="1"/>
      </w:tblPr>
      <w:tblGrid>
        <w:gridCol w:w="5421"/>
        <w:gridCol w:w="993"/>
        <w:gridCol w:w="950"/>
      </w:tblGrid>
      <w:tr w:rsidR="00A61FF5" w:rsidRPr="00932A90" w14:paraId="58811C0F" w14:textId="77777777" w:rsidTr="00D07480">
        <w:trPr>
          <w:cantSplit/>
        </w:trPr>
        <w:tc>
          <w:tcPr>
            <w:tcW w:w="3681" w:type="pct"/>
            <w:shd w:val="clear" w:color="auto" w:fill="7F7F7F" w:themeFill="text1" w:themeFillTint="80"/>
            <w:vAlign w:val="center"/>
          </w:tcPr>
          <w:p w14:paraId="1151FB7E" w14:textId="77777777" w:rsidR="00A61FF5" w:rsidRPr="00932A90" w:rsidRDefault="00A61FF5" w:rsidP="00D07480">
            <w:pPr>
              <w:pStyle w:val="DETTablecolumnheading"/>
              <w:jc w:val="left"/>
            </w:pPr>
            <w:r w:rsidRPr="00932A90">
              <w:t>Indicator</w:t>
            </w:r>
          </w:p>
        </w:tc>
        <w:tc>
          <w:tcPr>
            <w:tcW w:w="674" w:type="pct"/>
            <w:shd w:val="clear" w:color="auto" w:fill="7F7F7F" w:themeFill="text1" w:themeFillTint="80"/>
          </w:tcPr>
          <w:p w14:paraId="1129DDA7" w14:textId="77777777" w:rsidR="00A61FF5" w:rsidRPr="00932A90" w:rsidRDefault="00A61FF5" w:rsidP="001B0E3D">
            <w:pPr>
              <w:pStyle w:val="DETTablecolumnheading"/>
              <w:jc w:val="right"/>
            </w:pPr>
            <w:r w:rsidRPr="00932A90">
              <w:t>2016–17</w:t>
            </w:r>
          </w:p>
        </w:tc>
        <w:tc>
          <w:tcPr>
            <w:tcW w:w="646" w:type="pct"/>
            <w:shd w:val="clear" w:color="auto" w:fill="7F7F7F" w:themeFill="text1" w:themeFillTint="80"/>
            <w:vAlign w:val="center"/>
          </w:tcPr>
          <w:p w14:paraId="0E291115" w14:textId="77777777" w:rsidR="00A61FF5" w:rsidRPr="00932A90" w:rsidRDefault="00A61FF5" w:rsidP="001B0E3D">
            <w:pPr>
              <w:pStyle w:val="DETTablecolumnheading"/>
              <w:jc w:val="right"/>
            </w:pPr>
            <w:r w:rsidRPr="00932A90">
              <w:t>2015–16</w:t>
            </w:r>
          </w:p>
        </w:tc>
      </w:tr>
      <w:tr w:rsidR="00A61FF5" w:rsidRPr="00932A90" w14:paraId="3A1B6699" w14:textId="77777777" w:rsidTr="00D07480">
        <w:trPr>
          <w:cantSplit/>
        </w:trPr>
        <w:tc>
          <w:tcPr>
            <w:tcW w:w="3681" w:type="pct"/>
            <w:shd w:val="clear" w:color="auto" w:fill="auto"/>
            <w:vAlign w:val="center"/>
          </w:tcPr>
          <w:p w14:paraId="6C1E4596" w14:textId="77777777" w:rsidR="00A61FF5" w:rsidRPr="006E49EE" w:rsidRDefault="00A61FF5" w:rsidP="00D07480">
            <w:pPr>
              <w:pStyle w:val="ESTableBody"/>
              <w:rPr>
                <w:lang w:val="en-AU"/>
              </w:rPr>
            </w:pPr>
            <w:r w:rsidRPr="006E49EE">
              <w:rPr>
                <w:lang w:val="en-AU"/>
              </w:rPr>
              <w:t>Total units of metered water consumed by usage types (kL)</w:t>
            </w:r>
          </w:p>
        </w:tc>
        <w:tc>
          <w:tcPr>
            <w:tcW w:w="674" w:type="pct"/>
            <w:shd w:val="clear" w:color="auto" w:fill="F2F2F2" w:themeFill="background1" w:themeFillShade="F2"/>
          </w:tcPr>
          <w:p w14:paraId="60607909" w14:textId="77777777" w:rsidR="00A61FF5" w:rsidRPr="006E49EE" w:rsidRDefault="00A61FF5" w:rsidP="00D07480">
            <w:pPr>
              <w:pStyle w:val="ESTableBody"/>
              <w:jc w:val="right"/>
              <w:rPr>
                <w:lang w:val="en-AU"/>
              </w:rPr>
            </w:pPr>
            <w:r w:rsidRPr="006E49EE">
              <w:rPr>
                <w:lang w:val="en-AU"/>
              </w:rPr>
              <w:t>18,556</w:t>
            </w:r>
          </w:p>
        </w:tc>
        <w:tc>
          <w:tcPr>
            <w:tcW w:w="646" w:type="pct"/>
            <w:shd w:val="clear" w:color="auto" w:fill="auto"/>
          </w:tcPr>
          <w:p w14:paraId="70103DAF" w14:textId="77777777" w:rsidR="00A61FF5" w:rsidRPr="006E49EE" w:rsidRDefault="00A61FF5" w:rsidP="00D07480">
            <w:pPr>
              <w:pStyle w:val="ESTableBody"/>
              <w:jc w:val="right"/>
              <w:rPr>
                <w:lang w:val="en-AU"/>
              </w:rPr>
            </w:pPr>
            <w:r w:rsidRPr="006E49EE">
              <w:rPr>
                <w:lang w:val="en-AU"/>
              </w:rPr>
              <w:t>18,013</w:t>
            </w:r>
          </w:p>
        </w:tc>
      </w:tr>
      <w:tr w:rsidR="00A61FF5" w:rsidRPr="00932A90" w14:paraId="52718C63" w14:textId="77777777" w:rsidTr="00D07480">
        <w:trPr>
          <w:cantSplit/>
        </w:trPr>
        <w:tc>
          <w:tcPr>
            <w:tcW w:w="3681" w:type="pct"/>
            <w:shd w:val="clear" w:color="auto" w:fill="auto"/>
            <w:vAlign w:val="center"/>
          </w:tcPr>
          <w:p w14:paraId="483BD785" w14:textId="77777777" w:rsidR="00A61FF5" w:rsidRPr="006E49EE" w:rsidRDefault="00A61FF5" w:rsidP="00D07480">
            <w:pPr>
              <w:pStyle w:val="ESTableBody"/>
              <w:rPr>
                <w:lang w:val="en-AU"/>
              </w:rPr>
            </w:pPr>
            <w:r w:rsidRPr="006E49EE">
              <w:rPr>
                <w:lang w:val="en-AU"/>
              </w:rPr>
              <w:t>Units of metered water consumed in offices per FTE (kL/FTE)</w:t>
            </w:r>
          </w:p>
        </w:tc>
        <w:tc>
          <w:tcPr>
            <w:tcW w:w="674" w:type="pct"/>
            <w:shd w:val="clear" w:color="auto" w:fill="F2F2F2" w:themeFill="background1" w:themeFillShade="F2"/>
          </w:tcPr>
          <w:p w14:paraId="3AC7DE49" w14:textId="77777777" w:rsidR="00A61FF5" w:rsidRPr="006E49EE" w:rsidRDefault="00A61FF5" w:rsidP="00D07480">
            <w:pPr>
              <w:pStyle w:val="ESTableBody"/>
              <w:jc w:val="right"/>
              <w:rPr>
                <w:lang w:val="en-AU"/>
              </w:rPr>
            </w:pPr>
            <w:r w:rsidRPr="006E49EE">
              <w:rPr>
                <w:lang w:val="en-AU"/>
              </w:rPr>
              <w:t>7.74</w:t>
            </w:r>
          </w:p>
        </w:tc>
        <w:tc>
          <w:tcPr>
            <w:tcW w:w="646" w:type="pct"/>
            <w:shd w:val="clear" w:color="auto" w:fill="auto"/>
          </w:tcPr>
          <w:p w14:paraId="20A76F9D" w14:textId="77777777" w:rsidR="00A61FF5" w:rsidRPr="006E49EE" w:rsidRDefault="00A61FF5" w:rsidP="00D07480">
            <w:pPr>
              <w:pStyle w:val="ESTableBody"/>
              <w:jc w:val="right"/>
              <w:rPr>
                <w:lang w:val="en-AU"/>
              </w:rPr>
            </w:pPr>
            <w:r w:rsidRPr="006E49EE">
              <w:rPr>
                <w:lang w:val="en-AU"/>
              </w:rPr>
              <w:t>9.69</w:t>
            </w:r>
          </w:p>
        </w:tc>
      </w:tr>
      <w:tr w:rsidR="00A61FF5" w:rsidRPr="00932A90" w14:paraId="756BED1C" w14:textId="77777777" w:rsidTr="00D07480">
        <w:trPr>
          <w:cantSplit/>
        </w:trPr>
        <w:tc>
          <w:tcPr>
            <w:tcW w:w="3681" w:type="pct"/>
            <w:tcBorders>
              <w:bottom w:val="single" w:sz="6" w:space="0" w:color="auto"/>
            </w:tcBorders>
            <w:shd w:val="clear" w:color="auto" w:fill="auto"/>
            <w:vAlign w:val="center"/>
          </w:tcPr>
          <w:p w14:paraId="69238E33" w14:textId="77777777" w:rsidR="00A61FF5" w:rsidRPr="006E49EE" w:rsidRDefault="00A61FF5" w:rsidP="00D07480">
            <w:pPr>
              <w:pStyle w:val="ESTableBody"/>
              <w:rPr>
                <w:lang w:val="en-AU"/>
              </w:rPr>
            </w:pPr>
            <w:r w:rsidRPr="006E49EE">
              <w:rPr>
                <w:lang w:val="en-AU"/>
              </w:rPr>
              <w:t>Units of metered water consumed in offices per unit of office area (kL/m2)</w:t>
            </w:r>
          </w:p>
        </w:tc>
        <w:tc>
          <w:tcPr>
            <w:tcW w:w="674" w:type="pct"/>
            <w:tcBorders>
              <w:bottom w:val="single" w:sz="6" w:space="0" w:color="auto"/>
            </w:tcBorders>
            <w:shd w:val="clear" w:color="auto" w:fill="F2F2F2" w:themeFill="background1" w:themeFillShade="F2"/>
          </w:tcPr>
          <w:p w14:paraId="14132B5F" w14:textId="77777777" w:rsidR="00A61FF5" w:rsidRPr="006E49EE" w:rsidRDefault="00A61FF5" w:rsidP="00D07480">
            <w:pPr>
              <w:pStyle w:val="ESTableBody"/>
              <w:jc w:val="right"/>
              <w:rPr>
                <w:lang w:val="en-AU"/>
              </w:rPr>
            </w:pPr>
            <w:r w:rsidRPr="006E49EE">
              <w:rPr>
                <w:lang w:val="en-AU"/>
              </w:rPr>
              <w:t>0.53</w:t>
            </w:r>
          </w:p>
        </w:tc>
        <w:tc>
          <w:tcPr>
            <w:tcW w:w="646" w:type="pct"/>
            <w:tcBorders>
              <w:bottom w:val="single" w:sz="6" w:space="0" w:color="auto"/>
            </w:tcBorders>
            <w:shd w:val="clear" w:color="auto" w:fill="auto"/>
          </w:tcPr>
          <w:p w14:paraId="3E73A41E" w14:textId="77777777" w:rsidR="00A61FF5" w:rsidRPr="006E49EE" w:rsidRDefault="00A61FF5" w:rsidP="00D07480">
            <w:pPr>
              <w:pStyle w:val="ESTableBody"/>
              <w:jc w:val="right"/>
              <w:rPr>
                <w:lang w:val="en-AU"/>
              </w:rPr>
            </w:pPr>
            <w:r w:rsidRPr="006E49EE">
              <w:rPr>
                <w:lang w:val="en-AU"/>
              </w:rPr>
              <w:t>0.55</w:t>
            </w:r>
          </w:p>
        </w:tc>
      </w:tr>
    </w:tbl>
    <w:p w14:paraId="2EBC07CC" w14:textId="77777777" w:rsidR="00A61FF5" w:rsidRPr="006E49EE" w:rsidRDefault="00A61FF5" w:rsidP="00C755D0">
      <w:pPr>
        <w:pStyle w:val="StyleESBodyTextBoldAfter0pt1"/>
        <w:spacing w:before="240"/>
        <w:rPr>
          <w:lang w:val="en-AU"/>
        </w:rPr>
      </w:pPr>
      <w:r w:rsidRPr="006E49EE">
        <w:rPr>
          <w:lang w:val="en-AU"/>
        </w:rPr>
        <w:t>Target</w:t>
      </w:r>
    </w:p>
    <w:p w14:paraId="7E83F42C" w14:textId="77777777" w:rsidR="00A61FF5" w:rsidRPr="006E49EE" w:rsidRDefault="00A61FF5" w:rsidP="00A61FF5">
      <w:pPr>
        <w:pStyle w:val="ESBodyText"/>
        <w:rPr>
          <w:lang w:val="en-AU"/>
        </w:rPr>
      </w:pPr>
      <w:r w:rsidRPr="006E49EE">
        <w:rPr>
          <w:lang w:val="en-AU"/>
        </w:rPr>
        <w:t>Reduce water consumed per FTE by 15 per cent of 2013–14 levels by 31 March 2024, averaging an incremental 1.5 per cent reduction each year for 10 years.</w:t>
      </w:r>
    </w:p>
    <w:p w14:paraId="273B3EBC" w14:textId="77777777" w:rsidR="00A61FF5" w:rsidRPr="006E49EE" w:rsidRDefault="00A61FF5" w:rsidP="009A0DF2">
      <w:pPr>
        <w:pStyle w:val="ESHeading4"/>
        <w:rPr>
          <w:lang w:val="en-AU"/>
        </w:rPr>
      </w:pPr>
      <w:r w:rsidRPr="006E49EE">
        <w:rPr>
          <w:lang w:val="en-AU"/>
        </w:rPr>
        <w:t>Assessment against target</w:t>
      </w:r>
    </w:p>
    <w:p w14:paraId="26E28ACA" w14:textId="77777777" w:rsidR="00A61FF5" w:rsidRPr="006E49EE" w:rsidRDefault="00A61FF5" w:rsidP="00A61FF5">
      <w:pPr>
        <w:pStyle w:val="ESBodyText"/>
        <w:rPr>
          <w:lang w:val="en-AU"/>
        </w:rPr>
      </w:pPr>
      <w:r w:rsidRPr="006E49EE">
        <w:rPr>
          <w:lang w:val="en-AU"/>
        </w:rPr>
        <w:t>Compared to the target’s 2013–14 baseline year, the Department has achieved a more than 25 per cent decrease in water consumption per FTE. Over the period, total water consumption increased slightly, but total FTEs grew significantly, resulting in a lower water consumption per FTE.</w:t>
      </w:r>
    </w:p>
    <w:p w14:paraId="5BF32EB7" w14:textId="77777777" w:rsidR="00A61FF5" w:rsidRPr="006E49EE" w:rsidRDefault="00A61FF5" w:rsidP="009A0DF2">
      <w:pPr>
        <w:pStyle w:val="ESHeading4"/>
        <w:rPr>
          <w:sz w:val="17"/>
          <w:lang w:val="en-AU"/>
        </w:rPr>
      </w:pPr>
      <w:r w:rsidRPr="006E49EE">
        <w:rPr>
          <w:lang w:val="en-AU"/>
        </w:rPr>
        <w:t>Explanatory notes</w:t>
      </w:r>
    </w:p>
    <w:p w14:paraId="1B53F953" w14:textId="77777777" w:rsidR="00A61FF5" w:rsidRPr="006E49EE" w:rsidRDefault="00A61FF5" w:rsidP="00A61FF5">
      <w:pPr>
        <w:pStyle w:val="ESBodyText"/>
        <w:rPr>
          <w:lang w:val="en-AU"/>
        </w:rPr>
      </w:pPr>
      <w:r w:rsidRPr="006E49EE">
        <w:rPr>
          <w:lang w:val="en-AU"/>
        </w:rPr>
        <w:t>All central and some regional offices share a water meter with other non-Departmental buildings. The data presented is therefore based on a percentage of the buildings’ net leased area held by the Department. Water consumption data for some regional offices is unavailable due to the offices being shared facilities.</w:t>
      </w:r>
    </w:p>
    <w:p w14:paraId="7F90ACA1" w14:textId="77777777" w:rsidR="00A61FF5" w:rsidRPr="006E49EE" w:rsidRDefault="00A61FF5" w:rsidP="00A61FF5">
      <w:pPr>
        <w:pStyle w:val="ESHeading3"/>
        <w:rPr>
          <w:lang w:val="en-AU"/>
        </w:rPr>
      </w:pPr>
      <w:r w:rsidRPr="006E49EE">
        <w:rPr>
          <w:lang w:val="en-AU"/>
        </w:rPr>
        <w:t>Transport</w:t>
      </w:r>
    </w:p>
    <w:p w14:paraId="6C3BA7A1" w14:textId="77777777" w:rsidR="00A61FF5" w:rsidRPr="006E49EE" w:rsidRDefault="00A61FF5" w:rsidP="00A61FF5">
      <w:pPr>
        <w:pStyle w:val="ESBodyText"/>
        <w:rPr>
          <w:lang w:val="en-AU"/>
        </w:rPr>
      </w:pPr>
      <w:r w:rsidRPr="006E49EE">
        <w:rPr>
          <w:lang w:val="en-AU"/>
        </w:rPr>
        <w:t>The Department-owned operational fleet comprises 272 vehicles. Of these, 34 per cent are hybrid electric vehicles, one per cent are LPG-fuelled, 63 per cent are petrol-fuelled, and two per cent are diesel-fuelled.</w:t>
      </w:r>
    </w:p>
    <w:p w14:paraId="479AB12A" w14:textId="7A20F310" w:rsidR="00A61FF5" w:rsidRPr="006E49EE" w:rsidRDefault="00A61FF5" w:rsidP="00A61FF5">
      <w:pPr>
        <w:pStyle w:val="ESBodyText"/>
        <w:rPr>
          <w:highlight w:val="yellow"/>
          <w:lang w:val="en-AU"/>
        </w:rPr>
        <w:sectPr w:rsidR="00A61FF5" w:rsidRPr="006E49EE" w:rsidSect="00B311D8">
          <w:pgSz w:w="11900" w:h="16840"/>
          <w:pgMar w:top="1440" w:right="1701" w:bottom="1440" w:left="2835" w:header="708" w:footer="708" w:gutter="0"/>
          <w:cols w:space="708"/>
          <w:docGrid w:linePitch="360"/>
        </w:sectPr>
      </w:pPr>
      <w:r w:rsidRPr="006E49EE">
        <w:rPr>
          <w:lang w:val="en-AU"/>
        </w:rPr>
        <w:t>The data in table</w:t>
      </w:r>
      <w:r w:rsidR="00BE48F9">
        <w:rPr>
          <w:lang w:val="en-AU"/>
        </w:rPr>
        <w:t xml:space="preserve"> 30</w:t>
      </w:r>
      <w:r w:rsidRPr="006E49EE">
        <w:rPr>
          <w:lang w:val="en-AU"/>
        </w:rPr>
        <w:t xml:space="preserve"> measures the kilometres, energy consumption and associated emissions for work-related travel by corporate employees, segmented by transport type, excluding public transport. This excludes executive vehicles.</w:t>
      </w:r>
      <w:r w:rsidRPr="006E49EE">
        <w:rPr>
          <w:highlight w:val="yellow"/>
          <w:lang w:val="en-AU"/>
        </w:rPr>
        <w:t xml:space="preserve"> </w:t>
      </w:r>
    </w:p>
    <w:p w14:paraId="148B84D5" w14:textId="602B1B7F"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30</w:t>
      </w:r>
      <w:r w:rsidR="00D93BA2" w:rsidRPr="006E49EE">
        <w:rPr>
          <w:lang w:val="en-AU"/>
        </w:rPr>
        <w:fldChar w:fldCharType="end"/>
      </w:r>
      <w:r w:rsidRPr="006E49EE">
        <w:rPr>
          <w:lang w:val="en-AU"/>
        </w:rPr>
        <w:t xml:space="preserve"> – Energy consumption of operational vehicles</w:t>
      </w:r>
    </w:p>
    <w:tbl>
      <w:tblPr>
        <w:tblW w:w="13608" w:type="dxa"/>
        <w:tblBorders>
          <w:bottom w:val="single" w:sz="4" w:space="0" w:color="auto"/>
        </w:tblBorders>
        <w:tblLook w:val="04A0" w:firstRow="1" w:lastRow="0" w:firstColumn="1" w:lastColumn="0" w:noHBand="0" w:noVBand="1"/>
      </w:tblPr>
      <w:tblGrid>
        <w:gridCol w:w="5812"/>
        <w:gridCol w:w="992"/>
        <w:gridCol w:w="993"/>
        <w:gridCol w:w="992"/>
        <w:gridCol w:w="992"/>
        <w:gridCol w:w="992"/>
        <w:gridCol w:w="993"/>
        <w:gridCol w:w="992"/>
        <w:gridCol w:w="850"/>
      </w:tblGrid>
      <w:tr w:rsidR="00A61FF5" w:rsidRPr="00932A90" w14:paraId="21C6D65C" w14:textId="77777777" w:rsidTr="00D07480">
        <w:tc>
          <w:tcPr>
            <w:tcW w:w="5812" w:type="dxa"/>
            <w:tcBorders>
              <w:top w:val="nil"/>
              <w:left w:val="nil"/>
              <w:bottom w:val="nil"/>
              <w:right w:val="nil"/>
            </w:tcBorders>
            <w:shd w:val="clear" w:color="auto" w:fill="7F7F7F" w:themeFill="text1" w:themeFillTint="80"/>
            <w:vAlign w:val="center"/>
          </w:tcPr>
          <w:p w14:paraId="47739A6C" w14:textId="77777777" w:rsidR="00A61FF5" w:rsidRPr="00932A90" w:rsidRDefault="00A61FF5" w:rsidP="00D07480">
            <w:pPr>
              <w:pStyle w:val="DETTablecolumnheading"/>
              <w:jc w:val="left"/>
            </w:pPr>
            <w:r w:rsidRPr="00932A90">
              <w:t>Operational vehicles</w:t>
            </w:r>
          </w:p>
        </w:tc>
        <w:tc>
          <w:tcPr>
            <w:tcW w:w="3969" w:type="dxa"/>
            <w:gridSpan w:val="4"/>
            <w:tcBorders>
              <w:top w:val="nil"/>
              <w:left w:val="nil"/>
              <w:bottom w:val="nil"/>
              <w:right w:val="nil"/>
            </w:tcBorders>
            <w:shd w:val="clear" w:color="auto" w:fill="7F7F7F" w:themeFill="text1" w:themeFillTint="80"/>
            <w:vAlign w:val="center"/>
          </w:tcPr>
          <w:p w14:paraId="38F8002B" w14:textId="77777777" w:rsidR="00A61FF5" w:rsidRPr="00932A90" w:rsidRDefault="00A61FF5" w:rsidP="00A20AE6">
            <w:pPr>
              <w:pStyle w:val="DETTablecolumnheading"/>
            </w:pPr>
            <w:r w:rsidRPr="00932A90">
              <w:t>2016–17</w:t>
            </w:r>
          </w:p>
        </w:tc>
        <w:tc>
          <w:tcPr>
            <w:tcW w:w="3827" w:type="dxa"/>
            <w:gridSpan w:val="4"/>
            <w:tcBorders>
              <w:top w:val="nil"/>
              <w:left w:val="nil"/>
              <w:bottom w:val="nil"/>
              <w:right w:val="nil"/>
            </w:tcBorders>
            <w:shd w:val="clear" w:color="auto" w:fill="7F7F7F" w:themeFill="text1" w:themeFillTint="80"/>
            <w:vAlign w:val="center"/>
          </w:tcPr>
          <w:p w14:paraId="1D2B50C8" w14:textId="77777777" w:rsidR="00A61FF5" w:rsidRPr="00932A90" w:rsidRDefault="00A61FF5" w:rsidP="00A20AE6">
            <w:pPr>
              <w:pStyle w:val="DETTablecolumnheading"/>
            </w:pPr>
            <w:r w:rsidRPr="00932A90">
              <w:t>2015–16</w:t>
            </w:r>
          </w:p>
        </w:tc>
      </w:tr>
      <w:tr w:rsidR="00A61FF5" w:rsidRPr="00932A90" w14:paraId="45258535" w14:textId="77777777" w:rsidTr="00D07480">
        <w:tc>
          <w:tcPr>
            <w:tcW w:w="5812" w:type="dxa"/>
            <w:tcBorders>
              <w:top w:val="nil"/>
              <w:left w:val="nil"/>
              <w:bottom w:val="nil"/>
              <w:right w:val="nil"/>
            </w:tcBorders>
            <w:shd w:val="clear" w:color="auto" w:fill="7F7F7F" w:themeFill="text1" w:themeFillTint="80"/>
            <w:vAlign w:val="center"/>
          </w:tcPr>
          <w:p w14:paraId="641A48C2" w14:textId="77777777" w:rsidR="00A61FF5" w:rsidRPr="00932A90" w:rsidRDefault="00A61FF5" w:rsidP="00D07480">
            <w:pPr>
              <w:pStyle w:val="DETTablecolumnheading"/>
              <w:jc w:val="left"/>
            </w:pPr>
          </w:p>
        </w:tc>
        <w:tc>
          <w:tcPr>
            <w:tcW w:w="992" w:type="dxa"/>
            <w:tcBorders>
              <w:top w:val="nil"/>
              <w:left w:val="nil"/>
              <w:bottom w:val="nil"/>
              <w:right w:val="nil"/>
            </w:tcBorders>
            <w:shd w:val="clear" w:color="auto" w:fill="7F7F7F" w:themeFill="text1" w:themeFillTint="80"/>
            <w:vAlign w:val="center"/>
          </w:tcPr>
          <w:p w14:paraId="5F66234D" w14:textId="77777777" w:rsidR="00A61FF5" w:rsidRPr="00932A90" w:rsidRDefault="00A61FF5" w:rsidP="00D07480">
            <w:pPr>
              <w:pStyle w:val="DETTablecolumnheading"/>
            </w:pPr>
            <w:r w:rsidRPr="00932A90">
              <w:t>Hybrid</w:t>
            </w:r>
          </w:p>
        </w:tc>
        <w:tc>
          <w:tcPr>
            <w:tcW w:w="993" w:type="dxa"/>
            <w:tcBorders>
              <w:top w:val="nil"/>
              <w:left w:val="nil"/>
              <w:bottom w:val="nil"/>
              <w:right w:val="nil"/>
            </w:tcBorders>
            <w:shd w:val="clear" w:color="auto" w:fill="7F7F7F" w:themeFill="text1" w:themeFillTint="80"/>
            <w:vAlign w:val="center"/>
          </w:tcPr>
          <w:p w14:paraId="6C651F3B" w14:textId="77777777" w:rsidR="00A61FF5" w:rsidRPr="00932A90" w:rsidRDefault="00A61FF5" w:rsidP="00D07480">
            <w:pPr>
              <w:pStyle w:val="DETTablecolumnheading"/>
            </w:pPr>
            <w:r w:rsidRPr="00932A90">
              <w:t>LPG</w:t>
            </w:r>
          </w:p>
        </w:tc>
        <w:tc>
          <w:tcPr>
            <w:tcW w:w="992" w:type="dxa"/>
            <w:tcBorders>
              <w:top w:val="nil"/>
              <w:left w:val="nil"/>
              <w:bottom w:val="nil"/>
              <w:right w:val="nil"/>
            </w:tcBorders>
            <w:shd w:val="clear" w:color="auto" w:fill="7F7F7F" w:themeFill="text1" w:themeFillTint="80"/>
            <w:vAlign w:val="center"/>
          </w:tcPr>
          <w:p w14:paraId="7E6C079A" w14:textId="77777777" w:rsidR="00A61FF5" w:rsidRPr="00932A90" w:rsidRDefault="00A61FF5" w:rsidP="00D07480">
            <w:pPr>
              <w:pStyle w:val="DETTablecolumnheading"/>
            </w:pPr>
            <w:r w:rsidRPr="00932A90">
              <w:t>Petrol</w:t>
            </w:r>
          </w:p>
        </w:tc>
        <w:tc>
          <w:tcPr>
            <w:tcW w:w="992" w:type="dxa"/>
            <w:tcBorders>
              <w:top w:val="nil"/>
              <w:left w:val="nil"/>
              <w:bottom w:val="nil"/>
              <w:right w:val="nil"/>
            </w:tcBorders>
            <w:shd w:val="clear" w:color="auto" w:fill="7F7F7F" w:themeFill="text1" w:themeFillTint="80"/>
            <w:vAlign w:val="center"/>
          </w:tcPr>
          <w:p w14:paraId="116C91D0" w14:textId="77777777" w:rsidR="00A61FF5" w:rsidRPr="00932A90" w:rsidRDefault="00A61FF5" w:rsidP="00D07480">
            <w:pPr>
              <w:pStyle w:val="DETTablecolumnheading"/>
            </w:pPr>
            <w:r w:rsidRPr="00932A90">
              <w:t>Diesel</w:t>
            </w:r>
          </w:p>
        </w:tc>
        <w:tc>
          <w:tcPr>
            <w:tcW w:w="992" w:type="dxa"/>
            <w:tcBorders>
              <w:top w:val="nil"/>
              <w:left w:val="nil"/>
              <w:bottom w:val="nil"/>
              <w:right w:val="nil"/>
            </w:tcBorders>
            <w:shd w:val="clear" w:color="auto" w:fill="7F7F7F" w:themeFill="text1" w:themeFillTint="80"/>
            <w:vAlign w:val="center"/>
          </w:tcPr>
          <w:p w14:paraId="0D229D93" w14:textId="77777777" w:rsidR="00A61FF5" w:rsidRPr="00932A90" w:rsidRDefault="00A61FF5" w:rsidP="00D07480">
            <w:pPr>
              <w:pStyle w:val="DETTablecolumnheading"/>
            </w:pPr>
            <w:r w:rsidRPr="00932A90">
              <w:t>Hybrid</w:t>
            </w:r>
          </w:p>
        </w:tc>
        <w:tc>
          <w:tcPr>
            <w:tcW w:w="993" w:type="dxa"/>
            <w:tcBorders>
              <w:top w:val="nil"/>
              <w:left w:val="nil"/>
              <w:bottom w:val="nil"/>
              <w:right w:val="nil"/>
            </w:tcBorders>
            <w:shd w:val="clear" w:color="auto" w:fill="7F7F7F" w:themeFill="text1" w:themeFillTint="80"/>
            <w:vAlign w:val="center"/>
          </w:tcPr>
          <w:p w14:paraId="0403CF0C" w14:textId="77777777" w:rsidR="00A61FF5" w:rsidRPr="00932A90" w:rsidRDefault="00A61FF5" w:rsidP="00D07480">
            <w:pPr>
              <w:pStyle w:val="DETTablecolumnheading"/>
            </w:pPr>
            <w:r w:rsidRPr="00932A90">
              <w:t>LPG</w:t>
            </w:r>
          </w:p>
        </w:tc>
        <w:tc>
          <w:tcPr>
            <w:tcW w:w="992" w:type="dxa"/>
            <w:tcBorders>
              <w:top w:val="nil"/>
              <w:left w:val="nil"/>
              <w:bottom w:val="nil"/>
              <w:right w:val="nil"/>
            </w:tcBorders>
            <w:shd w:val="clear" w:color="auto" w:fill="7F7F7F" w:themeFill="text1" w:themeFillTint="80"/>
            <w:vAlign w:val="center"/>
          </w:tcPr>
          <w:p w14:paraId="212AAD25" w14:textId="77777777" w:rsidR="00A61FF5" w:rsidRPr="00932A90" w:rsidRDefault="00A61FF5" w:rsidP="00D07480">
            <w:pPr>
              <w:pStyle w:val="DETTablecolumnheading"/>
            </w:pPr>
            <w:r w:rsidRPr="00932A90">
              <w:t>Petrol</w:t>
            </w:r>
          </w:p>
        </w:tc>
        <w:tc>
          <w:tcPr>
            <w:tcW w:w="850" w:type="dxa"/>
            <w:tcBorders>
              <w:top w:val="nil"/>
              <w:left w:val="nil"/>
              <w:bottom w:val="nil"/>
              <w:right w:val="nil"/>
            </w:tcBorders>
            <w:shd w:val="clear" w:color="auto" w:fill="7F7F7F" w:themeFill="text1" w:themeFillTint="80"/>
            <w:vAlign w:val="center"/>
          </w:tcPr>
          <w:p w14:paraId="7D41173D" w14:textId="77777777" w:rsidR="00A61FF5" w:rsidRPr="00932A90" w:rsidRDefault="00A61FF5" w:rsidP="00D07480">
            <w:pPr>
              <w:pStyle w:val="DETTablecolumnheading"/>
            </w:pPr>
            <w:r w:rsidRPr="00932A90">
              <w:t>Diesel</w:t>
            </w:r>
          </w:p>
        </w:tc>
      </w:tr>
      <w:tr w:rsidR="00A61FF5" w:rsidRPr="00932A90" w14:paraId="6EE923D3" w14:textId="77777777" w:rsidTr="00D07480">
        <w:tc>
          <w:tcPr>
            <w:tcW w:w="5812" w:type="dxa"/>
            <w:tcBorders>
              <w:top w:val="nil"/>
            </w:tcBorders>
          </w:tcPr>
          <w:p w14:paraId="4B741A72" w14:textId="77777777" w:rsidR="00A61FF5" w:rsidRPr="006E49EE" w:rsidRDefault="00A61FF5" w:rsidP="00D07480">
            <w:pPr>
              <w:pStyle w:val="ESTableBody"/>
              <w:rPr>
                <w:lang w:val="en-AU"/>
              </w:rPr>
            </w:pPr>
            <w:r w:rsidRPr="006E49EE">
              <w:rPr>
                <w:lang w:val="en-AU"/>
              </w:rPr>
              <w:t>Total energy consumption by vehicles (MJ)</w:t>
            </w:r>
          </w:p>
        </w:tc>
        <w:tc>
          <w:tcPr>
            <w:tcW w:w="992" w:type="dxa"/>
            <w:tcBorders>
              <w:top w:val="nil"/>
            </w:tcBorders>
            <w:shd w:val="clear" w:color="auto" w:fill="F2F2F2" w:themeFill="background1" w:themeFillShade="F2"/>
            <w:vAlign w:val="center"/>
          </w:tcPr>
          <w:p w14:paraId="4027593C" w14:textId="77777777" w:rsidR="00A61FF5" w:rsidRPr="006E49EE" w:rsidRDefault="00A61FF5" w:rsidP="00D07480">
            <w:pPr>
              <w:pStyle w:val="ESTableBody"/>
              <w:jc w:val="right"/>
              <w:rPr>
                <w:lang w:val="en-AU"/>
              </w:rPr>
            </w:pPr>
            <w:r w:rsidRPr="006E49EE">
              <w:rPr>
                <w:lang w:val="en-AU"/>
              </w:rPr>
              <w:t>2,447,989</w:t>
            </w:r>
          </w:p>
        </w:tc>
        <w:tc>
          <w:tcPr>
            <w:tcW w:w="993" w:type="dxa"/>
            <w:tcBorders>
              <w:top w:val="nil"/>
            </w:tcBorders>
            <w:shd w:val="clear" w:color="auto" w:fill="F2F2F2" w:themeFill="background1" w:themeFillShade="F2"/>
            <w:vAlign w:val="center"/>
          </w:tcPr>
          <w:p w14:paraId="40973A20" w14:textId="77777777" w:rsidR="00A61FF5" w:rsidRPr="006E49EE" w:rsidRDefault="00A61FF5" w:rsidP="00D07480">
            <w:pPr>
              <w:pStyle w:val="ESTableBody"/>
              <w:jc w:val="right"/>
              <w:rPr>
                <w:lang w:val="en-AU"/>
              </w:rPr>
            </w:pPr>
            <w:r w:rsidRPr="006E49EE">
              <w:rPr>
                <w:lang w:val="en-AU"/>
              </w:rPr>
              <w:t>251,198</w:t>
            </w:r>
          </w:p>
        </w:tc>
        <w:tc>
          <w:tcPr>
            <w:tcW w:w="992" w:type="dxa"/>
            <w:tcBorders>
              <w:top w:val="nil"/>
            </w:tcBorders>
            <w:shd w:val="clear" w:color="auto" w:fill="F2F2F2" w:themeFill="background1" w:themeFillShade="F2"/>
            <w:vAlign w:val="center"/>
          </w:tcPr>
          <w:p w14:paraId="049DA39D" w14:textId="77777777" w:rsidR="00A61FF5" w:rsidRPr="006E49EE" w:rsidRDefault="00A61FF5" w:rsidP="00D07480">
            <w:pPr>
              <w:pStyle w:val="ESTableBody"/>
              <w:jc w:val="right"/>
              <w:rPr>
                <w:lang w:val="en-AU"/>
              </w:rPr>
            </w:pPr>
            <w:r w:rsidRPr="006E49EE">
              <w:rPr>
                <w:lang w:val="en-AU"/>
              </w:rPr>
              <w:t>8,146,226</w:t>
            </w:r>
          </w:p>
        </w:tc>
        <w:tc>
          <w:tcPr>
            <w:tcW w:w="992" w:type="dxa"/>
            <w:tcBorders>
              <w:top w:val="nil"/>
            </w:tcBorders>
            <w:shd w:val="clear" w:color="auto" w:fill="F2F2F2" w:themeFill="background1" w:themeFillShade="F2"/>
            <w:vAlign w:val="center"/>
          </w:tcPr>
          <w:p w14:paraId="2E9A642D" w14:textId="77777777" w:rsidR="00A61FF5" w:rsidRPr="006E49EE" w:rsidRDefault="00A61FF5" w:rsidP="00D07480">
            <w:pPr>
              <w:pStyle w:val="ESTableBody"/>
              <w:jc w:val="right"/>
              <w:rPr>
                <w:lang w:val="en-AU"/>
              </w:rPr>
            </w:pPr>
            <w:r w:rsidRPr="006E49EE">
              <w:rPr>
                <w:lang w:val="en-AU"/>
              </w:rPr>
              <w:t>460,986</w:t>
            </w:r>
          </w:p>
        </w:tc>
        <w:tc>
          <w:tcPr>
            <w:tcW w:w="992" w:type="dxa"/>
            <w:tcBorders>
              <w:top w:val="nil"/>
            </w:tcBorders>
            <w:shd w:val="clear" w:color="auto" w:fill="auto"/>
            <w:vAlign w:val="center"/>
          </w:tcPr>
          <w:p w14:paraId="7401D747" w14:textId="77777777" w:rsidR="00A61FF5" w:rsidRPr="006E49EE" w:rsidRDefault="00A61FF5" w:rsidP="00D07480">
            <w:pPr>
              <w:pStyle w:val="ESTableBody"/>
              <w:jc w:val="right"/>
              <w:rPr>
                <w:lang w:val="en-AU"/>
              </w:rPr>
            </w:pPr>
            <w:r w:rsidRPr="006E49EE">
              <w:rPr>
                <w:lang w:val="en-AU"/>
              </w:rPr>
              <w:t>3,659,494</w:t>
            </w:r>
          </w:p>
        </w:tc>
        <w:tc>
          <w:tcPr>
            <w:tcW w:w="993" w:type="dxa"/>
            <w:tcBorders>
              <w:top w:val="nil"/>
            </w:tcBorders>
            <w:shd w:val="clear" w:color="auto" w:fill="auto"/>
            <w:vAlign w:val="center"/>
          </w:tcPr>
          <w:p w14:paraId="05ACC332" w14:textId="77777777" w:rsidR="00A61FF5" w:rsidRPr="006E49EE" w:rsidRDefault="00A61FF5" w:rsidP="00D07480">
            <w:pPr>
              <w:pStyle w:val="ESTableBody"/>
              <w:jc w:val="right"/>
              <w:rPr>
                <w:lang w:val="en-AU"/>
              </w:rPr>
            </w:pPr>
            <w:r w:rsidRPr="006E49EE">
              <w:rPr>
                <w:lang w:val="en-AU"/>
              </w:rPr>
              <w:t>609,523</w:t>
            </w:r>
          </w:p>
        </w:tc>
        <w:tc>
          <w:tcPr>
            <w:tcW w:w="992" w:type="dxa"/>
            <w:tcBorders>
              <w:top w:val="nil"/>
            </w:tcBorders>
            <w:shd w:val="clear" w:color="auto" w:fill="auto"/>
            <w:vAlign w:val="center"/>
          </w:tcPr>
          <w:p w14:paraId="4FC90724" w14:textId="77777777" w:rsidR="00A61FF5" w:rsidRPr="006E49EE" w:rsidRDefault="00A61FF5" w:rsidP="00D07480">
            <w:pPr>
              <w:pStyle w:val="ESTableBody"/>
              <w:jc w:val="right"/>
              <w:rPr>
                <w:lang w:val="en-AU"/>
              </w:rPr>
            </w:pPr>
            <w:r w:rsidRPr="006E49EE">
              <w:rPr>
                <w:lang w:val="en-AU"/>
              </w:rPr>
              <w:t>5,702,249</w:t>
            </w:r>
          </w:p>
        </w:tc>
        <w:tc>
          <w:tcPr>
            <w:tcW w:w="850" w:type="dxa"/>
            <w:tcBorders>
              <w:top w:val="nil"/>
            </w:tcBorders>
            <w:shd w:val="clear" w:color="auto" w:fill="auto"/>
            <w:vAlign w:val="center"/>
          </w:tcPr>
          <w:p w14:paraId="6E23CFD6" w14:textId="77777777" w:rsidR="00A61FF5" w:rsidRPr="006E49EE" w:rsidRDefault="00A61FF5" w:rsidP="00D07480">
            <w:pPr>
              <w:pStyle w:val="ESTableBody"/>
              <w:jc w:val="right"/>
              <w:rPr>
                <w:lang w:val="en-AU"/>
              </w:rPr>
            </w:pPr>
            <w:r w:rsidRPr="006E49EE">
              <w:rPr>
                <w:lang w:val="en-AU"/>
              </w:rPr>
              <w:t>963,027</w:t>
            </w:r>
          </w:p>
        </w:tc>
      </w:tr>
      <w:tr w:rsidR="00A61FF5" w:rsidRPr="00932A90" w14:paraId="516A255C" w14:textId="77777777" w:rsidTr="00D07480">
        <w:tc>
          <w:tcPr>
            <w:tcW w:w="5812" w:type="dxa"/>
          </w:tcPr>
          <w:p w14:paraId="011042D4" w14:textId="77777777" w:rsidR="00A61FF5" w:rsidRPr="006E49EE" w:rsidRDefault="00A61FF5" w:rsidP="00D07480">
            <w:pPr>
              <w:pStyle w:val="ESTableBody"/>
              <w:rPr>
                <w:lang w:val="en-AU"/>
              </w:rPr>
            </w:pPr>
            <w:r w:rsidRPr="006E49EE">
              <w:rPr>
                <w:lang w:val="en-AU"/>
              </w:rPr>
              <w:t>Total vehicle travel associated with entity operations (km)</w:t>
            </w:r>
          </w:p>
        </w:tc>
        <w:tc>
          <w:tcPr>
            <w:tcW w:w="992" w:type="dxa"/>
            <w:shd w:val="clear" w:color="auto" w:fill="F2F2F2" w:themeFill="background1" w:themeFillShade="F2"/>
            <w:vAlign w:val="center"/>
          </w:tcPr>
          <w:p w14:paraId="67E06527" w14:textId="77777777" w:rsidR="00A61FF5" w:rsidRPr="006E49EE" w:rsidRDefault="00A61FF5" w:rsidP="00D07480">
            <w:pPr>
              <w:pStyle w:val="ESTableBody"/>
              <w:jc w:val="right"/>
              <w:rPr>
                <w:lang w:val="en-AU"/>
              </w:rPr>
            </w:pPr>
            <w:r w:rsidRPr="006E49EE">
              <w:rPr>
                <w:lang w:val="en-AU"/>
              </w:rPr>
              <w:t>1,376,512</w:t>
            </w:r>
          </w:p>
        </w:tc>
        <w:tc>
          <w:tcPr>
            <w:tcW w:w="993" w:type="dxa"/>
            <w:shd w:val="clear" w:color="auto" w:fill="F2F2F2" w:themeFill="background1" w:themeFillShade="F2"/>
            <w:vAlign w:val="center"/>
          </w:tcPr>
          <w:p w14:paraId="26957478" w14:textId="77777777" w:rsidR="00A61FF5" w:rsidRPr="006E49EE" w:rsidRDefault="00A61FF5" w:rsidP="00D07480">
            <w:pPr>
              <w:pStyle w:val="ESTableBody"/>
              <w:jc w:val="right"/>
              <w:rPr>
                <w:lang w:val="en-AU"/>
              </w:rPr>
            </w:pPr>
            <w:r w:rsidRPr="006E49EE">
              <w:rPr>
                <w:lang w:val="en-AU"/>
              </w:rPr>
              <w:t>80,490</w:t>
            </w:r>
          </w:p>
        </w:tc>
        <w:tc>
          <w:tcPr>
            <w:tcW w:w="992" w:type="dxa"/>
            <w:shd w:val="clear" w:color="auto" w:fill="F2F2F2" w:themeFill="background1" w:themeFillShade="F2"/>
            <w:vAlign w:val="center"/>
          </w:tcPr>
          <w:p w14:paraId="4EA1E2BB" w14:textId="77777777" w:rsidR="00A61FF5" w:rsidRPr="006E49EE" w:rsidRDefault="00A61FF5" w:rsidP="00D07480">
            <w:pPr>
              <w:pStyle w:val="ESTableBody"/>
              <w:jc w:val="right"/>
              <w:rPr>
                <w:lang w:val="en-AU"/>
              </w:rPr>
            </w:pPr>
            <w:r w:rsidRPr="006E49EE">
              <w:rPr>
                <w:lang w:val="en-AU"/>
              </w:rPr>
              <w:t>2,994,667</w:t>
            </w:r>
          </w:p>
        </w:tc>
        <w:tc>
          <w:tcPr>
            <w:tcW w:w="992" w:type="dxa"/>
            <w:shd w:val="clear" w:color="auto" w:fill="F2F2F2" w:themeFill="background1" w:themeFillShade="F2"/>
            <w:vAlign w:val="center"/>
          </w:tcPr>
          <w:p w14:paraId="3383F02F" w14:textId="77777777" w:rsidR="00A61FF5" w:rsidRPr="006E49EE" w:rsidRDefault="00A61FF5" w:rsidP="00D07480">
            <w:pPr>
              <w:pStyle w:val="ESTableBody"/>
              <w:jc w:val="right"/>
              <w:rPr>
                <w:lang w:val="en-AU"/>
              </w:rPr>
            </w:pPr>
            <w:r w:rsidRPr="006E49EE">
              <w:rPr>
                <w:lang w:val="en-AU"/>
              </w:rPr>
              <w:t>155,821</w:t>
            </w:r>
          </w:p>
        </w:tc>
        <w:tc>
          <w:tcPr>
            <w:tcW w:w="992" w:type="dxa"/>
            <w:shd w:val="clear" w:color="auto" w:fill="auto"/>
            <w:vAlign w:val="center"/>
          </w:tcPr>
          <w:p w14:paraId="67A20327" w14:textId="77777777" w:rsidR="00A61FF5" w:rsidRPr="006E49EE" w:rsidRDefault="00A61FF5" w:rsidP="00D07480">
            <w:pPr>
              <w:pStyle w:val="ESTableBody"/>
              <w:jc w:val="right"/>
              <w:rPr>
                <w:lang w:val="en-AU"/>
              </w:rPr>
            </w:pPr>
            <w:r w:rsidRPr="006E49EE">
              <w:rPr>
                <w:lang w:val="en-AU"/>
              </w:rPr>
              <w:t>2,051,734</w:t>
            </w:r>
          </w:p>
        </w:tc>
        <w:tc>
          <w:tcPr>
            <w:tcW w:w="993" w:type="dxa"/>
            <w:shd w:val="clear" w:color="auto" w:fill="auto"/>
            <w:vAlign w:val="center"/>
          </w:tcPr>
          <w:p w14:paraId="4D5FE554" w14:textId="77777777" w:rsidR="00A61FF5" w:rsidRPr="006E49EE" w:rsidRDefault="00A61FF5" w:rsidP="00D07480">
            <w:pPr>
              <w:pStyle w:val="ESTableBody"/>
              <w:jc w:val="right"/>
              <w:rPr>
                <w:lang w:val="en-AU"/>
              </w:rPr>
            </w:pPr>
            <w:r w:rsidRPr="006E49EE">
              <w:rPr>
                <w:lang w:val="en-AU"/>
              </w:rPr>
              <w:t>195,262</w:t>
            </w:r>
          </w:p>
        </w:tc>
        <w:tc>
          <w:tcPr>
            <w:tcW w:w="992" w:type="dxa"/>
            <w:shd w:val="clear" w:color="auto" w:fill="auto"/>
            <w:vAlign w:val="center"/>
          </w:tcPr>
          <w:p w14:paraId="72EDB283" w14:textId="77777777" w:rsidR="00A61FF5" w:rsidRPr="006E49EE" w:rsidRDefault="00A61FF5" w:rsidP="00D07480">
            <w:pPr>
              <w:pStyle w:val="ESTableBody"/>
              <w:jc w:val="right"/>
              <w:rPr>
                <w:lang w:val="en-AU"/>
              </w:rPr>
            </w:pPr>
            <w:r w:rsidRPr="006E49EE">
              <w:rPr>
                <w:lang w:val="en-AU"/>
              </w:rPr>
              <w:t>2,053,244</w:t>
            </w:r>
          </w:p>
        </w:tc>
        <w:tc>
          <w:tcPr>
            <w:tcW w:w="850" w:type="dxa"/>
            <w:shd w:val="clear" w:color="auto" w:fill="auto"/>
            <w:vAlign w:val="center"/>
          </w:tcPr>
          <w:p w14:paraId="23E6341E" w14:textId="77777777" w:rsidR="00A61FF5" w:rsidRPr="006E49EE" w:rsidRDefault="00A61FF5" w:rsidP="00D07480">
            <w:pPr>
              <w:pStyle w:val="ESTableBody"/>
              <w:jc w:val="right"/>
              <w:rPr>
                <w:lang w:val="en-AU"/>
              </w:rPr>
            </w:pPr>
            <w:r w:rsidRPr="006E49EE">
              <w:rPr>
                <w:lang w:val="en-AU"/>
              </w:rPr>
              <w:t>357,327</w:t>
            </w:r>
          </w:p>
        </w:tc>
      </w:tr>
      <w:tr w:rsidR="00A61FF5" w:rsidRPr="00932A90" w14:paraId="4F34859A" w14:textId="77777777" w:rsidTr="00D07480">
        <w:tc>
          <w:tcPr>
            <w:tcW w:w="5812" w:type="dxa"/>
          </w:tcPr>
          <w:p w14:paraId="702818AE" w14:textId="77777777" w:rsidR="00A61FF5" w:rsidRPr="006E49EE" w:rsidRDefault="00A61FF5" w:rsidP="00D07480">
            <w:pPr>
              <w:pStyle w:val="ESTableBody"/>
              <w:rPr>
                <w:lang w:val="en-AU"/>
              </w:rPr>
            </w:pPr>
            <w:r w:rsidRPr="006E49EE">
              <w:rPr>
                <w:lang w:val="en-AU"/>
              </w:rPr>
              <w:t>Total greenhouse gas emissions from vehicle fleet (t CO</w:t>
            </w:r>
            <w:r w:rsidRPr="006E49EE">
              <w:rPr>
                <w:vertAlign w:val="subscript"/>
                <w:lang w:val="en-AU"/>
              </w:rPr>
              <w:t>2</w:t>
            </w:r>
            <w:r w:rsidRPr="006E49EE">
              <w:rPr>
                <w:lang w:val="en-AU"/>
              </w:rPr>
              <w:t xml:space="preserve"> e)</w:t>
            </w:r>
          </w:p>
        </w:tc>
        <w:tc>
          <w:tcPr>
            <w:tcW w:w="992" w:type="dxa"/>
            <w:shd w:val="clear" w:color="auto" w:fill="F2F2F2" w:themeFill="background1" w:themeFillShade="F2"/>
            <w:vAlign w:val="center"/>
          </w:tcPr>
          <w:p w14:paraId="4D47B862" w14:textId="77777777" w:rsidR="00A61FF5" w:rsidRPr="006E49EE" w:rsidRDefault="00A61FF5" w:rsidP="00D07480">
            <w:pPr>
              <w:pStyle w:val="ESTableBody"/>
              <w:jc w:val="right"/>
              <w:rPr>
                <w:lang w:val="en-AU"/>
              </w:rPr>
            </w:pPr>
            <w:r w:rsidRPr="006E49EE">
              <w:rPr>
                <w:lang w:val="en-AU"/>
              </w:rPr>
              <w:t>174</w:t>
            </w:r>
          </w:p>
        </w:tc>
        <w:tc>
          <w:tcPr>
            <w:tcW w:w="993" w:type="dxa"/>
            <w:shd w:val="clear" w:color="auto" w:fill="F2F2F2" w:themeFill="background1" w:themeFillShade="F2"/>
            <w:vAlign w:val="center"/>
          </w:tcPr>
          <w:p w14:paraId="5379541A" w14:textId="77777777" w:rsidR="00A61FF5" w:rsidRPr="006E49EE" w:rsidRDefault="00A61FF5" w:rsidP="00D07480">
            <w:pPr>
              <w:pStyle w:val="ESTableBody"/>
              <w:jc w:val="right"/>
              <w:rPr>
                <w:lang w:val="en-AU"/>
              </w:rPr>
            </w:pPr>
            <w:r w:rsidRPr="006E49EE">
              <w:rPr>
                <w:lang w:val="en-AU"/>
              </w:rPr>
              <w:t>16</w:t>
            </w:r>
          </w:p>
        </w:tc>
        <w:tc>
          <w:tcPr>
            <w:tcW w:w="992" w:type="dxa"/>
            <w:shd w:val="clear" w:color="auto" w:fill="F2F2F2" w:themeFill="background1" w:themeFillShade="F2"/>
            <w:vAlign w:val="center"/>
          </w:tcPr>
          <w:p w14:paraId="709C54BD" w14:textId="77777777" w:rsidR="00A61FF5" w:rsidRPr="006E49EE" w:rsidRDefault="00A61FF5" w:rsidP="00D07480">
            <w:pPr>
              <w:pStyle w:val="ESTableBody"/>
              <w:jc w:val="right"/>
              <w:rPr>
                <w:lang w:val="en-AU"/>
              </w:rPr>
            </w:pPr>
            <w:r w:rsidRPr="006E49EE">
              <w:rPr>
                <w:lang w:val="en-AU"/>
              </w:rPr>
              <w:t>580</w:t>
            </w:r>
          </w:p>
        </w:tc>
        <w:tc>
          <w:tcPr>
            <w:tcW w:w="992" w:type="dxa"/>
            <w:shd w:val="clear" w:color="auto" w:fill="F2F2F2" w:themeFill="background1" w:themeFillShade="F2"/>
            <w:vAlign w:val="center"/>
          </w:tcPr>
          <w:p w14:paraId="386BDB0F" w14:textId="77777777" w:rsidR="00A61FF5" w:rsidRPr="006E49EE" w:rsidRDefault="00A61FF5" w:rsidP="00D07480">
            <w:pPr>
              <w:pStyle w:val="ESTableBody"/>
              <w:jc w:val="right"/>
              <w:rPr>
                <w:lang w:val="en-AU"/>
              </w:rPr>
            </w:pPr>
            <w:r w:rsidRPr="006E49EE">
              <w:rPr>
                <w:lang w:val="en-AU"/>
              </w:rPr>
              <w:t>34</w:t>
            </w:r>
          </w:p>
        </w:tc>
        <w:tc>
          <w:tcPr>
            <w:tcW w:w="992" w:type="dxa"/>
            <w:shd w:val="clear" w:color="auto" w:fill="auto"/>
            <w:vAlign w:val="center"/>
          </w:tcPr>
          <w:p w14:paraId="1CBFA6CB" w14:textId="77777777" w:rsidR="00A61FF5" w:rsidRPr="006E49EE" w:rsidRDefault="00A61FF5" w:rsidP="00D07480">
            <w:pPr>
              <w:pStyle w:val="ESTableBody"/>
              <w:jc w:val="right"/>
              <w:rPr>
                <w:lang w:val="en-AU"/>
              </w:rPr>
            </w:pPr>
            <w:r w:rsidRPr="006E49EE">
              <w:rPr>
                <w:lang w:val="en-AU"/>
              </w:rPr>
              <w:t>261</w:t>
            </w:r>
          </w:p>
        </w:tc>
        <w:tc>
          <w:tcPr>
            <w:tcW w:w="993" w:type="dxa"/>
            <w:shd w:val="clear" w:color="auto" w:fill="auto"/>
            <w:vAlign w:val="center"/>
          </w:tcPr>
          <w:p w14:paraId="7F6E7323" w14:textId="77777777" w:rsidR="00A61FF5" w:rsidRPr="006E49EE" w:rsidRDefault="00A61FF5" w:rsidP="00D07480">
            <w:pPr>
              <w:pStyle w:val="ESTableBody"/>
              <w:jc w:val="right"/>
              <w:rPr>
                <w:lang w:val="en-AU"/>
              </w:rPr>
            </w:pPr>
            <w:r w:rsidRPr="006E49EE">
              <w:rPr>
                <w:lang w:val="en-AU"/>
              </w:rPr>
              <w:t>39</w:t>
            </w:r>
          </w:p>
        </w:tc>
        <w:tc>
          <w:tcPr>
            <w:tcW w:w="992" w:type="dxa"/>
            <w:shd w:val="clear" w:color="auto" w:fill="auto"/>
            <w:vAlign w:val="center"/>
          </w:tcPr>
          <w:p w14:paraId="4B440B29" w14:textId="77777777" w:rsidR="00A61FF5" w:rsidRPr="006E49EE" w:rsidRDefault="00A61FF5" w:rsidP="00D07480">
            <w:pPr>
              <w:pStyle w:val="ESTableBody"/>
              <w:jc w:val="right"/>
              <w:rPr>
                <w:lang w:val="en-AU"/>
              </w:rPr>
            </w:pPr>
            <w:r w:rsidRPr="006E49EE">
              <w:rPr>
                <w:lang w:val="en-AU"/>
              </w:rPr>
              <w:t>406</w:t>
            </w:r>
          </w:p>
        </w:tc>
        <w:tc>
          <w:tcPr>
            <w:tcW w:w="850" w:type="dxa"/>
            <w:shd w:val="clear" w:color="auto" w:fill="auto"/>
            <w:vAlign w:val="center"/>
          </w:tcPr>
          <w:p w14:paraId="0C6D1112" w14:textId="77777777" w:rsidR="00A61FF5" w:rsidRPr="006E49EE" w:rsidRDefault="00A61FF5" w:rsidP="00D07480">
            <w:pPr>
              <w:pStyle w:val="ESTableBody"/>
              <w:jc w:val="right"/>
              <w:rPr>
                <w:lang w:val="en-AU"/>
              </w:rPr>
            </w:pPr>
            <w:r w:rsidRPr="006E49EE">
              <w:rPr>
                <w:lang w:val="en-AU"/>
              </w:rPr>
              <w:t>71</w:t>
            </w:r>
          </w:p>
        </w:tc>
      </w:tr>
      <w:tr w:rsidR="00A61FF5" w:rsidRPr="00932A90" w14:paraId="6C302DE3" w14:textId="77777777" w:rsidTr="00D07480">
        <w:tc>
          <w:tcPr>
            <w:tcW w:w="5812" w:type="dxa"/>
          </w:tcPr>
          <w:p w14:paraId="2CF64947" w14:textId="3A503A71" w:rsidR="00A61FF5" w:rsidRPr="006E49EE" w:rsidRDefault="00A61FF5" w:rsidP="00D07480">
            <w:pPr>
              <w:pStyle w:val="ESTableBody"/>
              <w:rPr>
                <w:lang w:val="en-AU"/>
              </w:rPr>
            </w:pPr>
            <w:r w:rsidRPr="006E49EE">
              <w:rPr>
                <w:lang w:val="en-AU"/>
              </w:rPr>
              <w:t>Greenhouse gas emissions from vehicle fleet per 1</w:t>
            </w:r>
            <w:r w:rsidR="004E4BE9" w:rsidRPr="006E49EE">
              <w:rPr>
                <w:lang w:val="en-AU"/>
              </w:rPr>
              <w:t>,</w:t>
            </w:r>
            <w:r w:rsidRPr="006E49EE">
              <w:rPr>
                <w:lang w:val="en-AU"/>
              </w:rPr>
              <w:t>000 km travelled (t CO</w:t>
            </w:r>
            <w:r w:rsidRPr="006E49EE">
              <w:rPr>
                <w:vertAlign w:val="subscript"/>
                <w:lang w:val="en-AU"/>
              </w:rPr>
              <w:t>2</w:t>
            </w:r>
            <w:r w:rsidRPr="006E49EE">
              <w:rPr>
                <w:lang w:val="en-AU"/>
              </w:rPr>
              <w:t xml:space="preserve"> e)</w:t>
            </w:r>
          </w:p>
        </w:tc>
        <w:tc>
          <w:tcPr>
            <w:tcW w:w="992" w:type="dxa"/>
            <w:shd w:val="clear" w:color="auto" w:fill="F2F2F2" w:themeFill="background1" w:themeFillShade="F2"/>
            <w:vAlign w:val="center"/>
          </w:tcPr>
          <w:p w14:paraId="7F65E495" w14:textId="77777777" w:rsidR="00A61FF5" w:rsidRPr="006E49EE" w:rsidRDefault="00A61FF5" w:rsidP="00D07480">
            <w:pPr>
              <w:pStyle w:val="ESTableBody"/>
              <w:jc w:val="right"/>
              <w:rPr>
                <w:lang w:val="en-AU"/>
              </w:rPr>
            </w:pPr>
            <w:r w:rsidRPr="006E49EE">
              <w:rPr>
                <w:lang w:val="en-AU"/>
              </w:rPr>
              <w:t>0.13</w:t>
            </w:r>
          </w:p>
        </w:tc>
        <w:tc>
          <w:tcPr>
            <w:tcW w:w="993" w:type="dxa"/>
            <w:shd w:val="clear" w:color="auto" w:fill="F2F2F2" w:themeFill="background1" w:themeFillShade="F2"/>
            <w:vAlign w:val="center"/>
          </w:tcPr>
          <w:p w14:paraId="02FF2663" w14:textId="77777777" w:rsidR="00A61FF5" w:rsidRPr="006E49EE" w:rsidRDefault="00A61FF5" w:rsidP="00D07480">
            <w:pPr>
              <w:pStyle w:val="ESTableBody"/>
              <w:jc w:val="right"/>
              <w:rPr>
                <w:lang w:val="en-AU"/>
              </w:rPr>
            </w:pPr>
            <w:r w:rsidRPr="006E49EE">
              <w:rPr>
                <w:lang w:val="en-AU"/>
              </w:rPr>
              <w:t>0.20</w:t>
            </w:r>
          </w:p>
        </w:tc>
        <w:tc>
          <w:tcPr>
            <w:tcW w:w="992" w:type="dxa"/>
            <w:shd w:val="clear" w:color="auto" w:fill="F2F2F2" w:themeFill="background1" w:themeFillShade="F2"/>
            <w:vAlign w:val="center"/>
          </w:tcPr>
          <w:p w14:paraId="117059FE" w14:textId="77777777" w:rsidR="00A61FF5" w:rsidRPr="006E49EE" w:rsidRDefault="00A61FF5" w:rsidP="00D07480">
            <w:pPr>
              <w:pStyle w:val="ESTableBody"/>
              <w:jc w:val="right"/>
              <w:rPr>
                <w:lang w:val="en-AU"/>
              </w:rPr>
            </w:pPr>
            <w:r w:rsidRPr="006E49EE">
              <w:rPr>
                <w:lang w:val="en-AU"/>
              </w:rPr>
              <w:t>0.19</w:t>
            </w:r>
          </w:p>
        </w:tc>
        <w:tc>
          <w:tcPr>
            <w:tcW w:w="992" w:type="dxa"/>
            <w:shd w:val="clear" w:color="auto" w:fill="F2F2F2" w:themeFill="background1" w:themeFillShade="F2"/>
            <w:vAlign w:val="center"/>
          </w:tcPr>
          <w:p w14:paraId="1E391755" w14:textId="77777777" w:rsidR="00A61FF5" w:rsidRPr="006E49EE" w:rsidRDefault="00A61FF5" w:rsidP="00D07480">
            <w:pPr>
              <w:pStyle w:val="ESTableBody"/>
              <w:jc w:val="right"/>
              <w:rPr>
                <w:lang w:val="en-AU"/>
              </w:rPr>
            </w:pPr>
            <w:r w:rsidRPr="006E49EE">
              <w:rPr>
                <w:lang w:val="en-AU"/>
              </w:rPr>
              <w:t>0.22</w:t>
            </w:r>
          </w:p>
        </w:tc>
        <w:tc>
          <w:tcPr>
            <w:tcW w:w="992" w:type="dxa"/>
            <w:shd w:val="clear" w:color="auto" w:fill="auto"/>
            <w:vAlign w:val="center"/>
          </w:tcPr>
          <w:p w14:paraId="0F40C8E3" w14:textId="77777777" w:rsidR="00A61FF5" w:rsidRPr="006E49EE" w:rsidRDefault="00A61FF5" w:rsidP="00D07480">
            <w:pPr>
              <w:pStyle w:val="ESTableBody"/>
              <w:jc w:val="right"/>
              <w:rPr>
                <w:lang w:val="en-AU"/>
              </w:rPr>
            </w:pPr>
            <w:r w:rsidRPr="006E49EE">
              <w:rPr>
                <w:lang w:val="en-AU"/>
              </w:rPr>
              <w:t>0.13</w:t>
            </w:r>
          </w:p>
        </w:tc>
        <w:tc>
          <w:tcPr>
            <w:tcW w:w="993" w:type="dxa"/>
            <w:shd w:val="clear" w:color="auto" w:fill="auto"/>
            <w:vAlign w:val="center"/>
          </w:tcPr>
          <w:p w14:paraId="43675800" w14:textId="77777777" w:rsidR="00A61FF5" w:rsidRPr="006E49EE" w:rsidRDefault="00A61FF5" w:rsidP="00D07480">
            <w:pPr>
              <w:pStyle w:val="ESTableBody"/>
              <w:jc w:val="right"/>
              <w:rPr>
                <w:lang w:val="en-AU"/>
              </w:rPr>
            </w:pPr>
            <w:r w:rsidRPr="006E49EE">
              <w:rPr>
                <w:lang w:val="en-AU"/>
              </w:rPr>
              <w:t>0.20</w:t>
            </w:r>
          </w:p>
        </w:tc>
        <w:tc>
          <w:tcPr>
            <w:tcW w:w="992" w:type="dxa"/>
            <w:shd w:val="clear" w:color="auto" w:fill="auto"/>
            <w:vAlign w:val="center"/>
          </w:tcPr>
          <w:p w14:paraId="6EA7BFEE" w14:textId="77777777" w:rsidR="00A61FF5" w:rsidRPr="006E49EE" w:rsidRDefault="00A61FF5" w:rsidP="00D07480">
            <w:pPr>
              <w:pStyle w:val="ESTableBody"/>
              <w:jc w:val="right"/>
              <w:rPr>
                <w:lang w:val="en-AU"/>
              </w:rPr>
            </w:pPr>
            <w:r w:rsidRPr="006E49EE">
              <w:rPr>
                <w:lang w:val="en-AU"/>
              </w:rPr>
              <w:t>0.20</w:t>
            </w:r>
          </w:p>
        </w:tc>
        <w:tc>
          <w:tcPr>
            <w:tcW w:w="850" w:type="dxa"/>
            <w:shd w:val="clear" w:color="auto" w:fill="auto"/>
            <w:vAlign w:val="center"/>
          </w:tcPr>
          <w:p w14:paraId="347AF5B0" w14:textId="77777777" w:rsidR="00A61FF5" w:rsidRPr="006E49EE" w:rsidRDefault="00A61FF5" w:rsidP="00D07480">
            <w:pPr>
              <w:pStyle w:val="ESTableBody"/>
              <w:jc w:val="right"/>
              <w:rPr>
                <w:lang w:val="en-AU"/>
              </w:rPr>
            </w:pPr>
            <w:r w:rsidRPr="006E49EE">
              <w:rPr>
                <w:lang w:val="en-AU"/>
              </w:rPr>
              <w:t>0.20</w:t>
            </w:r>
          </w:p>
        </w:tc>
      </w:tr>
    </w:tbl>
    <w:p w14:paraId="0F5D4C36" w14:textId="2BCBCECB"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31</w:t>
      </w:r>
      <w:r w:rsidR="00D93BA2" w:rsidRPr="006E49EE">
        <w:rPr>
          <w:lang w:val="en-AU"/>
        </w:rPr>
        <w:fldChar w:fldCharType="end"/>
      </w:r>
      <w:r w:rsidRPr="006E49EE">
        <w:rPr>
          <w:lang w:val="en-AU"/>
        </w:rPr>
        <w:t xml:space="preserve"> – Air travel (Department)</w:t>
      </w:r>
    </w:p>
    <w:tbl>
      <w:tblPr>
        <w:tblW w:w="13608" w:type="dxa"/>
        <w:tblBorders>
          <w:bottom w:val="single" w:sz="4" w:space="0" w:color="auto"/>
        </w:tblBorders>
        <w:tblLook w:val="04A0" w:firstRow="1" w:lastRow="0" w:firstColumn="1" w:lastColumn="0" w:noHBand="0" w:noVBand="1"/>
      </w:tblPr>
      <w:tblGrid>
        <w:gridCol w:w="3261"/>
        <w:gridCol w:w="1417"/>
        <w:gridCol w:w="2126"/>
        <w:gridCol w:w="1560"/>
        <w:gridCol w:w="1559"/>
        <w:gridCol w:w="2126"/>
        <w:gridCol w:w="1559"/>
      </w:tblGrid>
      <w:tr w:rsidR="00A61FF5" w:rsidRPr="00932A90" w14:paraId="4D522FBB" w14:textId="77777777" w:rsidTr="00D07480">
        <w:tc>
          <w:tcPr>
            <w:tcW w:w="3261" w:type="dxa"/>
            <w:shd w:val="clear" w:color="auto" w:fill="7F7F7F" w:themeFill="text1" w:themeFillTint="80"/>
            <w:vAlign w:val="center"/>
          </w:tcPr>
          <w:p w14:paraId="09417914" w14:textId="77777777" w:rsidR="00A61FF5" w:rsidRPr="00932A90" w:rsidRDefault="00A61FF5" w:rsidP="00D07480">
            <w:pPr>
              <w:pStyle w:val="DETTablecolumnheading"/>
              <w:jc w:val="left"/>
            </w:pPr>
          </w:p>
        </w:tc>
        <w:tc>
          <w:tcPr>
            <w:tcW w:w="5103" w:type="dxa"/>
            <w:gridSpan w:val="3"/>
            <w:shd w:val="clear" w:color="auto" w:fill="7F7F7F" w:themeFill="text1" w:themeFillTint="80"/>
            <w:vAlign w:val="center"/>
          </w:tcPr>
          <w:p w14:paraId="2FCEB65B" w14:textId="77777777" w:rsidR="00A61FF5" w:rsidRPr="00932A90" w:rsidRDefault="00A61FF5" w:rsidP="00A20AE6">
            <w:pPr>
              <w:pStyle w:val="DETTablecolumnheading"/>
            </w:pPr>
            <w:r w:rsidRPr="00932A90">
              <w:t>2016–17</w:t>
            </w:r>
          </w:p>
        </w:tc>
        <w:tc>
          <w:tcPr>
            <w:tcW w:w="5244" w:type="dxa"/>
            <w:gridSpan w:val="3"/>
            <w:shd w:val="clear" w:color="auto" w:fill="7F7F7F" w:themeFill="text1" w:themeFillTint="80"/>
          </w:tcPr>
          <w:p w14:paraId="28367C7A" w14:textId="77777777" w:rsidR="00A61FF5" w:rsidRPr="00932A90" w:rsidRDefault="00A61FF5" w:rsidP="00A20AE6">
            <w:pPr>
              <w:pStyle w:val="DETTablecolumnheading"/>
            </w:pPr>
            <w:r w:rsidRPr="00932A90">
              <w:t>2015–16</w:t>
            </w:r>
          </w:p>
        </w:tc>
      </w:tr>
      <w:tr w:rsidR="00A61FF5" w:rsidRPr="00932A90" w14:paraId="61282CFC" w14:textId="77777777" w:rsidTr="00D07480">
        <w:tc>
          <w:tcPr>
            <w:tcW w:w="3261" w:type="dxa"/>
            <w:shd w:val="clear" w:color="auto" w:fill="7F7F7F" w:themeFill="text1" w:themeFillTint="80"/>
            <w:vAlign w:val="center"/>
          </w:tcPr>
          <w:p w14:paraId="64FE09D9" w14:textId="77777777" w:rsidR="00A61FF5" w:rsidRPr="00932A90" w:rsidRDefault="00A61FF5" w:rsidP="00D07480">
            <w:pPr>
              <w:pStyle w:val="DETTablecolumnheading"/>
              <w:jc w:val="left"/>
            </w:pPr>
            <w:r w:rsidRPr="00932A90">
              <w:t>Air travel</w:t>
            </w:r>
          </w:p>
        </w:tc>
        <w:tc>
          <w:tcPr>
            <w:tcW w:w="1417" w:type="dxa"/>
            <w:shd w:val="clear" w:color="auto" w:fill="7F7F7F" w:themeFill="text1" w:themeFillTint="80"/>
            <w:vAlign w:val="center"/>
          </w:tcPr>
          <w:p w14:paraId="00CCBFC6" w14:textId="77777777" w:rsidR="00A61FF5" w:rsidRPr="00932A90" w:rsidRDefault="00A61FF5" w:rsidP="00D07480">
            <w:pPr>
              <w:pStyle w:val="DETTablecolumnheading"/>
              <w:jc w:val="left"/>
            </w:pPr>
            <w:r w:rsidRPr="00932A90">
              <w:t>Short &lt;500 km</w:t>
            </w:r>
          </w:p>
        </w:tc>
        <w:tc>
          <w:tcPr>
            <w:tcW w:w="2126" w:type="dxa"/>
            <w:shd w:val="clear" w:color="auto" w:fill="7F7F7F" w:themeFill="text1" w:themeFillTint="80"/>
            <w:vAlign w:val="center"/>
          </w:tcPr>
          <w:p w14:paraId="49E5BEA9" w14:textId="245DE939" w:rsidR="00A61FF5" w:rsidRPr="00932A90" w:rsidRDefault="00A61FF5" w:rsidP="00D07480">
            <w:pPr>
              <w:pStyle w:val="DETTablecolumnheading"/>
              <w:jc w:val="left"/>
            </w:pPr>
            <w:r w:rsidRPr="00932A90">
              <w:t>Medium 500–3</w:t>
            </w:r>
            <w:r w:rsidR="004E4BE9" w:rsidRPr="00932A90">
              <w:t>,</w:t>
            </w:r>
            <w:r w:rsidRPr="00932A90">
              <w:t>700 km</w:t>
            </w:r>
          </w:p>
        </w:tc>
        <w:tc>
          <w:tcPr>
            <w:tcW w:w="1560" w:type="dxa"/>
            <w:shd w:val="clear" w:color="auto" w:fill="7F7F7F" w:themeFill="text1" w:themeFillTint="80"/>
            <w:vAlign w:val="center"/>
          </w:tcPr>
          <w:p w14:paraId="0DD027ED" w14:textId="5DF78BD7" w:rsidR="00A61FF5" w:rsidRPr="00932A90" w:rsidRDefault="00A61FF5" w:rsidP="00D07480">
            <w:pPr>
              <w:pStyle w:val="DETTablecolumnheading"/>
              <w:jc w:val="left"/>
            </w:pPr>
            <w:r w:rsidRPr="00932A90">
              <w:t>Long &gt;3</w:t>
            </w:r>
            <w:r w:rsidR="004E4BE9" w:rsidRPr="00932A90">
              <w:t>,</w:t>
            </w:r>
            <w:r w:rsidRPr="00932A90">
              <w:t>700 km</w:t>
            </w:r>
          </w:p>
        </w:tc>
        <w:tc>
          <w:tcPr>
            <w:tcW w:w="1559" w:type="dxa"/>
            <w:shd w:val="clear" w:color="auto" w:fill="7F7F7F" w:themeFill="text1" w:themeFillTint="80"/>
            <w:vAlign w:val="center"/>
          </w:tcPr>
          <w:p w14:paraId="05985577" w14:textId="77777777" w:rsidR="00A61FF5" w:rsidRPr="00932A90" w:rsidRDefault="00A61FF5" w:rsidP="00D07480">
            <w:pPr>
              <w:pStyle w:val="DETTablecolumnheading"/>
              <w:jc w:val="left"/>
            </w:pPr>
            <w:r w:rsidRPr="00932A90">
              <w:t>Short &lt;500 km</w:t>
            </w:r>
          </w:p>
        </w:tc>
        <w:tc>
          <w:tcPr>
            <w:tcW w:w="2126" w:type="dxa"/>
            <w:shd w:val="clear" w:color="auto" w:fill="7F7F7F" w:themeFill="text1" w:themeFillTint="80"/>
            <w:vAlign w:val="center"/>
          </w:tcPr>
          <w:p w14:paraId="401369B5" w14:textId="1059726D" w:rsidR="00A61FF5" w:rsidRPr="00932A90" w:rsidRDefault="00A61FF5" w:rsidP="00D07480">
            <w:pPr>
              <w:pStyle w:val="DETTablecolumnheading"/>
              <w:jc w:val="left"/>
            </w:pPr>
            <w:r w:rsidRPr="00932A90">
              <w:t>Medium 500–3</w:t>
            </w:r>
            <w:r w:rsidR="004E4BE9" w:rsidRPr="00932A90">
              <w:t>,</w:t>
            </w:r>
            <w:r w:rsidRPr="00932A90">
              <w:t>700 km</w:t>
            </w:r>
          </w:p>
        </w:tc>
        <w:tc>
          <w:tcPr>
            <w:tcW w:w="1559" w:type="dxa"/>
            <w:shd w:val="clear" w:color="auto" w:fill="7F7F7F" w:themeFill="text1" w:themeFillTint="80"/>
            <w:vAlign w:val="center"/>
          </w:tcPr>
          <w:p w14:paraId="43CB166D" w14:textId="30CD7435" w:rsidR="00A61FF5" w:rsidRPr="00932A90" w:rsidRDefault="00A61FF5" w:rsidP="00D07480">
            <w:pPr>
              <w:pStyle w:val="DETTablecolumnheading"/>
              <w:jc w:val="left"/>
            </w:pPr>
            <w:r w:rsidRPr="00932A90">
              <w:t>Long &gt;3</w:t>
            </w:r>
            <w:r w:rsidR="004E4BE9" w:rsidRPr="00932A90">
              <w:t>,</w:t>
            </w:r>
            <w:r w:rsidRPr="00932A90">
              <w:t>700 km</w:t>
            </w:r>
          </w:p>
        </w:tc>
      </w:tr>
      <w:tr w:rsidR="00A61FF5" w:rsidRPr="00932A90" w14:paraId="386B54F2" w14:textId="77777777" w:rsidTr="00D07480">
        <w:tc>
          <w:tcPr>
            <w:tcW w:w="3261" w:type="dxa"/>
            <w:vAlign w:val="center"/>
          </w:tcPr>
          <w:p w14:paraId="5D52B422" w14:textId="77777777" w:rsidR="00A61FF5" w:rsidRPr="006E49EE" w:rsidRDefault="00A61FF5" w:rsidP="00D07480">
            <w:pPr>
              <w:pStyle w:val="ESTableBody"/>
              <w:rPr>
                <w:lang w:val="en-AU"/>
              </w:rPr>
            </w:pPr>
            <w:r w:rsidRPr="006E49EE">
              <w:rPr>
                <w:lang w:val="en-AU"/>
              </w:rPr>
              <w:t>Total distance travelled by aeroplane (km)</w:t>
            </w:r>
          </w:p>
        </w:tc>
        <w:tc>
          <w:tcPr>
            <w:tcW w:w="1417" w:type="dxa"/>
            <w:shd w:val="clear" w:color="auto" w:fill="F8F8F8"/>
            <w:vAlign w:val="center"/>
          </w:tcPr>
          <w:p w14:paraId="48D56E78" w14:textId="77777777" w:rsidR="00A61FF5" w:rsidRPr="006E49EE" w:rsidRDefault="00A61FF5" w:rsidP="00D07480">
            <w:pPr>
              <w:pStyle w:val="ESTableBody"/>
              <w:jc w:val="right"/>
              <w:rPr>
                <w:lang w:val="en-AU"/>
              </w:rPr>
            </w:pPr>
            <w:r w:rsidRPr="006E49EE">
              <w:rPr>
                <w:lang w:val="en-AU"/>
              </w:rPr>
              <w:t>196,762</w:t>
            </w:r>
          </w:p>
        </w:tc>
        <w:tc>
          <w:tcPr>
            <w:tcW w:w="2126" w:type="dxa"/>
            <w:shd w:val="clear" w:color="auto" w:fill="F8F8F8"/>
            <w:vAlign w:val="center"/>
          </w:tcPr>
          <w:p w14:paraId="3EFBBD92" w14:textId="77777777" w:rsidR="00A61FF5" w:rsidRPr="006E49EE" w:rsidRDefault="00A61FF5" w:rsidP="00D07480">
            <w:pPr>
              <w:pStyle w:val="ESTableBody"/>
              <w:jc w:val="right"/>
              <w:rPr>
                <w:lang w:val="en-AU"/>
              </w:rPr>
            </w:pPr>
            <w:r w:rsidRPr="006E49EE">
              <w:rPr>
                <w:lang w:val="en-AU"/>
              </w:rPr>
              <w:t>466,434</w:t>
            </w:r>
          </w:p>
        </w:tc>
        <w:tc>
          <w:tcPr>
            <w:tcW w:w="1560" w:type="dxa"/>
            <w:shd w:val="clear" w:color="auto" w:fill="F8F8F8"/>
            <w:vAlign w:val="center"/>
          </w:tcPr>
          <w:p w14:paraId="5AA46AEC" w14:textId="77777777" w:rsidR="00A61FF5" w:rsidRPr="006E49EE" w:rsidRDefault="00A61FF5" w:rsidP="00D07480">
            <w:pPr>
              <w:pStyle w:val="ESTableBody"/>
              <w:jc w:val="right"/>
              <w:rPr>
                <w:lang w:val="en-AU"/>
              </w:rPr>
            </w:pPr>
            <w:r w:rsidRPr="006E49EE">
              <w:rPr>
                <w:lang w:val="en-AU"/>
              </w:rPr>
              <w:t>645,417</w:t>
            </w:r>
          </w:p>
        </w:tc>
        <w:tc>
          <w:tcPr>
            <w:tcW w:w="1559" w:type="dxa"/>
            <w:shd w:val="clear" w:color="auto" w:fill="auto"/>
            <w:vAlign w:val="center"/>
          </w:tcPr>
          <w:p w14:paraId="70A6B440" w14:textId="77777777" w:rsidR="00A61FF5" w:rsidRPr="006E49EE" w:rsidRDefault="00A61FF5" w:rsidP="00D07480">
            <w:pPr>
              <w:pStyle w:val="ESTableBody"/>
              <w:jc w:val="right"/>
              <w:rPr>
                <w:lang w:val="en-AU"/>
              </w:rPr>
            </w:pPr>
            <w:r w:rsidRPr="006E49EE">
              <w:rPr>
                <w:lang w:val="en-AU"/>
              </w:rPr>
              <w:t>156,412</w:t>
            </w:r>
          </w:p>
        </w:tc>
        <w:tc>
          <w:tcPr>
            <w:tcW w:w="2126" w:type="dxa"/>
            <w:shd w:val="clear" w:color="auto" w:fill="auto"/>
            <w:vAlign w:val="center"/>
          </w:tcPr>
          <w:p w14:paraId="465DF742" w14:textId="77777777" w:rsidR="00A61FF5" w:rsidRPr="006E49EE" w:rsidRDefault="00A61FF5" w:rsidP="00D07480">
            <w:pPr>
              <w:pStyle w:val="ESTableBody"/>
              <w:jc w:val="right"/>
              <w:rPr>
                <w:lang w:val="en-AU"/>
              </w:rPr>
            </w:pPr>
            <w:r w:rsidRPr="006E49EE">
              <w:rPr>
                <w:lang w:val="en-AU"/>
              </w:rPr>
              <w:t>495,194</w:t>
            </w:r>
          </w:p>
        </w:tc>
        <w:tc>
          <w:tcPr>
            <w:tcW w:w="1559" w:type="dxa"/>
            <w:shd w:val="clear" w:color="auto" w:fill="auto"/>
            <w:vAlign w:val="center"/>
          </w:tcPr>
          <w:p w14:paraId="1DE36A22" w14:textId="77777777" w:rsidR="00A61FF5" w:rsidRPr="006E49EE" w:rsidRDefault="00A61FF5" w:rsidP="00D07480">
            <w:pPr>
              <w:pStyle w:val="ESTableBody"/>
              <w:jc w:val="right"/>
              <w:rPr>
                <w:lang w:val="en-AU"/>
              </w:rPr>
            </w:pPr>
            <w:r w:rsidRPr="006E49EE">
              <w:rPr>
                <w:lang w:val="en-AU"/>
              </w:rPr>
              <w:t>483,802</w:t>
            </w:r>
          </w:p>
        </w:tc>
      </w:tr>
    </w:tbl>
    <w:p w14:paraId="08A6A368" w14:textId="71D25F8F"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32</w:t>
      </w:r>
      <w:r w:rsidR="00D93BA2" w:rsidRPr="006E49EE">
        <w:rPr>
          <w:lang w:val="en-AU"/>
        </w:rPr>
        <w:fldChar w:fldCharType="end"/>
      </w:r>
      <w:r w:rsidRPr="006E49EE">
        <w:rPr>
          <w:lang w:val="en-AU"/>
        </w:rPr>
        <w:t xml:space="preserve"> – Sustainable community of staff</w:t>
      </w:r>
    </w:p>
    <w:tbl>
      <w:tblPr>
        <w:tblW w:w="13608" w:type="dxa"/>
        <w:tblBorders>
          <w:bottom w:val="single" w:sz="4" w:space="0" w:color="auto"/>
        </w:tblBorders>
        <w:tblLook w:val="04A0" w:firstRow="1" w:lastRow="0" w:firstColumn="1" w:lastColumn="0" w:noHBand="0" w:noVBand="1"/>
      </w:tblPr>
      <w:tblGrid>
        <w:gridCol w:w="8080"/>
        <w:gridCol w:w="1276"/>
        <w:gridCol w:w="1701"/>
        <w:gridCol w:w="1276"/>
        <w:gridCol w:w="1275"/>
      </w:tblGrid>
      <w:tr w:rsidR="00A61FF5" w:rsidRPr="00932A90" w14:paraId="7DE86640" w14:textId="77777777" w:rsidTr="00D07480">
        <w:tc>
          <w:tcPr>
            <w:tcW w:w="8080" w:type="dxa"/>
            <w:shd w:val="clear" w:color="auto" w:fill="7F7F7F" w:themeFill="text1" w:themeFillTint="80"/>
            <w:vAlign w:val="center"/>
          </w:tcPr>
          <w:p w14:paraId="7BD777F0" w14:textId="77777777" w:rsidR="00A61FF5" w:rsidRPr="00932A90" w:rsidRDefault="00A61FF5" w:rsidP="00A20AE6">
            <w:pPr>
              <w:pStyle w:val="DETTablecolumnheading"/>
              <w:jc w:val="left"/>
            </w:pPr>
            <w:r w:rsidRPr="00932A90">
              <w:t>Sustainable commuting</w:t>
            </w:r>
          </w:p>
        </w:tc>
        <w:tc>
          <w:tcPr>
            <w:tcW w:w="2977" w:type="dxa"/>
            <w:gridSpan w:val="2"/>
            <w:shd w:val="clear" w:color="auto" w:fill="7F7F7F" w:themeFill="text1" w:themeFillTint="80"/>
          </w:tcPr>
          <w:p w14:paraId="14212402" w14:textId="77777777" w:rsidR="00A61FF5" w:rsidRPr="00932A90" w:rsidRDefault="00A61FF5" w:rsidP="00D07480">
            <w:pPr>
              <w:pStyle w:val="DETTablecolumnheading"/>
            </w:pPr>
            <w:r w:rsidRPr="00932A90">
              <w:t>2016–17</w:t>
            </w:r>
          </w:p>
        </w:tc>
        <w:tc>
          <w:tcPr>
            <w:tcW w:w="2551" w:type="dxa"/>
            <w:gridSpan w:val="2"/>
            <w:shd w:val="clear" w:color="auto" w:fill="7F7F7F" w:themeFill="text1" w:themeFillTint="80"/>
          </w:tcPr>
          <w:p w14:paraId="566F10E8" w14:textId="77777777" w:rsidR="00A61FF5" w:rsidRPr="00932A90" w:rsidRDefault="00A61FF5" w:rsidP="00D07480">
            <w:pPr>
              <w:pStyle w:val="DETTablecolumnheading"/>
            </w:pPr>
            <w:r w:rsidRPr="00932A90">
              <w:t>2015–16</w:t>
            </w:r>
          </w:p>
        </w:tc>
      </w:tr>
      <w:tr w:rsidR="00A61FF5" w:rsidRPr="00932A90" w14:paraId="4638006D" w14:textId="77777777" w:rsidTr="00D07480">
        <w:tc>
          <w:tcPr>
            <w:tcW w:w="8080" w:type="dxa"/>
            <w:shd w:val="clear" w:color="auto" w:fill="7F7F7F" w:themeFill="text1" w:themeFillTint="80"/>
          </w:tcPr>
          <w:p w14:paraId="57A79A83" w14:textId="77777777" w:rsidR="00A61FF5" w:rsidRPr="00932A90" w:rsidRDefault="00A61FF5" w:rsidP="00D07480">
            <w:pPr>
              <w:pStyle w:val="DETTablecolumnheading"/>
            </w:pPr>
          </w:p>
        </w:tc>
        <w:tc>
          <w:tcPr>
            <w:tcW w:w="1276" w:type="dxa"/>
            <w:shd w:val="clear" w:color="auto" w:fill="7F7F7F" w:themeFill="text1" w:themeFillTint="80"/>
          </w:tcPr>
          <w:p w14:paraId="53DF77C5" w14:textId="77777777" w:rsidR="00A61FF5" w:rsidRPr="00932A90" w:rsidRDefault="00A61FF5" w:rsidP="00D07480">
            <w:pPr>
              <w:pStyle w:val="DETTablecolumnheading"/>
            </w:pPr>
            <w:r w:rsidRPr="00932A90">
              <w:t>Central</w:t>
            </w:r>
          </w:p>
        </w:tc>
        <w:tc>
          <w:tcPr>
            <w:tcW w:w="1701" w:type="dxa"/>
            <w:shd w:val="clear" w:color="auto" w:fill="7F7F7F" w:themeFill="text1" w:themeFillTint="80"/>
          </w:tcPr>
          <w:p w14:paraId="3F0294C9" w14:textId="77777777" w:rsidR="00A61FF5" w:rsidRPr="00932A90" w:rsidRDefault="00A61FF5" w:rsidP="00D07480">
            <w:pPr>
              <w:pStyle w:val="DETTablecolumnheading"/>
            </w:pPr>
            <w:r w:rsidRPr="00932A90">
              <w:t>Regional</w:t>
            </w:r>
          </w:p>
        </w:tc>
        <w:tc>
          <w:tcPr>
            <w:tcW w:w="1276" w:type="dxa"/>
            <w:shd w:val="clear" w:color="auto" w:fill="7F7F7F" w:themeFill="text1" w:themeFillTint="80"/>
          </w:tcPr>
          <w:p w14:paraId="6112C327" w14:textId="77777777" w:rsidR="00A61FF5" w:rsidRPr="00932A90" w:rsidRDefault="00A61FF5" w:rsidP="00D07480">
            <w:pPr>
              <w:pStyle w:val="DETTablecolumnheading"/>
            </w:pPr>
            <w:r w:rsidRPr="00932A90">
              <w:t>Central</w:t>
            </w:r>
          </w:p>
        </w:tc>
        <w:tc>
          <w:tcPr>
            <w:tcW w:w="1275" w:type="dxa"/>
            <w:shd w:val="clear" w:color="auto" w:fill="7F7F7F" w:themeFill="text1" w:themeFillTint="80"/>
          </w:tcPr>
          <w:p w14:paraId="27D58ABB" w14:textId="77777777" w:rsidR="00A61FF5" w:rsidRPr="00932A90" w:rsidRDefault="00A61FF5" w:rsidP="00D07480">
            <w:pPr>
              <w:pStyle w:val="DETTablecolumnheading"/>
            </w:pPr>
            <w:r w:rsidRPr="00932A90">
              <w:t>Regional</w:t>
            </w:r>
          </w:p>
        </w:tc>
      </w:tr>
      <w:tr w:rsidR="00A61FF5" w:rsidRPr="00932A90" w14:paraId="1876A1C0" w14:textId="77777777" w:rsidTr="00D07480">
        <w:tc>
          <w:tcPr>
            <w:tcW w:w="8080" w:type="dxa"/>
          </w:tcPr>
          <w:p w14:paraId="6D751CED" w14:textId="77777777" w:rsidR="00A61FF5" w:rsidRPr="006E49EE" w:rsidRDefault="00A61FF5" w:rsidP="00D07480">
            <w:pPr>
              <w:pStyle w:val="ESTableBody"/>
              <w:rPr>
                <w:lang w:val="en-AU"/>
              </w:rPr>
            </w:pPr>
            <w:r w:rsidRPr="006E49EE">
              <w:rPr>
                <w:lang w:val="en-AU"/>
              </w:rPr>
              <w:t>Percentage of employees regularly (&gt;75 per cent of attendance days) using public transport, cycling, walking or car-pooling to and from work or working from home, by workplace locality.</w:t>
            </w:r>
          </w:p>
        </w:tc>
        <w:tc>
          <w:tcPr>
            <w:tcW w:w="1276" w:type="dxa"/>
            <w:shd w:val="clear" w:color="auto" w:fill="F8F8F8"/>
            <w:vAlign w:val="center"/>
          </w:tcPr>
          <w:p w14:paraId="40E3AD4E" w14:textId="77777777" w:rsidR="00A61FF5" w:rsidRPr="006E49EE" w:rsidRDefault="00A61FF5" w:rsidP="00D07480">
            <w:pPr>
              <w:pStyle w:val="ESTableBody"/>
              <w:jc w:val="right"/>
              <w:rPr>
                <w:lang w:val="en-AU"/>
              </w:rPr>
            </w:pPr>
            <w:r w:rsidRPr="006E49EE">
              <w:rPr>
                <w:lang w:val="en-AU"/>
              </w:rPr>
              <w:t>95</w:t>
            </w:r>
          </w:p>
        </w:tc>
        <w:tc>
          <w:tcPr>
            <w:tcW w:w="1701" w:type="dxa"/>
            <w:shd w:val="clear" w:color="auto" w:fill="F8F8F8"/>
            <w:vAlign w:val="center"/>
          </w:tcPr>
          <w:p w14:paraId="797C50E4" w14:textId="77777777" w:rsidR="00A61FF5" w:rsidRPr="006E49EE" w:rsidRDefault="00A61FF5" w:rsidP="00D07480">
            <w:pPr>
              <w:pStyle w:val="ESTableBody"/>
              <w:jc w:val="right"/>
              <w:rPr>
                <w:lang w:val="en-AU"/>
              </w:rPr>
            </w:pPr>
            <w:r w:rsidRPr="006E49EE">
              <w:rPr>
                <w:lang w:val="en-AU"/>
              </w:rPr>
              <w:t>80</w:t>
            </w:r>
          </w:p>
        </w:tc>
        <w:tc>
          <w:tcPr>
            <w:tcW w:w="1276" w:type="dxa"/>
            <w:shd w:val="clear" w:color="auto" w:fill="auto"/>
            <w:vAlign w:val="center"/>
          </w:tcPr>
          <w:p w14:paraId="31382694" w14:textId="77777777" w:rsidR="00A61FF5" w:rsidRPr="006E49EE" w:rsidRDefault="00A61FF5" w:rsidP="00D07480">
            <w:pPr>
              <w:pStyle w:val="ESTableBody"/>
              <w:jc w:val="right"/>
              <w:rPr>
                <w:lang w:val="en-AU"/>
              </w:rPr>
            </w:pPr>
            <w:r w:rsidRPr="006E49EE">
              <w:rPr>
                <w:lang w:val="en-AU"/>
              </w:rPr>
              <w:t>93</w:t>
            </w:r>
          </w:p>
        </w:tc>
        <w:tc>
          <w:tcPr>
            <w:tcW w:w="1275" w:type="dxa"/>
            <w:shd w:val="clear" w:color="auto" w:fill="auto"/>
            <w:vAlign w:val="center"/>
          </w:tcPr>
          <w:p w14:paraId="522CB708" w14:textId="77777777" w:rsidR="00A61FF5" w:rsidRPr="006E49EE" w:rsidRDefault="00A61FF5" w:rsidP="00D07480">
            <w:pPr>
              <w:pStyle w:val="ESTableBody"/>
              <w:jc w:val="right"/>
              <w:rPr>
                <w:lang w:val="en-AU"/>
              </w:rPr>
            </w:pPr>
            <w:r w:rsidRPr="006E49EE">
              <w:rPr>
                <w:lang w:val="en-AU"/>
              </w:rPr>
              <w:t>0</w:t>
            </w:r>
          </w:p>
        </w:tc>
      </w:tr>
    </w:tbl>
    <w:p w14:paraId="1A27EF2F" w14:textId="521CD627" w:rsidR="00A61FF5" w:rsidRPr="006E49EE" w:rsidRDefault="00A61FF5" w:rsidP="00A61FF5">
      <w:pPr>
        <w:pStyle w:val="StyleESBodyTextBoldAfter0pt1"/>
        <w:rPr>
          <w:lang w:val="en-AU"/>
        </w:rPr>
        <w:sectPr w:rsidR="00A61FF5" w:rsidRPr="006E49EE" w:rsidSect="003E567D">
          <w:pgSz w:w="16840" w:h="11900" w:orient="landscape"/>
          <w:pgMar w:top="2835" w:right="1440" w:bottom="1701" w:left="1440" w:header="708" w:footer="708" w:gutter="0"/>
          <w:cols w:space="708"/>
          <w:docGrid w:linePitch="360"/>
        </w:sectPr>
      </w:pPr>
    </w:p>
    <w:p w14:paraId="090FACE7" w14:textId="77777777" w:rsidR="00A61FF5" w:rsidRPr="006E49EE" w:rsidRDefault="00A61FF5" w:rsidP="00A61FF5">
      <w:pPr>
        <w:pStyle w:val="StyleESBodyTextBoldAfter0pt1"/>
        <w:rPr>
          <w:lang w:val="en-AU"/>
        </w:rPr>
      </w:pPr>
      <w:r w:rsidRPr="006E49EE">
        <w:rPr>
          <w:lang w:val="en-AU"/>
        </w:rPr>
        <w:t>Target</w:t>
      </w:r>
    </w:p>
    <w:p w14:paraId="5CA7553F" w14:textId="77777777" w:rsidR="00A9593E" w:rsidRPr="006E49EE" w:rsidRDefault="00A61FF5" w:rsidP="00A61FF5">
      <w:pPr>
        <w:pStyle w:val="ESBodyText"/>
        <w:rPr>
          <w:lang w:val="en-AU"/>
        </w:rPr>
      </w:pPr>
      <w:r w:rsidRPr="006E49EE">
        <w:rPr>
          <w:lang w:val="en-AU"/>
        </w:rPr>
        <w:t>Reduce by five per cent of 2015–16 levels the total kilometres travelled by operational vehicles by 31 March 2017.</w:t>
      </w:r>
    </w:p>
    <w:p w14:paraId="051AE7AD" w14:textId="318529F4" w:rsidR="00A61FF5" w:rsidRPr="006E49EE" w:rsidRDefault="00A61FF5" w:rsidP="009A0DF2">
      <w:pPr>
        <w:pStyle w:val="ESHeading4"/>
        <w:rPr>
          <w:lang w:val="en-AU"/>
        </w:rPr>
      </w:pPr>
      <w:r w:rsidRPr="006E49EE">
        <w:rPr>
          <w:lang w:val="en-AU"/>
        </w:rPr>
        <w:t>Assessment against target</w:t>
      </w:r>
    </w:p>
    <w:p w14:paraId="79D29D07" w14:textId="77777777" w:rsidR="00A9593E" w:rsidRPr="006E49EE" w:rsidRDefault="00A61FF5" w:rsidP="00A61FF5">
      <w:pPr>
        <w:pStyle w:val="ESBodyText"/>
        <w:rPr>
          <w:lang w:val="en-AU"/>
        </w:rPr>
      </w:pPr>
      <w:r w:rsidRPr="006E49EE">
        <w:rPr>
          <w:lang w:val="en-AU"/>
        </w:rPr>
        <w:t>Total kilometres travelled by the operational vehicle fleet fell by one per cent from 2015–16, not quite reaching the five per cent reduction target. In addition, the use of petrol-fuelled vehicles increased, while there was less use of more fuel-efficient vehicles such as hybrids. This led to a corresponding rise in the energy consumed and a commensurate net emissions increase of four per cent from 2015–16 levels.</w:t>
      </w:r>
    </w:p>
    <w:p w14:paraId="6D0CEF7E" w14:textId="1A7E4966" w:rsidR="00A61FF5" w:rsidRPr="006E49EE" w:rsidRDefault="00A61FF5" w:rsidP="009A0DF2">
      <w:pPr>
        <w:pStyle w:val="ESHeading4"/>
        <w:rPr>
          <w:lang w:val="en-AU"/>
        </w:rPr>
      </w:pPr>
      <w:r w:rsidRPr="006E49EE">
        <w:rPr>
          <w:lang w:val="en-AU"/>
        </w:rPr>
        <w:t>Explanatory notes</w:t>
      </w:r>
    </w:p>
    <w:p w14:paraId="244CA565" w14:textId="77777777" w:rsidR="00A61FF5" w:rsidRPr="006E49EE" w:rsidRDefault="00A61FF5" w:rsidP="00A61FF5">
      <w:pPr>
        <w:pStyle w:val="ESBodyText"/>
        <w:rPr>
          <w:lang w:val="en-AU"/>
        </w:rPr>
      </w:pPr>
      <w:r w:rsidRPr="006E49EE">
        <w:rPr>
          <w:lang w:val="en-AU"/>
        </w:rPr>
        <w:t>Sustainable commuting figures are obtained via staff survey and can be affected by response rates.</w:t>
      </w:r>
    </w:p>
    <w:p w14:paraId="2B71C778" w14:textId="77777777" w:rsidR="00A61FF5" w:rsidRPr="006E49EE" w:rsidRDefault="00A61FF5" w:rsidP="00A61FF5">
      <w:pPr>
        <w:pStyle w:val="ESHeading3"/>
        <w:rPr>
          <w:lang w:val="en-AU"/>
        </w:rPr>
      </w:pPr>
      <w:r w:rsidRPr="006E49EE">
        <w:rPr>
          <w:lang w:val="en-AU"/>
        </w:rPr>
        <w:t>Greenhouse gas emissions</w:t>
      </w:r>
    </w:p>
    <w:p w14:paraId="46FE0DC7" w14:textId="77777777" w:rsidR="00A61FF5" w:rsidRPr="006E49EE" w:rsidRDefault="00A61FF5" w:rsidP="00A61FF5">
      <w:pPr>
        <w:pStyle w:val="ESBodyText"/>
        <w:rPr>
          <w:highlight w:val="yellow"/>
          <w:lang w:val="en-AU"/>
        </w:rPr>
      </w:pPr>
      <w:r w:rsidRPr="006E49EE">
        <w:rPr>
          <w:lang w:val="en-AU"/>
        </w:rPr>
        <w:t>The emissions disclosed in the section below are taken from the previous sections and brought together here to show the Department’s greenhouse footprint.</w:t>
      </w:r>
    </w:p>
    <w:p w14:paraId="1B635433" w14:textId="20274EB7"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33</w:t>
      </w:r>
      <w:r w:rsidR="00D93BA2" w:rsidRPr="006E49EE">
        <w:rPr>
          <w:lang w:val="en-AU"/>
        </w:rPr>
        <w:fldChar w:fldCharType="end"/>
      </w:r>
      <w:r w:rsidRPr="006E49EE">
        <w:rPr>
          <w:lang w:val="en-AU"/>
        </w:rPr>
        <w:t xml:space="preserve"> – Department emissions</w:t>
      </w:r>
    </w:p>
    <w:tbl>
      <w:tblPr>
        <w:tblW w:w="7289" w:type="dxa"/>
        <w:jc w:val="center"/>
        <w:tblLook w:val="04A0" w:firstRow="1" w:lastRow="0" w:firstColumn="1" w:lastColumn="0" w:noHBand="0" w:noVBand="1"/>
      </w:tblPr>
      <w:tblGrid>
        <w:gridCol w:w="5499"/>
        <w:gridCol w:w="895"/>
        <w:gridCol w:w="895"/>
      </w:tblGrid>
      <w:tr w:rsidR="00A61FF5" w:rsidRPr="00932A90" w14:paraId="056C6C37" w14:textId="77777777" w:rsidTr="00D07480">
        <w:trPr>
          <w:jc w:val="center"/>
        </w:trPr>
        <w:tc>
          <w:tcPr>
            <w:tcW w:w="5499" w:type="dxa"/>
            <w:shd w:val="clear" w:color="auto" w:fill="7F7F7F" w:themeFill="text1" w:themeFillTint="80"/>
            <w:vAlign w:val="center"/>
          </w:tcPr>
          <w:p w14:paraId="4CA1F840" w14:textId="77777777" w:rsidR="00A61FF5" w:rsidRPr="00932A90" w:rsidRDefault="00A61FF5" w:rsidP="00D07480">
            <w:pPr>
              <w:pStyle w:val="DETTablecolumnheading"/>
              <w:jc w:val="left"/>
            </w:pPr>
            <w:r w:rsidRPr="00932A90">
              <w:t>Indicator</w:t>
            </w:r>
          </w:p>
        </w:tc>
        <w:tc>
          <w:tcPr>
            <w:tcW w:w="895" w:type="dxa"/>
            <w:shd w:val="clear" w:color="auto" w:fill="7F7F7F" w:themeFill="text1" w:themeFillTint="80"/>
            <w:vAlign w:val="center"/>
          </w:tcPr>
          <w:p w14:paraId="7CBD9347" w14:textId="77777777" w:rsidR="00A61FF5" w:rsidRPr="00932A90" w:rsidRDefault="00A61FF5" w:rsidP="00D07480">
            <w:pPr>
              <w:pStyle w:val="DETTablecolumnheading"/>
              <w:jc w:val="left"/>
            </w:pPr>
            <w:r w:rsidRPr="00932A90">
              <w:t>2016–17</w:t>
            </w:r>
          </w:p>
        </w:tc>
        <w:tc>
          <w:tcPr>
            <w:tcW w:w="895" w:type="dxa"/>
            <w:shd w:val="clear" w:color="auto" w:fill="7F7F7F" w:themeFill="text1" w:themeFillTint="80"/>
            <w:vAlign w:val="center"/>
          </w:tcPr>
          <w:p w14:paraId="0FC7F771" w14:textId="77777777" w:rsidR="00A61FF5" w:rsidRPr="00932A90" w:rsidRDefault="00A61FF5" w:rsidP="00D07480">
            <w:pPr>
              <w:pStyle w:val="DETTablecolumnheading"/>
              <w:jc w:val="left"/>
            </w:pPr>
            <w:r w:rsidRPr="00932A90">
              <w:t>2015–16</w:t>
            </w:r>
          </w:p>
        </w:tc>
      </w:tr>
      <w:tr w:rsidR="00A61FF5" w:rsidRPr="00932A90" w14:paraId="56F2DF3C" w14:textId="77777777" w:rsidTr="00D07480">
        <w:trPr>
          <w:jc w:val="center"/>
        </w:trPr>
        <w:tc>
          <w:tcPr>
            <w:tcW w:w="5499" w:type="dxa"/>
            <w:shd w:val="clear" w:color="auto" w:fill="auto"/>
            <w:vAlign w:val="center"/>
          </w:tcPr>
          <w:p w14:paraId="2B803C5E" w14:textId="77777777" w:rsidR="00A61FF5" w:rsidRPr="006E49EE" w:rsidRDefault="00A61FF5" w:rsidP="00D07480">
            <w:pPr>
              <w:pStyle w:val="ESTableBody"/>
              <w:rPr>
                <w:lang w:val="en-AU"/>
              </w:rPr>
            </w:pPr>
            <w:r w:rsidRPr="006E49EE">
              <w:rPr>
                <w:lang w:val="en-AU"/>
              </w:rPr>
              <w:t>Total greenhouse gas emissions from energy use (t CO</w:t>
            </w:r>
            <w:r w:rsidRPr="006E49EE">
              <w:rPr>
                <w:vertAlign w:val="subscript"/>
                <w:lang w:val="en-AU"/>
              </w:rPr>
              <w:t>2</w:t>
            </w:r>
            <w:r w:rsidRPr="006E49EE">
              <w:rPr>
                <w:lang w:val="en-AU"/>
              </w:rPr>
              <w:t xml:space="preserve"> e)</w:t>
            </w:r>
          </w:p>
        </w:tc>
        <w:tc>
          <w:tcPr>
            <w:tcW w:w="895" w:type="dxa"/>
            <w:shd w:val="clear" w:color="auto" w:fill="F2F2F2" w:themeFill="background1" w:themeFillShade="F2"/>
            <w:vAlign w:val="center"/>
          </w:tcPr>
          <w:p w14:paraId="7198B970" w14:textId="771A9A3D" w:rsidR="00A61FF5" w:rsidRPr="006E49EE" w:rsidRDefault="00A61FF5" w:rsidP="00D07480">
            <w:pPr>
              <w:pStyle w:val="ESTableBody"/>
              <w:jc w:val="right"/>
              <w:rPr>
                <w:lang w:val="en-AU"/>
              </w:rPr>
            </w:pPr>
            <w:r w:rsidRPr="006E49EE">
              <w:rPr>
                <w:lang w:val="en-AU"/>
              </w:rPr>
              <w:t>7</w:t>
            </w:r>
            <w:r w:rsidR="004E4BE9" w:rsidRPr="006E49EE">
              <w:rPr>
                <w:lang w:val="en-AU"/>
              </w:rPr>
              <w:t>,</w:t>
            </w:r>
            <w:r w:rsidRPr="006E49EE">
              <w:rPr>
                <w:lang w:val="en-AU"/>
              </w:rPr>
              <w:t>673</w:t>
            </w:r>
          </w:p>
        </w:tc>
        <w:tc>
          <w:tcPr>
            <w:tcW w:w="895" w:type="dxa"/>
            <w:shd w:val="clear" w:color="auto" w:fill="auto"/>
            <w:vAlign w:val="center"/>
          </w:tcPr>
          <w:p w14:paraId="0B0EEEFC" w14:textId="0642E649" w:rsidR="00A61FF5" w:rsidRPr="006E49EE" w:rsidRDefault="00A61FF5" w:rsidP="00D07480">
            <w:pPr>
              <w:pStyle w:val="ESTableBody"/>
              <w:jc w:val="right"/>
              <w:rPr>
                <w:lang w:val="en-AU"/>
              </w:rPr>
            </w:pPr>
            <w:r w:rsidRPr="006E49EE">
              <w:rPr>
                <w:lang w:val="en-AU"/>
              </w:rPr>
              <w:t>7</w:t>
            </w:r>
            <w:r w:rsidR="004E4BE9" w:rsidRPr="006E49EE">
              <w:rPr>
                <w:lang w:val="en-AU"/>
              </w:rPr>
              <w:t>,</w:t>
            </w:r>
            <w:r w:rsidRPr="006E49EE">
              <w:rPr>
                <w:lang w:val="en-AU"/>
              </w:rPr>
              <w:t>699</w:t>
            </w:r>
          </w:p>
        </w:tc>
      </w:tr>
      <w:tr w:rsidR="00A61FF5" w:rsidRPr="00932A90" w14:paraId="4A2A6EB3" w14:textId="77777777" w:rsidTr="00D07480">
        <w:trPr>
          <w:jc w:val="center"/>
        </w:trPr>
        <w:tc>
          <w:tcPr>
            <w:tcW w:w="5499" w:type="dxa"/>
            <w:shd w:val="clear" w:color="auto" w:fill="auto"/>
            <w:vAlign w:val="center"/>
          </w:tcPr>
          <w:p w14:paraId="3E6AE8A6" w14:textId="77777777" w:rsidR="00A61FF5" w:rsidRPr="006E49EE" w:rsidRDefault="00A61FF5" w:rsidP="00D07480">
            <w:pPr>
              <w:pStyle w:val="ESTableBody"/>
              <w:rPr>
                <w:lang w:val="en-AU"/>
              </w:rPr>
            </w:pPr>
            <w:r w:rsidRPr="006E49EE">
              <w:rPr>
                <w:lang w:val="en-AU"/>
              </w:rPr>
              <w:t>Total greenhouse gas emissions from waste production (t CO</w:t>
            </w:r>
            <w:r w:rsidRPr="006E49EE">
              <w:rPr>
                <w:vertAlign w:val="subscript"/>
                <w:lang w:val="en-AU"/>
              </w:rPr>
              <w:t>2</w:t>
            </w:r>
            <w:r w:rsidRPr="006E49EE">
              <w:rPr>
                <w:lang w:val="en-AU"/>
              </w:rPr>
              <w:t xml:space="preserve"> e)</w:t>
            </w:r>
          </w:p>
        </w:tc>
        <w:tc>
          <w:tcPr>
            <w:tcW w:w="895" w:type="dxa"/>
            <w:shd w:val="clear" w:color="auto" w:fill="F2F2F2" w:themeFill="background1" w:themeFillShade="F2"/>
            <w:vAlign w:val="center"/>
          </w:tcPr>
          <w:p w14:paraId="266BF8B4" w14:textId="77777777" w:rsidR="00A61FF5" w:rsidRPr="006E49EE" w:rsidRDefault="00A61FF5" w:rsidP="00D07480">
            <w:pPr>
              <w:pStyle w:val="ESTableBody"/>
              <w:jc w:val="right"/>
              <w:rPr>
                <w:lang w:val="en-AU"/>
              </w:rPr>
            </w:pPr>
            <w:r w:rsidRPr="006E49EE">
              <w:rPr>
                <w:lang w:val="en-AU"/>
              </w:rPr>
              <w:t>34</w:t>
            </w:r>
          </w:p>
        </w:tc>
        <w:tc>
          <w:tcPr>
            <w:tcW w:w="895" w:type="dxa"/>
            <w:shd w:val="clear" w:color="auto" w:fill="auto"/>
            <w:vAlign w:val="center"/>
          </w:tcPr>
          <w:p w14:paraId="1730E769" w14:textId="77777777" w:rsidR="00A61FF5" w:rsidRPr="006E49EE" w:rsidRDefault="00A61FF5" w:rsidP="00D07480">
            <w:pPr>
              <w:pStyle w:val="ESTableBody"/>
              <w:jc w:val="right"/>
              <w:rPr>
                <w:lang w:val="en-AU"/>
              </w:rPr>
            </w:pPr>
            <w:r w:rsidRPr="006E49EE">
              <w:rPr>
                <w:lang w:val="en-AU"/>
              </w:rPr>
              <w:t>29</w:t>
            </w:r>
          </w:p>
        </w:tc>
      </w:tr>
      <w:tr w:rsidR="00A61FF5" w:rsidRPr="00932A90" w14:paraId="331FBA66" w14:textId="77777777" w:rsidTr="00D07480">
        <w:trPr>
          <w:jc w:val="center"/>
        </w:trPr>
        <w:tc>
          <w:tcPr>
            <w:tcW w:w="5499" w:type="dxa"/>
            <w:shd w:val="clear" w:color="auto" w:fill="auto"/>
            <w:vAlign w:val="center"/>
          </w:tcPr>
          <w:p w14:paraId="58E5B4C6" w14:textId="77777777" w:rsidR="00A61FF5" w:rsidRPr="006E49EE" w:rsidRDefault="00A61FF5" w:rsidP="00D07480">
            <w:pPr>
              <w:pStyle w:val="ESTableBody"/>
              <w:rPr>
                <w:lang w:val="en-AU"/>
              </w:rPr>
            </w:pPr>
            <w:r w:rsidRPr="006E49EE">
              <w:rPr>
                <w:lang w:val="en-AU"/>
              </w:rPr>
              <w:t>Total greenhouse gas emissions from paper purchases (t CO</w:t>
            </w:r>
            <w:r w:rsidRPr="006E49EE">
              <w:rPr>
                <w:vertAlign w:val="subscript"/>
                <w:lang w:val="en-AU"/>
              </w:rPr>
              <w:t>2</w:t>
            </w:r>
            <w:r w:rsidRPr="006E49EE">
              <w:rPr>
                <w:lang w:val="en-AU"/>
              </w:rPr>
              <w:t xml:space="preserve"> e)</w:t>
            </w:r>
          </w:p>
        </w:tc>
        <w:tc>
          <w:tcPr>
            <w:tcW w:w="895" w:type="dxa"/>
            <w:shd w:val="clear" w:color="auto" w:fill="F2F2F2" w:themeFill="background1" w:themeFillShade="F2"/>
            <w:vAlign w:val="center"/>
          </w:tcPr>
          <w:p w14:paraId="7F54F168" w14:textId="77777777" w:rsidR="00A61FF5" w:rsidRPr="006E49EE" w:rsidRDefault="00A61FF5" w:rsidP="00D07480">
            <w:pPr>
              <w:pStyle w:val="ESTableBody"/>
              <w:jc w:val="right"/>
              <w:rPr>
                <w:lang w:val="en-AU"/>
              </w:rPr>
            </w:pPr>
            <w:r w:rsidRPr="006E49EE">
              <w:rPr>
                <w:lang w:val="en-AU"/>
              </w:rPr>
              <w:t>115</w:t>
            </w:r>
          </w:p>
        </w:tc>
        <w:tc>
          <w:tcPr>
            <w:tcW w:w="895" w:type="dxa"/>
            <w:shd w:val="clear" w:color="auto" w:fill="auto"/>
            <w:vAlign w:val="center"/>
          </w:tcPr>
          <w:p w14:paraId="78BE2F0B" w14:textId="77777777" w:rsidR="00A61FF5" w:rsidRPr="006E49EE" w:rsidRDefault="00A61FF5" w:rsidP="00D07480">
            <w:pPr>
              <w:pStyle w:val="ESTableBody"/>
              <w:jc w:val="right"/>
              <w:rPr>
                <w:lang w:val="en-AU"/>
              </w:rPr>
            </w:pPr>
            <w:r w:rsidRPr="006E49EE">
              <w:rPr>
                <w:lang w:val="en-AU"/>
              </w:rPr>
              <w:t>115</w:t>
            </w:r>
          </w:p>
        </w:tc>
      </w:tr>
      <w:tr w:rsidR="00A61FF5" w:rsidRPr="00932A90" w14:paraId="15F7CC85" w14:textId="77777777" w:rsidTr="00D07480">
        <w:trPr>
          <w:jc w:val="center"/>
        </w:trPr>
        <w:tc>
          <w:tcPr>
            <w:tcW w:w="5499" w:type="dxa"/>
            <w:shd w:val="clear" w:color="auto" w:fill="auto"/>
            <w:vAlign w:val="center"/>
          </w:tcPr>
          <w:p w14:paraId="633EA934" w14:textId="77777777" w:rsidR="00A61FF5" w:rsidRPr="006E49EE" w:rsidRDefault="00A61FF5" w:rsidP="00D07480">
            <w:pPr>
              <w:pStyle w:val="ESTableBody"/>
              <w:rPr>
                <w:lang w:val="en-AU"/>
              </w:rPr>
            </w:pPr>
            <w:r w:rsidRPr="006E49EE">
              <w:rPr>
                <w:lang w:val="en-AU"/>
              </w:rPr>
              <w:t>Total greenhouse gas emissions from water consumption (t CO</w:t>
            </w:r>
            <w:r w:rsidRPr="006E49EE">
              <w:rPr>
                <w:vertAlign w:val="subscript"/>
                <w:lang w:val="en-AU"/>
              </w:rPr>
              <w:t>2</w:t>
            </w:r>
            <w:r w:rsidRPr="006E49EE">
              <w:rPr>
                <w:lang w:val="en-AU"/>
              </w:rPr>
              <w:t xml:space="preserve"> e)</w:t>
            </w:r>
          </w:p>
        </w:tc>
        <w:tc>
          <w:tcPr>
            <w:tcW w:w="895" w:type="dxa"/>
            <w:shd w:val="clear" w:color="auto" w:fill="F2F2F2" w:themeFill="background1" w:themeFillShade="F2"/>
            <w:vAlign w:val="center"/>
          </w:tcPr>
          <w:p w14:paraId="75EE1B09" w14:textId="77777777" w:rsidR="00A61FF5" w:rsidRPr="006E49EE" w:rsidRDefault="00A61FF5" w:rsidP="00D07480">
            <w:pPr>
              <w:pStyle w:val="ESTableBody"/>
              <w:jc w:val="right"/>
              <w:rPr>
                <w:lang w:val="en-AU"/>
              </w:rPr>
            </w:pPr>
            <w:r w:rsidRPr="006E49EE">
              <w:rPr>
                <w:lang w:val="en-AU"/>
              </w:rPr>
              <w:t>25</w:t>
            </w:r>
          </w:p>
        </w:tc>
        <w:tc>
          <w:tcPr>
            <w:tcW w:w="895" w:type="dxa"/>
            <w:shd w:val="clear" w:color="auto" w:fill="auto"/>
            <w:vAlign w:val="center"/>
          </w:tcPr>
          <w:p w14:paraId="4A901EBB" w14:textId="77777777" w:rsidR="00A61FF5" w:rsidRPr="006E49EE" w:rsidRDefault="00A61FF5" w:rsidP="00D07480">
            <w:pPr>
              <w:pStyle w:val="ESTableBody"/>
              <w:jc w:val="right"/>
              <w:rPr>
                <w:lang w:val="en-AU"/>
              </w:rPr>
            </w:pPr>
            <w:r w:rsidRPr="006E49EE">
              <w:rPr>
                <w:lang w:val="en-AU"/>
              </w:rPr>
              <w:t>25</w:t>
            </w:r>
          </w:p>
        </w:tc>
      </w:tr>
      <w:tr w:rsidR="00A61FF5" w:rsidRPr="00932A90" w14:paraId="407B268E" w14:textId="77777777" w:rsidTr="00D07480">
        <w:trPr>
          <w:jc w:val="center"/>
        </w:trPr>
        <w:tc>
          <w:tcPr>
            <w:tcW w:w="5499" w:type="dxa"/>
            <w:shd w:val="clear" w:color="auto" w:fill="auto"/>
            <w:vAlign w:val="center"/>
          </w:tcPr>
          <w:p w14:paraId="5E6DC2F6" w14:textId="77777777" w:rsidR="00A61FF5" w:rsidRPr="006E49EE" w:rsidRDefault="00A61FF5" w:rsidP="00D07480">
            <w:pPr>
              <w:pStyle w:val="ESTableBody"/>
              <w:rPr>
                <w:lang w:val="en-AU"/>
              </w:rPr>
            </w:pPr>
            <w:r w:rsidRPr="006E49EE">
              <w:rPr>
                <w:lang w:val="en-AU"/>
              </w:rPr>
              <w:t>Total greenhouse gas emissions from vehicle fleet (t CO</w:t>
            </w:r>
            <w:r w:rsidRPr="006E49EE">
              <w:rPr>
                <w:vertAlign w:val="subscript"/>
                <w:lang w:val="en-AU"/>
              </w:rPr>
              <w:t>2</w:t>
            </w:r>
            <w:r w:rsidRPr="006E49EE">
              <w:rPr>
                <w:lang w:val="en-AU"/>
              </w:rPr>
              <w:t xml:space="preserve"> e)</w:t>
            </w:r>
          </w:p>
        </w:tc>
        <w:tc>
          <w:tcPr>
            <w:tcW w:w="895" w:type="dxa"/>
            <w:shd w:val="clear" w:color="auto" w:fill="F2F2F2" w:themeFill="background1" w:themeFillShade="F2"/>
            <w:vAlign w:val="center"/>
          </w:tcPr>
          <w:p w14:paraId="33DD3D7F" w14:textId="77777777" w:rsidR="00A61FF5" w:rsidRPr="006E49EE" w:rsidRDefault="00A61FF5" w:rsidP="00D07480">
            <w:pPr>
              <w:pStyle w:val="ESTableBody"/>
              <w:jc w:val="right"/>
              <w:rPr>
                <w:lang w:val="en-AU"/>
              </w:rPr>
            </w:pPr>
            <w:r w:rsidRPr="006E49EE">
              <w:rPr>
                <w:lang w:val="en-AU"/>
              </w:rPr>
              <w:t>805</w:t>
            </w:r>
          </w:p>
        </w:tc>
        <w:tc>
          <w:tcPr>
            <w:tcW w:w="895" w:type="dxa"/>
            <w:shd w:val="clear" w:color="auto" w:fill="auto"/>
            <w:vAlign w:val="center"/>
          </w:tcPr>
          <w:p w14:paraId="498CFAB7" w14:textId="77777777" w:rsidR="00A61FF5" w:rsidRPr="006E49EE" w:rsidRDefault="00A61FF5" w:rsidP="00D07480">
            <w:pPr>
              <w:pStyle w:val="ESTableBody"/>
              <w:jc w:val="right"/>
              <w:rPr>
                <w:lang w:val="en-AU"/>
              </w:rPr>
            </w:pPr>
            <w:r w:rsidRPr="006E49EE">
              <w:rPr>
                <w:lang w:val="en-AU"/>
              </w:rPr>
              <w:t>777</w:t>
            </w:r>
          </w:p>
        </w:tc>
      </w:tr>
      <w:tr w:rsidR="00A61FF5" w:rsidRPr="00932A90" w14:paraId="1A3BFFE8" w14:textId="77777777" w:rsidTr="00D07480">
        <w:trPr>
          <w:jc w:val="center"/>
        </w:trPr>
        <w:tc>
          <w:tcPr>
            <w:tcW w:w="5499" w:type="dxa"/>
            <w:tcBorders>
              <w:bottom w:val="single" w:sz="4" w:space="0" w:color="auto"/>
            </w:tcBorders>
            <w:shd w:val="clear" w:color="auto" w:fill="auto"/>
            <w:vAlign w:val="center"/>
          </w:tcPr>
          <w:p w14:paraId="4F82FAE3" w14:textId="77777777" w:rsidR="00A61FF5" w:rsidRPr="006E49EE" w:rsidRDefault="00A61FF5" w:rsidP="00D07480">
            <w:pPr>
              <w:pStyle w:val="ESTableBody"/>
              <w:rPr>
                <w:lang w:val="en-AU"/>
              </w:rPr>
            </w:pPr>
            <w:r w:rsidRPr="006E49EE">
              <w:rPr>
                <w:lang w:val="en-AU"/>
              </w:rPr>
              <w:t>Total greenhouse gas emissions from air travel (t CO</w:t>
            </w:r>
            <w:r w:rsidRPr="006E49EE">
              <w:rPr>
                <w:vertAlign w:val="subscript"/>
                <w:lang w:val="en-AU"/>
              </w:rPr>
              <w:t>2</w:t>
            </w:r>
            <w:r w:rsidRPr="006E49EE">
              <w:rPr>
                <w:lang w:val="en-AU"/>
              </w:rPr>
              <w:t xml:space="preserve"> e)</w:t>
            </w:r>
          </w:p>
        </w:tc>
        <w:tc>
          <w:tcPr>
            <w:tcW w:w="895" w:type="dxa"/>
            <w:tcBorders>
              <w:bottom w:val="single" w:sz="4" w:space="0" w:color="auto"/>
            </w:tcBorders>
            <w:shd w:val="clear" w:color="auto" w:fill="F2F2F2" w:themeFill="background1" w:themeFillShade="F2"/>
            <w:vAlign w:val="center"/>
          </w:tcPr>
          <w:p w14:paraId="6EDFC67B" w14:textId="77777777" w:rsidR="00A61FF5" w:rsidRPr="006E49EE" w:rsidRDefault="00A61FF5" w:rsidP="00D07480">
            <w:pPr>
              <w:pStyle w:val="ESTableBody"/>
              <w:jc w:val="right"/>
              <w:rPr>
                <w:lang w:val="en-AU"/>
              </w:rPr>
            </w:pPr>
            <w:r w:rsidRPr="006E49EE">
              <w:rPr>
                <w:lang w:val="en-AU"/>
              </w:rPr>
              <w:t>284</w:t>
            </w:r>
          </w:p>
        </w:tc>
        <w:tc>
          <w:tcPr>
            <w:tcW w:w="895" w:type="dxa"/>
            <w:tcBorders>
              <w:bottom w:val="single" w:sz="4" w:space="0" w:color="auto"/>
            </w:tcBorders>
            <w:shd w:val="clear" w:color="auto" w:fill="auto"/>
            <w:vAlign w:val="center"/>
          </w:tcPr>
          <w:p w14:paraId="19CE4BBB" w14:textId="77777777" w:rsidR="00A61FF5" w:rsidRPr="006E49EE" w:rsidRDefault="00A61FF5" w:rsidP="00D07480">
            <w:pPr>
              <w:pStyle w:val="ESTableBody"/>
              <w:jc w:val="right"/>
              <w:rPr>
                <w:lang w:val="en-AU"/>
              </w:rPr>
            </w:pPr>
            <w:r w:rsidRPr="006E49EE">
              <w:rPr>
                <w:lang w:val="en-AU"/>
              </w:rPr>
              <w:t>251</w:t>
            </w:r>
          </w:p>
        </w:tc>
      </w:tr>
      <w:tr w:rsidR="00A61FF5" w:rsidRPr="00932A90" w14:paraId="5CB07C52" w14:textId="77777777" w:rsidTr="00D07480">
        <w:trPr>
          <w:trHeight w:val="444"/>
          <w:jc w:val="center"/>
        </w:trPr>
        <w:tc>
          <w:tcPr>
            <w:tcW w:w="5499" w:type="dxa"/>
            <w:tcBorders>
              <w:top w:val="single" w:sz="4" w:space="0" w:color="auto"/>
              <w:bottom w:val="single" w:sz="4" w:space="0" w:color="auto"/>
            </w:tcBorders>
            <w:shd w:val="clear" w:color="auto" w:fill="auto"/>
            <w:vAlign w:val="center"/>
          </w:tcPr>
          <w:p w14:paraId="0AD518E3" w14:textId="77777777" w:rsidR="00A61FF5" w:rsidRPr="006E49EE" w:rsidRDefault="00A61FF5" w:rsidP="00D07480">
            <w:pPr>
              <w:pStyle w:val="ESTableBody"/>
              <w:rPr>
                <w:b/>
                <w:lang w:val="en-AU"/>
              </w:rPr>
            </w:pPr>
            <w:r w:rsidRPr="006E49EE">
              <w:rPr>
                <w:b/>
                <w:lang w:val="en-AU"/>
              </w:rPr>
              <w:t>Grand total greenhouse gas emissions created by the Department</w:t>
            </w:r>
          </w:p>
        </w:tc>
        <w:tc>
          <w:tcPr>
            <w:tcW w:w="895" w:type="dxa"/>
            <w:tcBorders>
              <w:top w:val="single" w:sz="4" w:space="0" w:color="auto"/>
              <w:bottom w:val="single" w:sz="4" w:space="0" w:color="auto"/>
            </w:tcBorders>
            <w:shd w:val="clear" w:color="auto" w:fill="F2F2F2" w:themeFill="background1" w:themeFillShade="F2"/>
            <w:vAlign w:val="center"/>
          </w:tcPr>
          <w:p w14:paraId="2C287962" w14:textId="3169430B" w:rsidR="00A61FF5" w:rsidRPr="006E49EE" w:rsidRDefault="00A61FF5" w:rsidP="00D07480">
            <w:pPr>
              <w:pStyle w:val="ESTableBody"/>
              <w:jc w:val="right"/>
              <w:rPr>
                <w:b/>
                <w:lang w:val="en-AU"/>
              </w:rPr>
            </w:pPr>
            <w:r w:rsidRPr="006E49EE">
              <w:rPr>
                <w:b/>
                <w:lang w:val="en-AU"/>
              </w:rPr>
              <w:t>8</w:t>
            </w:r>
            <w:r w:rsidR="004E4BE9" w:rsidRPr="006E49EE">
              <w:rPr>
                <w:b/>
                <w:lang w:val="en-AU"/>
              </w:rPr>
              <w:t>,</w:t>
            </w:r>
            <w:r w:rsidRPr="006E49EE">
              <w:rPr>
                <w:b/>
                <w:lang w:val="en-AU"/>
              </w:rPr>
              <w:t>936</w:t>
            </w:r>
          </w:p>
        </w:tc>
        <w:tc>
          <w:tcPr>
            <w:tcW w:w="895" w:type="dxa"/>
            <w:tcBorders>
              <w:top w:val="single" w:sz="4" w:space="0" w:color="auto"/>
              <w:bottom w:val="single" w:sz="4" w:space="0" w:color="auto"/>
            </w:tcBorders>
            <w:shd w:val="clear" w:color="auto" w:fill="FFFFFF" w:themeFill="background1"/>
            <w:vAlign w:val="center"/>
          </w:tcPr>
          <w:p w14:paraId="27C571EE" w14:textId="5243E17E" w:rsidR="00A61FF5" w:rsidRPr="006E49EE" w:rsidRDefault="00A61FF5" w:rsidP="00D07480">
            <w:pPr>
              <w:pStyle w:val="ESTableBody"/>
              <w:jc w:val="right"/>
              <w:rPr>
                <w:b/>
                <w:lang w:val="en-AU"/>
              </w:rPr>
            </w:pPr>
            <w:r w:rsidRPr="006E49EE">
              <w:rPr>
                <w:b/>
                <w:lang w:val="en-AU"/>
              </w:rPr>
              <w:t>8</w:t>
            </w:r>
            <w:r w:rsidR="004E4BE9" w:rsidRPr="006E49EE">
              <w:rPr>
                <w:b/>
                <w:lang w:val="en-AU"/>
              </w:rPr>
              <w:t>,</w:t>
            </w:r>
            <w:r w:rsidRPr="006E49EE">
              <w:rPr>
                <w:b/>
                <w:lang w:val="en-AU"/>
              </w:rPr>
              <w:t>896</w:t>
            </w:r>
          </w:p>
        </w:tc>
      </w:tr>
    </w:tbl>
    <w:p w14:paraId="442BA9F2" w14:textId="77777777" w:rsidR="00A61FF5" w:rsidRPr="006E49EE" w:rsidRDefault="00A61FF5" w:rsidP="00A20AE6">
      <w:pPr>
        <w:pStyle w:val="StyleESBodyTextBoldAfter0pt1"/>
        <w:spacing w:before="240"/>
        <w:rPr>
          <w:lang w:val="en-AU"/>
        </w:rPr>
      </w:pPr>
      <w:r w:rsidRPr="006E49EE">
        <w:rPr>
          <w:lang w:val="en-AU"/>
        </w:rPr>
        <w:t>Target</w:t>
      </w:r>
    </w:p>
    <w:p w14:paraId="4927769A" w14:textId="77777777" w:rsidR="00A9593E" w:rsidRPr="006E49EE" w:rsidRDefault="00A61FF5" w:rsidP="00A61FF5">
      <w:pPr>
        <w:pStyle w:val="ESBodyText"/>
        <w:rPr>
          <w:lang w:val="en-AU"/>
        </w:rPr>
      </w:pPr>
      <w:r w:rsidRPr="006E49EE">
        <w:rPr>
          <w:lang w:val="en-AU"/>
        </w:rPr>
        <w:t>Reduce by 15 per cent of 2013–14 levels the Department’s office-based greenhouse gas emissions by 31 March 2024, averaging an incremental reduction of 1.5 per cent each year for 10 years.</w:t>
      </w:r>
    </w:p>
    <w:p w14:paraId="1F283A1E" w14:textId="1FDF009E" w:rsidR="00A61FF5" w:rsidRPr="006E49EE" w:rsidRDefault="00A61FF5" w:rsidP="009A0DF2">
      <w:pPr>
        <w:pStyle w:val="ESHeading4"/>
        <w:rPr>
          <w:lang w:val="en-AU"/>
        </w:rPr>
      </w:pPr>
      <w:r w:rsidRPr="006E49EE">
        <w:rPr>
          <w:lang w:val="en-AU"/>
        </w:rPr>
        <w:t>Assessment against target</w:t>
      </w:r>
    </w:p>
    <w:p w14:paraId="654A4160" w14:textId="77777777" w:rsidR="00A61FF5" w:rsidRPr="006E49EE" w:rsidRDefault="00A61FF5" w:rsidP="00A61FF5">
      <w:pPr>
        <w:pStyle w:val="ESBodyText"/>
        <w:rPr>
          <w:lang w:val="en-AU"/>
        </w:rPr>
      </w:pPr>
      <w:r w:rsidRPr="006E49EE">
        <w:rPr>
          <w:lang w:val="en-AU"/>
        </w:rPr>
        <w:t>Total greenhouse gas emissions saw negligible change from 2015–16, increasing by less than half a percent. Nonetheless, there has been a steady downward trend over the past four years, with this year’s results being 5.5 per cent lower than the 2013–14 baseline, exceeding the 2016–17 incremental reduction target.</w:t>
      </w:r>
    </w:p>
    <w:p w14:paraId="6CBAEDB8" w14:textId="77777777" w:rsidR="00A61FF5" w:rsidRPr="006E49EE" w:rsidRDefault="00A61FF5" w:rsidP="00A61FF5">
      <w:pPr>
        <w:pStyle w:val="ESHeading3"/>
        <w:rPr>
          <w:lang w:val="en-AU"/>
        </w:rPr>
      </w:pPr>
      <w:r w:rsidRPr="006E49EE">
        <w:rPr>
          <w:lang w:val="en-AU"/>
        </w:rPr>
        <w:t>Procurement</w:t>
      </w:r>
    </w:p>
    <w:p w14:paraId="5A3E909F" w14:textId="77777777" w:rsidR="00A61FF5" w:rsidRPr="006E49EE" w:rsidRDefault="00A61FF5" w:rsidP="00A61FF5">
      <w:pPr>
        <w:pStyle w:val="ESBodyText"/>
        <w:rPr>
          <w:lang w:val="en-AU"/>
        </w:rPr>
      </w:pPr>
      <w:r w:rsidRPr="006E49EE">
        <w:rPr>
          <w:lang w:val="en-AU"/>
        </w:rPr>
        <w:t>The Department continues to promote the purchase of environmental friendly products, specifically stationery/office products. This is achieved by incorporating more environmentally friendly items listed as ‘preferred product options’. Before purchasing new stationery items, business units are also encouraged to visit the Department’s ‘Swap Shop’—a stationery re-use system.</w:t>
      </w:r>
    </w:p>
    <w:p w14:paraId="2D3F0971" w14:textId="77777777" w:rsidR="00A61FF5" w:rsidRPr="006E49EE" w:rsidRDefault="00A61FF5" w:rsidP="00A61FF5">
      <w:pPr>
        <w:pStyle w:val="ESBodyText"/>
        <w:rPr>
          <w:lang w:val="en-AU"/>
        </w:rPr>
      </w:pPr>
      <w:bookmarkStart w:id="310" w:name="_Toc488410135"/>
      <w:bookmarkStart w:id="311" w:name="_Toc488767607"/>
      <w:bookmarkStart w:id="312" w:name="_Toc488769019"/>
      <w:r w:rsidRPr="006E49EE">
        <w:rPr>
          <w:lang w:val="en-AU"/>
        </w:rPr>
        <w:t>The Department continues to work with print management provider Finsbury Green to ensure sustainability is a consideration in all externally printed publications, for example, by using vegetable dyes and minimal packaging.</w:t>
      </w:r>
    </w:p>
    <w:p w14:paraId="6659FA2F" w14:textId="77777777" w:rsidR="00A61FF5" w:rsidRPr="006E49EE" w:rsidRDefault="00A61FF5" w:rsidP="00A61FF5">
      <w:pPr>
        <w:pStyle w:val="ESBodyText"/>
        <w:rPr>
          <w:lang w:val="en-AU"/>
        </w:rPr>
      </w:pPr>
      <w:r w:rsidRPr="006E49EE">
        <w:rPr>
          <w:lang w:val="en-AU"/>
        </w:rPr>
        <w:t>The Procurement Division encourages Procurement Evaluation Panels to add environmental commitments into the Invitation to Supply (ITS) template. This ITS template is available on request to all business units.</w:t>
      </w:r>
    </w:p>
    <w:p w14:paraId="24DFB784" w14:textId="77777777" w:rsidR="00A61FF5" w:rsidRPr="006E49EE" w:rsidRDefault="00A61FF5" w:rsidP="00A61FF5">
      <w:pPr>
        <w:pStyle w:val="ESBodyText"/>
        <w:rPr>
          <w:highlight w:val="yellow"/>
          <w:lang w:val="en-AU"/>
        </w:rPr>
      </w:pPr>
      <w:r w:rsidRPr="006E49EE">
        <w:rPr>
          <w:lang w:val="en-AU"/>
        </w:rPr>
        <w:t>Infrastructure project tenders are evaluated against the criteria of their ‘ability to satisfy environmental sustainability requirements’.</w:t>
      </w:r>
    </w:p>
    <w:p w14:paraId="358FFFA5" w14:textId="52BDF82A" w:rsidR="00A61FF5" w:rsidRPr="006E49EE" w:rsidRDefault="00A61FF5" w:rsidP="00D2232D">
      <w:pPr>
        <w:pStyle w:val="ESHeading2"/>
      </w:pPr>
      <w:bookmarkStart w:id="313" w:name="_Toc489526734"/>
      <w:bookmarkStart w:id="314" w:name="_Toc491070333"/>
      <w:bookmarkStart w:id="315" w:name="_Toc491409559"/>
      <w:bookmarkStart w:id="316" w:name="_Toc491414688"/>
      <w:r w:rsidRPr="006E49EE">
        <w:t>Details of changes in prices, fees, charges, rates and levies</w:t>
      </w:r>
      <w:bookmarkEnd w:id="310"/>
      <w:bookmarkEnd w:id="311"/>
      <w:bookmarkEnd w:id="312"/>
      <w:bookmarkEnd w:id="313"/>
      <w:bookmarkEnd w:id="314"/>
      <w:bookmarkEnd w:id="315"/>
      <w:bookmarkEnd w:id="316"/>
    </w:p>
    <w:p w14:paraId="704F3BB9" w14:textId="5B890CD3" w:rsidR="00A61FF5" w:rsidRPr="006E49EE" w:rsidRDefault="00A61FF5" w:rsidP="00A61FF5">
      <w:pPr>
        <w:pStyle w:val="ESBodyText"/>
        <w:rPr>
          <w:lang w:val="en-AU"/>
        </w:rPr>
      </w:pPr>
      <w:r w:rsidRPr="006E49EE">
        <w:rPr>
          <w:lang w:val="en-AU"/>
        </w:rPr>
        <w:t xml:space="preserve">Details of current prices, fees, charges, rates and levies charged by the Department are outlined at </w:t>
      </w:r>
      <w:hyperlink r:id="rId42" w:history="1">
        <w:r w:rsidRPr="006E49EE">
          <w:rPr>
            <w:rStyle w:val="Hyperlink"/>
            <w:szCs w:val="19"/>
            <w:lang w:val="en-AU"/>
          </w:rPr>
          <w:t>www.education.vic.gov.au/about/working/Pages/fees.aspx</w:t>
        </w:r>
      </w:hyperlink>
      <w:r w:rsidRPr="006E49EE">
        <w:rPr>
          <w:lang w:val="en-AU"/>
        </w:rPr>
        <w:t>. In compliance with the requirements of the Standing Directions of the Minister for Finance</w:t>
      </w:r>
      <w:r w:rsidR="008F1E33">
        <w:rPr>
          <w:lang w:val="en-AU"/>
        </w:rPr>
        <w:t>,</w:t>
      </w:r>
      <w:r w:rsidRPr="006E49EE">
        <w:rPr>
          <w:lang w:val="en-AU"/>
        </w:rPr>
        <w:t xml:space="preserve"> changes in these are available on request, subject to the provisions of the Freedom of Information Act.</w:t>
      </w:r>
    </w:p>
    <w:p w14:paraId="2AB31FCB" w14:textId="5B0D00BE" w:rsidR="00A61FF5" w:rsidRPr="006E49EE" w:rsidRDefault="00A61FF5" w:rsidP="00D2232D">
      <w:pPr>
        <w:pStyle w:val="ESHeading2"/>
      </w:pPr>
      <w:bookmarkStart w:id="317" w:name="_Toc488410136"/>
      <w:bookmarkStart w:id="318" w:name="_Toc488767608"/>
      <w:bookmarkStart w:id="319" w:name="_Toc488769020"/>
      <w:bookmarkStart w:id="320" w:name="_Toc489526735"/>
      <w:bookmarkStart w:id="321" w:name="_Toc491070334"/>
      <w:bookmarkStart w:id="322" w:name="_Toc491409560"/>
      <w:bookmarkStart w:id="323" w:name="_Toc491414689"/>
      <w:r w:rsidRPr="006E49EE">
        <w:t>Additional information available on request</w:t>
      </w:r>
      <w:bookmarkEnd w:id="317"/>
      <w:bookmarkEnd w:id="318"/>
      <w:bookmarkEnd w:id="319"/>
      <w:bookmarkEnd w:id="320"/>
      <w:bookmarkEnd w:id="321"/>
      <w:bookmarkEnd w:id="322"/>
      <w:bookmarkEnd w:id="323"/>
    </w:p>
    <w:p w14:paraId="34D784B1" w14:textId="77777777" w:rsidR="00A61FF5" w:rsidRPr="006E49EE" w:rsidRDefault="00A61FF5" w:rsidP="00A61FF5">
      <w:pPr>
        <w:pStyle w:val="ESBodyText"/>
        <w:rPr>
          <w:lang w:val="en-AU"/>
        </w:rPr>
      </w:pPr>
      <w:r w:rsidRPr="006E49EE">
        <w:rPr>
          <w:lang w:val="en-AU"/>
        </w:rPr>
        <w:t>Financial Reporting Direction (FRD) 22H requires the Accountable Officer to retain and make available specified information. This material may be made available to ministers, members of parliament and the public on request, subject to the provisions of the Freedom of Information Act.</w:t>
      </w:r>
    </w:p>
    <w:p w14:paraId="4B0A3AE3" w14:textId="53211A46" w:rsidR="00A61FF5" w:rsidRPr="006E49EE" w:rsidRDefault="00A61FF5" w:rsidP="00A61FF5">
      <w:pPr>
        <w:pStyle w:val="ESBodyText"/>
        <w:rPr>
          <w:lang w:val="en-AU"/>
        </w:rPr>
      </w:pPr>
      <w:r w:rsidRPr="006E49EE">
        <w:rPr>
          <w:lang w:val="en-AU"/>
        </w:rPr>
        <w:t xml:space="preserve">The Department has made this information available (or provided details of how the material may be sourced) in the Department’s Annual Report 2016–17 or the Department’s Annual Report </w:t>
      </w:r>
      <w:r w:rsidR="008F1E33">
        <w:rPr>
          <w:lang w:val="en-AU"/>
        </w:rPr>
        <w:t>2016–17 Additional Information R</w:t>
      </w:r>
      <w:r w:rsidRPr="006E49EE">
        <w:rPr>
          <w:lang w:val="en-AU"/>
        </w:rPr>
        <w:t>eport.</w:t>
      </w:r>
    </w:p>
    <w:p w14:paraId="62820655" w14:textId="77777777" w:rsidR="00A61FF5" w:rsidRPr="006E49EE" w:rsidRDefault="00A61FF5" w:rsidP="00A61FF5">
      <w:pPr>
        <w:pStyle w:val="ESBodyText"/>
        <w:rPr>
          <w:lang w:val="en-AU"/>
        </w:rPr>
      </w:pPr>
      <w:r w:rsidRPr="006E49EE">
        <w:rPr>
          <w:lang w:val="en-AU"/>
        </w:rPr>
        <w:t>Requirements covered in this annual report include:</w:t>
      </w:r>
    </w:p>
    <w:p w14:paraId="3139CBFD" w14:textId="77777777" w:rsidR="00A61FF5" w:rsidRPr="006E49EE" w:rsidRDefault="00A61FF5" w:rsidP="00A61FF5">
      <w:pPr>
        <w:pStyle w:val="ESBullet1indent"/>
        <w:rPr>
          <w:lang w:val="en-AU"/>
        </w:rPr>
      </w:pPr>
      <w:r w:rsidRPr="006E49EE">
        <w:rPr>
          <w:lang w:val="en-AU"/>
        </w:rPr>
        <w:t>a statement that declarations of pecuniary interests have been duly completed by all relevant officers</w:t>
      </w:r>
    </w:p>
    <w:p w14:paraId="11536BF9" w14:textId="77777777" w:rsidR="00A61FF5" w:rsidRPr="006E49EE" w:rsidRDefault="00A61FF5" w:rsidP="00A61FF5">
      <w:pPr>
        <w:pStyle w:val="ESBullet1indent"/>
        <w:rPr>
          <w:lang w:val="en-AU"/>
        </w:rPr>
      </w:pPr>
      <w:r w:rsidRPr="006E49EE">
        <w:rPr>
          <w:lang w:val="en-AU"/>
        </w:rPr>
        <w:t>details of shares held by a senior officer as nominee or held beneficially in a statutory authority or subsidiary</w:t>
      </w:r>
    </w:p>
    <w:p w14:paraId="4861F8BD" w14:textId="77777777" w:rsidR="00A61FF5" w:rsidRPr="006E49EE" w:rsidRDefault="00A61FF5" w:rsidP="00A61FF5">
      <w:pPr>
        <w:pStyle w:val="ESBullet1indent"/>
        <w:rPr>
          <w:lang w:val="en-AU"/>
        </w:rPr>
      </w:pPr>
      <w:r w:rsidRPr="006E49EE">
        <w:rPr>
          <w:lang w:val="en-AU"/>
        </w:rPr>
        <w:t>details of publications produced by the entity about itself and how these can be obtained</w:t>
      </w:r>
    </w:p>
    <w:p w14:paraId="719036DC" w14:textId="77777777" w:rsidR="00A61FF5" w:rsidRPr="006E49EE" w:rsidRDefault="00A61FF5" w:rsidP="00A61FF5">
      <w:pPr>
        <w:pStyle w:val="ESBullet1indent"/>
        <w:rPr>
          <w:lang w:val="en-AU"/>
        </w:rPr>
      </w:pPr>
      <w:r w:rsidRPr="006E49EE">
        <w:rPr>
          <w:lang w:val="en-AU"/>
        </w:rPr>
        <w:t>details of assessments and measures undertaken to improve the occupational health and safety of employees</w:t>
      </w:r>
    </w:p>
    <w:p w14:paraId="44958BB6" w14:textId="77777777" w:rsidR="00A61FF5" w:rsidRPr="006E49EE" w:rsidRDefault="00A61FF5" w:rsidP="00A61FF5">
      <w:pPr>
        <w:pStyle w:val="ESBullet1indent"/>
        <w:rPr>
          <w:lang w:val="en-AU"/>
        </w:rPr>
      </w:pPr>
      <w:r w:rsidRPr="006E49EE">
        <w:rPr>
          <w:lang w:val="en-AU"/>
        </w:rPr>
        <w:t>a general statement on industrial relations within the entity and details of time lost through industrial accidents and disputes</w:t>
      </w:r>
    </w:p>
    <w:p w14:paraId="381D8D46" w14:textId="77777777" w:rsidR="00A61FF5" w:rsidRPr="006E49EE" w:rsidRDefault="00A61FF5" w:rsidP="00A61FF5">
      <w:pPr>
        <w:pStyle w:val="ESBullet1indent"/>
        <w:rPr>
          <w:lang w:val="en-AU"/>
        </w:rPr>
      </w:pPr>
      <w:r w:rsidRPr="006E49EE">
        <w:rPr>
          <w:lang w:val="en-AU"/>
        </w:rPr>
        <w:t>details of changes in prices, fees, charges, rates and levies charged by the entity.</w:t>
      </w:r>
    </w:p>
    <w:p w14:paraId="60C18D32" w14:textId="2F6A00D2" w:rsidR="00A61FF5" w:rsidRPr="006E49EE" w:rsidRDefault="00A61FF5" w:rsidP="00A61FF5">
      <w:pPr>
        <w:pStyle w:val="ESBodyText"/>
        <w:rPr>
          <w:lang w:val="en-AU"/>
        </w:rPr>
      </w:pPr>
      <w:r w:rsidRPr="006E49EE">
        <w:rPr>
          <w:lang w:val="en-AU"/>
        </w:rPr>
        <w:t xml:space="preserve">The requirements listed below are included in the Department’s Annual Report </w:t>
      </w:r>
      <w:r w:rsidR="008F1E33">
        <w:rPr>
          <w:lang w:val="en-AU"/>
        </w:rPr>
        <w:t>2016–17 Additional Information R</w:t>
      </w:r>
      <w:r w:rsidRPr="006E49EE">
        <w:rPr>
          <w:lang w:val="en-AU"/>
        </w:rPr>
        <w:t xml:space="preserve">eport available from the Department’s website at </w:t>
      </w:r>
      <w:hyperlink r:id="rId43" w:history="1">
        <w:r w:rsidRPr="006E49EE">
          <w:rPr>
            <w:rStyle w:val="Hyperlink"/>
            <w:lang w:val="en-AU"/>
          </w:rPr>
          <w:t>www.education.vic.gov.au</w:t>
        </w:r>
      </w:hyperlink>
      <w:r w:rsidRPr="006E49EE">
        <w:rPr>
          <w:lang w:val="en-AU"/>
        </w:rPr>
        <w:t xml:space="preserve"> and include:</w:t>
      </w:r>
    </w:p>
    <w:p w14:paraId="7C529E0A" w14:textId="77777777" w:rsidR="00A61FF5" w:rsidRPr="006E49EE" w:rsidRDefault="00A61FF5" w:rsidP="00A61FF5">
      <w:pPr>
        <w:pStyle w:val="ESBullet1indent"/>
        <w:rPr>
          <w:lang w:val="en-AU"/>
        </w:rPr>
      </w:pPr>
      <w:r w:rsidRPr="006E49EE">
        <w:rPr>
          <w:lang w:val="en-AU"/>
        </w:rPr>
        <w:t>details of any major external reviews carried out on the entity</w:t>
      </w:r>
    </w:p>
    <w:p w14:paraId="0885CE89" w14:textId="77777777" w:rsidR="00A61FF5" w:rsidRPr="006E49EE" w:rsidRDefault="00A61FF5" w:rsidP="00A61FF5">
      <w:pPr>
        <w:pStyle w:val="ESBullet1indent"/>
        <w:rPr>
          <w:lang w:val="en-AU"/>
        </w:rPr>
      </w:pPr>
      <w:r w:rsidRPr="006E49EE">
        <w:rPr>
          <w:lang w:val="en-AU"/>
        </w:rPr>
        <w:t>details of major research and development activities undertaken by the entity</w:t>
      </w:r>
    </w:p>
    <w:p w14:paraId="10511CA3" w14:textId="77777777" w:rsidR="00A61FF5" w:rsidRPr="006E49EE" w:rsidRDefault="00A61FF5" w:rsidP="00A61FF5">
      <w:pPr>
        <w:pStyle w:val="ESBullet1indent"/>
        <w:rPr>
          <w:lang w:val="en-AU"/>
        </w:rPr>
      </w:pPr>
      <w:r w:rsidRPr="006E49EE">
        <w:rPr>
          <w:lang w:val="en-AU"/>
        </w:rPr>
        <w:t>details of overseas visits undertaken including a summary of the objectives and outcomes of each visit</w:t>
      </w:r>
    </w:p>
    <w:p w14:paraId="12C45BE7" w14:textId="77777777" w:rsidR="00A61FF5" w:rsidRPr="006E49EE" w:rsidRDefault="00A61FF5" w:rsidP="00A61FF5">
      <w:pPr>
        <w:pStyle w:val="ESBullet1indent"/>
        <w:rPr>
          <w:lang w:val="en-AU"/>
        </w:rPr>
      </w:pPr>
      <w:r w:rsidRPr="006E49EE">
        <w:rPr>
          <w:lang w:val="en-AU"/>
        </w:rPr>
        <w:t>details of major promotional, public relations and marketing activities undertaken by the entity to develop community awareness of the entity and its services</w:t>
      </w:r>
    </w:p>
    <w:p w14:paraId="120679B9" w14:textId="77777777" w:rsidR="00A61FF5" w:rsidRPr="006E49EE" w:rsidRDefault="00A61FF5" w:rsidP="00A61FF5">
      <w:pPr>
        <w:pStyle w:val="ESBullet1indent"/>
        <w:rPr>
          <w:lang w:val="en-AU"/>
        </w:rPr>
      </w:pPr>
      <w:r w:rsidRPr="006E49EE">
        <w:rPr>
          <w:lang w:val="en-AU"/>
        </w:rPr>
        <w:t>a list of major committees sponsored by the entity, the purposes of each committee and the extent to which the purposes have been achieved</w:t>
      </w:r>
    </w:p>
    <w:p w14:paraId="1D7868A7" w14:textId="77777777" w:rsidR="00A61FF5" w:rsidRPr="006E49EE" w:rsidRDefault="00A61FF5" w:rsidP="00A61FF5">
      <w:pPr>
        <w:pStyle w:val="ESBullet1indent"/>
        <w:rPr>
          <w:lang w:val="en-AU"/>
        </w:rPr>
      </w:pPr>
      <w:r w:rsidRPr="006E49EE">
        <w:rPr>
          <w:lang w:val="en-AU"/>
        </w:rPr>
        <w:t>details of all consultancies and contractors including:</w:t>
      </w:r>
    </w:p>
    <w:p w14:paraId="2F539C38" w14:textId="77777777" w:rsidR="00A61FF5" w:rsidRPr="006E49EE" w:rsidRDefault="00A61FF5" w:rsidP="006E49EE">
      <w:pPr>
        <w:pStyle w:val="StyleESbullet1Left05cmFirstline0cm"/>
        <w:rPr>
          <w:lang w:val="en-AU"/>
        </w:rPr>
      </w:pPr>
      <w:r w:rsidRPr="006E49EE">
        <w:rPr>
          <w:lang w:val="en-AU"/>
        </w:rPr>
        <w:t>consultants/contractors engaged</w:t>
      </w:r>
    </w:p>
    <w:p w14:paraId="359CEA1C" w14:textId="77777777" w:rsidR="00A61FF5" w:rsidRPr="006E49EE" w:rsidRDefault="00A61FF5" w:rsidP="006E49EE">
      <w:pPr>
        <w:pStyle w:val="StyleESbullet1Left05cmFirstline0cm"/>
        <w:rPr>
          <w:lang w:val="en-AU"/>
        </w:rPr>
      </w:pPr>
      <w:r w:rsidRPr="006E49EE">
        <w:rPr>
          <w:lang w:val="en-AU"/>
        </w:rPr>
        <w:t>services provided</w:t>
      </w:r>
    </w:p>
    <w:p w14:paraId="5FCDFEE0" w14:textId="77777777" w:rsidR="00A61FF5" w:rsidRPr="006E49EE" w:rsidRDefault="00A61FF5" w:rsidP="006E49EE">
      <w:pPr>
        <w:pStyle w:val="StyleESbullet1Left05cmFirstline0cm"/>
        <w:rPr>
          <w:lang w:val="en-AU"/>
        </w:rPr>
      </w:pPr>
      <w:r w:rsidRPr="006E49EE">
        <w:rPr>
          <w:lang w:val="en-AU"/>
        </w:rPr>
        <w:t>expenditure committed to for each engagement.</w:t>
      </w:r>
    </w:p>
    <w:p w14:paraId="78205A01" w14:textId="77777777" w:rsidR="003836E9" w:rsidRDefault="003836E9" w:rsidP="00D2232D">
      <w:pPr>
        <w:pStyle w:val="ESHeading2"/>
      </w:pPr>
      <w:bookmarkStart w:id="324" w:name="_Toc488410137"/>
      <w:bookmarkStart w:id="325" w:name="_Toc488767609"/>
      <w:bookmarkStart w:id="326" w:name="_Toc488769021"/>
      <w:bookmarkStart w:id="327" w:name="_Toc489526736"/>
      <w:bookmarkStart w:id="328" w:name="_Toc491070335"/>
      <w:bookmarkStart w:id="329" w:name="_Toc491409561"/>
      <w:bookmarkStart w:id="330" w:name="_Toc491414690"/>
    </w:p>
    <w:p w14:paraId="16B8AA4D" w14:textId="77777777" w:rsidR="003836E9" w:rsidRDefault="003836E9" w:rsidP="00D2232D">
      <w:pPr>
        <w:pStyle w:val="ESHeading2"/>
      </w:pPr>
    </w:p>
    <w:p w14:paraId="7CB7B4E2" w14:textId="298CB997" w:rsidR="00A61FF5" w:rsidRPr="006E49EE" w:rsidRDefault="00A61FF5" w:rsidP="00D2232D">
      <w:pPr>
        <w:pStyle w:val="ESHeading2"/>
      </w:pPr>
      <w:r w:rsidRPr="006E49EE">
        <w:t>Attestation for compliance with Ministerial Standing Direction 3.7.1</w:t>
      </w:r>
      <w:bookmarkEnd w:id="324"/>
      <w:bookmarkEnd w:id="325"/>
      <w:bookmarkEnd w:id="326"/>
      <w:bookmarkEnd w:id="327"/>
      <w:bookmarkEnd w:id="328"/>
      <w:bookmarkEnd w:id="329"/>
      <w:bookmarkEnd w:id="330"/>
    </w:p>
    <w:p w14:paraId="3520C70C" w14:textId="662AE46B" w:rsidR="002C0527" w:rsidRDefault="002C0527" w:rsidP="002C0527">
      <w:pPr>
        <w:pStyle w:val="ESBodyText"/>
        <w:rPr>
          <w:lang w:val="en-AU"/>
        </w:rPr>
      </w:pPr>
      <w:r>
        <w:rPr>
          <w:lang w:val="en-AU"/>
        </w:rPr>
        <w:t>I, Gill Callister, certify that the Department of Education and Training has complied with Ministerial Standing Direciton 3.7.1</w:t>
      </w:r>
      <w:r w:rsidR="0090032D">
        <w:rPr>
          <w:lang w:val="en-AU"/>
        </w:rPr>
        <w:t>—</w:t>
      </w:r>
      <w:r>
        <w:rPr>
          <w:lang w:val="en-AU"/>
        </w:rPr>
        <w:t>Risk Management Framework and Processes, except with reference to the insurance requirement of fully maintain</w:t>
      </w:r>
      <w:r w:rsidR="0085600F">
        <w:rPr>
          <w:lang w:val="en-AU"/>
        </w:rPr>
        <w:t>ing</w:t>
      </w:r>
      <w:r>
        <w:rPr>
          <w:lang w:val="en-AU"/>
        </w:rPr>
        <w:t xml:space="preserve"> a current register of all indemnities. The Department has alternatively provided a list of significant indemnities to the Victorian Managed Insurance Authority and accounts for these as contingent liabilities. </w:t>
      </w:r>
    </w:p>
    <w:p w14:paraId="784CB3A2" w14:textId="5DA7DE0F" w:rsidR="002C0527" w:rsidRDefault="002C0527" w:rsidP="002C0527">
      <w:pPr>
        <w:pStyle w:val="ESBodyText"/>
        <w:rPr>
          <w:lang w:val="en-AU"/>
        </w:rPr>
      </w:pPr>
      <w:r>
        <w:rPr>
          <w:lang w:val="en-AU"/>
        </w:rPr>
        <w:t>With effect from 1 July 2017, the Department has established an indemnity register as required by Standing Direction 3.7.1 and will provide details of indemnities recorded, as and when requested by the Victorian Managed Insurance Authority.</w:t>
      </w:r>
    </w:p>
    <w:p w14:paraId="20ABE414" w14:textId="0B20588B" w:rsidR="002C0527" w:rsidRDefault="002C0527" w:rsidP="002C0527">
      <w:pPr>
        <w:pStyle w:val="ESBodyText"/>
        <w:rPr>
          <w:lang w:val="en-AU"/>
        </w:rPr>
      </w:pPr>
      <w:r>
        <w:rPr>
          <w:lang w:val="en-AU"/>
        </w:rPr>
        <w:t>The Department of Education and Training’s Audit and Risk Committee has verified this.</w:t>
      </w:r>
    </w:p>
    <w:p w14:paraId="02D0878C" w14:textId="77777777" w:rsidR="00A61FF5" w:rsidRPr="006E49EE" w:rsidRDefault="00A61FF5" w:rsidP="00A61FF5">
      <w:pPr>
        <w:pStyle w:val="ESBodyText"/>
        <w:rPr>
          <w:highlight w:val="yellow"/>
          <w:lang w:val="en-AU"/>
        </w:rPr>
      </w:pPr>
    </w:p>
    <w:p w14:paraId="14ECA58F" w14:textId="77777777" w:rsidR="00A61FF5" w:rsidRDefault="00A61FF5" w:rsidP="00A61FF5">
      <w:pPr>
        <w:pStyle w:val="ESBodyText"/>
        <w:rPr>
          <w:highlight w:val="yellow"/>
          <w:lang w:val="en-AU"/>
        </w:rPr>
      </w:pPr>
    </w:p>
    <w:p w14:paraId="55980C0F" w14:textId="6E86EF29" w:rsidR="00AF2AAE" w:rsidRPr="006E49EE" w:rsidRDefault="00AF2AAE" w:rsidP="00A61FF5">
      <w:pPr>
        <w:pStyle w:val="ESBodyText"/>
        <w:rPr>
          <w:highlight w:val="yellow"/>
          <w:lang w:val="en-AU"/>
        </w:rPr>
      </w:pPr>
      <w:r>
        <w:rPr>
          <w:noProof/>
          <w:lang w:val="en-AU" w:eastAsia="en-AU"/>
        </w:rPr>
        <w:drawing>
          <wp:inline distT="0" distB="0" distL="0" distR="0" wp14:anchorId="4991FAF2" wp14:editId="0054E3EB">
            <wp:extent cx="1487805" cy="3232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7805" cy="323215"/>
                    </a:xfrm>
                    <a:prstGeom prst="rect">
                      <a:avLst/>
                    </a:prstGeom>
                    <a:noFill/>
                  </pic:spPr>
                </pic:pic>
              </a:graphicData>
            </a:graphic>
          </wp:inline>
        </w:drawing>
      </w:r>
    </w:p>
    <w:p w14:paraId="45137344" w14:textId="77777777" w:rsidR="00A61FF5" w:rsidRPr="006E49EE" w:rsidRDefault="00A61FF5" w:rsidP="00A61FF5">
      <w:pPr>
        <w:pStyle w:val="ESBodyText"/>
        <w:rPr>
          <w:highlight w:val="yellow"/>
          <w:lang w:val="en-AU"/>
        </w:rPr>
      </w:pPr>
    </w:p>
    <w:p w14:paraId="1639CD0D" w14:textId="77777777" w:rsidR="00A61FF5" w:rsidRPr="00907BB2" w:rsidRDefault="00A61FF5" w:rsidP="00A61FF5">
      <w:pPr>
        <w:pStyle w:val="ESBodyText"/>
        <w:rPr>
          <w:lang w:val="en-AU"/>
        </w:rPr>
      </w:pPr>
      <w:r w:rsidRPr="00907BB2">
        <w:rPr>
          <w:lang w:val="en-AU"/>
        </w:rPr>
        <w:t>Gill Callister</w:t>
      </w:r>
    </w:p>
    <w:p w14:paraId="427C1AED" w14:textId="77777777" w:rsidR="00A61FF5" w:rsidRPr="00907BB2" w:rsidRDefault="00A61FF5" w:rsidP="00A61FF5">
      <w:pPr>
        <w:pStyle w:val="ESBodyText"/>
        <w:rPr>
          <w:lang w:val="en-AU"/>
        </w:rPr>
      </w:pPr>
      <w:r w:rsidRPr="00907BB2">
        <w:rPr>
          <w:lang w:val="en-AU"/>
        </w:rPr>
        <w:t>Secretary</w:t>
      </w:r>
    </w:p>
    <w:p w14:paraId="2E21E092" w14:textId="2A01FC00" w:rsidR="00A61FF5" w:rsidRDefault="00AF2AAE" w:rsidP="00A61FF5">
      <w:pPr>
        <w:pStyle w:val="ESBodyText"/>
        <w:rPr>
          <w:lang w:val="en-AU"/>
        </w:rPr>
      </w:pPr>
      <w:r w:rsidRPr="00907BB2">
        <w:rPr>
          <w:lang w:val="en-AU"/>
        </w:rPr>
        <w:t>31</w:t>
      </w:r>
      <w:r w:rsidR="00A61FF5" w:rsidRPr="00907BB2">
        <w:rPr>
          <w:lang w:val="en-AU"/>
        </w:rPr>
        <w:t xml:space="preserve"> </w:t>
      </w:r>
      <w:r w:rsidRPr="00907BB2">
        <w:rPr>
          <w:lang w:val="en-AU"/>
        </w:rPr>
        <w:t>August</w:t>
      </w:r>
      <w:r w:rsidR="00A61FF5" w:rsidRPr="00907BB2">
        <w:rPr>
          <w:lang w:val="en-AU"/>
        </w:rPr>
        <w:t xml:space="preserve"> 2017</w:t>
      </w:r>
    </w:p>
    <w:p w14:paraId="292D555C" w14:textId="637E230D" w:rsidR="00876E39" w:rsidRDefault="00876E39">
      <w:pPr>
        <w:rPr>
          <w:rFonts w:ascii="Arial" w:eastAsiaTheme="minorEastAsia" w:hAnsi="Arial" w:cs="Arial"/>
          <w:sz w:val="19"/>
          <w:szCs w:val="18"/>
          <w:lang w:val="en-AU"/>
        </w:rPr>
      </w:pPr>
      <w:r>
        <w:rPr>
          <w:lang w:val="en-AU"/>
        </w:rPr>
        <w:br w:type="page"/>
      </w:r>
    </w:p>
    <w:p w14:paraId="79139012" w14:textId="77777777" w:rsidR="00410E7B" w:rsidRPr="006E49EE" w:rsidRDefault="00410E7B" w:rsidP="00A61FF5">
      <w:pPr>
        <w:pStyle w:val="ESBodyText"/>
        <w:rPr>
          <w:lang w:val="en-AU"/>
        </w:rPr>
      </w:pPr>
    </w:p>
    <w:p w14:paraId="64B11F26" w14:textId="07A5F724" w:rsidR="00A61FF5" w:rsidRPr="006E49EE" w:rsidRDefault="00A61FF5" w:rsidP="00D2232D">
      <w:pPr>
        <w:pStyle w:val="ESHeading2"/>
      </w:pPr>
      <w:bookmarkStart w:id="331" w:name="_Toc488410138"/>
      <w:bookmarkStart w:id="332" w:name="_Toc488767610"/>
      <w:bookmarkStart w:id="333" w:name="_Toc488769022"/>
      <w:bookmarkStart w:id="334" w:name="_Toc489526737"/>
      <w:bookmarkStart w:id="335" w:name="_Toc491070336"/>
      <w:bookmarkStart w:id="336" w:name="_Toc491409562"/>
      <w:bookmarkStart w:id="337" w:name="_Toc491414691"/>
      <w:r w:rsidRPr="006E49EE">
        <w:t>Details of publications about the Department</w:t>
      </w:r>
      <w:bookmarkEnd w:id="331"/>
      <w:bookmarkEnd w:id="332"/>
      <w:bookmarkEnd w:id="333"/>
      <w:bookmarkEnd w:id="334"/>
      <w:bookmarkEnd w:id="335"/>
      <w:bookmarkEnd w:id="336"/>
      <w:bookmarkEnd w:id="337"/>
    </w:p>
    <w:p w14:paraId="7A04D409" w14:textId="62722DF1" w:rsidR="00A61FF5" w:rsidRPr="006E49EE" w:rsidRDefault="00A61FF5" w:rsidP="009A0BAD">
      <w:pPr>
        <w:pStyle w:val="ESTableintroheading"/>
        <w:rPr>
          <w:lang w:val="en-AU"/>
        </w:rPr>
      </w:pPr>
      <w:r w:rsidRPr="006E49EE">
        <w:rPr>
          <w:lang w:val="en-AU"/>
        </w:rPr>
        <w:t xml:space="preserve">Table </w:t>
      </w:r>
      <w:r w:rsidR="00D93BA2" w:rsidRPr="006E49EE">
        <w:rPr>
          <w:lang w:val="en-AU"/>
        </w:rPr>
        <w:fldChar w:fldCharType="begin"/>
      </w:r>
      <w:r w:rsidR="00D93BA2" w:rsidRPr="006E49EE">
        <w:rPr>
          <w:lang w:val="en-AU"/>
        </w:rPr>
        <w:instrText xml:space="preserve"> SEQ Table \* MERGEFORMAT </w:instrText>
      </w:r>
      <w:r w:rsidR="00D93BA2" w:rsidRPr="006E49EE">
        <w:rPr>
          <w:lang w:val="en-AU"/>
        </w:rPr>
        <w:fldChar w:fldCharType="separate"/>
      </w:r>
      <w:r w:rsidR="00F36F52">
        <w:rPr>
          <w:noProof/>
          <w:lang w:val="en-AU"/>
        </w:rPr>
        <w:t>34</w:t>
      </w:r>
      <w:r w:rsidR="00D93BA2" w:rsidRPr="006E49EE">
        <w:rPr>
          <w:lang w:val="en-AU"/>
        </w:rPr>
        <w:fldChar w:fldCharType="end"/>
      </w:r>
      <w:r w:rsidRPr="006E49EE">
        <w:rPr>
          <w:lang w:val="en-AU"/>
        </w:rPr>
        <w:t xml:space="preserve"> – Publications published by the Departm</w:t>
      </w:r>
      <w:r w:rsidR="00E8529C" w:rsidRPr="006E49EE">
        <w:rPr>
          <w:lang w:val="en-AU"/>
        </w:rPr>
        <w:t>ent about itself during 2016–17</w:t>
      </w:r>
    </w:p>
    <w:tbl>
      <w:tblPr>
        <w:tblW w:w="0" w:type="auto"/>
        <w:tblLayout w:type="fixed"/>
        <w:tblLook w:val="04A0" w:firstRow="1" w:lastRow="0" w:firstColumn="1" w:lastColumn="0" w:noHBand="0" w:noVBand="1"/>
      </w:tblPr>
      <w:tblGrid>
        <w:gridCol w:w="1701"/>
        <w:gridCol w:w="1560"/>
        <w:gridCol w:w="4103"/>
      </w:tblGrid>
      <w:tr w:rsidR="00A61FF5" w:rsidRPr="00932A90" w14:paraId="064ECCC2" w14:textId="77777777" w:rsidTr="00D07480">
        <w:trPr>
          <w:tblHeader/>
        </w:trPr>
        <w:tc>
          <w:tcPr>
            <w:tcW w:w="1701" w:type="dxa"/>
            <w:tcBorders>
              <w:top w:val="nil"/>
              <w:left w:val="nil"/>
              <w:bottom w:val="nil"/>
              <w:right w:val="nil"/>
            </w:tcBorders>
            <w:shd w:val="clear" w:color="auto" w:fill="7F7F7F" w:themeFill="text1" w:themeFillTint="80"/>
          </w:tcPr>
          <w:p w14:paraId="2647584E" w14:textId="77777777" w:rsidR="00A61FF5" w:rsidRPr="006E49EE" w:rsidRDefault="00A61FF5" w:rsidP="00D07480">
            <w:pPr>
              <w:pStyle w:val="ESTableheadingwhite"/>
              <w:rPr>
                <w:lang w:val="en-AU"/>
              </w:rPr>
            </w:pPr>
            <w:r w:rsidRPr="006E49EE">
              <w:rPr>
                <w:lang w:val="en-AU"/>
              </w:rPr>
              <w:t>Publication</w:t>
            </w:r>
          </w:p>
        </w:tc>
        <w:tc>
          <w:tcPr>
            <w:tcW w:w="1560" w:type="dxa"/>
            <w:tcBorders>
              <w:top w:val="nil"/>
              <w:left w:val="nil"/>
              <w:bottom w:val="nil"/>
              <w:right w:val="nil"/>
            </w:tcBorders>
            <w:shd w:val="clear" w:color="auto" w:fill="7F7F7F" w:themeFill="text1" w:themeFillTint="80"/>
          </w:tcPr>
          <w:p w14:paraId="1A1365B4" w14:textId="77777777" w:rsidR="00A61FF5" w:rsidRPr="006E49EE" w:rsidRDefault="00A61FF5" w:rsidP="00D07480">
            <w:pPr>
              <w:pStyle w:val="ESTableheadingwhite"/>
              <w:rPr>
                <w:lang w:val="en-AU"/>
              </w:rPr>
            </w:pPr>
            <w:r w:rsidRPr="006E49EE">
              <w:rPr>
                <w:lang w:val="en-AU"/>
              </w:rPr>
              <w:t>Date produced</w:t>
            </w:r>
          </w:p>
        </w:tc>
        <w:tc>
          <w:tcPr>
            <w:tcW w:w="4103" w:type="dxa"/>
            <w:tcBorders>
              <w:top w:val="nil"/>
              <w:left w:val="nil"/>
              <w:bottom w:val="nil"/>
              <w:right w:val="nil"/>
            </w:tcBorders>
            <w:shd w:val="clear" w:color="auto" w:fill="7F7F7F" w:themeFill="text1" w:themeFillTint="80"/>
          </w:tcPr>
          <w:p w14:paraId="75317B29" w14:textId="77777777" w:rsidR="00A61FF5" w:rsidRPr="006E49EE" w:rsidRDefault="00A61FF5" w:rsidP="00D07480">
            <w:pPr>
              <w:pStyle w:val="ESTableheadingwhite"/>
              <w:rPr>
                <w:lang w:val="en-AU"/>
              </w:rPr>
            </w:pPr>
            <w:r w:rsidRPr="006E49EE">
              <w:rPr>
                <w:lang w:val="en-AU"/>
              </w:rPr>
              <w:t>How to obtain a copy</w:t>
            </w:r>
          </w:p>
        </w:tc>
      </w:tr>
      <w:tr w:rsidR="00A61FF5" w:rsidRPr="00932A90" w14:paraId="5F5F6426" w14:textId="77777777" w:rsidTr="00D07480">
        <w:tc>
          <w:tcPr>
            <w:tcW w:w="1701" w:type="dxa"/>
            <w:tcBorders>
              <w:top w:val="nil"/>
              <w:left w:val="nil"/>
              <w:right w:val="nil"/>
            </w:tcBorders>
            <w:shd w:val="clear" w:color="auto" w:fill="auto"/>
            <w:tcMar>
              <w:top w:w="57" w:type="dxa"/>
            </w:tcMar>
          </w:tcPr>
          <w:p w14:paraId="1811E181" w14:textId="77777777" w:rsidR="00A61FF5" w:rsidRPr="006E49EE" w:rsidRDefault="00A61FF5" w:rsidP="00813992">
            <w:pPr>
              <w:pStyle w:val="ESTableBody"/>
              <w:rPr>
                <w:lang w:val="en-AU"/>
              </w:rPr>
            </w:pPr>
            <w:r w:rsidRPr="006E49EE">
              <w:rPr>
                <w:lang w:val="en-AU"/>
              </w:rPr>
              <w:t xml:space="preserve">The Department’s 2016–2020 Strategic Plan </w:t>
            </w:r>
          </w:p>
        </w:tc>
        <w:tc>
          <w:tcPr>
            <w:tcW w:w="1560" w:type="dxa"/>
            <w:tcBorders>
              <w:top w:val="nil"/>
              <w:left w:val="nil"/>
              <w:right w:val="nil"/>
            </w:tcBorders>
            <w:shd w:val="clear" w:color="auto" w:fill="auto"/>
            <w:tcMar>
              <w:top w:w="57" w:type="dxa"/>
            </w:tcMar>
          </w:tcPr>
          <w:p w14:paraId="0104E018" w14:textId="77777777" w:rsidR="00A61FF5" w:rsidRPr="006E49EE" w:rsidRDefault="00A61FF5" w:rsidP="00813992">
            <w:pPr>
              <w:pStyle w:val="ESTableBody"/>
              <w:rPr>
                <w:lang w:val="en-AU"/>
              </w:rPr>
            </w:pPr>
            <w:r w:rsidRPr="006E49EE">
              <w:rPr>
                <w:lang w:val="en-AU"/>
              </w:rPr>
              <w:t>January 2017</w:t>
            </w:r>
          </w:p>
        </w:tc>
        <w:tc>
          <w:tcPr>
            <w:tcW w:w="4103" w:type="dxa"/>
            <w:tcBorders>
              <w:top w:val="nil"/>
              <w:left w:val="nil"/>
              <w:right w:val="nil"/>
            </w:tcBorders>
            <w:shd w:val="clear" w:color="auto" w:fill="auto"/>
            <w:tcMar>
              <w:top w:w="57" w:type="dxa"/>
            </w:tcMar>
          </w:tcPr>
          <w:p w14:paraId="33159E1C" w14:textId="77777777" w:rsidR="00A61FF5" w:rsidRPr="006E49EE" w:rsidRDefault="00674F4D" w:rsidP="00813992">
            <w:pPr>
              <w:pStyle w:val="ESTableBody"/>
              <w:rPr>
                <w:sz w:val="17"/>
                <w:szCs w:val="17"/>
                <w:lang w:val="en-AU"/>
              </w:rPr>
            </w:pPr>
            <w:hyperlink r:id="rId44" w:history="1">
              <w:r w:rsidR="00A61FF5" w:rsidRPr="006E49EE">
                <w:rPr>
                  <w:rStyle w:val="Hyperlink"/>
                  <w:sz w:val="17"/>
                  <w:szCs w:val="17"/>
                  <w:lang w:val="en-AU"/>
                </w:rPr>
                <w:t>www.education.vic.gov.au/about/department/Pages/stratplan.aspx</w:t>
              </w:r>
            </w:hyperlink>
          </w:p>
        </w:tc>
      </w:tr>
      <w:tr w:rsidR="00A61FF5" w:rsidRPr="00932A90" w14:paraId="152940F5" w14:textId="77777777" w:rsidTr="00D07480">
        <w:tc>
          <w:tcPr>
            <w:tcW w:w="1701" w:type="dxa"/>
            <w:tcBorders>
              <w:top w:val="nil"/>
              <w:left w:val="nil"/>
              <w:bottom w:val="single" w:sz="4" w:space="0" w:color="auto"/>
              <w:right w:val="nil"/>
            </w:tcBorders>
            <w:shd w:val="clear" w:color="auto" w:fill="auto"/>
            <w:tcMar>
              <w:top w:w="57" w:type="dxa"/>
            </w:tcMar>
          </w:tcPr>
          <w:p w14:paraId="6991F230" w14:textId="77777777" w:rsidR="00A61FF5" w:rsidRPr="006E49EE" w:rsidRDefault="00A61FF5" w:rsidP="00813992">
            <w:pPr>
              <w:pStyle w:val="ESTableBody"/>
              <w:rPr>
                <w:lang w:val="en-AU"/>
              </w:rPr>
            </w:pPr>
            <w:r w:rsidRPr="006E49EE">
              <w:rPr>
                <w:lang w:val="en-AU"/>
              </w:rPr>
              <w:t xml:space="preserve">The Department’s Annual Report 2015–16 </w:t>
            </w:r>
          </w:p>
        </w:tc>
        <w:tc>
          <w:tcPr>
            <w:tcW w:w="1560" w:type="dxa"/>
            <w:tcBorders>
              <w:top w:val="nil"/>
              <w:left w:val="nil"/>
              <w:bottom w:val="single" w:sz="4" w:space="0" w:color="auto"/>
              <w:right w:val="nil"/>
            </w:tcBorders>
            <w:shd w:val="clear" w:color="auto" w:fill="auto"/>
            <w:tcMar>
              <w:top w:w="57" w:type="dxa"/>
            </w:tcMar>
          </w:tcPr>
          <w:p w14:paraId="1F04FEA5" w14:textId="77777777" w:rsidR="00A61FF5" w:rsidRPr="006E49EE" w:rsidRDefault="00A61FF5" w:rsidP="00813992">
            <w:pPr>
              <w:pStyle w:val="ESTableBody"/>
              <w:rPr>
                <w:lang w:val="en-AU"/>
              </w:rPr>
            </w:pPr>
            <w:r w:rsidRPr="006E49EE">
              <w:rPr>
                <w:lang w:val="en-AU"/>
              </w:rPr>
              <w:t>October 2016</w:t>
            </w:r>
          </w:p>
        </w:tc>
        <w:tc>
          <w:tcPr>
            <w:tcW w:w="4103" w:type="dxa"/>
            <w:tcBorders>
              <w:top w:val="nil"/>
              <w:left w:val="nil"/>
              <w:bottom w:val="single" w:sz="4" w:space="0" w:color="auto"/>
              <w:right w:val="nil"/>
            </w:tcBorders>
            <w:shd w:val="clear" w:color="auto" w:fill="auto"/>
            <w:tcMar>
              <w:top w:w="57" w:type="dxa"/>
            </w:tcMar>
          </w:tcPr>
          <w:p w14:paraId="1DA9C64D" w14:textId="77777777" w:rsidR="00A61FF5" w:rsidRPr="006E49EE" w:rsidRDefault="00674F4D" w:rsidP="00813992">
            <w:pPr>
              <w:pStyle w:val="ESTableBody"/>
              <w:rPr>
                <w:sz w:val="17"/>
                <w:szCs w:val="17"/>
                <w:lang w:val="en-AU"/>
              </w:rPr>
            </w:pPr>
            <w:hyperlink r:id="rId45" w:history="1">
              <w:r w:rsidR="00A61FF5" w:rsidRPr="006E49EE">
                <w:rPr>
                  <w:rStyle w:val="Hyperlink"/>
                  <w:sz w:val="17"/>
                  <w:szCs w:val="17"/>
                  <w:lang w:val="en-AU"/>
                </w:rPr>
                <w:t>www.education.vic.gov.au/about/department/Pages/annualreports.aspx</w:t>
              </w:r>
            </w:hyperlink>
            <w:r w:rsidR="00A61FF5" w:rsidRPr="006E49EE">
              <w:rPr>
                <w:lang w:val="en-AU"/>
              </w:rPr>
              <w:t xml:space="preserve"> </w:t>
            </w:r>
          </w:p>
        </w:tc>
      </w:tr>
    </w:tbl>
    <w:p w14:paraId="22F947CA" w14:textId="71A70743" w:rsidR="00A61FF5" w:rsidRPr="006E49EE" w:rsidRDefault="00A61FF5" w:rsidP="00D2232D">
      <w:pPr>
        <w:pStyle w:val="ESHeading2"/>
      </w:pPr>
      <w:bookmarkStart w:id="338" w:name="_Toc488410139"/>
      <w:bookmarkStart w:id="339" w:name="_Toc488767611"/>
      <w:bookmarkStart w:id="340" w:name="_Toc488769023"/>
      <w:bookmarkStart w:id="341" w:name="_Toc489526738"/>
      <w:bookmarkStart w:id="342" w:name="_Toc491070337"/>
      <w:bookmarkStart w:id="343" w:name="_Toc491409563"/>
      <w:bookmarkStart w:id="344" w:name="_Toc491414692"/>
      <w:r w:rsidRPr="006E49EE">
        <w:t>About this report</w:t>
      </w:r>
      <w:bookmarkEnd w:id="338"/>
      <w:bookmarkEnd w:id="339"/>
      <w:bookmarkEnd w:id="340"/>
      <w:bookmarkEnd w:id="341"/>
      <w:bookmarkEnd w:id="342"/>
      <w:bookmarkEnd w:id="343"/>
      <w:bookmarkEnd w:id="344"/>
    </w:p>
    <w:p w14:paraId="5043D70A" w14:textId="77777777" w:rsidR="00A61FF5" w:rsidRPr="006E49EE" w:rsidRDefault="00A61FF5" w:rsidP="00A61FF5">
      <w:pPr>
        <w:pStyle w:val="ESBodyText"/>
        <w:rPr>
          <w:lang w:val="en-AU"/>
        </w:rPr>
      </w:pPr>
      <w:r w:rsidRPr="006E49EE">
        <w:rPr>
          <w:lang w:val="en-AU"/>
        </w:rPr>
        <w:t>In accordance with Ministerial Reporting Direction FRD10A, the Department is required to include a disclosure index in its annual report that:</w:t>
      </w:r>
    </w:p>
    <w:p w14:paraId="559D7F7C" w14:textId="77777777" w:rsidR="00A61FF5" w:rsidRPr="006E49EE" w:rsidRDefault="00A61FF5" w:rsidP="00A61FF5">
      <w:pPr>
        <w:pStyle w:val="ESBullet1indent"/>
        <w:rPr>
          <w:lang w:val="en-AU"/>
        </w:rPr>
      </w:pPr>
      <w:r w:rsidRPr="006E49EE">
        <w:rPr>
          <w:lang w:val="en-AU"/>
        </w:rPr>
        <w:t>lists relevant clauses of Victorian legislation with statutory disclosure requirements that the Department has to comply with</w:t>
      </w:r>
    </w:p>
    <w:p w14:paraId="1630A49F" w14:textId="77777777" w:rsidR="00A61FF5" w:rsidRPr="006E49EE" w:rsidRDefault="00A61FF5" w:rsidP="00A61FF5">
      <w:pPr>
        <w:pStyle w:val="ESBullet1indent"/>
        <w:rPr>
          <w:lang w:val="en-AU"/>
        </w:rPr>
      </w:pPr>
      <w:r w:rsidRPr="006E49EE">
        <w:rPr>
          <w:lang w:val="en-AU"/>
        </w:rPr>
        <w:t>provides a short description of the relevant requirements</w:t>
      </w:r>
    </w:p>
    <w:p w14:paraId="632822CE" w14:textId="77777777" w:rsidR="00A61FF5" w:rsidRPr="006E49EE" w:rsidRDefault="00A61FF5" w:rsidP="00A61FF5">
      <w:pPr>
        <w:pStyle w:val="ESBullet1indent"/>
        <w:rPr>
          <w:lang w:val="en-AU"/>
        </w:rPr>
      </w:pPr>
      <w:r w:rsidRPr="006E49EE">
        <w:rPr>
          <w:lang w:val="en-AU"/>
        </w:rPr>
        <w:t>provides a page reference for the annual report where the disclosure for each requirement is made.</w:t>
      </w:r>
    </w:p>
    <w:p w14:paraId="15CC17C6" w14:textId="31AC067B" w:rsidR="00A61FF5" w:rsidRPr="006E49EE" w:rsidRDefault="00A61FF5" w:rsidP="00A61FF5">
      <w:pPr>
        <w:pStyle w:val="ESBodyText"/>
        <w:rPr>
          <w:lang w:val="en-AU"/>
        </w:rPr>
        <w:sectPr w:rsidR="00A61FF5" w:rsidRPr="006E49EE" w:rsidSect="003836E9">
          <w:pgSz w:w="11900" w:h="16840"/>
          <w:pgMar w:top="1440" w:right="1440" w:bottom="1440" w:left="1440" w:header="708" w:footer="708" w:gutter="0"/>
          <w:cols w:space="708"/>
          <w:docGrid w:linePitch="360"/>
        </w:sectPr>
      </w:pPr>
      <w:r w:rsidRPr="006E49EE">
        <w:rPr>
          <w:lang w:val="en-AU"/>
        </w:rPr>
        <w:t>Material not required under relevant legislation and pronouncements is not included in this report. A disclosure index that identifies the Department’s compliance with statutory require</w:t>
      </w:r>
      <w:r w:rsidR="00C516E7">
        <w:rPr>
          <w:lang w:val="en-AU"/>
        </w:rPr>
        <w:t>ments is provided in Appendix</w:t>
      </w:r>
      <w:r w:rsidR="008F1E33">
        <w:rPr>
          <w:lang w:val="en-AU"/>
        </w:rPr>
        <w:t xml:space="preserve"> 1</w:t>
      </w:r>
      <w:r w:rsidR="00C516E7">
        <w:rPr>
          <w:lang w:val="en-AU"/>
        </w:rPr>
        <w:t>.</w:t>
      </w:r>
      <w:bookmarkEnd w:id="11"/>
    </w:p>
    <w:p w14:paraId="672433D6" w14:textId="43FD2DEC" w:rsidR="00282BB6" w:rsidRPr="00932A90" w:rsidRDefault="00282BB6" w:rsidP="00DB2BAA">
      <w:pPr>
        <w:pStyle w:val="Normalaftertable"/>
      </w:pPr>
    </w:p>
    <w:sectPr w:rsidR="00282BB6" w:rsidRPr="00932A90" w:rsidSect="00CE1E54">
      <w:pgSz w:w="11900" w:h="16840"/>
      <w:pgMar w:top="1440" w:right="1701" w:bottom="1440" w:left="2835"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TABLE_NU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593D" w14:textId="77777777" w:rsidR="00764E85" w:rsidRDefault="00764E85" w:rsidP="004625D4">
      <w:r>
        <w:separator/>
      </w:r>
    </w:p>
  </w:endnote>
  <w:endnote w:type="continuationSeparator" w:id="0">
    <w:p w14:paraId="17B8CA1E" w14:textId="77777777" w:rsidR="00764E85" w:rsidRDefault="00764E85" w:rsidP="004625D4">
      <w:r>
        <w:continuationSeparator/>
      </w:r>
    </w:p>
  </w:endnote>
  <w:endnote w:type="continuationNotice" w:id="1">
    <w:p w14:paraId="42D0A399" w14:textId="77777777" w:rsidR="00764E85" w:rsidRDefault="00764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AE86" w14:textId="1695F0C3" w:rsidR="00764E85" w:rsidRDefault="00674F4D" w:rsidP="00457C10">
    <w:pPr>
      <w:pStyle w:val="ESFooter"/>
      <w:tabs>
        <w:tab w:val="right" w:pos="7371"/>
      </w:tabs>
      <w:jc w:val="left"/>
    </w:pPr>
    <w:sdt>
      <w:sdtPr>
        <w:rPr>
          <w:lang w:val="en-AU"/>
        </w:rPr>
        <w:id w:val="-615063200"/>
        <w:docPartObj>
          <w:docPartGallery w:val="Page Numbers (Bottom of Page)"/>
          <w:docPartUnique/>
        </w:docPartObj>
      </w:sdtPr>
      <w:sdtEndPr/>
      <w:sdtContent>
        <w:r w:rsidR="00764E85" w:rsidRPr="00B8261F">
          <w:rPr>
            <w:lang w:val="en-AU"/>
          </w:rPr>
          <w:t xml:space="preserve">Page </w:t>
        </w:r>
        <w:r w:rsidR="00764E85">
          <w:rPr>
            <w:lang w:val="en-AU"/>
          </w:rPr>
          <w:t xml:space="preserve">| </w:t>
        </w:r>
        <w:r w:rsidR="00764E85" w:rsidRPr="00B8261F">
          <w:rPr>
            <w:lang w:val="en-AU"/>
          </w:rPr>
          <w:fldChar w:fldCharType="begin"/>
        </w:r>
        <w:r w:rsidR="00764E85" w:rsidRPr="00B8261F">
          <w:rPr>
            <w:lang w:val="en-AU"/>
          </w:rPr>
          <w:instrText xml:space="preserve"> TITLE  \* MERGEFORMAT </w:instrText>
        </w:r>
        <w:r w:rsidR="00764E85" w:rsidRPr="00B8261F">
          <w:rPr>
            <w:lang w:val="en-AU"/>
          </w:rPr>
          <w:fldChar w:fldCharType="end"/>
        </w:r>
        <w:r w:rsidR="00764E85" w:rsidRPr="00B8261F">
          <w:rPr>
            <w:noProof w:val="0"/>
            <w:lang w:val="en-AU"/>
          </w:rPr>
          <w:fldChar w:fldCharType="begin"/>
        </w:r>
        <w:r w:rsidR="00764E85" w:rsidRPr="00B8261F">
          <w:rPr>
            <w:lang w:val="en-AU"/>
          </w:rPr>
          <w:instrText xml:space="preserve"> PAGE   \* MERGEFORMAT </w:instrText>
        </w:r>
        <w:r w:rsidR="00764E85" w:rsidRPr="00B8261F">
          <w:rPr>
            <w:noProof w:val="0"/>
            <w:lang w:val="en-AU"/>
          </w:rPr>
          <w:fldChar w:fldCharType="separate"/>
        </w:r>
        <w:r>
          <w:rPr>
            <w:lang w:val="en-AU"/>
          </w:rPr>
          <w:t>2</w:t>
        </w:r>
        <w:r w:rsidR="00764E85" w:rsidRPr="00B8261F">
          <w:rPr>
            <w:lang w:val="en-AU"/>
          </w:rPr>
          <w:fldChar w:fldCharType="end"/>
        </w:r>
      </w:sdtContent>
    </w:sdt>
    <w:r w:rsidR="00764E85">
      <w:rPr>
        <w:lang w:val="en-AU"/>
      </w:rPr>
      <w:tab/>
      <w:t>DET Annual Report 2016–17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F34C" w14:textId="62CCAF4B" w:rsidR="00764E85" w:rsidRDefault="00764E85" w:rsidP="00A177F0">
    <w:pPr>
      <w:pStyle w:val="ESFooter"/>
      <w:tabs>
        <w:tab w:val="right" w:pos="13892"/>
      </w:tabs>
      <w:jc w:val="left"/>
    </w:pPr>
    <w:r>
      <w:rPr>
        <w:lang w:val="en-AU"/>
      </w:rPr>
      <w:t>DET Annual Report 2016–17</w:t>
    </w:r>
    <w:r>
      <w:rPr>
        <w:lang w:val="en-AU"/>
      </w:rPr>
      <w:tab/>
    </w:r>
    <w:sdt>
      <w:sdtPr>
        <w:rPr>
          <w:lang w:val="en-AU"/>
        </w:rPr>
        <w:id w:val="-2111036627"/>
        <w:docPartObj>
          <w:docPartGallery w:val="Page Numbers (Bottom of Page)"/>
          <w:docPartUnique/>
        </w:docPartObj>
      </w:sdtPr>
      <w:sdtEndPr/>
      <w:sdtContent>
        <w:r w:rsidRPr="00B8261F">
          <w:rPr>
            <w:lang w:val="en-AU"/>
          </w:rPr>
          <w:t xml:space="preserve">Page </w:t>
        </w:r>
        <w:r>
          <w:rPr>
            <w:lang w:val="en-AU"/>
          </w:rPr>
          <w:t xml:space="preserve">| </w:t>
        </w:r>
        <w:r w:rsidRPr="00B8261F">
          <w:rPr>
            <w:lang w:val="en-AU"/>
          </w:rPr>
          <w:fldChar w:fldCharType="begin"/>
        </w:r>
        <w:r w:rsidRPr="00B8261F">
          <w:rPr>
            <w:lang w:val="en-AU"/>
          </w:rPr>
          <w:instrText xml:space="preserve"> TITLE  \* MERGEFORMAT </w:instrText>
        </w:r>
        <w:r w:rsidRPr="00B8261F">
          <w:rPr>
            <w:lang w:val="en-AU"/>
          </w:rPr>
          <w:fldChar w:fldCharType="end"/>
        </w:r>
        <w:r w:rsidRPr="00B8261F">
          <w:rPr>
            <w:noProof w:val="0"/>
            <w:lang w:val="en-AU"/>
          </w:rPr>
          <w:fldChar w:fldCharType="begin"/>
        </w:r>
        <w:r w:rsidRPr="00B8261F">
          <w:rPr>
            <w:lang w:val="en-AU"/>
          </w:rPr>
          <w:instrText xml:space="preserve"> PAGE   \* MERGEFORMAT </w:instrText>
        </w:r>
        <w:r w:rsidRPr="00B8261F">
          <w:rPr>
            <w:noProof w:val="0"/>
            <w:lang w:val="en-AU"/>
          </w:rPr>
          <w:fldChar w:fldCharType="separate"/>
        </w:r>
        <w:r w:rsidR="003836E9">
          <w:rPr>
            <w:lang w:val="en-AU"/>
          </w:rPr>
          <w:t>5</w:t>
        </w:r>
        <w:r w:rsidRPr="00B8261F">
          <w:rPr>
            <w:lang w:val="en-AU"/>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0B53" w14:textId="69258E99" w:rsidR="00764E85" w:rsidRDefault="00674F4D" w:rsidP="00457C10">
    <w:pPr>
      <w:pStyle w:val="ESFooter"/>
      <w:tabs>
        <w:tab w:val="right" w:pos="7371"/>
      </w:tabs>
      <w:jc w:val="left"/>
    </w:pPr>
    <w:sdt>
      <w:sdtPr>
        <w:rPr>
          <w:lang w:val="en-AU"/>
        </w:rPr>
        <w:id w:val="-712955993"/>
        <w:docPartObj>
          <w:docPartGallery w:val="Page Numbers (Bottom of Page)"/>
          <w:docPartUnique/>
        </w:docPartObj>
      </w:sdtPr>
      <w:sdtEndPr/>
      <w:sdtContent>
        <w:r w:rsidR="00764E85" w:rsidRPr="00B8261F">
          <w:rPr>
            <w:lang w:val="en-AU"/>
          </w:rPr>
          <w:t xml:space="preserve">Page </w:t>
        </w:r>
        <w:r w:rsidR="00764E85">
          <w:rPr>
            <w:lang w:val="en-AU"/>
          </w:rPr>
          <w:t xml:space="preserve">| </w:t>
        </w:r>
        <w:r w:rsidR="00764E85" w:rsidRPr="00B8261F">
          <w:rPr>
            <w:lang w:val="en-AU"/>
          </w:rPr>
          <w:fldChar w:fldCharType="begin"/>
        </w:r>
        <w:r w:rsidR="00764E85" w:rsidRPr="00B8261F">
          <w:rPr>
            <w:lang w:val="en-AU"/>
          </w:rPr>
          <w:instrText xml:space="preserve"> TITLE  \* MERGEFORMAT </w:instrText>
        </w:r>
        <w:r w:rsidR="00764E85" w:rsidRPr="00B8261F">
          <w:rPr>
            <w:lang w:val="en-AU"/>
          </w:rPr>
          <w:fldChar w:fldCharType="end"/>
        </w:r>
        <w:r w:rsidR="00764E85" w:rsidRPr="00B8261F">
          <w:rPr>
            <w:noProof w:val="0"/>
            <w:lang w:val="en-AU"/>
          </w:rPr>
          <w:fldChar w:fldCharType="begin"/>
        </w:r>
        <w:r w:rsidR="00764E85" w:rsidRPr="00B8261F">
          <w:rPr>
            <w:lang w:val="en-AU"/>
          </w:rPr>
          <w:instrText xml:space="preserve"> PAGE   \* MERGEFORMAT </w:instrText>
        </w:r>
        <w:r w:rsidR="00764E85" w:rsidRPr="00B8261F">
          <w:rPr>
            <w:noProof w:val="0"/>
            <w:lang w:val="en-AU"/>
          </w:rPr>
          <w:fldChar w:fldCharType="separate"/>
        </w:r>
        <w:r w:rsidR="003836E9">
          <w:rPr>
            <w:lang w:val="en-AU"/>
          </w:rPr>
          <w:t>22</w:t>
        </w:r>
        <w:r w:rsidR="00764E85" w:rsidRPr="00B8261F">
          <w:rPr>
            <w:lang w:val="en-AU"/>
          </w:rPr>
          <w:fldChar w:fldCharType="end"/>
        </w:r>
      </w:sdtContent>
    </w:sdt>
    <w:r w:rsidR="00764E85">
      <w:rPr>
        <w:lang w:val="en-AU"/>
      </w:rPr>
      <w:tab/>
      <w:t>DET Annual Report 2016–17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FBBE" w14:textId="22F05ECB" w:rsidR="00764E85" w:rsidRDefault="00764E85" w:rsidP="00457C10">
    <w:pPr>
      <w:pStyle w:val="ESFooter"/>
      <w:tabs>
        <w:tab w:val="right" w:pos="7371"/>
      </w:tabs>
      <w:jc w:val="left"/>
    </w:pPr>
    <w:r>
      <w:rPr>
        <w:lang w:val="en-AU"/>
      </w:rPr>
      <w:t>DET Annual Report 2016–17</w:t>
    </w:r>
    <w:r>
      <w:rPr>
        <w:lang w:val="en-AU"/>
      </w:rPr>
      <w:tab/>
    </w:r>
    <w:sdt>
      <w:sdtPr>
        <w:rPr>
          <w:lang w:val="en-AU"/>
        </w:rPr>
        <w:id w:val="-2087602084"/>
        <w:docPartObj>
          <w:docPartGallery w:val="Page Numbers (Bottom of Page)"/>
          <w:docPartUnique/>
        </w:docPartObj>
      </w:sdtPr>
      <w:sdtEndPr/>
      <w:sdtContent>
        <w:r w:rsidRPr="00B8261F">
          <w:rPr>
            <w:lang w:val="en-AU"/>
          </w:rPr>
          <w:t xml:space="preserve">Page </w:t>
        </w:r>
        <w:r>
          <w:rPr>
            <w:lang w:val="en-AU"/>
          </w:rPr>
          <w:t xml:space="preserve">| </w:t>
        </w:r>
        <w:r w:rsidRPr="00B8261F">
          <w:rPr>
            <w:lang w:val="en-AU"/>
          </w:rPr>
          <w:fldChar w:fldCharType="begin"/>
        </w:r>
        <w:r w:rsidRPr="00B8261F">
          <w:rPr>
            <w:lang w:val="en-AU"/>
          </w:rPr>
          <w:instrText xml:space="preserve"> TITLE  \* MERGEFORMAT </w:instrText>
        </w:r>
        <w:r w:rsidRPr="00B8261F">
          <w:rPr>
            <w:lang w:val="en-AU"/>
          </w:rPr>
          <w:fldChar w:fldCharType="end"/>
        </w:r>
        <w:r w:rsidRPr="00B8261F">
          <w:rPr>
            <w:noProof w:val="0"/>
            <w:lang w:val="en-AU"/>
          </w:rPr>
          <w:fldChar w:fldCharType="begin"/>
        </w:r>
        <w:r w:rsidRPr="00B8261F">
          <w:rPr>
            <w:lang w:val="en-AU"/>
          </w:rPr>
          <w:instrText xml:space="preserve"> PAGE   \* MERGEFORMAT </w:instrText>
        </w:r>
        <w:r w:rsidRPr="00B8261F">
          <w:rPr>
            <w:noProof w:val="0"/>
            <w:lang w:val="en-AU"/>
          </w:rPr>
          <w:fldChar w:fldCharType="separate"/>
        </w:r>
        <w:r w:rsidR="003836E9">
          <w:rPr>
            <w:lang w:val="en-AU"/>
          </w:rPr>
          <w:t>21</w:t>
        </w:r>
        <w:r w:rsidRPr="00B8261F">
          <w:rPr>
            <w:lang w:val="en-AU"/>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4AE3" w14:textId="51FA2CE3" w:rsidR="00764E85" w:rsidRDefault="00674F4D" w:rsidP="00EE6318">
    <w:pPr>
      <w:pStyle w:val="ESFooter"/>
      <w:tabs>
        <w:tab w:val="right" w:pos="13892"/>
      </w:tabs>
      <w:jc w:val="left"/>
    </w:pPr>
    <w:sdt>
      <w:sdtPr>
        <w:rPr>
          <w:lang w:val="en-AU"/>
        </w:rPr>
        <w:id w:val="355311352"/>
        <w:docPartObj>
          <w:docPartGallery w:val="Page Numbers (Bottom of Page)"/>
          <w:docPartUnique/>
        </w:docPartObj>
      </w:sdtPr>
      <w:sdtEndPr/>
      <w:sdtContent>
        <w:r w:rsidR="00764E85" w:rsidRPr="00B8261F">
          <w:rPr>
            <w:lang w:val="en-AU"/>
          </w:rPr>
          <w:t xml:space="preserve">Page </w:t>
        </w:r>
        <w:r w:rsidR="00764E85">
          <w:rPr>
            <w:lang w:val="en-AU"/>
          </w:rPr>
          <w:t xml:space="preserve">| </w:t>
        </w:r>
        <w:r w:rsidR="00764E85" w:rsidRPr="00B8261F">
          <w:rPr>
            <w:lang w:val="en-AU"/>
          </w:rPr>
          <w:fldChar w:fldCharType="begin"/>
        </w:r>
        <w:r w:rsidR="00764E85" w:rsidRPr="00B8261F">
          <w:rPr>
            <w:lang w:val="en-AU"/>
          </w:rPr>
          <w:instrText xml:space="preserve"> TITLE  \* MERGEFORMAT </w:instrText>
        </w:r>
        <w:r w:rsidR="00764E85" w:rsidRPr="00B8261F">
          <w:rPr>
            <w:lang w:val="en-AU"/>
          </w:rPr>
          <w:fldChar w:fldCharType="end"/>
        </w:r>
        <w:r w:rsidR="00764E85" w:rsidRPr="00B8261F">
          <w:rPr>
            <w:noProof w:val="0"/>
            <w:lang w:val="en-AU"/>
          </w:rPr>
          <w:fldChar w:fldCharType="begin"/>
        </w:r>
        <w:r w:rsidR="00764E85" w:rsidRPr="00B8261F">
          <w:rPr>
            <w:lang w:val="en-AU"/>
          </w:rPr>
          <w:instrText xml:space="preserve"> PAGE   \* MERGEFORMAT </w:instrText>
        </w:r>
        <w:r w:rsidR="00764E85" w:rsidRPr="00B8261F">
          <w:rPr>
            <w:noProof w:val="0"/>
            <w:lang w:val="en-AU"/>
          </w:rPr>
          <w:fldChar w:fldCharType="separate"/>
        </w:r>
        <w:r w:rsidR="003836E9">
          <w:rPr>
            <w:lang w:val="en-AU"/>
          </w:rPr>
          <w:t>44</w:t>
        </w:r>
        <w:r w:rsidR="00764E85" w:rsidRPr="00B8261F">
          <w:rPr>
            <w:lang w:val="en-AU"/>
          </w:rPr>
          <w:fldChar w:fldCharType="end"/>
        </w:r>
      </w:sdtContent>
    </w:sdt>
    <w:r w:rsidR="00764E85">
      <w:rPr>
        <w:lang w:val="en-AU"/>
      </w:rPr>
      <w:tab/>
      <w:t>DET Annual Report 2016–17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EEB3" w14:textId="3968E666" w:rsidR="00764E85" w:rsidRDefault="00764E85" w:rsidP="00EE6318">
    <w:pPr>
      <w:pStyle w:val="ESFooter"/>
      <w:tabs>
        <w:tab w:val="right" w:pos="13892"/>
      </w:tabs>
      <w:jc w:val="left"/>
    </w:pPr>
    <w:r>
      <w:rPr>
        <w:lang w:val="en-AU"/>
      </w:rPr>
      <w:t>DET Annual Report 2016–17</w:t>
    </w:r>
    <w:r>
      <w:rPr>
        <w:lang w:val="en-AU"/>
      </w:rPr>
      <w:tab/>
    </w:r>
    <w:sdt>
      <w:sdtPr>
        <w:rPr>
          <w:lang w:val="en-AU"/>
        </w:rPr>
        <w:id w:val="-542910119"/>
        <w:docPartObj>
          <w:docPartGallery w:val="Page Numbers (Bottom of Page)"/>
          <w:docPartUnique/>
        </w:docPartObj>
      </w:sdtPr>
      <w:sdtEndPr/>
      <w:sdtContent>
        <w:r w:rsidRPr="00B8261F">
          <w:rPr>
            <w:lang w:val="en-AU"/>
          </w:rPr>
          <w:t xml:space="preserve">Page </w:t>
        </w:r>
        <w:r>
          <w:rPr>
            <w:lang w:val="en-AU"/>
          </w:rPr>
          <w:t xml:space="preserve">| </w:t>
        </w:r>
        <w:r w:rsidRPr="00B8261F">
          <w:rPr>
            <w:lang w:val="en-AU"/>
          </w:rPr>
          <w:fldChar w:fldCharType="begin"/>
        </w:r>
        <w:r w:rsidRPr="00B8261F">
          <w:rPr>
            <w:lang w:val="en-AU"/>
          </w:rPr>
          <w:instrText xml:space="preserve"> TITLE  \* MERGEFORMAT </w:instrText>
        </w:r>
        <w:r w:rsidRPr="00B8261F">
          <w:rPr>
            <w:lang w:val="en-AU"/>
          </w:rPr>
          <w:fldChar w:fldCharType="end"/>
        </w:r>
        <w:r w:rsidRPr="00B8261F">
          <w:rPr>
            <w:noProof w:val="0"/>
            <w:lang w:val="en-AU"/>
          </w:rPr>
          <w:fldChar w:fldCharType="begin"/>
        </w:r>
        <w:r w:rsidRPr="00B8261F">
          <w:rPr>
            <w:lang w:val="en-AU"/>
          </w:rPr>
          <w:instrText xml:space="preserve"> PAGE   \* MERGEFORMAT </w:instrText>
        </w:r>
        <w:r w:rsidRPr="00B8261F">
          <w:rPr>
            <w:noProof w:val="0"/>
            <w:lang w:val="en-AU"/>
          </w:rPr>
          <w:fldChar w:fldCharType="separate"/>
        </w:r>
        <w:r w:rsidR="003836E9">
          <w:rPr>
            <w:lang w:val="en-AU"/>
          </w:rPr>
          <w:t>65</w:t>
        </w:r>
        <w:r w:rsidRPr="00B8261F">
          <w:rPr>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A01E" w14:textId="77777777" w:rsidR="00764E85" w:rsidRDefault="00764E85" w:rsidP="004625D4">
      <w:r>
        <w:separator/>
      </w:r>
    </w:p>
  </w:footnote>
  <w:footnote w:type="continuationSeparator" w:id="0">
    <w:p w14:paraId="04B1B306" w14:textId="77777777" w:rsidR="00764E85" w:rsidRDefault="00764E85" w:rsidP="004625D4">
      <w:r>
        <w:continuationSeparator/>
      </w:r>
    </w:p>
  </w:footnote>
  <w:footnote w:type="continuationNotice" w:id="1">
    <w:p w14:paraId="62EECDE4" w14:textId="77777777" w:rsidR="00764E85" w:rsidRDefault="00764E85"/>
  </w:footnote>
  <w:footnote w:id="2">
    <w:p w14:paraId="3130B9DC" w14:textId="77777777" w:rsidR="00764E85" w:rsidRDefault="00764E85" w:rsidP="00A61FF5">
      <w:pPr>
        <w:pStyle w:val="FootnoteText"/>
      </w:pPr>
      <w:r w:rsidRPr="007C5B70">
        <w:footnoteRef/>
      </w:r>
      <w:r w:rsidRPr="007C5B70">
        <w:t xml:space="preserve"> </w:t>
      </w:r>
      <w:r w:rsidRPr="00133346">
        <w:t>Victorian government and non-government schools.</w:t>
      </w:r>
    </w:p>
  </w:footnote>
  <w:footnote w:id="3">
    <w:p w14:paraId="3556F800" w14:textId="77777777" w:rsidR="00764E85" w:rsidRPr="0013374D" w:rsidRDefault="00764E85" w:rsidP="00A61FF5">
      <w:pPr>
        <w:pStyle w:val="FootnoteText"/>
        <w:rPr>
          <w:rStyle w:val="FootnoteReference"/>
          <w:vertAlign w:val="baseline"/>
        </w:rPr>
      </w:pPr>
      <w:r w:rsidRPr="0013374D">
        <w:rPr>
          <w:rStyle w:val="FootnoteReference"/>
          <w:vertAlign w:val="baseline"/>
        </w:rPr>
        <w:footnoteRef/>
      </w:r>
      <w:r w:rsidRPr="0013374D">
        <w:rPr>
          <w:rStyle w:val="FootnoteReference"/>
          <w:vertAlign w:val="baseline"/>
        </w:rPr>
        <w:t xml:space="preserve"> Progress in International Reading Literacy Study. Data collected every five years. Source: Thomson, S., Hillman, K., Wernert, N., Schmid, M., Buckley, S. and Munene, A. (2012). Monitoring Australian Year 4 student achievement internationally: TIMSS and PIRLS 2011, ACER.</w:t>
      </w:r>
    </w:p>
  </w:footnote>
  <w:footnote w:id="4">
    <w:p w14:paraId="6474F1FD" w14:textId="77777777" w:rsidR="00764E85" w:rsidRPr="0013374D" w:rsidRDefault="00764E85" w:rsidP="00A61FF5">
      <w:pPr>
        <w:pStyle w:val="FootnoteText"/>
        <w:rPr>
          <w:rStyle w:val="FootnoteReference"/>
          <w:vertAlign w:val="baseline"/>
        </w:rPr>
      </w:pPr>
      <w:r w:rsidRPr="0013374D">
        <w:rPr>
          <w:rStyle w:val="FootnoteReference"/>
          <w:vertAlign w:val="baseline"/>
        </w:rPr>
        <w:footnoteRef/>
      </w:r>
      <w:r w:rsidRPr="0013374D">
        <w:rPr>
          <w:rStyle w:val="FootnoteReference"/>
          <w:vertAlign w:val="baseline"/>
        </w:rPr>
        <w:t xml:space="preserve"> Trends in International Mathematics and Science Study. Data collected every four years. Source: Thomson, S., Hillman, K. and Wernert, N. (2012). Monitoring Australian Year 8 student achievement internationally: TIMSS 2011, ACER.</w:t>
      </w:r>
    </w:p>
  </w:footnote>
  <w:footnote w:id="5">
    <w:p w14:paraId="7EFD3466" w14:textId="1D1DF012" w:rsidR="00764E85" w:rsidRDefault="00764E85" w:rsidP="00A61FF5">
      <w:pPr>
        <w:pStyle w:val="FootnoteText"/>
        <w:rPr>
          <w:rStyle w:val="FootnoteReference"/>
          <w:vertAlign w:val="baseline"/>
        </w:rPr>
      </w:pPr>
      <w:r w:rsidRPr="0013374D">
        <w:rPr>
          <w:rStyle w:val="FootnoteReference"/>
          <w:vertAlign w:val="baseline"/>
        </w:rPr>
        <w:footnoteRef/>
      </w:r>
      <w:r w:rsidRPr="0013374D">
        <w:rPr>
          <w:rStyle w:val="FootnoteReference"/>
          <w:vertAlign w:val="baseline"/>
        </w:rPr>
        <w:t xml:space="preserve"> Programme for International Student Assessment (PISA). Data collected every three years. In Australia, the national agreed baseline, as agreed in the Measurement Framework for Schooling in Australia (May 2015), is at or above the National Proficient Standard (Level</w:t>
      </w:r>
      <w:r>
        <w:t> </w:t>
      </w:r>
      <w:r w:rsidRPr="0013374D">
        <w:rPr>
          <w:rStyle w:val="FootnoteReference"/>
          <w:vertAlign w:val="baseline"/>
        </w:rPr>
        <w:t>3).</w:t>
      </w:r>
    </w:p>
  </w:footnote>
  <w:footnote w:id="6">
    <w:p w14:paraId="0B27FD78" w14:textId="191F6310" w:rsidR="00764E85" w:rsidRPr="00C32557" w:rsidRDefault="00764E85" w:rsidP="00A61FF5">
      <w:pPr>
        <w:pStyle w:val="FootnoteText"/>
        <w:rPr>
          <w:szCs w:val="15"/>
        </w:rPr>
      </w:pPr>
      <w:r w:rsidRPr="0013374D">
        <w:rPr>
          <w:rStyle w:val="FootnoteReference"/>
          <w:vertAlign w:val="baseline"/>
        </w:rPr>
        <w:footnoteRef/>
      </w:r>
      <w:r w:rsidRPr="0013374D">
        <w:rPr>
          <w:rStyle w:val="FootnoteReference"/>
          <w:vertAlign w:val="baseline"/>
        </w:rPr>
        <w:t xml:space="preserve"> Top performing PISA jurisdic</w:t>
      </w:r>
      <w:r>
        <w:rPr>
          <w:rStyle w:val="FootnoteReference"/>
          <w:vertAlign w:val="baseline"/>
        </w:rPr>
        <w:t>tions are defined as the top 25 percent</w:t>
      </w:r>
      <w:r w:rsidRPr="0013374D">
        <w:rPr>
          <w:rStyle w:val="FootnoteReference"/>
          <w:vertAlign w:val="baseline"/>
        </w:rPr>
        <w:t xml:space="preserve"> of jurisdictions by mean score (both countries and economic areas) undertaking the PISA test in that cycle. Country/economic area rankings may shift over time</w:t>
      </w:r>
      <w:r>
        <w:t>.</w:t>
      </w:r>
    </w:p>
  </w:footnote>
  <w:footnote w:id="7">
    <w:p w14:paraId="16EC5428" w14:textId="77777777" w:rsidR="00764E85" w:rsidRDefault="00764E85" w:rsidP="00A61FF5">
      <w:pPr>
        <w:pStyle w:val="FootnoteText"/>
      </w:pPr>
      <w:r w:rsidRPr="0013374D">
        <w:footnoteRef/>
      </w:r>
      <w:r w:rsidRPr="0013374D">
        <w:t xml:space="preserve"> </w:t>
      </w:r>
      <w:r>
        <w:t>This is a new measure for this report and data are not available prior to 2015. Completed qualifications is a new measure and should be interpreted with care because:</w:t>
      </w:r>
    </w:p>
    <w:p w14:paraId="0CBFCED6" w14:textId="020E89F2" w:rsidR="00764E85" w:rsidRDefault="00764E85" w:rsidP="00A61FF5">
      <w:pPr>
        <w:pStyle w:val="FootnoteText"/>
        <w:numPr>
          <w:ilvl w:val="0"/>
          <w:numId w:val="12"/>
        </w:numPr>
      </w:pPr>
      <w:r>
        <w:t>completion reported in any year relates to commencement in that and previous years.</w:t>
      </w:r>
    </w:p>
    <w:p w14:paraId="60C0EF43" w14:textId="7C7FF698" w:rsidR="00764E85" w:rsidRDefault="00764E85" w:rsidP="00A61FF5">
      <w:pPr>
        <w:pStyle w:val="FootnoteText"/>
        <w:numPr>
          <w:ilvl w:val="0"/>
          <w:numId w:val="12"/>
        </w:numPr>
      </w:pPr>
      <w:r>
        <w:t>the Department cancelled contracts for a number of poor performing Registered Training Organisations following quality audits undertaken as part of the Quality Assurance Review Blitz. This could have increased the number of non-completions and continuing enrolments for 2016.</w:t>
      </w:r>
    </w:p>
    <w:p w14:paraId="71E626C0" w14:textId="03655029" w:rsidR="00764E85" w:rsidRPr="00C32557" w:rsidRDefault="00764E85" w:rsidP="00A61FF5">
      <w:pPr>
        <w:pStyle w:val="FootnoteText"/>
      </w:pPr>
      <w:r>
        <w:t>Data for future years is expected to provide a higher level of comparability.</w:t>
      </w:r>
    </w:p>
  </w:footnote>
  <w:footnote w:id="8">
    <w:p w14:paraId="25698E42" w14:textId="77777777" w:rsidR="00764E85" w:rsidRDefault="00764E85" w:rsidP="00A61FF5">
      <w:pPr>
        <w:pStyle w:val="FootnoteText"/>
      </w:pPr>
      <w:r w:rsidRPr="0013374D">
        <w:footnoteRef/>
      </w:r>
      <w:r w:rsidRPr="00C32557">
        <w:t xml:space="preserve"> Survey estimates, subject to statistical error. Source: ABS Survey of Education and Work (cat.no. 6227.0).</w:t>
      </w:r>
    </w:p>
  </w:footnote>
  <w:footnote w:id="9">
    <w:p w14:paraId="5D835337" w14:textId="55330E9A" w:rsidR="00764E85" w:rsidRPr="00D25DE5" w:rsidRDefault="00764E85" w:rsidP="00A61FF5">
      <w:pPr>
        <w:pStyle w:val="FootnoteText"/>
      </w:pPr>
      <w:r w:rsidRPr="00A60876">
        <w:footnoteRef/>
      </w:r>
      <w:r w:rsidRPr="00A60876">
        <w:t xml:space="preserve"> </w:t>
      </w:r>
      <w:r w:rsidRPr="00A60876">
        <w:rPr>
          <w:szCs w:val="15"/>
        </w:rPr>
        <w:t>2016 data not available at time of publication.</w:t>
      </w:r>
    </w:p>
  </w:footnote>
  <w:footnote w:id="10">
    <w:p w14:paraId="643B8D20" w14:textId="47327E41" w:rsidR="00764E85" w:rsidRPr="009E2237" w:rsidRDefault="00764E85">
      <w:pPr>
        <w:pStyle w:val="FootnoteText"/>
        <w:rPr>
          <w:lang w:val="en-AU"/>
        </w:rPr>
      </w:pPr>
      <w:r>
        <w:rPr>
          <w:rStyle w:val="FootnoteReference"/>
        </w:rPr>
        <w:footnoteRef/>
      </w:r>
      <w:r>
        <w:t xml:space="preserve"> </w:t>
      </w:r>
      <w:r w:rsidRPr="009E2237">
        <w:t>Productivity Commission Report on Government Services 2017,Table 4A.33</w:t>
      </w:r>
    </w:p>
  </w:footnote>
  <w:footnote w:id="11">
    <w:p w14:paraId="14083068" w14:textId="77777777" w:rsidR="00764E85" w:rsidRDefault="00764E85" w:rsidP="00A61FF5">
      <w:pPr>
        <w:pStyle w:val="FootnoteText"/>
      </w:pPr>
      <w:r w:rsidRPr="00510FFD">
        <w:footnoteRef/>
      </w:r>
      <w:r w:rsidRPr="00510FFD">
        <w:t xml:space="preserve"> In 2014, the methodology changed slightly due to an improvement in available data and analysis methods. The method of identifying and excluding second year enrolments has been improved and the participation rate is now based on child count rather than an enrolment count. In 2016</w:t>
      </w:r>
      <w:r>
        <w:t>,</w:t>
      </w:r>
      <w:r w:rsidRPr="00510FFD">
        <w:t xml:space="preserve"> an improved methodology was developed for estimatin</w:t>
      </w:r>
      <w:r>
        <w:t>g</w:t>
      </w:r>
      <w:r w:rsidRPr="00510FFD">
        <w:t xml:space="preserve"> the kindergarten participation rate to more accurately reflect the actual age distribution of children enrolled in kindergarten and for alignment with school/kindergarten entry age</w:t>
      </w:r>
      <w:r>
        <w:t>.</w:t>
      </w:r>
    </w:p>
  </w:footnote>
  <w:footnote w:id="12">
    <w:p w14:paraId="628E59D8" w14:textId="64A7CA49" w:rsidR="00764E85" w:rsidRPr="006016B9" w:rsidRDefault="00764E85" w:rsidP="00A61FF5">
      <w:pPr>
        <w:pStyle w:val="FootnoteText"/>
      </w:pPr>
      <w:r w:rsidRPr="00510FFD">
        <w:footnoteRef/>
      </w:r>
      <w:r w:rsidRPr="006016B9">
        <w:t xml:space="preserve"> Figures for </w:t>
      </w:r>
      <w:r>
        <w:t xml:space="preserve">the </w:t>
      </w:r>
      <w:r w:rsidRPr="006016B9">
        <w:t xml:space="preserve">2012–13 </w:t>
      </w:r>
      <w:r>
        <w:t>financial year</w:t>
      </w:r>
      <w:r w:rsidRPr="006016B9">
        <w:t xml:space="preserve"> under 2012, 2013–14 under 2013, and for 2014–15 under 2014. </w:t>
      </w:r>
      <w:r w:rsidRPr="00C32557">
        <w:t>Results for 2015–16 and 2016</w:t>
      </w:r>
      <w:r>
        <w:t>–</w:t>
      </w:r>
      <w:r w:rsidRPr="00C32557">
        <w:t>17 were not available at the time of publication. Source: Maternal and Child Health Services Annual Report.</w:t>
      </w:r>
    </w:p>
  </w:footnote>
  <w:footnote w:id="13">
    <w:p w14:paraId="0A19A510" w14:textId="77777777" w:rsidR="00764E85" w:rsidRDefault="00764E85" w:rsidP="00A61FF5">
      <w:pPr>
        <w:pStyle w:val="FootnoteText"/>
      </w:pPr>
      <w:r w:rsidRPr="00510FFD">
        <w:footnoteRef/>
      </w:r>
      <w:r w:rsidRPr="00510FFD">
        <w:t xml:space="preserve"> </w:t>
      </w:r>
      <w:r w:rsidRPr="00393093">
        <w:t xml:space="preserve">Participation Rates will exceed 100 per cent when the number of children attending the Maternal &amp; Child Health Centre throughout the year is greater than the number of children registered at the </w:t>
      </w:r>
      <w:r>
        <w:t>c</w:t>
      </w:r>
      <w:r w:rsidRPr="00393093">
        <w:t>entre on 30th June.</w:t>
      </w:r>
    </w:p>
  </w:footnote>
  <w:footnote w:id="14">
    <w:p w14:paraId="14DE1861" w14:textId="0284C62B" w:rsidR="00764E85" w:rsidRPr="006016B9" w:rsidRDefault="00764E85" w:rsidP="00A61FF5">
      <w:pPr>
        <w:pStyle w:val="FootnoteText"/>
      </w:pPr>
      <w:r w:rsidRPr="00510FFD">
        <w:footnoteRef/>
      </w:r>
      <w:r w:rsidRPr="00510FFD">
        <w:t xml:space="preserve"> </w:t>
      </w:r>
      <w:r w:rsidRPr="006016B9">
        <w:t>Victorian government schools</w:t>
      </w:r>
      <w:r w:rsidRPr="00BB2D0F">
        <w:t>. Data extracted on 3 March 2017.</w:t>
      </w:r>
    </w:p>
  </w:footnote>
  <w:footnote w:id="15">
    <w:p w14:paraId="2759F23E" w14:textId="19107B12" w:rsidR="00764E85" w:rsidRPr="00F467A0" w:rsidRDefault="00764E85" w:rsidP="00A61FF5">
      <w:pPr>
        <w:pStyle w:val="FootnoteText"/>
      </w:pPr>
      <w:r w:rsidRPr="00510FFD">
        <w:footnoteRef/>
      </w:r>
      <w:r w:rsidRPr="00510FFD">
        <w:t xml:space="preserve"> </w:t>
      </w:r>
      <w:r w:rsidRPr="00393093">
        <w:t xml:space="preserve">Victorian government schools. </w:t>
      </w:r>
      <w:r w:rsidRPr="00CE0DFB">
        <w:t xml:space="preserve">Data </w:t>
      </w:r>
      <w:r>
        <w:t xml:space="preserve">extracted on </w:t>
      </w:r>
      <w:r w:rsidRPr="00CE0DFB">
        <w:t>22 June 2017</w:t>
      </w:r>
      <w:r>
        <w:t xml:space="preserve">. </w:t>
      </w:r>
      <w:r w:rsidRPr="00F467A0">
        <w:t xml:space="preserve">Unapproved </w:t>
      </w:r>
      <w:r>
        <w:t>categories include</w:t>
      </w:r>
      <w:r w:rsidRPr="00F467A0">
        <w:t xml:space="preserve"> unexplained and parent choice </w:t>
      </w:r>
      <w:r>
        <w:t>unauthorized.</w:t>
      </w:r>
    </w:p>
  </w:footnote>
  <w:footnote w:id="16">
    <w:p w14:paraId="40AF066C" w14:textId="77777777" w:rsidR="00764E85" w:rsidRDefault="00764E85" w:rsidP="00A61FF5">
      <w:pPr>
        <w:pStyle w:val="FootnoteText"/>
      </w:pPr>
      <w:r w:rsidRPr="00510FFD">
        <w:footnoteRef/>
      </w:r>
      <w:r w:rsidRPr="00510FFD">
        <w:t xml:space="preserve"> </w:t>
      </w:r>
      <w:r w:rsidRPr="00393093">
        <w:t>Victorian government schools. Derived from multiple questions. Only students who responded ‘agree’ or ‘strongly agree’ on all relevant questions are included. Other students gave mixed or opposing views. Source: Department of Education and Training Attitudes to School Survey.</w:t>
      </w:r>
    </w:p>
  </w:footnote>
  <w:footnote w:id="17">
    <w:p w14:paraId="1596252B" w14:textId="77777777" w:rsidR="00764E85" w:rsidRPr="006016B9" w:rsidRDefault="00764E85" w:rsidP="00A61FF5">
      <w:pPr>
        <w:pStyle w:val="FootnoteText"/>
      </w:pPr>
      <w:r w:rsidRPr="006016B9">
        <w:footnoteRef/>
      </w:r>
      <w:r w:rsidRPr="006016B9">
        <w:t xml:space="preserve"> Number of students undertaking government</w:t>
      </w:r>
      <w:r>
        <w:t>-</w:t>
      </w:r>
      <w:r w:rsidRPr="006016B9">
        <w:t>subsidised training.</w:t>
      </w:r>
    </w:p>
  </w:footnote>
  <w:footnote w:id="18">
    <w:p w14:paraId="3C1CA47C" w14:textId="77777777" w:rsidR="00764E85" w:rsidRPr="006016B9" w:rsidRDefault="00764E85" w:rsidP="00A61FF5">
      <w:pPr>
        <w:pStyle w:val="DETFootnoteTextforobjectivestablesOHStable"/>
      </w:pPr>
      <w:r w:rsidRPr="00510FFD">
        <w:rPr>
          <w:rStyle w:val="FootnoteTextChar"/>
        </w:rPr>
        <w:footnoteRef/>
      </w:r>
      <w:r w:rsidRPr="00510FFD">
        <w:rPr>
          <w:rStyle w:val="FootnoteTextChar"/>
        </w:rPr>
        <w:t xml:space="preserve"> The result in 2014 for this indicator was incorrectly identified as 133,800</w:t>
      </w:r>
      <w:r>
        <w:rPr>
          <w:rStyle w:val="FootnoteTextChar"/>
        </w:rPr>
        <w:t>.</w:t>
      </w:r>
      <w:r w:rsidRPr="00510FFD">
        <w:rPr>
          <w:rStyle w:val="FootnoteTextChar"/>
        </w:rPr>
        <w:t xml:space="preserve"> </w:t>
      </w:r>
      <w:r>
        <w:rPr>
          <w:rStyle w:val="FootnoteTextChar"/>
        </w:rPr>
        <w:t>T</w:t>
      </w:r>
      <w:r w:rsidRPr="00510FFD">
        <w:rPr>
          <w:rStyle w:val="FootnoteTextChar"/>
        </w:rPr>
        <w:t>his figure has been revised to the correct figure of 88,900 which is also consistent with data reported in the 2015 Victorian Training Market Report</w:t>
      </w:r>
      <w:r w:rsidRPr="006016B9">
        <w:t>.</w:t>
      </w:r>
    </w:p>
  </w:footnote>
  <w:footnote w:id="19">
    <w:p w14:paraId="31DEF5ED" w14:textId="208FA78D" w:rsidR="00764E85" w:rsidRPr="006016B9" w:rsidRDefault="00764E85" w:rsidP="00A61FF5">
      <w:pPr>
        <w:pStyle w:val="DETFootnoteTextforobjectivestablesOHStable"/>
      </w:pPr>
      <w:r w:rsidRPr="006016B9">
        <w:footnoteRef/>
      </w:r>
      <w:r w:rsidRPr="006016B9">
        <w:t xml:space="preserve"> </w:t>
      </w:r>
      <w:r w:rsidRPr="00D14C1A">
        <w:rPr>
          <w:rStyle w:val="FootnoteTextChar"/>
        </w:rPr>
        <w:t>Figures for the 2012–13 financial year under 2012, 2013–14 under 2013, and for 2014–15 under 2014. Results for 2015–16 and 2016</w:t>
      </w:r>
      <w:r>
        <w:rPr>
          <w:rStyle w:val="FootnoteTextChar"/>
        </w:rPr>
        <w:t>–</w:t>
      </w:r>
      <w:r w:rsidRPr="00D14C1A">
        <w:rPr>
          <w:rStyle w:val="FootnoteTextChar"/>
        </w:rPr>
        <w:t>17 were not available at the time of publication. Source: Maternal and Child Health Services Annual Report.</w:t>
      </w:r>
    </w:p>
  </w:footnote>
  <w:footnote w:id="20">
    <w:p w14:paraId="518D4682" w14:textId="77777777" w:rsidR="00764E85" w:rsidRPr="006016B9" w:rsidRDefault="00764E85" w:rsidP="008702A1">
      <w:pPr>
        <w:pStyle w:val="FootnoteText"/>
      </w:pPr>
      <w:r w:rsidRPr="006016B9">
        <w:footnoteRef/>
      </w:r>
      <w:r w:rsidRPr="006016B9">
        <w:t xml:space="preserve"> </w:t>
      </w:r>
      <w:r w:rsidRPr="00D14C1A">
        <w:rPr>
          <w:rStyle w:val="FootnoteTextChar"/>
        </w:rPr>
        <w:t>These school education measures relate to</w:t>
      </w:r>
      <w:r>
        <w:rPr>
          <w:rStyle w:val="FootnoteTextChar"/>
        </w:rPr>
        <w:t xml:space="preserve"> Victorian government </w:t>
      </w:r>
      <w:r w:rsidRPr="00AF4B0D">
        <w:rPr>
          <w:rStyle w:val="FootnoteTextChar"/>
        </w:rPr>
        <w:t>schools and are derived from multiple questions.</w:t>
      </w:r>
      <w:r w:rsidRPr="00D14C1A">
        <w:rPr>
          <w:rStyle w:val="FootnoteTextChar"/>
        </w:rPr>
        <w:t xml:space="preserve"> Only students who responded ‘agree’ or ‘strongly agree’ on all relevant questions are included. Other students gave mixed or opposing views. Source: Department of Education and Training Attitudes to School Survey.</w:t>
      </w:r>
    </w:p>
  </w:footnote>
  <w:footnote w:id="21">
    <w:p w14:paraId="33D6D905" w14:textId="421B8ADD" w:rsidR="00764E85" w:rsidRPr="00510FFD" w:rsidRDefault="00764E85" w:rsidP="00A61FF5">
      <w:pPr>
        <w:pStyle w:val="FootnoteText"/>
      </w:pPr>
      <w:r w:rsidRPr="00510FFD">
        <w:footnoteRef/>
      </w:r>
      <w:r w:rsidRPr="00510FFD">
        <w:t xml:space="preserve"> </w:t>
      </w:r>
      <w:r w:rsidRPr="00510FFD">
        <w:rPr>
          <w:rStyle w:val="FootnoteTextChar"/>
        </w:rPr>
        <w:t>Survey estimates, subject to statistical error. Source: Student Outcomes Survey, National Centre for Vocational Education Research 2015, Table 5: Key findings for government-funded graduates, 2006</w:t>
      </w:r>
      <w:r>
        <w:rPr>
          <w:rStyle w:val="FootnoteTextChar"/>
        </w:rPr>
        <w:t>–</w:t>
      </w:r>
      <w:r w:rsidRPr="00510FFD">
        <w:rPr>
          <w:rStyle w:val="FootnoteTextChar"/>
        </w:rPr>
        <w:t>2015.</w:t>
      </w:r>
    </w:p>
  </w:footnote>
  <w:footnote w:id="22">
    <w:p w14:paraId="54506EF4" w14:textId="77777777" w:rsidR="00764E85" w:rsidRPr="00510FFD" w:rsidRDefault="00764E85" w:rsidP="00A61FF5">
      <w:pPr>
        <w:pStyle w:val="FootnoteText"/>
      </w:pPr>
      <w:r w:rsidRPr="00510FFD">
        <w:footnoteRef/>
      </w:r>
      <w:r w:rsidRPr="00510FFD">
        <w:t xml:space="preserve"> </w:t>
      </w:r>
      <w:r w:rsidRPr="00510FFD">
        <w:rPr>
          <w:rStyle w:val="FootnoteTextChar"/>
        </w:rPr>
        <w:t>Reflects the Victorian Government expenditure on early childhood services available to all children (that is, universal expenditure) and does not include the significant resourcing provided to deliver a range of targeted services for specific cohorts of children.</w:t>
      </w:r>
    </w:p>
  </w:footnote>
  <w:footnote w:id="23">
    <w:p w14:paraId="2CBD7430" w14:textId="35AB146E" w:rsidR="00764E85" w:rsidRPr="00510FFD" w:rsidRDefault="00764E85" w:rsidP="00A61FF5">
      <w:pPr>
        <w:pStyle w:val="FootnoteText"/>
      </w:pPr>
      <w:r w:rsidRPr="00510FFD">
        <w:rPr>
          <w:rStyle w:val="FootnoteReference"/>
          <w:vertAlign w:val="baseline"/>
        </w:rPr>
        <w:footnoteRef/>
      </w:r>
      <w:r w:rsidRPr="00510FFD">
        <w:t xml:space="preserve"> Figures for the 2012–13 financial year under 2012, 2013–14 under 2013, 2014–15 under 2014, 2015–16 under 2015 and 2016</w:t>
      </w:r>
      <w:r>
        <w:t>–</w:t>
      </w:r>
      <w:r w:rsidRPr="00510FFD">
        <w:t>17 under 2016.</w:t>
      </w:r>
    </w:p>
  </w:footnote>
  <w:footnote w:id="24">
    <w:p w14:paraId="7B1F1E57" w14:textId="77777777" w:rsidR="00764E85" w:rsidRPr="00510FFD" w:rsidRDefault="00764E85" w:rsidP="00A61FF5">
      <w:pPr>
        <w:pStyle w:val="FootnoteText"/>
      </w:pPr>
      <w:r w:rsidRPr="00510FFD">
        <w:rPr>
          <w:rStyle w:val="FootnoteReference"/>
          <w:vertAlign w:val="baseline"/>
        </w:rPr>
        <w:footnoteRef/>
      </w:r>
      <w:r w:rsidRPr="00510FFD">
        <w:t xml:space="preserve"> Reflects the State Government component of the standard per capita rate at the end of the relevant financial year. Additional loadings are also made available to children living in rural or low socioeconomic areas. Additional resourcing of the delivery of this service is provided through matched local government funding.</w:t>
      </w:r>
    </w:p>
  </w:footnote>
  <w:footnote w:id="25">
    <w:p w14:paraId="73DBE5B1" w14:textId="77777777" w:rsidR="00764E85" w:rsidRPr="001367AD" w:rsidRDefault="00764E85" w:rsidP="00A61FF5">
      <w:pPr>
        <w:pStyle w:val="FootnoteText"/>
      </w:pPr>
      <w:r w:rsidRPr="00510FFD">
        <w:rPr>
          <w:rStyle w:val="FootnoteReference"/>
          <w:vertAlign w:val="baseline"/>
        </w:rPr>
        <w:footnoteRef/>
      </w:r>
      <w:r w:rsidRPr="00510FFD">
        <w:t xml:space="preserve"> A small proportion of children (approximately five per cent) who access a kindergarten program in a non-government school receive less (State Government component between $368 and $1,194 in 2016–17). Additional loadings are provided for children based on characteristics including living in a rural area, Aboriginal or Torres Strait Islander status, or being holders of health care or pension </w:t>
      </w:r>
      <w:r w:rsidRPr="001367AD">
        <w:t>cards or refugee or humanitarian visas. Additional resourcing of the delivery of program is provided through parental fees and service fundraising.</w:t>
      </w:r>
    </w:p>
  </w:footnote>
  <w:footnote w:id="26">
    <w:p w14:paraId="56079B54" w14:textId="77777777" w:rsidR="00764E85" w:rsidRPr="001367AD" w:rsidRDefault="00764E85" w:rsidP="00A61FF5">
      <w:pPr>
        <w:pStyle w:val="FootnoteText"/>
      </w:pPr>
      <w:r w:rsidRPr="001367AD">
        <w:rPr>
          <w:rStyle w:val="FootnoteReference"/>
          <w:vertAlign w:val="baseline"/>
        </w:rPr>
        <w:footnoteRef/>
      </w:r>
      <w:r w:rsidRPr="001367AD">
        <w:t xml:space="preserve"> Victorian government schools. Source: Productivity Commission Report on Government Services 2017,Table 4A.12</w:t>
      </w:r>
    </w:p>
  </w:footnote>
  <w:footnote w:id="27">
    <w:p w14:paraId="7CDED23C" w14:textId="77777777" w:rsidR="00764E85" w:rsidRPr="001367AD" w:rsidRDefault="00764E85" w:rsidP="00A61FF5">
      <w:pPr>
        <w:pStyle w:val="FootnoteText"/>
      </w:pPr>
      <w:r w:rsidRPr="001367AD">
        <w:footnoteRef/>
      </w:r>
      <w:r w:rsidRPr="001367AD">
        <w:t xml:space="preserve"> Figures for School Education—Primary and School Education—Secondary are not available for 2015.</w:t>
      </w:r>
    </w:p>
  </w:footnote>
  <w:footnote w:id="28">
    <w:p w14:paraId="0B343725" w14:textId="77777777" w:rsidR="00764E85" w:rsidRPr="001367AD" w:rsidRDefault="00764E85" w:rsidP="00A61FF5">
      <w:pPr>
        <w:pStyle w:val="FootnoteText"/>
      </w:pPr>
      <w:r w:rsidRPr="001367AD">
        <w:footnoteRef/>
      </w:r>
      <w:r w:rsidRPr="001367AD">
        <w:t xml:space="preserve"> Reports on government services are published in January each year; 2016 results not available at time of publication, anticipated to be released in the 2018 Report on Government Services.</w:t>
      </w:r>
    </w:p>
  </w:footnote>
  <w:footnote w:id="29">
    <w:p w14:paraId="6D3436EB" w14:textId="77777777" w:rsidR="00764E85" w:rsidRPr="001367AD" w:rsidRDefault="00764E85" w:rsidP="00A61FF5">
      <w:pPr>
        <w:pStyle w:val="FootnoteText"/>
      </w:pPr>
      <w:r w:rsidRPr="001367AD">
        <w:rPr>
          <w:rStyle w:val="FootnoteReference"/>
          <w:vertAlign w:val="baseline"/>
        </w:rPr>
        <w:footnoteRef/>
      </w:r>
      <w:r w:rsidRPr="001367AD">
        <w:t xml:space="preserve"> Figures for School Education—Primary and School Education—Secondary are not available for 2015.</w:t>
      </w:r>
    </w:p>
  </w:footnote>
  <w:footnote w:id="30">
    <w:p w14:paraId="072BC338" w14:textId="77777777" w:rsidR="00764E85" w:rsidRPr="001367AD" w:rsidRDefault="00764E85" w:rsidP="00A61FF5">
      <w:pPr>
        <w:pStyle w:val="FootnoteText"/>
      </w:pPr>
      <w:r w:rsidRPr="001367AD">
        <w:rPr>
          <w:rStyle w:val="FootnoteReference"/>
          <w:vertAlign w:val="baseline"/>
        </w:rPr>
        <w:footnoteRef/>
      </w:r>
      <w:r w:rsidRPr="001367AD">
        <w:t xml:space="preserve"> Reports on government services are published in January each year; 2016 results not available at time of publication, anticipated to be released in the 2018 Report on Government Services.</w:t>
      </w:r>
    </w:p>
  </w:footnote>
  <w:footnote w:id="31">
    <w:p w14:paraId="34ECF9E9" w14:textId="77777777" w:rsidR="00764E85" w:rsidRPr="001367AD" w:rsidRDefault="00764E85" w:rsidP="00A61FF5">
      <w:pPr>
        <w:pStyle w:val="FootnoteText"/>
      </w:pPr>
      <w:r w:rsidRPr="001367AD">
        <w:rPr>
          <w:rStyle w:val="FootnoteReference"/>
          <w:vertAlign w:val="baseline"/>
        </w:rPr>
        <w:footnoteRef/>
      </w:r>
      <w:r w:rsidRPr="001367AD">
        <w:t xml:space="preserve"> Source: Productivity Commission Report on Government Services 2017, Table 5A.43. In Victoria, the Education and Training Reform Amendment (Dual Sector Universities) Bill 2013 came into effect. As a result the Ministerial directions and guidelines to TAFE institutes no longer apply to the four dual sector universities in Victoria. The Victorian 2014 AVETMISS financial statements therefore reflect a de-consolidation of these entities in the 2014 reporting year. State funding provided to the Universities for training delivery during the 2014 reporting year is reflected as a payment to a non-TAFE provider for VET delivery.</w:t>
      </w:r>
    </w:p>
  </w:footnote>
  <w:footnote w:id="32">
    <w:p w14:paraId="023C2CD3" w14:textId="4DCAF719" w:rsidR="00764E85" w:rsidRDefault="00764E85" w:rsidP="00A61FF5">
      <w:pPr>
        <w:pStyle w:val="FootnoteText"/>
      </w:pPr>
      <w:r w:rsidRPr="001367AD">
        <w:rPr>
          <w:rStyle w:val="FootnoteReference"/>
          <w:vertAlign w:val="baseline"/>
        </w:rPr>
        <w:footnoteRef/>
      </w:r>
      <w:r>
        <w:t xml:space="preserve"> </w:t>
      </w:r>
      <w:r w:rsidRPr="001367AD">
        <w:t>Reports on government services are published in January each year; 2016 results not available at time of publication, anticipated to be released in the 2018 Report on Government Ser</w:t>
      </w:r>
      <w:r>
        <w:t>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4EA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18DE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FCDB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1EF9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24FD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1C6FF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D221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A281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469C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489F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5811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C7F5F"/>
    <w:multiLevelType w:val="hybridMultilevel"/>
    <w:tmpl w:val="45C4BB98"/>
    <w:lvl w:ilvl="0" w:tplc="58B0B18A">
      <w:start w:val="1"/>
      <w:numFmt w:val="bullet"/>
      <w:lvlText w:val=""/>
      <w:lvlJc w:val="left"/>
      <w:pPr>
        <w:ind w:left="720" w:hanging="360"/>
      </w:pPr>
      <w:rPr>
        <w:rFonts w:ascii="Symbol" w:hAnsi="Symbol" w:hint="default"/>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6A5DB5"/>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33D5CFC"/>
    <w:multiLevelType w:val="multilevel"/>
    <w:tmpl w:val="EE8E64FA"/>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03DA61D3"/>
    <w:multiLevelType w:val="hybridMultilevel"/>
    <w:tmpl w:val="532E5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55A7225"/>
    <w:multiLevelType w:val="multilevel"/>
    <w:tmpl w:val="1E9CC382"/>
    <w:lvl w:ilvl="0">
      <w:start w:val="6"/>
      <w:numFmt w:val="decimal"/>
      <w:lvlText w:val="%1.1"/>
      <w:lvlJc w:val="left"/>
      <w:pPr>
        <w:ind w:left="360" w:hanging="360"/>
      </w:pPr>
      <w:rPr>
        <w:rFonts w:hint="default"/>
        <w:sz w:val="19"/>
        <w:szCs w:val="19"/>
      </w:rPr>
    </w:lvl>
    <w:lvl w:ilvl="1">
      <w:start w:val="1"/>
      <w:numFmt w:val="decimal"/>
      <w:lvlText w:val="%1.%2."/>
      <w:lvlJc w:val="left"/>
      <w:pPr>
        <w:ind w:left="792" w:hanging="432"/>
      </w:pPr>
      <w:rPr>
        <w:rFonts w:hint="default"/>
      </w:rPr>
    </w:lvl>
    <w:lvl w:ilvl="2">
      <w:start w:val="3"/>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58039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953AE7"/>
    <w:multiLevelType w:val="hybridMultilevel"/>
    <w:tmpl w:val="E3AA6DEC"/>
    <w:lvl w:ilvl="0" w:tplc="0C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E30D33"/>
    <w:multiLevelType w:val="multilevel"/>
    <w:tmpl w:val="6FDCE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A3838E5"/>
    <w:multiLevelType w:val="hybridMultilevel"/>
    <w:tmpl w:val="F13C2DBA"/>
    <w:lvl w:ilvl="0" w:tplc="9BCECD9E">
      <w:start w:val="1"/>
      <w:numFmt w:val="bullet"/>
      <w:lvlText w:val="‒"/>
      <w:lvlJc w:val="left"/>
      <w:pPr>
        <w:ind w:left="720" w:hanging="360"/>
      </w:pPr>
      <w:rPr>
        <w:rFonts w:ascii="Arial" w:hAnsi="Arial" w:hint="default"/>
      </w:rPr>
    </w:lvl>
    <w:lvl w:ilvl="1" w:tplc="9BCECD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9077B7"/>
    <w:multiLevelType w:val="hybridMultilevel"/>
    <w:tmpl w:val="CDD882D4"/>
    <w:lvl w:ilvl="0" w:tplc="9BCECD9E">
      <w:start w:val="1"/>
      <w:numFmt w:val="bullet"/>
      <w:lvlText w:val="‒"/>
      <w:lvlJc w:val="left"/>
      <w:pPr>
        <w:ind w:left="720" w:hanging="360"/>
      </w:pPr>
      <w:rPr>
        <w:rFonts w:ascii="Arial" w:hAnsi="Arial" w:hint="default"/>
      </w:rPr>
    </w:lvl>
    <w:lvl w:ilvl="1" w:tplc="9BCECD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0A6927"/>
    <w:multiLevelType w:val="hybridMultilevel"/>
    <w:tmpl w:val="9D10E3D8"/>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B02FCB"/>
    <w:multiLevelType w:val="hybridMultilevel"/>
    <w:tmpl w:val="FB129866"/>
    <w:lvl w:ilvl="0" w:tplc="D0142878">
      <w:start w:val="1"/>
      <w:numFmt w:val="bullet"/>
      <w:pStyle w:val="DETNormallistbullet"/>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3F21F9"/>
    <w:multiLevelType w:val="multilevel"/>
    <w:tmpl w:val="162009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AD7735D"/>
    <w:multiLevelType w:val="hybridMultilevel"/>
    <w:tmpl w:val="A72267EC"/>
    <w:lvl w:ilvl="0" w:tplc="676E51B4">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5" w15:restartNumberingAfterBreak="0">
    <w:nsid w:val="1B110061"/>
    <w:multiLevelType w:val="multilevel"/>
    <w:tmpl w:val="50EA7BB0"/>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1D447C32"/>
    <w:multiLevelType w:val="multilevel"/>
    <w:tmpl w:val="0C09001F"/>
    <w:numStyleLink w:val="111111"/>
  </w:abstractNum>
  <w:abstractNum w:abstractNumId="27" w15:restartNumberingAfterBreak="0">
    <w:nsid w:val="20064130"/>
    <w:multiLevelType w:val="hybridMultilevel"/>
    <w:tmpl w:val="427A9DC6"/>
    <w:lvl w:ilvl="0" w:tplc="9BCECD9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614896"/>
    <w:multiLevelType w:val="hybridMultilevel"/>
    <w:tmpl w:val="54C2FDCC"/>
    <w:lvl w:ilvl="0" w:tplc="34F89848">
      <w:start w:val="1"/>
      <w:numFmt w:val="bullet"/>
      <w:lvlText w:val="o"/>
      <w:lvlJc w:val="left"/>
      <w:pPr>
        <w:ind w:left="644" w:hanging="360"/>
      </w:pPr>
      <w:rPr>
        <w:rFonts w:ascii="Courier New" w:hAnsi="Courier New" w:cs="Courier New" w:hint="default"/>
      </w:rPr>
    </w:lvl>
    <w:lvl w:ilvl="1" w:tplc="3EF6F1F6">
      <w:start w:val="1"/>
      <w:numFmt w:val="bullet"/>
      <w:pStyle w:val="ES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B9383F"/>
    <w:multiLevelType w:val="hybridMultilevel"/>
    <w:tmpl w:val="502AB80C"/>
    <w:lvl w:ilvl="0" w:tplc="830008E8">
      <w:start w:val="1"/>
      <w:numFmt w:val="bullet"/>
      <w:pStyle w:val="ES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D53B93"/>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9C512C1"/>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DE7231D"/>
    <w:multiLevelType w:val="hybridMultilevel"/>
    <w:tmpl w:val="A2AAF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3B3D29"/>
    <w:multiLevelType w:val="hybridMultilevel"/>
    <w:tmpl w:val="361C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555548"/>
    <w:multiLevelType w:val="hybridMultilevel"/>
    <w:tmpl w:val="49C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B73BB8"/>
    <w:multiLevelType w:val="hybridMultilevel"/>
    <w:tmpl w:val="642C7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BE4602"/>
    <w:multiLevelType w:val="multilevel"/>
    <w:tmpl w:val="A90231C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867E89"/>
    <w:multiLevelType w:val="hybridMultilevel"/>
    <w:tmpl w:val="38B272B6"/>
    <w:lvl w:ilvl="0" w:tplc="9BCECD9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1C4352"/>
    <w:multiLevelType w:val="hybridMultilevel"/>
    <w:tmpl w:val="94842C58"/>
    <w:lvl w:ilvl="0" w:tplc="7D185D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95174FB"/>
    <w:multiLevelType w:val="hybridMultilevel"/>
    <w:tmpl w:val="040A7662"/>
    <w:lvl w:ilvl="0" w:tplc="9BCECD9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964A0C"/>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CC02D17"/>
    <w:multiLevelType w:val="hybridMultilevel"/>
    <w:tmpl w:val="876A8A7C"/>
    <w:lvl w:ilvl="0" w:tplc="D5C8F296">
      <w:start w:val="1"/>
      <w:numFmt w:val="decimal"/>
      <w:pStyle w:val="Heading2notes"/>
      <w:lvlText w:val="Note %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E414E59"/>
    <w:multiLevelType w:val="hybridMultilevel"/>
    <w:tmpl w:val="246CA80E"/>
    <w:lvl w:ilvl="0" w:tplc="33AA4C94">
      <w:start w:val="1"/>
      <w:numFmt w:val="decimal"/>
      <w:lvlText w:val="%1"/>
      <w:lvlJc w:val="left"/>
      <w:pPr>
        <w:ind w:left="720" w:hanging="360"/>
      </w:pPr>
      <w:rPr>
        <w:rFonts w:hint="default"/>
        <w:sz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42D7713"/>
    <w:multiLevelType w:val="hybridMultilevel"/>
    <w:tmpl w:val="DAAEFD6A"/>
    <w:lvl w:ilvl="0" w:tplc="4F76ED40">
      <w:start w:val="1"/>
      <w:numFmt w:val="bullet"/>
      <w:pStyle w:val="ES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F91A37"/>
    <w:multiLevelType w:val="multilevel"/>
    <w:tmpl w:val="55A27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CAC0CC9"/>
    <w:multiLevelType w:val="hybridMultilevel"/>
    <w:tmpl w:val="66009A06"/>
    <w:lvl w:ilvl="0" w:tplc="CD164CB2">
      <w:start w:val="1"/>
      <w:numFmt w:val="decimal"/>
      <w:pStyle w:val="ES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7F1948"/>
    <w:multiLevelType w:val="multilevel"/>
    <w:tmpl w:val="87B0CCC0"/>
    <w:styleLink w:val="ArticleSection"/>
    <w:lvl w:ilvl="0">
      <w:start w:val="1"/>
      <w:numFmt w:val="upperRoman"/>
      <w:lvlText w:val="Article %1."/>
      <w:lvlJc w:val="left"/>
      <w:pPr>
        <w:ind w:left="0" w:firstLine="0"/>
      </w:pPr>
    </w:lvl>
    <w:lvl w:ilvl="1">
      <w:start w:val="1"/>
      <w:numFmt w:val="decimalZero"/>
      <w:isLgl/>
      <w:lvlText w:val="Section %1.%2"/>
      <w:lvlJc w:val="left"/>
      <w:pPr>
        <w:ind w:left="71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67420CE4"/>
    <w:multiLevelType w:val="multilevel"/>
    <w:tmpl w:val="82D6D542"/>
    <w:lvl w:ilvl="0">
      <w:start w:val="7"/>
      <w:numFmt w:val="decimal"/>
      <w:lvlText w:val="%1.1"/>
      <w:lvlJc w:val="left"/>
      <w:pPr>
        <w:ind w:left="360" w:hanging="360"/>
      </w:pPr>
      <w:rPr>
        <w:rFonts w:hint="default"/>
        <w:sz w:val="19"/>
        <w:szCs w:val="19"/>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7F60521"/>
    <w:multiLevelType w:val="multilevel"/>
    <w:tmpl w:val="A942E51A"/>
    <w:lvl w:ilvl="0">
      <w:start w:val="1"/>
      <w:numFmt w:val="decimal"/>
      <w:lvlText w:val="%1."/>
      <w:lvlJc w:val="left"/>
      <w:pPr>
        <w:ind w:left="720" w:hanging="360"/>
      </w:pPr>
    </w:lvl>
    <w:lvl w:ilvl="1">
      <w:start w:val="1"/>
      <w:numFmt w:val="decimal"/>
      <w:isLgl/>
      <w:lvlText w:val="%1.%2"/>
      <w:lvlJc w:val="left"/>
      <w:pPr>
        <w:ind w:left="102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9" w15:restartNumberingAfterBreak="0">
    <w:nsid w:val="68FC504D"/>
    <w:multiLevelType w:val="hybridMultilevel"/>
    <w:tmpl w:val="DC9497A0"/>
    <w:lvl w:ilvl="0" w:tplc="D9F640D6">
      <w:start w:val="1"/>
      <w:numFmt w:val="bullet"/>
      <w:pStyle w:val="ESbullet3indent"/>
      <w:lvlText w:val="o"/>
      <w:lvlJc w:val="left"/>
      <w:pPr>
        <w:ind w:left="1571" w:hanging="360"/>
      </w:pPr>
      <w:rPr>
        <w:rFonts w:ascii="Courier New" w:hAnsi="Courier New" w:cs="Courier New" w:hint="default"/>
      </w:rPr>
    </w:lvl>
    <w:lvl w:ilvl="1" w:tplc="0C090003" w:tentative="1">
      <w:start w:val="1"/>
      <w:numFmt w:val="bullet"/>
      <w:pStyle w:val="ESbullet3inden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0" w15:restartNumberingAfterBreak="0">
    <w:nsid w:val="692E528A"/>
    <w:multiLevelType w:val="hybridMultilevel"/>
    <w:tmpl w:val="E4345C76"/>
    <w:lvl w:ilvl="0" w:tplc="783CF008">
      <w:start w:val="1"/>
      <w:numFmt w:val="bullet"/>
      <w:lvlText w:val="‒"/>
      <w:lvlJc w:val="left"/>
      <w:pPr>
        <w:ind w:left="644"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A121D3"/>
    <w:multiLevelType w:val="multilevel"/>
    <w:tmpl w:val="84FC392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28C33FD"/>
    <w:multiLevelType w:val="hybridMultilevel"/>
    <w:tmpl w:val="5A061D66"/>
    <w:lvl w:ilvl="0" w:tplc="0C090003">
      <w:start w:val="1"/>
      <w:numFmt w:val="bullet"/>
      <w:pStyle w:val="StyleESbullet1Left05cmFirstline0cm"/>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3" w15:restartNumberingAfterBreak="0">
    <w:nsid w:val="761F5467"/>
    <w:multiLevelType w:val="hybridMultilevel"/>
    <w:tmpl w:val="65086766"/>
    <w:lvl w:ilvl="0" w:tplc="95B4B0A8">
      <w:start w:val="1"/>
      <w:numFmt w:val="bullet"/>
      <w:lvlText w:val=""/>
      <w:lvlJc w:val="left"/>
      <w:pPr>
        <w:ind w:left="720"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79225C"/>
    <w:multiLevelType w:val="multilevel"/>
    <w:tmpl w:val="55A27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A5E2B0E"/>
    <w:multiLevelType w:val="hybridMultilevel"/>
    <w:tmpl w:val="DC52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24"/>
  </w:num>
  <w:num w:numId="4">
    <w:abstractNumId w:val="29"/>
  </w:num>
  <w:num w:numId="5">
    <w:abstractNumId w:val="45"/>
  </w:num>
  <w:num w:numId="6">
    <w:abstractNumId w:val="50"/>
  </w:num>
  <w:num w:numId="7">
    <w:abstractNumId w:val="17"/>
  </w:num>
  <w:num w:numId="8">
    <w:abstractNumId w:val="38"/>
  </w:num>
  <w:num w:numId="9">
    <w:abstractNumId w:val="22"/>
  </w:num>
  <w:num w:numId="10">
    <w:abstractNumId w:val="32"/>
  </w:num>
  <w:num w:numId="11">
    <w:abstractNumId w:val="34"/>
  </w:num>
  <w:num w:numId="12">
    <w:abstractNumId w:val="14"/>
  </w:num>
  <w:num w:numId="13">
    <w:abstractNumId w:val="46"/>
  </w:num>
  <w:num w:numId="14">
    <w:abstractNumId w:val="52"/>
  </w:num>
  <w:num w:numId="15">
    <w:abstractNumId w:val="49"/>
  </w:num>
  <w:num w:numId="16">
    <w:abstractNumId w:val="21"/>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8"/>
  </w:num>
  <w:num w:numId="29">
    <w:abstractNumId w:val="23"/>
  </w:num>
  <w:num w:numId="30">
    <w:abstractNumId w:val="25"/>
  </w:num>
  <w:num w:numId="31">
    <w:abstractNumId w:val="11"/>
  </w:num>
  <w:num w:numId="32">
    <w:abstractNumId w:val="54"/>
  </w:num>
  <w:num w:numId="33">
    <w:abstractNumId w:val="41"/>
  </w:num>
  <w:num w:numId="34">
    <w:abstractNumId w:val="48"/>
  </w:num>
  <w:num w:numId="35">
    <w:abstractNumId w:val="13"/>
  </w:num>
  <w:num w:numId="36">
    <w:abstractNumId w:val="16"/>
  </w:num>
  <w:num w:numId="37">
    <w:abstractNumId w:val="26"/>
  </w:num>
  <w:num w:numId="38">
    <w:abstractNumId w:val="15"/>
  </w:num>
  <w:num w:numId="39">
    <w:abstractNumId w:val="51"/>
  </w:num>
  <w:num w:numId="40">
    <w:abstractNumId w:val="42"/>
  </w:num>
  <w:num w:numId="41">
    <w:abstractNumId w:val="36"/>
  </w:num>
  <w:num w:numId="42">
    <w:abstractNumId w:val="47"/>
  </w:num>
  <w:num w:numId="43">
    <w:abstractNumId w:val="12"/>
  </w:num>
  <w:num w:numId="44">
    <w:abstractNumId w:val="35"/>
  </w:num>
  <w:num w:numId="45">
    <w:abstractNumId w:val="33"/>
  </w:num>
  <w:num w:numId="46">
    <w:abstractNumId w:val="55"/>
  </w:num>
  <w:num w:numId="47">
    <w:abstractNumId w:val="39"/>
  </w:num>
  <w:num w:numId="48">
    <w:abstractNumId w:val="19"/>
  </w:num>
  <w:num w:numId="49">
    <w:abstractNumId w:val="27"/>
  </w:num>
  <w:num w:numId="50">
    <w:abstractNumId w:val="20"/>
  </w:num>
  <w:num w:numId="51">
    <w:abstractNumId w:val="53"/>
  </w:num>
  <w:num w:numId="52">
    <w:abstractNumId w:val="40"/>
  </w:num>
  <w:num w:numId="53">
    <w:abstractNumId w:val="30"/>
  </w:num>
  <w:num w:numId="54">
    <w:abstractNumId w:val="31"/>
  </w:num>
  <w:num w:numId="55">
    <w:abstractNumId w:val="44"/>
  </w:num>
  <w:num w:numId="56">
    <w:abstractNumId w:val="37"/>
  </w:num>
  <w:num w:numId="57">
    <w:abstractNumId w:val="43"/>
  </w:num>
  <w:num w:numId="58">
    <w:abstractNumId w:val="43"/>
  </w:num>
  <w:num w:numId="59">
    <w:abstractNumId w:val="43"/>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displayVerticalDrawingGridEvery w:val="2"/>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21B9"/>
    <w:rsid w:val="000026D3"/>
    <w:rsid w:val="000034E2"/>
    <w:rsid w:val="00003796"/>
    <w:rsid w:val="000059E5"/>
    <w:rsid w:val="00006C62"/>
    <w:rsid w:val="00007BB2"/>
    <w:rsid w:val="00011F4F"/>
    <w:rsid w:val="00012D9C"/>
    <w:rsid w:val="00013422"/>
    <w:rsid w:val="00014236"/>
    <w:rsid w:val="0002061C"/>
    <w:rsid w:val="00024213"/>
    <w:rsid w:val="00024419"/>
    <w:rsid w:val="0002523B"/>
    <w:rsid w:val="00027CEB"/>
    <w:rsid w:val="000306FC"/>
    <w:rsid w:val="00031557"/>
    <w:rsid w:val="00031BCF"/>
    <w:rsid w:val="00031D7D"/>
    <w:rsid w:val="0003299B"/>
    <w:rsid w:val="000329B2"/>
    <w:rsid w:val="00033FC9"/>
    <w:rsid w:val="000340CB"/>
    <w:rsid w:val="000361FC"/>
    <w:rsid w:val="0003682C"/>
    <w:rsid w:val="00037D88"/>
    <w:rsid w:val="00040036"/>
    <w:rsid w:val="00041230"/>
    <w:rsid w:val="00045D44"/>
    <w:rsid w:val="00046452"/>
    <w:rsid w:val="0004664B"/>
    <w:rsid w:val="00047984"/>
    <w:rsid w:val="000479FE"/>
    <w:rsid w:val="0005015B"/>
    <w:rsid w:val="00050182"/>
    <w:rsid w:val="00052554"/>
    <w:rsid w:val="000532DA"/>
    <w:rsid w:val="0005618E"/>
    <w:rsid w:val="00057D3B"/>
    <w:rsid w:val="00061593"/>
    <w:rsid w:val="00062889"/>
    <w:rsid w:val="00063BEB"/>
    <w:rsid w:val="00067A9B"/>
    <w:rsid w:val="00070B0D"/>
    <w:rsid w:val="0007118B"/>
    <w:rsid w:val="000756FD"/>
    <w:rsid w:val="000764F3"/>
    <w:rsid w:val="00076686"/>
    <w:rsid w:val="00080BC5"/>
    <w:rsid w:val="0008358E"/>
    <w:rsid w:val="00083D1A"/>
    <w:rsid w:val="000846AE"/>
    <w:rsid w:val="00084B78"/>
    <w:rsid w:val="00086605"/>
    <w:rsid w:val="00093D5B"/>
    <w:rsid w:val="00093DBC"/>
    <w:rsid w:val="00096460"/>
    <w:rsid w:val="000964AF"/>
    <w:rsid w:val="000966E9"/>
    <w:rsid w:val="000A068C"/>
    <w:rsid w:val="000A0EC5"/>
    <w:rsid w:val="000A0ECE"/>
    <w:rsid w:val="000A2868"/>
    <w:rsid w:val="000A36B1"/>
    <w:rsid w:val="000A3D7C"/>
    <w:rsid w:val="000A457F"/>
    <w:rsid w:val="000A47D4"/>
    <w:rsid w:val="000A6318"/>
    <w:rsid w:val="000A6B53"/>
    <w:rsid w:val="000B0B26"/>
    <w:rsid w:val="000B1437"/>
    <w:rsid w:val="000B19E1"/>
    <w:rsid w:val="000B54DC"/>
    <w:rsid w:val="000B55F9"/>
    <w:rsid w:val="000C1EE5"/>
    <w:rsid w:val="000C5A77"/>
    <w:rsid w:val="000C5AE8"/>
    <w:rsid w:val="000D02AA"/>
    <w:rsid w:val="000D1F85"/>
    <w:rsid w:val="000D2DAE"/>
    <w:rsid w:val="000D2E47"/>
    <w:rsid w:val="000D3E61"/>
    <w:rsid w:val="000D532E"/>
    <w:rsid w:val="000D5C39"/>
    <w:rsid w:val="000D69AF"/>
    <w:rsid w:val="000D736D"/>
    <w:rsid w:val="000E21D5"/>
    <w:rsid w:val="000E25BF"/>
    <w:rsid w:val="000E4629"/>
    <w:rsid w:val="000E4904"/>
    <w:rsid w:val="000E4DED"/>
    <w:rsid w:val="000E5790"/>
    <w:rsid w:val="000F1373"/>
    <w:rsid w:val="000F3176"/>
    <w:rsid w:val="000F4694"/>
    <w:rsid w:val="000F5942"/>
    <w:rsid w:val="000F7377"/>
    <w:rsid w:val="00100304"/>
    <w:rsid w:val="001010A3"/>
    <w:rsid w:val="0010298F"/>
    <w:rsid w:val="001037BC"/>
    <w:rsid w:val="001053C4"/>
    <w:rsid w:val="00105B6F"/>
    <w:rsid w:val="001068AB"/>
    <w:rsid w:val="00106F34"/>
    <w:rsid w:val="00113CB4"/>
    <w:rsid w:val="00115839"/>
    <w:rsid w:val="00115A00"/>
    <w:rsid w:val="001209D4"/>
    <w:rsid w:val="001247E8"/>
    <w:rsid w:val="00125229"/>
    <w:rsid w:val="00125BD1"/>
    <w:rsid w:val="00126DA0"/>
    <w:rsid w:val="0013374D"/>
    <w:rsid w:val="001367AD"/>
    <w:rsid w:val="00137674"/>
    <w:rsid w:val="00142AE0"/>
    <w:rsid w:val="00144A83"/>
    <w:rsid w:val="0015498A"/>
    <w:rsid w:val="00155F6D"/>
    <w:rsid w:val="00160A21"/>
    <w:rsid w:val="00161709"/>
    <w:rsid w:val="00161909"/>
    <w:rsid w:val="00161B52"/>
    <w:rsid w:val="0016208E"/>
    <w:rsid w:val="00162596"/>
    <w:rsid w:val="001625BA"/>
    <w:rsid w:val="00162B15"/>
    <w:rsid w:val="001634F0"/>
    <w:rsid w:val="001649DB"/>
    <w:rsid w:val="00172544"/>
    <w:rsid w:val="001757B0"/>
    <w:rsid w:val="00176C72"/>
    <w:rsid w:val="00182B66"/>
    <w:rsid w:val="00182CF8"/>
    <w:rsid w:val="00184274"/>
    <w:rsid w:val="00184707"/>
    <w:rsid w:val="00184A93"/>
    <w:rsid w:val="00185AEF"/>
    <w:rsid w:val="00185BE4"/>
    <w:rsid w:val="00185C79"/>
    <w:rsid w:val="00187EB1"/>
    <w:rsid w:val="0019088E"/>
    <w:rsid w:val="00190919"/>
    <w:rsid w:val="00190C27"/>
    <w:rsid w:val="001969FA"/>
    <w:rsid w:val="001A54BE"/>
    <w:rsid w:val="001A7AA7"/>
    <w:rsid w:val="001B0E3D"/>
    <w:rsid w:val="001B209D"/>
    <w:rsid w:val="001B291D"/>
    <w:rsid w:val="001B499A"/>
    <w:rsid w:val="001B57F4"/>
    <w:rsid w:val="001B7FBD"/>
    <w:rsid w:val="001C27A7"/>
    <w:rsid w:val="001C2E56"/>
    <w:rsid w:val="001C4972"/>
    <w:rsid w:val="001C5AA4"/>
    <w:rsid w:val="001C6D33"/>
    <w:rsid w:val="001C6DA8"/>
    <w:rsid w:val="001D0387"/>
    <w:rsid w:val="001D19A0"/>
    <w:rsid w:val="001D34F1"/>
    <w:rsid w:val="001D4AE5"/>
    <w:rsid w:val="001D51BE"/>
    <w:rsid w:val="001D54B7"/>
    <w:rsid w:val="001D561F"/>
    <w:rsid w:val="001D5842"/>
    <w:rsid w:val="001D69A0"/>
    <w:rsid w:val="001D7029"/>
    <w:rsid w:val="001E055F"/>
    <w:rsid w:val="001E07E0"/>
    <w:rsid w:val="001E0977"/>
    <w:rsid w:val="001E119F"/>
    <w:rsid w:val="001E1935"/>
    <w:rsid w:val="001E28F8"/>
    <w:rsid w:val="001E29A6"/>
    <w:rsid w:val="001E580A"/>
    <w:rsid w:val="001E7FF5"/>
    <w:rsid w:val="001F0160"/>
    <w:rsid w:val="001F1282"/>
    <w:rsid w:val="001F4B0D"/>
    <w:rsid w:val="001F53CE"/>
    <w:rsid w:val="001F691C"/>
    <w:rsid w:val="001F6CB5"/>
    <w:rsid w:val="00201C6F"/>
    <w:rsid w:val="00205757"/>
    <w:rsid w:val="00205C27"/>
    <w:rsid w:val="00206904"/>
    <w:rsid w:val="00210117"/>
    <w:rsid w:val="00210F41"/>
    <w:rsid w:val="002224D8"/>
    <w:rsid w:val="002237F7"/>
    <w:rsid w:val="00223AEC"/>
    <w:rsid w:val="00224130"/>
    <w:rsid w:val="00225EB4"/>
    <w:rsid w:val="00226AB3"/>
    <w:rsid w:val="00226D07"/>
    <w:rsid w:val="0023001C"/>
    <w:rsid w:val="00230687"/>
    <w:rsid w:val="002331F5"/>
    <w:rsid w:val="00235F11"/>
    <w:rsid w:val="002368EF"/>
    <w:rsid w:val="00237A0D"/>
    <w:rsid w:val="00241378"/>
    <w:rsid w:val="00242665"/>
    <w:rsid w:val="00246774"/>
    <w:rsid w:val="002467F9"/>
    <w:rsid w:val="00247A3D"/>
    <w:rsid w:val="002509B5"/>
    <w:rsid w:val="00251093"/>
    <w:rsid w:val="00254C44"/>
    <w:rsid w:val="0025537E"/>
    <w:rsid w:val="0025750E"/>
    <w:rsid w:val="00263B76"/>
    <w:rsid w:val="00264B66"/>
    <w:rsid w:val="002650AC"/>
    <w:rsid w:val="0026791A"/>
    <w:rsid w:val="002711E0"/>
    <w:rsid w:val="00271AE2"/>
    <w:rsid w:val="00272839"/>
    <w:rsid w:val="00275754"/>
    <w:rsid w:val="00276157"/>
    <w:rsid w:val="0028021D"/>
    <w:rsid w:val="00281C64"/>
    <w:rsid w:val="00282245"/>
    <w:rsid w:val="00282BB6"/>
    <w:rsid w:val="002838A5"/>
    <w:rsid w:val="00284A6C"/>
    <w:rsid w:val="002852F8"/>
    <w:rsid w:val="00285A95"/>
    <w:rsid w:val="00285FD0"/>
    <w:rsid w:val="002869F7"/>
    <w:rsid w:val="002900F0"/>
    <w:rsid w:val="002914AB"/>
    <w:rsid w:val="00291CEE"/>
    <w:rsid w:val="002966B6"/>
    <w:rsid w:val="00297105"/>
    <w:rsid w:val="00297354"/>
    <w:rsid w:val="002A335F"/>
    <w:rsid w:val="002A4CA4"/>
    <w:rsid w:val="002A5839"/>
    <w:rsid w:val="002B4FDF"/>
    <w:rsid w:val="002B6A9D"/>
    <w:rsid w:val="002B7AD4"/>
    <w:rsid w:val="002C0527"/>
    <w:rsid w:val="002C0883"/>
    <w:rsid w:val="002C227C"/>
    <w:rsid w:val="002C4CD1"/>
    <w:rsid w:val="002C56B1"/>
    <w:rsid w:val="002C5A8A"/>
    <w:rsid w:val="002C6446"/>
    <w:rsid w:val="002C7ABD"/>
    <w:rsid w:val="002D08E0"/>
    <w:rsid w:val="002D08F1"/>
    <w:rsid w:val="002D422C"/>
    <w:rsid w:val="002D510A"/>
    <w:rsid w:val="002D5E79"/>
    <w:rsid w:val="002D7642"/>
    <w:rsid w:val="002E0898"/>
    <w:rsid w:val="002E229A"/>
    <w:rsid w:val="002E28A0"/>
    <w:rsid w:val="002E5215"/>
    <w:rsid w:val="002F3A3A"/>
    <w:rsid w:val="002F3E03"/>
    <w:rsid w:val="002F40DB"/>
    <w:rsid w:val="002F5F97"/>
    <w:rsid w:val="002F7050"/>
    <w:rsid w:val="00300D7D"/>
    <w:rsid w:val="003041E2"/>
    <w:rsid w:val="003044BC"/>
    <w:rsid w:val="0030507D"/>
    <w:rsid w:val="00305861"/>
    <w:rsid w:val="00305DE3"/>
    <w:rsid w:val="003064C2"/>
    <w:rsid w:val="003066CF"/>
    <w:rsid w:val="00307457"/>
    <w:rsid w:val="0031678D"/>
    <w:rsid w:val="003167FB"/>
    <w:rsid w:val="003209DB"/>
    <w:rsid w:val="003221D8"/>
    <w:rsid w:val="00325ABA"/>
    <w:rsid w:val="00326E01"/>
    <w:rsid w:val="00327843"/>
    <w:rsid w:val="00330277"/>
    <w:rsid w:val="00332218"/>
    <w:rsid w:val="003338CB"/>
    <w:rsid w:val="00334A57"/>
    <w:rsid w:val="00334FCA"/>
    <w:rsid w:val="0033580E"/>
    <w:rsid w:val="00335872"/>
    <w:rsid w:val="003364DF"/>
    <w:rsid w:val="00336C26"/>
    <w:rsid w:val="003411A0"/>
    <w:rsid w:val="003413FE"/>
    <w:rsid w:val="00341FE1"/>
    <w:rsid w:val="00343757"/>
    <w:rsid w:val="00343AA3"/>
    <w:rsid w:val="00344D1C"/>
    <w:rsid w:val="00346BE6"/>
    <w:rsid w:val="0035028F"/>
    <w:rsid w:val="0035268E"/>
    <w:rsid w:val="0035343C"/>
    <w:rsid w:val="00354264"/>
    <w:rsid w:val="003558B7"/>
    <w:rsid w:val="00356312"/>
    <w:rsid w:val="003579EE"/>
    <w:rsid w:val="003606C6"/>
    <w:rsid w:val="00360C17"/>
    <w:rsid w:val="00361839"/>
    <w:rsid w:val="00362B5E"/>
    <w:rsid w:val="00366D59"/>
    <w:rsid w:val="00366F71"/>
    <w:rsid w:val="00367621"/>
    <w:rsid w:val="003708C1"/>
    <w:rsid w:val="0037313D"/>
    <w:rsid w:val="00373E40"/>
    <w:rsid w:val="003761CC"/>
    <w:rsid w:val="00380D35"/>
    <w:rsid w:val="003836E9"/>
    <w:rsid w:val="00383875"/>
    <w:rsid w:val="00386B64"/>
    <w:rsid w:val="003870E0"/>
    <w:rsid w:val="003874DA"/>
    <w:rsid w:val="00387608"/>
    <w:rsid w:val="00387C5F"/>
    <w:rsid w:val="003903F2"/>
    <w:rsid w:val="00390E20"/>
    <w:rsid w:val="00391D6C"/>
    <w:rsid w:val="00394A65"/>
    <w:rsid w:val="00395C8A"/>
    <w:rsid w:val="00396522"/>
    <w:rsid w:val="00396AA7"/>
    <w:rsid w:val="003A0D9D"/>
    <w:rsid w:val="003A0F4F"/>
    <w:rsid w:val="003A1706"/>
    <w:rsid w:val="003A2294"/>
    <w:rsid w:val="003A2BA6"/>
    <w:rsid w:val="003A3128"/>
    <w:rsid w:val="003A7E6E"/>
    <w:rsid w:val="003B083F"/>
    <w:rsid w:val="003B0AEE"/>
    <w:rsid w:val="003B3E24"/>
    <w:rsid w:val="003B47E1"/>
    <w:rsid w:val="003B4D9B"/>
    <w:rsid w:val="003B7623"/>
    <w:rsid w:val="003C26E6"/>
    <w:rsid w:val="003C493D"/>
    <w:rsid w:val="003C536B"/>
    <w:rsid w:val="003C63D8"/>
    <w:rsid w:val="003D152C"/>
    <w:rsid w:val="003D2123"/>
    <w:rsid w:val="003D234F"/>
    <w:rsid w:val="003D2BED"/>
    <w:rsid w:val="003D3127"/>
    <w:rsid w:val="003D3F06"/>
    <w:rsid w:val="003D7452"/>
    <w:rsid w:val="003E0EFB"/>
    <w:rsid w:val="003E422F"/>
    <w:rsid w:val="003E45D7"/>
    <w:rsid w:val="003E4AA9"/>
    <w:rsid w:val="003E567D"/>
    <w:rsid w:val="003E5F1E"/>
    <w:rsid w:val="003E66EB"/>
    <w:rsid w:val="003F1240"/>
    <w:rsid w:val="003F146D"/>
    <w:rsid w:val="003F1983"/>
    <w:rsid w:val="003F1CC7"/>
    <w:rsid w:val="003F2262"/>
    <w:rsid w:val="003F2529"/>
    <w:rsid w:val="004005DD"/>
    <w:rsid w:val="00401DB0"/>
    <w:rsid w:val="004026DC"/>
    <w:rsid w:val="004055C4"/>
    <w:rsid w:val="00410704"/>
    <w:rsid w:val="00410E7B"/>
    <w:rsid w:val="00414269"/>
    <w:rsid w:val="004143BE"/>
    <w:rsid w:val="00415C5F"/>
    <w:rsid w:val="00416CCB"/>
    <w:rsid w:val="00421660"/>
    <w:rsid w:val="0042404C"/>
    <w:rsid w:val="00425705"/>
    <w:rsid w:val="00426626"/>
    <w:rsid w:val="00431366"/>
    <w:rsid w:val="00432F89"/>
    <w:rsid w:val="00433A60"/>
    <w:rsid w:val="00435171"/>
    <w:rsid w:val="00436B9C"/>
    <w:rsid w:val="00441917"/>
    <w:rsid w:val="00441A6D"/>
    <w:rsid w:val="00442414"/>
    <w:rsid w:val="00444A9E"/>
    <w:rsid w:val="0044564B"/>
    <w:rsid w:val="004457F0"/>
    <w:rsid w:val="00445FB5"/>
    <w:rsid w:val="004474A7"/>
    <w:rsid w:val="00452B72"/>
    <w:rsid w:val="004531FD"/>
    <w:rsid w:val="00453CDC"/>
    <w:rsid w:val="0045444C"/>
    <w:rsid w:val="00456E31"/>
    <w:rsid w:val="004576EA"/>
    <w:rsid w:val="00457C10"/>
    <w:rsid w:val="0046062E"/>
    <w:rsid w:val="00460E9D"/>
    <w:rsid w:val="00461921"/>
    <w:rsid w:val="004625D4"/>
    <w:rsid w:val="00462C91"/>
    <w:rsid w:val="00466174"/>
    <w:rsid w:val="004664C9"/>
    <w:rsid w:val="00467170"/>
    <w:rsid w:val="004676E9"/>
    <w:rsid w:val="004703B1"/>
    <w:rsid w:val="0047161F"/>
    <w:rsid w:val="00471EFF"/>
    <w:rsid w:val="004723D7"/>
    <w:rsid w:val="00481524"/>
    <w:rsid w:val="00481AAA"/>
    <w:rsid w:val="00486DD9"/>
    <w:rsid w:val="00487F81"/>
    <w:rsid w:val="004917E6"/>
    <w:rsid w:val="00493462"/>
    <w:rsid w:val="00493E02"/>
    <w:rsid w:val="00496939"/>
    <w:rsid w:val="00497B02"/>
    <w:rsid w:val="004A00EC"/>
    <w:rsid w:val="004A1654"/>
    <w:rsid w:val="004A1E92"/>
    <w:rsid w:val="004A2375"/>
    <w:rsid w:val="004A2C48"/>
    <w:rsid w:val="004A5CF4"/>
    <w:rsid w:val="004A7265"/>
    <w:rsid w:val="004B0D20"/>
    <w:rsid w:val="004B2EFF"/>
    <w:rsid w:val="004B4C81"/>
    <w:rsid w:val="004B5BC7"/>
    <w:rsid w:val="004B625E"/>
    <w:rsid w:val="004B6C01"/>
    <w:rsid w:val="004B727C"/>
    <w:rsid w:val="004B74C9"/>
    <w:rsid w:val="004B75B1"/>
    <w:rsid w:val="004C10B2"/>
    <w:rsid w:val="004C14B1"/>
    <w:rsid w:val="004C3883"/>
    <w:rsid w:val="004C54CC"/>
    <w:rsid w:val="004C745F"/>
    <w:rsid w:val="004C7EA4"/>
    <w:rsid w:val="004D2003"/>
    <w:rsid w:val="004D441C"/>
    <w:rsid w:val="004D6093"/>
    <w:rsid w:val="004D68AD"/>
    <w:rsid w:val="004D7DD2"/>
    <w:rsid w:val="004E0D78"/>
    <w:rsid w:val="004E15CD"/>
    <w:rsid w:val="004E168C"/>
    <w:rsid w:val="004E17AB"/>
    <w:rsid w:val="004E208D"/>
    <w:rsid w:val="004E3D38"/>
    <w:rsid w:val="004E4BE9"/>
    <w:rsid w:val="004E5297"/>
    <w:rsid w:val="004E541E"/>
    <w:rsid w:val="004E5AA5"/>
    <w:rsid w:val="004E5D1B"/>
    <w:rsid w:val="004E6663"/>
    <w:rsid w:val="004E6AC7"/>
    <w:rsid w:val="004F082A"/>
    <w:rsid w:val="004F1B9D"/>
    <w:rsid w:val="004F38D9"/>
    <w:rsid w:val="004F41CF"/>
    <w:rsid w:val="004F425F"/>
    <w:rsid w:val="004F71BE"/>
    <w:rsid w:val="005009D6"/>
    <w:rsid w:val="00501B04"/>
    <w:rsid w:val="0050658F"/>
    <w:rsid w:val="00510FFD"/>
    <w:rsid w:val="00511EDE"/>
    <w:rsid w:val="00513C29"/>
    <w:rsid w:val="00513C7E"/>
    <w:rsid w:val="00514C02"/>
    <w:rsid w:val="00517E95"/>
    <w:rsid w:val="0052058A"/>
    <w:rsid w:val="00520E55"/>
    <w:rsid w:val="00521CF0"/>
    <w:rsid w:val="00523864"/>
    <w:rsid w:val="00524679"/>
    <w:rsid w:val="005246BD"/>
    <w:rsid w:val="00525544"/>
    <w:rsid w:val="00532CE5"/>
    <w:rsid w:val="0053411C"/>
    <w:rsid w:val="0053473E"/>
    <w:rsid w:val="00535065"/>
    <w:rsid w:val="00536537"/>
    <w:rsid w:val="00536F4F"/>
    <w:rsid w:val="005401FE"/>
    <w:rsid w:val="005444E0"/>
    <w:rsid w:val="00546148"/>
    <w:rsid w:val="0054705A"/>
    <w:rsid w:val="00550D75"/>
    <w:rsid w:val="00552264"/>
    <w:rsid w:val="005526A1"/>
    <w:rsid w:val="00554726"/>
    <w:rsid w:val="0055746F"/>
    <w:rsid w:val="0055785D"/>
    <w:rsid w:val="00557B72"/>
    <w:rsid w:val="00560CC0"/>
    <w:rsid w:val="00561537"/>
    <w:rsid w:val="00561A7B"/>
    <w:rsid w:val="0056397F"/>
    <w:rsid w:val="00564192"/>
    <w:rsid w:val="0056662B"/>
    <w:rsid w:val="005714D1"/>
    <w:rsid w:val="00571AF8"/>
    <w:rsid w:val="00572507"/>
    <w:rsid w:val="005729D1"/>
    <w:rsid w:val="00573A25"/>
    <w:rsid w:val="00574004"/>
    <w:rsid w:val="00574024"/>
    <w:rsid w:val="00575B5B"/>
    <w:rsid w:val="00576C84"/>
    <w:rsid w:val="00577B7A"/>
    <w:rsid w:val="005801FC"/>
    <w:rsid w:val="005808D2"/>
    <w:rsid w:val="00580943"/>
    <w:rsid w:val="005816E9"/>
    <w:rsid w:val="005842E7"/>
    <w:rsid w:val="0058439C"/>
    <w:rsid w:val="0058530F"/>
    <w:rsid w:val="00586D1C"/>
    <w:rsid w:val="00592D44"/>
    <w:rsid w:val="0059344F"/>
    <w:rsid w:val="00597B02"/>
    <w:rsid w:val="005A0EC0"/>
    <w:rsid w:val="005A10CD"/>
    <w:rsid w:val="005A17CE"/>
    <w:rsid w:val="005A1A77"/>
    <w:rsid w:val="005A2828"/>
    <w:rsid w:val="005A4261"/>
    <w:rsid w:val="005A61AC"/>
    <w:rsid w:val="005A675E"/>
    <w:rsid w:val="005A7C45"/>
    <w:rsid w:val="005B1698"/>
    <w:rsid w:val="005B2C41"/>
    <w:rsid w:val="005B2DB2"/>
    <w:rsid w:val="005B3A53"/>
    <w:rsid w:val="005B45B0"/>
    <w:rsid w:val="005C319C"/>
    <w:rsid w:val="005C504B"/>
    <w:rsid w:val="005D42AA"/>
    <w:rsid w:val="005D561C"/>
    <w:rsid w:val="005D6C43"/>
    <w:rsid w:val="005E1898"/>
    <w:rsid w:val="005E2413"/>
    <w:rsid w:val="005E2836"/>
    <w:rsid w:val="005E30E1"/>
    <w:rsid w:val="005E34F1"/>
    <w:rsid w:val="005E35DF"/>
    <w:rsid w:val="005E4185"/>
    <w:rsid w:val="005E530C"/>
    <w:rsid w:val="005E5B8E"/>
    <w:rsid w:val="005E7F58"/>
    <w:rsid w:val="005F116B"/>
    <w:rsid w:val="005F2B63"/>
    <w:rsid w:val="005F43BF"/>
    <w:rsid w:val="005F44B5"/>
    <w:rsid w:val="005F5121"/>
    <w:rsid w:val="005F6B70"/>
    <w:rsid w:val="005F7CDB"/>
    <w:rsid w:val="00600B58"/>
    <w:rsid w:val="00606D5D"/>
    <w:rsid w:val="00607D46"/>
    <w:rsid w:val="006105E7"/>
    <w:rsid w:val="0061118B"/>
    <w:rsid w:val="006112B7"/>
    <w:rsid w:val="00614616"/>
    <w:rsid w:val="006202D3"/>
    <w:rsid w:val="006211AE"/>
    <w:rsid w:val="00622363"/>
    <w:rsid w:val="00624438"/>
    <w:rsid w:val="00624E2D"/>
    <w:rsid w:val="00633B76"/>
    <w:rsid w:val="00636C42"/>
    <w:rsid w:val="006401FD"/>
    <w:rsid w:val="006446A0"/>
    <w:rsid w:val="00651D81"/>
    <w:rsid w:val="00654C4B"/>
    <w:rsid w:val="00655B66"/>
    <w:rsid w:val="00660008"/>
    <w:rsid w:val="0066014F"/>
    <w:rsid w:val="00660426"/>
    <w:rsid w:val="00660627"/>
    <w:rsid w:val="00660FF9"/>
    <w:rsid w:val="00662957"/>
    <w:rsid w:val="006635A3"/>
    <w:rsid w:val="00663BC8"/>
    <w:rsid w:val="0066564E"/>
    <w:rsid w:val="00666964"/>
    <w:rsid w:val="00671D36"/>
    <w:rsid w:val="00674B7E"/>
    <w:rsid w:val="00674F4D"/>
    <w:rsid w:val="00675F02"/>
    <w:rsid w:val="00675F4B"/>
    <w:rsid w:val="006776D2"/>
    <w:rsid w:val="00681DB0"/>
    <w:rsid w:val="00682060"/>
    <w:rsid w:val="00682774"/>
    <w:rsid w:val="00683062"/>
    <w:rsid w:val="00695028"/>
    <w:rsid w:val="006A0006"/>
    <w:rsid w:val="006A02CD"/>
    <w:rsid w:val="006A03D9"/>
    <w:rsid w:val="006A3611"/>
    <w:rsid w:val="006B0BEA"/>
    <w:rsid w:val="006B2485"/>
    <w:rsid w:val="006B2673"/>
    <w:rsid w:val="006B3A1D"/>
    <w:rsid w:val="006B48D5"/>
    <w:rsid w:val="006B60D8"/>
    <w:rsid w:val="006B63B4"/>
    <w:rsid w:val="006B73F1"/>
    <w:rsid w:val="006C30BE"/>
    <w:rsid w:val="006C46F6"/>
    <w:rsid w:val="006C4B9D"/>
    <w:rsid w:val="006C5213"/>
    <w:rsid w:val="006C5B3F"/>
    <w:rsid w:val="006C6F68"/>
    <w:rsid w:val="006D0155"/>
    <w:rsid w:val="006D0A12"/>
    <w:rsid w:val="006D1AD4"/>
    <w:rsid w:val="006D47F3"/>
    <w:rsid w:val="006D5ECF"/>
    <w:rsid w:val="006E0975"/>
    <w:rsid w:val="006E3674"/>
    <w:rsid w:val="006E4885"/>
    <w:rsid w:val="006E49EE"/>
    <w:rsid w:val="006E5E98"/>
    <w:rsid w:val="006F09B6"/>
    <w:rsid w:val="006F1A6D"/>
    <w:rsid w:val="006F6746"/>
    <w:rsid w:val="006F74B4"/>
    <w:rsid w:val="00700D9F"/>
    <w:rsid w:val="00702A02"/>
    <w:rsid w:val="007032D1"/>
    <w:rsid w:val="007075E7"/>
    <w:rsid w:val="0071036F"/>
    <w:rsid w:val="0071159D"/>
    <w:rsid w:val="00712BE1"/>
    <w:rsid w:val="007150C8"/>
    <w:rsid w:val="00716B02"/>
    <w:rsid w:val="00720ABB"/>
    <w:rsid w:val="00721616"/>
    <w:rsid w:val="00722851"/>
    <w:rsid w:val="00722D92"/>
    <w:rsid w:val="00724727"/>
    <w:rsid w:val="00726349"/>
    <w:rsid w:val="00731D54"/>
    <w:rsid w:val="00732599"/>
    <w:rsid w:val="00733549"/>
    <w:rsid w:val="00735AAD"/>
    <w:rsid w:val="00735DA5"/>
    <w:rsid w:val="00736101"/>
    <w:rsid w:val="00736790"/>
    <w:rsid w:val="00737A12"/>
    <w:rsid w:val="007424FD"/>
    <w:rsid w:val="00744E52"/>
    <w:rsid w:val="00745870"/>
    <w:rsid w:val="00745F40"/>
    <w:rsid w:val="00746934"/>
    <w:rsid w:val="0074729C"/>
    <w:rsid w:val="00750FAC"/>
    <w:rsid w:val="0075184C"/>
    <w:rsid w:val="007520A0"/>
    <w:rsid w:val="007564BC"/>
    <w:rsid w:val="00756656"/>
    <w:rsid w:val="0075798E"/>
    <w:rsid w:val="00757A69"/>
    <w:rsid w:val="00757B0D"/>
    <w:rsid w:val="00761722"/>
    <w:rsid w:val="00764175"/>
    <w:rsid w:val="00764E85"/>
    <w:rsid w:val="007665EE"/>
    <w:rsid w:val="00766C39"/>
    <w:rsid w:val="00767D5B"/>
    <w:rsid w:val="00771220"/>
    <w:rsid w:val="00771689"/>
    <w:rsid w:val="0077432E"/>
    <w:rsid w:val="007772B8"/>
    <w:rsid w:val="0078186C"/>
    <w:rsid w:val="00781DCB"/>
    <w:rsid w:val="00782F57"/>
    <w:rsid w:val="00783DFC"/>
    <w:rsid w:val="00786F1C"/>
    <w:rsid w:val="0078750D"/>
    <w:rsid w:val="00787811"/>
    <w:rsid w:val="00791D00"/>
    <w:rsid w:val="00793893"/>
    <w:rsid w:val="00794F07"/>
    <w:rsid w:val="00796581"/>
    <w:rsid w:val="00797C25"/>
    <w:rsid w:val="007A19CB"/>
    <w:rsid w:val="007A215D"/>
    <w:rsid w:val="007A32FB"/>
    <w:rsid w:val="007A481A"/>
    <w:rsid w:val="007A5C5E"/>
    <w:rsid w:val="007A65F5"/>
    <w:rsid w:val="007A67AB"/>
    <w:rsid w:val="007B17A1"/>
    <w:rsid w:val="007B27D9"/>
    <w:rsid w:val="007B3AC0"/>
    <w:rsid w:val="007B4190"/>
    <w:rsid w:val="007B4838"/>
    <w:rsid w:val="007B6ECC"/>
    <w:rsid w:val="007C20FA"/>
    <w:rsid w:val="007C2B20"/>
    <w:rsid w:val="007C3BBD"/>
    <w:rsid w:val="007C53C3"/>
    <w:rsid w:val="007C5B70"/>
    <w:rsid w:val="007C7DBB"/>
    <w:rsid w:val="007D01D5"/>
    <w:rsid w:val="007D0E5E"/>
    <w:rsid w:val="007D3110"/>
    <w:rsid w:val="007D3E38"/>
    <w:rsid w:val="007D48E9"/>
    <w:rsid w:val="007D58DD"/>
    <w:rsid w:val="007D5DAA"/>
    <w:rsid w:val="007E13E4"/>
    <w:rsid w:val="007E14B5"/>
    <w:rsid w:val="007E1A0D"/>
    <w:rsid w:val="007E2E32"/>
    <w:rsid w:val="007E4041"/>
    <w:rsid w:val="007E53A8"/>
    <w:rsid w:val="007E6337"/>
    <w:rsid w:val="007E7024"/>
    <w:rsid w:val="007F0434"/>
    <w:rsid w:val="007F172B"/>
    <w:rsid w:val="007F2184"/>
    <w:rsid w:val="007F2917"/>
    <w:rsid w:val="007F31BA"/>
    <w:rsid w:val="007F3ECC"/>
    <w:rsid w:val="007F465D"/>
    <w:rsid w:val="007F775C"/>
    <w:rsid w:val="007F7B84"/>
    <w:rsid w:val="007F7DE7"/>
    <w:rsid w:val="00800700"/>
    <w:rsid w:val="00801741"/>
    <w:rsid w:val="00803370"/>
    <w:rsid w:val="00803750"/>
    <w:rsid w:val="0080586D"/>
    <w:rsid w:val="0081111B"/>
    <w:rsid w:val="00813992"/>
    <w:rsid w:val="008142AC"/>
    <w:rsid w:val="00817FBA"/>
    <w:rsid w:val="0082058D"/>
    <w:rsid w:val="00820893"/>
    <w:rsid w:val="00822917"/>
    <w:rsid w:val="008247B1"/>
    <w:rsid w:val="00824965"/>
    <w:rsid w:val="00824A5E"/>
    <w:rsid w:val="00825372"/>
    <w:rsid w:val="0082676A"/>
    <w:rsid w:val="00826BDA"/>
    <w:rsid w:val="008277E3"/>
    <w:rsid w:val="008323CD"/>
    <w:rsid w:val="008326DB"/>
    <w:rsid w:val="00832D4C"/>
    <w:rsid w:val="008348FE"/>
    <w:rsid w:val="00835085"/>
    <w:rsid w:val="0084276F"/>
    <w:rsid w:val="00842D4D"/>
    <w:rsid w:val="00844080"/>
    <w:rsid w:val="008443FA"/>
    <w:rsid w:val="0084639F"/>
    <w:rsid w:val="0084722A"/>
    <w:rsid w:val="00847CC5"/>
    <w:rsid w:val="00847D70"/>
    <w:rsid w:val="008532A8"/>
    <w:rsid w:val="00853364"/>
    <w:rsid w:val="00853778"/>
    <w:rsid w:val="00854459"/>
    <w:rsid w:val="0085572B"/>
    <w:rsid w:val="00855A35"/>
    <w:rsid w:val="0085600F"/>
    <w:rsid w:val="0085755C"/>
    <w:rsid w:val="00860D0C"/>
    <w:rsid w:val="0086128D"/>
    <w:rsid w:val="00864106"/>
    <w:rsid w:val="0086458C"/>
    <w:rsid w:val="00864C01"/>
    <w:rsid w:val="00867A9C"/>
    <w:rsid w:val="008702A1"/>
    <w:rsid w:val="0087030B"/>
    <w:rsid w:val="00870851"/>
    <w:rsid w:val="00872271"/>
    <w:rsid w:val="008728E5"/>
    <w:rsid w:val="00872BD9"/>
    <w:rsid w:val="00872CBF"/>
    <w:rsid w:val="008735EA"/>
    <w:rsid w:val="008738B4"/>
    <w:rsid w:val="00874EC2"/>
    <w:rsid w:val="00876E39"/>
    <w:rsid w:val="00876FC9"/>
    <w:rsid w:val="00877A6E"/>
    <w:rsid w:val="00877E0B"/>
    <w:rsid w:val="00880FBB"/>
    <w:rsid w:val="00881255"/>
    <w:rsid w:val="00881BBA"/>
    <w:rsid w:val="00885285"/>
    <w:rsid w:val="00885878"/>
    <w:rsid w:val="00885C8E"/>
    <w:rsid w:val="00886FED"/>
    <w:rsid w:val="008877A5"/>
    <w:rsid w:val="00887D59"/>
    <w:rsid w:val="00890A80"/>
    <w:rsid w:val="00890A8F"/>
    <w:rsid w:val="008923DD"/>
    <w:rsid w:val="00892AE8"/>
    <w:rsid w:val="00892F6F"/>
    <w:rsid w:val="008938F2"/>
    <w:rsid w:val="0089456B"/>
    <w:rsid w:val="00896223"/>
    <w:rsid w:val="008A290F"/>
    <w:rsid w:val="008A2D44"/>
    <w:rsid w:val="008A3484"/>
    <w:rsid w:val="008A4D81"/>
    <w:rsid w:val="008A5240"/>
    <w:rsid w:val="008A58AF"/>
    <w:rsid w:val="008A7049"/>
    <w:rsid w:val="008B332E"/>
    <w:rsid w:val="008B339D"/>
    <w:rsid w:val="008B5EBC"/>
    <w:rsid w:val="008B738D"/>
    <w:rsid w:val="008C1498"/>
    <w:rsid w:val="008C2892"/>
    <w:rsid w:val="008C3CC7"/>
    <w:rsid w:val="008C4C97"/>
    <w:rsid w:val="008C5F6E"/>
    <w:rsid w:val="008C73DB"/>
    <w:rsid w:val="008D00ED"/>
    <w:rsid w:val="008D0AE0"/>
    <w:rsid w:val="008D0E18"/>
    <w:rsid w:val="008D1AE8"/>
    <w:rsid w:val="008D4B1A"/>
    <w:rsid w:val="008D6FC0"/>
    <w:rsid w:val="008D79FB"/>
    <w:rsid w:val="008D7E62"/>
    <w:rsid w:val="008E06A0"/>
    <w:rsid w:val="008E1CB7"/>
    <w:rsid w:val="008E1E65"/>
    <w:rsid w:val="008E4261"/>
    <w:rsid w:val="008E64AA"/>
    <w:rsid w:val="008E79F1"/>
    <w:rsid w:val="008F0501"/>
    <w:rsid w:val="008F1069"/>
    <w:rsid w:val="008F1E33"/>
    <w:rsid w:val="008F2D57"/>
    <w:rsid w:val="008F412D"/>
    <w:rsid w:val="008F62B3"/>
    <w:rsid w:val="008F7902"/>
    <w:rsid w:val="0090032D"/>
    <w:rsid w:val="00903C77"/>
    <w:rsid w:val="00907BB2"/>
    <w:rsid w:val="009106B9"/>
    <w:rsid w:val="00911528"/>
    <w:rsid w:val="0091278E"/>
    <w:rsid w:val="00912B03"/>
    <w:rsid w:val="0091320F"/>
    <w:rsid w:val="00913F2D"/>
    <w:rsid w:val="00914B61"/>
    <w:rsid w:val="0092266B"/>
    <w:rsid w:val="00923400"/>
    <w:rsid w:val="00924C89"/>
    <w:rsid w:val="00926374"/>
    <w:rsid w:val="009265BA"/>
    <w:rsid w:val="0092740D"/>
    <w:rsid w:val="00927801"/>
    <w:rsid w:val="00930367"/>
    <w:rsid w:val="00932553"/>
    <w:rsid w:val="00932A90"/>
    <w:rsid w:val="009340F0"/>
    <w:rsid w:val="00934B9E"/>
    <w:rsid w:val="009352EA"/>
    <w:rsid w:val="0093546B"/>
    <w:rsid w:val="00937F45"/>
    <w:rsid w:val="009424F2"/>
    <w:rsid w:val="00942B13"/>
    <w:rsid w:val="00943620"/>
    <w:rsid w:val="00943EF8"/>
    <w:rsid w:val="009452EC"/>
    <w:rsid w:val="00946E32"/>
    <w:rsid w:val="00951EAA"/>
    <w:rsid w:val="009523A6"/>
    <w:rsid w:val="00954E8C"/>
    <w:rsid w:val="0096033D"/>
    <w:rsid w:val="0096065B"/>
    <w:rsid w:val="009634F8"/>
    <w:rsid w:val="00963924"/>
    <w:rsid w:val="00965A2D"/>
    <w:rsid w:val="00966229"/>
    <w:rsid w:val="0097132F"/>
    <w:rsid w:val="00972A5E"/>
    <w:rsid w:val="00973299"/>
    <w:rsid w:val="0097447E"/>
    <w:rsid w:val="00974722"/>
    <w:rsid w:val="00977C7A"/>
    <w:rsid w:val="00980848"/>
    <w:rsid w:val="00980FA3"/>
    <w:rsid w:val="009849BD"/>
    <w:rsid w:val="00985DEC"/>
    <w:rsid w:val="00986DAB"/>
    <w:rsid w:val="00992207"/>
    <w:rsid w:val="00992916"/>
    <w:rsid w:val="00993FE4"/>
    <w:rsid w:val="00995DC3"/>
    <w:rsid w:val="00995F17"/>
    <w:rsid w:val="00996B02"/>
    <w:rsid w:val="009975CE"/>
    <w:rsid w:val="009A0BAD"/>
    <w:rsid w:val="009A0DF2"/>
    <w:rsid w:val="009A4505"/>
    <w:rsid w:val="009B2E17"/>
    <w:rsid w:val="009B5787"/>
    <w:rsid w:val="009C0E1B"/>
    <w:rsid w:val="009C3D71"/>
    <w:rsid w:val="009C5157"/>
    <w:rsid w:val="009C7EAF"/>
    <w:rsid w:val="009D0059"/>
    <w:rsid w:val="009D0543"/>
    <w:rsid w:val="009D3408"/>
    <w:rsid w:val="009D4403"/>
    <w:rsid w:val="009D5940"/>
    <w:rsid w:val="009D5999"/>
    <w:rsid w:val="009D6042"/>
    <w:rsid w:val="009D63DE"/>
    <w:rsid w:val="009E0D6E"/>
    <w:rsid w:val="009E2237"/>
    <w:rsid w:val="009E38B7"/>
    <w:rsid w:val="009E5FF3"/>
    <w:rsid w:val="009E67A9"/>
    <w:rsid w:val="009F1BC8"/>
    <w:rsid w:val="009F63BC"/>
    <w:rsid w:val="009F700F"/>
    <w:rsid w:val="009F7D0B"/>
    <w:rsid w:val="00A018BA"/>
    <w:rsid w:val="00A027CC"/>
    <w:rsid w:val="00A043AB"/>
    <w:rsid w:val="00A057B9"/>
    <w:rsid w:val="00A066BD"/>
    <w:rsid w:val="00A11530"/>
    <w:rsid w:val="00A11BB1"/>
    <w:rsid w:val="00A1225F"/>
    <w:rsid w:val="00A12735"/>
    <w:rsid w:val="00A12D06"/>
    <w:rsid w:val="00A13F78"/>
    <w:rsid w:val="00A149CE"/>
    <w:rsid w:val="00A15149"/>
    <w:rsid w:val="00A153B6"/>
    <w:rsid w:val="00A177F0"/>
    <w:rsid w:val="00A20AE6"/>
    <w:rsid w:val="00A20E4C"/>
    <w:rsid w:val="00A23765"/>
    <w:rsid w:val="00A2443D"/>
    <w:rsid w:val="00A25443"/>
    <w:rsid w:val="00A259AC"/>
    <w:rsid w:val="00A27767"/>
    <w:rsid w:val="00A301B1"/>
    <w:rsid w:val="00A3044D"/>
    <w:rsid w:val="00A32896"/>
    <w:rsid w:val="00A33079"/>
    <w:rsid w:val="00A33A09"/>
    <w:rsid w:val="00A355FB"/>
    <w:rsid w:val="00A35AD1"/>
    <w:rsid w:val="00A418E2"/>
    <w:rsid w:val="00A42E2E"/>
    <w:rsid w:val="00A43A24"/>
    <w:rsid w:val="00A43B4A"/>
    <w:rsid w:val="00A4408F"/>
    <w:rsid w:val="00A44788"/>
    <w:rsid w:val="00A45967"/>
    <w:rsid w:val="00A46828"/>
    <w:rsid w:val="00A47A3C"/>
    <w:rsid w:val="00A47F58"/>
    <w:rsid w:val="00A51238"/>
    <w:rsid w:val="00A5136B"/>
    <w:rsid w:val="00A52354"/>
    <w:rsid w:val="00A53AE1"/>
    <w:rsid w:val="00A543D0"/>
    <w:rsid w:val="00A56288"/>
    <w:rsid w:val="00A57382"/>
    <w:rsid w:val="00A601CB"/>
    <w:rsid w:val="00A60876"/>
    <w:rsid w:val="00A61EC5"/>
    <w:rsid w:val="00A61FF5"/>
    <w:rsid w:val="00A6318F"/>
    <w:rsid w:val="00A63936"/>
    <w:rsid w:val="00A63A42"/>
    <w:rsid w:val="00A66869"/>
    <w:rsid w:val="00A67D56"/>
    <w:rsid w:val="00A70521"/>
    <w:rsid w:val="00A745CA"/>
    <w:rsid w:val="00A74A75"/>
    <w:rsid w:val="00A761D7"/>
    <w:rsid w:val="00A822A4"/>
    <w:rsid w:val="00A8234E"/>
    <w:rsid w:val="00A85BA9"/>
    <w:rsid w:val="00A8684A"/>
    <w:rsid w:val="00A86B42"/>
    <w:rsid w:val="00A87123"/>
    <w:rsid w:val="00A874B9"/>
    <w:rsid w:val="00A90983"/>
    <w:rsid w:val="00A90BBE"/>
    <w:rsid w:val="00A91D14"/>
    <w:rsid w:val="00A92DC2"/>
    <w:rsid w:val="00A9338E"/>
    <w:rsid w:val="00A95570"/>
    <w:rsid w:val="00A9593E"/>
    <w:rsid w:val="00A96198"/>
    <w:rsid w:val="00A97C43"/>
    <w:rsid w:val="00A97F26"/>
    <w:rsid w:val="00A97F94"/>
    <w:rsid w:val="00AA0450"/>
    <w:rsid w:val="00AA0785"/>
    <w:rsid w:val="00AA0C49"/>
    <w:rsid w:val="00AA5857"/>
    <w:rsid w:val="00AB00BF"/>
    <w:rsid w:val="00AB13B9"/>
    <w:rsid w:val="00AB313B"/>
    <w:rsid w:val="00AB35B2"/>
    <w:rsid w:val="00AB38F1"/>
    <w:rsid w:val="00AB3C1F"/>
    <w:rsid w:val="00AB473C"/>
    <w:rsid w:val="00AB7A7F"/>
    <w:rsid w:val="00AB7D66"/>
    <w:rsid w:val="00AC0AAE"/>
    <w:rsid w:val="00AC3BC5"/>
    <w:rsid w:val="00AC3BCB"/>
    <w:rsid w:val="00AC3E58"/>
    <w:rsid w:val="00AC481F"/>
    <w:rsid w:val="00AC5103"/>
    <w:rsid w:val="00AC6F99"/>
    <w:rsid w:val="00AD0809"/>
    <w:rsid w:val="00AD1A3E"/>
    <w:rsid w:val="00AD20F5"/>
    <w:rsid w:val="00AD360A"/>
    <w:rsid w:val="00AD3D16"/>
    <w:rsid w:val="00AD689D"/>
    <w:rsid w:val="00AD6DAE"/>
    <w:rsid w:val="00AD7640"/>
    <w:rsid w:val="00AE08EA"/>
    <w:rsid w:val="00AE2F86"/>
    <w:rsid w:val="00AE32AF"/>
    <w:rsid w:val="00AE4E9B"/>
    <w:rsid w:val="00AE5DF8"/>
    <w:rsid w:val="00AE6431"/>
    <w:rsid w:val="00AF21D8"/>
    <w:rsid w:val="00AF2AAE"/>
    <w:rsid w:val="00AF3B8C"/>
    <w:rsid w:val="00AF4B0D"/>
    <w:rsid w:val="00AF4BA9"/>
    <w:rsid w:val="00AF4D90"/>
    <w:rsid w:val="00AF5CA1"/>
    <w:rsid w:val="00AF67BC"/>
    <w:rsid w:val="00AF70A0"/>
    <w:rsid w:val="00AF7C8B"/>
    <w:rsid w:val="00B018A2"/>
    <w:rsid w:val="00B02A85"/>
    <w:rsid w:val="00B039FF"/>
    <w:rsid w:val="00B1092C"/>
    <w:rsid w:val="00B125A7"/>
    <w:rsid w:val="00B16D98"/>
    <w:rsid w:val="00B176F7"/>
    <w:rsid w:val="00B22BAD"/>
    <w:rsid w:val="00B2401B"/>
    <w:rsid w:val="00B24334"/>
    <w:rsid w:val="00B26099"/>
    <w:rsid w:val="00B27E95"/>
    <w:rsid w:val="00B311D8"/>
    <w:rsid w:val="00B3158F"/>
    <w:rsid w:val="00B31E1F"/>
    <w:rsid w:val="00B329CD"/>
    <w:rsid w:val="00B32CC3"/>
    <w:rsid w:val="00B32CE6"/>
    <w:rsid w:val="00B339A9"/>
    <w:rsid w:val="00B34B75"/>
    <w:rsid w:val="00B3551F"/>
    <w:rsid w:val="00B35F78"/>
    <w:rsid w:val="00B363AD"/>
    <w:rsid w:val="00B36DBE"/>
    <w:rsid w:val="00B37E6C"/>
    <w:rsid w:val="00B424A4"/>
    <w:rsid w:val="00B43B1C"/>
    <w:rsid w:val="00B4538E"/>
    <w:rsid w:val="00B4759F"/>
    <w:rsid w:val="00B475AE"/>
    <w:rsid w:val="00B511A2"/>
    <w:rsid w:val="00B513D9"/>
    <w:rsid w:val="00B519C1"/>
    <w:rsid w:val="00B525E2"/>
    <w:rsid w:val="00B53F12"/>
    <w:rsid w:val="00B54322"/>
    <w:rsid w:val="00B54887"/>
    <w:rsid w:val="00B54E3A"/>
    <w:rsid w:val="00B569F3"/>
    <w:rsid w:val="00B57EA1"/>
    <w:rsid w:val="00B6237C"/>
    <w:rsid w:val="00B625CA"/>
    <w:rsid w:val="00B62B45"/>
    <w:rsid w:val="00B6381C"/>
    <w:rsid w:val="00B63E8F"/>
    <w:rsid w:val="00B63EE5"/>
    <w:rsid w:val="00B64187"/>
    <w:rsid w:val="00B65762"/>
    <w:rsid w:val="00B665C4"/>
    <w:rsid w:val="00B7041E"/>
    <w:rsid w:val="00B7183B"/>
    <w:rsid w:val="00B73E3B"/>
    <w:rsid w:val="00B74D03"/>
    <w:rsid w:val="00B76249"/>
    <w:rsid w:val="00B77179"/>
    <w:rsid w:val="00B77DA1"/>
    <w:rsid w:val="00B8194E"/>
    <w:rsid w:val="00B8261F"/>
    <w:rsid w:val="00B8362E"/>
    <w:rsid w:val="00B92B39"/>
    <w:rsid w:val="00B93F19"/>
    <w:rsid w:val="00B93F6D"/>
    <w:rsid w:val="00B94EBB"/>
    <w:rsid w:val="00B95835"/>
    <w:rsid w:val="00BA0A95"/>
    <w:rsid w:val="00BA1A60"/>
    <w:rsid w:val="00BA3772"/>
    <w:rsid w:val="00BA48FC"/>
    <w:rsid w:val="00BA5ED4"/>
    <w:rsid w:val="00BB15EE"/>
    <w:rsid w:val="00BB2C1D"/>
    <w:rsid w:val="00BB2D0F"/>
    <w:rsid w:val="00BB376D"/>
    <w:rsid w:val="00BB62CC"/>
    <w:rsid w:val="00BB77DC"/>
    <w:rsid w:val="00BC147A"/>
    <w:rsid w:val="00BC160B"/>
    <w:rsid w:val="00BD35E0"/>
    <w:rsid w:val="00BD42D0"/>
    <w:rsid w:val="00BD4BB7"/>
    <w:rsid w:val="00BD54F7"/>
    <w:rsid w:val="00BD718B"/>
    <w:rsid w:val="00BD74F8"/>
    <w:rsid w:val="00BD7890"/>
    <w:rsid w:val="00BD7B7D"/>
    <w:rsid w:val="00BE0251"/>
    <w:rsid w:val="00BE3651"/>
    <w:rsid w:val="00BE48F9"/>
    <w:rsid w:val="00BE54C3"/>
    <w:rsid w:val="00BE5874"/>
    <w:rsid w:val="00BE63E9"/>
    <w:rsid w:val="00BE74F7"/>
    <w:rsid w:val="00BE7D9B"/>
    <w:rsid w:val="00BF28F4"/>
    <w:rsid w:val="00BF3605"/>
    <w:rsid w:val="00BF550E"/>
    <w:rsid w:val="00BF5644"/>
    <w:rsid w:val="00BF5E7F"/>
    <w:rsid w:val="00C00607"/>
    <w:rsid w:val="00C023ED"/>
    <w:rsid w:val="00C02FC5"/>
    <w:rsid w:val="00C10998"/>
    <w:rsid w:val="00C114B5"/>
    <w:rsid w:val="00C1268A"/>
    <w:rsid w:val="00C13BE6"/>
    <w:rsid w:val="00C1444D"/>
    <w:rsid w:val="00C1479B"/>
    <w:rsid w:val="00C15BF9"/>
    <w:rsid w:val="00C15C48"/>
    <w:rsid w:val="00C164A8"/>
    <w:rsid w:val="00C16B9D"/>
    <w:rsid w:val="00C17251"/>
    <w:rsid w:val="00C2035D"/>
    <w:rsid w:val="00C20B33"/>
    <w:rsid w:val="00C227B9"/>
    <w:rsid w:val="00C241A8"/>
    <w:rsid w:val="00C2657A"/>
    <w:rsid w:val="00C26662"/>
    <w:rsid w:val="00C27EA2"/>
    <w:rsid w:val="00C30111"/>
    <w:rsid w:val="00C31455"/>
    <w:rsid w:val="00C316DE"/>
    <w:rsid w:val="00C3207F"/>
    <w:rsid w:val="00C3282F"/>
    <w:rsid w:val="00C345C4"/>
    <w:rsid w:val="00C40E60"/>
    <w:rsid w:val="00C41000"/>
    <w:rsid w:val="00C415C5"/>
    <w:rsid w:val="00C41752"/>
    <w:rsid w:val="00C44954"/>
    <w:rsid w:val="00C451A5"/>
    <w:rsid w:val="00C45CDC"/>
    <w:rsid w:val="00C460D7"/>
    <w:rsid w:val="00C50CBD"/>
    <w:rsid w:val="00C516E7"/>
    <w:rsid w:val="00C54600"/>
    <w:rsid w:val="00C57F56"/>
    <w:rsid w:val="00C57F6B"/>
    <w:rsid w:val="00C6159B"/>
    <w:rsid w:val="00C61FE7"/>
    <w:rsid w:val="00C64A79"/>
    <w:rsid w:val="00C64CAE"/>
    <w:rsid w:val="00C663CE"/>
    <w:rsid w:val="00C67A97"/>
    <w:rsid w:val="00C70189"/>
    <w:rsid w:val="00C73E4E"/>
    <w:rsid w:val="00C755D0"/>
    <w:rsid w:val="00C76A16"/>
    <w:rsid w:val="00C76D06"/>
    <w:rsid w:val="00C76FDC"/>
    <w:rsid w:val="00C82673"/>
    <w:rsid w:val="00C83869"/>
    <w:rsid w:val="00C85333"/>
    <w:rsid w:val="00C85AE2"/>
    <w:rsid w:val="00C86940"/>
    <w:rsid w:val="00C86AF4"/>
    <w:rsid w:val="00C9199A"/>
    <w:rsid w:val="00C93F44"/>
    <w:rsid w:val="00C94301"/>
    <w:rsid w:val="00C945FC"/>
    <w:rsid w:val="00C95657"/>
    <w:rsid w:val="00C963E6"/>
    <w:rsid w:val="00C96998"/>
    <w:rsid w:val="00C972EF"/>
    <w:rsid w:val="00C97831"/>
    <w:rsid w:val="00CA0CAF"/>
    <w:rsid w:val="00CA10C8"/>
    <w:rsid w:val="00CA13A0"/>
    <w:rsid w:val="00CA2F25"/>
    <w:rsid w:val="00CA3A49"/>
    <w:rsid w:val="00CA3DDE"/>
    <w:rsid w:val="00CA5263"/>
    <w:rsid w:val="00CA59C6"/>
    <w:rsid w:val="00CA5B60"/>
    <w:rsid w:val="00CA5B71"/>
    <w:rsid w:val="00CA7F9B"/>
    <w:rsid w:val="00CB0036"/>
    <w:rsid w:val="00CB05EE"/>
    <w:rsid w:val="00CB1933"/>
    <w:rsid w:val="00CB25DE"/>
    <w:rsid w:val="00CB3688"/>
    <w:rsid w:val="00CB6A10"/>
    <w:rsid w:val="00CB6BBA"/>
    <w:rsid w:val="00CC0397"/>
    <w:rsid w:val="00CC0F10"/>
    <w:rsid w:val="00CC2CA1"/>
    <w:rsid w:val="00CC3062"/>
    <w:rsid w:val="00CC31AF"/>
    <w:rsid w:val="00CC38CF"/>
    <w:rsid w:val="00CC668A"/>
    <w:rsid w:val="00CD06CD"/>
    <w:rsid w:val="00CD127C"/>
    <w:rsid w:val="00CD5B5A"/>
    <w:rsid w:val="00CD5F9E"/>
    <w:rsid w:val="00CD76A5"/>
    <w:rsid w:val="00CE0F8C"/>
    <w:rsid w:val="00CE1E54"/>
    <w:rsid w:val="00CE21E9"/>
    <w:rsid w:val="00CE5F86"/>
    <w:rsid w:val="00CE64CB"/>
    <w:rsid w:val="00CF26A3"/>
    <w:rsid w:val="00CF3EBF"/>
    <w:rsid w:val="00CF4912"/>
    <w:rsid w:val="00CF68FE"/>
    <w:rsid w:val="00CF7680"/>
    <w:rsid w:val="00D00F9E"/>
    <w:rsid w:val="00D01B78"/>
    <w:rsid w:val="00D02AA0"/>
    <w:rsid w:val="00D059C9"/>
    <w:rsid w:val="00D066B9"/>
    <w:rsid w:val="00D07480"/>
    <w:rsid w:val="00D077C3"/>
    <w:rsid w:val="00D10512"/>
    <w:rsid w:val="00D125CC"/>
    <w:rsid w:val="00D12F23"/>
    <w:rsid w:val="00D13170"/>
    <w:rsid w:val="00D14C1A"/>
    <w:rsid w:val="00D14DF4"/>
    <w:rsid w:val="00D15069"/>
    <w:rsid w:val="00D15EBB"/>
    <w:rsid w:val="00D16877"/>
    <w:rsid w:val="00D2053B"/>
    <w:rsid w:val="00D21F83"/>
    <w:rsid w:val="00D2232D"/>
    <w:rsid w:val="00D23701"/>
    <w:rsid w:val="00D3017C"/>
    <w:rsid w:val="00D31E42"/>
    <w:rsid w:val="00D334EE"/>
    <w:rsid w:val="00D3635F"/>
    <w:rsid w:val="00D37EC9"/>
    <w:rsid w:val="00D42065"/>
    <w:rsid w:val="00D46A7C"/>
    <w:rsid w:val="00D50556"/>
    <w:rsid w:val="00D50CCB"/>
    <w:rsid w:val="00D531FF"/>
    <w:rsid w:val="00D61687"/>
    <w:rsid w:val="00D635F7"/>
    <w:rsid w:val="00D64555"/>
    <w:rsid w:val="00D6710F"/>
    <w:rsid w:val="00D70439"/>
    <w:rsid w:val="00D708FB"/>
    <w:rsid w:val="00D71E00"/>
    <w:rsid w:val="00D722AC"/>
    <w:rsid w:val="00D72BFE"/>
    <w:rsid w:val="00D740F7"/>
    <w:rsid w:val="00D7415A"/>
    <w:rsid w:val="00D75E88"/>
    <w:rsid w:val="00D77CE7"/>
    <w:rsid w:val="00D81972"/>
    <w:rsid w:val="00D82AD3"/>
    <w:rsid w:val="00D83529"/>
    <w:rsid w:val="00D8457F"/>
    <w:rsid w:val="00D84BCD"/>
    <w:rsid w:val="00D84C3A"/>
    <w:rsid w:val="00D870E7"/>
    <w:rsid w:val="00D90AAF"/>
    <w:rsid w:val="00D90BC6"/>
    <w:rsid w:val="00D91417"/>
    <w:rsid w:val="00D920A6"/>
    <w:rsid w:val="00D93BA2"/>
    <w:rsid w:val="00D954D5"/>
    <w:rsid w:val="00DA09A8"/>
    <w:rsid w:val="00DA1302"/>
    <w:rsid w:val="00DA37AC"/>
    <w:rsid w:val="00DA5EE8"/>
    <w:rsid w:val="00DB1C80"/>
    <w:rsid w:val="00DB25C1"/>
    <w:rsid w:val="00DB2BAA"/>
    <w:rsid w:val="00DB3E8F"/>
    <w:rsid w:val="00DB47C7"/>
    <w:rsid w:val="00DB5655"/>
    <w:rsid w:val="00DC0C21"/>
    <w:rsid w:val="00DC1A21"/>
    <w:rsid w:val="00DC2278"/>
    <w:rsid w:val="00DC2AA0"/>
    <w:rsid w:val="00DC4116"/>
    <w:rsid w:val="00DC4190"/>
    <w:rsid w:val="00DC68A4"/>
    <w:rsid w:val="00DD0BF0"/>
    <w:rsid w:val="00DD1F09"/>
    <w:rsid w:val="00DD22EE"/>
    <w:rsid w:val="00DD5A6A"/>
    <w:rsid w:val="00DD7475"/>
    <w:rsid w:val="00DD7D80"/>
    <w:rsid w:val="00DE3B16"/>
    <w:rsid w:val="00DE5709"/>
    <w:rsid w:val="00DE5D07"/>
    <w:rsid w:val="00DE606A"/>
    <w:rsid w:val="00DF2210"/>
    <w:rsid w:val="00DF292A"/>
    <w:rsid w:val="00DF68A7"/>
    <w:rsid w:val="00DF7026"/>
    <w:rsid w:val="00DF70F1"/>
    <w:rsid w:val="00E00414"/>
    <w:rsid w:val="00E01007"/>
    <w:rsid w:val="00E01C69"/>
    <w:rsid w:val="00E043E0"/>
    <w:rsid w:val="00E11F45"/>
    <w:rsid w:val="00E12E64"/>
    <w:rsid w:val="00E13235"/>
    <w:rsid w:val="00E139AD"/>
    <w:rsid w:val="00E15D58"/>
    <w:rsid w:val="00E16A8D"/>
    <w:rsid w:val="00E1725A"/>
    <w:rsid w:val="00E17D13"/>
    <w:rsid w:val="00E22643"/>
    <w:rsid w:val="00E22904"/>
    <w:rsid w:val="00E24C80"/>
    <w:rsid w:val="00E260D9"/>
    <w:rsid w:val="00E27148"/>
    <w:rsid w:val="00E2776F"/>
    <w:rsid w:val="00E3126E"/>
    <w:rsid w:val="00E35A51"/>
    <w:rsid w:val="00E36153"/>
    <w:rsid w:val="00E363A9"/>
    <w:rsid w:val="00E40329"/>
    <w:rsid w:val="00E42F81"/>
    <w:rsid w:val="00E43B3B"/>
    <w:rsid w:val="00E50422"/>
    <w:rsid w:val="00E52A58"/>
    <w:rsid w:val="00E52E0B"/>
    <w:rsid w:val="00E53244"/>
    <w:rsid w:val="00E53AB5"/>
    <w:rsid w:val="00E53E02"/>
    <w:rsid w:val="00E53F83"/>
    <w:rsid w:val="00E57A80"/>
    <w:rsid w:val="00E57EB2"/>
    <w:rsid w:val="00E63507"/>
    <w:rsid w:val="00E64FC6"/>
    <w:rsid w:val="00E6589F"/>
    <w:rsid w:val="00E66604"/>
    <w:rsid w:val="00E73694"/>
    <w:rsid w:val="00E73B02"/>
    <w:rsid w:val="00E7641C"/>
    <w:rsid w:val="00E7732A"/>
    <w:rsid w:val="00E7740D"/>
    <w:rsid w:val="00E80D10"/>
    <w:rsid w:val="00E81D56"/>
    <w:rsid w:val="00E84010"/>
    <w:rsid w:val="00E842D6"/>
    <w:rsid w:val="00E8529C"/>
    <w:rsid w:val="00E87C60"/>
    <w:rsid w:val="00E90C38"/>
    <w:rsid w:val="00E92D3A"/>
    <w:rsid w:val="00E9349B"/>
    <w:rsid w:val="00E94527"/>
    <w:rsid w:val="00E973CD"/>
    <w:rsid w:val="00EA248E"/>
    <w:rsid w:val="00EA27AA"/>
    <w:rsid w:val="00EA79AD"/>
    <w:rsid w:val="00EB1214"/>
    <w:rsid w:val="00EB289A"/>
    <w:rsid w:val="00EB2A1E"/>
    <w:rsid w:val="00EC2697"/>
    <w:rsid w:val="00EC4701"/>
    <w:rsid w:val="00EC527E"/>
    <w:rsid w:val="00EC72F8"/>
    <w:rsid w:val="00EC7E93"/>
    <w:rsid w:val="00ED3132"/>
    <w:rsid w:val="00ED60A3"/>
    <w:rsid w:val="00EE2A68"/>
    <w:rsid w:val="00EE2C49"/>
    <w:rsid w:val="00EE457A"/>
    <w:rsid w:val="00EE4B1D"/>
    <w:rsid w:val="00EE612B"/>
    <w:rsid w:val="00EE61AA"/>
    <w:rsid w:val="00EE6318"/>
    <w:rsid w:val="00EE728B"/>
    <w:rsid w:val="00EF1E3B"/>
    <w:rsid w:val="00EF3C96"/>
    <w:rsid w:val="00EF407D"/>
    <w:rsid w:val="00EF5B37"/>
    <w:rsid w:val="00EF761B"/>
    <w:rsid w:val="00F00773"/>
    <w:rsid w:val="00F032AE"/>
    <w:rsid w:val="00F033DB"/>
    <w:rsid w:val="00F0437C"/>
    <w:rsid w:val="00F07652"/>
    <w:rsid w:val="00F13796"/>
    <w:rsid w:val="00F13DB4"/>
    <w:rsid w:val="00F140D3"/>
    <w:rsid w:val="00F176EE"/>
    <w:rsid w:val="00F208E8"/>
    <w:rsid w:val="00F2174E"/>
    <w:rsid w:val="00F218F8"/>
    <w:rsid w:val="00F2195B"/>
    <w:rsid w:val="00F2231A"/>
    <w:rsid w:val="00F23B59"/>
    <w:rsid w:val="00F250FD"/>
    <w:rsid w:val="00F256FF"/>
    <w:rsid w:val="00F36D9B"/>
    <w:rsid w:val="00F36F52"/>
    <w:rsid w:val="00F37A38"/>
    <w:rsid w:val="00F41BDA"/>
    <w:rsid w:val="00F43331"/>
    <w:rsid w:val="00F441DD"/>
    <w:rsid w:val="00F50C19"/>
    <w:rsid w:val="00F51FCE"/>
    <w:rsid w:val="00F55EF6"/>
    <w:rsid w:val="00F56053"/>
    <w:rsid w:val="00F567DF"/>
    <w:rsid w:val="00F5684E"/>
    <w:rsid w:val="00F57AD6"/>
    <w:rsid w:val="00F6063A"/>
    <w:rsid w:val="00F60A04"/>
    <w:rsid w:val="00F60A5D"/>
    <w:rsid w:val="00F60B59"/>
    <w:rsid w:val="00F616F5"/>
    <w:rsid w:val="00F62FA3"/>
    <w:rsid w:val="00F63F0C"/>
    <w:rsid w:val="00F6405E"/>
    <w:rsid w:val="00F643F6"/>
    <w:rsid w:val="00F668DB"/>
    <w:rsid w:val="00F66DB9"/>
    <w:rsid w:val="00F67FD5"/>
    <w:rsid w:val="00F71006"/>
    <w:rsid w:val="00F726F4"/>
    <w:rsid w:val="00F74397"/>
    <w:rsid w:val="00F74C5E"/>
    <w:rsid w:val="00F77B4E"/>
    <w:rsid w:val="00F817CE"/>
    <w:rsid w:val="00F85B1C"/>
    <w:rsid w:val="00F94CDA"/>
    <w:rsid w:val="00F957C9"/>
    <w:rsid w:val="00F97323"/>
    <w:rsid w:val="00FA15EA"/>
    <w:rsid w:val="00FA548D"/>
    <w:rsid w:val="00FA5F5D"/>
    <w:rsid w:val="00FA7534"/>
    <w:rsid w:val="00FA7AD8"/>
    <w:rsid w:val="00FB13DE"/>
    <w:rsid w:val="00FB264D"/>
    <w:rsid w:val="00FB2F23"/>
    <w:rsid w:val="00FB5F49"/>
    <w:rsid w:val="00FB5FCD"/>
    <w:rsid w:val="00FB6DE6"/>
    <w:rsid w:val="00FB789E"/>
    <w:rsid w:val="00FB78E6"/>
    <w:rsid w:val="00FC41C1"/>
    <w:rsid w:val="00FC6F6A"/>
    <w:rsid w:val="00FC7B68"/>
    <w:rsid w:val="00FD5C50"/>
    <w:rsid w:val="00FD73CB"/>
    <w:rsid w:val="00FD7E7D"/>
    <w:rsid w:val="00FE25E4"/>
    <w:rsid w:val="00FE29DB"/>
    <w:rsid w:val="00FE2C83"/>
    <w:rsid w:val="00FE2E82"/>
    <w:rsid w:val="00FE3646"/>
    <w:rsid w:val="00FE3DB2"/>
    <w:rsid w:val="00FE3EEF"/>
    <w:rsid w:val="00FE4625"/>
    <w:rsid w:val="00FE48A1"/>
    <w:rsid w:val="00FE5AEF"/>
    <w:rsid w:val="00FF098C"/>
    <w:rsid w:val="00FF126C"/>
    <w:rsid w:val="00FF2261"/>
    <w:rsid w:val="00FF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964D87"/>
  <w14:defaultImageDpi w14:val="330"/>
  <w15:docId w15:val="{EC6F80F9-3E1C-4246-9FC4-3A6B284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D9"/>
  </w:style>
  <w:style w:type="paragraph" w:styleId="Heading1">
    <w:name w:val="heading 1"/>
    <w:basedOn w:val="Normal"/>
    <w:next w:val="Normal"/>
    <w:link w:val="Heading1Char"/>
    <w:uiPriority w:val="9"/>
    <w:qFormat/>
    <w:rsid w:val="00F63F0C"/>
    <w:pPr>
      <w:keepNext/>
      <w:keepLines/>
      <w:spacing w:after="480"/>
      <w:outlineLvl w:val="0"/>
    </w:pPr>
    <w:rPr>
      <w:rFonts w:asciiTheme="majorHAnsi" w:eastAsiaTheme="majorEastAsia" w:hAnsiTheme="majorHAnsi" w:cstheme="majorBidi"/>
      <w:b/>
      <w:color w:val="DDDDDD" w:themeColor="accent1"/>
      <w:sz w:val="40"/>
      <w:szCs w:val="32"/>
    </w:rPr>
  </w:style>
  <w:style w:type="paragraph" w:styleId="Heading2">
    <w:name w:val="heading 2"/>
    <w:basedOn w:val="Normal"/>
    <w:next w:val="Normal"/>
    <w:link w:val="Heading2Char"/>
    <w:uiPriority w:val="9"/>
    <w:unhideWhenUsed/>
    <w:qFormat/>
    <w:rsid w:val="00E22643"/>
    <w:pPr>
      <w:keepNext/>
      <w:keepLines/>
      <w:spacing w:before="40" w:line="220" w:lineRule="atLeast"/>
      <w:ind w:left="710"/>
      <w:outlineLvl w:val="1"/>
    </w:pPr>
    <w:rPr>
      <w:rFonts w:asciiTheme="majorHAnsi" w:eastAsiaTheme="majorEastAsia" w:hAnsiTheme="majorHAnsi" w:cstheme="majorBidi"/>
      <w:color w:val="A5A5A5" w:themeColor="accent1" w:themeShade="BF"/>
      <w:sz w:val="26"/>
      <w:szCs w:val="26"/>
      <w:lang w:val="en-AU"/>
    </w:rPr>
  </w:style>
  <w:style w:type="paragraph" w:styleId="Heading3">
    <w:name w:val="heading 3"/>
    <w:aliases w:val="DET Heading 3,Level 1 - 1"/>
    <w:basedOn w:val="Normal"/>
    <w:next w:val="Normal"/>
    <w:link w:val="Heading3Char"/>
    <w:uiPriority w:val="9"/>
    <w:unhideWhenUsed/>
    <w:qFormat/>
    <w:rsid w:val="007E6337"/>
    <w:pPr>
      <w:keepNext/>
      <w:keepLines/>
      <w:spacing w:before="40"/>
      <w:ind w:left="720" w:hanging="432"/>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semiHidden/>
    <w:unhideWhenUsed/>
    <w:qFormat/>
    <w:rsid w:val="003C63D8"/>
    <w:pPr>
      <w:keepNext/>
      <w:keepLines/>
      <w:spacing w:before="40"/>
      <w:ind w:left="864" w:hanging="144"/>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144A83"/>
    <w:pPr>
      <w:keepNext/>
      <w:keepLines/>
      <w:spacing w:before="40"/>
      <w:ind w:left="1008" w:hanging="432"/>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144A83"/>
    <w:pPr>
      <w:keepNext/>
      <w:keepLines/>
      <w:spacing w:before="40"/>
      <w:ind w:left="1152" w:hanging="432"/>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144A83"/>
    <w:pPr>
      <w:keepNext/>
      <w:keepLines/>
      <w:spacing w:before="40"/>
      <w:ind w:left="1296" w:hanging="288"/>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144A83"/>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4A83"/>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0C"/>
    <w:rPr>
      <w:rFonts w:asciiTheme="majorHAnsi" w:eastAsiaTheme="majorEastAsia" w:hAnsiTheme="majorHAnsi" w:cstheme="majorBidi"/>
      <w:b/>
      <w:color w:val="DDDDDD" w:themeColor="accent1"/>
      <w:sz w:val="40"/>
      <w:szCs w:val="32"/>
    </w:rPr>
  </w:style>
  <w:style w:type="character" w:customStyle="1" w:styleId="Heading2Char">
    <w:name w:val="Heading 2 Char"/>
    <w:basedOn w:val="DefaultParagraphFont"/>
    <w:link w:val="Heading2"/>
    <w:uiPriority w:val="9"/>
    <w:rsid w:val="00E22643"/>
    <w:rPr>
      <w:rFonts w:asciiTheme="majorHAnsi" w:eastAsiaTheme="majorEastAsia" w:hAnsiTheme="majorHAnsi" w:cstheme="majorBidi"/>
      <w:color w:val="A5A5A5" w:themeColor="accent1" w:themeShade="BF"/>
      <w:sz w:val="26"/>
      <w:szCs w:val="26"/>
      <w:lang w:val="en-AU"/>
    </w:rPr>
  </w:style>
  <w:style w:type="character" w:customStyle="1" w:styleId="Heading3Char">
    <w:name w:val="Heading 3 Char"/>
    <w:aliases w:val="DET Heading 3 Char,Level 1 - 1 Char"/>
    <w:basedOn w:val="DefaultParagraphFont"/>
    <w:link w:val="Heading3"/>
    <w:uiPriority w:val="9"/>
    <w:rsid w:val="007E6337"/>
    <w:rPr>
      <w:rFonts w:asciiTheme="majorHAnsi" w:eastAsiaTheme="majorEastAsia" w:hAnsiTheme="majorHAnsi" w:cstheme="majorBidi"/>
      <w:color w:val="6E6E6E" w:themeColor="accent1" w:themeShade="7F"/>
    </w:rPr>
  </w:style>
  <w:style w:type="character" w:customStyle="1" w:styleId="Heading4Char">
    <w:name w:val="Heading 4 Char"/>
    <w:basedOn w:val="DefaultParagraphFont"/>
    <w:link w:val="Heading4"/>
    <w:uiPriority w:val="9"/>
    <w:semiHidden/>
    <w:rsid w:val="003C63D8"/>
    <w:rPr>
      <w:rFonts w:asciiTheme="majorHAnsi" w:eastAsiaTheme="majorEastAsia" w:hAnsiTheme="majorHAnsi" w:cstheme="majorBidi"/>
      <w:i/>
      <w:iCs/>
      <w:color w:val="A5A5A5" w:themeColor="accent1" w:themeShade="BF"/>
    </w:rPr>
  </w:style>
  <w:style w:type="paragraph" w:styleId="TOCHeading">
    <w:name w:val="TOC Heading"/>
    <w:basedOn w:val="ESHeading1"/>
    <w:next w:val="Normal"/>
    <w:uiPriority w:val="39"/>
    <w:unhideWhenUsed/>
    <w:qFormat/>
    <w:rsid w:val="00EE728B"/>
    <w:pPr>
      <w:spacing w:after="480" w:line="240" w:lineRule="auto"/>
      <w:outlineLvl w:val="9"/>
    </w:pPr>
  </w:style>
  <w:style w:type="paragraph" w:customStyle="1" w:styleId="ESHeading1">
    <w:name w:val="ES_Heading 1"/>
    <w:basedOn w:val="Title"/>
    <w:qFormat/>
    <w:rsid w:val="00AD20F5"/>
    <w:pPr>
      <w:pageBreakBefore/>
      <w:spacing w:after="180" w:line="450" w:lineRule="atLeast"/>
      <w:contextualSpacing w:val="0"/>
      <w:outlineLvl w:val="0"/>
    </w:pPr>
    <w:rPr>
      <w:rFonts w:ascii="Arial" w:hAnsi="Arial"/>
      <w:color w:val="000000" w:themeColor="text1"/>
      <w:spacing w:val="5"/>
      <w:sz w:val="36"/>
      <w:szCs w:val="52"/>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3A3128"/>
    <w:pPr>
      <w:spacing w:after="40"/>
    </w:pPr>
    <w:rPr>
      <w:rFonts w:ascii="Arial Narrow" w:eastAsiaTheme="minorEastAsia" w:hAnsi="Arial Narrow" w:cs="Arial"/>
      <w:sz w:val="15"/>
      <w:szCs w:val="11"/>
      <w:lang w:val="en-US"/>
    </w:rPr>
  </w:style>
  <w:style w:type="character" w:customStyle="1" w:styleId="FootnoteTextChar">
    <w:name w:val="Footnote Text Char"/>
    <w:basedOn w:val="DefaultParagraphFont"/>
    <w:link w:val="FootnoteText"/>
    <w:uiPriority w:val="99"/>
    <w:rsid w:val="003A3128"/>
    <w:rPr>
      <w:rFonts w:ascii="Arial Narrow" w:eastAsiaTheme="minorEastAsia" w:hAnsi="Arial Narrow" w:cs="Arial"/>
      <w:sz w:val="15"/>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BodyText">
    <w:name w:val="ES_Body Text"/>
    <w:basedOn w:val="Normal"/>
    <w:link w:val="ESBodyTextChar"/>
    <w:qFormat/>
    <w:rsid w:val="00AD20F5"/>
    <w:pPr>
      <w:spacing w:after="120" w:line="240" w:lineRule="atLeast"/>
    </w:pPr>
    <w:rPr>
      <w:rFonts w:ascii="Arial" w:eastAsiaTheme="minorEastAsia" w:hAnsi="Arial" w:cs="Arial"/>
      <w:sz w:val="19"/>
      <w:szCs w:val="18"/>
      <w:lang w:val="en-US"/>
    </w:rPr>
  </w:style>
  <w:style w:type="paragraph" w:customStyle="1" w:styleId="ESHeading2">
    <w:name w:val="ES_Heading 2"/>
    <w:basedOn w:val="ESHeading1"/>
    <w:qFormat/>
    <w:rsid w:val="00D2232D"/>
    <w:pPr>
      <w:keepNext/>
      <w:pageBreakBefore w:val="0"/>
      <w:tabs>
        <w:tab w:val="left" w:pos="851"/>
      </w:tabs>
      <w:spacing w:before="240" w:line="240" w:lineRule="atLeast"/>
    </w:pPr>
    <w:rPr>
      <w:bCs/>
      <w:sz w:val="28"/>
      <w:szCs w:val="20"/>
    </w:rPr>
  </w:style>
  <w:style w:type="paragraph" w:customStyle="1" w:styleId="ESHeading3">
    <w:name w:val="ES_Heading 3"/>
    <w:basedOn w:val="ESBodyText"/>
    <w:next w:val="ESBodyText"/>
    <w:qFormat/>
    <w:rsid w:val="00C61FE7"/>
    <w:pPr>
      <w:keepNext/>
      <w:spacing w:before="240"/>
    </w:pPr>
    <w:rPr>
      <w:color w:val="000000" w:themeColor="text1"/>
      <w:sz w:val="22"/>
    </w:rPr>
  </w:style>
  <w:style w:type="paragraph" w:customStyle="1" w:styleId="ESbullet2">
    <w:name w:val="ES_bullet 2"/>
    <w:basedOn w:val="ESbullet1"/>
    <w:qFormat/>
    <w:rsid w:val="00B625CA"/>
    <w:pPr>
      <w:numPr>
        <w:ilvl w:val="1"/>
        <w:numId w:val="1"/>
      </w:numPr>
      <w:ind w:left="993" w:hanging="284"/>
    </w:pPr>
  </w:style>
  <w:style w:type="table" w:styleId="TableGrid">
    <w:name w:val="Table Grid"/>
    <w:basedOn w:val="TableNormal"/>
    <w:uiPriority w:val="5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link w:val="ESTableheadingwhiteChar"/>
    <w:qFormat/>
    <w:rsid w:val="00724727"/>
    <w:pPr>
      <w:spacing w:before="80" w:after="80" w:line="240" w:lineRule="auto"/>
    </w:pPr>
    <w:rPr>
      <w:b/>
      <w:color w:val="FFFFFF" w:themeColor="background1"/>
    </w:rPr>
  </w:style>
  <w:style w:type="paragraph" w:customStyle="1" w:styleId="ESTableheading">
    <w:name w:val="ES_Table heading"/>
    <w:basedOn w:val="ESTableheadingwhite"/>
    <w:link w:val="ESTableheadingChar"/>
    <w:qFormat/>
    <w:rsid w:val="009A0BAD"/>
    <w:pPr>
      <w:keepNext/>
      <w:keepLines/>
      <w:spacing w:before="120" w:after="120"/>
    </w:pPr>
    <w:rPr>
      <w:color w:val="000000" w:themeColor="text1"/>
      <w:spacing w:val="-4"/>
      <w:w w:val="98"/>
      <w:szCs w:val="19"/>
    </w:rPr>
  </w:style>
  <w:style w:type="paragraph" w:styleId="TOC3">
    <w:name w:val="toc 3"/>
    <w:basedOn w:val="Normal"/>
    <w:next w:val="Normal"/>
    <w:autoRedefine/>
    <w:uiPriority w:val="39"/>
    <w:unhideWhenUsed/>
    <w:rsid w:val="00AE2F86"/>
    <w:pPr>
      <w:tabs>
        <w:tab w:val="right" w:leader="dot" w:pos="7363"/>
      </w:tabs>
    </w:pPr>
    <w:rPr>
      <w:rFonts w:cstheme="minorHAnsi"/>
      <w:b/>
      <w:noProof/>
      <w:sz w:val="18"/>
      <w:szCs w:val="18"/>
      <w:lang w:val="en-AU"/>
    </w:rPr>
  </w:style>
  <w:style w:type="paragraph" w:styleId="TOC1">
    <w:name w:val="toc 1"/>
    <w:basedOn w:val="Normal"/>
    <w:next w:val="Normal"/>
    <w:autoRedefine/>
    <w:uiPriority w:val="39"/>
    <w:unhideWhenUsed/>
    <w:rsid w:val="00EE457A"/>
    <w:pPr>
      <w:tabs>
        <w:tab w:val="left" w:pos="1134"/>
        <w:tab w:val="right" w:leader="dot" w:pos="7371"/>
      </w:tabs>
      <w:spacing w:before="120"/>
    </w:pPr>
    <w:rPr>
      <w:rFonts w:cstheme="minorHAnsi"/>
      <w:b/>
      <w:bCs/>
      <w:noProof/>
      <w:sz w:val="18"/>
      <w:lang w:val="en-AU"/>
    </w:rPr>
  </w:style>
  <w:style w:type="paragraph" w:styleId="TOC2">
    <w:name w:val="toc 2"/>
    <w:basedOn w:val="Normal"/>
    <w:next w:val="Normal"/>
    <w:autoRedefine/>
    <w:uiPriority w:val="39"/>
    <w:unhideWhenUsed/>
    <w:rsid w:val="0091320F"/>
    <w:pPr>
      <w:ind w:left="240"/>
    </w:pPr>
    <w:rPr>
      <w:rFonts w:cstheme="minorHAnsi"/>
      <w:bCs/>
      <w:sz w:val="18"/>
      <w:szCs w:val="22"/>
    </w:rPr>
  </w:style>
  <w:style w:type="paragraph" w:customStyle="1" w:styleId="Imprintbullet">
    <w:name w:val="Imprint bullet"/>
    <w:basedOn w:val="Normal"/>
    <w:uiPriority w:val="99"/>
    <w:qFormat/>
    <w:rsid w:val="00BB15EE"/>
    <w:pPr>
      <w:numPr>
        <w:numId w:val="3"/>
      </w:numPr>
      <w:tabs>
        <w:tab w:val="left" w:pos="170"/>
      </w:tabs>
      <w:spacing w:after="90" w:line="220" w:lineRule="atLeast"/>
      <w:ind w:left="426" w:hanging="284"/>
    </w:pPr>
    <w:rPr>
      <w:rFonts w:ascii="Arial" w:eastAsia="Times New Roman" w:hAnsi="Arial" w:cs="Times New Roman"/>
      <w:sz w:val="16"/>
      <w:szCs w:val="20"/>
      <w:lang w:val="en-AU"/>
    </w:rPr>
  </w:style>
  <w:style w:type="paragraph" w:customStyle="1" w:styleId="Imprintinformation">
    <w:name w:val="Imprint information"/>
    <w:basedOn w:val="Normal"/>
    <w:uiPriority w:val="99"/>
    <w:rsid w:val="00890A8F"/>
    <w:pPr>
      <w:spacing w:after="90" w:line="220" w:lineRule="atLeast"/>
    </w:pPr>
    <w:rPr>
      <w:rFonts w:ascii="Arial" w:eastAsia="Times New Roman" w:hAnsi="Arial" w:cs="Times New Roman"/>
      <w:sz w:val="16"/>
      <w:lang w:val="en-AU"/>
    </w:rPr>
  </w:style>
  <w:style w:type="paragraph" w:customStyle="1" w:styleId="ESHeading4">
    <w:name w:val="ES_Heading 4"/>
    <w:basedOn w:val="ESHeading3"/>
    <w:qFormat/>
    <w:rsid w:val="00B176F7"/>
    <w:pPr>
      <w:keepLines/>
    </w:pPr>
    <w:rPr>
      <w:b/>
      <w:i/>
      <w:sz w:val="19"/>
    </w:rPr>
  </w:style>
  <w:style w:type="paragraph" w:customStyle="1" w:styleId="ESTableintroheading">
    <w:name w:val="ES_Table intro heading"/>
    <w:basedOn w:val="ESTableheading"/>
    <w:qFormat/>
    <w:rsid w:val="009A0DF2"/>
    <w:pPr>
      <w:spacing w:before="240"/>
    </w:pPr>
    <w:rPr>
      <w:i/>
    </w:rPr>
  </w:style>
  <w:style w:type="paragraph" w:customStyle="1" w:styleId="ESTablebody3ptafter">
    <w:name w:val="ES_Table body + 3pt after"/>
    <w:basedOn w:val="ESBodyText"/>
    <w:qFormat/>
    <w:rsid w:val="00325ABA"/>
    <w:pPr>
      <w:spacing w:after="60" w:line="240" w:lineRule="auto"/>
    </w:pPr>
    <w:rPr>
      <w:sz w:val="16"/>
    </w:rPr>
  </w:style>
  <w:style w:type="paragraph" w:customStyle="1" w:styleId="ESTablebullet1">
    <w:name w:val="ES_Table bullet 1"/>
    <w:basedOn w:val="Normal"/>
    <w:qFormat/>
    <w:rsid w:val="00F2231A"/>
    <w:pPr>
      <w:numPr>
        <w:numId w:val="4"/>
      </w:numPr>
      <w:spacing w:before="60" w:after="60"/>
      <w:ind w:left="284" w:hanging="284"/>
    </w:pPr>
    <w:rPr>
      <w:rFonts w:ascii="Arial" w:eastAsiaTheme="minorEastAsia" w:hAnsi="Arial" w:cs="Arial"/>
      <w:sz w:val="16"/>
      <w:szCs w:val="18"/>
      <w:lang w:val="en-US"/>
    </w:rPr>
  </w:style>
  <w:style w:type="paragraph" w:customStyle="1" w:styleId="ESFooter">
    <w:name w:val="ES_Footer"/>
    <w:basedOn w:val="Normal"/>
    <w:qFormat/>
    <w:rsid w:val="003A3128"/>
    <w:pPr>
      <w:jc w:val="right"/>
    </w:pPr>
    <w:rPr>
      <w:noProof/>
      <w:color w:val="000000" w:themeColor="text1"/>
      <w:sz w:val="15"/>
      <w:szCs w:val="15"/>
      <w:lang w:eastAsia="en-GB"/>
    </w:rPr>
  </w:style>
  <w:style w:type="character" w:styleId="FootnoteReference">
    <w:name w:val="footnote reference"/>
    <w:aliases w:val="DET Footnote Reference"/>
    <w:uiPriority w:val="99"/>
    <w:unhideWhenUsed/>
    <w:rsid w:val="00A47A3C"/>
    <w:rPr>
      <w:vertAlign w:val="superscript"/>
    </w:rPr>
  </w:style>
  <w:style w:type="paragraph" w:customStyle="1" w:styleId="ESQuotetext">
    <w:name w:val="ES_Quote text"/>
    <w:basedOn w:val="ESBodyText"/>
    <w:qFormat/>
    <w:rsid w:val="003A3128"/>
    <w:rPr>
      <w:i/>
      <w:color w:val="7F7F7F" w:themeColor="text1" w:themeTint="80"/>
    </w:rPr>
  </w:style>
  <w:style w:type="paragraph" w:customStyle="1" w:styleId="ESAppendix1">
    <w:name w:val="ES_Appendix 1"/>
    <w:basedOn w:val="ESHeading1"/>
    <w:qFormat/>
    <w:rsid w:val="003A3128"/>
    <w:pPr>
      <w:numPr>
        <w:numId w:val="5"/>
      </w:numPr>
      <w:ind w:left="2268" w:hanging="2268"/>
    </w:pPr>
  </w:style>
  <w:style w:type="paragraph" w:customStyle="1" w:styleId="ESTableBullet1indent">
    <w:name w:val="ES_Table Bullet 1 + indent"/>
    <w:basedOn w:val="ESTablebullet1"/>
    <w:qFormat/>
    <w:rsid w:val="009352EA"/>
    <w:pPr>
      <w:ind w:left="568"/>
    </w:pPr>
  </w:style>
  <w:style w:type="paragraph" w:customStyle="1" w:styleId="Tablecolumnheadingobjectivestables">
    <w:name w:val="Table column heading objectives tables"/>
    <w:basedOn w:val="Normal"/>
    <w:link w:val="TablecolumnheadingobjectivestablesChar"/>
    <w:qFormat/>
    <w:rsid w:val="00EC72F8"/>
    <w:pPr>
      <w:keepNext/>
      <w:widowControl w:val="0"/>
      <w:tabs>
        <w:tab w:val="left" w:pos="205"/>
      </w:tabs>
      <w:autoSpaceDE w:val="0"/>
      <w:autoSpaceDN w:val="0"/>
      <w:adjustRightInd w:val="0"/>
      <w:spacing w:before="80" w:after="80"/>
    </w:pPr>
    <w:rPr>
      <w:rFonts w:ascii="Arial" w:eastAsia="Times New Roman" w:hAnsi="Arial" w:cs="Arial"/>
      <w:bCs/>
      <w:color w:val="FFFFFF"/>
      <w:sz w:val="16"/>
      <w:szCs w:val="16"/>
      <w:lang w:val="en-US"/>
    </w:rPr>
  </w:style>
  <w:style w:type="character" w:customStyle="1" w:styleId="TablecolumnheadingobjectivestablesChar">
    <w:name w:val="Table column heading objectives tables Char"/>
    <w:basedOn w:val="DefaultParagraphFont"/>
    <w:link w:val="Tablecolumnheadingobjectivestables"/>
    <w:rsid w:val="00EC72F8"/>
    <w:rPr>
      <w:rFonts w:ascii="Arial" w:eastAsia="Times New Roman" w:hAnsi="Arial" w:cs="Arial"/>
      <w:bCs/>
      <w:color w:val="FFFFFF"/>
      <w:sz w:val="16"/>
      <w:szCs w:val="16"/>
      <w:lang w:val="en-US"/>
    </w:rPr>
  </w:style>
  <w:style w:type="paragraph" w:customStyle="1" w:styleId="ESBullet1indent">
    <w:name w:val="ES_Bullet 1 + indent"/>
    <w:basedOn w:val="ESbullet1"/>
    <w:qFormat/>
    <w:rsid w:val="007B4838"/>
    <w:pPr>
      <w:spacing w:after="120"/>
      <w:ind w:left="720" w:hanging="360"/>
    </w:pPr>
  </w:style>
  <w:style w:type="paragraph" w:customStyle="1" w:styleId="DETTablebulletlist">
    <w:name w:val="DET Table bullet list"/>
    <w:basedOn w:val="Normal"/>
    <w:qFormat/>
    <w:rsid w:val="00024213"/>
    <w:pPr>
      <w:tabs>
        <w:tab w:val="left" w:pos="11"/>
        <w:tab w:val="num" w:pos="360"/>
      </w:tabs>
      <w:spacing w:before="80" w:after="80"/>
      <w:ind w:left="360" w:hanging="360"/>
    </w:pPr>
    <w:rPr>
      <w:rFonts w:ascii="Arial" w:hAnsi="Arial"/>
      <w:sz w:val="17"/>
      <w:szCs w:val="16"/>
      <w:lang w:val="en-US"/>
    </w:rPr>
  </w:style>
  <w:style w:type="character" w:styleId="SubtleEmphasis">
    <w:name w:val="Subtle Emphasis"/>
    <w:basedOn w:val="DefaultParagraphFont"/>
    <w:uiPriority w:val="19"/>
    <w:qFormat/>
    <w:rsid w:val="00EC72F8"/>
    <w:rPr>
      <w:i/>
      <w:iCs/>
      <w:color w:val="404040" w:themeColor="text1" w:themeTint="BF"/>
    </w:rPr>
  </w:style>
  <w:style w:type="paragraph" w:customStyle="1" w:styleId="DETTableTextFinancial">
    <w:name w:val="DET Table Text Financial"/>
    <w:basedOn w:val="Normal"/>
    <w:qFormat/>
    <w:rsid w:val="00024213"/>
    <w:pPr>
      <w:spacing w:before="60" w:after="60"/>
    </w:pPr>
    <w:rPr>
      <w:rFonts w:ascii="Arial" w:hAnsi="Arial" w:cs="Arial"/>
      <w:bCs/>
      <w:sz w:val="16"/>
      <w:szCs w:val="52"/>
      <w:lang w:val="en-AU"/>
    </w:rPr>
  </w:style>
  <w:style w:type="paragraph" w:customStyle="1" w:styleId="ESbullet3indent">
    <w:name w:val="ES_bullet 3 + indent"/>
    <w:basedOn w:val="ESbullet2"/>
    <w:qFormat/>
    <w:rsid w:val="00E01007"/>
    <w:pPr>
      <w:numPr>
        <w:numId w:val="15"/>
      </w:numPr>
      <w:ind w:left="1491" w:hanging="357"/>
    </w:pPr>
  </w:style>
  <w:style w:type="character" w:styleId="Hyperlink">
    <w:name w:val="Hyperlink"/>
    <w:basedOn w:val="DefaultParagraphFont"/>
    <w:uiPriority w:val="99"/>
    <w:unhideWhenUsed/>
    <w:rsid w:val="000B0B26"/>
    <w:rPr>
      <w:color w:val="000000" w:themeColor="text1"/>
      <w:u w:val="none"/>
    </w:rPr>
  </w:style>
  <w:style w:type="paragraph" w:customStyle="1" w:styleId="StyleESTablebodyItalic">
    <w:name w:val="Style ES_Table body + Italic"/>
    <w:basedOn w:val="Normal"/>
    <w:rsid w:val="008A58AF"/>
    <w:pPr>
      <w:spacing w:after="120"/>
    </w:pPr>
    <w:rPr>
      <w:rFonts w:ascii="Arial" w:eastAsiaTheme="minorEastAsia" w:hAnsi="Arial" w:cs="Arial"/>
      <w:i/>
      <w:iCs/>
      <w:sz w:val="16"/>
      <w:szCs w:val="18"/>
      <w:lang w:val="en-US"/>
    </w:rPr>
  </w:style>
  <w:style w:type="paragraph" w:customStyle="1" w:styleId="ESTableheadingwhite75">
    <w:name w:val="ES_Table heading white + 7.5"/>
    <w:basedOn w:val="ESTableheadingwhite"/>
    <w:qFormat/>
    <w:rsid w:val="00F97323"/>
    <w:rPr>
      <w:sz w:val="15"/>
    </w:rPr>
  </w:style>
  <w:style w:type="character" w:styleId="CommentReference">
    <w:name w:val="annotation reference"/>
    <w:hidden/>
    <w:unhideWhenUsed/>
    <w:rsid w:val="00D72BFE"/>
    <w:rPr>
      <w:sz w:val="16"/>
      <w:szCs w:val="16"/>
    </w:rPr>
  </w:style>
  <w:style w:type="paragraph" w:styleId="CommentText">
    <w:name w:val="annotation text"/>
    <w:basedOn w:val="Normal"/>
    <w:link w:val="CommentTextChar"/>
    <w:hidden/>
    <w:uiPriority w:val="99"/>
    <w:rsid w:val="00D72BFE"/>
    <w:pPr>
      <w:spacing w:after="90"/>
    </w:pPr>
    <w:rPr>
      <w:rFonts w:ascii="Arial" w:eastAsia="Times New Roman" w:hAnsi="Arial" w:cs="Times New Roman"/>
      <w:color w:val="000000" w:themeColor="text1"/>
      <w:sz w:val="20"/>
      <w:szCs w:val="20"/>
      <w:lang w:val="en-AU"/>
    </w:rPr>
  </w:style>
  <w:style w:type="character" w:customStyle="1" w:styleId="CommentTextChar">
    <w:name w:val="Comment Text Char"/>
    <w:basedOn w:val="DefaultParagraphFont"/>
    <w:link w:val="CommentText"/>
    <w:uiPriority w:val="99"/>
    <w:rsid w:val="00D72BFE"/>
    <w:rPr>
      <w:rFonts w:ascii="Arial" w:eastAsia="Times New Roman" w:hAnsi="Arial" w:cs="Times New Roman"/>
      <w:color w:val="000000" w:themeColor="text1"/>
      <w:sz w:val="20"/>
      <w:szCs w:val="20"/>
      <w:lang w:val="en-AU"/>
    </w:rPr>
  </w:style>
  <w:style w:type="paragraph" w:styleId="BalloonText">
    <w:name w:val="Balloon Text"/>
    <w:basedOn w:val="Normal"/>
    <w:link w:val="BalloonTextChar"/>
    <w:uiPriority w:val="99"/>
    <w:semiHidden/>
    <w:unhideWhenUsed/>
    <w:rsid w:val="00D72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FE"/>
    <w:rPr>
      <w:rFonts w:ascii="Segoe UI" w:hAnsi="Segoe UI" w:cs="Segoe UI"/>
      <w:sz w:val="18"/>
      <w:szCs w:val="18"/>
    </w:rPr>
  </w:style>
  <w:style w:type="paragraph" w:styleId="ListBullet">
    <w:name w:val="List Bullet"/>
    <w:basedOn w:val="Normal"/>
    <w:uiPriority w:val="99"/>
    <w:qFormat/>
    <w:rsid w:val="00E22643"/>
    <w:pPr>
      <w:tabs>
        <w:tab w:val="left" w:pos="170"/>
      </w:tabs>
      <w:spacing w:after="40" w:line="220" w:lineRule="atLeast"/>
      <w:ind w:left="142" w:hanging="142"/>
    </w:pPr>
    <w:rPr>
      <w:rFonts w:ascii="Arial" w:eastAsia="Times New Roman" w:hAnsi="Arial" w:cs="Times New Roman"/>
      <w:color w:val="000000" w:themeColor="text1"/>
      <w:sz w:val="19"/>
      <w:lang w:val="en-AU"/>
    </w:rPr>
  </w:style>
  <w:style w:type="paragraph" w:customStyle="1" w:styleId="DETTablecolumnheading">
    <w:name w:val="DET Table column heading"/>
    <w:basedOn w:val="Normal"/>
    <w:link w:val="DETTablecolumnheadingChar"/>
    <w:qFormat/>
    <w:rsid w:val="00E22643"/>
    <w:pPr>
      <w:keepNext/>
      <w:widowControl w:val="0"/>
      <w:tabs>
        <w:tab w:val="left" w:pos="205"/>
      </w:tabs>
      <w:autoSpaceDE w:val="0"/>
      <w:autoSpaceDN w:val="0"/>
      <w:adjustRightInd w:val="0"/>
      <w:spacing w:before="80" w:after="80"/>
      <w:jc w:val="center"/>
    </w:pPr>
    <w:rPr>
      <w:rFonts w:ascii="Arial" w:eastAsia="Times New Roman" w:hAnsi="Arial" w:cs="Arial"/>
      <w:b/>
      <w:bCs/>
      <w:color w:val="FFFFFF"/>
      <w:sz w:val="17"/>
      <w:szCs w:val="18"/>
      <w:lang w:val="en-AU"/>
    </w:rPr>
  </w:style>
  <w:style w:type="character" w:customStyle="1" w:styleId="DETTablecolumnheadingChar">
    <w:name w:val="DET Table column heading Char"/>
    <w:basedOn w:val="DefaultParagraphFont"/>
    <w:link w:val="DETTablecolumnheading"/>
    <w:rsid w:val="00E22643"/>
    <w:rPr>
      <w:rFonts w:ascii="Arial" w:eastAsia="Times New Roman" w:hAnsi="Arial" w:cs="Arial"/>
      <w:b/>
      <w:bCs/>
      <w:color w:val="FFFFFF"/>
      <w:sz w:val="17"/>
      <w:szCs w:val="18"/>
      <w:lang w:val="en-AU"/>
    </w:rPr>
  </w:style>
  <w:style w:type="paragraph" w:customStyle="1" w:styleId="DETHeading2">
    <w:name w:val="DET Heading 2"/>
    <w:basedOn w:val="Heading2"/>
    <w:next w:val="Normal"/>
    <w:link w:val="DETHeading2Char"/>
    <w:qFormat/>
    <w:rsid w:val="00E22643"/>
    <w:pPr>
      <w:keepLines w:val="0"/>
      <w:spacing w:before="430" w:after="90" w:line="360" w:lineRule="atLeast"/>
    </w:pPr>
    <w:rPr>
      <w:rFonts w:ascii="Arial" w:eastAsia="Times New Roman" w:hAnsi="Arial" w:cs="Arial"/>
      <w:bCs/>
      <w:iCs/>
      <w:color w:val="000000" w:themeColor="text1"/>
      <w:sz w:val="28"/>
      <w:szCs w:val="28"/>
    </w:rPr>
  </w:style>
  <w:style w:type="character" w:customStyle="1" w:styleId="DETHeading2Char">
    <w:name w:val="DET Heading 2 Char"/>
    <w:basedOn w:val="DefaultParagraphFont"/>
    <w:link w:val="DETHeading2"/>
    <w:rsid w:val="00E22643"/>
    <w:rPr>
      <w:rFonts w:ascii="Arial" w:eastAsia="Times New Roman" w:hAnsi="Arial" w:cs="Arial"/>
      <w:bCs/>
      <w:iCs/>
      <w:color w:val="000000" w:themeColor="text1"/>
      <w:sz w:val="28"/>
      <w:szCs w:val="28"/>
      <w:lang w:val="en-AU"/>
    </w:rPr>
  </w:style>
  <w:style w:type="paragraph" w:customStyle="1" w:styleId="DETFootnoteTextforobjectivestablesOHStable">
    <w:name w:val="DET Footnote Text for objectives tables &amp; OHS table"/>
    <w:basedOn w:val="Normal"/>
    <w:next w:val="Normal"/>
    <w:link w:val="DETFootnoteTextforobjectivestablesOHStableChar"/>
    <w:qFormat/>
    <w:rsid w:val="00E22643"/>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themeColor="text1"/>
      <w:sz w:val="15"/>
      <w:szCs w:val="16"/>
      <w:lang w:val="en-AU"/>
    </w:rPr>
  </w:style>
  <w:style w:type="character" w:customStyle="1" w:styleId="DETFootnoteTextforobjectivestablesOHStableChar">
    <w:name w:val="DET Footnote Text for objectives tables &amp; OHS table Char"/>
    <w:basedOn w:val="DefaultParagraphFont"/>
    <w:link w:val="DETFootnoteTextforobjectivestablesOHStable"/>
    <w:rsid w:val="00E22643"/>
    <w:rPr>
      <w:rFonts w:ascii="Arial Narrow" w:eastAsia="Times New Roman" w:hAnsi="Arial Narrow" w:cs="Arial"/>
      <w:color w:val="000000" w:themeColor="text1"/>
      <w:sz w:val="15"/>
      <w:szCs w:val="16"/>
      <w:lang w:val="en-AU"/>
    </w:rPr>
  </w:style>
  <w:style w:type="paragraph" w:customStyle="1" w:styleId="TableText">
    <w:name w:val="Table Text"/>
    <w:basedOn w:val="Normal"/>
    <w:uiPriority w:val="99"/>
    <w:qFormat/>
    <w:rsid w:val="00E22643"/>
    <w:pPr>
      <w:spacing w:before="30" w:after="30"/>
    </w:pPr>
    <w:rPr>
      <w:rFonts w:ascii="Arial" w:eastAsia="Times New Roman" w:hAnsi="Arial" w:cs="Arial"/>
      <w:sz w:val="17"/>
      <w:szCs w:val="18"/>
      <w:lang w:val="en-AU" w:eastAsia="en-AU"/>
    </w:rPr>
  </w:style>
  <w:style w:type="paragraph" w:customStyle="1" w:styleId="DETNormallistbullet">
    <w:name w:val="DET Normal list bullet"/>
    <w:basedOn w:val="Normal"/>
    <w:next w:val="Normal"/>
    <w:link w:val="DETNormallistbulletChar"/>
    <w:qFormat/>
    <w:rsid w:val="00E22643"/>
    <w:pPr>
      <w:numPr>
        <w:numId w:val="9"/>
      </w:numPr>
      <w:spacing w:after="90" w:line="220" w:lineRule="atLeast"/>
    </w:pPr>
    <w:rPr>
      <w:rFonts w:ascii="Arial" w:eastAsia="Times New Roman" w:hAnsi="Arial" w:cs="Times New Roman"/>
      <w:color w:val="000000" w:themeColor="text1"/>
      <w:sz w:val="19"/>
      <w:lang w:val="en-AU"/>
    </w:rPr>
  </w:style>
  <w:style w:type="character" w:customStyle="1" w:styleId="DETNormallistbulletChar">
    <w:name w:val="DET Normal list bullet Char"/>
    <w:basedOn w:val="DefaultParagraphFont"/>
    <w:link w:val="DETNormallistbullet"/>
    <w:rsid w:val="00E22643"/>
    <w:rPr>
      <w:rFonts w:ascii="Arial" w:eastAsia="Times New Roman" w:hAnsi="Arial" w:cs="Times New Roman"/>
      <w:color w:val="000000" w:themeColor="text1"/>
      <w:sz w:val="19"/>
      <w:lang w:val="en-AU"/>
    </w:rPr>
  </w:style>
  <w:style w:type="character" w:customStyle="1" w:styleId="DETTableheadingChar">
    <w:name w:val="DET Table heading Char"/>
    <w:basedOn w:val="DefaultParagraphFont"/>
    <w:link w:val="DETTableheading"/>
    <w:locked/>
    <w:rsid w:val="00E22643"/>
    <w:rPr>
      <w:rFonts w:ascii="Arial" w:hAnsi="Arial"/>
      <w:b/>
      <w:i/>
      <w:color w:val="000000"/>
      <w:sz w:val="17"/>
      <w:bdr w:val="none" w:sz="0" w:space="0" w:color="auto" w:frame="1"/>
    </w:rPr>
  </w:style>
  <w:style w:type="paragraph" w:customStyle="1" w:styleId="DETTableheading">
    <w:name w:val="DET Table heading"/>
    <w:basedOn w:val="Normal"/>
    <w:next w:val="Normal"/>
    <w:link w:val="DETTableheadingChar"/>
    <w:autoRedefine/>
    <w:qFormat/>
    <w:rsid w:val="00E22643"/>
    <w:pPr>
      <w:tabs>
        <w:tab w:val="left" w:pos="851"/>
      </w:tabs>
      <w:snapToGrid w:val="0"/>
      <w:spacing w:before="200" w:after="90" w:line="276" w:lineRule="auto"/>
    </w:pPr>
    <w:rPr>
      <w:rFonts w:ascii="Arial" w:hAnsi="Arial"/>
      <w:b/>
      <w:i/>
      <w:color w:val="000000"/>
      <w:sz w:val="17"/>
      <w:bdr w:val="none" w:sz="0" w:space="0" w:color="auto" w:frame="1"/>
    </w:rPr>
  </w:style>
  <w:style w:type="character" w:customStyle="1" w:styleId="CommentSubjectChar">
    <w:name w:val="Comment Subject Char"/>
    <w:basedOn w:val="CommentTextChar"/>
    <w:link w:val="CommentSubject"/>
    <w:uiPriority w:val="99"/>
    <w:semiHidden/>
    <w:rsid w:val="00E22643"/>
    <w:rPr>
      <w:rFonts w:ascii="Arial" w:eastAsia="Times New Roman" w:hAnsi="Arial" w:cs="Times New Roman"/>
      <w:b/>
      <w:bCs/>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E22643"/>
    <w:rPr>
      <w:b/>
      <w:bCs/>
    </w:rPr>
  </w:style>
  <w:style w:type="paragraph" w:customStyle="1" w:styleId="Tabletextcentred">
    <w:name w:val="Table text centred"/>
    <w:basedOn w:val="Normal"/>
    <w:uiPriority w:val="2"/>
    <w:rsid w:val="00E22643"/>
    <w:pPr>
      <w:jc w:val="center"/>
    </w:pPr>
    <w:rPr>
      <w:rFonts w:ascii="Calibri" w:eastAsia="Times New Roman" w:hAnsi="Calibri" w:cs="Times New Roman"/>
      <w:sz w:val="19"/>
      <w:szCs w:val="18"/>
      <w:lang w:val="en-AU"/>
    </w:rPr>
  </w:style>
  <w:style w:type="paragraph" w:styleId="Caption">
    <w:name w:val="caption"/>
    <w:basedOn w:val="Normal"/>
    <w:next w:val="Normal"/>
    <w:qFormat/>
    <w:rsid w:val="00B93F19"/>
    <w:pPr>
      <w:keepNext/>
      <w:spacing w:before="200" w:after="90" w:line="220" w:lineRule="atLeast"/>
    </w:pPr>
    <w:rPr>
      <w:rFonts w:ascii="Arial" w:eastAsia="Times New Roman" w:hAnsi="Arial" w:cs="Times New Roman"/>
      <w:b/>
      <w:i/>
      <w:color w:val="000000" w:themeColor="text1"/>
      <w:sz w:val="17"/>
      <w:lang w:val="en-AU"/>
    </w:rPr>
  </w:style>
  <w:style w:type="paragraph" w:customStyle="1" w:styleId="Captionaftertable">
    <w:name w:val="Caption after table"/>
    <w:basedOn w:val="Caption"/>
    <w:rsid w:val="00B93F19"/>
    <w:pPr>
      <w:spacing w:before="360"/>
    </w:pPr>
    <w:rPr>
      <w:iCs/>
      <w:szCs w:val="20"/>
    </w:rPr>
  </w:style>
  <w:style w:type="paragraph" w:customStyle="1" w:styleId="Tabletext0">
    <w:name w:val="Table text"/>
    <w:basedOn w:val="Normal"/>
    <w:link w:val="TabletextChar"/>
    <w:uiPriority w:val="5"/>
    <w:qFormat/>
    <w:rsid w:val="00B93F19"/>
    <w:pPr>
      <w:widowControl w:val="0"/>
      <w:tabs>
        <w:tab w:val="left" w:pos="205"/>
      </w:tabs>
      <w:autoSpaceDE w:val="0"/>
      <w:autoSpaceDN w:val="0"/>
      <w:adjustRightInd w:val="0"/>
      <w:spacing w:before="80" w:after="80"/>
    </w:pPr>
    <w:rPr>
      <w:rFonts w:ascii="Arial" w:eastAsia="Times New Roman" w:hAnsi="Arial" w:cs="Arial"/>
      <w:color w:val="000000" w:themeColor="text1"/>
      <w:sz w:val="17"/>
      <w:szCs w:val="18"/>
      <w:lang w:val="en-AU"/>
    </w:rPr>
  </w:style>
  <w:style w:type="character" w:customStyle="1" w:styleId="TabletextChar">
    <w:name w:val="Table text Char"/>
    <w:basedOn w:val="DefaultParagraphFont"/>
    <w:link w:val="Tabletext0"/>
    <w:uiPriority w:val="5"/>
    <w:rsid w:val="00B93F19"/>
    <w:rPr>
      <w:rFonts w:ascii="Arial" w:eastAsia="Times New Roman" w:hAnsi="Arial" w:cs="Arial"/>
      <w:color w:val="000000" w:themeColor="text1"/>
      <w:sz w:val="17"/>
      <w:szCs w:val="18"/>
      <w:lang w:val="en-AU"/>
    </w:rPr>
  </w:style>
  <w:style w:type="paragraph" w:customStyle="1" w:styleId="ESTableBody">
    <w:name w:val="ES_Table Body"/>
    <w:basedOn w:val="ESBodyText"/>
    <w:link w:val="ESTableBodyChar"/>
    <w:qFormat/>
    <w:rsid w:val="0047161F"/>
    <w:pPr>
      <w:spacing w:before="40" w:after="40" w:line="240" w:lineRule="auto"/>
    </w:pPr>
    <w:rPr>
      <w:sz w:val="16"/>
    </w:rPr>
  </w:style>
  <w:style w:type="paragraph" w:customStyle="1" w:styleId="DETTablerowheadingoutputstables">
    <w:name w:val="DET Table row heading outputs tables"/>
    <w:basedOn w:val="Normal"/>
    <w:link w:val="DETTablerowheadingoutputstablesChar"/>
    <w:qFormat/>
    <w:rsid w:val="003E45D7"/>
    <w:pPr>
      <w:keepNext/>
      <w:widowControl w:val="0"/>
      <w:tabs>
        <w:tab w:val="left" w:pos="205"/>
      </w:tabs>
      <w:autoSpaceDE w:val="0"/>
      <w:autoSpaceDN w:val="0"/>
      <w:adjustRightInd w:val="0"/>
      <w:spacing w:before="80" w:after="80"/>
    </w:pPr>
    <w:rPr>
      <w:rFonts w:ascii="Arial" w:eastAsia="Times New Roman" w:hAnsi="Arial" w:cs="Arial"/>
      <w:b/>
      <w:bCs/>
      <w:color w:val="FFFFFF" w:themeColor="background1"/>
      <w:sz w:val="16"/>
      <w:szCs w:val="15"/>
      <w:lang w:val="en-AU"/>
    </w:rPr>
  </w:style>
  <w:style w:type="character" w:customStyle="1" w:styleId="ESBodyTextChar">
    <w:name w:val="ES_Body Text Char"/>
    <w:basedOn w:val="DefaultParagraphFont"/>
    <w:link w:val="ESBodyText"/>
    <w:rsid w:val="0005015B"/>
    <w:rPr>
      <w:rFonts w:ascii="Arial" w:eastAsiaTheme="minorEastAsia" w:hAnsi="Arial" w:cs="Arial"/>
      <w:sz w:val="19"/>
      <w:szCs w:val="18"/>
      <w:lang w:val="en-US"/>
    </w:rPr>
  </w:style>
  <w:style w:type="character" w:customStyle="1" w:styleId="ESTableheadingwhiteChar">
    <w:name w:val="ES_Table heading white Char"/>
    <w:basedOn w:val="ESBodyTextChar"/>
    <w:link w:val="ESTableheadingwhite"/>
    <w:rsid w:val="0005015B"/>
    <w:rPr>
      <w:rFonts w:ascii="Arial" w:eastAsiaTheme="minorEastAsia" w:hAnsi="Arial" w:cs="Arial"/>
      <w:b/>
      <w:color w:val="FFFFFF" w:themeColor="background1"/>
      <w:sz w:val="19"/>
      <w:szCs w:val="18"/>
      <w:lang w:val="en-US"/>
    </w:rPr>
  </w:style>
  <w:style w:type="character" w:customStyle="1" w:styleId="ESTableheadingChar">
    <w:name w:val="ES_Table heading Char"/>
    <w:basedOn w:val="ESTableheadingwhiteChar"/>
    <w:link w:val="ESTableheading"/>
    <w:rsid w:val="009A0BAD"/>
    <w:rPr>
      <w:rFonts w:ascii="Arial" w:eastAsiaTheme="minorEastAsia" w:hAnsi="Arial" w:cs="Arial"/>
      <w:b/>
      <w:color w:val="000000" w:themeColor="text1"/>
      <w:spacing w:val="-4"/>
      <w:w w:val="98"/>
      <w:sz w:val="19"/>
      <w:szCs w:val="19"/>
      <w:lang w:val="en-US"/>
    </w:rPr>
  </w:style>
  <w:style w:type="character" w:customStyle="1" w:styleId="ESTableBodyChar">
    <w:name w:val="ES_Table Body Char"/>
    <w:basedOn w:val="ESTableheadingChar"/>
    <w:link w:val="ESTableBody"/>
    <w:rsid w:val="0047161F"/>
    <w:rPr>
      <w:rFonts w:ascii="Arial" w:eastAsiaTheme="minorEastAsia" w:hAnsi="Arial" w:cs="Arial"/>
      <w:b w:val="0"/>
      <w:color w:val="000000" w:themeColor="text1"/>
      <w:spacing w:val="-4"/>
      <w:w w:val="98"/>
      <w:sz w:val="16"/>
      <w:szCs w:val="18"/>
      <w:lang w:val="en-US"/>
    </w:rPr>
  </w:style>
  <w:style w:type="character" w:customStyle="1" w:styleId="DETTablerowheadingoutputstablesChar">
    <w:name w:val="DET Table row heading outputs tables Char"/>
    <w:basedOn w:val="DefaultParagraphFont"/>
    <w:link w:val="DETTablerowheadingoutputstables"/>
    <w:rsid w:val="003E45D7"/>
    <w:rPr>
      <w:rFonts w:ascii="Arial" w:eastAsia="Times New Roman" w:hAnsi="Arial" w:cs="Arial"/>
      <w:b/>
      <w:bCs/>
      <w:color w:val="FFFFFF" w:themeColor="background1"/>
      <w:sz w:val="16"/>
      <w:szCs w:val="15"/>
      <w:lang w:val="en-AU"/>
    </w:rPr>
  </w:style>
  <w:style w:type="paragraph" w:customStyle="1" w:styleId="FootnoteTextforobjectivestablesOHStable1">
    <w:name w:val="Footnote Text for objectives tables &amp; OHS table1"/>
    <w:basedOn w:val="Normal"/>
    <w:next w:val="Normal"/>
    <w:uiPriority w:val="99"/>
    <w:qFormat/>
    <w:rsid w:val="00666964"/>
    <w:pPr>
      <w:widowControl w:val="0"/>
      <w:tabs>
        <w:tab w:val="left" w:pos="170"/>
      </w:tabs>
      <w:autoSpaceDE w:val="0"/>
      <w:autoSpaceDN w:val="0"/>
      <w:adjustRightInd w:val="0"/>
      <w:spacing w:line="150" w:lineRule="exact"/>
      <w:ind w:left="170" w:hanging="170"/>
    </w:pPr>
    <w:rPr>
      <w:rFonts w:ascii="Arial Narrow" w:eastAsia="Times New Roman" w:hAnsi="Arial Narrow" w:cs="Times New Roman"/>
      <w:color w:val="000000" w:themeColor="text1"/>
      <w:sz w:val="15"/>
      <w:szCs w:val="20"/>
      <w:lang w:val="en-AU"/>
    </w:rPr>
  </w:style>
  <w:style w:type="character" w:customStyle="1" w:styleId="Heading5Char">
    <w:name w:val="Heading 5 Char"/>
    <w:basedOn w:val="DefaultParagraphFont"/>
    <w:link w:val="Heading5"/>
    <w:uiPriority w:val="9"/>
    <w:semiHidden/>
    <w:rsid w:val="00144A83"/>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144A83"/>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144A83"/>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144A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4A83"/>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144A83"/>
    <w:pPr>
      <w:numPr>
        <w:numId w:val="13"/>
      </w:numPr>
    </w:pPr>
  </w:style>
  <w:style w:type="paragraph" w:styleId="Revision">
    <w:name w:val="Revision"/>
    <w:hidden/>
    <w:uiPriority w:val="99"/>
    <w:semiHidden/>
    <w:rsid w:val="00761722"/>
  </w:style>
  <w:style w:type="paragraph" w:customStyle="1" w:styleId="StyleESBodyTextBoldAfter6pt">
    <w:name w:val="Style ES_Body Text + Bold After:  6 pt"/>
    <w:basedOn w:val="ESBodyText"/>
    <w:rsid w:val="0093546B"/>
    <w:rPr>
      <w:rFonts w:eastAsia="Times New Roman" w:cs="Times New Roman"/>
      <w:b/>
      <w:bCs/>
      <w:szCs w:val="20"/>
    </w:rPr>
  </w:style>
  <w:style w:type="paragraph" w:customStyle="1" w:styleId="StyleESBodyTextBoldAfter0pt">
    <w:name w:val="Style ES_Body Text + Bold After:  0 pt"/>
    <w:basedOn w:val="ESBodyText"/>
    <w:rsid w:val="0093546B"/>
    <w:pPr>
      <w:spacing w:line="240" w:lineRule="auto"/>
    </w:pPr>
    <w:rPr>
      <w:rFonts w:eastAsia="Times New Roman" w:cs="Times New Roman"/>
      <w:b/>
      <w:bCs/>
      <w:szCs w:val="20"/>
    </w:rPr>
  </w:style>
  <w:style w:type="paragraph" w:customStyle="1" w:styleId="StyleESBodyTextBoldAfter0pt1">
    <w:name w:val="Style ES_Body Text + Bold After:  0 pt1"/>
    <w:basedOn w:val="ESBodyText"/>
    <w:rsid w:val="00401DB0"/>
    <w:pPr>
      <w:spacing w:line="240" w:lineRule="auto"/>
    </w:pPr>
    <w:rPr>
      <w:rFonts w:eastAsia="Times New Roman" w:cs="Times New Roman"/>
      <w:b/>
      <w:bCs/>
      <w:szCs w:val="20"/>
    </w:rPr>
  </w:style>
  <w:style w:type="paragraph" w:customStyle="1" w:styleId="ESTablebody0">
    <w:name w:val="ES_Table body"/>
    <w:basedOn w:val="ESBodyText"/>
    <w:qFormat/>
    <w:rsid w:val="00282BB6"/>
    <w:pPr>
      <w:spacing w:before="120" w:line="240" w:lineRule="auto"/>
    </w:pPr>
    <w:rPr>
      <w:sz w:val="16"/>
    </w:rPr>
  </w:style>
  <w:style w:type="paragraph" w:customStyle="1" w:styleId="Tablecolumnheading">
    <w:name w:val="Table column heading"/>
    <w:basedOn w:val="Normal"/>
    <w:link w:val="TablecolumnheadingChar"/>
    <w:uiPriority w:val="99"/>
    <w:rsid w:val="00282BB6"/>
    <w:pPr>
      <w:keepNext/>
      <w:widowControl w:val="0"/>
      <w:tabs>
        <w:tab w:val="left" w:pos="205"/>
      </w:tabs>
      <w:autoSpaceDE w:val="0"/>
      <w:autoSpaceDN w:val="0"/>
      <w:adjustRightInd w:val="0"/>
      <w:spacing w:before="80" w:after="80"/>
    </w:pPr>
    <w:rPr>
      <w:rFonts w:ascii="Arial" w:eastAsia="Times New Roman" w:hAnsi="Arial" w:cs="Arial"/>
      <w:b/>
      <w:bCs/>
      <w:color w:val="FFFFFF"/>
      <w:sz w:val="17"/>
      <w:szCs w:val="18"/>
      <w:lang w:val="en-AU"/>
    </w:rPr>
  </w:style>
  <w:style w:type="character" w:customStyle="1" w:styleId="TablecolumnheadingChar">
    <w:name w:val="Table column heading Char"/>
    <w:basedOn w:val="DefaultParagraphFont"/>
    <w:link w:val="Tablecolumnheading"/>
    <w:uiPriority w:val="99"/>
    <w:rsid w:val="00282BB6"/>
    <w:rPr>
      <w:rFonts w:ascii="Arial" w:eastAsia="Times New Roman" w:hAnsi="Arial" w:cs="Arial"/>
      <w:b/>
      <w:bCs/>
      <w:color w:val="FFFFFF"/>
      <w:sz w:val="17"/>
      <w:szCs w:val="18"/>
      <w:lang w:val="en-AU"/>
    </w:rPr>
  </w:style>
  <w:style w:type="paragraph" w:customStyle="1" w:styleId="Tablerowheading">
    <w:name w:val="Table row heading"/>
    <w:basedOn w:val="Normal"/>
    <w:link w:val="TablerowheadingChar"/>
    <w:rsid w:val="00282BB6"/>
    <w:pPr>
      <w:widowControl w:val="0"/>
      <w:autoSpaceDE w:val="0"/>
      <w:autoSpaceDN w:val="0"/>
      <w:adjustRightInd w:val="0"/>
      <w:spacing w:before="90" w:after="90"/>
    </w:pPr>
    <w:rPr>
      <w:rFonts w:ascii="Arial" w:eastAsia="Times New Roman" w:hAnsi="Arial" w:cs="Arial"/>
      <w:b/>
      <w:color w:val="000000" w:themeColor="text1"/>
      <w:sz w:val="17"/>
      <w:szCs w:val="18"/>
      <w:lang w:val="en-AU"/>
    </w:rPr>
  </w:style>
  <w:style w:type="character" w:customStyle="1" w:styleId="TablerowheadingChar">
    <w:name w:val="Table row heading Char"/>
    <w:basedOn w:val="DefaultParagraphFont"/>
    <w:link w:val="Tablerowheading"/>
    <w:rsid w:val="00282BB6"/>
    <w:rPr>
      <w:rFonts w:ascii="Arial" w:eastAsia="Times New Roman" w:hAnsi="Arial" w:cs="Arial"/>
      <w:b/>
      <w:color w:val="000000" w:themeColor="text1"/>
      <w:sz w:val="17"/>
      <w:szCs w:val="18"/>
      <w:lang w:val="en-AU"/>
    </w:rPr>
  </w:style>
  <w:style w:type="paragraph" w:customStyle="1" w:styleId="Normalaftertable">
    <w:name w:val="Normal after table"/>
    <w:basedOn w:val="Normal"/>
    <w:next w:val="Normal"/>
    <w:link w:val="NormalaftertableChar"/>
    <w:qFormat/>
    <w:rsid w:val="003A1706"/>
    <w:pPr>
      <w:spacing w:before="240" w:after="90" w:line="220" w:lineRule="atLeast"/>
    </w:pPr>
    <w:rPr>
      <w:rFonts w:ascii="Arial" w:eastAsia="Times New Roman" w:hAnsi="Arial" w:cs="Times New Roman"/>
      <w:color w:val="000000" w:themeColor="text1"/>
      <w:sz w:val="19"/>
      <w:lang w:val="en-AU"/>
    </w:rPr>
  </w:style>
  <w:style w:type="character" w:customStyle="1" w:styleId="NormalaftertableChar">
    <w:name w:val="Normal after table Char"/>
    <w:basedOn w:val="DefaultParagraphFont"/>
    <w:link w:val="Normalaftertable"/>
    <w:rsid w:val="003A1706"/>
    <w:rPr>
      <w:rFonts w:ascii="Arial" w:eastAsia="Times New Roman" w:hAnsi="Arial" w:cs="Times New Roman"/>
      <w:color w:val="000000" w:themeColor="text1"/>
      <w:sz w:val="19"/>
      <w:lang w:val="en-AU"/>
    </w:rPr>
  </w:style>
  <w:style w:type="paragraph" w:customStyle="1" w:styleId="Tabletotal">
    <w:name w:val="Table total"/>
    <w:basedOn w:val="Normal"/>
    <w:link w:val="TabletotalChar"/>
    <w:qFormat/>
    <w:rsid w:val="00282BB6"/>
    <w:pPr>
      <w:widowControl w:val="0"/>
      <w:tabs>
        <w:tab w:val="left" w:pos="205"/>
      </w:tabs>
      <w:spacing w:before="40" w:after="200" w:line="220" w:lineRule="atLeast"/>
    </w:pPr>
    <w:rPr>
      <w:rFonts w:ascii="Arial" w:eastAsia="Times New Roman" w:hAnsi="Arial" w:cs="Arial"/>
      <w:b/>
      <w:color w:val="000000" w:themeColor="text1"/>
      <w:sz w:val="17"/>
      <w:lang w:val="en-AU"/>
    </w:rPr>
  </w:style>
  <w:style w:type="character" w:customStyle="1" w:styleId="TabletotalChar">
    <w:name w:val="Table total Char"/>
    <w:basedOn w:val="DefaultParagraphFont"/>
    <w:link w:val="Tabletotal"/>
    <w:rsid w:val="00282BB6"/>
    <w:rPr>
      <w:rFonts w:ascii="Arial" w:eastAsia="Times New Roman" w:hAnsi="Arial" w:cs="Arial"/>
      <w:b/>
      <w:color w:val="000000" w:themeColor="text1"/>
      <w:sz w:val="17"/>
      <w:lang w:val="en-AU"/>
    </w:rPr>
  </w:style>
  <w:style w:type="paragraph" w:customStyle="1" w:styleId="Tabletextnoindenttight">
    <w:name w:val="Table text no indent_tight"/>
    <w:basedOn w:val="Normal"/>
    <w:uiPriority w:val="99"/>
    <w:qFormat/>
    <w:rsid w:val="00282BB6"/>
    <w:pPr>
      <w:widowControl w:val="0"/>
      <w:tabs>
        <w:tab w:val="left" w:pos="205"/>
      </w:tabs>
      <w:autoSpaceDE w:val="0"/>
      <w:autoSpaceDN w:val="0"/>
      <w:adjustRightInd w:val="0"/>
      <w:spacing w:before="40" w:after="40"/>
    </w:pPr>
    <w:rPr>
      <w:rFonts w:ascii="Arial" w:eastAsia="Times New Roman" w:hAnsi="Arial" w:cs="Arial"/>
      <w:sz w:val="17"/>
      <w:szCs w:val="18"/>
      <w:lang w:val="en-AU" w:eastAsia="en-AU"/>
    </w:rPr>
  </w:style>
  <w:style w:type="paragraph" w:customStyle="1" w:styleId="Heading4notes">
    <w:name w:val="Heading 4 notes"/>
    <w:basedOn w:val="Heading4"/>
    <w:link w:val="Heading4notesChar"/>
    <w:qFormat/>
    <w:rsid w:val="00282BB6"/>
    <w:pPr>
      <w:keepLines w:val="0"/>
      <w:tabs>
        <w:tab w:val="left" w:pos="397"/>
      </w:tabs>
      <w:spacing w:before="200" w:after="90" w:line="220" w:lineRule="atLeast"/>
      <w:ind w:left="0" w:firstLine="0"/>
    </w:pPr>
    <w:rPr>
      <w:rFonts w:ascii="Arial" w:eastAsia="Times New Roman" w:hAnsi="Arial" w:cs="Times New Roman"/>
      <w:b/>
      <w:iCs w:val="0"/>
      <w:color w:val="000000" w:themeColor="text1"/>
      <w:sz w:val="19"/>
      <w:lang w:val="en-AU"/>
    </w:rPr>
  </w:style>
  <w:style w:type="character" w:customStyle="1" w:styleId="Heading4notesChar">
    <w:name w:val="Heading 4 notes Char"/>
    <w:basedOn w:val="DefaultParagraphFont"/>
    <w:link w:val="Heading4notes"/>
    <w:rsid w:val="00282BB6"/>
    <w:rPr>
      <w:rFonts w:ascii="Arial" w:eastAsia="Times New Roman" w:hAnsi="Arial" w:cs="Times New Roman"/>
      <w:b/>
      <w:i/>
      <w:color w:val="000000" w:themeColor="text1"/>
      <w:sz w:val="19"/>
      <w:lang w:val="en-AU"/>
    </w:rPr>
  </w:style>
  <w:style w:type="paragraph" w:customStyle="1" w:styleId="Indentedtext">
    <w:name w:val="Indented text"/>
    <w:basedOn w:val="Normal"/>
    <w:uiPriority w:val="99"/>
    <w:rsid w:val="00282BB6"/>
    <w:pPr>
      <w:spacing w:after="90" w:line="220" w:lineRule="atLeast"/>
      <w:ind w:left="170"/>
    </w:pPr>
    <w:rPr>
      <w:rFonts w:ascii="Arial" w:eastAsia="Times New Roman" w:hAnsi="Arial" w:cs="Times New Roman"/>
      <w:color w:val="000000" w:themeColor="text1"/>
      <w:sz w:val="19"/>
      <w:szCs w:val="20"/>
      <w:lang w:val="en-AU"/>
    </w:rPr>
  </w:style>
  <w:style w:type="paragraph" w:styleId="ListParagraph">
    <w:name w:val="List Paragraph"/>
    <w:basedOn w:val="Normal"/>
    <w:hidden/>
    <w:uiPriority w:val="34"/>
    <w:qFormat/>
    <w:rsid w:val="00282BB6"/>
    <w:pPr>
      <w:ind w:left="720"/>
      <w:contextualSpacing/>
    </w:pPr>
    <w:rPr>
      <w:rFonts w:ascii="Times New Roman" w:eastAsia="Times New Roman" w:hAnsi="Times New Roman" w:cs="Times New Roman"/>
      <w:szCs w:val="20"/>
      <w:lang w:val="en-AU"/>
    </w:rPr>
  </w:style>
  <w:style w:type="paragraph" w:customStyle="1" w:styleId="Heading2notes">
    <w:name w:val="Heading 2 notes"/>
    <w:basedOn w:val="Normal"/>
    <w:link w:val="Heading2notesChar"/>
    <w:uiPriority w:val="99"/>
    <w:qFormat/>
    <w:rsid w:val="00282BB6"/>
    <w:pPr>
      <w:keepNext/>
      <w:numPr>
        <w:numId w:val="33"/>
      </w:numPr>
      <w:tabs>
        <w:tab w:val="left" w:pos="1134"/>
      </w:tabs>
      <w:spacing w:before="430" w:after="90" w:line="360" w:lineRule="atLeast"/>
      <w:outlineLvl w:val="1"/>
    </w:pPr>
    <w:rPr>
      <w:rFonts w:ascii="Arial" w:eastAsia="Times New Roman" w:hAnsi="Arial" w:cs="Arial"/>
      <w:bCs/>
      <w:iCs/>
      <w:color w:val="000000" w:themeColor="text1"/>
      <w:sz w:val="28"/>
      <w:szCs w:val="28"/>
      <w:lang w:val="en-AU"/>
    </w:rPr>
  </w:style>
  <w:style w:type="character" w:customStyle="1" w:styleId="Heading2notesChar">
    <w:name w:val="Heading 2 notes Char"/>
    <w:basedOn w:val="DefaultParagraphFont"/>
    <w:link w:val="Heading2notes"/>
    <w:uiPriority w:val="99"/>
    <w:rsid w:val="00282BB6"/>
    <w:rPr>
      <w:rFonts w:ascii="Arial" w:eastAsia="Times New Roman" w:hAnsi="Arial" w:cs="Arial"/>
      <w:bCs/>
      <w:iCs/>
      <w:color w:val="000000" w:themeColor="text1"/>
      <w:sz w:val="28"/>
      <w:szCs w:val="28"/>
      <w:lang w:val="en-AU"/>
    </w:rPr>
  </w:style>
  <w:style w:type="numbering" w:styleId="111111">
    <w:name w:val="Outline List 2"/>
    <w:basedOn w:val="NoList"/>
    <w:uiPriority w:val="99"/>
    <w:semiHidden/>
    <w:unhideWhenUsed/>
    <w:rsid w:val="00282BB6"/>
    <w:pPr>
      <w:numPr>
        <w:numId w:val="36"/>
      </w:numPr>
    </w:pPr>
  </w:style>
  <w:style w:type="paragraph" w:customStyle="1" w:styleId="StyleESbullet1Left05cmFirstline0cm">
    <w:name w:val="Style ES_bullet 1 + Left:  0.5 cm First line:  0 cm"/>
    <w:basedOn w:val="ESbullet1"/>
    <w:rsid w:val="00282BB6"/>
    <w:pPr>
      <w:numPr>
        <w:numId w:val="14"/>
      </w:numPr>
      <w:ind w:left="284" w:firstLine="720"/>
    </w:pPr>
    <w:rPr>
      <w:rFonts w:eastAsia="Times New Roman" w:cs="Times New Roman"/>
      <w:szCs w:val="20"/>
    </w:rPr>
  </w:style>
  <w:style w:type="table" w:customStyle="1" w:styleId="TableGrid1">
    <w:name w:val="Table Grid1"/>
    <w:basedOn w:val="TableNormal"/>
    <w:next w:val="TableGrid"/>
    <w:hidden/>
    <w:uiPriority w:val="59"/>
    <w:rsid w:val="00282BB6"/>
    <w:pPr>
      <w:spacing w:after="90" w:line="22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indent">
    <w:name w:val="Table text no indent"/>
    <w:basedOn w:val="Normal"/>
    <w:uiPriority w:val="99"/>
    <w:qFormat/>
    <w:rsid w:val="00282BB6"/>
    <w:pPr>
      <w:widowControl w:val="0"/>
      <w:tabs>
        <w:tab w:val="left" w:pos="205"/>
      </w:tabs>
      <w:autoSpaceDE w:val="0"/>
      <w:autoSpaceDN w:val="0"/>
      <w:adjustRightInd w:val="0"/>
      <w:spacing w:before="80" w:after="80"/>
    </w:pPr>
    <w:rPr>
      <w:rFonts w:ascii="Arial" w:eastAsia="Times New Roman" w:hAnsi="Arial" w:cs="Arial"/>
      <w:sz w:val="17"/>
      <w:szCs w:val="18"/>
      <w:lang w:val="en-AU"/>
    </w:rPr>
  </w:style>
  <w:style w:type="paragraph" w:customStyle="1" w:styleId="TableTextFinancial">
    <w:name w:val="Table Text Financial"/>
    <w:basedOn w:val="Normal"/>
    <w:uiPriority w:val="99"/>
    <w:qFormat/>
    <w:rsid w:val="00282BB6"/>
    <w:pPr>
      <w:spacing w:after="60"/>
    </w:pPr>
    <w:rPr>
      <w:rFonts w:ascii="Arial" w:hAnsi="Arial" w:cs="Arial"/>
      <w:bCs/>
      <w:sz w:val="16"/>
      <w:szCs w:val="52"/>
      <w:lang w:val="en-AU"/>
    </w:rPr>
  </w:style>
  <w:style w:type="character" w:customStyle="1" w:styleId="CommentSubjectChar1">
    <w:name w:val="Comment Subject Char1"/>
    <w:basedOn w:val="CommentTextChar"/>
    <w:uiPriority w:val="99"/>
    <w:semiHidden/>
    <w:rsid w:val="00A61FF5"/>
    <w:rPr>
      <w:rFonts w:ascii="Arial" w:eastAsia="Times New Roman" w:hAnsi="Arial" w:cs="Times New Roman"/>
      <w:b/>
      <w:bCs/>
      <w:color w:val="000000" w:themeColor="text1"/>
      <w:sz w:val="20"/>
      <w:szCs w:val="20"/>
      <w:lang w:val="en-AU"/>
    </w:rPr>
  </w:style>
  <w:style w:type="paragraph" w:customStyle="1" w:styleId="ESnotehead">
    <w:name w:val="ES_note_head"/>
    <w:basedOn w:val="ESHeading1"/>
    <w:qFormat/>
    <w:rsid w:val="00C61FE7"/>
    <w:pPr>
      <w:keepNext/>
      <w:tabs>
        <w:tab w:val="left" w:pos="1134"/>
      </w:tabs>
    </w:pPr>
    <w:rPr>
      <w:b/>
      <w:spacing w:val="-6"/>
      <w:sz w:val="28"/>
      <w:szCs w:val="28"/>
    </w:rPr>
  </w:style>
  <w:style w:type="paragraph" w:styleId="TOC4">
    <w:name w:val="toc 4"/>
    <w:basedOn w:val="Normal"/>
    <w:next w:val="Normal"/>
    <w:autoRedefine/>
    <w:uiPriority w:val="39"/>
    <w:unhideWhenUsed/>
    <w:rsid w:val="0084276F"/>
    <w:pPr>
      <w:tabs>
        <w:tab w:val="right" w:leader="dot" w:pos="7363"/>
      </w:tabs>
      <w:ind w:left="284"/>
    </w:pPr>
    <w:rPr>
      <w:rFonts w:cstheme="minorHAnsi"/>
      <w:bCs/>
      <w:noProof/>
      <w:sz w:val="19"/>
      <w:szCs w:val="20"/>
      <w:lang w:val="en-AU"/>
    </w:rPr>
  </w:style>
  <w:style w:type="paragraph" w:styleId="TOC5">
    <w:name w:val="toc 5"/>
    <w:basedOn w:val="Normal"/>
    <w:next w:val="Normal"/>
    <w:autoRedefine/>
    <w:uiPriority w:val="39"/>
    <w:unhideWhenUsed/>
    <w:rsid w:val="00FB5F49"/>
    <w:pPr>
      <w:ind w:left="960"/>
    </w:pPr>
    <w:rPr>
      <w:rFonts w:cstheme="minorHAnsi"/>
      <w:sz w:val="20"/>
      <w:szCs w:val="20"/>
    </w:rPr>
  </w:style>
  <w:style w:type="paragraph" w:styleId="TOC6">
    <w:name w:val="toc 6"/>
    <w:basedOn w:val="Normal"/>
    <w:next w:val="Normal"/>
    <w:autoRedefine/>
    <w:uiPriority w:val="39"/>
    <w:unhideWhenUsed/>
    <w:rsid w:val="00FB5F49"/>
    <w:pPr>
      <w:ind w:left="1200"/>
    </w:pPr>
    <w:rPr>
      <w:rFonts w:cstheme="minorHAnsi"/>
      <w:sz w:val="20"/>
      <w:szCs w:val="20"/>
    </w:rPr>
  </w:style>
  <w:style w:type="paragraph" w:styleId="TOC7">
    <w:name w:val="toc 7"/>
    <w:basedOn w:val="Normal"/>
    <w:next w:val="Normal"/>
    <w:autoRedefine/>
    <w:uiPriority w:val="39"/>
    <w:unhideWhenUsed/>
    <w:rsid w:val="00FB5F49"/>
    <w:pPr>
      <w:ind w:left="1440"/>
    </w:pPr>
    <w:rPr>
      <w:rFonts w:cstheme="minorHAnsi"/>
      <w:sz w:val="20"/>
      <w:szCs w:val="20"/>
    </w:rPr>
  </w:style>
  <w:style w:type="paragraph" w:styleId="TOC8">
    <w:name w:val="toc 8"/>
    <w:basedOn w:val="Normal"/>
    <w:next w:val="Normal"/>
    <w:autoRedefine/>
    <w:uiPriority w:val="39"/>
    <w:unhideWhenUsed/>
    <w:rsid w:val="00FB5F49"/>
    <w:pPr>
      <w:ind w:left="1680"/>
    </w:pPr>
    <w:rPr>
      <w:rFonts w:cstheme="minorHAnsi"/>
      <w:sz w:val="20"/>
      <w:szCs w:val="20"/>
    </w:rPr>
  </w:style>
  <w:style w:type="paragraph" w:styleId="TOC9">
    <w:name w:val="toc 9"/>
    <w:basedOn w:val="Normal"/>
    <w:next w:val="Normal"/>
    <w:autoRedefine/>
    <w:uiPriority w:val="39"/>
    <w:unhideWhenUsed/>
    <w:rsid w:val="00FB5F49"/>
    <w:pPr>
      <w:ind w:left="1920"/>
    </w:pPr>
    <w:rPr>
      <w:rFonts w:cstheme="minorHAnsi"/>
      <w:sz w:val="20"/>
      <w:szCs w:val="20"/>
    </w:rPr>
  </w:style>
  <w:style w:type="paragraph" w:customStyle="1" w:styleId="ESfinnote">
    <w:name w:val="ES_fin_note"/>
    <w:basedOn w:val="Normalaftertable"/>
    <w:qFormat/>
    <w:rsid w:val="00EA79AD"/>
    <w:rPr>
      <w:sz w:val="15"/>
      <w:szCs w:val="15"/>
    </w:rPr>
  </w:style>
  <w:style w:type="paragraph" w:customStyle="1" w:styleId="ESTablebodytight">
    <w:name w:val="ES_Table body tight"/>
    <w:basedOn w:val="ESTablebody0"/>
    <w:qFormat/>
    <w:rsid w:val="003A1706"/>
    <w:pPr>
      <w:spacing w:before="60" w:after="60"/>
    </w:pPr>
  </w:style>
  <w:style w:type="paragraph" w:customStyle="1" w:styleId="ESTableheadingtight">
    <w:name w:val="ES_Table heading tight"/>
    <w:basedOn w:val="ESTableheading"/>
    <w:qFormat/>
    <w:rsid w:val="00CD5B5A"/>
    <w:pPr>
      <w:keepNext w:val="0"/>
      <w:spacing w:before="60" w:after="20"/>
    </w:pPr>
  </w:style>
  <w:style w:type="paragraph" w:customStyle="1" w:styleId="p1">
    <w:name w:val="p1"/>
    <w:basedOn w:val="Normal"/>
    <w:rsid w:val="003338CB"/>
    <w:rPr>
      <w:rFonts w:ascii="Helvetica Neue" w:hAnsi="Helvetica Neue" w:cs="Times New Roman"/>
      <w:color w:val="404040"/>
      <w:sz w:val="21"/>
      <w:szCs w:val="21"/>
      <w:lang w:eastAsia="en-GB"/>
    </w:rPr>
  </w:style>
  <w:style w:type="paragraph" w:customStyle="1" w:styleId="glossaryhead">
    <w:name w:val="glossary head"/>
    <w:basedOn w:val="ESBodyText"/>
    <w:qFormat/>
    <w:rsid w:val="005A61AC"/>
    <w:pPr>
      <w:keepNext/>
      <w:spacing w:before="240" w:after="40"/>
    </w:pPr>
    <w:rPr>
      <w:b/>
      <w:bCs/>
    </w:rPr>
  </w:style>
  <w:style w:type="paragraph" w:customStyle="1" w:styleId="TOC1front">
    <w:name w:val="TOC 1_front"/>
    <w:basedOn w:val="TOC1"/>
    <w:qFormat/>
    <w:rsid w:val="0091320F"/>
  </w:style>
  <w:style w:type="character" w:styleId="FollowedHyperlink">
    <w:name w:val="FollowedHyperlink"/>
    <w:basedOn w:val="DefaultParagraphFont"/>
    <w:uiPriority w:val="99"/>
    <w:semiHidden/>
    <w:unhideWhenUsed/>
    <w:rsid w:val="00E57EB2"/>
    <w:rPr>
      <w:color w:val="919191" w:themeColor="followedHyperlink"/>
      <w:u w:val="single"/>
    </w:rPr>
  </w:style>
  <w:style w:type="character" w:styleId="Strong">
    <w:name w:val="Strong"/>
    <w:basedOn w:val="DefaultParagraphFont"/>
    <w:uiPriority w:val="22"/>
    <w:qFormat/>
    <w:rsid w:val="0082058D"/>
    <w:rPr>
      <w:b/>
      <w:bCs/>
    </w:rPr>
  </w:style>
  <w:style w:type="paragraph" w:customStyle="1" w:styleId="Default">
    <w:name w:val="Default"/>
    <w:rsid w:val="002C7ABD"/>
    <w:pPr>
      <w:autoSpaceDE w:val="0"/>
      <w:autoSpaceDN w:val="0"/>
      <w:adjustRightInd w:val="0"/>
    </w:pPr>
    <w:rPr>
      <w:rFonts w:ascii="Arial" w:hAnsi="Arial" w:cs="Arial"/>
      <w:color w:val="000000"/>
      <w:lang w:val="en-AU"/>
    </w:rPr>
  </w:style>
  <w:style w:type="paragraph" w:styleId="PlainText">
    <w:name w:val="Plain Text"/>
    <w:basedOn w:val="Normal"/>
    <w:link w:val="PlainTextChar"/>
    <w:uiPriority w:val="99"/>
    <w:semiHidden/>
    <w:unhideWhenUsed/>
    <w:rsid w:val="001F6CB5"/>
    <w:rPr>
      <w:rFonts w:ascii="Calibri" w:hAnsi="Calibri"/>
      <w:sz w:val="22"/>
      <w:szCs w:val="21"/>
      <w:lang w:val="en-AU"/>
    </w:rPr>
  </w:style>
  <w:style w:type="character" w:customStyle="1" w:styleId="PlainTextChar">
    <w:name w:val="Plain Text Char"/>
    <w:basedOn w:val="DefaultParagraphFont"/>
    <w:link w:val="PlainText"/>
    <w:uiPriority w:val="99"/>
    <w:semiHidden/>
    <w:rsid w:val="001F6CB5"/>
    <w:rPr>
      <w:rFonts w:ascii="Calibri" w:hAnsi="Calibri"/>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5095">
      <w:bodyDiv w:val="1"/>
      <w:marLeft w:val="0"/>
      <w:marRight w:val="0"/>
      <w:marTop w:val="0"/>
      <w:marBottom w:val="0"/>
      <w:divBdr>
        <w:top w:val="none" w:sz="0" w:space="0" w:color="auto"/>
        <w:left w:val="none" w:sz="0" w:space="0" w:color="auto"/>
        <w:bottom w:val="none" w:sz="0" w:space="0" w:color="auto"/>
        <w:right w:val="none" w:sz="0" w:space="0" w:color="auto"/>
      </w:divBdr>
    </w:div>
    <w:div w:id="420031339">
      <w:bodyDiv w:val="1"/>
      <w:marLeft w:val="0"/>
      <w:marRight w:val="0"/>
      <w:marTop w:val="0"/>
      <w:marBottom w:val="0"/>
      <w:divBdr>
        <w:top w:val="none" w:sz="0" w:space="0" w:color="auto"/>
        <w:left w:val="none" w:sz="0" w:space="0" w:color="auto"/>
        <w:bottom w:val="none" w:sz="0" w:space="0" w:color="auto"/>
        <w:right w:val="none" w:sz="0" w:space="0" w:color="auto"/>
      </w:divBdr>
    </w:div>
    <w:div w:id="486095504">
      <w:bodyDiv w:val="1"/>
      <w:marLeft w:val="0"/>
      <w:marRight w:val="0"/>
      <w:marTop w:val="0"/>
      <w:marBottom w:val="0"/>
      <w:divBdr>
        <w:top w:val="none" w:sz="0" w:space="0" w:color="auto"/>
        <w:left w:val="none" w:sz="0" w:space="0" w:color="auto"/>
        <w:bottom w:val="none" w:sz="0" w:space="0" w:color="auto"/>
        <w:right w:val="none" w:sz="0" w:space="0" w:color="auto"/>
      </w:divBdr>
    </w:div>
    <w:div w:id="626399280">
      <w:bodyDiv w:val="1"/>
      <w:marLeft w:val="0"/>
      <w:marRight w:val="0"/>
      <w:marTop w:val="0"/>
      <w:marBottom w:val="0"/>
      <w:divBdr>
        <w:top w:val="none" w:sz="0" w:space="0" w:color="auto"/>
        <w:left w:val="none" w:sz="0" w:space="0" w:color="auto"/>
        <w:bottom w:val="none" w:sz="0" w:space="0" w:color="auto"/>
        <w:right w:val="none" w:sz="0" w:space="0" w:color="auto"/>
      </w:divBdr>
    </w:div>
    <w:div w:id="631591788">
      <w:bodyDiv w:val="1"/>
      <w:marLeft w:val="0"/>
      <w:marRight w:val="0"/>
      <w:marTop w:val="0"/>
      <w:marBottom w:val="0"/>
      <w:divBdr>
        <w:top w:val="none" w:sz="0" w:space="0" w:color="auto"/>
        <w:left w:val="none" w:sz="0" w:space="0" w:color="auto"/>
        <w:bottom w:val="none" w:sz="0" w:space="0" w:color="auto"/>
        <w:right w:val="none" w:sz="0" w:space="0" w:color="auto"/>
      </w:divBdr>
    </w:div>
    <w:div w:id="1006135580">
      <w:bodyDiv w:val="1"/>
      <w:marLeft w:val="0"/>
      <w:marRight w:val="0"/>
      <w:marTop w:val="0"/>
      <w:marBottom w:val="0"/>
      <w:divBdr>
        <w:top w:val="none" w:sz="0" w:space="0" w:color="auto"/>
        <w:left w:val="none" w:sz="0" w:space="0" w:color="auto"/>
        <w:bottom w:val="none" w:sz="0" w:space="0" w:color="auto"/>
        <w:right w:val="none" w:sz="0" w:space="0" w:color="auto"/>
      </w:divBdr>
    </w:div>
    <w:div w:id="1130780311">
      <w:bodyDiv w:val="1"/>
      <w:marLeft w:val="0"/>
      <w:marRight w:val="0"/>
      <w:marTop w:val="0"/>
      <w:marBottom w:val="0"/>
      <w:divBdr>
        <w:top w:val="none" w:sz="0" w:space="0" w:color="auto"/>
        <w:left w:val="none" w:sz="0" w:space="0" w:color="auto"/>
        <w:bottom w:val="none" w:sz="0" w:space="0" w:color="auto"/>
        <w:right w:val="none" w:sz="0" w:space="0" w:color="auto"/>
      </w:divBdr>
    </w:div>
    <w:div w:id="1250964737">
      <w:bodyDiv w:val="1"/>
      <w:marLeft w:val="0"/>
      <w:marRight w:val="0"/>
      <w:marTop w:val="0"/>
      <w:marBottom w:val="0"/>
      <w:divBdr>
        <w:top w:val="none" w:sz="0" w:space="0" w:color="auto"/>
        <w:left w:val="none" w:sz="0" w:space="0" w:color="auto"/>
        <w:bottom w:val="none" w:sz="0" w:space="0" w:color="auto"/>
        <w:right w:val="none" w:sz="0" w:space="0" w:color="auto"/>
      </w:divBdr>
    </w:div>
    <w:div w:id="1333876947">
      <w:bodyDiv w:val="1"/>
      <w:marLeft w:val="0"/>
      <w:marRight w:val="0"/>
      <w:marTop w:val="0"/>
      <w:marBottom w:val="0"/>
      <w:divBdr>
        <w:top w:val="none" w:sz="0" w:space="0" w:color="auto"/>
        <w:left w:val="none" w:sz="0" w:space="0" w:color="auto"/>
        <w:bottom w:val="none" w:sz="0" w:space="0" w:color="auto"/>
        <w:right w:val="none" w:sz="0" w:space="0" w:color="auto"/>
      </w:divBdr>
    </w:div>
    <w:div w:id="1505435227">
      <w:bodyDiv w:val="1"/>
      <w:marLeft w:val="0"/>
      <w:marRight w:val="0"/>
      <w:marTop w:val="0"/>
      <w:marBottom w:val="0"/>
      <w:divBdr>
        <w:top w:val="none" w:sz="0" w:space="0" w:color="auto"/>
        <w:left w:val="none" w:sz="0" w:space="0" w:color="auto"/>
        <w:bottom w:val="none" w:sz="0" w:space="0" w:color="auto"/>
        <w:right w:val="none" w:sz="0" w:space="0" w:color="auto"/>
      </w:divBdr>
    </w:div>
    <w:div w:id="1732727921">
      <w:bodyDiv w:val="1"/>
      <w:marLeft w:val="0"/>
      <w:marRight w:val="0"/>
      <w:marTop w:val="0"/>
      <w:marBottom w:val="0"/>
      <w:divBdr>
        <w:top w:val="none" w:sz="0" w:space="0" w:color="auto"/>
        <w:left w:val="none" w:sz="0" w:space="0" w:color="auto"/>
        <w:bottom w:val="none" w:sz="0" w:space="0" w:color="auto"/>
        <w:right w:val="none" w:sz="0" w:space="0" w:color="auto"/>
      </w:divBdr>
    </w:div>
    <w:div w:id="1738014739">
      <w:bodyDiv w:val="1"/>
      <w:marLeft w:val="0"/>
      <w:marRight w:val="0"/>
      <w:marTop w:val="0"/>
      <w:marBottom w:val="0"/>
      <w:divBdr>
        <w:top w:val="none" w:sz="0" w:space="0" w:color="auto"/>
        <w:left w:val="none" w:sz="0" w:space="0" w:color="auto"/>
        <w:bottom w:val="none" w:sz="0" w:space="0" w:color="auto"/>
        <w:right w:val="none" w:sz="0" w:space="0" w:color="auto"/>
      </w:divBdr>
    </w:div>
    <w:div w:id="1782601295">
      <w:bodyDiv w:val="1"/>
      <w:marLeft w:val="0"/>
      <w:marRight w:val="0"/>
      <w:marTop w:val="0"/>
      <w:marBottom w:val="0"/>
      <w:divBdr>
        <w:top w:val="none" w:sz="0" w:space="0" w:color="auto"/>
        <w:left w:val="none" w:sz="0" w:space="0" w:color="auto"/>
        <w:bottom w:val="none" w:sz="0" w:space="0" w:color="auto"/>
        <w:right w:val="none" w:sz="0" w:space="0" w:color="auto"/>
      </w:divBdr>
    </w:div>
    <w:div w:id="1798259320">
      <w:bodyDiv w:val="1"/>
      <w:marLeft w:val="0"/>
      <w:marRight w:val="0"/>
      <w:marTop w:val="0"/>
      <w:marBottom w:val="0"/>
      <w:divBdr>
        <w:top w:val="none" w:sz="0" w:space="0" w:color="auto"/>
        <w:left w:val="none" w:sz="0" w:space="0" w:color="auto"/>
        <w:bottom w:val="none" w:sz="0" w:space="0" w:color="auto"/>
        <w:right w:val="none" w:sz="0" w:space="0" w:color="auto"/>
      </w:divBdr>
    </w:div>
    <w:div w:id="1933464971">
      <w:bodyDiv w:val="1"/>
      <w:marLeft w:val="0"/>
      <w:marRight w:val="0"/>
      <w:marTop w:val="0"/>
      <w:marBottom w:val="0"/>
      <w:divBdr>
        <w:top w:val="none" w:sz="0" w:space="0" w:color="auto"/>
        <w:left w:val="none" w:sz="0" w:space="0" w:color="auto"/>
        <w:bottom w:val="none" w:sz="0" w:space="0" w:color="auto"/>
        <w:right w:val="none" w:sz="0" w:space="0" w:color="auto"/>
      </w:divBdr>
    </w:div>
    <w:div w:id="208229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yperlink" Target="mailto:kaplan.jonathan.e@edumail.vic.gov.au" TargetMode="External"/><Relationship Id="rId21" Type="http://schemas.openxmlformats.org/officeDocument/2006/relationships/image" Target="media/image3.emf"/><Relationship Id="rId34" Type="http://schemas.openxmlformats.org/officeDocument/2006/relationships/hyperlink" Target="mailto:vrqa@edumail.vic.gov.au" TargetMode="External"/><Relationship Id="rId42" Type="http://schemas.openxmlformats.org/officeDocument/2006/relationships/hyperlink" Target="http://www.education.vic.gov.au/about/working/Pages/fees.aspx"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2.png"/><Relationship Id="rId29" Type="http://schemas.openxmlformats.org/officeDocument/2006/relationships/hyperlink" Target="http://www.education.vic.gov.au"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mailto:foi@edumail.vic.gov.au" TargetMode="External"/><Relationship Id="rId37" Type="http://schemas.openxmlformats.org/officeDocument/2006/relationships/hyperlink" Target="mailto:meritboards@edumail.vic.gov.au" TargetMode="External"/><Relationship Id="rId40" Type="http://schemas.openxmlformats.org/officeDocument/2006/relationships/hyperlink" Target="http://www.ibac.vic.gov.au" TargetMode="External"/><Relationship Id="rId45" Type="http://schemas.openxmlformats.org/officeDocument/2006/relationships/hyperlink" Target="http://www.education.vic.gov.au/about/department/Pages/annualreports.aspx" TargetMode="Externa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footer" Target="footer6.xml"/><Relationship Id="rId36" Type="http://schemas.openxmlformats.org/officeDocument/2006/relationships/hyperlink" Target="mailto:vit@vit.vic.edu.au" TargetMode="External"/><Relationship Id="rId10" Type="http://schemas.openxmlformats.org/officeDocument/2006/relationships/webSettings" Target="webSettings.xml"/><Relationship Id="rId19" Type="http://schemas.openxmlformats.org/officeDocument/2006/relationships/hyperlink" Target="http://www.dtf.vic.gov.au/State-Budget/2016-17-State-Budget/State-Capital-Program" TargetMode="External"/><Relationship Id="rId31" Type="http://schemas.openxmlformats.org/officeDocument/2006/relationships/hyperlink" Target="http://www.education.vic.gov.au/about/working/Pages/foi2.aspx" TargetMode="External"/><Relationship Id="rId44" Type="http://schemas.openxmlformats.org/officeDocument/2006/relationships/hyperlink" Target="http://www.education.vic.gov.au/about/department/Pages/stratplan.aspx"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package" Target="embeddings/Microsoft_Visio_Drawing.vsdx"/><Relationship Id="rId27" Type="http://schemas.openxmlformats.org/officeDocument/2006/relationships/image" Target="media/image8.png"/><Relationship Id="rId30" Type="http://schemas.openxmlformats.org/officeDocument/2006/relationships/hyperlink" Target="http://www.procurement.vic.gov.au" TargetMode="External"/><Relationship Id="rId35" Type="http://schemas.openxmlformats.org/officeDocument/2006/relationships/hyperlink" Target="mailto:meritboards@edumail.vic.gov.au" TargetMode="External"/><Relationship Id="rId43" Type="http://schemas.openxmlformats.org/officeDocument/2006/relationships/hyperlink" Target="http://www.education.vic.gov.au" TargetMode="External"/><Relationship Id="rId8"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hyperlink" Target="mailto:vcaa.foi@edumail.vic.gov.au" TargetMode="External"/><Relationship Id="rId38" Type="http://schemas.openxmlformats.org/officeDocument/2006/relationships/hyperlink" Target="http://www.foi.vic.gov.au/" TargetMode="Externa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www.education.vic.gov.au/about/contact/Pages/protecteddisclosure.asp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205D763-BAF7-4E54-92E2-98760CCBAA68}"/>
</file>

<file path=customXml/itemProps2.xml><?xml version="1.0" encoding="utf-8"?>
<ds:datastoreItem xmlns:ds="http://schemas.openxmlformats.org/officeDocument/2006/customXml" ds:itemID="{A63C6379-D1AA-473E-B5DF-5A0A8FDCF27D}">
  <ds:schemaRefs>
    <ds:schemaRef ds:uri="http://schemas.microsoft.com/sharepoint/v3/contenttype/forms"/>
  </ds:schemaRefs>
</ds:datastoreItem>
</file>

<file path=customXml/itemProps3.xml><?xml version="1.0" encoding="utf-8"?>
<ds:datastoreItem xmlns:ds="http://schemas.openxmlformats.org/officeDocument/2006/customXml" ds:itemID="{7EAFBCDB-A9F6-4E19-9BD8-E95535027D0F}"/>
</file>

<file path=customXml/itemProps4.xml><?xml version="1.0" encoding="utf-8"?>
<ds:datastoreItem xmlns:ds="http://schemas.openxmlformats.org/officeDocument/2006/customXml" ds:itemID="{A63C6379-D1AA-473E-B5DF-5A0A8FDCF27D}"/>
</file>

<file path=customXml/itemProps5.xml><?xml version="1.0" encoding="utf-8"?>
<ds:datastoreItem xmlns:ds="http://schemas.openxmlformats.org/officeDocument/2006/customXml" ds:itemID="{0DE440E4-3B0E-43CC-BF12-D92A939A0CD7}"/>
</file>

<file path=docProps/app.xml><?xml version="1.0" encoding="utf-8"?>
<Properties xmlns="http://schemas.openxmlformats.org/officeDocument/2006/extended-properties" xmlns:vt="http://schemas.openxmlformats.org/officeDocument/2006/docPropsVTypes">
  <Template>Normal</Template>
  <TotalTime>1</TotalTime>
  <Pages>25</Pages>
  <Words>30659</Words>
  <Characters>174762</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Savell, Lavinia L</cp:lastModifiedBy>
  <cp:revision>2</cp:revision>
  <cp:lastPrinted>2017-09-06T23:09:00Z</cp:lastPrinted>
  <dcterms:created xsi:type="dcterms:W3CDTF">2017-09-19T06:28:00Z</dcterms:created>
  <dcterms:modified xsi:type="dcterms:W3CDTF">2017-09-19T06:28:00Z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8;#16.3.1 Final Reports|808f4d2b-2607-4914-b911-b0ef6d2b9dfe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{20d2cf50-674e-4286-85b4-ce0af1469a54}</vt:lpwstr>
  </property>
  <property fmtid="{D5CDD505-2E9C-101B-9397-08002B2CF9AE}" pid="8" name="RecordPoint_ActiveItemUniqueId">
    <vt:lpwstr>{089c01f1-0b7d-4cfe-907b-f287f18901da}</vt:lpwstr>
  </property>
  <property fmtid="{D5CDD505-2E9C-101B-9397-08002B2CF9AE}" pid="9" name="RecordPoint_ActiveItemWebId">
    <vt:lpwstr>{206da81c-c7bf-40f6-b8f7-381c3b8b112b}</vt:lpwstr>
  </property>
  <property fmtid="{D5CDD505-2E9C-101B-9397-08002B2CF9AE}" pid="10" name="RecordPoint_ActiveItemSiteId">
    <vt:lpwstr>{03dc8113-b288-4f44-a289-6e7ea0196235}</vt:lpwstr>
  </property>
  <property fmtid="{D5CDD505-2E9C-101B-9397-08002B2CF9AE}" pid="11" name="RecordPoint_RecordNumberSubmitted">
    <vt:lpwstr>R0001032953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2017-09-19T15:16:52.1373412+10:00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