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DDBB" w14:textId="4330A2F7" w:rsidR="002C03D5" w:rsidRDefault="008F0BE7" w:rsidP="002C03D5">
      <w:r>
        <w:rPr>
          <w:noProof/>
          <w:lang w:eastAsia="en-AU"/>
        </w:rPr>
        <w:drawing>
          <wp:anchor distT="0" distB="0" distL="114300" distR="114300" simplePos="0" relativeHeight="251658241" behindDoc="1" locked="0" layoutInCell="1" allowOverlap="1" wp14:anchorId="1E1343A1" wp14:editId="417DF746">
            <wp:simplePos x="0" y="0"/>
            <wp:positionH relativeFrom="column">
              <wp:posOffset>0</wp:posOffset>
            </wp:positionH>
            <wp:positionV relativeFrom="paragraph">
              <wp:posOffset>-4445</wp:posOffset>
            </wp:positionV>
            <wp:extent cx="7549515" cy="106781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D_SRC0187 PED Data Protocol2.jpg"/>
                    <pic:cNvPicPr/>
                  </pic:nvPicPr>
                  <pic:blipFill>
                    <a:blip r:embed="rId11">
                      <a:extLst>
                        <a:ext uri="{28A0092B-C50C-407E-A947-70E740481C1C}">
                          <a14:useLocalDpi xmlns:a14="http://schemas.microsoft.com/office/drawing/2010/main" val="0"/>
                        </a:ext>
                      </a:extLst>
                    </a:blip>
                    <a:stretch>
                      <a:fillRect/>
                    </a:stretch>
                  </pic:blipFill>
                  <pic:spPr>
                    <a:xfrm>
                      <a:off x="0" y="0"/>
                      <a:ext cx="7549515" cy="10678160"/>
                    </a:xfrm>
                    <a:prstGeom prst="rect">
                      <a:avLst/>
                    </a:prstGeom>
                  </pic:spPr>
                </pic:pic>
              </a:graphicData>
            </a:graphic>
            <wp14:sizeRelH relativeFrom="page">
              <wp14:pctWidth>0</wp14:pctWidth>
            </wp14:sizeRelH>
            <wp14:sizeRelV relativeFrom="page">
              <wp14:pctHeight>0</wp14:pctHeight>
            </wp14:sizeRelV>
          </wp:anchor>
        </w:drawing>
      </w:r>
    </w:p>
    <w:p w14:paraId="15A651AC" w14:textId="77777777" w:rsidR="001E0074" w:rsidRDefault="001E0074" w:rsidP="00110B5F">
      <w:pPr>
        <w:rPr>
          <w:b/>
          <w:sz w:val="24"/>
          <w:szCs w:val="24"/>
        </w:rPr>
      </w:pPr>
    </w:p>
    <w:p w14:paraId="11931678" w14:textId="47BF14B2" w:rsidR="002C03D5" w:rsidRDefault="002C03D5">
      <w:pPr>
        <w:rPr>
          <w:b/>
          <w:sz w:val="24"/>
          <w:szCs w:val="24"/>
        </w:rPr>
      </w:pPr>
    </w:p>
    <w:p w14:paraId="1192CC94" w14:textId="565F149C" w:rsidR="002C03D5" w:rsidRDefault="002C03D5">
      <w:pPr>
        <w:rPr>
          <w:b/>
          <w:sz w:val="24"/>
          <w:szCs w:val="24"/>
        </w:rPr>
      </w:pPr>
    </w:p>
    <w:p w14:paraId="15A651AE" w14:textId="18A683FC" w:rsidR="001E0074" w:rsidRDefault="00110B5F">
      <w:pPr>
        <w:rPr>
          <w:b/>
          <w:sz w:val="24"/>
          <w:szCs w:val="24"/>
          <w:highlight w:val="yellow"/>
        </w:rPr>
      </w:pPr>
      <w:r>
        <w:rPr>
          <w:b/>
          <w:noProof/>
          <w:sz w:val="24"/>
          <w:szCs w:val="24"/>
          <w:lang w:eastAsia="en-AU"/>
        </w:rPr>
        <mc:AlternateContent>
          <mc:Choice Requires="wps">
            <w:drawing>
              <wp:anchor distT="0" distB="0" distL="114300" distR="114300" simplePos="0" relativeHeight="251658240" behindDoc="0" locked="0" layoutInCell="1" allowOverlap="1" wp14:anchorId="4D92A036" wp14:editId="55DBA975">
                <wp:simplePos x="0" y="0"/>
                <wp:positionH relativeFrom="column">
                  <wp:posOffset>609600</wp:posOffset>
                </wp:positionH>
                <wp:positionV relativeFrom="paragraph">
                  <wp:posOffset>2964180</wp:posOffset>
                </wp:positionV>
                <wp:extent cx="5695950" cy="38195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695950" cy="3819525"/>
                        </a:xfrm>
                        <a:prstGeom prst="rect">
                          <a:avLst/>
                        </a:prstGeom>
                        <a:noFill/>
                        <a:ln w="6350">
                          <a:noFill/>
                        </a:ln>
                      </wps:spPr>
                      <wps:txbx>
                        <w:txbxContent>
                          <w:p w14:paraId="7AE932AA" w14:textId="00ECA485" w:rsidR="00BF6C98" w:rsidRPr="008F0BE7" w:rsidRDefault="00BF6C98" w:rsidP="00110B5F">
                            <w:pPr>
                              <w:rPr>
                                <w:rFonts w:ascii="Century Gothic" w:hAnsi="Century Gothic"/>
                                <w:b/>
                                <w:color w:val="0070C0"/>
                                <w:sz w:val="72"/>
                                <w:szCs w:val="72"/>
                              </w:rPr>
                            </w:pPr>
                            <w:r w:rsidRPr="008F0BE7">
                              <w:rPr>
                                <w:rFonts w:ascii="Century Gothic" w:hAnsi="Century Gothic"/>
                                <w:b/>
                                <w:color w:val="0070C0"/>
                                <w:sz w:val="72"/>
                                <w:szCs w:val="72"/>
                              </w:rPr>
                              <w:t>DATA PROTOCOL</w:t>
                            </w:r>
                          </w:p>
                          <w:p w14:paraId="5771E828" w14:textId="5C8A9ED7" w:rsidR="00BF6C98" w:rsidRDefault="00BF6C98" w:rsidP="00110B5F">
                            <w:pPr>
                              <w:rPr>
                                <w:rFonts w:ascii="Century Gothic" w:hAnsi="Century Gothic"/>
                                <w:b/>
                                <w:color w:val="0070C0"/>
                                <w:sz w:val="28"/>
                                <w:szCs w:val="28"/>
                              </w:rPr>
                            </w:pPr>
                          </w:p>
                          <w:p w14:paraId="4CFC8A74" w14:textId="77777777" w:rsidR="00A6302B" w:rsidRDefault="00A6302B" w:rsidP="00110B5F">
                            <w:pPr>
                              <w:rPr>
                                <w:rFonts w:ascii="Century Gothic" w:hAnsi="Century Gothic"/>
                                <w:b/>
                                <w:color w:val="0070C0"/>
                                <w:sz w:val="44"/>
                                <w:szCs w:val="44"/>
                              </w:rPr>
                            </w:pPr>
                          </w:p>
                          <w:p w14:paraId="0515BF54" w14:textId="77777777" w:rsidR="00BF6C98" w:rsidRPr="008F0BE7" w:rsidRDefault="00BF6C98" w:rsidP="00110B5F">
                            <w:pPr>
                              <w:rPr>
                                <w:rFonts w:ascii="Century Gothic" w:hAnsi="Century Gothic"/>
                                <w:b/>
                                <w:color w:val="0070C0"/>
                                <w:sz w:val="44"/>
                                <w:szCs w:val="44"/>
                              </w:rPr>
                            </w:pPr>
                          </w:p>
                          <w:p w14:paraId="47E41F65" w14:textId="77777777" w:rsidR="00BF6C98" w:rsidRPr="008F0BE7" w:rsidRDefault="00000000" w:rsidP="00110B5F">
                            <w:pPr>
                              <w:rPr>
                                <w:rFonts w:ascii="Century Gothic" w:hAnsi="Century Gothic"/>
                                <w:b/>
                                <w:color w:val="0070C0"/>
                                <w:sz w:val="20"/>
                                <w:szCs w:val="20"/>
                              </w:rPr>
                            </w:pPr>
                            <w:hyperlink r:id="rId12" w:history="1">
                              <w:r w:rsidR="00BF6C98" w:rsidRPr="008F0BE7">
                                <w:rPr>
                                  <w:rStyle w:val="Hyperlink"/>
                                  <w:rFonts w:ascii="Century Gothic" w:hAnsi="Century Gothic"/>
                                  <w:b/>
                                  <w:color w:val="0070C0"/>
                                  <w:sz w:val="20"/>
                                  <w:szCs w:val="20"/>
                                </w:rPr>
                                <w:t>http://www.education.vic.gov.au/about/contact/Pages/data.aspx</w:t>
                              </w:r>
                            </w:hyperlink>
                          </w:p>
                          <w:p w14:paraId="288D1016" w14:textId="77777777" w:rsidR="00BF6C98" w:rsidRPr="008F0BE7" w:rsidRDefault="00BF6C98" w:rsidP="00110B5F">
                            <w:pPr>
                              <w:rPr>
                                <w:rFonts w:ascii="Century Gothic" w:hAnsi="Century Gothic"/>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2A036" id="_x0000_t202" coordsize="21600,21600" o:spt="202" path="m,l,21600r21600,l21600,xe">
                <v:stroke joinstyle="miter"/>
                <v:path gradientshapeok="t" o:connecttype="rect"/>
              </v:shapetype>
              <v:shape id="Text Box 19" o:spid="_x0000_s1026" type="#_x0000_t202" style="position:absolute;margin-left:48pt;margin-top:233.4pt;width:448.5pt;height:30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" filled="f" stroked="f" strokeweight=".5pt">
                <v:textbox>
                  <w:txbxContent>
                    <w:p w14:paraId="7AE932AA" w14:textId="00ECA485" w:rsidR="00BF6C98" w:rsidRPr="008F0BE7" w:rsidRDefault="00BF6C98" w:rsidP="00110B5F">
                      <w:pPr>
                        <w:rPr>
                          <w:rFonts w:ascii="Century Gothic" w:hAnsi="Century Gothic"/>
                          <w:b/>
                          <w:color w:val="0070C0"/>
                          <w:sz w:val="72"/>
                          <w:szCs w:val="72"/>
                        </w:rPr>
                      </w:pPr>
                      <w:r w:rsidRPr="008F0BE7">
                        <w:rPr>
                          <w:rFonts w:ascii="Century Gothic" w:hAnsi="Century Gothic"/>
                          <w:b/>
                          <w:color w:val="0070C0"/>
                          <w:sz w:val="72"/>
                          <w:szCs w:val="72"/>
                        </w:rPr>
                        <w:t>DATA PROTOCOL</w:t>
                      </w:r>
                    </w:p>
                    <w:p w14:paraId="5771E828" w14:textId="5C8A9ED7" w:rsidR="00BF6C98" w:rsidRDefault="00BF6C98" w:rsidP="00110B5F">
                      <w:pPr>
                        <w:rPr>
                          <w:rFonts w:ascii="Century Gothic" w:hAnsi="Century Gothic"/>
                          <w:b/>
                          <w:color w:val="0070C0"/>
                          <w:sz w:val="28"/>
                          <w:szCs w:val="28"/>
                        </w:rPr>
                      </w:pPr>
                    </w:p>
                    <w:p w14:paraId="4CFC8A74" w14:textId="77777777" w:rsidR="00A6302B" w:rsidRDefault="00A6302B" w:rsidP="00110B5F">
                      <w:pPr>
                        <w:rPr>
                          <w:rFonts w:ascii="Century Gothic" w:hAnsi="Century Gothic"/>
                          <w:b/>
                          <w:color w:val="0070C0"/>
                          <w:sz w:val="44"/>
                          <w:szCs w:val="44"/>
                        </w:rPr>
                      </w:pPr>
                    </w:p>
                    <w:p w14:paraId="0515BF54" w14:textId="77777777" w:rsidR="00BF6C98" w:rsidRPr="008F0BE7" w:rsidRDefault="00BF6C98" w:rsidP="00110B5F">
                      <w:pPr>
                        <w:rPr>
                          <w:rFonts w:ascii="Century Gothic" w:hAnsi="Century Gothic"/>
                          <w:b/>
                          <w:color w:val="0070C0"/>
                          <w:sz w:val="44"/>
                          <w:szCs w:val="44"/>
                        </w:rPr>
                      </w:pPr>
                    </w:p>
                    <w:p w14:paraId="47E41F65" w14:textId="77777777" w:rsidR="00BF6C98" w:rsidRPr="008F0BE7" w:rsidRDefault="0088045E" w:rsidP="00110B5F">
                      <w:pPr>
                        <w:rPr>
                          <w:rFonts w:ascii="Century Gothic" w:hAnsi="Century Gothic"/>
                          <w:b/>
                          <w:color w:val="0070C0"/>
                          <w:sz w:val="20"/>
                          <w:szCs w:val="20"/>
                        </w:rPr>
                      </w:pPr>
                      <w:hyperlink r:id="rId14" w:history="1">
                        <w:r w:rsidR="00BF6C98" w:rsidRPr="008F0BE7">
                          <w:rPr>
                            <w:rStyle w:val="Hyperlink"/>
                            <w:rFonts w:ascii="Century Gothic" w:hAnsi="Century Gothic"/>
                            <w:b/>
                            <w:color w:val="0070C0"/>
                            <w:sz w:val="20"/>
                            <w:szCs w:val="20"/>
                          </w:rPr>
                          <w:t>http://www.education.vic.gov.au/about/contact/Pages/data.aspx</w:t>
                        </w:r>
                      </w:hyperlink>
                    </w:p>
                    <w:p w14:paraId="288D1016" w14:textId="77777777" w:rsidR="00BF6C98" w:rsidRPr="008F0BE7" w:rsidRDefault="00BF6C98" w:rsidP="00110B5F">
                      <w:pPr>
                        <w:rPr>
                          <w:rFonts w:ascii="Century Gothic" w:hAnsi="Century Gothic"/>
                          <w:color w:val="0070C0"/>
                        </w:rPr>
                      </w:pPr>
                    </w:p>
                  </w:txbxContent>
                </v:textbox>
              </v:shape>
            </w:pict>
          </mc:Fallback>
        </mc:AlternateContent>
      </w:r>
      <w:r w:rsidR="001E0074">
        <w:rPr>
          <w:b/>
          <w:sz w:val="24"/>
          <w:szCs w:val="24"/>
          <w:highlight w:val="yellow"/>
        </w:rPr>
        <w:br w:type="page"/>
      </w:r>
    </w:p>
    <w:p w14:paraId="7E4105AA" w14:textId="77777777" w:rsidR="00110B5F" w:rsidRDefault="00110B5F">
      <w:pPr>
        <w:rPr>
          <w:b/>
          <w:sz w:val="24"/>
          <w:szCs w:val="24"/>
        </w:rPr>
        <w:sectPr w:rsidR="00110B5F" w:rsidSect="00110B5F">
          <w:headerReference w:type="default" r:id="rId15"/>
          <w:footerReference w:type="default" r:id="rId16"/>
          <w:pgSz w:w="11906" w:h="16838"/>
          <w:pgMar w:top="22" w:right="0" w:bottom="0" w:left="0" w:header="708" w:footer="513" w:gutter="0"/>
          <w:cols w:space="708"/>
          <w:titlePg/>
          <w:docGrid w:linePitch="360"/>
        </w:sectPr>
      </w:pPr>
    </w:p>
    <w:p w14:paraId="485E3D52" w14:textId="77777777" w:rsidR="00110B5F" w:rsidRDefault="00110B5F">
      <w:pPr>
        <w:rPr>
          <w:b/>
          <w:sz w:val="24"/>
          <w:szCs w:val="24"/>
        </w:rPr>
        <w:sectPr w:rsidR="00110B5F" w:rsidSect="00110B5F">
          <w:pgSz w:w="11906" w:h="16838"/>
          <w:pgMar w:top="22" w:right="0" w:bottom="0" w:left="0" w:header="708" w:footer="513" w:gutter="0"/>
          <w:cols w:space="708"/>
          <w:titlePg/>
          <w:docGrid w:linePitch="360"/>
        </w:sectPr>
      </w:pPr>
    </w:p>
    <w:sdt>
      <w:sdtPr>
        <w:rPr>
          <w:rFonts w:eastAsiaTheme="minorHAnsi" w:cstheme="minorBidi"/>
          <w:b w:val="0"/>
          <w:color w:val="auto"/>
          <w:sz w:val="22"/>
          <w:szCs w:val="22"/>
          <w:lang w:val="en-AU"/>
        </w:rPr>
        <w:id w:val="362949930"/>
        <w:docPartObj>
          <w:docPartGallery w:val="Table of Contents"/>
          <w:docPartUnique/>
        </w:docPartObj>
      </w:sdtPr>
      <w:sdtEndPr>
        <w:rPr>
          <w:bCs/>
          <w:noProof/>
        </w:rPr>
      </w:sdtEndPr>
      <w:sdtContent>
        <w:p w14:paraId="0E47882E" w14:textId="77777777" w:rsidR="00A531A4" w:rsidRDefault="00A531A4" w:rsidP="00A531A4">
          <w:pPr>
            <w:pStyle w:val="TOCHeading"/>
            <w:numPr>
              <w:ilvl w:val="0"/>
              <w:numId w:val="0"/>
            </w:numPr>
            <w:ind w:left="360"/>
          </w:pPr>
        </w:p>
        <w:p w14:paraId="0A613262" w14:textId="4C6DB355" w:rsidR="00763328" w:rsidRDefault="00763328" w:rsidP="00A531A4">
          <w:pPr>
            <w:pStyle w:val="TOCHeading"/>
            <w:numPr>
              <w:ilvl w:val="0"/>
              <w:numId w:val="0"/>
            </w:numPr>
            <w:ind w:left="360" w:hanging="360"/>
          </w:pPr>
          <w:r>
            <w:t>Contents</w:t>
          </w:r>
          <w:r w:rsidR="00A531A4">
            <w:br/>
          </w:r>
        </w:p>
        <w:p w14:paraId="33ABE22A" w14:textId="14077C1D" w:rsidR="008656E9" w:rsidRDefault="00763328">
          <w:pPr>
            <w:pStyle w:val="TOC1"/>
            <w:rPr>
              <w:rFonts w:eastAsiaTheme="minorEastAsia"/>
              <w:noProof/>
              <w:lang w:eastAsia="en-AU"/>
            </w:rPr>
          </w:pPr>
          <w:r>
            <w:fldChar w:fldCharType="begin"/>
          </w:r>
          <w:r>
            <w:instrText xml:space="preserve"> TOC \o "1-3" \h \z \u </w:instrText>
          </w:r>
          <w:r>
            <w:fldChar w:fldCharType="separate"/>
          </w:r>
          <w:hyperlink w:anchor="_Toc93995246" w:history="1">
            <w:r w:rsidR="008656E9" w:rsidRPr="001368C8">
              <w:rPr>
                <w:rStyle w:val="Hyperlink"/>
                <w:noProof/>
              </w:rPr>
              <w:t>1.</w:t>
            </w:r>
            <w:r w:rsidR="008656E9">
              <w:rPr>
                <w:rFonts w:eastAsiaTheme="minorEastAsia"/>
                <w:noProof/>
                <w:lang w:eastAsia="en-AU"/>
              </w:rPr>
              <w:tab/>
            </w:r>
            <w:r w:rsidR="008656E9" w:rsidRPr="001368C8">
              <w:rPr>
                <w:rStyle w:val="Hyperlink"/>
                <w:noProof/>
              </w:rPr>
              <w:t>INTRODUCTION</w:t>
            </w:r>
            <w:r w:rsidR="008656E9">
              <w:rPr>
                <w:noProof/>
                <w:webHidden/>
              </w:rPr>
              <w:tab/>
            </w:r>
            <w:r w:rsidR="008656E9">
              <w:rPr>
                <w:noProof/>
                <w:webHidden/>
              </w:rPr>
              <w:fldChar w:fldCharType="begin"/>
            </w:r>
            <w:r w:rsidR="008656E9">
              <w:rPr>
                <w:noProof/>
                <w:webHidden/>
              </w:rPr>
              <w:instrText xml:space="preserve"> PAGEREF _Toc93995246 \h </w:instrText>
            </w:r>
            <w:r w:rsidR="008656E9">
              <w:rPr>
                <w:noProof/>
                <w:webHidden/>
              </w:rPr>
            </w:r>
            <w:r w:rsidR="008656E9">
              <w:rPr>
                <w:noProof/>
                <w:webHidden/>
              </w:rPr>
              <w:fldChar w:fldCharType="separate"/>
            </w:r>
            <w:r w:rsidR="008656E9">
              <w:rPr>
                <w:noProof/>
                <w:webHidden/>
              </w:rPr>
              <w:t>3</w:t>
            </w:r>
            <w:r w:rsidR="008656E9">
              <w:rPr>
                <w:noProof/>
                <w:webHidden/>
              </w:rPr>
              <w:fldChar w:fldCharType="end"/>
            </w:r>
          </w:hyperlink>
        </w:p>
        <w:p w14:paraId="641024CC" w14:textId="1B3C7515" w:rsidR="008656E9" w:rsidRDefault="00000000">
          <w:pPr>
            <w:pStyle w:val="TOC2"/>
            <w:tabs>
              <w:tab w:val="left" w:pos="880"/>
              <w:tab w:val="right" w:leader="dot" w:pos="9016"/>
            </w:tabs>
            <w:rPr>
              <w:rFonts w:eastAsiaTheme="minorEastAsia"/>
              <w:noProof/>
              <w:lang w:eastAsia="en-AU"/>
            </w:rPr>
          </w:pPr>
          <w:hyperlink w:anchor="_Toc93995247" w:history="1">
            <w:r w:rsidR="008656E9" w:rsidRPr="001368C8">
              <w:rPr>
                <w:rStyle w:val="Hyperlink"/>
                <w:noProof/>
              </w:rPr>
              <w:t>1.1</w:t>
            </w:r>
            <w:r w:rsidR="008656E9">
              <w:rPr>
                <w:rFonts w:eastAsiaTheme="minorEastAsia"/>
                <w:noProof/>
                <w:lang w:eastAsia="en-AU"/>
              </w:rPr>
              <w:tab/>
            </w:r>
            <w:r w:rsidR="008656E9" w:rsidRPr="001368C8">
              <w:rPr>
                <w:rStyle w:val="Hyperlink"/>
                <w:noProof/>
              </w:rPr>
              <w:t>Overview</w:t>
            </w:r>
            <w:r w:rsidR="008656E9">
              <w:rPr>
                <w:noProof/>
                <w:webHidden/>
              </w:rPr>
              <w:tab/>
            </w:r>
            <w:r w:rsidR="008656E9">
              <w:rPr>
                <w:noProof/>
                <w:webHidden/>
              </w:rPr>
              <w:fldChar w:fldCharType="begin"/>
            </w:r>
            <w:r w:rsidR="008656E9">
              <w:rPr>
                <w:noProof/>
                <w:webHidden/>
              </w:rPr>
              <w:instrText xml:space="preserve"> PAGEREF _Toc93995247 \h </w:instrText>
            </w:r>
            <w:r w:rsidR="008656E9">
              <w:rPr>
                <w:noProof/>
                <w:webHidden/>
              </w:rPr>
            </w:r>
            <w:r w:rsidR="008656E9">
              <w:rPr>
                <w:noProof/>
                <w:webHidden/>
              </w:rPr>
              <w:fldChar w:fldCharType="separate"/>
            </w:r>
            <w:r w:rsidR="008656E9">
              <w:rPr>
                <w:noProof/>
                <w:webHidden/>
              </w:rPr>
              <w:t>3</w:t>
            </w:r>
            <w:r w:rsidR="008656E9">
              <w:rPr>
                <w:noProof/>
                <w:webHidden/>
              </w:rPr>
              <w:fldChar w:fldCharType="end"/>
            </w:r>
          </w:hyperlink>
        </w:p>
        <w:p w14:paraId="5A608125" w14:textId="7BFE15EB" w:rsidR="008656E9" w:rsidRDefault="00000000">
          <w:pPr>
            <w:pStyle w:val="TOC2"/>
            <w:tabs>
              <w:tab w:val="left" w:pos="880"/>
              <w:tab w:val="right" w:leader="dot" w:pos="9016"/>
            </w:tabs>
            <w:rPr>
              <w:rFonts w:eastAsiaTheme="minorEastAsia"/>
              <w:noProof/>
              <w:lang w:eastAsia="en-AU"/>
            </w:rPr>
          </w:pPr>
          <w:hyperlink w:anchor="_Toc93995248" w:history="1">
            <w:r w:rsidR="008656E9" w:rsidRPr="001368C8">
              <w:rPr>
                <w:rStyle w:val="Hyperlink"/>
                <w:noProof/>
              </w:rPr>
              <w:t>1.2</w:t>
            </w:r>
            <w:r w:rsidR="008656E9">
              <w:rPr>
                <w:rFonts w:eastAsiaTheme="minorEastAsia"/>
                <w:noProof/>
                <w:lang w:eastAsia="en-AU"/>
              </w:rPr>
              <w:tab/>
            </w:r>
            <w:r w:rsidR="008656E9" w:rsidRPr="001368C8">
              <w:rPr>
                <w:rStyle w:val="Hyperlink"/>
                <w:noProof/>
              </w:rPr>
              <w:t>Data collections</w:t>
            </w:r>
            <w:r w:rsidR="008656E9">
              <w:rPr>
                <w:noProof/>
                <w:webHidden/>
              </w:rPr>
              <w:tab/>
            </w:r>
            <w:r w:rsidR="008656E9">
              <w:rPr>
                <w:noProof/>
                <w:webHidden/>
              </w:rPr>
              <w:fldChar w:fldCharType="begin"/>
            </w:r>
            <w:r w:rsidR="008656E9">
              <w:rPr>
                <w:noProof/>
                <w:webHidden/>
              </w:rPr>
              <w:instrText xml:space="preserve"> PAGEREF _Toc93995248 \h </w:instrText>
            </w:r>
            <w:r w:rsidR="008656E9">
              <w:rPr>
                <w:noProof/>
                <w:webHidden/>
              </w:rPr>
            </w:r>
            <w:r w:rsidR="008656E9">
              <w:rPr>
                <w:noProof/>
                <w:webHidden/>
              </w:rPr>
              <w:fldChar w:fldCharType="separate"/>
            </w:r>
            <w:r w:rsidR="008656E9">
              <w:rPr>
                <w:noProof/>
                <w:webHidden/>
              </w:rPr>
              <w:t>3</w:t>
            </w:r>
            <w:r w:rsidR="008656E9">
              <w:rPr>
                <w:noProof/>
                <w:webHidden/>
              </w:rPr>
              <w:fldChar w:fldCharType="end"/>
            </w:r>
          </w:hyperlink>
        </w:p>
        <w:p w14:paraId="43475CE1" w14:textId="4D5C3670" w:rsidR="008656E9" w:rsidRDefault="00000000">
          <w:pPr>
            <w:pStyle w:val="TOC2"/>
            <w:tabs>
              <w:tab w:val="left" w:pos="880"/>
              <w:tab w:val="right" w:leader="dot" w:pos="9016"/>
            </w:tabs>
            <w:rPr>
              <w:rFonts w:eastAsiaTheme="minorEastAsia"/>
              <w:noProof/>
              <w:lang w:eastAsia="en-AU"/>
            </w:rPr>
          </w:pPr>
          <w:hyperlink w:anchor="_Toc93995249" w:history="1">
            <w:r w:rsidR="008656E9" w:rsidRPr="001368C8">
              <w:rPr>
                <w:rStyle w:val="Hyperlink"/>
                <w:noProof/>
              </w:rPr>
              <w:t>1.3</w:t>
            </w:r>
            <w:r w:rsidR="008656E9">
              <w:rPr>
                <w:rFonts w:eastAsiaTheme="minorEastAsia"/>
                <w:noProof/>
                <w:lang w:eastAsia="en-AU"/>
              </w:rPr>
              <w:tab/>
            </w:r>
            <w:r w:rsidR="008656E9" w:rsidRPr="001368C8">
              <w:rPr>
                <w:rStyle w:val="Hyperlink"/>
                <w:noProof/>
              </w:rPr>
              <w:t>Purpose of the Data Protocol</w:t>
            </w:r>
            <w:r w:rsidR="008656E9">
              <w:rPr>
                <w:noProof/>
                <w:webHidden/>
              </w:rPr>
              <w:tab/>
            </w:r>
            <w:r w:rsidR="008656E9">
              <w:rPr>
                <w:noProof/>
                <w:webHidden/>
              </w:rPr>
              <w:fldChar w:fldCharType="begin"/>
            </w:r>
            <w:r w:rsidR="008656E9">
              <w:rPr>
                <w:noProof/>
                <w:webHidden/>
              </w:rPr>
              <w:instrText xml:space="preserve"> PAGEREF _Toc93995249 \h </w:instrText>
            </w:r>
            <w:r w:rsidR="008656E9">
              <w:rPr>
                <w:noProof/>
                <w:webHidden/>
              </w:rPr>
            </w:r>
            <w:r w:rsidR="008656E9">
              <w:rPr>
                <w:noProof/>
                <w:webHidden/>
              </w:rPr>
              <w:fldChar w:fldCharType="separate"/>
            </w:r>
            <w:r w:rsidR="008656E9">
              <w:rPr>
                <w:noProof/>
                <w:webHidden/>
              </w:rPr>
              <w:t>5</w:t>
            </w:r>
            <w:r w:rsidR="008656E9">
              <w:rPr>
                <w:noProof/>
                <w:webHidden/>
              </w:rPr>
              <w:fldChar w:fldCharType="end"/>
            </w:r>
          </w:hyperlink>
        </w:p>
        <w:p w14:paraId="23C307EB" w14:textId="6C4FF038" w:rsidR="008656E9" w:rsidRDefault="00000000">
          <w:pPr>
            <w:pStyle w:val="TOC1"/>
            <w:rPr>
              <w:rFonts w:eastAsiaTheme="minorEastAsia"/>
              <w:noProof/>
              <w:lang w:eastAsia="en-AU"/>
            </w:rPr>
          </w:pPr>
          <w:hyperlink w:anchor="_Toc93995250" w:history="1">
            <w:r w:rsidR="008656E9" w:rsidRPr="001368C8">
              <w:rPr>
                <w:rStyle w:val="Hyperlink"/>
                <w:noProof/>
              </w:rPr>
              <w:t>2</w:t>
            </w:r>
            <w:r w:rsidR="008656E9">
              <w:rPr>
                <w:rFonts w:eastAsiaTheme="minorEastAsia"/>
                <w:noProof/>
                <w:lang w:eastAsia="en-AU"/>
              </w:rPr>
              <w:tab/>
            </w:r>
            <w:r w:rsidR="008656E9" w:rsidRPr="001368C8">
              <w:rPr>
                <w:rStyle w:val="Hyperlink"/>
                <w:noProof/>
              </w:rPr>
              <w:t>GUIDING PRINCIPLES</w:t>
            </w:r>
            <w:r w:rsidR="008656E9">
              <w:rPr>
                <w:noProof/>
                <w:webHidden/>
              </w:rPr>
              <w:tab/>
            </w:r>
            <w:r w:rsidR="008656E9">
              <w:rPr>
                <w:noProof/>
                <w:webHidden/>
              </w:rPr>
              <w:fldChar w:fldCharType="begin"/>
            </w:r>
            <w:r w:rsidR="008656E9">
              <w:rPr>
                <w:noProof/>
                <w:webHidden/>
              </w:rPr>
              <w:instrText xml:space="preserve"> PAGEREF _Toc93995250 \h </w:instrText>
            </w:r>
            <w:r w:rsidR="008656E9">
              <w:rPr>
                <w:noProof/>
                <w:webHidden/>
              </w:rPr>
            </w:r>
            <w:r w:rsidR="008656E9">
              <w:rPr>
                <w:noProof/>
                <w:webHidden/>
              </w:rPr>
              <w:fldChar w:fldCharType="separate"/>
            </w:r>
            <w:r w:rsidR="008656E9">
              <w:rPr>
                <w:noProof/>
                <w:webHidden/>
              </w:rPr>
              <w:t>6</w:t>
            </w:r>
            <w:r w:rsidR="008656E9">
              <w:rPr>
                <w:noProof/>
                <w:webHidden/>
              </w:rPr>
              <w:fldChar w:fldCharType="end"/>
            </w:r>
          </w:hyperlink>
        </w:p>
        <w:p w14:paraId="0C139698" w14:textId="6AA874C9" w:rsidR="008656E9" w:rsidRDefault="00000000">
          <w:pPr>
            <w:pStyle w:val="TOC2"/>
            <w:tabs>
              <w:tab w:val="left" w:pos="880"/>
              <w:tab w:val="right" w:leader="dot" w:pos="9016"/>
            </w:tabs>
            <w:rPr>
              <w:rFonts w:eastAsiaTheme="minorEastAsia"/>
              <w:noProof/>
              <w:lang w:eastAsia="en-AU"/>
            </w:rPr>
          </w:pPr>
          <w:hyperlink w:anchor="_Toc93995251" w:history="1">
            <w:r w:rsidR="008656E9" w:rsidRPr="001368C8">
              <w:rPr>
                <w:rStyle w:val="Hyperlink"/>
                <w:noProof/>
              </w:rPr>
              <w:t>2.1</w:t>
            </w:r>
            <w:r w:rsidR="008656E9">
              <w:rPr>
                <w:rFonts w:eastAsiaTheme="minorEastAsia"/>
                <w:noProof/>
                <w:lang w:eastAsia="en-AU"/>
              </w:rPr>
              <w:tab/>
            </w:r>
            <w:r w:rsidR="008656E9" w:rsidRPr="001368C8">
              <w:rPr>
                <w:rStyle w:val="Hyperlink"/>
                <w:noProof/>
              </w:rPr>
              <w:t>Purpose</w:t>
            </w:r>
            <w:r w:rsidR="008656E9">
              <w:rPr>
                <w:noProof/>
                <w:webHidden/>
              </w:rPr>
              <w:tab/>
            </w:r>
            <w:r w:rsidR="008656E9">
              <w:rPr>
                <w:noProof/>
                <w:webHidden/>
              </w:rPr>
              <w:fldChar w:fldCharType="begin"/>
            </w:r>
            <w:r w:rsidR="008656E9">
              <w:rPr>
                <w:noProof/>
                <w:webHidden/>
              </w:rPr>
              <w:instrText xml:space="preserve"> PAGEREF _Toc93995251 \h </w:instrText>
            </w:r>
            <w:r w:rsidR="008656E9">
              <w:rPr>
                <w:noProof/>
                <w:webHidden/>
              </w:rPr>
            </w:r>
            <w:r w:rsidR="008656E9">
              <w:rPr>
                <w:noProof/>
                <w:webHidden/>
              </w:rPr>
              <w:fldChar w:fldCharType="separate"/>
            </w:r>
            <w:r w:rsidR="008656E9">
              <w:rPr>
                <w:noProof/>
                <w:webHidden/>
              </w:rPr>
              <w:t>6</w:t>
            </w:r>
            <w:r w:rsidR="008656E9">
              <w:rPr>
                <w:noProof/>
                <w:webHidden/>
              </w:rPr>
              <w:fldChar w:fldCharType="end"/>
            </w:r>
          </w:hyperlink>
        </w:p>
        <w:p w14:paraId="6684FEFD" w14:textId="2973ED64" w:rsidR="008656E9" w:rsidRDefault="00000000">
          <w:pPr>
            <w:pStyle w:val="TOC2"/>
            <w:tabs>
              <w:tab w:val="left" w:pos="880"/>
              <w:tab w:val="right" w:leader="dot" w:pos="9016"/>
            </w:tabs>
            <w:rPr>
              <w:rFonts w:eastAsiaTheme="minorEastAsia"/>
              <w:noProof/>
              <w:lang w:eastAsia="en-AU"/>
            </w:rPr>
          </w:pPr>
          <w:hyperlink w:anchor="_Toc93995252" w:history="1">
            <w:r w:rsidR="008656E9" w:rsidRPr="001368C8">
              <w:rPr>
                <w:rStyle w:val="Hyperlink"/>
                <w:noProof/>
              </w:rPr>
              <w:t>2.2</w:t>
            </w:r>
            <w:r w:rsidR="008656E9">
              <w:rPr>
                <w:rFonts w:eastAsiaTheme="minorEastAsia"/>
                <w:noProof/>
                <w:lang w:eastAsia="en-AU"/>
              </w:rPr>
              <w:tab/>
            </w:r>
            <w:r w:rsidR="008656E9" w:rsidRPr="001368C8">
              <w:rPr>
                <w:rStyle w:val="Hyperlink"/>
                <w:noProof/>
              </w:rPr>
              <w:t>Personal information, privacy and privacy complaints</w:t>
            </w:r>
            <w:r w:rsidR="008656E9">
              <w:rPr>
                <w:noProof/>
                <w:webHidden/>
              </w:rPr>
              <w:tab/>
            </w:r>
            <w:r w:rsidR="008656E9">
              <w:rPr>
                <w:noProof/>
                <w:webHidden/>
              </w:rPr>
              <w:fldChar w:fldCharType="begin"/>
            </w:r>
            <w:r w:rsidR="008656E9">
              <w:rPr>
                <w:noProof/>
                <w:webHidden/>
              </w:rPr>
              <w:instrText xml:space="preserve"> PAGEREF _Toc93995252 \h </w:instrText>
            </w:r>
            <w:r w:rsidR="008656E9">
              <w:rPr>
                <w:noProof/>
                <w:webHidden/>
              </w:rPr>
            </w:r>
            <w:r w:rsidR="008656E9">
              <w:rPr>
                <w:noProof/>
                <w:webHidden/>
              </w:rPr>
              <w:fldChar w:fldCharType="separate"/>
            </w:r>
            <w:r w:rsidR="008656E9">
              <w:rPr>
                <w:noProof/>
                <w:webHidden/>
              </w:rPr>
              <w:t>6</w:t>
            </w:r>
            <w:r w:rsidR="008656E9">
              <w:rPr>
                <w:noProof/>
                <w:webHidden/>
              </w:rPr>
              <w:fldChar w:fldCharType="end"/>
            </w:r>
          </w:hyperlink>
        </w:p>
        <w:p w14:paraId="17370B7A" w14:textId="5C248C4B" w:rsidR="008656E9" w:rsidRDefault="00000000">
          <w:pPr>
            <w:pStyle w:val="TOC2"/>
            <w:tabs>
              <w:tab w:val="left" w:pos="880"/>
              <w:tab w:val="right" w:leader="dot" w:pos="9016"/>
            </w:tabs>
            <w:rPr>
              <w:rFonts w:eastAsiaTheme="minorEastAsia"/>
              <w:noProof/>
              <w:lang w:eastAsia="en-AU"/>
            </w:rPr>
          </w:pPr>
          <w:hyperlink w:anchor="_Toc93995253" w:history="1">
            <w:r w:rsidR="008656E9" w:rsidRPr="001368C8">
              <w:rPr>
                <w:rStyle w:val="Hyperlink"/>
                <w:noProof/>
              </w:rPr>
              <w:t>2.3</w:t>
            </w:r>
            <w:r w:rsidR="008656E9">
              <w:rPr>
                <w:rFonts w:eastAsiaTheme="minorEastAsia"/>
                <w:noProof/>
                <w:lang w:eastAsia="en-AU"/>
              </w:rPr>
              <w:tab/>
            </w:r>
            <w:r w:rsidR="008656E9" w:rsidRPr="001368C8">
              <w:rPr>
                <w:rStyle w:val="Hyperlink"/>
                <w:noProof/>
              </w:rPr>
              <w:t>Information sharing provisions</w:t>
            </w:r>
            <w:r w:rsidR="008656E9">
              <w:rPr>
                <w:noProof/>
                <w:webHidden/>
              </w:rPr>
              <w:tab/>
            </w:r>
            <w:r w:rsidR="008656E9">
              <w:rPr>
                <w:noProof/>
                <w:webHidden/>
              </w:rPr>
              <w:fldChar w:fldCharType="begin"/>
            </w:r>
            <w:r w:rsidR="008656E9">
              <w:rPr>
                <w:noProof/>
                <w:webHidden/>
              </w:rPr>
              <w:instrText xml:space="preserve"> PAGEREF _Toc93995253 \h </w:instrText>
            </w:r>
            <w:r w:rsidR="008656E9">
              <w:rPr>
                <w:noProof/>
                <w:webHidden/>
              </w:rPr>
            </w:r>
            <w:r w:rsidR="008656E9">
              <w:rPr>
                <w:noProof/>
                <w:webHidden/>
              </w:rPr>
              <w:fldChar w:fldCharType="separate"/>
            </w:r>
            <w:r w:rsidR="008656E9">
              <w:rPr>
                <w:noProof/>
                <w:webHidden/>
              </w:rPr>
              <w:t>9</w:t>
            </w:r>
            <w:r w:rsidR="008656E9">
              <w:rPr>
                <w:noProof/>
                <w:webHidden/>
              </w:rPr>
              <w:fldChar w:fldCharType="end"/>
            </w:r>
          </w:hyperlink>
        </w:p>
        <w:p w14:paraId="35BFF973" w14:textId="1F1566A0" w:rsidR="008656E9" w:rsidRDefault="00000000">
          <w:pPr>
            <w:pStyle w:val="TOC2"/>
            <w:tabs>
              <w:tab w:val="left" w:pos="880"/>
              <w:tab w:val="right" w:leader="dot" w:pos="9016"/>
            </w:tabs>
            <w:rPr>
              <w:rFonts w:eastAsiaTheme="minorEastAsia"/>
              <w:noProof/>
              <w:lang w:eastAsia="en-AU"/>
            </w:rPr>
          </w:pPr>
          <w:hyperlink w:anchor="_Toc93995254" w:history="1">
            <w:r w:rsidR="008656E9" w:rsidRPr="001368C8">
              <w:rPr>
                <w:rStyle w:val="Hyperlink"/>
                <w:noProof/>
              </w:rPr>
              <w:t>2.4</w:t>
            </w:r>
            <w:r w:rsidR="008656E9">
              <w:rPr>
                <w:rFonts w:eastAsiaTheme="minorEastAsia"/>
                <w:noProof/>
                <w:lang w:eastAsia="en-AU"/>
              </w:rPr>
              <w:tab/>
            </w:r>
            <w:r w:rsidR="008656E9" w:rsidRPr="001368C8">
              <w:rPr>
                <w:rStyle w:val="Hyperlink"/>
                <w:noProof/>
              </w:rPr>
              <w:t>Data security</w:t>
            </w:r>
            <w:r w:rsidR="008656E9">
              <w:rPr>
                <w:noProof/>
                <w:webHidden/>
              </w:rPr>
              <w:tab/>
            </w:r>
            <w:r w:rsidR="008656E9">
              <w:rPr>
                <w:noProof/>
                <w:webHidden/>
              </w:rPr>
              <w:fldChar w:fldCharType="begin"/>
            </w:r>
            <w:r w:rsidR="008656E9">
              <w:rPr>
                <w:noProof/>
                <w:webHidden/>
              </w:rPr>
              <w:instrText xml:space="preserve"> PAGEREF _Toc93995254 \h </w:instrText>
            </w:r>
            <w:r w:rsidR="008656E9">
              <w:rPr>
                <w:noProof/>
                <w:webHidden/>
              </w:rPr>
            </w:r>
            <w:r w:rsidR="008656E9">
              <w:rPr>
                <w:noProof/>
                <w:webHidden/>
              </w:rPr>
              <w:fldChar w:fldCharType="separate"/>
            </w:r>
            <w:r w:rsidR="008656E9">
              <w:rPr>
                <w:noProof/>
                <w:webHidden/>
              </w:rPr>
              <w:t>9</w:t>
            </w:r>
            <w:r w:rsidR="008656E9">
              <w:rPr>
                <w:noProof/>
                <w:webHidden/>
              </w:rPr>
              <w:fldChar w:fldCharType="end"/>
            </w:r>
          </w:hyperlink>
        </w:p>
        <w:p w14:paraId="20D1781C" w14:textId="38E710F0" w:rsidR="008656E9" w:rsidRDefault="00000000">
          <w:pPr>
            <w:pStyle w:val="TOC2"/>
            <w:tabs>
              <w:tab w:val="left" w:pos="880"/>
              <w:tab w:val="right" w:leader="dot" w:pos="9016"/>
            </w:tabs>
            <w:rPr>
              <w:rFonts w:eastAsiaTheme="minorEastAsia"/>
              <w:noProof/>
              <w:lang w:eastAsia="en-AU"/>
            </w:rPr>
          </w:pPr>
          <w:hyperlink w:anchor="_Toc93995255" w:history="1">
            <w:r w:rsidR="008656E9" w:rsidRPr="001368C8">
              <w:rPr>
                <w:rStyle w:val="Hyperlink"/>
                <w:noProof/>
              </w:rPr>
              <w:t>2.5</w:t>
            </w:r>
            <w:r w:rsidR="008656E9">
              <w:rPr>
                <w:rFonts w:eastAsiaTheme="minorEastAsia"/>
                <w:noProof/>
                <w:lang w:eastAsia="en-AU"/>
              </w:rPr>
              <w:tab/>
            </w:r>
            <w:r w:rsidR="008656E9" w:rsidRPr="001368C8">
              <w:rPr>
                <w:rStyle w:val="Hyperlink"/>
                <w:noProof/>
              </w:rPr>
              <w:t>Data quality</w:t>
            </w:r>
            <w:r w:rsidR="008656E9">
              <w:rPr>
                <w:noProof/>
                <w:webHidden/>
              </w:rPr>
              <w:tab/>
            </w:r>
            <w:r w:rsidR="008656E9">
              <w:rPr>
                <w:noProof/>
                <w:webHidden/>
              </w:rPr>
              <w:fldChar w:fldCharType="begin"/>
            </w:r>
            <w:r w:rsidR="008656E9">
              <w:rPr>
                <w:noProof/>
                <w:webHidden/>
              </w:rPr>
              <w:instrText xml:space="preserve"> PAGEREF _Toc93995255 \h </w:instrText>
            </w:r>
            <w:r w:rsidR="008656E9">
              <w:rPr>
                <w:noProof/>
                <w:webHidden/>
              </w:rPr>
            </w:r>
            <w:r w:rsidR="008656E9">
              <w:rPr>
                <w:noProof/>
                <w:webHidden/>
              </w:rPr>
              <w:fldChar w:fldCharType="separate"/>
            </w:r>
            <w:r w:rsidR="008656E9">
              <w:rPr>
                <w:noProof/>
                <w:webHidden/>
              </w:rPr>
              <w:t>10</w:t>
            </w:r>
            <w:r w:rsidR="008656E9">
              <w:rPr>
                <w:noProof/>
                <w:webHidden/>
              </w:rPr>
              <w:fldChar w:fldCharType="end"/>
            </w:r>
          </w:hyperlink>
        </w:p>
        <w:p w14:paraId="1EF9A104" w14:textId="05BF74C7" w:rsidR="008656E9" w:rsidRDefault="00000000">
          <w:pPr>
            <w:pStyle w:val="TOC2"/>
            <w:tabs>
              <w:tab w:val="left" w:pos="880"/>
              <w:tab w:val="right" w:leader="dot" w:pos="9016"/>
            </w:tabs>
            <w:rPr>
              <w:rFonts w:eastAsiaTheme="minorEastAsia"/>
              <w:noProof/>
              <w:lang w:eastAsia="en-AU"/>
            </w:rPr>
          </w:pPr>
          <w:hyperlink w:anchor="_Toc93995256" w:history="1">
            <w:r w:rsidR="008656E9" w:rsidRPr="001368C8">
              <w:rPr>
                <w:rStyle w:val="Hyperlink"/>
                <w:noProof/>
              </w:rPr>
              <w:t>2.6</w:t>
            </w:r>
            <w:r w:rsidR="008656E9">
              <w:rPr>
                <w:rFonts w:eastAsiaTheme="minorEastAsia"/>
                <w:noProof/>
                <w:lang w:eastAsia="en-AU"/>
              </w:rPr>
              <w:tab/>
            </w:r>
            <w:r w:rsidR="008656E9" w:rsidRPr="001368C8">
              <w:rPr>
                <w:rStyle w:val="Hyperlink"/>
                <w:noProof/>
              </w:rPr>
              <w:t>Accountability</w:t>
            </w:r>
            <w:r w:rsidR="008656E9">
              <w:rPr>
                <w:noProof/>
                <w:webHidden/>
              </w:rPr>
              <w:tab/>
            </w:r>
            <w:r w:rsidR="008656E9">
              <w:rPr>
                <w:noProof/>
                <w:webHidden/>
              </w:rPr>
              <w:fldChar w:fldCharType="begin"/>
            </w:r>
            <w:r w:rsidR="008656E9">
              <w:rPr>
                <w:noProof/>
                <w:webHidden/>
              </w:rPr>
              <w:instrText xml:space="preserve"> PAGEREF _Toc93995256 \h </w:instrText>
            </w:r>
            <w:r w:rsidR="008656E9">
              <w:rPr>
                <w:noProof/>
                <w:webHidden/>
              </w:rPr>
            </w:r>
            <w:r w:rsidR="008656E9">
              <w:rPr>
                <w:noProof/>
                <w:webHidden/>
              </w:rPr>
              <w:fldChar w:fldCharType="separate"/>
            </w:r>
            <w:r w:rsidR="008656E9">
              <w:rPr>
                <w:noProof/>
                <w:webHidden/>
              </w:rPr>
              <w:t>10</w:t>
            </w:r>
            <w:r w:rsidR="008656E9">
              <w:rPr>
                <w:noProof/>
                <w:webHidden/>
              </w:rPr>
              <w:fldChar w:fldCharType="end"/>
            </w:r>
          </w:hyperlink>
        </w:p>
        <w:p w14:paraId="69A2DDEF" w14:textId="707147B3" w:rsidR="008656E9" w:rsidRDefault="00000000">
          <w:pPr>
            <w:pStyle w:val="TOC2"/>
            <w:tabs>
              <w:tab w:val="left" w:pos="880"/>
              <w:tab w:val="right" w:leader="dot" w:pos="9016"/>
            </w:tabs>
            <w:rPr>
              <w:rFonts w:eastAsiaTheme="minorEastAsia"/>
              <w:noProof/>
              <w:lang w:eastAsia="en-AU"/>
            </w:rPr>
          </w:pPr>
          <w:hyperlink w:anchor="_Toc93995257" w:history="1">
            <w:r w:rsidR="008656E9" w:rsidRPr="001368C8">
              <w:rPr>
                <w:rStyle w:val="Hyperlink"/>
                <w:noProof/>
              </w:rPr>
              <w:t>2.7</w:t>
            </w:r>
            <w:r w:rsidR="008656E9">
              <w:rPr>
                <w:rFonts w:eastAsiaTheme="minorEastAsia"/>
                <w:noProof/>
                <w:lang w:eastAsia="en-AU"/>
              </w:rPr>
              <w:tab/>
            </w:r>
            <w:r w:rsidR="008656E9" w:rsidRPr="001368C8">
              <w:rPr>
                <w:rStyle w:val="Hyperlink"/>
                <w:noProof/>
              </w:rPr>
              <w:t>Ongoing review</w:t>
            </w:r>
            <w:r w:rsidR="008656E9">
              <w:rPr>
                <w:noProof/>
                <w:webHidden/>
              </w:rPr>
              <w:tab/>
            </w:r>
            <w:r w:rsidR="008656E9">
              <w:rPr>
                <w:noProof/>
                <w:webHidden/>
              </w:rPr>
              <w:fldChar w:fldCharType="begin"/>
            </w:r>
            <w:r w:rsidR="008656E9">
              <w:rPr>
                <w:noProof/>
                <w:webHidden/>
              </w:rPr>
              <w:instrText xml:space="preserve"> PAGEREF _Toc93995257 \h </w:instrText>
            </w:r>
            <w:r w:rsidR="008656E9">
              <w:rPr>
                <w:noProof/>
                <w:webHidden/>
              </w:rPr>
            </w:r>
            <w:r w:rsidR="008656E9">
              <w:rPr>
                <w:noProof/>
                <w:webHidden/>
              </w:rPr>
              <w:fldChar w:fldCharType="separate"/>
            </w:r>
            <w:r w:rsidR="008656E9">
              <w:rPr>
                <w:noProof/>
                <w:webHidden/>
              </w:rPr>
              <w:t>11</w:t>
            </w:r>
            <w:r w:rsidR="008656E9">
              <w:rPr>
                <w:noProof/>
                <w:webHidden/>
              </w:rPr>
              <w:fldChar w:fldCharType="end"/>
            </w:r>
          </w:hyperlink>
        </w:p>
        <w:p w14:paraId="2828FE9B" w14:textId="4A0E4897" w:rsidR="008656E9" w:rsidRDefault="00000000">
          <w:pPr>
            <w:pStyle w:val="TOC2"/>
            <w:tabs>
              <w:tab w:val="left" w:pos="880"/>
              <w:tab w:val="right" w:leader="dot" w:pos="9016"/>
            </w:tabs>
            <w:rPr>
              <w:rFonts w:eastAsiaTheme="minorEastAsia"/>
              <w:noProof/>
              <w:lang w:eastAsia="en-AU"/>
            </w:rPr>
          </w:pPr>
          <w:hyperlink w:anchor="_Toc93995258" w:history="1">
            <w:r w:rsidR="008656E9" w:rsidRPr="001368C8">
              <w:rPr>
                <w:rStyle w:val="Hyperlink"/>
                <w:noProof/>
              </w:rPr>
              <w:t>2.8</w:t>
            </w:r>
            <w:r w:rsidR="008656E9">
              <w:rPr>
                <w:rFonts w:eastAsiaTheme="minorEastAsia"/>
                <w:noProof/>
                <w:lang w:eastAsia="en-AU"/>
              </w:rPr>
              <w:tab/>
            </w:r>
            <w:r w:rsidR="008656E9" w:rsidRPr="001368C8">
              <w:rPr>
                <w:rStyle w:val="Hyperlink"/>
                <w:noProof/>
              </w:rPr>
              <w:t>Transparency</w:t>
            </w:r>
            <w:r w:rsidR="008656E9">
              <w:rPr>
                <w:noProof/>
                <w:webHidden/>
              </w:rPr>
              <w:tab/>
            </w:r>
            <w:r w:rsidR="008656E9">
              <w:rPr>
                <w:noProof/>
                <w:webHidden/>
              </w:rPr>
              <w:fldChar w:fldCharType="begin"/>
            </w:r>
            <w:r w:rsidR="008656E9">
              <w:rPr>
                <w:noProof/>
                <w:webHidden/>
              </w:rPr>
              <w:instrText xml:space="preserve"> PAGEREF _Toc93995258 \h </w:instrText>
            </w:r>
            <w:r w:rsidR="008656E9">
              <w:rPr>
                <w:noProof/>
                <w:webHidden/>
              </w:rPr>
            </w:r>
            <w:r w:rsidR="008656E9">
              <w:rPr>
                <w:noProof/>
                <w:webHidden/>
              </w:rPr>
              <w:fldChar w:fldCharType="separate"/>
            </w:r>
            <w:r w:rsidR="008656E9">
              <w:rPr>
                <w:noProof/>
                <w:webHidden/>
              </w:rPr>
              <w:t>11</w:t>
            </w:r>
            <w:r w:rsidR="008656E9">
              <w:rPr>
                <w:noProof/>
                <w:webHidden/>
              </w:rPr>
              <w:fldChar w:fldCharType="end"/>
            </w:r>
          </w:hyperlink>
        </w:p>
        <w:p w14:paraId="47BC3F8C" w14:textId="40EA5199" w:rsidR="008656E9" w:rsidRDefault="00000000">
          <w:pPr>
            <w:pStyle w:val="TOC1"/>
            <w:rPr>
              <w:rFonts w:eastAsiaTheme="minorEastAsia"/>
              <w:noProof/>
              <w:lang w:eastAsia="en-AU"/>
            </w:rPr>
          </w:pPr>
          <w:hyperlink w:anchor="_Toc93995259" w:history="1">
            <w:r w:rsidR="008656E9" w:rsidRPr="001368C8">
              <w:rPr>
                <w:rStyle w:val="Hyperlink"/>
                <w:noProof/>
              </w:rPr>
              <w:t>3</w:t>
            </w:r>
            <w:r w:rsidR="008656E9">
              <w:rPr>
                <w:rFonts w:eastAsiaTheme="minorEastAsia"/>
                <w:noProof/>
                <w:lang w:eastAsia="en-AU"/>
              </w:rPr>
              <w:tab/>
            </w:r>
            <w:r w:rsidR="008656E9" w:rsidRPr="001368C8">
              <w:rPr>
                <w:rStyle w:val="Hyperlink"/>
                <w:noProof/>
              </w:rPr>
              <w:t>ACCESS TO DET DATA</w:t>
            </w:r>
            <w:r w:rsidR="008656E9">
              <w:rPr>
                <w:noProof/>
                <w:webHidden/>
              </w:rPr>
              <w:tab/>
            </w:r>
            <w:r w:rsidR="008656E9">
              <w:rPr>
                <w:noProof/>
                <w:webHidden/>
              </w:rPr>
              <w:fldChar w:fldCharType="begin"/>
            </w:r>
            <w:r w:rsidR="008656E9">
              <w:rPr>
                <w:noProof/>
                <w:webHidden/>
              </w:rPr>
              <w:instrText xml:space="preserve"> PAGEREF _Toc93995259 \h </w:instrText>
            </w:r>
            <w:r w:rsidR="008656E9">
              <w:rPr>
                <w:noProof/>
                <w:webHidden/>
              </w:rPr>
            </w:r>
            <w:r w:rsidR="008656E9">
              <w:rPr>
                <w:noProof/>
                <w:webHidden/>
              </w:rPr>
              <w:fldChar w:fldCharType="separate"/>
            </w:r>
            <w:r w:rsidR="008656E9">
              <w:rPr>
                <w:noProof/>
                <w:webHidden/>
              </w:rPr>
              <w:t>11</w:t>
            </w:r>
            <w:r w:rsidR="008656E9">
              <w:rPr>
                <w:noProof/>
                <w:webHidden/>
              </w:rPr>
              <w:fldChar w:fldCharType="end"/>
            </w:r>
          </w:hyperlink>
        </w:p>
        <w:p w14:paraId="1BDEC364" w14:textId="47465B2B" w:rsidR="008656E9" w:rsidRDefault="00000000">
          <w:pPr>
            <w:pStyle w:val="TOC2"/>
            <w:tabs>
              <w:tab w:val="left" w:pos="880"/>
              <w:tab w:val="right" w:leader="dot" w:pos="9016"/>
            </w:tabs>
            <w:rPr>
              <w:rFonts w:eastAsiaTheme="minorEastAsia"/>
              <w:noProof/>
              <w:lang w:eastAsia="en-AU"/>
            </w:rPr>
          </w:pPr>
          <w:hyperlink w:anchor="_Toc93995260" w:history="1">
            <w:r w:rsidR="008656E9" w:rsidRPr="001368C8">
              <w:rPr>
                <w:rStyle w:val="Hyperlink"/>
                <w:noProof/>
              </w:rPr>
              <w:t>3.1</w:t>
            </w:r>
            <w:r w:rsidR="008656E9">
              <w:rPr>
                <w:rFonts w:eastAsiaTheme="minorEastAsia"/>
                <w:noProof/>
                <w:lang w:eastAsia="en-AU"/>
              </w:rPr>
              <w:tab/>
            </w:r>
            <w:r w:rsidR="008656E9" w:rsidRPr="001368C8">
              <w:rPr>
                <w:rStyle w:val="Hyperlink"/>
                <w:noProof/>
              </w:rPr>
              <w:t>Overview</w:t>
            </w:r>
            <w:r w:rsidR="008656E9">
              <w:rPr>
                <w:noProof/>
                <w:webHidden/>
              </w:rPr>
              <w:tab/>
            </w:r>
            <w:r w:rsidR="008656E9">
              <w:rPr>
                <w:noProof/>
                <w:webHidden/>
              </w:rPr>
              <w:fldChar w:fldCharType="begin"/>
            </w:r>
            <w:r w:rsidR="008656E9">
              <w:rPr>
                <w:noProof/>
                <w:webHidden/>
              </w:rPr>
              <w:instrText xml:space="preserve"> PAGEREF _Toc93995260 \h </w:instrText>
            </w:r>
            <w:r w:rsidR="008656E9">
              <w:rPr>
                <w:noProof/>
                <w:webHidden/>
              </w:rPr>
            </w:r>
            <w:r w:rsidR="008656E9">
              <w:rPr>
                <w:noProof/>
                <w:webHidden/>
              </w:rPr>
              <w:fldChar w:fldCharType="separate"/>
            </w:r>
            <w:r w:rsidR="008656E9">
              <w:rPr>
                <w:noProof/>
                <w:webHidden/>
              </w:rPr>
              <w:t>11</w:t>
            </w:r>
            <w:r w:rsidR="008656E9">
              <w:rPr>
                <w:noProof/>
                <w:webHidden/>
              </w:rPr>
              <w:fldChar w:fldCharType="end"/>
            </w:r>
          </w:hyperlink>
        </w:p>
        <w:p w14:paraId="4BFA8B86" w14:textId="7BD5CF43" w:rsidR="008656E9" w:rsidRDefault="00000000">
          <w:pPr>
            <w:pStyle w:val="TOC2"/>
            <w:tabs>
              <w:tab w:val="left" w:pos="880"/>
              <w:tab w:val="right" w:leader="dot" w:pos="9016"/>
            </w:tabs>
            <w:rPr>
              <w:rFonts w:eastAsiaTheme="minorEastAsia"/>
              <w:noProof/>
              <w:lang w:eastAsia="en-AU"/>
            </w:rPr>
          </w:pPr>
          <w:hyperlink w:anchor="_Toc93995261" w:history="1">
            <w:r w:rsidR="008656E9" w:rsidRPr="001368C8">
              <w:rPr>
                <w:rStyle w:val="Hyperlink"/>
                <w:noProof/>
              </w:rPr>
              <w:t>3.2</w:t>
            </w:r>
            <w:r w:rsidR="008656E9">
              <w:rPr>
                <w:rFonts w:eastAsiaTheme="minorEastAsia"/>
                <w:noProof/>
                <w:lang w:eastAsia="en-AU"/>
              </w:rPr>
              <w:tab/>
            </w:r>
            <w:r w:rsidR="008656E9" w:rsidRPr="001368C8">
              <w:rPr>
                <w:rStyle w:val="Hyperlink"/>
                <w:noProof/>
              </w:rPr>
              <w:t>Consideration of data requests</w:t>
            </w:r>
            <w:r w:rsidR="008656E9">
              <w:rPr>
                <w:noProof/>
                <w:webHidden/>
              </w:rPr>
              <w:tab/>
            </w:r>
            <w:r w:rsidR="008656E9">
              <w:rPr>
                <w:noProof/>
                <w:webHidden/>
              </w:rPr>
              <w:fldChar w:fldCharType="begin"/>
            </w:r>
            <w:r w:rsidR="008656E9">
              <w:rPr>
                <w:noProof/>
                <w:webHidden/>
              </w:rPr>
              <w:instrText xml:space="preserve"> PAGEREF _Toc93995261 \h </w:instrText>
            </w:r>
            <w:r w:rsidR="008656E9">
              <w:rPr>
                <w:noProof/>
                <w:webHidden/>
              </w:rPr>
            </w:r>
            <w:r w:rsidR="008656E9">
              <w:rPr>
                <w:noProof/>
                <w:webHidden/>
              </w:rPr>
              <w:fldChar w:fldCharType="separate"/>
            </w:r>
            <w:r w:rsidR="008656E9">
              <w:rPr>
                <w:noProof/>
                <w:webHidden/>
              </w:rPr>
              <w:t>13</w:t>
            </w:r>
            <w:r w:rsidR="008656E9">
              <w:rPr>
                <w:noProof/>
                <w:webHidden/>
              </w:rPr>
              <w:fldChar w:fldCharType="end"/>
            </w:r>
          </w:hyperlink>
        </w:p>
        <w:p w14:paraId="65C7765C" w14:textId="39937752" w:rsidR="008656E9" w:rsidRDefault="00000000">
          <w:pPr>
            <w:pStyle w:val="TOC2"/>
            <w:tabs>
              <w:tab w:val="left" w:pos="880"/>
              <w:tab w:val="right" w:leader="dot" w:pos="9016"/>
            </w:tabs>
            <w:rPr>
              <w:rFonts w:eastAsiaTheme="minorEastAsia"/>
              <w:noProof/>
              <w:lang w:eastAsia="en-AU"/>
            </w:rPr>
          </w:pPr>
          <w:hyperlink w:anchor="_Toc93995262" w:history="1">
            <w:r w:rsidR="008656E9" w:rsidRPr="001368C8">
              <w:rPr>
                <w:rStyle w:val="Hyperlink"/>
                <w:noProof/>
              </w:rPr>
              <w:t>3.3</w:t>
            </w:r>
            <w:r w:rsidR="008656E9">
              <w:rPr>
                <w:rFonts w:eastAsiaTheme="minorEastAsia"/>
                <w:noProof/>
                <w:lang w:eastAsia="en-AU"/>
              </w:rPr>
              <w:tab/>
            </w:r>
            <w:r w:rsidR="008656E9" w:rsidRPr="001368C8">
              <w:rPr>
                <w:rStyle w:val="Hyperlink"/>
                <w:noProof/>
              </w:rPr>
              <w:t>Disclosure requirements</w:t>
            </w:r>
            <w:r w:rsidR="008656E9">
              <w:rPr>
                <w:noProof/>
                <w:webHidden/>
              </w:rPr>
              <w:tab/>
            </w:r>
            <w:r w:rsidR="008656E9">
              <w:rPr>
                <w:noProof/>
                <w:webHidden/>
              </w:rPr>
              <w:fldChar w:fldCharType="begin"/>
            </w:r>
            <w:r w:rsidR="008656E9">
              <w:rPr>
                <w:noProof/>
                <w:webHidden/>
              </w:rPr>
              <w:instrText xml:space="preserve"> PAGEREF _Toc93995262 \h </w:instrText>
            </w:r>
            <w:r w:rsidR="008656E9">
              <w:rPr>
                <w:noProof/>
                <w:webHidden/>
              </w:rPr>
            </w:r>
            <w:r w:rsidR="008656E9">
              <w:rPr>
                <w:noProof/>
                <w:webHidden/>
              </w:rPr>
              <w:fldChar w:fldCharType="separate"/>
            </w:r>
            <w:r w:rsidR="008656E9">
              <w:rPr>
                <w:noProof/>
                <w:webHidden/>
              </w:rPr>
              <w:t>13</w:t>
            </w:r>
            <w:r w:rsidR="008656E9">
              <w:rPr>
                <w:noProof/>
                <w:webHidden/>
              </w:rPr>
              <w:fldChar w:fldCharType="end"/>
            </w:r>
          </w:hyperlink>
        </w:p>
        <w:p w14:paraId="301489BB" w14:textId="52EBF131" w:rsidR="008656E9" w:rsidRDefault="00000000">
          <w:pPr>
            <w:pStyle w:val="TOC2"/>
            <w:tabs>
              <w:tab w:val="left" w:pos="880"/>
              <w:tab w:val="right" w:leader="dot" w:pos="9016"/>
            </w:tabs>
            <w:rPr>
              <w:rFonts w:eastAsiaTheme="minorEastAsia"/>
              <w:noProof/>
              <w:lang w:eastAsia="en-AU"/>
            </w:rPr>
          </w:pPr>
          <w:hyperlink w:anchor="_Toc93995263" w:history="1">
            <w:r w:rsidR="008656E9" w:rsidRPr="001368C8">
              <w:rPr>
                <w:rStyle w:val="Hyperlink"/>
                <w:noProof/>
              </w:rPr>
              <w:t>3.4</w:t>
            </w:r>
            <w:r w:rsidR="008656E9">
              <w:rPr>
                <w:rFonts w:eastAsiaTheme="minorEastAsia"/>
                <w:noProof/>
                <w:lang w:eastAsia="en-AU"/>
              </w:rPr>
              <w:tab/>
            </w:r>
            <w:r w:rsidR="008656E9" w:rsidRPr="001368C8">
              <w:rPr>
                <w:rStyle w:val="Hyperlink"/>
                <w:noProof/>
              </w:rPr>
              <w:t>Breach of this Protocol</w:t>
            </w:r>
            <w:r w:rsidR="008656E9">
              <w:rPr>
                <w:noProof/>
                <w:webHidden/>
              </w:rPr>
              <w:tab/>
            </w:r>
            <w:r w:rsidR="008656E9">
              <w:rPr>
                <w:noProof/>
                <w:webHidden/>
              </w:rPr>
              <w:fldChar w:fldCharType="begin"/>
            </w:r>
            <w:r w:rsidR="008656E9">
              <w:rPr>
                <w:noProof/>
                <w:webHidden/>
              </w:rPr>
              <w:instrText xml:space="preserve"> PAGEREF _Toc93995263 \h </w:instrText>
            </w:r>
            <w:r w:rsidR="008656E9">
              <w:rPr>
                <w:noProof/>
                <w:webHidden/>
              </w:rPr>
            </w:r>
            <w:r w:rsidR="008656E9">
              <w:rPr>
                <w:noProof/>
                <w:webHidden/>
              </w:rPr>
              <w:fldChar w:fldCharType="separate"/>
            </w:r>
            <w:r w:rsidR="008656E9">
              <w:rPr>
                <w:noProof/>
                <w:webHidden/>
              </w:rPr>
              <w:t>14</w:t>
            </w:r>
            <w:r w:rsidR="008656E9">
              <w:rPr>
                <w:noProof/>
                <w:webHidden/>
              </w:rPr>
              <w:fldChar w:fldCharType="end"/>
            </w:r>
          </w:hyperlink>
        </w:p>
        <w:p w14:paraId="1EF48A66" w14:textId="534B7CEB" w:rsidR="008656E9" w:rsidRDefault="00000000">
          <w:pPr>
            <w:pStyle w:val="TOC2"/>
            <w:tabs>
              <w:tab w:val="left" w:pos="880"/>
              <w:tab w:val="right" w:leader="dot" w:pos="9016"/>
            </w:tabs>
            <w:rPr>
              <w:rFonts w:eastAsiaTheme="minorEastAsia"/>
              <w:noProof/>
              <w:lang w:eastAsia="en-AU"/>
            </w:rPr>
          </w:pPr>
          <w:hyperlink w:anchor="_Toc93995264" w:history="1">
            <w:r w:rsidR="008656E9" w:rsidRPr="001368C8">
              <w:rPr>
                <w:rStyle w:val="Hyperlink"/>
                <w:noProof/>
              </w:rPr>
              <w:t>3.5</w:t>
            </w:r>
            <w:r w:rsidR="008656E9">
              <w:rPr>
                <w:rFonts w:eastAsiaTheme="minorEastAsia"/>
                <w:noProof/>
                <w:lang w:eastAsia="en-AU"/>
              </w:rPr>
              <w:tab/>
            </w:r>
            <w:r w:rsidR="008656E9" w:rsidRPr="001368C8">
              <w:rPr>
                <w:rStyle w:val="Hyperlink"/>
                <w:noProof/>
              </w:rPr>
              <w:t>Process for requesting DET data</w:t>
            </w:r>
            <w:r w:rsidR="008656E9">
              <w:rPr>
                <w:noProof/>
                <w:webHidden/>
              </w:rPr>
              <w:tab/>
            </w:r>
            <w:r w:rsidR="008656E9">
              <w:rPr>
                <w:noProof/>
                <w:webHidden/>
              </w:rPr>
              <w:fldChar w:fldCharType="begin"/>
            </w:r>
            <w:r w:rsidR="008656E9">
              <w:rPr>
                <w:noProof/>
                <w:webHidden/>
              </w:rPr>
              <w:instrText xml:space="preserve"> PAGEREF _Toc93995264 \h </w:instrText>
            </w:r>
            <w:r w:rsidR="008656E9">
              <w:rPr>
                <w:noProof/>
                <w:webHidden/>
              </w:rPr>
            </w:r>
            <w:r w:rsidR="008656E9">
              <w:rPr>
                <w:noProof/>
                <w:webHidden/>
              </w:rPr>
              <w:fldChar w:fldCharType="separate"/>
            </w:r>
            <w:r w:rsidR="008656E9">
              <w:rPr>
                <w:noProof/>
                <w:webHidden/>
              </w:rPr>
              <w:t>14</w:t>
            </w:r>
            <w:r w:rsidR="008656E9">
              <w:rPr>
                <w:noProof/>
                <w:webHidden/>
              </w:rPr>
              <w:fldChar w:fldCharType="end"/>
            </w:r>
          </w:hyperlink>
        </w:p>
        <w:p w14:paraId="266E3F20" w14:textId="42132811" w:rsidR="008656E9" w:rsidRDefault="00000000">
          <w:pPr>
            <w:pStyle w:val="TOC2"/>
            <w:tabs>
              <w:tab w:val="left" w:pos="880"/>
              <w:tab w:val="right" w:leader="dot" w:pos="9016"/>
            </w:tabs>
            <w:rPr>
              <w:rFonts w:eastAsiaTheme="minorEastAsia"/>
              <w:noProof/>
              <w:lang w:eastAsia="en-AU"/>
            </w:rPr>
          </w:pPr>
          <w:hyperlink w:anchor="_Toc93995265" w:history="1">
            <w:r w:rsidR="008656E9" w:rsidRPr="001368C8">
              <w:rPr>
                <w:rStyle w:val="Hyperlink"/>
                <w:noProof/>
              </w:rPr>
              <w:t>3.6</w:t>
            </w:r>
            <w:r w:rsidR="008656E9">
              <w:rPr>
                <w:rFonts w:eastAsiaTheme="minorEastAsia"/>
                <w:noProof/>
                <w:lang w:eastAsia="en-AU"/>
              </w:rPr>
              <w:tab/>
            </w:r>
            <w:r w:rsidR="008656E9" w:rsidRPr="001368C8">
              <w:rPr>
                <w:rStyle w:val="Hyperlink"/>
                <w:noProof/>
              </w:rPr>
              <w:t>Fees and charges</w:t>
            </w:r>
            <w:r w:rsidR="008656E9">
              <w:rPr>
                <w:noProof/>
                <w:webHidden/>
              </w:rPr>
              <w:tab/>
            </w:r>
            <w:r w:rsidR="008656E9">
              <w:rPr>
                <w:noProof/>
                <w:webHidden/>
              </w:rPr>
              <w:fldChar w:fldCharType="begin"/>
            </w:r>
            <w:r w:rsidR="008656E9">
              <w:rPr>
                <w:noProof/>
                <w:webHidden/>
              </w:rPr>
              <w:instrText xml:space="preserve"> PAGEREF _Toc93995265 \h </w:instrText>
            </w:r>
            <w:r w:rsidR="008656E9">
              <w:rPr>
                <w:noProof/>
                <w:webHidden/>
              </w:rPr>
            </w:r>
            <w:r w:rsidR="008656E9">
              <w:rPr>
                <w:noProof/>
                <w:webHidden/>
              </w:rPr>
              <w:fldChar w:fldCharType="separate"/>
            </w:r>
            <w:r w:rsidR="008656E9">
              <w:rPr>
                <w:noProof/>
                <w:webHidden/>
              </w:rPr>
              <w:t>14</w:t>
            </w:r>
            <w:r w:rsidR="008656E9">
              <w:rPr>
                <w:noProof/>
                <w:webHidden/>
              </w:rPr>
              <w:fldChar w:fldCharType="end"/>
            </w:r>
          </w:hyperlink>
        </w:p>
        <w:p w14:paraId="6E7880D2" w14:textId="05AF6084" w:rsidR="008656E9" w:rsidRDefault="00000000">
          <w:pPr>
            <w:pStyle w:val="TOC1"/>
            <w:rPr>
              <w:rFonts w:eastAsiaTheme="minorEastAsia"/>
              <w:noProof/>
              <w:lang w:eastAsia="en-AU"/>
            </w:rPr>
          </w:pPr>
          <w:hyperlink w:anchor="_Toc93995266" w:history="1">
            <w:r w:rsidR="008656E9" w:rsidRPr="001368C8">
              <w:rPr>
                <w:rStyle w:val="Hyperlink"/>
                <w:noProof/>
              </w:rPr>
              <w:t>Appendix 1: Minimum required privacy and data security measures</w:t>
            </w:r>
            <w:r w:rsidR="008656E9">
              <w:rPr>
                <w:noProof/>
                <w:webHidden/>
              </w:rPr>
              <w:tab/>
            </w:r>
            <w:r w:rsidR="008656E9">
              <w:rPr>
                <w:noProof/>
                <w:webHidden/>
              </w:rPr>
              <w:fldChar w:fldCharType="begin"/>
            </w:r>
            <w:r w:rsidR="008656E9">
              <w:rPr>
                <w:noProof/>
                <w:webHidden/>
              </w:rPr>
              <w:instrText xml:space="preserve"> PAGEREF _Toc93995266 \h </w:instrText>
            </w:r>
            <w:r w:rsidR="008656E9">
              <w:rPr>
                <w:noProof/>
                <w:webHidden/>
              </w:rPr>
            </w:r>
            <w:r w:rsidR="008656E9">
              <w:rPr>
                <w:noProof/>
                <w:webHidden/>
              </w:rPr>
              <w:fldChar w:fldCharType="separate"/>
            </w:r>
            <w:r w:rsidR="008656E9">
              <w:rPr>
                <w:noProof/>
                <w:webHidden/>
              </w:rPr>
              <w:t>15</w:t>
            </w:r>
            <w:r w:rsidR="008656E9">
              <w:rPr>
                <w:noProof/>
                <w:webHidden/>
              </w:rPr>
              <w:fldChar w:fldCharType="end"/>
            </w:r>
          </w:hyperlink>
        </w:p>
        <w:p w14:paraId="4DD67F24" w14:textId="1FF2DC19" w:rsidR="00A531A4" w:rsidRDefault="00763328">
          <w:pPr>
            <w:rPr>
              <w:b/>
              <w:bCs/>
              <w:noProof/>
            </w:rPr>
          </w:pPr>
          <w:r>
            <w:rPr>
              <w:b/>
              <w:bCs/>
              <w:noProof/>
            </w:rPr>
            <w:fldChar w:fldCharType="end"/>
          </w:r>
        </w:p>
      </w:sdtContent>
    </w:sdt>
    <w:p w14:paraId="7ED7AF70" w14:textId="77777777" w:rsidR="00A531A4" w:rsidRDefault="00A531A4">
      <w:pPr>
        <w:rPr>
          <w:b/>
          <w:bCs/>
          <w:noProof/>
        </w:rPr>
      </w:pPr>
      <w:r>
        <w:rPr>
          <w:b/>
          <w:bCs/>
          <w:noProof/>
        </w:rPr>
        <w:br w:type="page"/>
      </w:r>
    </w:p>
    <w:p w14:paraId="07E7AE5A" w14:textId="77777777" w:rsidR="00763328" w:rsidRPr="00763328" w:rsidRDefault="00763328" w:rsidP="00A12602">
      <w:pPr>
        <w:pStyle w:val="Heading1"/>
      </w:pPr>
      <w:bookmarkStart w:id="0" w:name="_Toc93995246"/>
      <w:r w:rsidRPr="00763328">
        <w:lastRenderedPageBreak/>
        <w:t>INTRODUCTION</w:t>
      </w:r>
      <w:bookmarkEnd w:id="0"/>
    </w:p>
    <w:p w14:paraId="6A8FE695" w14:textId="77777777" w:rsidR="00763328" w:rsidRPr="00CD7EFA" w:rsidRDefault="00763328" w:rsidP="00CD7EFA">
      <w:pPr>
        <w:pStyle w:val="Heading2"/>
      </w:pPr>
      <w:bookmarkStart w:id="1" w:name="_Toc93995247"/>
      <w:r w:rsidRPr="00CD7EFA">
        <w:t>Overview</w:t>
      </w:r>
      <w:bookmarkEnd w:id="1"/>
    </w:p>
    <w:p w14:paraId="75F751B2" w14:textId="0F5850A5" w:rsidR="00840FE0" w:rsidRPr="00840FE0" w:rsidRDefault="00763328" w:rsidP="00840FE0">
      <w:pPr>
        <w:pStyle w:val="NoSpacing"/>
      </w:pPr>
      <w:r w:rsidRPr="00840FE0">
        <w:t>This Protocol assists key client groups seeking datasets from the Victorian Department of Education and Training (DET). These client groups include internal DET users, other government users and the research community.</w:t>
      </w:r>
    </w:p>
    <w:p w14:paraId="579D5B63" w14:textId="74189CF8" w:rsidR="00763328" w:rsidRPr="00A12602" w:rsidRDefault="00763328" w:rsidP="00A12602">
      <w:pPr>
        <w:pStyle w:val="NoSpacing"/>
      </w:pPr>
      <w:r w:rsidRPr="00840FE0">
        <w:t xml:space="preserve">DET is the principal agency responsible for providing a high standard of education and training for all Victorians. </w:t>
      </w:r>
    </w:p>
    <w:p w14:paraId="4AC7D6EE" w14:textId="66DC17AB" w:rsidR="00763328" w:rsidRDefault="00763328" w:rsidP="00A12602">
      <w:pPr>
        <w:pStyle w:val="NoSpacing"/>
      </w:pPr>
      <w:r>
        <w:t>DET’s various specific central functions are performed by seven Groups:</w:t>
      </w:r>
    </w:p>
    <w:p w14:paraId="6F8D4CDD" w14:textId="77777777" w:rsidR="00763328" w:rsidRDefault="00763328" w:rsidP="0088045E">
      <w:pPr>
        <w:pStyle w:val="ListParagraph"/>
        <w:numPr>
          <w:ilvl w:val="0"/>
          <w:numId w:val="9"/>
        </w:numPr>
      </w:pPr>
      <w:r w:rsidRPr="008A1F62">
        <w:t>People and Executive Services</w:t>
      </w:r>
    </w:p>
    <w:p w14:paraId="1ACAA36A" w14:textId="77777777" w:rsidR="00763328" w:rsidRDefault="00763328" w:rsidP="0088045E">
      <w:pPr>
        <w:pStyle w:val="ListParagraph"/>
        <w:numPr>
          <w:ilvl w:val="0"/>
          <w:numId w:val="9"/>
        </w:numPr>
      </w:pPr>
      <w:r w:rsidRPr="008A1F62">
        <w:t>Infrastructure and Finance Services</w:t>
      </w:r>
    </w:p>
    <w:p w14:paraId="6AEBC6FD" w14:textId="77777777" w:rsidR="00763328" w:rsidRDefault="00763328" w:rsidP="0088045E">
      <w:pPr>
        <w:pStyle w:val="ListParagraph"/>
        <w:numPr>
          <w:ilvl w:val="0"/>
          <w:numId w:val="9"/>
        </w:numPr>
      </w:pPr>
      <w:r w:rsidRPr="008A1F62">
        <w:t>Early Childhood and School Education</w:t>
      </w:r>
    </w:p>
    <w:p w14:paraId="723DBB90" w14:textId="77777777" w:rsidR="00763328" w:rsidRDefault="00763328" w:rsidP="0088045E">
      <w:pPr>
        <w:pStyle w:val="ListParagraph"/>
        <w:numPr>
          <w:ilvl w:val="0"/>
          <w:numId w:val="9"/>
        </w:numPr>
      </w:pPr>
      <w:r w:rsidRPr="008A1F62">
        <w:t xml:space="preserve">Policy Reform </w:t>
      </w:r>
    </w:p>
    <w:p w14:paraId="455173A1" w14:textId="77777777" w:rsidR="00763328" w:rsidRDefault="00763328" w:rsidP="0088045E">
      <w:pPr>
        <w:pStyle w:val="ListParagraph"/>
        <w:numPr>
          <w:ilvl w:val="0"/>
          <w:numId w:val="9"/>
        </w:numPr>
      </w:pPr>
      <w:r w:rsidRPr="008A1F62">
        <w:t xml:space="preserve">Strategy and Performance </w:t>
      </w:r>
    </w:p>
    <w:p w14:paraId="60CDCC1E" w14:textId="77777777" w:rsidR="00763328" w:rsidRDefault="00763328" w:rsidP="0088045E">
      <w:pPr>
        <w:pStyle w:val="ListParagraph"/>
        <w:numPr>
          <w:ilvl w:val="0"/>
          <w:numId w:val="9"/>
        </w:numPr>
      </w:pPr>
      <w:r w:rsidRPr="008A1F62">
        <w:t xml:space="preserve">Regional Services </w:t>
      </w:r>
    </w:p>
    <w:p w14:paraId="521C7290" w14:textId="77777777" w:rsidR="00763328" w:rsidRDefault="00763328" w:rsidP="0088045E">
      <w:pPr>
        <w:pStyle w:val="ListParagraph"/>
        <w:numPr>
          <w:ilvl w:val="0"/>
          <w:numId w:val="9"/>
        </w:numPr>
      </w:pPr>
      <w:r w:rsidRPr="008A1F62">
        <w:t>Higher Education and Skills.</w:t>
      </w:r>
    </w:p>
    <w:p w14:paraId="694F3FB0" w14:textId="10EAED6C" w:rsidR="00763328" w:rsidRDefault="00763328" w:rsidP="00A12602">
      <w:pPr>
        <w:pStyle w:val="NoSpacing"/>
      </w:pPr>
      <w:r>
        <w:t xml:space="preserve">Increasingly, DET is committed to empowering sector policy makers, service providers and stakeholders through the provision of better data, information, </w:t>
      </w:r>
      <w:proofErr w:type="gramStart"/>
      <w:r>
        <w:t>evidence</w:t>
      </w:r>
      <w:proofErr w:type="gramEnd"/>
      <w:r>
        <w:t xml:space="preserve"> and insights that are most relevant to local decisions. Information portals such as </w:t>
      </w:r>
      <w:proofErr w:type="spellStart"/>
      <w:r>
        <w:t>DataVic</w:t>
      </w:r>
      <w:proofErr w:type="spellEnd"/>
      <w:r>
        <w:t xml:space="preserve">, </w:t>
      </w:r>
      <w:proofErr w:type="spellStart"/>
      <w:r>
        <w:t>DataZone</w:t>
      </w:r>
      <w:proofErr w:type="spellEnd"/>
      <w:r>
        <w:t xml:space="preserve">, the School Information Portal (SIP) and the Victorian Children and Adolescent Monitoring System (VCAMS) offer corporate, sector and community </w:t>
      </w:r>
      <w:r w:rsidR="004672E0">
        <w:t>stakeholders’</w:t>
      </w:r>
      <w:r>
        <w:t xml:space="preserve"> direct access to a wide range of data and outcomes information.</w:t>
      </w:r>
    </w:p>
    <w:p w14:paraId="424C632D" w14:textId="66740804" w:rsidR="00763328" w:rsidRPr="002A2753" w:rsidRDefault="00763328" w:rsidP="00CD7EFA">
      <w:pPr>
        <w:pStyle w:val="Heading2"/>
      </w:pPr>
      <w:bookmarkStart w:id="2" w:name="_Toc93995248"/>
      <w:r w:rsidRPr="002A2753">
        <w:t xml:space="preserve">Data </w:t>
      </w:r>
      <w:r>
        <w:t>c</w:t>
      </w:r>
      <w:r w:rsidRPr="002A2753">
        <w:t>ollection</w:t>
      </w:r>
      <w:r w:rsidR="00A6302B">
        <w:t>s</w:t>
      </w:r>
      <w:bookmarkEnd w:id="2"/>
    </w:p>
    <w:p w14:paraId="078589A5" w14:textId="405BF52C" w:rsidR="00763328" w:rsidRPr="00FC088A" w:rsidRDefault="00A6302B" w:rsidP="00A12602">
      <w:pPr>
        <w:pStyle w:val="NoSpacing"/>
      </w:pPr>
      <w:r>
        <w:t>DET</w:t>
      </w:r>
      <w:r w:rsidR="00763328" w:rsidRPr="00FC088A">
        <w:t xml:space="preserve"> collects data from a wide range of sources</w:t>
      </w:r>
      <w:r w:rsidR="00763328">
        <w:t>.</w:t>
      </w:r>
      <w:r w:rsidR="00763328" w:rsidRPr="00FC088A">
        <w:t xml:space="preserve"> These may vary from time</w:t>
      </w:r>
      <w:r w:rsidR="00763328">
        <w:t xml:space="preserve"> to time</w:t>
      </w:r>
      <w:r w:rsidR="00763328" w:rsidRPr="00FC088A">
        <w:t xml:space="preserve">, but in general terms may be summarised as follows: </w:t>
      </w:r>
    </w:p>
    <w:p w14:paraId="28FE3FAE" w14:textId="77777777" w:rsidR="00763328" w:rsidRPr="00A12602" w:rsidRDefault="00763328" w:rsidP="0088045E">
      <w:pPr>
        <w:pStyle w:val="ListParagraph"/>
        <w:numPr>
          <w:ilvl w:val="0"/>
          <w:numId w:val="10"/>
        </w:numPr>
      </w:pPr>
      <w:r w:rsidRPr="00A12602">
        <w:t>Australian Government data</w:t>
      </w:r>
    </w:p>
    <w:p w14:paraId="3CDDCDA7" w14:textId="77777777" w:rsidR="00763328" w:rsidRPr="00A12602" w:rsidRDefault="00763328" w:rsidP="0088045E">
      <w:pPr>
        <w:pStyle w:val="ListParagraph"/>
        <w:numPr>
          <w:ilvl w:val="0"/>
          <w:numId w:val="10"/>
        </w:numPr>
      </w:pPr>
      <w:r w:rsidRPr="00A12602">
        <w:t>Data from other States and Territories</w:t>
      </w:r>
    </w:p>
    <w:p w14:paraId="24275889" w14:textId="77777777" w:rsidR="00763328" w:rsidRPr="00A12602" w:rsidRDefault="00763328" w:rsidP="0088045E">
      <w:pPr>
        <w:pStyle w:val="ListParagraph"/>
        <w:numPr>
          <w:ilvl w:val="0"/>
          <w:numId w:val="10"/>
        </w:numPr>
      </w:pPr>
      <w:r w:rsidRPr="00A12602">
        <w:t>Data from other Victorian departments and agencies</w:t>
      </w:r>
    </w:p>
    <w:p w14:paraId="147C4395" w14:textId="2CCC76CA" w:rsidR="00763328" w:rsidRPr="00A12602" w:rsidRDefault="00763328" w:rsidP="0088045E">
      <w:pPr>
        <w:pStyle w:val="ListParagraph"/>
        <w:numPr>
          <w:ilvl w:val="0"/>
          <w:numId w:val="10"/>
        </w:numPr>
      </w:pPr>
      <w:r w:rsidRPr="00A12602">
        <w:t>Data from Victorian schools, parents and students</w:t>
      </w:r>
      <w:r w:rsidR="00A6302B">
        <w:t xml:space="preserve"> or other educational entities in the early childhood or adult education sectors</w:t>
      </w:r>
      <w:r w:rsidRPr="00A12602">
        <w:t>.</w:t>
      </w:r>
    </w:p>
    <w:p w14:paraId="7C257880" w14:textId="3AF5DBF4" w:rsidR="00763328" w:rsidRPr="00FC088A" w:rsidRDefault="00763328" w:rsidP="00A12602">
      <w:pPr>
        <w:pStyle w:val="NoSpacing"/>
      </w:pPr>
      <w:r w:rsidRPr="00FC088A">
        <w:rPr>
          <w:b/>
        </w:rPr>
        <w:t>Australian Government data</w:t>
      </w:r>
      <w:r w:rsidRPr="00E01C36">
        <w:t xml:space="preserve">: </w:t>
      </w:r>
      <w:r>
        <w:t xml:space="preserve">The Australian Government provides Victoria with extensive data. </w:t>
      </w:r>
      <w:r w:rsidRPr="00E01C36">
        <w:t xml:space="preserve">Two key Australian Government datasets </w:t>
      </w:r>
      <w:r>
        <w:t xml:space="preserve">received and frequently </w:t>
      </w:r>
      <w:r w:rsidRPr="00E01C36">
        <w:t xml:space="preserve">used are: </w:t>
      </w:r>
    </w:p>
    <w:p w14:paraId="448CC01C" w14:textId="77777777" w:rsidR="00763328" w:rsidRPr="00A12602" w:rsidRDefault="00763328" w:rsidP="0088045E">
      <w:pPr>
        <w:pStyle w:val="ListParagraph"/>
        <w:numPr>
          <w:ilvl w:val="0"/>
          <w:numId w:val="11"/>
        </w:numPr>
      </w:pPr>
      <w:r w:rsidRPr="00A12602">
        <w:lastRenderedPageBreak/>
        <w:t>National Assessment Programs—Literacy and Numeracy (NAPLAN) results. These are the annual assessment for students in Years 3, 5, 7 and 9 that tests skills in literacy and numeracy</w:t>
      </w:r>
    </w:p>
    <w:p w14:paraId="7329EDB1" w14:textId="1E3B14E0" w:rsidR="00763328" w:rsidRPr="00A12602" w:rsidRDefault="00763328" w:rsidP="0088045E">
      <w:pPr>
        <w:pStyle w:val="ListParagraph"/>
        <w:numPr>
          <w:ilvl w:val="0"/>
          <w:numId w:val="11"/>
        </w:numPr>
        <w:rPr>
          <w:sz w:val="22"/>
        </w:rPr>
      </w:pPr>
      <w:r w:rsidRPr="00A12602">
        <w:t xml:space="preserve">the Australian Early Development Census (AEDC). This is a nationwide measure taken every three years that looks at whether children in their first year of full-time school are developmentally vulnerable, at risk or on track. </w:t>
      </w:r>
    </w:p>
    <w:p w14:paraId="07B73B76" w14:textId="4D17CFB1" w:rsidR="00763328" w:rsidRPr="00A12602" w:rsidRDefault="00763328" w:rsidP="00A12602">
      <w:pPr>
        <w:pStyle w:val="NoSpacing"/>
      </w:pPr>
      <w:r w:rsidRPr="00A12602">
        <w:t xml:space="preserve">Data from other States and Territories: </w:t>
      </w:r>
      <w:r w:rsidR="00A6302B">
        <w:t>DET</w:t>
      </w:r>
      <w:r w:rsidRPr="00A12602">
        <w:t xml:space="preserve"> does not currently receive data directly from other Australian States and Territories, although this may change from time to time. However, </w:t>
      </w:r>
      <w:r w:rsidR="00A6302B">
        <w:t xml:space="preserve">DET </w:t>
      </w:r>
      <w:r w:rsidRPr="00A12602">
        <w:t xml:space="preserve">does receive information about other States and Territories as a component of data received from the Australian Government. </w:t>
      </w:r>
    </w:p>
    <w:p w14:paraId="1B70D11F" w14:textId="039B2BED" w:rsidR="00763328" w:rsidRPr="00624BE1" w:rsidRDefault="00763328" w:rsidP="00A12602">
      <w:pPr>
        <w:pStyle w:val="NoSpacing"/>
        <w:rPr>
          <w:lang w:eastAsia="en-GB"/>
        </w:rPr>
      </w:pPr>
      <w:r w:rsidRPr="00624BE1">
        <w:rPr>
          <w:b/>
          <w:lang w:eastAsia="en-GB"/>
        </w:rPr>
        <w:t xml:space="preserve">Data from other Victorian </w:t>
      </w:r>
      <w:r>
        <w:rPr>
          <w:b/>
          <w:lang w:eastAsia="en-GB"/>
        </w:rPr>
        <w:t>d</w:t>
      </w:r>
      <w:r w:rsidRPr="00624BE1">
        <w:rPr>
          <w:b/>
          <w:lang w:eastAsia="en-GB"/>
        </w:rPr>
        <w:t>epartments and agencies</w:t>
      </w:r>
      <w:r>
        <w:rPr>
          <w:color w:val="333F46"/>
          <w:lang w:eastAsia="en-GB"/>
        </w:rPr>
        <w:t xml:space="preserve">: </w:t>
      </w:r>
      <w:proofErr w:type="gramStart"/>
      <w:r w:rsidRPr="00624BE1">
        <w:rPr>
          <w:lang w:eastAsia="en-GB"/>
        </w:rPr>
        <w:t>A number of</w:t>
      </w:r>
      <w:proofErr w:type="gramEnd"/>
      <w:r w:rsidRPr="00624BE1">
        <w:rPr>
          <w:lang w:eastAsia="en-GB"/>
        </w:rPr>
        <w:t xml:space="preserve"> Victorian departments and agencies provide data to </w:t>
      </w:r>
      <w:r w:rsidR="00A6302B">
        <w:rPr>
          <w:lang w:eastAsia="en-GB"/>
        </w:rPr>
        <w:t>DET</w:t>
      </w:r>
      <w:r w:rsidRPr="00624BE1">
        <w:rPr>
          <w:lang w:eastAsia="en-GB"/>
        </w:rPr>
        <w:t xml:space="preserve"> in the performance of their respective functions. This data includes:</w:t>
      </w:r>
    </w:p>
    <w:p w14:paraId="52134F07" w14:textId="77777777" w:rsidR="00763328" w:rsidRPr="00A12602" w:rsidRDefault="00763328" w:rsidP="0088045E">
      <w:pPr>
        <w:pStyle w:val="ListParagraph"/>
        <w:numPr>
          <w:ilvl w:val="0"/>
          <w:numId w:val="12"/>
        </w:numPr>
      </w:pPr>
      <w:r w:rsidRPr="00A12602">
        <w:t xml:space="preserve">Victoria in Future (VIF) population projections—the official State Government projections of population and households from the Department of Environment, Land, Water and Planning (DELWP) </w:t>
      </w:r>
    </w:p>
    <w:p w14:paraId="49CBA54C" w14:textId="77777777" w:rsidR="00763328" w:rsidRPr="00A12602" w:rsidRDefault="00763328" w:rsidP="0088045E">
      <w:pPr>
        <w:pStyle w:val="ListParagraph"/>
        <w:numPr>
          <w:ilvl w:val="0"/>
          <w:numId w:val="12"/>
        </w:numPr>
      </w:pPr>
      <w:r w:rsidRPr="00A12602">
        <w:t xml:space="preserve">ATAR scores for Year 12 students provided by the Victorian Tertiary Admissions Centre (VTAC) </w:t>
      </w:r>
    </w:p>
    <w:p w14:paraId="249121B6" w14:textId="77777777" w:rsidR="00763328" w:rsidRPr="00A12602" w:rsidRDefault="00763328" w:rsidP="0088045E">
      <w:pPr>
        <w:pStyle w:val="ListParagraph"/>
        <w:numPr>
          <w:ilvl w:val="0"/>
          <w:numId w:val="12"/>
        </w:numPr>
      </w:pPr>
      <w:r w:rsidRPr="00A12602">
        <w:t>crime statistics involving children from Victoria’s Crime Statistics Agency (CSA), which are published on the VCAMS portal.</w:t>
      </w:r>
    </w:p>
    <w:p w14:paraId="67279AC1" w14:textId="04C5E526" w:rsidR="00763328" w:rsidRPr="00624BE1" w:rsidRDefault="00763328" w:rsidP="00A12602">
      <w:pPr>
        <w:pStyle w:val="NoSpacing"/>
        <w:rPr>
          <w:lang w:eastAsia="en-GB"/>
        </w:rPr>
      </w:pPr>
      <w:r w:rsidRPr="00624BE1">
        <w:rPr>
          <w:b/>
          <w:lang w:eastAsia="en-GB"/>
        </w:rPr>
        <w:t xml:space="preserve">Data from Victorian schools, </w:t>
      </w:r>
      <w:proofErr w:type="gramStart"/>
      <w:r w:rsidRPr="00624BE1">
        <w:rPr>
          <w:b/>
          <w:lang w:eastAsia="en-GB"/>
        </w:rPr>
        <w:t>parents</w:t>
      </w:r>
      <w:proofErr w:type="gramEnd"/>
      <w:r w:rsidRPr="00624BE1">
        <w:rPr>
          <w:b/>
          <w:lang w:eastAsia="en-GB"/>
        </w:rPr>
        <w:t xml:space="preserve"> and students</w:t>
      </w:r>
      <w:r w:rsidRPr="00624BE1">
        <w:rPr>
          <w:lang w:eastAsia="en-GB"/>
        </w:rPr>
        <w:t xml:space="preserve">: The majority of the data collected by </w:t>
      </w:r>
      <w:r w:rsidR="00A6302B">
        <w:rPr>
          <w:lang w:eastAsia="en-GB"/>
        </w:rPr>
        <w:t xml:space="preserve">DET’s Performance and Education Division (PED) </w:t>
      </w:r>
      <w:r w:rsidRPr="00624BE1">
        <w:rPr>
          <w:lang w:eastAsia="en-GB"/>
        </w:rPr>
        <w:t>is from Victorian schools, parents and students. This includes:</w:t>
      </w:r>
    </w:p>
    <w:p w14:paraId="7568B973" w14:textId="0AEB6AE7" w:rsidR="00763328" w:rsidRPr="00A12602" w:rsidRDefault="00763328" w:rsidP="0088045E">
      <w:pPr>
        <w:pStyle w:val="ListParagraph"/>
        <w:numPr>
          <w:ilvl w:val="0"/>
          <w:numId w:val="13"/>
        </w:numPr>
      </w:pPr>
      <w:r w:rsidRPr="00A12602">
        <w:t xml:space="preserve">the Student Enrolment Census </w:t>
      </w:r>
    </w:p>
    <w:p w14:paraId="4D9F5ABA" w14:textId="77777777" w:rsidR="00763328" w:rsidRPr="00A12602" w:rsidRDefault="00763328" w:rsidP="0088045E">
      <w:pPr>
        <w:pStyle w:val="ListParagraph"/>
        <w:numPr>
          <w:ilvl w:val="0"/>
          <w:numId w:val="13"/>
        </w:numPr>
      </w:pPr>
      <w:r w:rsidRPr="00A12602">
        <w:t>the School Staff Survey</w:t>
      </w:r>
    </w:p>
    <w:p w14:paraId="7568656A" w14:textId="0470C59C" w:rsidR="00763328" w:rsidRPr="00A12602" w:rsidRDefault="00763328" w:rsidP="0088045E">
      <w:pPr>
        <w:pStyle w:val="ListParagraph"/>
        <w:numPr>
          <w:ilvl w:val="0"/>
          <w:numId w:val="13"/>
        </w:numPr>
      </w:pPr>
      <w:r w:rsidRPr="00A12602">
        <w:t xml:space="preserve">student surveys such as Attitudes to School, the Victorian Student </w:t>
      </w:r>
      <w:proofErr w:type="gramStart"/>
      <w:r w:rsidRPr="00A12602">
        <w:t>Health</w:t>
      </w:r>
      <w:proofErr w:type="gramEnd"/>
      <w:r w:rsidRPr="00A12602">
        <w:t xml:space="preserve"> and Wellbeing Survey (About You) and</w:t>
      </w:r>
    </w:p>
    <w:p w14:paraId="4107772A" w14:textId="77777777" w:rsidR="00763328" w:rsidRPr="00A12602" w:rsidRDefault="00763328" w:rsidP="0088045E">
      <w:pPr>
        <w:pStyle w:val="ListParagraph"/>
        <w:numPr>
          <w:ilvl w:val="0"/>
          <w:numId w:val="13"/>
        </w:numPr>
      </w:pPr>
      <w:r w:rsidRPr="00A12602">
        <w:t>the Parent Opinion Survey.</w:t>
      </w:r>
    </w:p>
    <w:p w14:paraId="56735036" w14:textId="77777777" w:rsidR="00763328" w:rsidRPr="00CA5F7F" w:rsidRDefault="00763328" w:rsidP="00A12602">
      <w:pPr>
        <w:pStyle w:val="NoSpacing"/>
        <w:numPr>
          <w:ilvl w:val="0"/>
          <w:numId w:val="0"/>
        </w:numPr>
        <w:ind w:left="743"/>
        <w:rPr>
          <w:lang w:eastAsia="en-GB"/>
        </w:rPr>
      </w:pPr>
      <w:r>
        <w:rPr>
          <w:lang w:eastAsia="en-GB"/>
        </w:rPr>
        <w:t>PED also collects some data directly from specified cohorts in the Victorian population through surveys such as On Track (school leavers) and the Victorian Child Health and Wellbeing Survey (parents of children aged 0-12 years).</w:t>
      </w:r>
    </w:p>
    <w:p w14:paraId="62E7FACA" w14:textId="77777777" w:rsidR="00A6302B" w:rsidRDefault="00A6302B">
      <w:pPr>
        <w:rPr>
          <w:b/>
          <w:sz w:val="24"/>
          <w:szCs w:val="24"/>
        </w:rPr>
      </w:pPr>
      <w:r>
        <w:br w:type="page"/>
      </w:r>
    </w:p>
    <w:p w14:paraId="0A9D77E2" w14:textId="788CF929" w:rsidR="00763328" w:rsidRPr="00CA5F7F" w:rsidRDefault="00763328" w:rsidP="00CD7EFA">
      <w:pPr>
        <w:pStyle w:val="Heading2"/>
      </w:pPr>
      <w:bookmarkStart w:id="3" w:name="_Toc93995249"/>
      <w:r w:rsidRPr="00CA5F7F">
        <w:lastRenderedPageBreak/>
        <w:t>Purpose of the Data Protocol</w:t>
      </w:r>
      <w:bookmarkEnd w:id="3"/>
    </w:p>
    <w:p w14:paraId="560CDFFC" w14:textId="63487E51" w:rsidR="00763328" w:rsidRDefault="00763328" w:rsidP="00A12602">
      <w:pPr>
        <w:pStyle w:val="NoSpacing"/>
      </w:pPr>
      <w:r w:rsidRPr="00506513">
        <w:t xml:space="preserve">The purpose of this </w:t>
      </w:r>
      <w:r>
        <w:t>P</w:t>
      </w:r>
      <w:r w:rsidRPr="00506513">
        <w:t>rotocol is to clarify the rights and respo</w:t>
      </w:r>
      <w:r>
        <w:t xml:space="preserve">nsibilities of all users of data provided by </w:t>
      </w:r>
      <w:r w:rsidR="00A6302B">
        <w:t>DET</w:t>
      </w:r>
      <w:r>
        <w:t>,</w:t>
      </w:r>
      <w:r w:rsidRPr="00506513">
        <w:t xml:space="preserve"> and </w:t>
      </w:r>
      <w:r>
        <w:t xml:space="preserve">to </w:t>
      </w:r>
      <w:r w:rsidRPr="00506513">
        <w:t>ensure the appropriate and effective use of that data</w:t>
      </w:r>
      <w:r>
        <w:t xml:space="preserve"> while maximising the benefits that data access can bring, particularly for policy development and service planning and design.</w:t>
      </w:r>
      <w:r w:rsidRPr="00506513">
        <w:t xml:space="preserve"> </w:t>
      </w:r>
      <w:r w:rsidRPr="00046BF1">
        <w:t xml:space="preserve">The Data Protocol sets out the principles, rules and procedures governing the access, use and dissemination of the data in datasets </w:t>
      </w:r>
      <w:r w:rsidR="00A6302B">
        <w:t xml:space="preserve">for which </w:t>
      </w:r>
      <w:r w:rsidRPr="00046BF1">
        <w:t>DET</w:t>
      </w:r>
      <w:r w:rsidR="00A6302B">
        <w:t xml:space="preserve"> is eithe</w:t>
      </w:r>
      <w:r w:rsidRPr="00046BF1">
        <w:t>r the owner or custodian.</w:t>
      </w:r>
    </w:p>
    <w:p w14:paraId="709392C2" w14:textId="2E375F2F" w:rsidR="00763328" w:rsidRDefault="00763328" w:rsidP="00A12602">
      <w:pPr>
        <w:pStyle w:val="NoSpacing"/>
      </w:pPr>
      <w:r>
        <w:t xml:space="preserve">This Protocol explains </w:t>
      </w:r>
      <w:r w:rsidRPr="00506513">
        <w:t xml:space="preserve">arrangements to ensure that disclosure </w:t>
      </w:r>
      <w:r>
        <w:t xml:space="preserve">by </w:t>
      </w:r>
      <w:r w:rsidRPr="00506513">
        <w:t>DET and other data complies with all legal, contractual and policy requirements, with the princip</w:t>
      </w:r>
      <w:r>
        <w:t>al</w:t>
      </w:r>
      <w:r w:rsidRPr="00506513">
        <w:t xml:space="preserve"> aim of protecting the privacy of individuals and maintaining the confidentiality and integrity of the data to an appropriate standard.</w:t>
      </w:r>
    </w:p>
    <w:p w14:paraId="2E9BC313" w14:textId="6DC6EBDD" w:rsidR="009E2FD9" w:rsidRPr="009E2FD9" w:rsidRDefault="00763328" w:rsidP="009E2FD9">
      <w:pPr>
        <w:pStyle w:val="NoSpacing"/>
      </w:pPr>
      <w:r>
        <w:t>For the purpose of this Protocol, t</w:t>
      </w:r>
      <w:r w:rsidR="009E2FD9">
        <w:t>he following definitions apply:</w:t>
      </w:r>
      <w:r w:rsidR="00564CE8">
        <w:br/>
      </w:r>
      <w:r w:rsidR="00564CE8" w:rsidRPr="00C76EA1">
        <w:rPr>
          <w:sz w:val="16"/>
          <w:szCs w:val="16"/>
        </w:rPr>
        <w:br/>
      </w:r>
      <w:r w:rsidRPr="009E2FD9">
        <w:rPr>
          <w:b/>
        </w:rPr>
        <w:t xml:space="preserve">Authorising officer: </w:t>
      </w:r>
      <w:r w:rsidRPr="00624BE1">
        <w:t>(a)</w:t>
      </w:r>
      <w:r w:rsidRPr="00047FA4">
        <w:t xml:space="preserve"> </w:t>
      </w:r>
      <w:r w:rsidRPr="00407EA7">
        <w:t>for the</w:t>
      </w:r>
      <w:r w:rsidRPr="009E2FD9">
        <w:rPr>
          <w:b/>
        </w:rPr>
        <w:t xml:space="preserve"> </w:t>
      </w:r>
      <w:r w:rsidRPr="00407EA7">
        <w:t xml:space="preserve">purpose of making a data request to </w:t>
      </w:r>
      <w:r w:rsidR="00A6302B">
        <w:t>DET</w:t>
      </w:r>
      <w:r w:rsidRPr="00407EA7">
        <w:t>, the authorising officer is the manager of the applicant; (b) for the purpose of D</w:t>
      </w:r>
      <w:r w:rsidR="00A6302B">
        <w:t>ET</w:t>
      </w:r>
      <w:r w:rsidRPr="00407EA7">
        <w:t xml:space="preserve">’s response to a data request, the authorising officer is the officer whose function is to communicate conditions to which supply of data by </w:t>
      </w:r>
      <w:r w:rsidR="00A6302B">
        <w:t>DET</w:t>
      </w:r>
      <w:r w:rsidRPr="00407EA7">
        <w:t xml:space="preserve"> in given circumstances is subject, and usually to supply the data to the applicant. </w:t>
      </w:r>
      <w:r>
        <w:t xml:space="preserve">The </w:t>
      </w:r>
      <w:r w:rsidRPr="00407EA7">
        <w:t>Project Manager, Data Governance, generally performs this function</w:t>
      </w:r>
      <w:r>
        <w:t>, and</w:t>
      </w:r>
      <w:r w:rsidRPr="00407EA7">
        <w:t xml:space="preserve"> can be contacted at </w:t>
      </w:r>
      <w:hyperlink r:id="rId17" w:history="1">
        <w:r w:rsidR="004E62E2">
          <w:rPr>
            <w:rStyle w:val="Hyperlink"/>
          </w:rPr>
          <w:t>reporting.and.data.services@education.vic.gov.au</w:t>
        </w:r>
      </w:hyperlink>
      <w:r w:rsidRPr="00407EA7">
        <w:t>.</w:t>
      </w:r>
      <w:r w:rsidRPr="009E2FD9">
        <w:rPr>
          <w:color w:val="FF0000"/>
        </w:rPr>
        <w:t xml:space="preserve"> </w:t>
      </w:r>
      <w:r w:rsidR="009E2FD9">
        <w:br/>
      </w:r>
      <w:r w:rsidR="009E2FD9" w:rsidRPr="00C76EA1">
        <w:rPr>
          <w:sz w:val="16"/>
          <w:szCs w:val="16"/>
        </w:rPr>
        <w:br/>
      </w:r>
      <w:r w:rsidRPr="009E2FD9">
        <w:rPr>
          <w:b/>
        </w:rPr>
        <w:t xml:space="preserve">Custodian: </w:t>
      </w:r>
      <w:r>
        <w:t>the recognised officer responsible for implementing and maintaining information assets according to the rules set by the owner. A custodian is responsible for specific classifications or categorisations of data and is accountable for the delegated assets in their care.  This person is the knowledge holder, the gatekeeper, and the responsible officer.</w:t>
      </w:r>
      <w:r w:rsidR="009E2FD9">
        <w:br/>
      </w:r>
      <w:r w:rsidR="009E2FD9" w:rsidRPr="00C76EA1">
        <w:rPr>
          <w:sz w:val="16"/>
          <w:szCs w:val="16"/>
        </w:rPr>
        <w:br/>
      </w:r>
      <w:r w:rsidRPr="009E2FD9">
        <w:rPr>
          <w:b/>
        </w:rPr>
        <w:t>Data</w:t>
      </w:r>
      <w:r>
        <w:t>: any information (including personal information) obtained, received or held by DET, whether or not DET obtained, received or holds that information in c</w:t>
      </w:r>
      <w:r w:rsidR="009E2FD9">
        <w:t>onnection with DET’s functions.</w:t>
      </w:r>
      <w:r w:rsidR="009E2FD9" w:rsidRPr="00C76EA1">
        <w:rPr>
          <w:sz w:val="16"/>
          <w:szCs w:val="16"/>
        </w:rPr>
        <w:br/>
      </w:r>
      <w:r w:rsidRPr="009E2FD9">
        <w:rPr>
          <w:b/>
        </w:rPr>
        <w:t>Dataset</w:t>
      </w:r>
      <w:r w:rsidRPr="00B730F1">
        <w:t>:</w:t>
      </w:r>
      <w:r>
        <w:t xml:space="preserve"> data held and stored in a variety of machine-readable, reusable formats including hardcopy, electronic (digital), graphical, cartographic, textual</w:t>
      </w:r>
      <w:r w:rsidR="009E2FD9">
        <w:t>, geospatial or numerical form.</w:t>
      </w:r>
      <w:r w:rsidR="009E2FD9">
        <w:br/>
      </w:r>
      <w:r w:rsidR="009E2FD9" w:rsidRPr="00C76EA1">
        <w:rPr>
          <w:sz w:val="16"/>
          <w:szCs w:val="16"/>
        </w:rPr>
        <w:br/>
      </w:r>
      <w:r w:rsidRPr="009E2FD9">
        <w:rPr>
          <w:b/>
        </w:rPr>
        <w:t>Information governance</w:t>
      </w:r>
      <w:r w:rsidRPr="002C04EE">
        <w:t>:</w:t>
      </w:r>
      <w:r>
        <w:t xml:space="preserve"> the system by which the current and future use of information and its management is directed and controlled through a system of policies, procedures, standards and guidelines. The business processes that ensure the effective and efficient use of information may include committees for decision-making, documented processes for information flow, roles and responsibilities for information workers and managers and gateways for appr</w:t>
      </w:r>
      <w:r w:rsidR="009E2FD9">
        <w:t>ovals or access to information.</w:t>
      </w:r>
      <w:r w:rsidR="009E2FD9">
        <w:br/>
      </w:r>
      <w:r w:rsidR="009E2FD9" w:rsidRPr="00C76EA1">
        <w:rPr>
          <w:sz w:val="16"/>
          <w:szCs w:val="16"/>
        </w:rPr>
        <w:lastRenderedPageBreak/>
        <w:br/>
      </w:r>
      <w:r w:rsidRPr="009E2FD9">
        <w:rPr>
          <w:b/>
        </w:rPr>
        <w:t>Owner</w:t>
      </w:r>
      <w:r w:rsidRPr="00416747">
        <w:t>:</w:t>
      </w:r>
      <w:r>
        <w:t xml:space="preserve"> The recognised officer who is identified as having the authority and accountability under legislation, regulation or policy for the collection and management of information assets for the business area. The owner is the officer with overall accountability (usually an Executive Director at DET).</w:t>
      </w:r>
      <w:r w:rsidR="009E2FD9">
        <w:br/>
      </w:r>
      <w:r w:rsidR="009E2FD9" w:rsidRPr="00C76EA1">
        <w:rPr>
          <w:sz w:val="16"/>
          <w:szCs w:val="16"/>
        </w:rPr>
        <w:br/>
      </w:r>
      <w:r w:rsidRPr="009E2FD9">
        <w:rPr>
          <w:b/>
        </w:rPr>
        <w:t xml:space="preserve">Publish: </w:t>
      </w:r>
      <w:r w:rsidRPr="00CA5F7F">
        <w:t>make publicly available</w:t>
      </w:r>
      <w:r w:rsidRPr="009E2FD9">
        <w:rPr>
          <w:b/>
        </w:rPr>
        <w:t xml:space="preserve"> </w:t>
      </w:r>
      <w:r w:rsidRPr="00CA5F7F">
        <w:t>information contained in</w:t>
      </w:r>
      <w:r>
        <w:t xml:space="preserve"> documents including files, reports, articles, </w:t>
      </w:r>
      <w:proofErr w:type="gramStart"/>
      <w:r>
        <w:t>presentations</w:t>
      </w:r>
      <w:proofErr w:type="gramEnd"/>
      <w:r>
        <w:t xml:space="preserve"> and fact sheets.</w:t>
      </w:r>
    </w:p>
    <w:p w14:paraId="6BBD6DE9" w14:textId="756C2A88" w:rsidR="00763328" w:rsidRPr="00A12602" w:rsidRDefault="00763328" w:rsidP="009E2FD9">
      <w:pPr>
        <w:pStyle w:val="NoSpacing"/>
      </w:pPr>
      <w:r w:rsidRPr="00506513">
        <w:t xml:space="preserve">The Guiding Principles </w:t>
      </w:r>
      <w:r>
        <w:t xml:space="preserve">below </w:t>
      </w:r>
      <w:r w:rsidRPr="00506513">
        <w:t>govern the disclosure and dissemination of D</w:t>
      </w:r>
      <w:r w:rsidR="00A6302B">
        <w:t>ET</w:t>
      </w:r>
      <w:r w:rsidRPr="00506513">
        <w:t xml:space="preserve"> data. They are intended to ensure that entities to which D</w:t>
      </w:r>
      <w:r w:rsidR="00A6302B">
        <w:t>ET</w:t>
      </w:r>
      <w:r w:rsidRPr="00506513">
        <w:t xml:space="preserve"> data is disclosed (including DET Groups and Divisions) use that data in an appropriate and effective manner.</w:t>
      </w:r>
    </w:p>
    <w:p w14:paraId="5982903D" w14:textId="2B686C1E" w:rsidR="00763328" w:rsidRPr="00A12602" w:rsidRDefault="00763328" w:rsidP="00A12602">
      <w:pPr>
        <w:pStyle w:val="NoSpacing"/>
      </w:pPr>
      <w:r w:rsidRPr="00653591">
        <w:t xml:space="preserve">Failure to comply with this </w:t>
      </w:r>
      <w:r>
        <w:t>P</w:t>
      </w:r>
      <w:r w:rsidRPr="00653591">
        <w:t xml:space="preserve">rotocol may result in the rejection of subsequent data requests made to </w:t>
      </w:r>
      <w:r w:rsidR="001D2A67">
        <w:t>DET</w:t>
      </w:r>
      <w:r w:rsidRPr="00653591">
        <w:t>.</w:t>
      </w:r>
    </w:p>
    <w:p w14:paraId="3E3F3755" w14:textId="73C07AF1" w:rsidR="00564CE8" w:rsidRDefault="00763328" w:rsidP="002C5941">
      <w:pPr>
        <w:pStyle w:val="Heading1"/>
        <w:numPr>
          <w:ilvl w:val="0"/>
          <w:numId w:val="1"/>
        </w:numPr>
      </w:pPr>
      <w:bookmarkStart w:id="4" w:name="_Toc93995250"/>
      <w:r w:rsidRPr="00653591">
        <w:t>GUIDING PRINCIPLES</w:t>
      </w:r>
      <w:bookmarkStart w:id="5" w:name="_Toc502762617"/>
      <w:bookmarkStart w:id="6" w:name="_Toc502762660"/>
      <w:bookmarkStart w:id="7" w:name="_Toc502762732"/>
      <w:bookmarkStart w:id="8" w:name="_Toc502824611"/>
      <w:bookmarkEnd w:id="4"/>
      <w:bookmarkEnd w:id="5"/>
      <w:bookmarkEnd w:id="6"/>
      <w:bookmarkEnd w:id="7"/>
      <w:bookmarkEnd w:id="8"/>
    </w:p>
    <w:p w14:paraId="5154CA63" w14:textId="4D367BFB" w:rsidR="00763328" w:rsidRPr="00070DE3" w:rsidRDefault="00763328" w:rsidP="003E6E79">
      <w:pPr>
        <w:pStyle w:val="Heading2"/>
      </w:pPr>
      <w:bookmarkStart w:id="9" w:name="_Toc93995251"/>
      <w:r w:rsidRPr="00070DE3">
        <w:t>Purpose</w:t>
      </w:r>
      <w:bookmarkEnd w:id="9"/>
    </w:p>
    <w:p w14:paraId="3CE51B2C" w14:textId="63F0FA07" w:rsidR="00763328" w:rsidRPr="00E831DA" w:rsidRDefault="00763328" w:rsidP="00A12602">
      <w:pPr>
        <w:pStyle w:val="NoSpacing"/>
        <w:rPr>
          <w:b/>
        </w:rPr>
      </w:pPr>
      <w:r w:rsidRPr="00E831DA">
        <w:t>D</w:t>
      </w:r>
      <w:r w:rsidR="001D2A67">
        <w:t>ET</w:t>
      </w:r>
      <w:r w:rsidRPr="00E831DA">
        <w:t xml:space="preserve"> regularly </w:t>
      </w:r>
      <w:r>
        <w:t xml:space="preserve">publishes or otherwise </w:t>
      </w:r>
      <w:r w:rsidRPr="00E831DA">
        <w:t xml:space="preserve">makes publicly available </w:t>
      </w:r>
      <w:r>
        <w:t xml:space="preserve">the </w:t>
      </w:r>
      <w:r w:rsidRPr="00E831DA">
        <w:t xml:space="preserve">datasets it owns, as well as (by agreement) those </w:t>
      </w:r>
      <w:r>
        <w:t xml:space="preserve">datasets </w:t>
      </w:r>
      <w:r w:rsidRPr="00E831DA">
        <w:t xml:space="preserve">for which it is the custodian. </w:t>
      </w:r>
      <w:r w:rsidR="001D2A67">
        <w:t xml:space="preserve">DET </w:t>
      </w:r>
      <w:r w:rsidRPr="00E831DA">
        <w:t>has committed to making data directly available not only to DET staff but also to the public and private sectors, where it is lawful and practicable to do so, and is in the public interest. Examples of disclosure and use of DET data in the public interest include:</w:t>
      </w:r>
    </w:p>
    <w:p w14:paraId="3C5038CE" w14:textId="77777777" w:rsidR="00763328" w:rsidRPr="00A12602" w:rsidRDefault="00763328" w:rsidP="0088045E">
      <w:pPr>
        <w:pStyle w:val="ListParagraph"/>
        <w:numPr>
          <w:ilvl w:val="0"/>
          <w:numId w:val="14"/>
        </w:numPr>
      </w:pPr>
      <w:r w:rsidRPr="00A12602">
        <w:t>to support schools and other service providers, and researchers, with high-quality and timely information for analysis and to design evidence-based decisions and strategies for improvements in student learning and wellbeing</w:t>
      </w:r>
    </w:p>
    <w:p w14:paraId="6CA01E29" w14:textId="77777777" w:rsidR="00763328" w:rsidRPr="00A12602" w:rsidRDefault="00763328" w:rsidP="0088045E">
      <w:pPr>
        <w:pStyle w:val="ListParagraph"/>
        <w:numPr>
          <w:ilvl w:val="0"/>
          <w:numId w:val="14"/>
        </w:numPr>
      </w:pPr>
      <w:r w:rsidRPr="00A12602">
        <w:t xml:space="preserve">to support employers and industry with improved information flows that enable competitive recruitment, </w:t>
      </w:r>
      <w:proofErr w:type="gramStart"/>
      <w:r w:rsidRPr="00A12602">
        <w:t>training</w:t>
      </w:r>
      <w:proofErr w:type="gramEnd"/>
      <w:r w:rsidRPr="00A12602">
        <w:t xml:space="preserve"> and services, and reduce the administrative burden associated with collection and reporting</w:t>
      </w:r>
    </w:p>
    <w:p w14:paraId="55B1F73D" w14:textId="77777777" w:rsidR="00763328" w:rsidRPr="00A12602" w:rsidRDefault="00763328" w:rsidP="0088045E">
      <w:pPr>
        <w:pStyle w:val="ListParagraph"/>
        <w:numPr>
          <w:ilvl w:val="0"/>
          <w:numId w:val="14"/>
        </w:numPr>
      </w:pPr>
      <w:r w:rsidRPr="00A12602">
        <w:t>to strengthen DET’s capacity to analyse and report on system and provider performance to improve system management and policy design.</w:t>
      </w:r>
    </w:p>
    <w:p w14:paraId="2E99DB38" w14:textId="1C5B996F" w:rsidR="00763328" w:rsidRPr="00070DE3" w:rsidRDefault="00763328" w:rsidP="00CD7EFA">
      <w:pPr>
        <w:pStyle w:val="Heading2"/>
      </w:pPr>
      <w:bookmarkStart w:id="10" w:name="_Toc93995252"/>
      <w:r w:rsidRPr="00070DE3">
        <w:t xml:space="preserve">Personal information, </w:t>
      </w:r>
      <w:proofErr w:type="gramStart"/>
      <w:r w:rsidRPr="00070DE3">
        <w:t>privacy</w:t>
      </w:r>
      <w:proofErr w:type="gramEnd"/>
      <w:r w:rsidRPr="00070DE3">
        <w:t xml:space="preserve"> and privacy complaints</w:t>
      </w:r>
      <w:bookmarkEnd w:id="10"/>
    </w:p>
    <w:p w14:paraId="2AE01CBB" w14:textId="5F79A709" w:rsidR="00763328" w:rsidRPr="00A63C37" w:rsidRDefault="00763328" w:rsidP="00A63C37">
      <w:pPr>
        <w:pStyle w:val="NoSpacing"/>
      </w:pPr>
      <w:r w:rsidRPr="00A63C37">
        <w:t xml:space="preserve">In performing its data functions DET is committed to protecting the personal information of all identifiable individuals, in accordance with the legislation by which the Department is governed, and the terms of agreements reached with third party providers. </w:t>
      </w:r>
    </w:p>
    <w:p w14:paraId="0B890A92" w14:textId="0037B2EA" w:rsidR="00763328" w:rsidRPr="00A63C37" w:rsidRDefault="00763328" w:rsidP="00A63C37">
      <w:pPr>
        <w:pStyle w:val="NoSpacing"/>
        <w:rPr>
          <w:i/>
        </w:rPr>
      </w:pPr>
      <w:r w:rsidRPr="00CA5F7F">
        <w:t xml:space="preserve">DET complies with the Victorian </w:t>
      </w:r>
      <w:r w:rsidRPr="00CA5F7F">
        <w:rPr>
          <w:i/>
        </w:rPr>
        <w:t>Privacy and Data Protection Act 2014</w:t>
      </w:r>
      <w:r w:rsidRPr="00CA5F7F">
        <w:t xml:space="preserve"> and the </w:t>
      </w:r>
      <w:r w:rsidRPr="00CA5F7F">
        <w:rPr>
          <w:i/>
        </w:rPr>
        <w:t xml:space="preserve">Health Records Act 2001. </w:t>
      </w:r>
      <w:r w:rsidRPr="00CA5F7F">
        <w:t xml:space="preserve">It should also be noted that some recent Victorian legislation modifies the operation of Victorian privacy law, for example the </w:t>
      </w:r>
      <w:r w:rsidRPr="00CA5F7F">
        <w:rPr>
          <w:i/>
        </w:rPr>
        <w:t xml:space="preserve">Family Violence </w:t>
      </w:r>
      <w:r w:rsidRPr="00CA5F7F">
        <w:rPr>
          <w:i/>
        </w:rPr>
        <w:lastRenderedPageBreak/>
        <w:t xml:space="preserve">Protection Act 2008 </w:t>
      </w:r>
      <w:r w:rsidRPr="00CA5F7F">
        <w:t>when its sharing provisions commence</w:t>
      </w:r>
      <w:r w:rsidRPr="00EB5561">
        <w:rPr>
          <w:i/>
        </w:rPr>
        <w:t>.</w:t>
      </w:r>
      <w:r w:rsidRPr="00CA5F7F">
        <w:rPr>
          <w:i/>
        </w:rPr>
        <w:t xml:space="preserve"> </w:t>
      </w:r>
      <w:r w:rsidRPr="00CA5F7F">
        <w:t>For more information concerning legislated provision to facilitate information sharing in specified circumstances, see 2.3 below.</w:t>
      </w:r>
    </w:p>
    <w:p w14:paraId="4D0D104F" w14:textId="61916C18" w:rsidR="00763328" w:rsidRPr="00A63C37" w:rsidRDefault="00763328" w:rsidP="00A63C37">
      <w:pPr>
        <w:pStyle w:val="NoSpacing"/>
      </w:pPr>
      <w:r w:rsidRPr="00070DE3">
        <w:t xml:space="preserve">Where, by reason of agreements reached, DET is also bound by provisions of the legislation of other jurisdictions, such as the Commonwealth </w:t>
      </w:r>
      <w:r w:rsidRPr="00070DE3">
        <w:rPr>
          <w:i/>
        </w:rPr>
        <w:t>Privacy Act 1988</w:t>
      </w:r>
      <w:r>
        <w:rPr>
          <w:i/>
        </w:rPr>
        <w:t xml:space="preserve"> </w:t>
      </w:r>
      <w:r w:rsidRPr="00CA5F7F">
        <w:t>or the European Union’s General Data Protection Regulation</w:t>
      </w:r>
      <w:r>
        <w:t xml:space="preserve"> (GDPR)</w:t>
      </w:r>
      <w:r w:rsidRPr="00070DE3">
        <w:t>, to the extent of any inconsistency, the higher requirement will prevail wherever practicable.</w:t>
      </w:r>
      <w:r w:rsidRPr="00070DE3">
        <w:rPr>
          <w:i/>
        </w:rPr>
        <w:t xml:space="preserve"> </w:t>
      </w:r>
      <w:r w:rsidRPr="00CA5F7F">
        <w:t xml:space="preserve">For example, organisations covered by the </w:t>
      </w:r>
      <w:r>
        <w:t xml:space="preserve">Commonwealth’s </w:t>
      </w:r>
      <w:r w:rsidRPr="00CA5F7F">
        <w:t>Notifiable Data breaches scheme (which takes effect from February 2018), are required to notify any individuals likely to be at risk of serious harm by a data breach. The Australian Information Commi</w:t>
      </w:r>
      <w:r w:rsidRPr="007C38C9">
        <w:t>ssioner must also be notified. However</w:t>
      </w:r>
      <w:r>
        <w:t>,</w:t>
      </w:r>
      <w:r w:rsidRPr="007C38C9">
        <w:t xml:space="preserve"> u</w:t>
      </w:r>
      <w:r w:rsidRPr="00CA5F7F">
        <w:t>nder the Victorian privacy regime law data breach notification is recommended but not mandatory.</w:t>
      </w:r>
      <w:r>
        <w:t xml:space="preserve"> Any breach detected in relation to data supplied by D</w:t>
      </w:r>
      <w:r w:rsidR="001D2A67">
        <w:t>ET</w:t>
      </w:r>
      <w:r>
        <w:t xml:space="preserve"> should be referred to the Data Governance and Policy team in the first instance.</w:t>
      </w:r>
    </w:p>
    <w:p w14:paraId="3333A9D2" w14:textId="06CE9066" w:rsidR="00763328" w:rsidRPr="00A63C37" w:rsidRDefault="00763328" w:rsidP="00A63C37">
      <w:pPr>
        <w:pStyle w:val="NoSpacing"/>
      </w:pPr>
      <w:r w:rsidRPr="001D542C">
        <w:t xml:space="preserve">Persons to whom </w:t>
      </w:r>
      <w:r w:rsidR="001D2A67">
        <w:t>DET</w:t>
      </w:r>
      <w:r w:rsidRPr="001D542C">
        <w:t xml:space="preserve"> discloses </w:t>
      </w:r>
      <w:r>
        <w:t xml:space="preserve">personal information are also bound by and must comply with the Information Privacy Principles (IPPs), Health Privacy Principles (HPPs) or Australian Privacy Principles (APPs) as applicable when collecting, using, managing, </w:t>
      </w:r>
      <w:proofErr w:type="gramStart"/>
      <w:r>
        <w:t>storing</w:t>
      </w:r>
      <w:proofErr w:type="gramEnd"/>
      <w:r>
        <w:t xml:space="preserve"> and disclosing personal information contained in data provided by D</w:t>
      </w:r>
      <w:r w:rsidR="00743F6B">
        <w:t>ET</w:t>
      </w:r>
      <w:r>
        <w:t>.</w:t>
      </w:r>
    </w:p>
    <w:p w14:paraId="6006ACA3" w14:textId="311AAC07" w:rsidR="00763328" w:rsidRPr="0005486D" w:rsidRDefault="00763328" w:rsidP="00A63C37">
      <w:pPr>
        <w:pStyle w:val="NoSpacing"/>
      </w:pPr>
      <w:r w:rsidRPr="0005486D">
        <w:t xml:space="preserve">The </w:t>
      </w:r>
      <w:r w:rsidRPr="0005486D">
        <w:rPr>
          <w:i/>
        </w:rPr>
        <w:t>Privacy and Data Protection Act 2014</w:t>
      </w:r>
      <w:r w:rsidRPr="0005486D">
        <w:t xml:space="preserve"> defines personal information as follows:</w:t>
      </w:r>
    </w:p>
    <w:p w14:paraId="286ACA18" w14:textId="2EC67C09" w:rsidR="00763328" w:rsidRPr="00A63C37" w:rsidRDefault="00763328" w:rsidP="00A63C37">
      <w:pPr>
        <w:pStyle w:val="ListParagraph"/>
      </w:pPr>
      <w:r w:rsidRPr="00A531A4">
        <w:rPr>
          <w:b/>
        </w:rPr>
        <w:t>Personal information</w:t>
      </w:r>
      <w:r w:rsidRPr="000A0085">
        <w:t xml:space="preserve"> means information or an opinion (including information or an opinion forming part of a database), that is recorded in any form and whether true or not, about an individual whose identity is apparent, or can reasonably be ascertained, from the information or opinion, but does not include information of a kind to which the </w:t>
      </w:r>
      <w:r w:rsidRPr="00A531A4">
        <w:rPr>
          <w:b/>
          <w:i/>
        </w:rPr>
        <w:t>Health Records Act 2001</w:t>
      </w:r>
      <w:r w:rsidRPr="000A0085">
        <w:t xml:space="preserve"> applies.</w:t>
      </w:r>
    </w:p>
    <w:p w14:paraId="262B2FDA" w14:textId="4DFD9FFE" w:rsidR="00763328" w:rsidRPr="00A63C37" w:rsidRDefault="00763328" w:rsidP="00A63C37">
      <w:pPr>
        <w:pStyle w:val="NoSpacing"/>
      </w:pPr>
      <w:r w:rsidRPr="0005486D">
        <w:t xml:space="preserve">The </w:t>
      </w:r>
      <w:r w:rsidRPr="0005486D">
        <w:rPr>
          <w:i/>
        </w:rPr>
        <w:t>Health Records Act 2001</w:t>
      </w:r>
      <w:r w:rsidRPr="0005486D">
        <w:t xml:space="preserve"> defines personal information that is health information </w:t>
      </w:r>
      <w:r w:rsidR="004672E0" w:rsidRPr="0005486D">
        <w:t>similarly but</w:t>
      </w:r>
      <w:r w:rsidRPr="0005486D">
        <w:t xml:space="preserve"> note that the privacy of persons who have been deceased for less than 30</w:t>
      </w:r>
      <w:r>
        <w:t xml:space="preserve"> years is also </w:t>
      </w:r>
      <w:r w:rsidRPr="0005486D">
        <w:t xml:space="preserve">protected under this legislation. </w:t>
      </w:r>
    </w:p>
    <w:p w14:paraId="61D78D8B" w14:textId="77777777" w:rsidR="00763328" w:rsidRDefault="00763328" w:rsidP="00A63C37">
      <w:pPr>
        <w:pStyle w:val="NoSpacing"/>
      </w:pPr>
      <w:r>
        <w:t xml:space="preserve">The definition of personal information in the </w:t>
      </w:r>
      <w:r w:rsidRPr="00D46FF1">
        <w:rPr>
          <w:i/>
        </w:rPr>
        <w:t>Privacy Act 1988</w:t>
      </w:r>
      <w:r>
        <w:t xml:space="preserve"> is as follows:</w:t>
      </w:r>
    </w:p>
    <w:p w14:paraId="255DF50D" w14:textId="4D806442" w:rsidR="00763328" w:rsidRPr="00D46FF1" w:rsidRDefault="00624599" w:rsidP="00A63C37">
      <w:pPr>
        <w:pStyle w:val="ListParagraph"/>
        <w:rPr>
          <w:lang w:val="en-US"/>
        </w:rPr>
      </w:pPr>
      <w:r>
        <w:t>I</w:t>
      </w:r>
      <w:r w:rsidR="00763328" w:rsidRPr="00D46FF1">
        <w:t>nformation or an opinion about an identified individual, or an individual who is reasonably identifiable:</w:t>
      </w:r>
    </w:p>
    <w:p w14:paraId="208EA840" w14:textId="458E56C1" w:rsidR="00763328" w:rsidRPr="00D46FF1" w:rsidRDefault="00763328" w:rsidP="00A63C37">
      <w:pPr>
        <w:pStyle w:val="ListParagraph"/>
        <w:rPr>
          <w:lang w:val="en-US"/>
        </w:rPr>
      </w:pPr>
      <w:r>
        <w:t>(a)</w:t>
      </w:r>
      <w:r w:rsidRPr="00D46FF1">
        <w:t xml:space="preserve"> whether the information or opinion is true or not; and</w:t>
      </w:r>
    </w:p>
    <w:p w14:paraId="1BD95F64" w14:textId="77777777" w:rsidR="00763328" w:rsidRPr="00D46FF1" w:rsidRDefault="00763328" w:rsidP="00A63C37">
      <w:pPr>
        <w:pStyle w:val="ListParagraph"/>
        <w:rPr>
          <w:lang w:val="en-US"/>
        </w:rPr>
      </w:pPr>
      <w:r>
        <w:t>(b)</w:t>
      </w:r>
      <w:r w:rsidRPr="00D46FF1">
        <w:t xml:space="preserve"> whether the information or opinion is recorded in a material form or not.</w:t>
      </w:r>
    </w:p>
    <w:p w14:paraId="4CCBBA6F" w14:textId="5118B528" w:rsidR="00763328" w:rsidRPr="00A63C37" w:rsidRDefault="00763328" w:rsidP="00A63C37">
      <w:pPr>
        <w:pStyle w:val="NoSpacing"/>
        <w:numPr>
          <w:ilvl w:val="0"/>
          <w:numId w:val="0"/>
        </w:numPr>
        <w:ind w:left="743"/>
      </w:pPr>
      <w:r>
        <w:t xml:space="preserve">Note that the Commonwealth definition of personal information is broader than the Victorian one since it includes </w:t>
      </w:r>
      <w:r w:rsidRPr="0079795A">
        <w:rPr>
          <w:u w:val="single"/>
        </w:rPr>
        <w:t>unrecorded</w:t>
      </w:r>
      <w:r>
        <w:t xml:space="preserve"> information or opinions.</w:t>
      </w:r>
    </w:p>
    <w:p w14:paraId="3EBC1BA7" w14:textId="662A14D3" w:rsidR="00763328" w:rsidRPr="001D5DD3" w:rsidRDefault="00763328" w:rsidP="00A63C37">
      <w:pPr>
        <w:pStyle w:val="NoSpacing"/>
      </w:pPr>
      <w:r w:rsidRPr="001D5DD3">
        <w:lastRenderedPageBreak/>
        <w:t>To ensure compliance with the above legislative and contractual requirements, D</w:t>
      </w:r>
      <w:r w:rsidR="001D2A67">
        <w:t>ET</w:t>
      </w:r>
      <w:r w:rsidRPr="001D5DD3">
        <w:t xml:space="preserve"> will:</w:t>
      </w:r>
    </w:p>
    <w:p w14:paraId="517D9BA6" w14:textId="77777777" w:rsidR="00763328" w:rsidRDefault="00763328" w:rsidP="0088045E">
      <w:pPr>
        <w:pStyle w:val="ListParagraph"/>
        <w:numPr>
          <w:ilvl w:val="0"/>
          <w:numId w:val="3"/>
        </w:numPr>
        <w:ind w:left="1134" w:hanging="425"/>
        <w:contextualSpacing w:val="0"/>
        <w:rPr>
          <w:szCs w:val="24"/>
        </w:rPr>
      </w:pPr>
      <w:r>
        <w:rPr>
          <w:szCs w:val="24"/>
        </w:rPr>
        <w:t>require clients to:</w:t>
      </w:r>
    </w:p>
    <w:p w14:paraId="5AC9222B" w14:textId="1A9100F5" w:rsidR="00763328" w:rsidRPr="00A63C37" w:rsidRDefault="00763328" w:rsidP="0088045E">
      <w:pPr>
        <w:pStyle w:val="ListParagraph"/>
        <w:numPr>
          <w:ilvl w:val="0"/>
          <w:numId w:val="15"/>
        </w:numPr>
      </w:pPr>
      <w:r w:rsidRPr="00A63C37">
        <w:t>submit applications for data via the Data Request process</w:t>
      </w:r>
    </w:p>
    <w:p w14:paraId="7130B6EA" w14:textId="77777777" w:rsidR="00763328" w:rsidRPr="00A63C37" w:rsidRDefault="00763328" w:rsidP="0088045E">
      <w:pPr>
        <w:pStyle w:val="ListParagraph"/>
        <w:numPr>
          <w:ilvl w:val="0"/>
          <w:numId w:val="15"/>
        </w:numPr>
      </w:pPr>
      <w:r w:rsidRPr="00A63C37">
        <w:t xml:space="preserve">provide all information sought by the Data Governance and Policy team in respect of the request </w:t>
      </w:r>
    </w:p>
    <w:p w14:paraId="74E63367" w14:textId="68307D20" w:rsidR="00763328" w:rsidRPr="00A63C37" w:rsidRDefault="00763328" w:rsidP="0088045E">
      <w:pPr>
        <w:pStyle w:val="ListParagraph"/>
        <w:numPr>
          <w:ilvl w:val="0"/>
          <w:numId w:val="15"/>
        </w:numPr>
      </w:pPr>
      <w:r w:rsidRPr="00A63C37">
        <w:t>modify any requests that are considered by D</w:t>
      </w:r>
      <w:r w:rsidR="001D2A67">
        <w:t>ET</w:t>
      </w:r>
      <w:r w:rsidRPr="00A63C37">
        <w:t xml:space="preserve"> to be inconsistent with legislative and/or contractual requirements</w:t>
      </w:r>
    </w:p>
    <w:p w14:paraId="3E4EF51F" w14:textId="77777777" w:rsidR="00763328" w:rsidRPr="00A63C37" w:rsidRDefault="00763328" w:rsidP="0088045E">
      <w:pPr>
        <w:pStyle w:val="ListParagraph"/>
        <w:numPr>
          <w:ilvl w:val="0"/>
          <w:numId w:val="3"/>
        </w:numPr>
      </w:pPr>
      <w:r w:rsidRPr="00A63C37">
        <w:t>not release unit record files or data that identifies individuals unless specifically authorised or required by law to do so</w:t>
      </w:r>
    </w:p>
    <w:p w14:paraId="761E8618" w14:textId="77777777" w:rsidR="00763328" w:rsidRPr="00A63C37" w:rsidRDefault="00763328" w:rsidP="0088045E">
      <w:pPr>
        <w:pStyle w:val="ListParagraph"/>
        <w:numPr>
          <w:ilvl w:val="0"/>
          <w:numId w:val="3"/>
        </w:numPr>
      </w:pPr>
      <w:r w:rsidRPr="00A63C37">
        <w:t>use appropriate secure file transfer methods to provide data files to clients</w:t>
      </w:r>
    </w:p>
    <w:p w14:paraId="0C0B2CC6" w14:textId="77777777" w:rsidR="00763328" w:rsidRPr="00A63C37" w:rsidRDefault="00763328" w:rsidP="0088045E">
      <w:pPr>
        <w:pStyle w:val="ListParagraph"/>
        <w:numPr>
          <w:ilvl w:val="0"/>
          <w:numId w:val="3"/>
        </w:numPr>
      </w:pPr>
      <w:r w:rsidRPr="00A63C37">
        <w:t>require both external and internal requestors to comply with all specific privacy and data security measures set out in Appendix 1</w:t>
      </w:r>
    </w:p>
    <w:p w14:paraId="23C16AB1" w14:textId="1E297383" w:rsidR="00763328" w:rsidRDefault="00763328" w:rsidP="0088045E">
      <w:pPr>
        <w:pStyle w:val="ListParagraph"/>
        <w:numPr>
          <w:ilvl w:val="0"/>
          <w:numId w:val="3"/>
        </w:numPr>
      </w:pPr>
      <w:r w:rsidRPr="00A63C37">
        <w:t xml:space="preserve">for DET staff, restrict access to ERBI data cubes. Access to ERBI data cubes requires the staff member to submit a Request for Access to ERBI Data Cubes form, which outlines staff responsibilities in relation to the privacy and confidentiality of information they have access to </w:t>
      </w:r>
      <w:proofErr w:type="gramStart"/>
      <w:r w:rsidRPr="00A63C37">
        <w:t>in the course of</w:t>
      </w:r>
      <w:proofErr w:type="gramEnd"/>
      <w:r w:rsidRPr="00A63C37">
        <w:t xml:space="preserve"> their business. This form must be signed by their manager to verify that the staff member requires access to the data in the course of their work. Enquiries regarding access to the data cubes can be sent to </w:t>
      </w:r>
      <w:hyperlink r:id="rId18" w:history="1">
        <w:r w:rsidR="001D2A67" w:rsidRPr="004631BB">
          <w:rPr>
            <w:rStyle w:val="Hyperlink"/>
          </w:rPr>
          <w:t>datazone@education.vic.gov.au</w:t>
        </w:r>
      </w:hyperlink>
    </w:p>
    <w:p w14:paraId="4E26DC12" w14:textId="7AFF4F9B" w:rsidR="00763328" w:rsidRPr="00A63C37" w:rsidRDefault="00763328" w:rsidP="0088045E">
      <w:pPr>
        <w:pStyle w:val="ListParagraph"/>
        <w:numPr>
          <w:ilvl w:val="0"/>
          <w:numId w:val="3"/>
        </w:numPr>
      </w:pPr>
      <w:r w:rsidRPr="00A63C37">
        <w:t xml:space="preserve">disclose data only where the identity of individuals is not apparent and cannot reasonably be ascertained (by providing de-identified or aggregated data; </w:t>
      </w:r>
      <w:r w:rsidR="001D2A67" w:rsidRPr="00A63C37">
        <w:t>generally,</w:t>
      </w:r>
      <w:r w:rsidRPr="00A63C37">
        <w:t xml:space="preserve"> where the cell value is less than five no data is provided). </w:t>
      </w:r>
    </w:p>
    <w:p w14:paraId="6FE52DFE" w14:textId="257252FD" w:rsidR="00763328" w:rsidRPr="00CD6636" w:rsidRDefault="00763328" w:rsidP="00A63C37">
      <w:pPr>
        <w:pStyle w:val="ListParagraph"/>
        <w:ind w:left="1080"/>
      </w:pPr>
      <w:r w:rsidRPr="00A63C37">
        <w:t xml:space="preserve">Aggregated data is generally available in </w:t>
      </w:r>
      <w:proofErr w:type="spellStart"/>
      <w:r w:rsidRPr="00A63C37">
        <w:t>DataZone</w:t>
      </w:r>
      <w:proofErr w:type="spellEnd"/>
      <w:r w:rsidRPr="00A63C37">
        <w:t xml:space="preserve">, which is available to all corporate and regional DET staff but not external clients. </w:t>
      </w:r>
      <w:proofErr w:type="spellStart"/>
      <w:r w:rsidRPr="00A63C37">
        <w:t>DataZone</w:t>
      </w:r>
      <w:proofErr w:type="spellEnd"/>
      <w:r w:rsidRPr="00A63C37">
        <w:t xml:space="preserve"> can be accessed as follows: go through the My Workspace tab on </w:t>
      </w:r>
      <w:proofErr w:type="spellStart"/>
      <w:r w:rsidR="004672E0">
        <w:t>E</w:t>
      </w:r>
      <w:r w:rsidRPr="00A63C37">
        <w:t>duGate</w:t>
      </w:r>
      <w:proofErr w:type="spellEnd"/>
      <w:r w:rsidRPr="00A63C37">
        <w:t xml:space="preserve">, then go to Applications, </w:t>
      </w:r>
      <w:proofErr w:type="gramStart"/>
      <w:r w:rsidRPr="00A63C37">
        <w:t>View</w:t>
      </w:r>
      <w:proofErr w:type="gramEnd"/>
      <w:r w:rsidRPr="00A63C37">
        <w:t xml:space="preserve"> all and click on </w:t>
      </w:r>
      <w:proofErr w:type="spellStart"/>
      <w:r w:rsidRPr="00A63C37">
        <w:t>DataZone</w:t>
      </w:r>
      <w:proofErr w:type="spellEnd"/>
      <w:r w:rsidRPr="00A63C37">
        <w:t>.</w:t>
      </w:r>
    </w:p>
    <w:p w14:paraId="0EC5FB25" w14:textId="6D7954B8" w:rsidR="00763328" w:rsidRPr="00A63C37" w:rsidRDefault="00763328" w:rsidP="00A63C37">
      <w:pPr>
        <w:pStyle w:val="NoSpacing"/>
      </w:pPr>
      <w:r>
        <w:t>If authorised, d</w:t>
      </w:r>
      <w:r w:rsidRPr="00E53FB8">
        <w:t>ata</w:t>
      </w:r>
      <w:r>
        <w:t>, including unit level data where necessary,</w:t>
      </w:r>
      <w:r w:rsidRPr="00E53FB8">
        <w:t xml:space="preserve"> may be disclosed to DET’s contracted service providers </w:t>
      </w:r>
      <w:r>
        <w:t>f</w:t>
      </w:r>
      <w:r w:rsidRPr="00E53FB8">
        <w:t>or the purpose of conducting educational research commissioned by DET</w:t>
      </w:r>
      <w:r>
        <w:t xml:space="preserve"> or other functions on behalf of DET</w:t>
      </w:r>
      <w:r w:rsidRPr="00E53FB8">
        <w:t>.</w:t>
      </w:r>
      <w:r>
        <w:t xml:space="preserve"> </w:t>
      </w:r>
      <w:r w:rsidRPr="00E53FB8">
        <w:t xml:space="preserve">The </w:t>
      </w:r>
      <w:r w:rsidRPr="00E53FB8">
        <w:rPr>
          <w:i/>
        </w:rPr>
        <w:t>Privacy and Data Protection Act 2014</w:t>
      </w:r>
      <w:r w:rsidRPr="00E53FB8">
        <w:t xml:space="preserve"> defines a contracted service provider as a ‘person or body who provides services under a </w:t>
      </w:r>
      <w:proofErr w:type="gramStart"/>
      <w:r w:rsidRPr="00E53FB8">
        <w:t>State</w:t>
      </w:r>
      <w:proofErr w:type="gramEnd"/>
      <w:r w:rsidRPr="00E53FB8">
        <w:t xml:space="preserve"> contract’ to an outsourcing party. </w:t>
      </w:r>
      <w:r w:rsidRPr="00153671">
        <w:t xml:space="preserve">In this case the contracted service providers are bound by their agreements with DET to comply with the legislative and contractual obligations concerning the data by which DET </w:t>
      </w:r>
      <w:r>
        <w:t xml:space="preserve">itself </w:t>
      </w:r>
      <w:r w:rsidRPr="00153671">
        <w:t>is bound</w:t>
      </w:r>
      <w:r>
        <w:t>, for example to comply with the Information Privacy Principles</w:t>
      </w:r>
      <w:r w:rsidRPr="00153671">
        <w:t>.</w:t>
      </w:r>
    </w:p>
    <w:p w14:paraId="2F0D7ED0" w14:textId="571A1A1B" w:rsidR="00763328" w:rsidRPr="00A63C37" w:rsidRDefault="00763328" w:rsidP="00A63C37">
      <w:pPr>
        <w:pStyle w:val="NoSpacing"/>
      </w:pPr>
      <w:r w:rsidRPr="0092519B">
        <w:t xml:space="preserve">Any individual or group wishing to make a complaint </w:t>
      </w:r>
      <w:r>
        <w:t xml:space="preserve">about </w:t>
      </w:r>
      <w:r w:rsidRPr="0092519B">
        <w:t xml:space="preserve">the </w:t>
      </w:r>
      <w:r>
        <w:t xml:space="preserve">handling </w:t>
      </w:r>
      <w:r w:rsidRPr="0092519B">
        <w:t xml:space="preserve">of data supplied </w:t>
      </w:r>
      <w:r>
        <w:t xml:space="preserve">to a third party </w:t>
      </w:r>
      <w:r w:rsidRPr="0092519B">
        <w:t>by D</w:t>
      </w:r>
      <w:r w:rsidR="001D2A67">
        <w:t>ET</w:t>
      </w:r>
      <w:r w:rsidRPr="0092519B">
        <w:t xml:space="preserve"> should</w:t>
      </w:r>
      <w:r>
        <w:t>,</w:t>
      </w:r>
      <w:r w:rsidRPr="0092519B">
        <w:t xml:space="preserve"> in the first instance</w:t>
      </w:r>
      <w:r>
        <w:t>,</w:t>
      </w:r>
      <w:r w:rsidRPr="0092519B">
        <w:t xml:space="preserve"> lodge that complaint with </w:t>
      </w:r>
      <w:r>
        <w:t xml:space="preserve">the </w:t>
      </w:r>
      <w:r w:rsidR="001D2A67">
        <w:t>third-party</w:t>
      </w:r>
      <w:r>
        <w:t xml:space="preserve"> </w:t>
      </w:r>
      <w:r w:rsidRPr="0092519B">
        <w:t>data user concerned.</w:t>
      </w:r>
    </w:p>
    <w:p w14:paraId="6873CE42" w14:textId="0DE10568" w:rsidR="00763328" w:rsidRPr="00A63C37" w:rsidRDefault="00763328" w:rsidP="00A63C37">
      <w:pPr>
        <w:pStyle w:val="NoSpacing"/>
      </w:pPr>
      <w:r>
        <w:lastRenderedPageBreak/>
        <w:t>I</w:t>
      </w:r>
      <w:r w:rsidRPr="0092519B">
        <w:t>ndividuals or groups not satisfied with the outcome of a complaint lodged with a user of data supplied by D</w:t>
      </w:r>
      <w:r w:rsidR="001D2A67">
        <w:t>ET</w:t>
      </w:r>
      <w:r>
        <w:t xml:space="preserve"> </w:t>
      </w:r>
      <w:r w:rsidRPr="0092519B">
        <w:t>may raise the issue with D</w:t>
      </w:r>
      <w:r w:rsidR="001D2A67">
        <w:t>ET</w:t>
      </w:r>
      <w:r w:rsidRPr="0092519B">
        <w:t xml:space="preserve"> </w:t>
      </w:r>
      <w:r w:rsidR="001D2A67">
        <w:t xml:space="preserve">via </w:t>
      </w:r>
      <w:hyperlink r:id="rId19" w:history="1">
        <w:r w:rsidR="004E62E2">
          <w:rPr>
            <w:rStyle w:val="Hyperlink"/>
          </w:rPr>
          <w:t>reporting.and.data.services@education.vic.gov.au</w:t>
        </w:r>
      </w:hyperlink>
      <w:r>
        <w:t>.</w:t>
      </w:r>
    </w:p>
    <w:p w14:paraId="3DBCA0C7" w14:textId="14494B54" w:rsidR="003E6E79" w:rsidRDefault="00763328" w:rsidP="00A63C37">
      <w:pPr>
        <w:pStyle w:val="NoSpacing"/>
        <w:rPr>
          <w:lang w:val="en-US" w:eastAsia="en-AU"/>
        </w:rPr>
      </w:pPr>
      <w:r w:rsidRPr="0092519B">
        <w:rPr>
          <w:lang w:val="en-US"/>
        </w:rPr>
        <w:t xml:space="preserve">DET will be efficient and fair when investigating and responding to complaints concerning information privacy. DET will investigate and respond to complaints in accordance with the Department's </w:t>
      </w:r>
      <w:r w:rsidRPr="0092519B">
        <w:rPr>
          <w:i/>
          <w:iCs/>
          <w:lang w:val="en-US"/>
        </w:rPr>
        <w:t>Information Privacy Complaints Handling Policy</w:t>
      </w:r>
      <w:r w:rsidRPr="0092519B">
        <w:rPr>
          <w:lang w:val="en-US"/>
        </w:rPr>
        <w:t xml:space="preserve">. For more information about DET’s Information Privacy Policy and how to make a </w:t>
      </w:r>
      <w:r>
        <w:rPr>
          <w:lang w:val="en-US"/>
        </w:rPr>
        <w:t xml:space="preserve">privacy </w:t>
      </w:r>
      <w:r w:rsidRPr="0092519B">
        <w:rPr>
          <w:lang w:val="en-US"/>
        </w:rPr>
        <w:t xml:space="preserve">complaint, </w:t>
      </w:r>
      <w:r w:rsidRPr="000F14EB">
        <w:rPr>
          <w:lang w:val="en-US" w:eastAsia="en-AU"/>
        </w:rPr>
        <w:t xml:space="preserve">please </w:t>
      </w:r>
      <w:r>
        <w:rPr>
          <w:lang w:val="en-US" w:eastAsia="en-AU"/>
        </w:rPr>
        <w:t xml:space="preserve">go to </w:t>
      </w:r>
      <w:hyperlink r:id="rId20" w:history="1">
        <w:r w:rsidRPr="00C615EF">
          <w:rPr>
            <w:rStyle w:val="Hyperlink"/>
            <w:lang w:val="en-US" w:eastAsia="en-AU"/>
          </w:rPr>
          <w:t>http://www.education.vic.gov.au/pages/privacypolicy.aspx</w:t>
        </w:r>
      </w:hyperlink>
      <w:r>
        <w:rPr>
          <w:lang w:val="en-US" w:eastAsia="en-AU"/>
        </w:rPr>
        <w:t xml:space="preserve"> or </w:t>
      </w:r>
      <w:r w:rsidRPr="000F14EB">
        <w:rPr>
          <w:lang w:val="en-US" w:eastAsia="en-AU"/>
        </w:rPr>
        <w:t xml:space="preserve">contact the Department’s privacy officer on </w:t>
      </w:r>
      <w:hyperlink r:id="rId21" w:history="1">
        <w:r w:rsidR="001D2A67" w:rsidRPr="004631BB">
          <w:rPr>
            <w:rStyle w:val="Hyperlink"/>
            <w:lang w:val="en-US" w:eastAsia="en-AU"/>
          </w:rPr>
          <w:t>privacy@education.vic.gov.au</w:t>
        </w:r>
      </w:hyperlink>
      <w:r w:rsidRPr="000F14EB">
        <w:rPr>
          <w:lang w:val="en-US" w:eastAsia="en-AU"/>
        </w:rPr>
        <w:t>.</w:t>
      </w:r>
    </w:p>
    <w:p w14:paraId="6B8A780E" w14:textId="5A6630D7" w:rsidR="00763328" w:rsidRPr="002A1E4F" w:rsidRDefault="00763328" w:rsidP="00CD7EFA">
      <w:pPr>
        <w:pStyle w:val="Heading2"/>
      </w:pPr>
      <w:bookmarkStart w:id="11" w:name="_Toc93995253"/>
      <w:r w:rsidRPr="002A1E4F">
        <w:t>Information sharing provisions</w:t>
      </w:r>
      <w:bookmarkEnd w:id="11"/>
    </w:p>
    <w:p w14:paraId="5C139E3D" w14:textId="195AFC7F" w:rsidR="00763328" w:rsidRPr="003E6E79" w:rsidRDefault="00763328" w:rsidP="00763328">
      <w:pPr>
        <w:pStyle w:val="NoSpacing"/>
        <w:rPr>
          <w:lang w:val="en-US"/>
        </w:rPr>
      </w:pPr>
      <w:r w:rsidRPr="002A1E4F">
        <w:t xml:space="preserve">The Victorian government is introducing a </w:t>
      </w:r>
      <w:r>
        <w:t xml:space="preserve">range of </w:t>
      </w:r>
      <w:r>
        <w:rPr>
          <w:lang w:val="en-US"/>
        </w:rPr>
        <w:t xml:space="preserve">legislation intended to </w:t>
      </w:r>
      <w:proofErr w:type="spellStart"/>
      <w:r>
        <w:rPr>
          <w:lang w:val="en-US"/>
        </w:rPr>
        <w:t>modernise</w:t>
      </w:r>
      <w:proofErr w:type="spellEnd"/>
      <w:r>
        <w:rPr>
          <w:lang w:val="en-US"/>
        </w:rPr>
        <w:t xml:space="preserve"> Victoria’s data and information sharing regime. </w:t>
      </w:r>
    </w:p>
    <w:p w14:paraId="5E388C44" w14:textId="02DBD4C2" w:rsidR="00763328" w:rsidRPr="00A63C37" w:rsidRDefault="00763328" w:rsidP="00A63C37">
      <w:pPr>
        <w:pStyle w:val="NoSpacing"/>
        <w:rPr>
          <w:lang w:val="en-US"/>
        </w:rPr>
      </w:pPr>
      <w:r>
        <w:rPr>
          <w:lang w:val="en-US"/>
        </w:rPr>
        <w:t>In 2017</w:t>
      </w:r>
      <w:r w:rsidRPr="002A1E4F">
        <w:rPr>
          <w:i/>
          <w:lang w:val="en-US"/>
        </w:rPr>
        <w:t>,</w:t>
      </w:r>
      <w:r>
        <w:rPr>
          <w:lang w:val="en-US"/>
        </w:rPr>
        <w:t xml:space="preserve"> </w:t>
      </w:r>
      <w:r w:rsidRPr="002A1E4F">
        <w:rPr>
          <w:i/>
          <w:lang w:val="en-US"/>
        </w:rPr>
        <w:t xml:space="preserve">the Family Violence Protection Amendment (Information Sharing) Act </w:t>
      </w:r>
      <w:r>
        <w:rPr>
          <w:i/>
          <w:lang w:val="en-US"/>
        </w:rPr>
        <w:t xml:space="preserve">2017 </w:t>
      </w:r>
      <w:r>
        <w:rPr>
          <w:lang w:val="en-US"/>
        </w:rPr>
        <w:t xml:space="preserve">was passed, </w:t>
      </w:r>
      <w:r w:rsidRPr="00CD6636">
        <w:rPr>
          <w:lang w:val="en-US"/>
        </w:rPr>
        <w:t xml:space="preserve">amending the </w:t>
      </w:r>
      <w:r w:rsidRPr="002A1E4F">
        <w:rPr>
          <w:i/>
          <w:lang w:val="en-US"/>
        </w:rPr>
        <w:t>Family Violence Protection Act 2008</w:t>
      </w:r>
      <w:r w:rsidRPr="00CD6636">
        <w:rPr>
          <w:lang w:val="en-US"/>
        </w:rPr>
        <w:t xml:space="preserve"> for the purpose of </w:t>
      </w:r>
      <w:r w:rsidRPr="002A1E4F">
        <w:rPr>
          <w:lang w:val="en-US"/>
        </w:rPr>
        <w:t xml:space="preserve">providing for the sharing of information that is relevant to assessing and managing a risk of family violence. As </w:t>
      </w:r>
      <w:proofErr w:type="gramStart"/>
      <w:r w:rsidRPr="002A1E4F">
        <w:rPr>
          <w:lang w:val="en-US"/>
        </w:rPr>
        <w:t>at</w:t>
      </w:r>
      <w:proofErr w:type="gramEnd"/>
      <w:r w:rsidRPr="002A1E4F">
        <w:rPr>
          <w:lang w:val="en-US"/>
        </w:rPr>
        <w:t xml:space="preserve"> December 2017 not all relevant sections have commenced operation.</w:t>
      </w:r>
    </w:p>
    <w:p w14:paraId="0E701522" w14:textId="2CBCE1EE" w:rsidR="00763328" w:rsidRPr="00A63C37" w:rsidRDefault="00763328" w:rsidP="00A63C37">
      <w:pPr>
        <w:pStyle w:val="NoSpacing"/>
        <w:rPr>
          <w:lang w:val="en-US"/>
        </w:rPr>
      </w:pPr>
      <w:r w:rsidRPr="002A1E4F">
        <w:rPr>
          <w:lang w:val="en-US"/>
        </w:rPr>
        <w:t xml:space="preserve">Also in 2017, </w:t>
      </w:r>
      <w:r>
        <w:rPr>
          <w:lang w:val="en-US"/>
        </w:rPr>
        <w:t xml:space="preserve">the </w:t>
      </w:r>
      <w:r w:rsidRPr="002A1E4F">
        <w:rPr>
          <w:i/>
          <w:lang w:val="en-US"/>
        </w:rPr>
        <w:t>Victorian Data Sharing Act 2017</w:t>
      </w:r>
      <w:r>
        <w:rPr>
          <w:lang w:val="en-US"/>
        </w:rPr>
        <w:t xml:space="preserve"> commenced operation on 6 December 2017. This Act gives express authority for government to share identifiable data for the purpose of data </w:t>
      </w:r>
      <w:r w:rsidR="00AB7AC2">
        <w:rPr>
          <w:lang w:val="en-US"/>
        </w:rPr>
        <w:t>linkage and</w:t>
      </w:r>
      <w:r>
        <w:rPr>
          <w:lang w:val="en-US"/>
        </w:rPr>
        <w:t xml:space="preserve"> provides a general override of secrecy and confidentiality provisions in other legislation. Data must be handled under this Act only for the purpose of informing government policy making, service planning and design.</w:t>
      </w:r>
    </w:p>
    <w:p w14:paraId="567784FA" w14:textId="302008C4" w:rsidR="00763328" w:rsidRDefault="00763328" w:rsidP="00A63C37">
      <w:pPr>
        <w:pStyle w:val="NoSpacing"/>
        <w:rPr>
          <w:lang w:val="en-US"/>
        </w:rPr>
      </w:pPr>
      <w:r>
        <w:rPr>
          <w:lang w:val="en-US"/>
        </w:rPr>
        <w:t xml:space="preserve">Further, the Children Legislation Amendment (Information Sharing) Bill 2017 was introduced into the Legislative Assembly in December 2017. The Bill is for an Act to amend the </w:t>
      </w:r>
      <w:r w:rsidRPr="00B50A95">
        <w:rPr>
          <w:i/>
          <w:lang w:val="en-US"/>
        </w:rPr>
        <w:t>Child Wellbeing and Safety Act 2005</w:t>
      </w:r>
      <w:r>
        <w:rPr>
          <w:i/>
          <w:lang w:val="en-US"/>
        </w:rPr>
        <w:t>,</w:t>
      </w:r>
      <w:r>
        <w:rPr>
          <w:lang w:val="en-US"/>
        </w:rPr>
        <w:t xml:space="preserve"> primarily to provide for specific entities to share information to promote the wellbeing and safety of children, to create a register of children born or resident in Victoria to improve child wellbeing and safety outcomes for those children and to monitor and support their participation in government-funded programs and services.</w:t>
      </w:r>
      <w:r w:rsidRPr="00EB5561">
        <w:rPr>
          <w:lang w:val="en-US"/>
        </w:rPr>
        <w:t xml:space="preserve"> This Protocol will be updated </w:t>
      </w:r>
      <w:proofErr w:type="gramStart"/>
      <w:r w:rsidRPr="00EB5561">
        <w:rPr>
          <w:lang w:val="en-US"/>
        </w:rPr>
        <w:t>subsequent to</w:t>
      </w:r>
      <w:proofErr w:type="gramEnd"/>
      <w:r w:rsidRPr="00EB5561">
        <w:rPr>
          <w:lang w:val="en-US"/>
        </w:rPr>
        <w:t xml:space="preserve"> further legislative change that addresses information sharing.</w:t>
      </w:r>
    </w:p>
    <w:p w14:paraId="5926A0E3" w14:textId="6E759B77" w:rsidR="00763328" w:rsidRPr="002A1E4F" w:rsidRDefault="00763328" w:rsidP="00CD7EFA">
      <w:pPr>
        <w:pStyle w:val="Heading2"/>
      </w:pPr>
      <w:bookmarkStart w:id="12" w:name="_Toc93995254"/>
      <w:r w:rsidRPr="002A1E4F">
        <w:t>Data security</w:t>
      </w:r>
      <w:bookmarkEnd w:id="12"/>
    </w:p>
    <w:p w14:paraId="39F7195B" w14:textId="7D97B3EC" w:rsidR="00763328" w:rsidRDefault="00763328" w:rsidP="000A6583">
      <w:pPr>
        <w:pStyle w:val="NoSpacing"/>
      </w:pPr>
      <w:r w:rsidRPr="00764EE8">
        <w:t xml:space="preserve">DET has established </w:t>
      </w:r>
      <w:r>
        <w:t xml:space="preserve">policies including </w:t>
      </w:r>
      <w:r w:rsidRPr="00764EE8">
        <w:t>the following</w:t>
      </w:r>
      <w:r w:rsidRPr="00764EE8">
        <w:rPr>
          <w:b/>
        </w:rPr>
        <w:t xml:space="preserve"> </w:t>
      </w:r>
      <w:r>
        <w:t>requiring compliance by DET’s executive and officers (including by internal DET applicants for data):</w:t>
      </w:r>
    </w:p>
    <w:p w14:paraId="57947952" w14:textId="77777777" w:rsidR="00763328" w:rsidRDefault="00763328" w:rsidP="0088045E">
      <w:pPr>
        <w:pStyle w:val="ListParagraph"/>
        <w:numPr>
          <w:ilvl w:val="0"/>
          <w:numId w:val="4"/>
        </w:numPr>
        <w:rPr>
          <w:szCs w:val="24"/>
        </w:rPr>
      </w:pPr>
      <w:r w:rsidRPr="00764EE8">
        <w:rPr>
          <w:szCs w:val="24"/>
        </w:rPr>
        <w:lastRenderedPageBreak/>
        <w:t>DET Information Security Classification Policy</w:t>
      </w:r>
      <w:r>
        <w:rPr>
          <w:szCs w:val="24"/>
        </w:rPr>
        <w:t xml:space="preserve"> (February 2015)</w:t>
      </w:r>
    </w:p>
    <w:p w14:paraId="75FF20A4" w14:textId="77777777" w:rsidR="00763328" w:rsidRPr="002A1E4F" w:rsidRDefault="00763328" w:rsidP="0088045E">
      <w:pPr>
        <w:pStyle w:val="ListParagraph"/>
        <w:numPr>
          <w:ilvl w:val="0"/>
          <w:numId w:val="4"/>
        </w:numPr>
        <w:spacing w:after="0"/>
        <w:rPr>
          <w:szCs w:val="24"/>
        </w:rPr>
      </w:pPr>
      <w:r>
        <w:rPr>
          <w:szCs w:val="24"/>
        </w:rPr>
        <w:t>ICT Security Policy (June 2017)</w:t>
      </w:r>
    </w:p>
    <w:p w14:paraId="57943C52" w14:textId="77777777" w:rsidR="00763328" w:rsidRDefault="00763328" w:rsidP="0088045E">
      <w:pPr>
        <w:pStyle w:val="ListParagraph"/>
        <w:numPr>
          <w:ilvl w:val="0"/>
          <w:numId w:val="4"/>
        </w:numPr>
        <w:rPr>
          <w:szCs w:val="24"/>
        </w:rPr>
      </w:pPr>
      <w:r>
        <w:rPr>
          <w:szCs w:val="24"/>
        </w:rPr>
        <w:t>ICT Security Incident Policy (January 2015)</w:t>
      </w:r>
    </w:p>
    <w:p w14:paraId="6CDB02A8" w14:textId="77777777" w:rsidR="00763328" w:rsidRDefault="00763328" w:rsidP="0088045E">
      <w:pPr>
        <w:pStyle w:val="ListParagraph"/>
        <w:numPr>
          <w:ilvl w:val="0"/>
          <w:numId w:val="4"/>
        </w:numPr>
        <w:rPr>
          <w:szCs w:val="24"/>
        </w:rPr>
      </w:pPr>
      <w:r>
        <w:rPr>
          <w:szCs w:val="24"/>
        </w:rPr>
        <w:t>ICT Disaster Recovery Policy (April 2016)</w:t>
      </w:r>
    </w:p>
    <w:p w14:paraId="2901E450" w14:textId="77777777" w:rsidR="00763328" w:rsidRDefault="00763328" w:rsidP="0088045E">
      <w:pPr>
        <w:pStyle w:val="ListParagraph"/>
        <w:numPr>
          <w:ilvl w:val="0"/>
          <w:numId w:val="4"/>
        </w:numPr>
        <w:rPr>
          <w:szCs w:val="24"/>
        </w:rPr>
      </w:pPr>
      <w:r>
        <w:rPr>
          <w:szCs w:val="24"/>
        </w:rPr>
        <w:t>Password Policy (June 2017)</w:t>
      </w:r>
    </w:p>
    <w:p w14:paraId="48A09F83" w14:textId="77777777" w:rsidR="00763328" w:rsidRDefault="00763328" w:rsidP="0088045E">
      <w:pPr>
        <w:pStyle w:val="ListParagraph"/>
        <w:numPr>
          <w:ilvl w:val="0"/>
          <w:numId w:val="4"/>
        </w:numPr>
        <w:rPr>
          <w:szCs w:val="24"/>
        </w:rPr>
      </w:pPr>
      <w:r>
        <w:rPr>
          <w:szCs w:val="24"/>
        </w:rPr>
        <w:t>Information Privacy Policy (February 2016)</w:t>
      </w:r>
    </w:p>
    <w:p w14:paraId="5514453F" w14:textId="77777777" w:rsidR="00763328" w:rsidRPr="00B35914" w:rsidRDefault="00763328" w:rsidP="0088045E">
      <w:pPr>
        <w:pStyle w:val="ListParagraph"/>
        <w:numPr>
          <w:ilvl w:val="0"/>
          <w:numId w:val="4"/>
        </w:numPr>
        <w:rPr>
          <w:szCs w:val="24"/>
        </w:rPr>
      </w:pPr>
      <w:r w:rsidRPr="007C38C9">
        <w:rPr>
          <w:szCs w:val="24"/>
        </w:rPr>
        <w:t>Portable Storage Device Security Policy (For SENSITIVE and PROTECTED Dep</w:t>
      </w:r>
      <w:r w:rsidRPr="00B35914">
        <w:rPr>
          <w:szCs w:val="24"/>
        </w:rPr>
        <w:t xml:space="preserve">artmental information) (November 2015) </w:t>
      </w:r>
    </w:p>
    <w:p w14:paraId="05B167DE" w14:textId="65343157" w:rsidR="00763328" w:rsidRDefault="00763328" w:rsidP="0088045E">
      <w:pPr>
        <w:pStyle w:val="ListParagraph"/>
        <w:numPr>
          <w:ilvl w:val="0"/>
          <w:numId w:val="4"/>
        </w:numPr>
        <w:rPr>
          <w:szCs w:val="24"/>
        </w:rPr>
      </w:pPr>
      <w:r w:rsidRPr="00C87F40">
        <w:rPr>
          <w:szCs w:val="24"/>
        </w:rPr>
        <w:t>Records Management Policy (February 2011)</w:t>
      </w:r>
    </w:p>
    <w:p w14:paraId="01EA6B4C" w14:textId="77777777" w:rsidR="00763328" w:rsidRPr="002A1E4F" w:rsidRDefault="00763328" w:rsidP="000A6583">
      <w:pPr>
        <w:pStyle w:val="NoSpacing"/>
        <w:numPr>
          <w:ilvl w:val="0"/>
          <w:numId w:val="0"/>
        </w:numPr>
        <w:ind w:left="743"/>
      </w:pPr>
      <w:r w:rsidRPr="002A1E4F">
        <w:t xml:space="preserve">A </w:t>
      </w:r>
      <w:r>
        <w:t xml:space="preserve">DET </w:t>
      </w:r>
      <w:r w:rsidRPr="002A1E4F">
        <w:t>Data R</w:t>
      </w:r>
      <w:r w:rsidRPr="007C38C9">
        <w:t>elease Policy is currently under</w:t>
      </w:r>
      <w:r w:rsidRPr="00B35914">
        <w:t xml:space="preserve"> development</w:t>
      </w:r>
      <w:r w:rsidRPr="002A1E4F">
        <w:t>.</w:t>
      </w:r>
    </w:p>
    <w:p w14:paraId="6AE61715" w14:textId="3002B082" w:rsidR="00763328" w:rsidRPr="000A6583" w:rsidRDefault="00763328" w:rsidP="000A6583">
      <w:pPr>
        <w:pStyle w:val="NoSpacing"/>
      </w:pPr>
      <w:r w:rsidRPr="007C38C9">
        <w:t xml:space="preserve">DET also complies with any security policies or procedures issued from time to time </w:t>
      </w:r>
      <w:r w:rsidRPr="00654E43">
        <w:t xml:space="preserve">by the </w:t>
      </w:r>
      <w:r w:rsidRPr="002A1E4F">
        <w:t>Information Commissioner and the Commissioner for Privacy and Data Protection Deputy Commissioner</w:t>
      </w:r>
      <w:r w:rsidRPr="00654E43">
        <w:t xml:space="preserve">, pursuant to the </w:t>
      </w:r>
      <w:r w:rsidRPr="00654E43">
        <w:rPr>
          <w:i/>
        </w:rPr>
        <w:t xml:space="preserve">Privacy and Data Protection Act 2014 </w:t>
      </w:r>
      <w:r w:rsidRPr="00654E43">
        <w:t>(Vic).</w:t>
      </w:r>
    </w:p>
    <w:p w14:paraId="487F4757" w14:textId="27FE38C0" w:rsidR="00763328" w:rsidRPr="000A6583" w:rsidRDefault="00763328" w:rsidP="000A6583">
      <w:pPr>
        <w:pStyle w:val="NoSpacing"/>
      </w:pPr>
      <w:r>
        <w:t xml:space="preserve">IPP 4 of Schedule 1 to that act requires DET to take reasonable steps to protect the personal information it holds from misuse or loss and from unauthorised access, </w:t>
      </w:r>
      <w:proofErr w:type="gramStart"/>
      <w:r>
        <w:t>modification</w:t>
      </w:r>
      <w:proofErr w:type="gramEnd"/>
      <w:r>
        <w:t xml:space="preserve"> and disclosure. </w:t>
      </w:r>
      <w:r w:rsidRPr="006801C0">
        <w:t xml:space="preserve">In addition, the Victorian Protective Data Security Framework (VPDSF) </w:t>
      </w:r>
      <w:r w:rsidRPr="002A1E4F">
        <w:t>and Victorian Protective Data Security Standards (VPDSS)</w:t>
      </w:r>
      <w:r w:rsidRPr="006801C0">
        <w:t xml:space="preserve"> provide implementation guidance on data security for the Victorian public sector. </w:t>
      </w:r>
      <w:r>
        <w:t xml:space="preserve">Both internal and external applicants are expected to inform themselves about and comply with the privacy and data protection regime that is applicable to their own organisation, </w:t>
      </w:r>
      <w:r w:rsidR="00AB7AC2">
        <w:t xml:space="preserve">but, in any case, </w:t>
      </w:r>
      <w:r>
        <w:t xml:space="preserve">must agree to comply with the specific privacy and data protection measures set out in Appendix </w:t>
      </w:r>
      <w:r w:rsidR="008656E9">
        <w:t>1</w:t>
      </w:r>
      <w:r>
        <w:t xml:space="preserve"> before any data will be supplied by D</w:t>
      </w:r>
      <w:r w:rsidR="00743F6B">
        <w:t>ET</w:t>
      </w:r>
      <w:r>
        <w:t>.</w:t>
      </w:r>
    </w:p>
    <w:p w14:paraId="55E0B2DD" w14:textId="23E80DA2" w:rsidR="00763328" w:rsidRPr="002A1E4F" w:rsidRDefault="00763328" w:rsidP="00CD7EFA">
      <w:pPr>
        <w:pStyle w:val="Heading2"/>
      </w:pPr>
      <w:bookmarkStart w:id="13" w:name="_Toc93995255"/>
      <w:r w:rsidRPr="002A1E4F">
        <w:t>Data quality</w:t>
      </w:r>
      <w:bookmarkEnd w:id="13"/>
    </w:p>
    <w:p w14:paraId="283AB575" w14:textId="162C4866" w:rsidR="00763328" w:rsidRDefault="00763328" w:rsidP="000A6583">
      <w:pPr>
        <w:pStyle w:val="NoSpacing"/>
      </w:pPr>
      <w:r w:rsidRPr="00137FA0">
        <w:t>D</w:t>
      </w:r>
      <w:r w:rsidR="00743F6B">
        <w:t>ET</w:t>
      </w:r>
      <w:r w:rsidRPr="00137FA0">
        <w:t xml:space="preserve"> </w:t>
      </w:r>
      <w:r>
        <w:t xml:space="preserve">has introduced </w:t>
      </w:r>
      <w:r w:rsidR="00D63648">
        <w:t>several</w:t>
      </w:r>
      <w:r>
        <w:t xml:space="preserve"> measures to ensure that:</w:t>
      </w:r>
    </w:p>
    <w:p w14:paraId="6E662FCA" w14:textId="12DE01D7" w:rsidR="00763328" w:rsidRDefault="00763328" w:rsidP="0088045E">
      <w:pPr>
        <w:pStyle w:val="ListParagraph"/>
        <w:numPr>
          <w:ilvl w:val="0"/>
          <w:numId w:val="2"/>
        </w:numPr>
        <w:rPr>
          <w:szCs w:val="24"/>
        </w:rPr>
      </w:pPr>
      <w:r>
        <w:rPr>
          <w:szCs w:val="24"/>
        </w:rPr>
        <w:t xml:space="preserve">the data it holds, including personal information contained in the data, is as accurate, </w:t>
      </w:r>
      <w:r w:rsidR="00D63648">
        <w:rPr>
          <w:szCs w:val="24"/>
        </w:rPr>
        <w:t>complete,</w:t>
      </w:r>
      <w:r>
        <w:rPr>
          <w:szCs w:val="24"/>
        </w:rPr>
        <w:t xml:space="preserve"> and up to date as possible as required by the </w:t>
      </w:r>
      <w:r w:rsidRPr="00137FA0">
        <w:rPr>
          <w:i/>
          <w:szCs w:val="24"/>
        </w:rPr>
        <w:t>Privacy and Data Protection Act 2014</w:t>
      </w:r>
      <w:r>
        <w:rPr>
          <w:szCs w:val="24"/>
        </w:rPr>
        <w:t xml:space="preserve"> (Vic)</w:t>
      </w:r>
    </w:p>
    <w:p w14:paraId="61443A9D" w14:textId="77777777" w:rsidR="00763328" w:rsidRDefault="00763328" w:rsidP="0088045E">
      <w:pPr>
        <w:pStyle w:val="ListParagraph"/>
        <w:numPr>
          <w:ilvl w:val="0"/>
          <w:numId w:val="2"/>
        </w:numPr>
        <w:rPr>
          <w:szCs w:val="24"/>
        </w:rPr>
      </w:pPr>
      <w:r>
        <w:rPr>
          <w:szCs w:val="24"/>
        </w:rPr>
        <w:t xml:space="preserve">requests for data are assessed in a consistent manner (see 3.2 </w:t>
      </w:r>
      <w:r w:rsidRPr="00654E43">
        <w:rPr>
          <w:szCs w:val="24"/>
        </w:rPr>
        <w:t>below)</w:t>
      </w:r>
      <w:r>
        <w:rPr>
          <w:szCs w:val="24"/>
        </w:rPr>
        <w:t xml:space="preserve"> </w:t>
      </w:r>
    </w:p>
    <w:p w14:paraId="61CC4440" w14:textId="50434881" w:rsidR="00763328" w:rsidRPr="000A6583" w:rsidRDefault="00763328" w:rsidP="0088045E">
      <w:pPr>
        <w:pStyle w:val="ListParagraph"/>
        <w:numPr>
          <w:ilvl w:val="0"/>
          <w:numId w:val="2"/>
        </w:numPr>
        <w:rPr>
          <w:szCs w:val="24"/>
        </w:rPr>
      </w:pPr>
      <w:r>
        <w:rPr>
          <w:szCs w:val="24"/>
        </w:rPr>
        <w:t>where applicable, data requested is provided within the time frames set out in the D</w:t>
      </w:r>
      <w:r w:rsidR="001D2A67">
        <w:rPr>
          <w:szCs w:val="24"/>
        </w:rPr>
        <w:t>ET</w:t>
      </w:r>
      <w:r>
        <w:rPr>
          <w:szCs w:val="24"/>
        </w:rPr>
        <w:t xml:space="preserve"> Data Request form.</w:t>
      </w:r>
    </w:p>
    <w:p w14:paraId="74633F50" w14:textId="440C0A60" w:rsidR="00763328" w:rsidRPr="000F0D31" w:rsidRDefault="00763328" w:rsidP="00CD7EFA">
      <w:pPr>
        <w:pStyle w:val="Heading2"/>
      </w:pPr>
      <w:bookmarkStart w:id="14" w:name="_Toc93995256"/>
      <w:r w:rsidRPr="000F0D31">
        <w:t>Accountability</w:t>
      </w:r>
      <w:bookmarkEnd w:id="14"/>
    </w:p>
    <w:p w14:paraId="4D7C6CAA" w14:textId="7CFB8436" w:rsidR="00763328" w:rsidRPr="000A6583" w:rsidRDefault="00763328" w:rsidP="000A6583">
      <w:pPr>
        <w:pStyle w:val="NoSpacing"/>
      </w:pPr>
      <w:r>
        <w:t>Applicants are responsible for the completeness and accuracy of all information included in a data request to D</w:t>
      </w:r>
      <w:r w:rsidR="001D2A67">
        <w:t>ET</w:t>
      </w:r>
      <w:r>
        <w:t xml:space="preserve">. An </w:t>
      </w:r>
      <w:r w:rsidRPr="00BA1C37">
        <w:t>authorising officer</w:t>
      </w:r>
      <w:r>
        <w:t xml:space="preserve"> must endorse each </w:t>
      </w:r>
      <w:r>
        <w:lastRenderedPageBreak/>
        <w:t>application made on behalf of organisations. Where a priority request is made, it must be endorsed by an executive.</w:t>
      </w:r>
    </w:p>
    <w:p w14:paraId="6F784A9F" w14:textId="6A7013E0" w:rsidR="00763328" w:rsidRPr="000A6583" w:rsidRDefault="00763328" w:rsidP="000A6583">
      <w:pPr>
        <w:pStyle w:val="NoSpacing"/>
      </w:pPr>
      <w:r w:rsidRPr="005938CB">
        <w:t>Data provided by D</w:t>
      </w:r>
      <w:r w:rsidR="001D2A67">
        <w:t>ET</w:t>
      </w:r>
      <w:r w:rsidRPr="005938CB">
        <w:t xml:space="preserve"> should only be used </w:t>
      </w:r>
      <w:r>
        <w:t>in accordance with terms specified on the D</w:t>
      </w:r>
      <w:r w:rsidR="001D2A67">
        <w:t>ET</w:t>
      </w:r>
      <w:r>
        <w:t xml:space="preserve"> Data Request form, this protocol and any formal agreement governing the provision by D</w:t>
      </w:r>
      <w:r w:rsidR="001D2A67">
        <w:t>ET</w:t>
      </w:r>
      <w:r>
        <w:t xml:space="preserve"> of a specific dataset or sets. In particular, the data must not be disclosed or published in any medium without the prior written consent of D</w:t>
      </w:r>
      <w:r w:rsidR="001D2A67">
        <w:t>ET</w:t>
      </w:r>
      <w:r>
        <w:t>’s</w:t>
      </w:r>
      <w:r w:rsidR="001D2A67">
        <w:t xml:space="preserve"> respective</w:t>
      </w:r>
      <w:r>
        <w:t xml:space="preserve"> </w:t>
      </w:r>
      <w:r w:rsidRPr="00BA1C37">
        <w:t>authorising officer</w:t>
      </w:r>
      <w:r>
        <w:t xml:space="preserve">. </w:t>
      </w:r>
    </w:p>
    <w:p w14:paraId="76F60D8C" w14:textId="1E7BAA1C" w:rsidR="00763328" w:rsidRPr="000A6583" w:rsidRDefault="00763328" w:rsidP="000A6583">
      <w:pPr>
        <w:pStyle w:val="NoSpacing"/>
      </w:pPr>
      <w:r>
        <w:t>DET reserve</w:t>
      </w:r>
      <w:r w:rsidR="001D2A67">
        <w:t>s</w:t>
      </w:r>
      <w:r>
        <w:t xml:space="preserve"> the right to conduct or commission compliance audits or reviews of data recipients’ compliance with the terms on which D</w:t>
      </w:r>
      <w:r w:rsidR="003D69D1">
        <w:t>ET</w:t>
      </w:r>
      <w:r>
        <w:t xml:space="preserve"> has supplied data to them. A breach by the applicant of these terms, and </w:t>
      </w:r>
      <w:r w:rsidR="00D63648">
        <w:t>of</w:t>
      </w:r>
      <w:r>
        <w:t xml:space="preserve"> an undertaking given not to link, disclose or publish the data, may result in the rejection of future requests for data by the applicant or his or her organisation</w:t>
      </w:r>
      <w:r w:rsidR="001D2A67">
        <w:t>, or, where applicable, in legal action.</w:t>
      </w:r>
    </w:p>
    <w:p w14:paraId="5872BC74" w14:textId="6BE852CD" w:rsidR="00763328" w:rsidRPr="00664389" w:rsidRDefault="00763328" w:rsidP="00CD7EFA">
      <w:pPr>
        <w:pStyle w:val="Heading2"/>
      </w:pPr>
      <w:bookmarkStart w:id="15" w:name="_Toc93995257"/>
      <w:r w:rsidRPr="00664389">
        <w:t>Ongoing review</w:t>
      </w:r>
      <w:bookmarkEnd w:id="15"/>
    </w:p>
    <w:p w14:paraId="3C825B3A" w14:textId="748A5D0F" w:rsidR="003E6E79" w:rsidRPr="00284CD1" w:rsidRDefault="00763328" w:rsidP="00284CD1">
      <w:pPr>
        <w:pStyle w:val="NoSpacing"/>
      </w:pPr>
      <w:r w:rsidRPr="00284CD1">
        <w:t>To ensure that its Data Protocol remains current and relevant to the evolving needs of its client community, D</w:t>
      </w:r>
      <w:r w:rsidR="001D2A67">
        <w:t>ET</w:t>
      </w:r>
      <w:r w:rsidRPr="00284CD1">
        <w:t xml:space="preserve"> will review and may amend this protocol from time to time as necessary.</w:t>
      </w:r>
    </w:p>
    <w:p w14:paraId="6C4343B4" w14:textId="19DFDF33" w:rsidR="000A6583" w:rsidRPr="003E6E79" w:rsidRDefault="00763328" w:rsidP="003E6E79">
      <w:pPr>
        <w:pStyle w:val="Heading2"/>
      </w:pPr>
      <w:bookmarkStart w:id="16" w:name="_Toc93995258"/>
      <w:r w:rsidRPr="003E6E79">
        <w:t>Transparency</w:t>
      </w:r>
      <w:bookmarkEnd w:id="16"/>
    </w:p>
    <w:p w14:paraId="6F1DF216" w14:textId="0980C067" w:rsidR="00763328" w:rsidRPr="000A6583" w:rsidRDefault="00763328" w:rsidP="000A6583">
      <w:pPr>
        <w:pStyle w:val="NoSpacing"/>
      </w:pPr>
      <w:r w:rsidRPr="00153671">
        <w:t>D</w:t>
      </w:r>
      <w:r w:rsidR="001D2A67">
        <w:t>ET</w:t>
      </w:r>
      <w:r w:rsidRPr="00153671">
        <w:t>’s Data Request form sets out how to make a data request, and the information D</w:t>
      </w:r>
      <w:r w:rsidR="001D2A67">
        <w:t>ET</w:t>
      </w:r>
      <w:r w:rsidRPr="00153671">
        <w:t xml:space="preserve"> seeks </w:t>
      </w:r>
      <w:proofErr w:type="gramStart"/>
      <w:r w:rsidRPr="00153671">
        <w:t>in order to</w:t>
      </w:r>
      <w:proofErr w:type="gramEnd"/>
      <w:r w:rsidRPr="00153671">
        <w:t xml:space="preserve"> understand specific client objectives and the details of the data request</w:t>
      </w:r>
      <w:r>
        <w:t>ed</w:t>
      </w:r>
      <w:r w:rsidRPr="00153671">
        <w:t xml:space="preserve">. </w:t>
      </w:r>
    </w:p>
    <w:p w14:paraId="41A622CF" w14:textId="5BD62F83" w:rsidR="00763328" w:rsidRPr="000A6583" w:rsidRDefault="00763328" w:rsidP="000A6583">
      <w:pPr>
        <w:pStyle w:val="NoSpacing"/>
      </w:pPr>
      <w:r>
        <w:t>D</w:t>
      </w:r>
      <w:r w:rsidR="001D2A67">
        <w:t>ET</w:t>
      </w:r>
      <w:r>
        <w:t xml:space="preserve"> uses the ‘Five Safes’ framework for assessing and mitigating risk in relation to the specific project, data, people, output and setting for data handling. </w:t>
      </w:r>
      <w:r w:rsidRPr="00153671">
        <w:t xml:space="preserve">Each request is assessed against </w:t>
      </w:r>
      <w:r>
        <w:t xml:space="preserve">these </w:t>
      </w:r>
      <w:r w:rsidRPr="00153671">
        <w:t xml:space="preserve">risk criteria </w:t>
      </w:r>
      <w:r>
        <w:t xml:space="preserve">as well as suitability criteria (such as data quality) </w:t>
      </w:r>
      <w:r w:rsidRPr="00153671">
        <w:t>before a decision about release is made, so it is important that the request form is completed as fully as possible.</w:t>
      </w:r>
      <w:r>
        <w:t xml:space="preserve"> For example, a client’s </w:t>
      </w:r>
      <w:r w:rsidRPr="00153671">
        <w:t xml:space="preserve">answer to the question ‘Who will have access to the data (don’t forget any relevant contractors)?’ helps to assess the level of </w:t>
      </w:r>
      <w:r>
        <w:t xml:space="preserve">people </w:t>
      </w:r>
      <w:r w:rsidRPr="00153671">
        <w:t xml:space="preserve">risk attached to the request as it stands, and to take steps to mitigate that risk </w:t>
      </w:r>
      <w:proofErr w:type="gramStart"/>
      <w:r w:rsidRPr="00153671">
        <w:t>in order to</w:t>
      </w:r>
      <w:proofErr w:type="gramEnd"/>
      <w:r w:rsidRPr="00153671">
        <w:t xml:space="preserve"> supply the data requested. Such steps might include, for example, sighting relevant confidentiality agreements between requestors and their contractors.</w:t>
      </w:r>
    </w:p>
    <w:p w14:paraId="38C21B5F" w14:textId="332D0190" w:rsidR="00284CD1" w:rsidRPr="00B03A95" w:rsidRDefault="00763328" w:rsidP="009971F4">
      <w:pPr>
        <w:pStyle w:val="NoSpacing"/>
      </w:pPr>
      <w:r w:rsidRPr="00B64E8E">
        <w:t xml:space="preserve">Where appropriate, data that has been customised to meet an individual data request will also be made publicly available via the </w:t>
      </w:r>
      <w:proofErr w:type="spellStart"/>
      <w:r w:rsidRPr="00B64E8E">
        <w:t>DataVic</w:t>
      </w:r>
      <w:proofErr w:type="spellEnd"/>
      <w:r w:rsidRPr="00B64E8E">
        <w:t xml:space="preserve"> portal or elsewhere at DET’s discretion.</w:t>
      </w:r>
    </w:p>
    <w:p w14:paraId="76892CE4" w14:textId="07FB984E" w:rsidR="00B03A95" w:rsidRPr="00B03A95" w:rsidRDefault="00763328" w:rsidP="00CF6381">
      <w:pPr>
        <w:pStyle w:val="Heading1"/>
        <w:numPr>
          <w:ilvl w:val="0"/>
          <w:numId w:val="1"/>
        </w:numPr>
      </w:pPr>
      <w:bookmarkStart w:id="17" w:name="_Toc93995259"/>
      <w:r w:rsidRPr="00912590">
        <w:t>ACCESS TO D</w:t>
      </w:r>
      <w:r w:rsidR="001D2A67">
        <w:t>ET</w:t>
      </w:r>
      <w:r w:rsidRPr="00912590">
        <w:t xml:space="preserve"> DATA</w:t>
      </w:r>
      <w:bookmarkEnd w:id="17"/>
      <w:r w:rsidRPr="00912590">
        <w:t xml:space="preserve"> </w:t>
      </w:r>
      <w:bookmarkStart w:id="18" w:name="_Toc502762627"/>
      <w:bookmarkStart w:id="19" w:name="_Toc502762670"/>
      <w:bookmarkStart w:id="20" w:name="_Toc502762742"/>
      <w:bookmarkStart w:id="21" w:name="_Toc502824621"/>
      <w:bookmarkEnd w:id="18"/>
      <w:bookmarkEnd w:id="19"/>
      <w:bookmarkEnd w:id="20"/>
      <w:bookmarkEnd w:id="21"/>
    </w:p>
    <w:p w14:paraId="502DC44C" w14:textId="6ED826DE" w:rsidR="00763328" w:rsidRPr="00CB53F0" w:rsidRDefault="00763328" w:rsidP="00CD7EFA">
      <w:pPr>
        <w:pStyle w:val="Heading2"/>
      </w:pPr>
      <w:bookmarkStart w:id="22" w:name="_Toc93995260"/>
      <w:r w:rsidRPr="00CB53F0">
        <w:t>Overview</w:t>
      </w:r>
      <w:bookmarkEnd w:id="22"/>
    </w:p>
    <w:p w14:paraId="0683101B" w14:textId="32CD415A" w:rsidR="00763328" w:rsidRPr="000A6583" w:rsidRDefault="00763328" w:rsidP="000A6583">
      <w:pPr>
        <w:pStyle w:val="NoSpacing"/>
      </w:pPr>
      <w:r w:rsidRPr="00664389">
        <w:lastRenderedPageBreak/>
        <w:t>D</w:t>
      </w:r>
      <w:r w:rsidR="003D69D1">
        <w:t>ET</w:t>
      </w:r>
      <w:r w:rsidRPr="00664389">
        <w:t xml:space="preserve"> has </w:t>
      </w:r>
      <w:proofErr w:type="gramStart"/>
      <w:r w:rsidRPr="00664389">
        <w:t>a number of</w:t>
      </w:r>
      <w:proofErr w:type="gramEnd"/>
      <w:r w:rsidRPr="00664389">
        <w:t xml:space="preserve"> standing arrangements for supply of specific data on a regular basis, for example, annually. All other (ad hoc) requests for access to data will initially be received</w:t>
      </w:r>
      <w:r w:rsidRPr="00E86671">
        <w:t xml:space="preserve">, </w:t>
      </w:r>
      <w:proofErr w:type="gramStart"/>
      <w:r w:rsidRPr="00E86671">
        <w:t>reviewed</w:t>
      </w:r>
      <w:proofErr w:type="gramEnd"/>
      <w:r w:rsidRPr="00E86671">
        <w:t xml:space="preserve"> and </w:t>
      </w:r>
      <w:r>
        <w:t xml:space="preserve">given a preliminary </w:t>
      </w:r>
      <w:r w:rsidRPr="00E86671">
        <w:t>assessment</w:t>
      </w:r>
      <w:r w:rsidRPr="00664389">
        <w:t xml:space="preserve"> by the </w:t>
      </w:r>
      <w:r w:rsidR="003D69D1">
        <w:t>relevant business areas</w:t>
      </w:r>
      <w:r w:rsidRPr="00664389">
        <w:t xml:space="preserve">, who may then contact requestors by telephone </w:t>
      </w:r>
      <w:r>
        <w:t xml:space="preserve">or email </w:t>
      </w:r>
      <w:r w:rsidRPr="00664389">
        <w:t xml:space="preserve">to obtain further information. </w:t>
      </w:r>
      <w:r>
        <w:t>This team will assess whether the request is simple or complex.</w:t>
      </w:r>
    </w:p>
    <w:p w14:paraId="6D0D9E6B" w14:textId="77777777" w:rsidR="00763328" w:rsidRDefault="00763328" w:rsidP="000A6583">
      <w:pPr>
        <w:pStyle w:val="NoSpacing"/>
      </w:pPr>
      <w:r>
        <w:t>Simple requests are generally those that:</w:t>
      </w:r>
    </w:p>
    <w:p w14:paraId="3E835B11" w14:textId="77777777" w:rsidR="00763328" w:rsidRDefault="00763328" w:rsidP="0088045E">
      <w:pPr>
        <w:pStyle w:val="ListParagraph"/>
        <w:numPr>
          <w:ilvl w:val="0"/>
          <w:numId w:val="7"/>
        </w:numPr>
        <w:spacing w:after="0"/>
        <w:rPr>
          <w:szCs w:val="24"/>
        </w:rPr>
      </w:pPr>
      <w:r>
        <w:rPr>
          <w:szCs w:val="24"/>
        </w:rPr>
        <w:t xml:space="preserve">do not include the provision of unit record data or information derived from the Victorian Student </w:t>
      </w:r>
      <w:proofErr w:type="gramStart"/>
      <w:r>
        <w:rPr>
          <w:szCs w:val="24"/>
        </w:rPr>
        <w:t>Register;</w:t>
      </w:r>
      <w:proofErr w:type="gramEnd"/>
    </w:p>
    <w:p w14:paraId="5049801B" w14:textId="77777777" w:rsidR="00763328" w:rsidRDefault="00763328" w:rsidP="0088045E">
      <w:pPr>
        <w:pStyle w:val="ListParagraph"/>
        <w:numPr>
          <w:ilvl w:val="0"/>
          <w:numId w:val="7"/>
        </w:numPr>
        <w:spacing w:after="0"/>
        <w:rPr>
          <w:szCs w:val="24"/>
        </w:rPr>
      </w:pPr>
      <w:r>
        <w:rPr>
          <w:szCs w:val="24"/>
        </w:rPr>
        <w:t xml:space="preserve">do not include the provision of sensitive or confidential </w:t>
      </w:r>
      <w:proofErr w:type="gramStart"/>
      <w:r>
        <w:rPr>
          <w:szCs w:val="24"/>
        </w:rPr>
        <w:t>information;</w:t>
      </w:r>
      <w:proofErr w:type="gramEnd"/>
    </w:p>
    <w:p w14:paraId="2EC458FC" w14:textId="5BA3B512" w:rsidR="00763328" w:rsidRDefault="00763328" w:rsidP="0088045E">
      <w:pPr>
        <w:pStyle w:val="ListParagraph"/>
        <w:numPr>
          <w:ilvl w:val="0"/>
          <w:numId w:val="7"/>
        </w:numPr>
        <w:spacing w:after="0"/>
        <w:rPr>
          <w:szCs w:val="24"/>
        </w:rPr>
      </w:pPr>
      <w:r>
        <w:rPr>
          <w:szCs w:val="24"/>
        </w:rPr>
        <w:t xml:space="preserve">do not require data linkage by </w:t>
      </w:r>
      <w:proofErr w:type="gramStart"/>
      <w:r>
        <w:rPr>
          <w:szCs w:val="24"/>
        </w:rPr>
        <w:t>D</w:t>
      </w:r>
      <w:r w:rsidR="003D69D1">
        <w:rPr>
          <w:szCs w:val="24"/>
        </w:rPr>
        <w:t>ET</w:t>
      </w:r>
      <w:r>
        <w:rPr>
          <w:szCs w:val="24"/>
        </w:rPr>
        <w:t>;</w:t>
      </w:r>
      <w:proofErr w:type="gramEnd"/>
    </w:p>
    <w:p w14:paraId="557202B0" w14:textId="77FFCEDE" w:rsidR="00763328" w:rsidRPr="00DF20F1" w:rsidRDefault="00763328" w:rsidP="0088045E">
      <w:pPr>
        <w:pStyle w:val="ListParagraph"/>
        <w:numPr>
          <w:ilvl w:val="0"/>
          <w:numId w:val="7"/>
        </w:numPr>
        <w:spacing w:after="0"/>
        <w:rPr>
          <w:szCs w:val="24"/>
        </w:rPr>
      </w:pPr>
      <w:r>
        <w:rPr>
          <w:szCs w:val="24"/>
        </w:rPr>
        <w:t xml:space="preserve">do not have other significant resource implications, </w:t>
      </w:r>
      <w:proofErr w:type="gramStart"/>
      <w:r>
        <w:rPr>
          <w:szCs w:val="24"/>
        </w:rPr>
        <w:t>e</w:t>
      </w:r>
      <w:r w:rsidR="00D63648">
        <w:rPr>
          <w:szCs w:val="24"/>
        </w:rPr>
        <w:t>.</w:t>
      </w:r>
      <w:r>
        <w:rPr>
          <w:szCs w:val="24"/>
        </w:rPr>
        <w:t>g</w:t>
      </w:r>
      <w:r w:rsidR="00D63648">
        <w:rPr>
          <w:szCs w:val="24"/>
        </w:rPr>
        <w:t>.</w:t>
      </w:r>
      <w:proofErr w:type="gramEnd"/>
      <w:r>
        <w:rPr>
          <w:szCs w:val="24"/>
        </w:rPr>
        <w:t xml:space="preserve"> where the data is readily available from a report that is regularly run.</w:t>
      </w:r>
    </w:p>
    <w:p w14:paraId="0B22E7DD" w14:textId="20616409" w:rsidR="00763328" w:rsidRDefault="00763328" w:rsidP="000A6583">
      <w:pPr>
        <w:pStyle w:val="NoSpacing"/>
      </w:pPr>
      <w:r>
        <w:t>In the case of all other requests, considered complex requests,</w:t>
      </w:r>
      <w:r w:rsidRPr="00664389">
        <w:t xml:space="preserve"> generally within five working days, the Data Governance and Policy team convenes a meeting of the D</w:t>
      </w:r>
      <w:r w:rsidR="001B55EB">
        <w:t>ET</w:t>
      </w:r>
      <w:r w:rsidRPr="00664389">
        <w:t xml:space="preserve"> managers responsible for the data requested and a full risk and suitability assessment is conducted. Where a valid need for priority consideration has been established (see the form at </w:t>
      </w:r>
      <w:r w:rsidRPr="001D6550">
        <w:t>4.2</w:t>
      </w:r>
      <w:r w:rsidRPr="00664389">
        <w:t xml:space="preserve"> below), requests will be addressed sooner. </w:t>
      </w:r>
    </w:p>
    <w:p w14:paraId="2622FB5B" w14:textId="78394C79" w:rsidR="00763328" w:rsidRPr="000A6583" w:rsidRDefault="00763328" w:rsidP="000A6583">
      <w:pPr>
        <w:pStyle w:val="NoSpacing"/>
      </w:pPr>
      <w:proofErr w:type="gramStart"/>
      <w:r>
        <w:t>The majority of</w:t>
      </w:r>
      <w:proofErr w:type="gramEnd"/>
      <w:r>
        <w:t xml:space="preserve"> data requested from D</w:t>
      </w:r>
      <w:r w:rsidR="001B55EB">
        <w:t>ET</w:t>
      </w:r>
      <w:r>
        <w:t xml:space="preserve"> is provided in whole or in part, subject to both general conditions and any specific conditions considered necessary in the case of individual requests.</w:t>
      </w:r>
    </w:p>
    <w:p w14:paraId="7109AC20" w14:textId="77777777" w:rsidR="00121F07" w:rsidRDefault="00121F07">
      <w:pPr>
        <w:rPr>
          <w:b/>
          <w:sz w:val="24"/>
          <w:szCs w:val="24"/>
        </w:rPr>
      </w:pPr>
      <w:r>
        <w:br w:type="page"/>
      </w:r>
    </w:p>
    <w:p w14:paraId="27119605" w14:textId="15F19C66" w:rsidR="00763328" w:rsidRPr="00173FEA" w:rsidRDefault="001B55EB" w:rsidP="00CD7EFA">
      <w:pPr>
        <w:pStyle w:val="Heading2"/>
      </w:pPr>
      <w:bookmarkStart w:id="23" w:name="_Toc93995261"/>
      <w:r>
        <w:lastRenderedPageBreak/>
        <w:t>C</w:t>
      </w:r>
      <w:r w:rsidR="00763328" w:rsidRPr="00173FEA">
        <w:t>onsideration of data requests</w:t>
      </w:r>
      <w:bookmarkEnd w:id="23"/>
    </w:p>
    <w:p w14:paraId="1B57CBE3" w14:textId="41F81B98" w:rsidR="00763328" w:rsidRDefault="00763328" w:rsidP="00184514">
      <w:pPr>
        <w:pStyle w:val="NoSpacing"/>
      </w:pPr>
      <w:r>
        <w:t xml:space="preserve">Decisions about simple requests will be made by the </w:t>
      </w:r>
      <w:r w:rsidR="001B55EB">
        <w:t xml:space="preserve">respective business areas, guided by universally applied </w:t>
      </w:r>
      <w:r>
        <w:t>criteria to:</w:t>
      </w:r>
    </w:p>
    <w:p w14:paraId="123587BA" w14:textId="77777777" w:rsidR="00763328" w:rsidRDefault="00763328" w:rsidP="0088045E">
      <w:pPr>
        <w:pStyle w:val="ListParagraph"/>
        <w:numPr>
          <w:ilvl w:val="1"/>
          <w:numId w:val="5"/>
        </w:numPr>
        <w:spacing w:after="0"/>
        <w:rPr>
          <w:szCs w:val="24"/>
        </w:rPr>
      </w:pPr>
      <w:r>
        <w:rPr>
          <w:szCs w:val="24"/>
        </w:rPr>
        <w:t>ensure a fair and orderly approach to addressing all requests</w:t>
      </w:r>
    </w:p>
    <w:p w14:paraId="2AA4B041" w14:textId="77777777" w:rsidR="00763328" w:rsidRDefault="00763328" w:rsidP="0088045E">
      <w:pPr>
        <w:pStyle w:val="ListParagraph"/>
        <w:numPr>
          <w:ilvl w:val="1"/>
          <w:numId w:val="5"/>
        </w:numPr>
        <w:spacing w:after="0"/>
        <w:rPr>
          <w:szCs w:val="24"/>
        </w:rPr>
      </w:pPr>
      <w:r>
        <w:rPr>
          <w:szCs w:val="24"/>
        </w:rPr>
        <w:t>facilitate data sharing with government and non-government agencies and optimise data usage</w:t>
      </w:r>
    </w:p>
    <w:p w14:paraId="2D8E03BA" w14:textId="51EA38E0" w:rsidR="00763328" w:rsidRPr="00DF20F1" w:rsidRDefault="00763328" w:rsidP="0088045E">
      <w:pPr>
        <w:pStyle w:val="ListParagraph"/>
        <w:numPr>
          <w:ilvl w:val="1"/>
          <w:numId w:val="5"/>
        </w:numPr>
        <w:rPr>
          <w:szCs w:val="24"/>
        </w:rPr>
      </w:pPr>
      <w:r>
        <w:rPr>
          <w:szCs w:val="24"/>
        </w:rPr>
        <w:t xml:space="preserve">minimise risk. </w:t>
      </w:r>
    </w:p>
    <w:p w14:paraId="3C31D31B" w14:textId="210FA17B" w:rsidR="00763328" w:rsidRPr="001D6550" w:rsidRDefault="00763328" w:rsidP="000A6583">
      <w:pPr>
        <w:pStyle w:val="NoSpacing"/>
      </w:pPr>
      <w:r w:rsidRPr="001D6550">
        <w:t>If the circumstances of a particular request warrant it, a request may be escalated by managers to executives for further consideration and decision. These circumstances include but are not limited to:</w:t>
      </w:r>
    </w:p>
    <w:p w14:paraId="5E7C9929" w14:textId="77777777" w:rsidR="00763328" w:rsidRPr="00000D4F" w:rsidRDefault="00763328" w:rsidP="0088045E">
      <w:pPr>
        <w:pStyle w:val="ListParagraph"/>
        <w:numPr>
          <w:ilvl w:val="0"/>
          <w:numId w:val="16"/>
        </w:numPr>
      </w:pPr>
      <w:r w:rsidRPr="00000D4F">
        <w:t xml:space="preserve">where executives have indicated that they wish to </w:t>
      </w:r>
      <w:proofErr w:type="gramStart"/>
      <w:r w:rsidRPr="00000D4F">
        <w:t>make contact with</w:t>
      </w:r>
      <w:proofErr w:type="gramEnd"/>
      <w:r w:rsidRPr="00000D4F">
        <w:t xml:space="preserve"> a requestor or negotiate a request themselves</w:t>
      </w:r>
    </w:p>
    <w:p w14:paraId="6D0C9860" w14:textId="77777777" w:rsidR="00763328" w:rsidRPr="00000D4F" w:rsidRDefault="00763328" w:rsidP="0088045E">
      <w:pPr>
        <w:pStyle w:val="ListParagraph"/>
        <w:numPr>
          <w:ilvl w:val="0"/>
          <w:numId w:val="16"/>
        </w:numPr>
        <w:ind w:left="1434" w:hanging="357"/>
      </w:pPr>
      <w:r w:rsidRPr="00000D4F">
        <w:t xml:space="preserve">where the managers seek additional guidance as to DET policy on </w:t>
      </w:r>
      <w:proofErr w:type="gramStart"/>
      <w:r w:rsidRPr="00000D4F">
        <w:t>particular points</w:t>
      </w:r>
      <w:proofErr w:type="gramEnd"/>
      <w:r w:rsidRPr="00000D4F">
        <w:t>, having already researched them</w:t>
      </w:r>
    </w:p>
    <w:p w14:paraId="173E9CF4" w14:textId="2BB01409" w:rsidR="00763328" w:rsidRPr="00000D4F" w:rsidRDefault="00763328" w:rsidP="0088045E">
      <w:pPr>
        <w:pStyle w:val="ListParagraph"/>
        <w:numPr>
          <w:ilvl w:val="0"/>
          <w:numId w:val="16"/>
        </w:numPr>
        <w:ind w:left="1434" w:hanging="357"/>
      </w:pPr>
      <w:r w:rsidRPr="00000D4F">
        <w:t xml:space="preserve">where the managers, not having reached agreement on a particular request outcome, seek a decision from a responsible Executive; and </w:t>
      </w:r>
    </w:p>
    <w:p w14:paraId="2B466AD8" w14:textId="4519FF1A" w:rsidR="00763328" w:rsidRPr="000A6583" w:rsidRDefault="00763328" w:rsidP="0088045E">
      <w:pPr>
        <w:pStyle w:val="ListParagraph"/>
        <w:numPr>
          <w:ilvl w:val="0"/>
          <w:numId w:val="16"/>
        </w:numPr>
        <w:ind w:left="1434" w:hanging="357"/>
      </w:pPr>
      <w:r w:rsidRPr="00000D4F">
        <w:t xml:space="preserve">where the </w:t>
      </w:r>
      <w:r>
        <w:t>m</w:t>
      </w:r>
      <w:r w:rsidRPr="00000D4F">
        <w:t>anagers have identified a high</w:t>
      </w:r>
      <w:r w:rsidR="00121F07">
        <w:t>-</w:t>
      </w:r>
      <w:r w:rsidRPr="00000D4F">
        <w:t>risk request and seek executive approval for release.</w:t>
      </w:r>
    </w:p>
    <w:p w14:paraId="477DB80F" w14:textId="2427BD57" w:rsidR="00763328" w:rsidRPr="009C6362" w:rsidRDefault="00763328" w:rsidP="00CD7EFA">
      <w:pPr>
        <w:pStyle w:val="Heading2"/>
      </w:pPr>
      <w:bookmarkStart w:id="24" w:name="_Toc93995262"/>
      <w:r w:rsidRPr="009C6362">
        <w:t>Disclosure requirements</w:t>
      </w:r>
      <w:bookmarkEnd w:id="24"/>
    </w:p>
    <w:p w14:paraId="3D0AFE40" w14:textId="69E7869B" w:rsidR="00763328" w:rsidRPr="009C6362" w:rsidRDefault="00763328" w:rsidP="000A6583">
      <w:pPr>
        <w:pStyle w:val="NoSpacing"/>
        <w:rPr>
          <w:b/>
        </w:rPr>
      </w:pPr>
      <w:r w:rsidRPr="009C6362">
        <w:t>Before making a data request to D</w:t>
      </w:r>
      <w:r w:rsidR="001B55EB">
        <w:t>ET</w:t>
      </w:r>
      <w:r w:rsidRPr="009C6362">
        <w:t>, clients should always check whether the data they</w:t>
      </w:r>
      <w:r>
        <w:t xml:space="preserve"> seek has been published</w:t>
      </w:r>
      <w:r w:rsidRPr="009C6362">
        <w:t>. The following sites are a good starting point:</w:t>
      </w:r>
    </w:p>
    <w:p w14:paraId="0A83EF6F" w14:textId="77777777" w:rsidR="001B55EB" w:rsidRPr="001B55EB" w:rsidRDefault="001B55EB" w:rsidP="0088045E">
      <w:pPr>
        <w:pStyle w:val="ListParagraph"/>
        <w:numPr>
          <w:ilvl w:val="0"/>
          <w:numId w:val="17"/>
        </w:numPr>
        <w:rPr>
          <w:rFonts w:cstheme="minorHAnsi"/>
          <w:b/>
          <w:bCs/>
          <w:color w:val="0B0C1D"/>
        </w:rPr>
      </w:pPr>
      <w:r w:rsidRPr="001B55EB">
        <w:rPr>
          <w:bCs/>
        </w:rPr>
        <w:t>the </w:t>
      </w:r>
      <w:hyperlink r:id="rId22" w:history="1">
        <w:r w:rsidRPr="001B55EB">
          <w:rPr>
            <w:rStyle w:val="Hyperlink"/>
            <w:rFonts w:cstheme="minorHAnsi"/>
            <w:bCs/>
            <w:color w:val="0047A5"/>
          </w:rPr>
          <w:t>Victorian Child and Adolescent Monitoring System (VCAMS) portal</w:t>
        </w:r>
      </w:hyperlink>
    </w:p>
    <w:p w14:paraId="3BBAC1E7" w14:textId="77777777" w:rsidR="001B55EB" w:rsidRPr="001B55EB" w:rsidRDefault="001B55EB" w:rsidP="0088045E">
      <w:pPr>
        <w:pStyle w:val="ListParagraph"/>
        <w:numPr>
          <w:ilvl w:val="0"/>
          <w:numId w:val="17"/>
        </w:numPr>
        <w:rPr>
          <w:rFonts w:cstheme="minorHAnsi"/>
          <w:b/>
          <w:bCs/>
          <w:color w:val="0B0C1D"/>
        </w:rPr>
      </w:pPr>
      <w:r w:rsidRPr="001B55EB">
        <w:rPr>
          <w:rFonts w:cstheme="minorHAnsi"/>
          <w:bCs/>
          <w:color w:val="0B0C1D"/>
        </w:rPr>
        <w:t>Discover and access Victorian Government open data at </w:t>
      </w:r>
      <w:proofErr w:type="spellStart"/>
      <w:r w:rsidR="00000000">
        <w:fldChar w:fldCharType="begin"/>
      </w:r>
      <w:r w:rsidR="00000000">
        <w:instrText xml:space="preserve"> HYPERLINK "https://www.data.vic.gov.au/" </w:instrText>
      </w:r>
      <w:r w:rsidR="00000000">
        <w:fldChar w:fldCharType="separate"/>
      </w:r>
      <w:r w:rsidRPr="001B55EB">
        <w:rPr>
          <w:rStyle w:val="Hyperlink"/>
          <w:rFonts w:cstheme="minorHAnsi"/>
          <w:bCs/>
          <w:color w:val="0047A5"/>
        </w:rPr>
        <w:t>DataVic</w:t>
      </w:r>
      <w:proofErr w:type="spellEnd"/>
      <w:r w:rsidR="00000000">
        <w:rPr>
          <w:rStyle w:val="Hyperlink"/>
          <w:rFonts w:cstheme="minorHAnsi"/>
          <w:bCs/>
          <w:color w:val="0047A5"/>
        </w:rPr>
        <w:fldChar w:fldCharType="end"/>
      </w:r>
    </w:p>
    <w:p w14:paraId="5E09B0C4" w14:textId="06992205" w:rsidR="001B55EB" w:rsidRPr="001B55EB" w:rsidRDefault="001B55EB" w:rsidP="0088045E">
      <w:pPr>
        <w:pStyle w:val="ListParagraph"/>
        <w:numPr>
          <w:ilvl w:val="0"/>
          <w:numId w:val="17"/>
        </w:numPr>
        <w:rPr>
          <w:rFonts w:cstheme="minorHAnsi"/>
          <w:b/>
          <w:bCs/>
          <w:color w:val="0B0C1D"/>
        </w:rPr>
      </w:pPr>
      <w:r w:rsidRPr="001B55EB">
        <w:rPr>
          <w:rFonts w:cstheme="minorHAnsi"/>
          <w:bCs/>
          <w:color w:val="0B0C1D"/>
        </w:rPr>
        <w:t>the </w:t>
      </w:r>
      <w:hyperlink r:id="rId23" w:history="1">
        <w:r w:rsidRPr="001B55EB">
          <w:rPr>
            <w:rStyle w:val="Hyperlink"/>
            <w:rFonts w:cstheme="minorHAnsi"/>
            <w:bCs/>
            <w:color w:val="0047A5"/>
          </w:rPr>
          <w:t>Victorian Curriculum and Assessment Authority (VCAA)</w:t>
        </w:r>
      </w:hyperlink>
    </w:p>
    <w:p w14:paraId="34CF32A2" w14:textId="77777777" w:rsidR="001B55EB" w:rsidRPr="001B55EB" w:rsidRDefault="001B55EB" w:rsidP="0088045E">
      <w:pPr>
        <w:pStyle w:val="ListParagraph"/>
        <w:numPr>
          <w:ilvl w:val="0"/>
          <w:numId w:val="17"/>
        </w:numPr>
        <w:rPr>
          <w:rFonts w:cstheme="minorHAnsi"/>
          <w:bCs/>
          <w:color w:val="0B0C1D"/>
          <w:szCs w:val="24"/>
        </w:rPr>
      </w:pPr>
      <w:r w:rsidRPr="001B55EB">
        <w:rPr>
          <w:rFonts w:cstheme="minorHAnsi"/>
          <w:bCs/>
          <w:color w:val="0B0C1D"/>
          <w:szCs w:val="24"/>
        </w:rPr>
        <w:t>the </w:t>
      </w:r>
      <w:hyperlink r:id="rId24" w:history="1">
        <w:r w:rsidRPr="001B55EB">
          <w:rPr>
            <w:rStyle w:val="Hyperlink"/>
            <w:rFonts w:cstheme="minorHAnsi"/>
            <w:bCs/>
            <w:color w:val="0047A5"/>
            <w:szCs w:val="24"/>
          </w:rPr>
          <w:t>Victorian Public Sector Commission (VPSC)</w:t>
        </w:r>
      </w:hyperlink>
    </w:p>
    <w:p w14:paraId="0BD64C1E" w14:textId="77777777" w:rsidR="001B55EB" w:rsidRPr="001B55EB" w:rsidRDefault="00000000" w:rsidP="0088045E">
      <w:pPr>
        <w:pStyle w:val="ListParagraph"/>
        <w:numPr>
          <w:ilvl w:val="0"/>
          <w:numId w:val="17"/>
        </w:numPr>
        <w:rPr>
          <w:rFonts w:cstheme="minorHAnsi"/>
          <w:bCs/>
          <w:color w:val="0B0C1D"/>
          <w:szCs w:val="24"/>
        </w:rPr>
      </w:pPr>
      <w:hyperlink r:id="rId25" w:history="1">
        <w:r w:rsidR="001B55EB" w:rsidRPr="001B55EB">
          <w:rPr>
            <w:rStyle w:val="Hyperlink"/>
            <w:rFonts w:cstheme="minorHAnsi"/>
            <w:bCs/>
            <w:color w:val="0047A5"/>
            <w:szCs w:val="24"/>
            <w:shd w:val="clear" w:color="auto" w:fill="FFFFFF"/>
          </w:rPr>
          <w:t>ACARA’s My School</w:t>
        </w:r>
      </w:hyperlink>
    </w:p>
    <w:p w14:paraId="3732D784" w14:textId="77777777" w:rsidR="001B55EB" w:rsidRPr="001B55EB" w:rsidRDefault="001B55EB" w:rsidP="0088045E">
      <w:pPr>
        <w:pStyle w:val="ListParagraph"/>
        <w:numPr>
          <w:ilvl w:val="0"/>
          <w:numId w:val="17"/>
        </w:numPr>
        <w:rPr>
          <w:rFonts w:cstheme="minorHAnsi"/>
          <w:bCs/>
          <w:color w:val="0B0C1D"/>
          <w:szCs w:val="24"/>
        </w:rPr>
      </w:pPr>
      <w:r w:rsidRPr="001B55EB">
        <w:rPr>
          <w:rFonts w:cstheme="minorHAnsi"/>
          <w:bCs/>
          <w:color w:val="0B0C1D"/>
          <w:szCs w:val="24"/>
        </w:rPr>
        <w:t>the </w:t>
      </w:r>
      <w:hyperlink r:id="rId26" w:history="1">
        <w:r w:rsidRPr="001B55EB">
          <w:rPr>
            <w:rStyle w:val="Hyperlink"/>
            <w:rFonts w:cstheme="minorHAnsi"/>
            <w:bCs/>
            <w:color w:val="0047A5"/>
            <w:szCs w:val="24"/>
          </w:rPr>
          <w:t>Report on Government Services (refer Part B - Child care, Education and Training)</w:t>
        </w:r>
      </w:hyperlink>
    </w:p>
    <w:p w14:paraId="3482BAC5" w14:textId="77777777" w:rsidR="001B55EB" w:rsidRPr="001B55EB" w:rsidRDefault="001B55EB" w:rsidP="0088045E">
      <w:pPr>
        <w:pStyle w:val="ListParagraph"/>
        <w:numPr>
          <w:ilvl w:val="0"/>
          <w:numId w:val="17"/>
        </w:numPr>
        <w:rPr>
          <w:rFonts w:cstheme="minorHAnsi"/>
          <w:bCs/>
          <w:color w:val="0B0C1D"/>
          <w:szCs w:val="24"/>
        </w:rPr>
      </w:pPr>
      <w:r w:rsidRPr="001B55EB">
        <w:rPr>
          <w:rFonts w:cstheme="minorHAnsi"/>
          <w:bCs/>
          <w:color w:val="0B0C1D"/>
          <w:szCs w:val="24"/>
        </w:rPr>
        <w:t>the </w:t>
      </w:r>
      <w:hyperlink r:id="rId27" w:history="1">
        <w:r w:rsidRPr="001B55EB">
          <w:rPr>
            <w:rStyle w:val="Hyperlink"/>
            <w:rFonts w:cstheme="minorHAnsi"/>
            <w:bCs/>
            <w:color w:val="0047A5"/>
            <w:szCs w:val="24"/>
          </w:rPr>
          <w:t>Australian Bureau of Statistics (ABS)</w:t>
        </w:r>
      </w:hyperlink>
    </w:p>
    <w:p w14:paraId="1643ECEA" w14:textId="77777777" w:rsidR="001B55EB" w:rsidRPr="001B55EB" w:rsidRDefault="001B55EB" w:rsidP="0088045E">
      <w:pPr>
        <w:pStyle w:val="ListParagraph"/>
        <w:numPr>
          <w:ilvl w:val="0"/>
          <w:numId w:val="17"/>
        </w:numPr>
        <w:rPr>
          <w:rFonts w:cstheme="minorHAnsi"/>
          <w:bCs/>
          <w:color w:val="0B0C1D"/>
          <w:szCs w:val="24"/>
        </w:rPr>
      </w:pPr>
      <w:r w:rsidRPr="001B55EB">
        <w:rPr>
          <w:rFonts w:cstheme="minorHAnsi"/>
          <w:bCs/>
          <w:color w:val="0B0C1D"/>
          <w:szCs w:val="24"/>
        </w:rPr>
        <w:t>the </w:t>
      </w:r>
      <w:hyperlink r:id="rId28" w:history="1">
        <w:r w:rsidRPr="001B55EB">
          <w:rPr>
            <w:rStyle w:val="Hyperlink"/>
            <w:rFonts w:cstheme="minorHAnsi"/>
            <w:bCs/>
            <w:color w:val="0047A5"/>
            <w:szCs w:val="24"/>
          </w:rPr>
          <w:t>DET Annual Report</w:t>
        </w:r>
      </w:hyperlink>
    </w:p>
    <w:p w14:paraId="46E47C36" w14:textId="77777777" w:rsidR="001B55EB" w:rsidRPr="001B55EB" w:rsidRDefault="001B55EB" w:rsidP="0088045E">
      <w:pPr>
        <w:pStyle w:val="ListParagraph"/>
        <w:numPr>
          <w:ilvl w:val="0"/>
          <w:numId w:val="17"/>
        </w:numPr>
        <w:rPr>
          <w:rFonts w:cstheme="minorHAnsi"/>
          <w:bCs/>
          <w:color w:val="0B0C1D"/>
          <w:szCs w:val="24"/>
        </w:rPr>
      </w:pPr>
      <w:r w:rsidRPr="001B55EB">
        <w:rPr>
          <w:rFonts w:cstheme="minorHAnsi"/>
          <w:bCs/>
          <w:color w:val="0B0C1D"/>
          <w:szCs w:val="24"/>
        </w:rPr>
        <w:t>the </w:t>
      </w:r>
      <w:hyperlink r:id="rId29" w:history="1">
        <w:r w:rsidRPr="001B55EB">
          <w:rPr>
            <w:rStyle w:val="Hyperlink"/>
            <w:rFonts w:cstheme="minorHAnsi"/>
            <w:bCs/>
            <w:color w:val="0047A5"/>
            <w:szCs w:val="24"/>
          </w:rPr>
          <w:t>DET Strategic Plan</w:t>
        </w:r>
      </w:hyperlink>
    </w:p>
    <w:p w14:paraId="467E0E17" w14:textId="001791CB" w:rsidR="001B55EB" w:rsidRPr="001B55EB" w:rsidRDefault="001B55EB" w:rsidP="0088045E">
      <w:pPr>
        <w:pStyle w:val="ListParagraph"/>
        <w:numPr>
          <w:ilvl w:val="0"/>
          <w:numId w:val="17"/>
        </w:numPr>
        <w:rPr>
          <w:rFonts w:cstheme="minorHAnsi"/>
          <w:bCs/>
          <w:color w:val="0B0C1D"/>
          <w:szCs w:val="24"/>
        </w:rPr>
      </w:pPr>
      <w:r w:rsidRPr="001B55EB">
        <w:rPr>
          <w:rFonts w:cstheme="minorHAnsi"/>
          <w:bCs/>
          <w:color w:val="0B0C1D"/>
          <w:szCs w:val="24"/>
        </w:rPr>
        <w:t>the </w:t>
      </w:r>
      <w:hyperlink r:id="rId30" w:tgtFrame="_blank" w:history="1">
        <w:r w:rsidRPr="001B55EB">
          <w:rPr>
            <w:rStyle w:val="Hyperlink"/>
            <w:rFonts w:cstheme="minorHAnsi"/>
            <w:bCs/>
            <w:color w:val="0047A5"/>
            <w:szCs w:val="24"/>
          </w:rPr>
          <w:t>Victorian Government Budget Paper Three</w:t>
        </w:r>
      </w:hyperlink>
      <w:r w:rsidRPr="001B55EB">
        <w:rPr>
          <w:rFonts w:cstheme="minorHAnsi"/>
          <w:bCs/>
          <w:color w:val="0B0C1D"/>
          <w:szCs w:val="24"/>
        </w:rPr>
        <w:t xml:space="preserve">, </w:t>
      </w:r>
      <w:r>
        <w:rPr>
          <w:rFonts w:cstheme="minorHAnsi"/>
          <w:bCs/>
          <w:color w:val="0B0C1D"/>
          <w:szCs w:val="24"/>
        </w:rPr>
        <w:t xml:space="preserve">which </w:t>
      </w:r>
      <w:r w:rsidRPr="001B55EB">
        <w:rPr>
          <w:rFonts w:cstheme="minorHAnsi"/>
          <w:bCs/>
          <w:color w:val="0B0C1D"/>
          <w:szCs w:val="24"/>
        </w:rPr>
        <w:t>includes DET performance data.</w:t>
      </w:r>
    </w:p>
    <w:p w14:paraId="6CEF6677" w14:textId="2EAA487B" w:rsidR="001B55EB" w:rsidRPr="001B55EB" w:rsidRDefault="001B55EB" w:rsidP="001B55EB">
      <w:pPr>
        <w:pStyle w:val="NoSpacing"/>
        <w:numPr>
          <w:ilvl w:val="0"/>
          <w:numId w:val="0"/>
        </w:numPr>
        <w:ind w:left="743"/>
      </w:pPr>
      <w:r w:rsidRPr="001B55EB">
        <w:t xml:space="preserve">DET staff can also consult </w:t>
      </w:r>
      <w:proofErr w:type="spellStart"/>
      <w:r w:rsidRPr="001B55EB">
        <w:t>Datazone</w:t>
      </w:r>
      <w:proofErr w:type="spellEnd"/>
      <w:r>
        <w:t>, the HES Data Portal and the Information Asset Register</w:t>
      </w:r>
      <w:r w:rsidRPr="001B55EB">
        <w:t xml:space="preserve"> via the DET intranet (no public access).</w:t>
      </w:r>
    </w:p>
    <w:p w14:paraId="06F1440F" w14:textId="27069CB2" w:rsidR="00763328" w:rsidRPr="00000D4F" w:rsidRDefault="00763328" w:rsidP="000A6583">
      <w:pPr>
        <w:pStyle w:val="NoSpacing"/>
        <w:numPr>
          <w:ilvl w:val="0"/>
          <w:numId w:val="0"/>
        </w:numPr>
        <w:ind w:left="743"/>
      </w:pPr>
      <w:r>
        <w:lastRenderedPageBreak/>
        <w:t xml:space="preserve">The Data Governance and Policy team may be able to suggest </w:t>
      </w:r>
      <w:r w:rsidR="00DE48AE">
        <w:t>publicly available</w:t>
      </w:r>
      <w:r>
        <w:t xml:space="preserve"> additional sources of data.</w:t>
      </w:r>
    </w:p>
    <w:p w14:paraId="7612C4EE" w14:textId="61211D02" w:rsidR="00763328" w:rsidRPr="006B1A2F" w:rsidRDefault="00763328" w:rsidP="000A6583">
      <w:pPr>
        <w:pStyle w:val="NoSpacing"/>
      </w:pPr>
      <w:r>
        <w:t xml:space="preserve">Data that is not publicly available must be sought via the data request process. </w:t>
      </w:r>
      <w:r w:rsidRPr="006B1A2F">
        <w:t>D</w:t>
      </w:r>
      <w:r w:rsidR="001B55EB">
        <w:t>ET</w:t>
      </w:r>
      <w:r w:rsidRPr="006B1A2F">
        <w:t xml:space="preserve"> does not </w:t>
      </w:r>
      <w:r>
        <w:t>(re)</w:t>
      </w:r>
      <w:r w:rsidRPr="006B1A2F">
        <w:t xml:space="preserve">supply data that is already publicly available. </w:t>
      </w:r>
    </w:p>
    <w:p w14:paraId="0040B45B" w14:textId="62662F12" w:rsidR="00763328" w:rsidRPr="000A6583" w:rsidRDefault="00763328" w:rsidP="000A6583">
      <w:pPr>
        <w:pStyle w:val="NoSpacing"/>
        <w:rPr>
          <w:rFonts w:cs="Arial"/>
        </w:rPr>
      </w:pPr>
      <w:r>
        <w:t xml:space="preserve">Publicly available data </w:t>
      </w:r>
      <w:r w:rsidRPr="006B1A2F">
        <w:t>may not be presented in the style and format that suits each client’s individual needs.</w:t>
      </w:r>
      <w:r>
        <w:t xml:space="preserve"> </w:t>
      </w:r>
      <w:r w:rsidRPr="006B1A2F">
        <w:t>However, please note that D</w:t>
      </w:r>
      <w:r w:rsidR="001B55EB">
        <w:t>ET</w:t>
      </w:r>
      <w:r w:rsidRPr="006B1A2F">
        <w:t xml:space="preserve"> is unable to supply formatting or graphic design services in respect of either published data or the unpublished data that it may provide in response to data requests.</w:t>
      </w:r>
    </w:p>
    <w:p w14:paraId="4D53A8A0" w14:textId="3719B8D7" w:rsidR="00763328" w:rsidRPr="00691B0E" w:rsidRDefault="00763328" w:rsidP="00CD7EFA">
      <w:pPr>
        <w:pStyle w:val="Heading2"/>
      </w:pPr>
      <w:bookmarkStart w:id="25" w:name="_Toc93995263"/>
      <w:r w:rsidRPr="00691B0E">
        <w:t>Breach of this Protocol</w:t>
      </w:r>
      <w:bookmarkEnd w:id="25"/>
    </w:p>
    <w:p w14:paraId="1D78EA5B" w14:textId="77777777" w:rsidR="00763328" w:rsidRPr="00435BAC" w:rsidRDefault="00763328" w:rsidP="000A6583">
      <w:pPr>
        <w:pStyle w:val="NoSpacing"/>
      </w:pPr>
      <w:r w:rsidRPr="00435BAC">
        <w:t>Potential breach of this Protocol takes two main forms:</w:t>
      </w:r>
    </w:p>
    <w:p w14:paraId="42C359F5" w14:textId="68C1CFC3" w:rsidR="00763328" w:rsidRPr="0040076A" w:rsidRDefault="00763328" w:rsidP="0088045E">
      <w:pPr>
        <w:pStyle w:val="ListParagraph"/>
        <w:numPr>
          <w:ilvl w:val="0"/>
          <w:numId w:val="6"/>
        </w:numPr>
        <w:spacing w:after="0"/>
        <w:rPr>
          <w:szCs w:val="24"/>
        </w:rPr>
      </w:pPr>
      <w:r>
        <w:rPr>
          <w:szCs w:val="24"/>
        </w:rPr>
        <w:t>f</w:t>
      </w:r>
      <w:r w:rsidRPr="0040076A">
        <w:rPr>
          <w:szCs w:val="24"/>
        </w:rPr>
        <w:t xml:space="preserve">ailure of an applicant to provide complete or accurate details </w:t>
      </w:r>
      <w:r>
        <w:rPr>
          <w:szCs w:val="24"/>
        </w:rPr>
        <w:t xml:space="preserve">as requested on the Data Request form and/or by telephone or email </w:t>
      </w:r>
      <w:r w:rsidRPr="0040076A">
        <w:rPr>
          <w:szCs w:val="24"/>
        </w:rPr>
        <w:t>that would be material to D</w:t>
      </w:r>
      <w:r w:rsidR="001B55EB">
        <w:rPr>
          <w:szCs w:val="24"/>
        </w:rPr>
        <w:t>ET</w:t>
      </w:r>
      <w:r w:rsidRPr="0040076A">
        <w:rPr>
          <w:szCs w:val="24"/>
        </w:rPr>
        <w:t>’</w:t>
      </w:r>
      <w:r>
        <w:rPr>
          <w:szCs w:val="24"/>
        </w:rPr>
        <w:t>s decision to provide data</w:t>
      </w:r>
      <w:r w:rsidRPr="0040076A">
        <w:rPr>
          <w:szCs w:val="24"/>
        </w:rPr>
        <w:t xml:space="preserve"> and the terms of any data supply by D</w:t>
      </w:r>
      <w:r w:rsidR="001B55EB">
        <w:rPr>
          <w:szCs w:val="24"/>
        </w:rPr>
        <w:t>ED</w:t>
      </w:r>
      <w:r>
        <w:rPr>
          <w:szCs w:val="24"/>
        </w:rPr>
        <w:t xml:space="preserve">, for example failure to advise that third party subcontractors will handle the data, and the terms of any agreement with </w:t>
      </w:r>
      <w:proofErr w:type="gramStart"/>
      <w:r>
        <w:rPr>
          <w:szCs w:val="24"/>
        </w:rPr>
        <w:t>them;</w:t>
      </w:r>
      <w:proofErr w:type="gramEnd"/>
    </w:p>
    <w:p w14:paraId="6403115C" w14:textId="14C0F2B4" w:rsidR="00763328" w:rsidRPr="000A6583" w:rsidRDefault="00763328" w:rsidP="0088045E">
      <w:pPr>
        <w:pStyle w:val="ListParagraph"/>
        <w:numPr>
          <w:ilvl w:val="0"/>
          <w:numId w:val="6"/>
        </w:numPr>
        <w:spacing w:after="0"/>
        <w:rPr>
          <w:szCs w:val="24"/>
        </w:rPr>
      </w:pPr>
      <w:r>
        <w:rPr>
          <w:szCs w:val="24"/>
        </w:rPr>
        <w:t>f</w:t>
      </w:r>
      <w:r w:rsidRPr="0040076A">
        <w:rPr>
          <w:szCs w:val="24"/>
        </w:rPr>
        <w:t>ailure of the recipient of data from D</w:t>
      </w:r>
      <w:r w:rsidR="001B55EB">
        <w:rPr>
          <w:szCs w:val="24"/>
        </w:rPr>
        <w:t>ET</w:t>
      </w:r>
      <w:r w:rsidRPr="0040076A">
        <w:rPr>
          <w:szCs w:val="24"/>
        </w:rPr>
        <w:t xml:space="preserve"> to comply with the requirements of the data request form </w:t>
      </w:r>
      <w:r>
        <w:rPr>
          <w:szCs w:val="24"/>
        </w:rPr>
        <w:t xml:space="preserve">or of </w:t>
      </w:r>
      <w:r w:rsidRPr="0040076A">
        <w:rPr>
          <w:szCs w:val="24"/>
        </w:rPr>
        <w:t>specific conditions imposed, such as breach of an undertaking not to disclose or publish the data received without prior written consent from D</w:t>
      </w:r>
      <w:r w:rsidR="001B55EB">
        <w:rPr>
          <w:szCs w:val="24"/>
        </w:rPr>
        <w:t>ET</w:t>
      </w:r>
      <w:r w:rsidRPr="0040076A">
        <w:rPr>
          <w:szCs w:val="24"/>
        </w:rPr>
        <w:t>.</w:t>
      </w:r>
    </w:p>
    <w:p w14:paraId="65FEB18E" w14:textId="3D9377E9" w:rsidR="00763328" w:rsidRPr="000A6583" w:rsidRDefault="00763328" w:rsidP="000A6583">
      <w:pPr>
        <w:pStyle w:val="NoSpacing"/>
      </w:pPr>
      <w:r w:rsidRPr="00435BAC">
        <w:t>Breach may result in the rejection by D</w:t>
      </w:r>
      <w:r w:rsidR="001B55EB">
        <w:t>ET</w:t>
      </w:r>
      <w:r w:rsidRPr="00435BAC">
        <w:t xml:space="preserve"> of future requests for data by the applicant or his or her organisation. Any breach involving personal information may also give rise to a privacy complaint by affected individuals.</w:t>
      </w:r>
      <w:r w:rsidR="00B03A95">
        <w:br/>
      </w:r>
    </w:p>
    <w:p w14:paraId="76EE7F0E" w14:textId="1DDFEA67" w:rsidR="00763328" w:rsidRPr="000D0EBD" w:rsidRDefault="00763328" w:rsidP="00CD7EFA">
      <w:pPr>
        <w:pStyle w:val="Heading2"/>
      </w:pPr>
      <w:bookmarkStart w:id="26" w:name="_Toc93995264"/>
      <w:r w:rsidRPr="000D0EBD">
        <w:t xml:space="preserve">Process for requesting </w:t>
      </w:r>
      <w:r w:rsidR="001B55EB">
        <w:t>DET</w:t>
      </w:r>
      <w:r w:rsidRPr="000D0EBD">
        <w:t xml:space="preserve"> data</w:t>
      </w:r>
      <w:bookmarkEnd w:id="26"/>
    </w:p>
    <w:p w14:paraId="7976E30C" w14:textId="7A216867" w:rsidR="00763328" w:rsidRPr="000A6583" w:rsidRDefault="00763328" w:rsidP="001B55EB">
      <w:pPr>
        <w:pStyle w:val="NoSpacing"/>
      </w:pPr>
      <w:r w:rsidRPr="000D0EBD">
        <w:t>Completed and signed Data Request Forms should be directed to</w:t>
      </w:r>
      <w:r w:rsidR="00F536E1">
        <w:t xml:space="preserve"> </w:t>
      </w:r>
      <w:hyperlink r:id="rId31" w:history="1">
        <w:r w:rsidR="004E62E2">
          <w:rPr>
            <w:rStyle w:val="Hyperlink"/>
          </w:rPr>
          <w:t>reporting.and.data.services@education.vic.gov.au</w:t>
        </w:r>
      </w:hyperlink>
    </w:p>
    <w:p w14:paraId="60F13E2A" w14:textId="301D0CCD" w:rsidR="00763328" w:rsidRDefault="00763328" w:rsidP="00CD7EFA">
      <w:pPr>
        <w:pStyle w:val="Heading2"/>
      </w:pPr>
      <w:bookmarkStart w:id="27" w:name="_Toc93995265"/>
      <w:r w:rsidRPr="00E66701">
        <w:t>Fees and charges</w:t>
      </w:r>
      <w:bookmarkEnd w:id="27"/>
    </w:p>
    <w:p w14:paraId="282BE8B5" w14:textId="69613955" w:rsidR="00DF20F1" w:rsidRDefault="00763328" w:rsidP="00BF6C98">
      <w:pPr>
        <w:pStyle w:val="NoSpacing"/>
      </w:pPr>
      <w:r>
        <w:t>C</w:t>
      </w:r>
      <w:r w:rsidRPr="00E66701">
        <w:t>urrently</w:t>
      </w:r>
      <w:r w:rsidR="00CC5310">
        <w:t>,</w:t>
      </w:r>
      <w:r w:rsidRPr="00E66701">
        <w:t xml:space="preserve"> D</w:t>
      </w:r>
      <w:r w:rsidR="00F536E1">
        <w:t>ET</w:t>
      </w:r>
      <w:r w:rsidRPr="00E66701">
        <w:t xml:space="preserve"> does not </w:t>
      </w:r>
      <w:r>
        <w:t xml:space="preserve">charge for the provision of existing datasets or discrete information. </w:t>
      </w:r>
    </w:p>
    <w:p w14:paraId="1DED46ED" w14:textId="77777777" w:rsidR="00DF20F1" w:rsidRDefault="00DF20F1">
      <w:pPr>
        <w:rPr>
          <w:sz w:val="24"/>
          <w:szCs w:val="24"/>
        </w:rPr>
      </w:pPr>
      <w:r>
        <w:br w:type="page"/>
      </w:r>
    </w:p>
    <w:p w14:paraId="07B74635" w14:textId="26FC93C4" w:rsidR="00763328" w:rsidRDefault="00763328" w:rsidP="00D25083">
      <w:pPr>
        <w:pStyle w:val="Heading1"/>
        <w:numPr>
          <w:ilvl w:val="0"/>
          <w:numId w:val="0"/>
        </w:numPr>
      </w:pPr>
      <w:bookmarkStart w:id="28" w:name="_Toc502762635"/>
      <w:bookmarkStart w:id="29" w:name="_Toc502762678"/>
      <w:bookmarkStart w:id="30" w:name="_Toc502762750"/>
      <w:bookmarkStart w:id="31" w:name="_Toc502824629"/>
      <w:bookmarkStart w:id="32" w:name="_Toc93995266"/>
      <w:bookmarkEnd w:id="28"/>
      <w:bookmarkEnd w:id="29"/>
      <w:bookmarkEnd w:id="30"/>
      <w:bookmarkEnd w:id="31"/>
      <w:r w:rsidRPr="003B5649">
        <w:lastRenderedPageBreak/>
        <w:t xml:space="preserve">Appendix </w:t>
      </w:r>
      <w:r w:rsidR="000057D7">
        <w:t>1</w:t>
      </w:r>
      <w:r w:rsidRPr="003B5649">
        <w:t xml:space="preserve">: </w:t>
      </w:r>
      <w:r>
        <w:t>Minimum r</w:t>
      </w:r>
      <w:r w:rsidRPr="009538EF">
        <w:t xml:space="preserve">equired </w:t>
      </w:r>
      <w:r>
        <w:t xml:space="preserve">privacy and </w:t>
      </w:r>
      <w:r w:rsidRPr="009538EF">
        <w:t>d</w:t>
      </w:r>
      <w:r>
        <w:t xml:space="preserve">ata security </w:t>
      </w:r>
      <w:r w:rsidRPr="003B5649">
        <w:t>measures</w:t>
      </w:r>
      <w:bookmarkEnd w:id="32"/>
      <w:r w:rsidRPr="003B5649">
        <w:t xml:space="preserve"> </w:t>
      </w:r>
    </w:p>
    <w:p w14:paraId="146FA711" w14:textId="3FB48952" w:rsidR="00107DEA" w:rsidRPr="00107DEA" w:rsidRDefault="00107DEA" w:rsidP="00107DEA">
      <w:pPr>
        <w:spacing w:before="60" w:after="60" w:line="240" w:lineRule="auto"/>
        <w:rPr>
          <w:sz w:val="24"/>
          <w:szCs w:val="24"/>
        </w:rPr>
      </w:pPr>
      <w:r>
        <w:rPr>
          <w:sz w:val="24"/>
          <w:szCs w:val="24"/>
        </w:rPr>
        <w:t>T</w:t>
      </w:r>
      <w:r w:rsidRPr="00107DEA">
        <w:rPr>
          <w:sz w:val="24"/>
          <w:szCs w:val="24"/>
        </w:rPr>
        <w:t xml:space="preserve">he Performance &amp; Evaluation Division (PED) must comply with the Privacy and Data Protection Act 2014 (PDP Act) and must take reasonable steps to protect the personal information it holds from misuse or loss and from unauthorised access, </w:t>
      </w:r>
      <w:proofErr w:type="gramStart"/>
      <w:r w:rsidRPr="00107DEA">
        <w:rPr>
          <w:sz w:val="24"/>
          <w:szCs w:val="24"/>
        </w:rPr>
        <w:t>modification</w:t>
      </w:r>
      <w:proofErr w:type="gramEnd"/>
      <w:r w:rsidRPr="00107DEA">
        <w:rPr>
          <w:sz w:val="24"/>
          <w:szCs w:val="24"/>
        </w:rPr>
        <w:t xml:space="preserve"> and disclosure.</w:t>
      </w:r>
    </w:p>
    <w:p w14:paraId="1A68ED0D" w14:textId="183132A6" w:rsidR="00107DEA" w:rsidRPr="00107DEA" w:rsidRDefault="00107DEA" w:rsidP="00107DEA">
      <w:pPr>
        <w:spacing w:before="60" w:after="60" w:line="240" w:lineRule="auto"/>
        <w:rPr>
          <w:sz w:val="24"/>
          <w:szCs w:val="24"/>
        </w:rPr>
      </w:pPr>
      <w:r w:rsidRPr="00107DEA">
        <w:rPr>
          <w:sz w:val="24"/>
          <w:szCs w:val="24"/>
        </w:rPr>
        <w:t xml:space="preserve">On the above basis, PED </w:t>
      </w:r>
      <w:r>
        <w:rPr>
          <w:sz w:val="24"/>
          <w:szCs w:val="24"/>
        </w:rPr>
        <w:t xml:space="preserve">may </w:t>
      </w:r>
      <w:r w:rsidRPr="00107DEA">
        <w:rPr>
          <w:sz w:val="24"/>
          <w:szCs w:val="24"/>
        </w:rPr>
        <w:t xml:space="preserve">supply </w:t>
      </w:r>
      <w:r>
        <w:rPr>
          <w:sz w:val="24"/>
          <w:szCs w:val="24"/>
        </w:rPr>
        <w:t xml:space="preserve">the </w:t>
      </w:r>
      <w:r w:rsidRPr="00107DEA">
        <w:rPr>
          <w:sz w:val="24"/>
          <w:szCs w:val="24"/>
        </w:rPr>
        <w:t xml:space="preserve">data requested (Requested Data) to </w:t>
      </w:r>
      <w:r>
        <w:rPr>
          <w:sz w:val="24"/>
          <w:szCs w:val="24"/>
        </w:rPr>
        <w:t>prospective requestors</w:t>
      </w:r>
      <w:r w:rsidRPr="00107DEA">
        <w:rPr>
          <w:sz w:val="24"/>
          <w:szCs w:val="24"/>
        </w:rPr>
        <w:t xml:space="preserve"> (You), in consideration of You agreeing to the following terms and conditions:</w:t>
      </w:r>
    </w:p>
    <w:p w14:paraId="46E44F3E" w14:textId="77777777" w:rsidR="00107DEA" w:rsidRPr="00107DEA" w:rsidRDefault="00107DEA" w:rsidP="00107DEA">
      <w:pPr>
        <w:pStyle w:val="ListParagraph"/>
        <w:numPr>
          <w:ilvl w:val="0"/>
          <w:numId w:val="20"/>
        </w:numPr>
        <w:spacing w:before="60" w:after="60" w:line="240" w:lineRule="auto"/>
        <w:rPr>
          <w:szCs w:val="24"/>
        </w:rPr>
      </w:pPr>
      <w:r w:rsidRPr="00107DEA">
        <w:rPr>
          <w:szCs w:val="24"/>
        </w:rPr>
        <w:t xml:space="preserve">You agree to be bound by (and will make sure your personnel are bound by) the PDP Act with respect to the access, use and disclosure of the Requested Data. </w:t>
      </w:r>
    </w:p>
    <w:p w14:paraId="3FC0EB12" w14:textId="77777777" w:rsidR="00107DEA" w:rsidRPr="00107DEA" w:rsidRDefault="00107DEA" w:rsidP="00107DEA">
      <w:pPr>
        <w:pStyle w:val="ListParagraph"/>
        <w:numPr>
          <w:ilvl w:val="0"/>
          <w:numId w:val="20"/>
        </w:numPr>
        <w:spacing w:before="60" w:after="60" w:line="240" w:lineRule="auto"/>
        <w:rPr>
          <w:szCs w:val="24"/>
        </w:rPr>
      </w:pPr>
      <w:r w:rsidRPr="00107DEA">
        <w:rPr>
          <w:szCs w:val="24"/>
        </w:rPr>
        <w:t xml:space="preserve">On request, </w:t>
      </w:r>
      <w:proofErr w:type="gramStart"/>
      <w:r w:rsidRPr="00107DEA">
        <w:rPr>
          <w:szCs w:val="24"/>
        </w:rPr>
        <w:t>You</w:t>
      </w:r>
      <w:proofErr w:type="gramEnd"/>
      <w:r w:rsidRPr="00107DEA">
        <w:rPr>
          <w:szCs w:val="24"/>
        </w:rPr>
        <w:t xml:space="preserve"> agree to provide PED with links to Your privacy policy or policies, and details of Your security training and awareness regime.</w:t>
      </w:r>
    </w:p>
    <w:p w14:paraId="6706DA71" w14:textId="77777777" w:rsidR="00107DEA" w:rsidRPr="00107DEA" w:rsidRDefault="00107DEA" w:rsidP="00107DEA">
      <w:pPr>
        <w:pStyle w:val="ListParagraph"/>
        <w:numPr>
          <w:ilvl w:val="0"/>
          <w:numId w:val="20"/>
        </w:numPr>
        <w:spacing w:before="60" w:after="60" w:line="240" w:lineRule="auto"/>
        <w:rPr>
          <w:szCs w:val="24"/>
        </w:rPr>
      </w:pPr>
      <w:r w:rsidRPr="00107DEA">
        <w:rPr>
          <w:szCs w:val="24"/>
        </w:rPr>
        <w:t xml:space="preserve">On request, </w:t>
      </w:r>
      <w:proofErr w:type="gramStart"/>
      <w:r w:rsidRPr="00107DEA">
        <w:rPr>
          <w:szCs w:val="24"/>
        </w:rPr>
        <w:t>You</w:t>
      </w:r>
      <w:proofErr w:type="gramEnd"/>
      <w:r w:rsidRPr="00107DEA">
        <w:rPr>
          <w:szCs w:val="24"/>
        </w:rPr>
        <w:t xml:space="preserve"> will facilitate penetration testing by DET to identify any system vulnerabilities prior to supply of the data.</w:t>
      </w:r>
    </w:p>
    <w:p w14:paraId="0CF71724" w14:textId="77777777" w:rsidR="00107DEA" w:rsidRPr="00107DEA" w:rsidRDefault="00107DEA" w:rsidP="00107DEA">
      <w:pPr>
        <w:pStyle w:val="ListParagraph"/>
        <w:numPr>
          <w:ilvl w:val="0"/>
          <w:numId w:val="20"/>
        </w:numPr>
        <w:spacing w:before="60" w:after="60" w:line="240" w:lineRule="auto"/>
        <w:rPr>
          <w:szCs w:val="24"/>
        </w:rPr>
      </w:pPr>
      <w:r w:rsidRPr="00107DEA">
        <w:rPr>
          <w:szCs w:val="24"/>
        </w:rPr>
        <w:t xml:space="preserve">You will use the Requested Data only for the stated purposes for which it was requested and for which supply was agreed to by PED. </w:t>
      </w:r>
    </w:p>
    <w:p w14:paraId="7E3F7DBE" w14:textId="77777777" w:rsidR="00107DEA" w:rsidRPr="00107DEA" w:rsidRDefault="00107DEA" w:rsidP="00107DEA">
      <w:pPr>
        <w:pStyle w:val="ListParagraph"/>
        <w:numPr>
          <w:ilvl w:val="0"/>
          <w:numId w:val="20"/>
        </w:numPr>
        <w:spacing w:before="60" w:after="60" w:line="240" w:lineRule="auto"/>
        <w:rPr>
          <w:szCs w:val="24"/>
        </w:rPr>
      </w:pPr>
      <w:r w:rsidRPr="00107DEA">
        <w:rPr>
          <w:szCs w:val="24"/>
        </w:rPr>
        <w:t xml:space="preserve">When storing the Requested Data, </w:t>
      </w:r>
      <w:proofErr w:type="gramStart"/>
      <w:r w:rsidRPr="00107DEA">
        <w:rPr>
          <w:szCs w:val="24"/>
        </w:rPr>
        <w:t>You</w:t>
      </w:r>
      <w:proofErr w:type="gramEnd"/>
      <w:r w:rsidRPr="00107DEA">
        <w:rPr>
          <w:szCs w:val="24"/>
        </w:rPr>
        <w:t xml:space="preserve"> agree to:</w:t>
      </w:r>
    </w:p>
    <w:p w14:paraId="64C7CEAB" w14:textId="77777777" w:rsidR="00107DEA" w:rsidRPr="00107DEA" w:rsidRDefault="00107DEA" w:rsidP="00107DEA">
      <w:pPr>
        <w:pStyle w:val="ListParagraph"/>
        <w:numPr>
          <w:ilvl w:val="1"/>
          <w:numId w:val="20"/>
        </w:numPr>
        <w:spacing w:before="60" w:after="60" w:line="240" w:lineRule="auto"/>
        <w:rPr>
          <w:szCs w:val="24"/>
        </w:rPr>
      </w:pPr>
      <w:r w:rsidRPr="00107DEA">
        <w:rPr>
          <w:szCs w:val="24"/>
        </w:rPr>
        <w:t>store the electronic data on a secure server that can be accessed only by agreed specified persons or classes of persons and on a ‘needs to know’-</w:t>
      </w:r>
      <w:proofErr w:type="gramStart"/>
      <w:r w:rsidRPr="00107DEA">
        <w:rPr>
          <w:szCs w:val="24"/>
        </w:rPr>
        <w:t>basis;</w:t>
      </w:r>
      <w:proofErr w:type="gramEnd"/>
      <w:r w:rsidRPr="00107DEA">
        <w:rPr>
          <w:szCs w:val="24"/>
        </w:rPr>
        <w:t xml:space="preserve"> </w:t>
      </w:r>
    </w:p>
    <w:p w14:paraId="60505EA5" w14:textId="77777777" w:rsidR="00107DEA" w:rsidRPr="00107DEA" w:rsidRDefault="00107DEA" w:rsidP="00107DEA">
      <w:pPr>
        <w:pStyle w:val="ListParagraph"/>
        <w:numPr>
          <w:ilvl w:val="1"/>
          <w:numId w:val="20"/>
        </w:numPr>
        <w:spacing w:before="60" w:after="60" w:line="240" w:lineRule="auto"/>
        <w:rPr>
          <w:szCs w:val="24"/>
        </w:rPr>
      </w:pPr>
      <w:r w:rsidRPr="00107DEA">
        <w:rPr>
          <w:szCs w:val="24"/>
        </w:rPr>
        <w:t xml:space="preserve">store in locked cabinets, any devices containing, or printouts of, the data that could enable identification of individuals or </w:t>
      </w:r>
      <w:proofErr w:type="gramStart"/>
      <w:r w:rsidRPr="00107DEA">
        <w:rPr>
          <w:szCs w:val="24"/>
        </w:rPr>
        <w:t>organisations;</w:t>
      </w:r>
      <w:proofErr w:type="gramEnd"/>
    </w:p>
    <w:p w14:paraId="064BC8B2" w14:textId="77777777" w:rsidR="00107DEA" w:rsidRPr="00107DEA" w:rsidRDefault="00107DEA" w:rsidP="00107DEA">
      <w:pPr>
        <w:pStyle w:val="ListParagraph"/>
        <w:numPr>
          <w:ilvl w:val="1"/>
          <w:numId w:val="20"/>
        </w:numPr>
        <w:spacing w:before="60" w:after="60" w:line="240" w:lineRule="auto"/>
        <w:rPr>
          <w:szCs w:val="24"/>
        </w:rPr>
      </w:pPr>
      <w:r w:rsidRPr="00107DEA">
        <w:rPr>
          <w:szCs w:val="24"/>
        </w:rPr>
        <w:t xml:space="preserve">not attempt to identify particular persons or organisations represented in the data nor attempt to match the information </w:t>
      </w:r>
      <w:proofErr w:type="gramStart"/>
      <w:r w:rsidRPr="00107DEA">
        <w:rPr>
          <w:szCs w:val="24"/>
        </w:rPr>
        <w:t>supplied;</w:t>
      </w:r>
      <w:proofErr w:type="gramEnd"/>
    </w:p>
    <w:p w14:paraId="245F0598" w14:textId="77777777" w:rsidR="00107DEA" w:rsidRPr="00107DEA" w:rsidRDefault="00107DEA" w:rsidP="00107DEA">
      <w:pPr>
        <w:pStyle w:val="ListParagraph"/>
        <w:numPr>
          <w:ilvl w:val="1"/>
          <w:numId w:val="20"/>
        </w:numPr>
        <w:spacing w:before="60" w:after="60" w:line="240" w:lineRule="auto"/>
        <w:rPr>
          <w:szCs w:val="24"/>
        </w:rPr>
      </w:pPr>
      <w:r w:rsidRPr="00107DEA">
        <w:rPr>
          <w:szCs w:val="24"/>
        </w:rPr>
        <w:t xml:space="preserve">not disclose the data, either directly or indirectly, to any person not specified in the data request or otherwise indicated to PED before this letter of offer was issued by </w:t>
      </w:r>
      <w:proofErr w:type="gramStart"/>
      <w:r w:rsidRPr="00107DEA">
        <w:rPr>
          <w:szCs w:val="24"/>
        </w:rPr>
        <w:t>PED;</w:t>
      </w:r>
      <w:proofErr w:type="gramEnd"/>
    </w:p>
    <w:p w14:paraId="6C666325" w14:textId="77777777" w:rsidR="00107DEA" w:rsidRPr="00107DEA" w:rsidRDefault="00107DEA" w:rsidP="00107DEA">
      <w:pPr>
        <w:pStyle w:val="ListParagraph"/>
        <w:numPr>
          <w:ilvl w:val="1"/>
          <w:numId w:val="20"/>
        </w:numPr>
        <w:spacing w:before="60" w:after="60" w:line="240" w:lineRule="auto"/>
        <w:rPr>
          <w:szCs w:val="24"/>
        </w:rPr>
      </w:pPr>
      <w:r w:rsidRPr="00107DEA">
        <w:rPr>
          <w:szCs w:val="24"/>
        </w:rPr>
        <w:t xml:space="preserve">not transfer the data outside Victoria without the express written permission of </w:t>
      </w:r>
      <w:proofErr w:type="gramStart"/>
      <w:r w:rsidRPr="00107DEA">
        <w:rPr>
          <w:szCs w:val="24"/>
        </w:rPr>
        <w:t>PED;</w:t>
      </w:r>
      <w:proofErr w:type="gramEnd"/>
    </w:p>
    <w:p w14:paraId="2EF674DC" w14:textId="77777777" w:rsidR="00107DEA" w:rsidRPr="00107DEA" w:rsidRDefault="00107DEA" w:rsidP="00107DEA">
      <w:pPr>
        <w:pStyle w:val="ListParagraph"/>
        <w:numPr>
          <w:ilvl w:val="1"/>
          <w:numId w:val="20"/>
        </w:numPr>
        <w:spacing w:before="60" w:after="60" w:line="240" w:lineRule="auto"/>
        <w:rPr>
          <w:szCs w:val="24"/>
        </w:rPr>
      </w:pPr>
      <w:r w:rsidRPr="00107DEA">
        <w:rPr>
          <w:szCs w:val="24"/>
        </w:rPr>
        <w:t xml:space="preserve">obtain the express written permission of DET before publishing any data, analysis or commentary based on the </w:t>
      </w:r>
      <w:proofErr w:type="gramStart"/>
      <w:r w:rsidRPr="00107DEA">
        <w:rPr>
          <w:szCs w:val="24"/>
        </w:rPr>
        <w:t>data;</w:t>
      </w:r>
      <w:proofErr w:type="gramEnd"/>
    </w:p>
    <w:p w14:paraId="3FEDDD7C" w14:textId="0EDFA82A" w:rsidR="00107DEA" w:rsidRPr="00107DEA" w:rsidRDefault="00107DEA" w:rsidP="00107DEA">
      <w:pPr>
        <w:pStyle w:val="ListParagraph"/>
        <w:numPr>
          <w:ilvl w:val="1"/>
          <w:numId w:val="20"/>
        </w:numPr>
        <w:spacing w:before="60" w:after="60" w:line="240" w:lineRule="auto"/>
        <w:rPr>
          <w:szCs w:val="24"/>
        </w:rPr>
      </w:pPr>
      <w:r w:rsidRPr="00107DEA">
        <w:rPr>
          <w:szCs w:val="24"/>
        </w:rPr>
        <w:t xml:space="preserve">advise PED if any issue of data quality, such as accuracy or completeness, is identified in data </w:t>
      </w:r>
      <w:proofErr w:type="gramStart"/>
      <w:r w:rsidRPr="00107DEA">
        <w:rPr>
          <w:szCs w:val="24"/>
        </w:rPr>
        <w:t>supplied;</w:t>
      </w:r>
      <w:proofErr w:type="gramEnd"/>
      <w:r w:rsidRPr="00107DEA">
        <w:rPr>
          <w:szCs w:val="24"/>
        </w:rPr>
        <w:t xml:space="preserve"> </w:t>
      </w:r>
    </w:p>
    <w:p w14:paraId="2356B56A" w14:textId="77777777" w:rsidR="00107DEA" w:rsidRPr="00107DEA" w:rsidRDefault="00107DEA" w:rsidP="00107DEA">
      <w:pPr>
        <w:pStyle w:val="ListParagraph"/>
        <w:numPr>
          <w:ilvl w:val="1"/>
          <w:numId w:val="20"/>
        </w:numPr>
        <w:spacing w:before="60" w:after="60" w:line="240" w:lineRule="auto"/>
        <w:rPr>
          <w:szCs w:val="24"/>
        </w:rPr>
      </w:pPr>
      <w:r w:rsidRPr="00107DEA">
        <w:rPr>
          <w:szCs w:val="24"/>
        </w:rPr>
        <w:t>not copy or retain the data other than for the purpose specified in the data request and at the end of the purpose:</w:t>
      </w:r>
    </w:p>
    <w:p w14:paraId="507A7567" w14:textId="77777777" w:rsidR="00107DEA" w:rsidRPr="00107DEA" w:rsidRDefault="00107DEA" w:rsidP="00107DEA">
      <w:pPr>
        <w:pStyle w:val="ListParagraph"/>
        <w:numPr>
          <w:ilvl w:val="2"/>
          <w:numId w:val="20"/>
        </w:numPr>
        <w:spacing w:before="60" w:after="60" w:line="240" w:lineRule="auto"/>
        <w:rPr>
          <w:szCs w:val="24"/>
        </w:rPr>
      </w:pPr>
      <w:r w:rsidRPr="00107DEA">
        <w:rPr>
          <w:szCs w:val="24"/>
        </w:rPr>
        <w:t>delete the data from any servers or devices containing it,</w:t>
      </w:r>
    </w:p>
    <w:p w14:paraId="04F6DEB7" w14:textId="77777777" w:rsidR="00107DEA" w:rsidRPr="00107DEA" w:rsidRDefault="00107DEA" w:rsidP="00107DEA">
      <w:pPr>
        <w:pStyle w:val="ListParagraph"/>
        <w:numPr>
          <w:ilvl w:val="2"/>
          <w:numId w:val="20"/>
        </w:numPr>
        <w:spacing w:before="60" w:after="60" w:line="240" w:lineRule="auto"/>
        <w:rPr>
          <w:szCs w:val="24"/>
        </w:rPr>
      </w:pPr>
      <w:r w:rsidRPr="00107DEA">
        <w:rPr>
          <w:szCs w:val="24"/>
        </w:rPr>
        <w:t xml:space="preserve">delete any output from analysis of the data, whether electronic or printed, that could result in a person or organisation (other than as necessary </w:t>
      </w:r>
      <w:proofErr w:type="gramStart"/>
      <w:r w:rsidRPr="00107DEA">
        <w:rPr>
          <w:szCs w:val="24"/>
        </w:rPr>
        <w:t>in order to</w:t>
      </w:r>
      <w:proofErr w:type="gramEnd"/>
      <w:r w:rsidRPr="00107DEA">
        <w:rPr>
          <w:szCs w:val="24"/>
        </w:rPr>
        <w:t xml:space="preserve"> achieve the purpose specified in the data request) being identified, and</w:t>
      </w:r>
    </w:p>
    <w:p w14:paraId="0DCAD459" w14:textId="450E3102" w:rsidR="00107DEA" w:rsidRPr="00107DEA" w:rsidRDefault="00107DEA" w:rsidP="00107DEA">
      <w:pPr>
        <w:pStyle w:val="ListParagraph"/>
        <w:numPr>
          <w:ilvl w:val="2"/>
          <w:numId w:val="20"/>
        </w:numPr>
        <w:spacing w:before="60" w:after="60" w:line="240" w:lineRule="auto"/>
        <w:rPr>
          <w:szCs w:val="24"/>
        </w:rPr>
      </w:pPr>
      <w:r w:rsidRPr="00107DEA">
        <w:rPr>
          <w:szCs w:val="24"/>
        </w:rPr>
        <w:t>return to PED all copies of data or other information supplied or made accessible</w:t>
      </w:r>
    </w:p>
    <w:p w14:paraId="36018141" w14:textId="0BA8A44C" w:rsidR="00B21B3F" w:rsidRDefault="00107DEA" w:rsidP="00A75701">
      <w:pPr>
        <w:pStyle w:val="ListParagraph"/>
        <w:numPr>
          <w:ilvl w:val="0"/>
          <w:numId w:val="20"/>
        </w:numPr>
        <w:spacing w:before="60" w:after="60" w:line="240" w:lineRule="auto"/>
      </w:pPr>
      <w:r w:rsidRPr="00107DEA">
        <w:rPr>
          <w:szCs w:val="24"/>
        </w:rPr>
        <w:t xml:space="preserve">You further acknowledge and agree that DET has the right to conduct or commission compliance audits or reviews of Your compliance with these terms and conditions, by means of processes and procedures including monitoring and reporting by DET personnel, and audit or review by DET’s internal audit unit. </w:t>
      </w:r>
    </w:p>
    <w:sectPr w:rsidR="00B21B3F" w:rsidSect="00763328">
      <w:headerReference w:type="default" r:id="rId32"/>
      <w:footerReference w:type="default" r:id="rId33"/>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F0CB" w14:textId="77777777" w:rsidR="00EC5CB7" w:rsidRDefault="00EC5CB7" w:rsidP="00E116F8">
      <w:pPr>
        <w:spacing w:after="0" w:line="240" w:lineRule="auto"/>
      </w:pPr>
      <w:r>
        <w:separator/>
      </w:r>
    </w:p>
    <w:p w14:paraId="774B5DC1" w14:textId="77777777" w:rsidR="00EC5CB7" w:rsidRDefault="00EC5CB7"/>
    <w:p w14:paraId="2158B64B" w14:textId="77777777" w:rsidR="00EC5CB7" w:rsidRDefault="00EC5CB7" w:rsidP="00CC5310"/>
    <w:p w14:paraId="6356146A" w14:textId="77777777" w:rsidR="00EC5CB7" w:rsidRDefault="00EC5CB7" w:rsidP="00CC5310"/>
    <w:p w14:paraId="785A170C" w14:textId="77777777" w:rsidR="00EC5CB7" w:rsidRDefault="00EC5CB7" w:rsidP="00CC5310"/>
  </w:endnote>
  <w:endnote w:type="continuationSeparator" w:id="0">
    <w:p w14:paraId="4B7EDCB3" w14:textId="77777777" w:rsidR="00EC5CB7" w:rsidRDefault="00EC5CB7" w:rsidP="00E116F8">
      <w:pPr>
        <w:spacing w:after="0" w:line="240" w:lineRule="auto"/>
      </w:pPr>
      <w:r>
        <w:continuationSeparator/>
      </w:r>
    </w:p>
    <w:p w14:paraId="5CE592A5" w14:textId="77777777" w:rsidR="00EC5CB7" w:rsidRDefault="00EC5CB7"/>
    <w:p w14:paraId="6E37B90D" w14:textId="77777777" w:rsidR="00EC5CB7" w:rsidRDefault="00EC5CB7" w:rsidP="00CC5310"/>
    <w:p w14:paraId="6AC32440" w14:textId="77777777" w:rsidR="00EC5CB7" w:rsidRDefault="00EC5CB7" w:rsidP="00CC5310"/>
    <w:p w14:paraId="5B52A741" w14:textId="77777777" w:rsidR="00EC5CB7" w:rsidRDefault="00EC5CB7" w:rsidP="00CC5310"/>
  </w:endnote>
  <w:endnote w:type="continuationNotice" w:id="1">
    <w:p w14:paraId="2276A514" w14:textId="77777777" w:rsidR="00EC5CB7" w:rsidRDefault="00EC5CB7">
      <w:pPr>
        <w:spacing w:after="0" w:line="240" w:lineRule="auto"/>
      </w:pPr>
    </w:p>
    <w:p w14:paraId="3CA7A983" w14:textId="77777777" w:rsidR="00EC5CB7" w:rsidRDefault="00EC5CB7"/>
    <w:p w14:paraId="071ED7BE" w14:textId="77777777" w:rsidR="00EC5CB7" w:rsidRDefault="00EC5CB7" w:rsidP="00CC5310"/>
    <w:p w14:paraId="45473CA2" w14:textId="77777777" w:rsidR="00EC5CB7" w:rsidRDefault="00EC5CB7" w:rsidP="00CC5310"/>
    <w:p w14:paraId="58EDFDEC" w14:textId="77777777" w:rsidR="00EC5CB7" w:rsidRDefault="00EC5CB7" w:rsidP="00CC5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059624"/>
      <w:docPartObj>
        <w:docPartGallery w:val="Page Numbers (Bottom of Page)"/>
        <w:docPartUnique/>
      </w:docPartObj>
    </w:sdtPr>
    <w:sdtEndPr>
      <w:rPr>
        <w:noProof/>
      </w:rPr>
    </w:sdtEndPr>
    <w:sdtContent>
      <w:p w14:paraId="15A6522A" w14:textId="52540E8E" w:rsidR="00BF6C98" w:rsidRDefault="00BF6C98" w:rsidP="00752B01">
        <w:pPr>
          <w:pStyle w:val="Footer"/>
          <w:jc w:val="right"/>
        </w:pPr>
        <w:r>
          <w:fldChar w:fldCharType="begin"/>
        </w:r>
        <w:r>
          <w:instrText xml:space="preserve"> PAGE   \* MERGEFORMAT </w:instrText>
        </w:r>
        <w:r>
          <w:fldChar w:fldCharType="separate"/>
        </w:r>
        <w:r>
          <w:rPr>
            <w:noProof/>
          </w:rPr>
          <w:t>15</w:t>
        </w:r>
        <w:r>
          <w:rPr>
            <w:noProof/>
          </w:rPr>
          <w:fldChar w:fldCharType="end"/>
        </w:r>
        <w:r>
          <w:rPr>
            <w:noProof/>
          </w:rPr>
          <w:tab/>
        </w:r>
        <w:r>
          <w:rPr>
            <w:noProof/>
            <w:color w:val="000000"/>
            <w:sz w:val="21"/>
            <w:szCs w:val="21"/>
            <w:lang w:eastAsia="en-AU"/>
          </w:rPr>
          <w:drawing>
            <wp:inline distT="0" distB="0" distL="0" distR="0" wp14:anchorId="2724024F" wp14:editId="2B79508A">
              <wp:extent cx="1304437" cy="336550"/>
              <wp:effectExtent l="0" t="0" r="0" b="6350"/>
              <wp:docPr id="11" name="Picture 11" descr="Description: cid:F0B39DD9-0C6B-4EB6-B155-A1232416FF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F0B39DD9-0C6B-4EB6-B155-A1232416FF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5521" cy="347150"/>
                      </a:xfrm>
                      <a:prstGeom prst="rect">
                        <a:avLst/>
                      </a:prstGeom>
                      <a:noFill/>
                      <a:ln>
                        <a:noFill/>
                      </a:ln>
                    </pic:spPr>
                  </pic:pic>
                </a:graphicData>
              </a:graphic>
            </wp:inline>
          </w:drawing>
        </w:r>
      </w:p>
    </w:sdtContent>
  </w:sdt>
  <w:p w14:paraId="15A6522B" w14:textId="2F2E25B8" w:rsidR="00BF6C98" w:rsidRPr="00006369" w:rsidRDefault="00BF6C98">
    <w:pPr>
      <w:pStyle w:val="Footer"/>
      <w:rPr>
        <w:sz w:val="18"/>
        <w:szCs w:val="18"/>
      </w:rPr>
    </w:pPr>
    <w:r w:rsidRPr="00006369">
      <w:rPr>
        <w:sz w:val="18"/>
        <w:szCs w:val="18"/>
      </w:rPr>
      <w:t>PED Data Protocol v. 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018159"/>
      <w:docPartObj>
        <w:docPartGallery w:val="Page Numbers (Bottom of Page)"/>
        <w:docPartUnique/>
      </w:docPartObj>
    </w:sdtPr>
    <w:sdtEndPr>
      <w:rPr>
        <w:noProof/>
      </w:rPr>
    </w:sdtEndPr>
    <w:sdtContent>
      <w:p w14:paraId="43F97BA0" w14:textId="6FCB2DA6" w:rsidR="00BF6C98" w:rsidRDefault="00BF6C98">
        <w:pPr>
          <w:pStyle w:val="Footer"/>
          <w:jc w:val="right"/>
        </w:pPr>
        <w:r>
          <w:fldChar w:fldCharType="begin"/>
        </w:r>
        <w:r>
          <w:instrText xml:space="preserve"> PAGE   \* MERGEFORMAT </w:instrText>
        </w:r>
        <w:r>
          <w:fldChar w:fldCharType="separate"/>
        </w:r>
        <w:r w:rsidR="00C4205E">
          <w:rPr>
            <w:noProof/>
          </w:rPr>
          <w:t>21</w:t>
        </w:r>
        <w:r>
          <w:rPr>
            <w:noProof/>
          </w:rPr>
          <w:fldChar w:fldCharType="end"/>
        </w:r>
      </w:p>
    </w:sdtContent>
  </w:sdt>
  <w:p w14:paraId="55088835" w14:textId="01DCEE61" w:rsidR="00BF6C98" w:rsidRPr="00006369" w:rsidRDefault="00BF6C98">
    <w:pPr>
      <w:pStyle w:val="Footer"/>
      <w:rPr>
        <w:sz w:val="18"/>
        <w:szCs w:val="18"/>
      </w:rPr>
    </w:pPr>
    <w:r w:rsidRPr="00006369">
      <w:rPr>
        <w:sz w:val="18"/>
        <w:szCs w:val="18"/>
      </w:rPr>
      <w:t>D</w:t>
    </w:r>
    <w:r w:rsidR="001D2A67">
      <w:rPr>
        <w:sz w:val="18"/>
        <w:szCs w:val="18"/>
      </w:rPr>
      <w:t>ET</w:t>
    </w:r>
    <w:r w:rsidRPr="00006369">
      <w:rPr>
        <w:sz w:val="18"/>
        <w:szCs w:val="18"/>
      </w:rPr>
      <w:t xml:space="preserve"> Data Protocol v. 0</w:t>
    </w:r>
    <w:r>
      <w:rPr>
        <w:sz w:val="18"/>
        <w:szCs w:val="18"/>
      </w:rPr>
      <w:t>2: 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F7C52" w14:textId="77777777" w:rsidR="00EC5CB7" w:rsidRDefault="00EC5CB7" w:rsidP="00E116F8">
      <w:pPr>
        <w:spacing w:after="0" w:line="240" w:lineRule="auto"/>
      </w:pPr>
      <w:r>
        <w:separator/>
      </w:r>
    </w:p>
    <w:p w14:paraId="3BE113D5" w14:textId="77777777" w:rsidR="00EC5CB7" w:rsidRDefault="00EC5CB7"/>
    <w:p w14:paraId="44C29524" w14:textId="77777777" w:rsidR="00EC5CB7" w:rsidRDefault="00EC5CB7" w:rsidP="00CC5310"/>
    <w:p w14:paraId="77E059D8" w14:textId="77777777" w:rsidR="00EC5CB7" w:rsidRDefault="00EC5CB7" w:rsidP="00CC5310"/>
    <w:p w14:paraId="74E3B684" w14:textId="77777777" w:rsidR="00EC5CB7" w:rsidRDefault="00EC5CB7" w:rsidP="00CC5310"/>
  </w:footnote>
  <w:footnote w:type="continuationSeparator" w:id="0">
    <w:p w14:paraId="000D32B7" w14:textId="77777777" w:rsidR="00EC5CB7" w:rsidRDefault="00EC5CB7" w:rsidP="00E116F8">
      <w:pPr>
        <w:spacing w:after="0" w:line="240" w:lineRule="auto"/>
      </w:pPr>
      <w:r>
        <w:continuationSeparator/>
      </w:r>
    </w:p>
    <w:p w14:paraId="155F4F6E" w14:textId="77777777" w:rsidR="00EC5CB7" w:rsidRDefault="00EC5CB7"/>
    <w:p w14:paraId="0476E43E" w14:textId="77777777" w:rsidR="00EC5CB7" w:rsidRDefault="00EC5CB7" w:rsidP="00CC5310"/>
    <w:p w14:paraId="601EBEE9" w14:textId="77777777" w:rsidR="00EC5CB7" w:rsidRDefault="00EC5CB7" w:rsidP="00CC5310"/>
    <w:p w14:paraId="168ED49F" w14:textId="77777777" w:rsidR="00EC5CB7" w:rsidRDefault="00EC5CB7" w:rsidP="00CC5310"/>
  </w:footnote>
  <w:footnote w:type="continuationNotice" w:id="1">
    <w:p w14:paraId="38A5CDFA" w14:textId="77777777" w:rsidR="00EC5CB7" w:rsidRDefault="00EC5CB7">
      <w:pPr>
        <w:spacing w:after="0" w:line="240" w:lineRule="auto"/>
      </w:pPr>
    </w:p>
    <w:p w14:paraId="4BDBD4F9" w14:textId="77777777" w:rsidR="00EC5CB7" w:rsidRDefault="00EC5CB7"/>
    <w:p w14:paraId="4B864200" w14:textId="77777777" w:rsidR="00EC5CB7" w:rsidRDefault="00EC5CB7" w:rsidP="00CC5310"/>
    <w:p w14:paraId="789EE944" w14:textId="77777777" w:rsidR="00EC5CB7" w:rsidRDefault="00EC5CB7" w:rsidP="00CC5310"/>
    <w:p w14:paraId="0367CBCB" w14:textId="77777777" w:rsidR="00EC5CB7" w:rsidRDefault="00EC5CB7" w:rsidP="00CC5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227" w14:textId="77777777" w:rsidR="00BF6C98" w:rsidRDefault="00BF6C98">
    <w:pPr>
      <w:pStyle w:val="Header"/>
    </w:pPr>
  </w:p>
  <w:p w14:paraId="15A65228" w14:textId="77777777" w:rsidR="00BF6C98" w:rsidRDefault="00BF6C98">
    <w:pPr>
      <w:pStyle w:val="Header"/>
    </w:pPr>
  </w:p>
  <w:p w14:paraId="15A65229" w14:textId="77777777" w:rsidR="00BF6C98" w:rsidRDefault="00BF6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FF92" w14:textId="19C33D11" w:rsidR="00BF6C98" w:rsidRDefault="00BF6C98" w:rsidP="00CC53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02A"/>
    <w:multiLevelType w:val="hybridMultilevel"/>
    <w:tmpl w:val="D1AC5016"/>
    <w:lvl w:ilvl="0" w:tplc="EFC05AA8">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5A0D7E"/>
    <w:multiLevelType w:val="hybridMultilevel"/>
    <w:tmpl w:val="84A4E6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A30483A"/>
    <w:multiLevelType w:val="hybridMultilevel"/>
    <w:tmpl w:val="3D1CBB3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4F67B1"/>
    <w:multiLevelType w:val="hybridMultilevel"/>
    <w:tmpl w:val="633420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5E7F14"/>
    <w:multiLevelType w:val="hybridMultilevel"/>
    <w:tmpl w:val="12A230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FD3198B"/>
    <w:multiLevelType w:val="hybridMultilevel"/>
    <w:tmpl w:val="632CE6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E830F06"/>
    <w:multiLevelType w:val="hybridMultilevel"/>
    <w:tmpl w:val="161A4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F31EE1"/>
    <w:multiLevelType w:val="hybridMultilevel"/>
    <w:tmpl w:val="A296CE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7586C7B"/>
    <w:multiLevelType w:val="hybridMultilevel"/>
    <w:tmpl w:val="CFACA3B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8367540"/>
    <w:multiLevelType w:val="hybridMultilevel"/>
    <w:tmpl w:val="D310C5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AB96A19"/>
    <w:multiLevelType w:val="hybridMultilevel"/>
    <w:tmpl w:val="128CF6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C6A3980"/>
    <w:multiLevelType w:val="hybridMultilevel"/>
    <w:tmpl w:val="57A25A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386724F"/>
    <w:multiLevelType w:val="multilevel"/>
    <w:tmpl w:val="A2065806"/>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NoSpacing"/>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514CD2"/>
    <w:multiLevelType w:val="hybridMultilevel"/>
    <w:tmpl w:val="D1320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E31305"/>
    <w:multiLevelType w:val="hybridMultilevel"/>
    <w:tmpl w:val="CC4071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7810D50"/>
    <w:multiLevelType w:val="hybridMultilevel"/>
    <w:tmpl w:val="C13A8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7AA27AC"/>
    <w:multiLevelType w:val="hybridMultilevel"/>
    <w:tmpl w:val="388EF240"/>
    <w:lvl w:ilvl="0" w:tplc="A8D0D9C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7B026CE"/>
    <w:multiLevelType w:val="hybridMultilevel"/>
    <w:tmpl w:val="C05865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2E1603D"/>
    <w:multiLevelType w:val="hybridMultilevel"/>
    <w:tmpl w:val="970411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5AC2B3A"/>
    <w:multiLevelType w:val="hybridMultilevel"/>
    <w:tmpl w:val="FBF46F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7560525">
    <w:abstractNumId w:val="12"/>
  </w:num>
  <w:num w:numId="2" w16cid:durableId="1196381163">
    <w:abstractNumId w:val="5"/>
  </w:num>
  <w:num w:numId="3" w16cid:durableId="1789003947">
    <w:abstractNumId w:val="8"/>
  </w:num>
  <w:num w:numId="4" w16cid:durableId="1132944580">
    <w:abstractNumId w:val="18"/>
  </w:num>
  <w:num w:numId="5" w16cid:durableId="1545293130">
    <w:abstractNumId w:val="2"/>
  </w:num>
  <w:num w:numId="6" w16cid:durableId="1572542720">
    <w:abstractNumId w:val="14"/>
  </w:num>
  <w:num w:numId="7" w16cid:durableId="1256985059">
    <w:abstractNumId w:val="4"/>
  </w:num>
  <w:num w:numId="8" w16cid:durableId="558438535">
    <w:abstractNumId w:val="0"/>
  </w:num>
  <w:num w:numId="9" w16cid:durableId="1946421189">
    <w:abstractNumId w:val="3"/>
  </w:num>
  <w:num w:numId="10" w16cid:durableId="1022442367">
    <w:abstractNumId w:val="1"/>
  </w:num>
  <w:num w:numId="11" w16cid:durableId="2060473880">
    <w:abstractNumId w:val="15"/>
  </w:num>
  <w:num w:numId="12" w16cid:durableId="1890609440">
    <w:abstractNumId w:val="10"/>
  </w:num>
  <w:num w:numId="13" w16cid:durableId="1084959639">
    <w:abstractNumId w:val="7"/>
  </w:num>
  <w:num w:numId="14" w16cid:durableId="1364943514">
    <w:abstractNumId w:val="17"/>
  </w:num>
  <w:num w:numId="15" w16cid:durableId="1609241699">
    <w:abstractNumId w:val="16"/>
  </w:num>
  <w:num w:numId="16" w16cid:durableId="1249927536">
    <w:abstractNumId w:val="9"/>
  </w:num>
  <w:num w:numId="17" w16cid:durableId="1857647240">
    <w:abstractNumId w:val="11"/>
  </w:num>
  <w:num w:numId="18" w16cid:durableId="1428385004">
    <w:abstractNumId w:val="6"/>
  </w:num>
  <w:num w:numId="19" w16cid:durableId="300817881">
    <w:abstractNumId w:val="13"/>
  </w:num>
  <w:num w:numId="20" w16cid:durableId="100474404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F5"/>
    <w:rsid w:val="000057D7"/>
    <w:rsid w:val="00006369"/>
    <w:rsid w:val="00044E42"/>
    <w:rsid w:val="00046BF1"/>
    <w:rsid w:val="00047FA4"/>
    <w:rsid w:val="000505C3"/>
    <w:rsid w:val="00052E78"/>
    <w:rsid w:val="0005486D"/>
    <w:rsid w:val="00064296"/>
    <w:rsid w:val="00070DE3"/>
    <w:rsid w:val="000733E0"/>
    <w:rsid w:val="000736DF"/>
    <w:rsid w:val="00080F2E"/>
    <w:rsid w:val="00084395"/>
    <w:rsid w:val="00094851"/>
    <w:rsid w:val="000A0085"/>
    <w:rsid w:val="000A01D0"/>
    <w:rsid w:val="000A6583"/>
    <w:rsid w:val="000C00B0"/>
    <w:rsid w:val="000C09C0"/>
    <w:rsid w:val="000C4904"/>
    <w:rsid w:val="000D0EBD"/>
    <w:rsid w:val="000D3137"/>
    <w:rsid w:val="000F0D31"/>
    <w:rsid w:val="000F14EB"/>
    <w:rsid w:val="000F3B71"/>
    <w:rsid w:val="00107DEA"/>
    <w:rsid w:val="00110B5F"/>
    <w:rsid w:val="00111FDD"/>
    <w:rsid w:val="00121F07"/>
    <w:rsid w:val="00137FA0"/>
    <w:rsid w:val="00150CD0"/>
    <w:rsid w:val="00151742"/>
    <w:rsid w:val="00153671"/>
    <w:rsid w:val="001621B2"/>
    <w:rsid w:val="00166D1C"/>
    <w:rsid w:val="00173FEA"/>
    <w:rsid w:val="0018399A"/>
    <w:rsid w:val="001918E2"/>
    <w:rsid w:val="001B55EB"/>
    <w:rsid w:val="001C63A4"/>
    <w:rsid w:val="001D2A67"/>
    <w:rsid w:val="001D2F35"/>
    <w:rsid w:val="001D33F0"/>
    <w:rsid w:val="001D542C"/>
    <w:rsid w:val="001D59E8"/>
    <w:rsid w:val="001D5DD3"/>
    <w:rsid w:val="001D6873"/>
    <w:rsid w:val="001E0074"/>
    <w:rsid w:val="001E07D4"/>
    <w:rsid w:val="001E205A"/>
    <w:rsid w:val="00201326"/>
    <w:rsid w:val="00203104"/>
    <w:rsid w:val="00225BE2"/>
    <w:rsid w:val="0024707C"/>
    <w:rsid w:val="002525A5"/>
    <w:rsid w:val="00260312"/>
    <w:rsid w:val="0027351D"/>
    <w:rsid w:val="00284CD1"/>
    <w:rsid w:val="002A2753"/>
    <w:rsid w:val="002A6F7D"/>
    <w:rsid w:val="002C03D5"/>
    <w:rsid w:val="002C04EE"/>
    <w:rsid w:val="002C580F"/>
    <w:rsid w:val="00304121"/>
    <w:rsid w:val="003056FC"/>
    <w:rsid w:val="00321FE5"/>
    <w:rsid w:val="0032456D"/>
    <w:rsid w:val="00325BAC"/>
    <w:rsid w:val="003278C4"/>
    <w:rsid w:val="003350D8"/>
    <w:rsid w:val="00373A40"/>
    <w:rsid w:val="003765C7"/>
    <w:rsid w:val="00387B30"/>
    <w:rsid w:val="003A1284"/>
    <w:rsid w:val="003B0756"/>
    <w:rsid w:val="003B0936"/>
    <w:rsid w:val="003B445C"/>
    <w:rsid w:val="003D62CB"/>
    <w:rsid w:val="003D69D1"/>
    <w:rsid w:val="003D7B9E"/>
    <w:rsid w:val="003E4E69"/>
    <w:rsid w:val="003E6E79"/>
    <w:rsid w:val="003F11C6"/>
    <w:rsid w:val="003F152D"/>
    <w:rsid w:val="003F2104"/>
    <w:rsid w:val="0040076A"/>
    <w:rsid w:val="00407CF5"/>
    <w:rsid w:val="00407EA7"/>
    <w:rsid w:val="00416189"/>
    <w:rsid w:val="00416747"/>
    <w:rsid w:val="0042695A"/>
    <w:rsid w:val="00427CF5"/>
    <w:rsid w:val="004431D1"/>
    <w:rsid w:val="00445FDE"/>
    <w:rsid w:val="00462D7D"/>
    <w:rsid w:val="004672E0"/>
    <w:rsid w:val="00471759"/>
    <w:rsid w:val="004758D4"/>
    <w:rsid w:val="00494E00"/>
    <w:rsid w:val="00495597"/>
    <w:rsid w:val="004A4424"/>
    <w:rsid w:val="004A7E0C"/>
    <w:rsid w:val="004C3B2A"/>
    <w:rsid w:val="004D4ECC"/>
    <w:rsid w:val="004E62E2"/>
    <w:rsid w:val="00506513"/>
    <w:rsid w:val="00511866"/>
    <w:rsid w:val="0051535A"/>
    <w:rsid w:val="005275C6"/>
    <w:rsid w:val="0053517E"/>
    <w:rsid w:val="00556239"/>
    <w:rsid w:val="00564CE8"/>
    <w:rsid w:val="005938CB"/>
    <w:rsid w:val="005A390C"/>
    <w:rsid w:val="005C76D5"/>
    <w:rsid w:val="005C783A"/>
    <w:rsid w:val="005E2487"/>
    <w:rsid w:val="0061008F"/>
    <w:rsid w:val="00624599"/>
    <w:rsid w:val="00624BE1"/>
    <w:rsid w:val="006251E0"/>
    <w:rsid w:val="00633698"/>
    <w:rsid w:val="00643D68"/>
    <w:rsid w:val="006464E1"/>
    <w:rsid w:val="00653591"/>
    <w:rsid w:val="00684187"/>
    <w:rsid w:val="00691B0E"/>
    <w:rsid w:val="006B1A2F"/>
    <w:rsid w:val="006B63FD"/>
    <w:rsid w:val="006C1423"/>
    <w:rsid w:val="006C2694"/>
    <w:rsid w:val="006D0C11"/>
    <w:rsid w:val="006D4A0B"/>
    <w:rsid w:val="00716372"/>
    <w:rsid w:val="00723A17"/>
    <w:rsid w:val="00743F6B"/>
    <w:rsid w:val="007473F1"/>
    <w:rsid w:val="00752B01"/>
    <w:rsid w:val="0075561B"/>
    <w:rsid w:val="00763328"/>
    <w:rsid w:val="00764EE8"/>
    <w:rsid w:val="0079795A"/>
    <w:rsid w:val="007A24CD"/>
    <w:rsid w:val="007B45B5"/>
    <w:rsid w:val="007C2BD8"/>
    <w:rsid w:val="007F7002"/>
    <w:rsid w:val="00800D50"/>
    <w:rsid w:val="0081633D"/>
    <w:rsid w:val="00823695"/>
    <w:rsid w:val="00831054"/>
    <w:rsid w:val="008402AC"/>
    <w:rsid w:val="00840FE0"/>
    <w:rsid w:val="008443C4"/>
    <w:rsid w:val="00852283"/>
    <w:rsid w:val="00864D7F"/>
    <w:rsid w:val="008656E9"/>
    <w:rsid w:val="00870F2F"/>
    <w:rsid w:val="0088045E"/>
    <w:rsid w:val="008937CE"/>
    <w:rsid w:val="008A1F62"/>
    <w:rsid w:val="008B2985"/>
    <w:rsid w:val="008E1283"/>
    <w:rsid w:val="008E241F"/>
    <w:rsid w:val="008F0BE7"/>
    <w:rsid w:val="008F5DD7"/>
    <w:rsid w:val="008F6926"/>
    <w:rsid w:val="00902305"/>
    <w:rsid w:val="0090722E"/>
    <w:rsid w:val="00912590"/>
    <w:rsid w:val="0092519B"/>
    <w:rsid w:val="0093109A"/>
    <w:rsid w:val="009351AB"/>
    <w:rsid w:val="00977D75"/>
    <w:rsid w:val="009945C9"/>
    <w:rsid w:val="0099779D"/>
    <w:rsid w:val="009B4DD5"/>
    <w:rsid w:val="009C545E"/>
    <w:rsid w:val="009C6362"/>
    <w:rsid w:val="009D2547"/>
    <w:rsid w:val="009E2FD9"/>
    <w:rsid w:val="009F6D30"/>
    <w:rsid w:val="009F7EC4"/>
    <w:rsid w:val="00A12206"/>
    <w:rsid w:val="00A12602"/>
    <w:rsid w:val="00A14CB8"/>
    <w:rsid w:val="00A24EC0"/>
    <w:rsid w:val="00A531A4"/>
    <w:rsid w:val="00A53392"/>
    <w:rsid w:val="00A6302B"/>
    <w:rsid w:val="00A63C37"/>
    <w:rsid w:val="00A70C24"/>
    <w:rsid w:val="00A8770D"/>
    <w:rsid w:val="00AA667E"/>
    <w:rsid w:val="00AB7AC2"/>
    <w:rsid w:val="00AC03AB"/>
    <w:rsid w:val="00AC46C1"/>
    <w:rsid w:val="00AE011D"/>
    <w:rsid w:val="00B03A95"/>
    <w:rsid w:val="00B1021D"/>
    <w:rsid w:val="00B21B3F"/>
    <w:rsid w:val="00B237FD"/>
    <w:rsid w:val="00B55FAE"/>
    <w:rsid w:val="00B6038F"/>
    <w:rsid w:val="00B64E8E"/>
    <w:rsid w:val="00B730F1"/>
    <w:rsid w:val="00B742AC"/>
    <w:rsid w:val="00B769B2"/>
    <w:rsid w:val="00B852D9"/>
    <w:rsid w:val="00B86C4F"/>
    <w:rsid w:val="00B924F2"/>
    <w:rsid w:val="00B9323A"/>
    <w:rsid w:val="00BA04B2"/>
    <w:rsid w:val="00BA1C37"/>
    <w:rsid w:val="00BB7F19"/>
    <w:rsid w:val="00BC2314"/>
    <w:rsid w:val="00BC50DD"/>
    <w:rsid w:val="00BD6BDA"/>
    <w:rsid w:val="00BD7859"/>
    <w:rsid w:val="00BE7CBD"/>
    <w:rsid w:val="00BF40CE"/>
    <w:rsid w:val="00BF6C98"/>
    <w:rsid w:val="00C1494D"/>
    <w:rsid w:val="00C244DF"/>
    <w:rsid w:val="00C4205E"/>
    <w:rsid w:val="00C43654"/>
    <w:rsid w:val="00C52BB8"/>
    <w:rsid w:val="00C61801"/>
    <w:rsid w:val="00C741B0"/>
    <w:rsid w:val="00C75FE3"/>
    <w:rsid w:val="00C76EA1"/>
    <w:rsid w:val="00C93707"/>
    <w:rsid w:val="00C97F19"/>
    <w:rsid w:val="00CB53F0"/>
    <w:rsid w:val="00CC4AE1"/>
    <w:rsid w:val="00CC5310"/>
    <w:rsid w:val="00CD7EFA"/>
    <w:rsid w:val="00D10206"/>
    <w:rsid w:val="00D130FA"/>
    <w:rsid w:val="00D175C7"/>
    <w:rsid w:val="00D25083"/>
    <w:rsid w:val="00D32254"/>
    <w:rsid w:val="00D371DC"/>
    <w:rsid w:val="00D4082D"/>
    <w:rsid w:val="00D45DA7"/>
    <w:rsid w:val="00D46FF1"/>
    <w:rsid w:val="00D63648"/>
    <w:rsid w:val="00D653C8"/>
    <w:rsid w:val="00D76196"/>
    <w:rsid w:val="00D813CB"/>
    <w:rsid w:val="00DC473F"/>
    <w:rsid w:val="00DD21C6"/>
    <w:rsid w:val="00DD4974"/>
    <w:rsid w:val="00DE48AE"/>
    <w:rsid w:val="00DF20F1"/>
    <w:rsid w:val="00DF4EF5"/>
    <w:rsid w:val="00DF67CD"/>
    <w:rsid w:val="00E01C36"/>
    <w:rsid w:val="00E116F8"/>
    <w:rsid w:val="00E13CC7"/>
    <w:rsid w:val="00E2700F"/>
    <w:rsid w:val="00E31FFC"/>
    <w:rsid w:val="00E40D96"/>
    <w:rsid w:val="00E42C6A"/>
    <w:rsid w:val="00E527DF"/>
    <w:rsid w:val="00E53FB8"/>
    <w:rsid w:val="00E66701"/>
    <w:rsid w:val="00E70C7F"/>
    <w:rsid w:val="00E831DA"/>
    <w:rsid w:val="00EA6917"/>
    <w:rsid w:val="00EB3DA8"/>
    <w:rsid w:val="00EC5CB7"/>
    <w:rsid w:val="00EE432A"/>
    <w:rsid w:val="00EE4835"/>
    <w:rsid w:val="00EF5A41"/>
    <w:rsid w:val="00EF5E7B"/>
    <w:rsid w:val="00F16849"/>
    <w:rsid w:val="00F2064B"/>
    <w:rsid w:val="00F43412"/>
    <w:rsid w:val="00F536E1"/>
    <w:rsid w:val="00F5437C"/>
    <w:rsid w:val="00F701E8"/>
    <w:rsid w:val="00F712D2"/>
    <w:rsid w:val="00F77734"/>
    <w:rsid w:val="00F90BC1"/>
    <w:rsid w:val="00F962DC"/>
    <w:rsid w:val="00FA2401"/>
    <w:rsid w:val="00FC088A"/>
    <w:rsid w:val="00FC1EC6"/>
    <w:rsid w:val="00FC480B"/>
    <w:rsid w:val="00FE375A"/>
    <w:rsid w:val="00FE3828"/>
    <w:rsid w:val="00FE3FF3"/>
    <w:rsid w:val="00FF0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651AB"/>
  <w15:docId w15:val="{3425B8A0-D5BD-44D3-931C-CB3F7E2F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Heading2"/>
    <w:link w:val="Heading1Char"/>
    <w:uiPriority w:val="9"/>
    <w:qFormat/>
    <w:rsid w:val="00CC5310"/>
    <w:pPr>
      <w:keepNext/>
      <w:keepLines/>
      <w:numPr>
        <w:numId w:val="8"/>
      </w:numPr>
      <w:spacing w:before="240" w:after="0"/>
      <w:outlineLvl w:val="0"/>
    </w:pPr>
    <w:rPr>
      <w:rFonts w:eastAsiaTheme="majorEastAsia" w:cstheme="minorHAnsi"/>
      <w:b/>
      <w:color w:val="365F91" w:themeColor="accent1" w:themeShade="BF"/>
      <w:sz w:val="32"/>
      <w:szCs w:val="32"/>
    </w:rPr>
  </w:style>
  <w:style w:type="paragraph" w:styleId="Heading2">
    <w:name w:val="heading 2"/>
    <w:next w:val="definition"/>
    <w:link w:val="Heading2Char"/>
    <w:uiPriority w:val="9"/>
    <w:unhideWhenUsed/>
    <w:qFormat/>
    <w:rsid w:val="00CC5310"/>
    <w:pPr>
      <w:numPr>
        <w:ilvl w:val="1"/>
        <w:numId w:val="1"/>
      </w:numPr>
      <w:outlineLvl w:val="1"/>
    </w:pPr>
    <w:rPr>
      <w:b/>
      <w:sz w:val="24"/>
      <w:szCs w:val="24"/>
    </w:rPr>
  </w:style>
  <w:style w:type="paragraph" w:styleId="Heading3">
    <w:name w:val="heading 3"/>
    <w:basedOn w:val="Normal"/>
    <w:next w:val="Normal"/>
    <w:link w:val="Heading3Char"/>
    <w:uiPriority w:val="9"/>
    <w:unhideWhenUsed/>
    <w:qFormat/>
    <w:rsid w:val="004A4424"/>
    <w:pPr>
      <w:outlineLvl w:val="2"/>
    </w:pPr>
    <w:rPr>
      <w:rFonts w:ascii="Arial" w:hAnsi="Arial" w:cs="Arial"/>
      <w:b/>
      <w:sz w:val="24"/>
      <w:szCs w:val="24"/>
    </w:rPr>
  </w:style>
  <w:style w:type="paragraph" w:styleId="Heading4">
    <w:name w:val="heading 4"/>
    <w:basedOn w:val="Normal"/>
    <w:next w:val="Normal"/>
    <w:link w:val="Heading4Char"/>
    <w:uiPriority w:val="9"/>
    <w:unhideWhenUsed/>
    <w:qFormat/>
    <w:rsid w:val="004A4424"/>
    <w:pPr>
      <w:outlineLvl w:val="3"/>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64B"/>
    <w:pPr>
      <w:spacing w:after="120"/>
      <w:ind w:left="720"/>
      <w:contextualSpacing/>
    </w:pPr>
    <w:rPr>
      <w:sz w:val="24"/>
    </w:rPr>
  </w:style>
  <w:style w:type="character" w:styleId="CommentReference">
    <w:name w:val="annotation reference"/>
    <w:basedOn w:val="DefaultParagraphFont"/>
    <w:uiPriority w:val="99"/>
    <w:semiHidden/>
    <w:unhideWhenUsed/>
    <w:rsid w:val="00064296"/>
    <w:rPr>
      <w:sz w:val="16"/>
      <w:szCs w:val="16"/>
    </w:rPr>
  </w:style>
  <w:style w:type="paragraph" w:styleId="CommentText">
    <w:name w:val="annotation text"/>
    <w:basedOn w:val="Normal"/>
    <w:link w:val="CommentTextChar"/>
    <w:uiPriority w:val="99"/>
    <w:semiHidden/>
    <w:unhideWhenUsed/>
    <w:rsid w:val="00064296"/>
    <w:pPr>
      <w:spacing w:line="240" w:lineRule="auto"/>
    </w:pPr>
    <w:rPr>
      <w:sz w:val="20"/>
      <w:szCs w:val="20"/>
    </w:rPr>
  </w:style>
  <w:style w:type="character" w:customStyle="1" w:styleId="CommentTextChar">
    <w:name w:val="Comment Text Char"/>
    <w:basedOn w:val="DefaultParagraphFont"/>
    <w:link w:val="CommentText"/>
    <w:uiPriority w:val="99"/>
    <w:semiHidden/>
    <w:rsid w:val="00064296"/>
    <w:rPr>
      <w:sz w:val="20"/>
      <w:szCs w:val="20"/>
    </w:rPr>
  </w:style>
  <w:style w:type="paragraph" w:styleId="CommentSubject">
    <w:name w:val="annotation subject"/>
    <w:basedOn w:val="CommentText"/>
    <w:next w:val="CommentText"/>
    <w:link w:val="CommentSubjectChar"/>
    <w:uiPriority w:val="99"/>
    <w:semiHidden/>
    <w:unhideWhenUsed/>
    <w:rsid w:val="00064296"/>
    <w:rPr>
      <w:b/>
      <w:bCs/>
    </w:rPr>
  </w:style>
  <w:style w:type="character" w:customStyle="1" w:styleId="CommentSubjectChar">
    <w:name w:val="Comment Subject Char"/>
    <w:basedOn w:val="CommentTextChar"/>
    <w:link w:val="CommentSubject"/>
    <w:uiPriority w:val="99"/>
    <w:semiHidden/>
    <w:rsid w:val="00064296"/>
    <w:rPr>
      <w:b/>
      <w:bCs/>
      <w:sz w:val="20"/>
      <w:szCs w:val="20"/>
    </w:rPr>
  </w:style>
  <w:style w:type="paragraph" w:styleId="BalloonText">
    <w:name w:val="Balloon Text"/>
    <w:basedOn w:val="Normal"/>
    <w:link w:val="BalloonTextChar"/>
    <w:uiPriority w:val="99"/>
    <w:semiHidden/>
    <w:unhideWhenUsed/>
    <w:rsid w:val="0006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296"/>
    <w:rPr>
      <w:rFonts w:ascii="Tahoma" w:hAnsi="Tahoma" w:cs="Tahoma"/>
      <w:sz w:val="16"/>
      <w:szCs w:val="16"/>
    </w:rPr>
  </w:style>
  <w:style w:type="paragraph" w:styleId="Header">
    <w:name w:val="header"/>
    <w:basedOn w:val="Normal"/>
    <w:link w:val="HeaderChar"/>
    <w:uiPriority w:val="99"/>
    <w:unhideWhenUsed/>
    <w:rsid w:val="00E11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F8"/>
  </w:style>
  <w:style w:type="paragraph" w:styleId="Footer">
    <w:name w:val="footer"/>
    <w:basedOn w:val="Normal"/>
    <w:link w:val="FooterChar"/>
    <w:uiPriority w:val="99"/>
    <w:unhideWhenUsed/>
    <w:rsid w:val="00E11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F8"/>
  </w:style>
  <w:style w:type="paragraph" w:customStyle="1" w:styleId="definition">
    <w:name w:val="definition"/>
    <w:basedOn w:val="Normal"/>
    <w:rsid w:val="00D46F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D46F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92519B"/>
    <w:rPr>
      <w:color w:val="0000FF"/>
      <w:u w:val="single"/>
    </w:rPr>
  </w:style>
  <w:style w:type="table" w:styleId="TableGrid">
    <w:name w:val="Table Grid"/>
    <w:basedOn w:val="TableNormal"/>
    <w:uiPriority w:val="59"/>
    <w:rsid w:val="00511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11866"/>
    <w:rPr>
      <w:b/>
      <w:bCs/>
      <w:i w:val="0"/>
      <w:iCs w:val="0"/>
    </w:rPr>
  </w:style>
  <w:style w:type="character" w:customStyle="1" w:styleId="st1">
    <w:name w:val="st1"/>
    <w:basedOn w:val="DefaultParagraphFont"/>
    <w:rsid w:val="00511866"/>
  </w:style>
  <w:style w:type="character" w:styleId="HTMLCite">
    <w:name w:val="HTML Cite"/>
    <w:basedOn w:val="DefaultParagraphFont"/>
    <w:uiPriority w:val="99"/>
    <w:semiHidden/>
    <w:unhideWhenUsed/>
    <w:rsid w:val="00511866"/>
    <w:rPr>
      <w:i/>
      <w:iCs/>
    </w:rPr>
  </w:style>
  <w:style w:type="paragraph" w:styleId="NormalWeb">
    <w:name w:val="Normal (Web)"/>
    <w:basedOn w:val="Normal"/>
    <w:uiPriority w:val="99"/>
    <w:semiHidden/>
    <w:unhideWhenUsed/>
    <w:rsid w:val="004758D4"/>
    <w:pPr>
      <w:spacing w:after="0" w:line="336" w:lineRule="auto"/>
    </w:pPr>
    <w:rPr>
      <w:rFonts w:ascii="Calibri" w:hAnsi="Calibri" w:cs="Times New Roman"/>
      <w:color w:val="000000"/>
      <w:lang w:eastAsia="en-AU"/>
    </w:rPr>
  </w:style>
  <w:style w:type="paragraph" w:styleId="Revision">
    <w:name w:val="Revision"/>
    <w:hidden/>
    <w:uiPriority w:val="99"/>
    <w:semiHidden/>
    <w:rsid w:val="0051535A"/>
    <w:pPr>
      <w:spacing w:after="0" w:line="240" w:lineRule="auto"/>
    </w:pPr>
  </w:style>
  <w:style w:type="character" w:styleId="FollowedHyperlink">
    <w:name w:val="FollowedHyperlink"/>
    <w:basedOn w:val="DefaultParagraphFont"/>
    <w:uiPriority w:val="99"/>
    <w:semiHidden/>
    <w:unhideWhenUsed/>
    <w:rsid w:val="00870F2F"/>
    <w:rPr>
      <w:color w:val="800080" w:themeColor="followedHyperlink"/>
      <w:u w:val="single"/>
    </w:rPr>
  </w:style>
  <w:style w:type="character" w:customStyle="1" w:styleId="Heading1Char">
    <w:name w:val="Heading 1 Char"/>
    <w:basedOn w:val="DefaultParagraphFont"/>
    <w:link w:val="Heading1"/>
    <w:uiPriority w:val="9"/>
    <w:rsid w:val="00CC5310"/>
    <w:rPr>
      <w:rFonts w:eastAsiaTheme="majorEastAsia" w:cstheme="minorHAnsi"/>
      <w:b/>
      <w:color w:val="365F91" w:themeColor="accent1" w:themeShade="BF"/>
      <w:sz w:val="32"/>
      <w:szCs w:val="32"/>
    </w:rPr>
  </w:style>
  <w:style w:type="paragraph" w:styleId="TOCHeading">
    <w:name w:val="TOC Heading"/>
    <w:basedOn w:val="Heading1"/>
    <w:next w:val="Normal"/>
    <w:uiPriority w:val="39"/>
    <w:unhideWhenUsed/>
    <w:qFormat/>
    <w:rsid w:val="00763328"/>
    <w:pPr>
      <w:spacing w:line="259" w:lineRule="auto"/>
      <w:outlineLvl w:val="9"/>
    </w:pPr>
    <w:rPr>
      <w:lang w:val="en-US"/>
    </w:rPr>
  </w:style>
  <w:style w:type="paragraph" w:styleId="TOC1">
    <w:name w:val="toc 1"/>
    <w:basedOn w:val="Normal"/>
    <w:next w:val="Normal"/>
    <w:autoRedefine/>
    <w:uiPriority w:val="39"/>
    <w:unhideWhenUsed/>
    <w:rsid w:val="00D25083"/>
    <w:pPr>
      <w:tabs>
        <w:tab w:val="left" w:pos="440"/>
        <w:tab w:val="right" w:leader="dot" w:pos="9016"/>
      </w:tabs>
      <w:spacing w:after="100"/>
    </w:pPr>
  </w:style>
  <w:style w:type="character" w:customStyle="1" w:styleId="Heading2Char">
    <w:name w:val="Heading 2 Char"/>
    <w:basedOn w:val="DefaultParagraphFont"/>
    <w:link w:val="Heading2"/>
    <w:uiPriority w:val="9"/>
    <w:rsid w:val="00CC5310"/>
    <w:rPr>
      <w:b/>
      <w:sz w:val="24"/>
      <w:szCs w:val="24"/>
    </w:rPr>
  </w:style>
  <w:style w:type="paragraph" w:styleId="TOC2">
    <w:name w:val="toc 2"/>
    <w:basedOn w:val="Normal"/>
    <w:next w:val="Normal"/>
    <w:autoRedefine/>
    <w:uiPriority w:val="39"/>
    <w:unhideWhenUsed/>
    <w:rsid w:val="00A531A4"/>
    <w:pPr>
      <w:spacing w:after="100"/>
      <w:ind w:left="220"/>
    </w:pPr>
  </w:style>
  <w:style w:type="paragraph" w:styleId="NoSpacing">
    <w:name w:val="No Spacing"/>
    <w:basedOn w:val="ListParagraph"/>
    <w:uiPriority w:val="1"/>
    <w:qFormat/>
    <w:rsid w:val="00624599"/>
    <w:pPr>
      <w:numPr>
        <w:ilvl w:val="2"/>
        <w:numId w:val="1"/>
      </w:numPr>
      <w:spacing w:before="200" w:after="200"/>
      <w:contextualSpacing w:val="0"/>
    </w:pPr>
    <w:rPr>
      <w:szCs w:val="24"/>
    </w:rPr>
  </w:style>
  <w:style w:type="character" w:customStyle="1" w:styleId="Heading3Char">
    <w:name w:val="Heading 3 Char"/>
    <w:basedOn w:val="DefaultParagraphFont"/>
    <w:link w:val="Heading3"/>
    <w:uiPriority w:val="9"/>
    <w:rsid w:val="004A4424"/>
    <w:rPr>
      <w:rFonts w:ascii="Arial" w:hAnsi="Arial" w:cs="Arial"/>
      <w:b/>
      <w:sz w:val="24"/>
      <w:szCs w:val="24"/>
    </w:rPr>
  </w:style>
  <w:style w:type="character" w:customStyle="1" w:styleId="Heading4Char">
    <w:name w:val="Heading 4 Char"/>
    <w:basedOn w:val="DefaultParagraphFont"/>
    <w:link w:val="Heading4"/>
    <w:uiPriority w:val="9"/>
    <w:rsid w:val="004A4424"/>
    <w:rPr>
      <w:rFonts w:ascii="Arial" w:hAnsi="Arial" w:cs="Arial"/>
      <w:b/>
      <w:sz w:val="24"/>
      <w:szCs w:val="24"/>
    </w:rPr>
  </w:style>
  <w:style w:type="paragraph" w:styleId="TOC3">
    <w:name w:val="toc 3"/>
    <w:basedOn w:val="Normal"/>
    <w:next w:val="Normal"/>
    <w:autoRedefine/>
    <w:uiPriority w:val="39"/>
    <w:unhideWhenUsed/>
    <w:rsid w:val="00BA04B2"/>
    <w:pPr>
      <w:spacing w:after="100"/>
      <w:ind w:left="440"/>
    </w:pPr>
  </w:style>
  <w:style w:type="character" w:styleId="UnresolvedMention">
    <w:name w:val="Unresolved Mention"/>
    <w:basedOn w:val="DefaultParagraphFont"/>
    <w:uiPriority w:val="99"/>
    <w:semiHidden/>
    <w:unhideWhenUsed/>
    <w:rsid w:val="00A63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50233">
      <w:bodyDiv w:val="1"/>
      <w:marLeft w:val="0"/>
      <w:marRight w:val="0"/>
      <w:marTop w:val="0"/>
      <w:marBottom w:val="0"/>
      <w:divBdr>
        <w:top w:val="none" w:sz="0" w:space="0" w:color="auto"/>
        <w:left w:val="none" w:sz="0" w:space="0" w:color="auto"/>
        <w:bottom w:val="none" w:sz="0" w:space="0" w:color="auto"/>
        <w:right w:val="none" w:sz="0" w:space="0" w:color="auto"/>
      </w:divBdr>
      <w:divsChild>
        <w:div w:id="310796755">
          <w:marLeft w:val="0"/>
          <w:marRight w:val="0"/>
          <w:marTop w:val="0"/>
          <w:marBottom w:val="0"/>
          <w:divBdr>
            <w:top w:val="none" w:sz="0" w:space="0" w:color="auto"/>
            <w:left w:val="none" w:sz="0" w:space="0" w:color="auto"/>
            <w:bottom w:val="none" w:sz="0" w:space="0" w:color="auto"/>
            <w:right w:val="none" w:sz="0" w:space="0" w:color="auto"/>
          </w:divBdr>
        </w:div>
      </w:divsChild>
    </w:div>
    <w:div w:id="912544652">
      <w:bodyDiv w:val="1"/>
      <w:marLeft w:val="0"/>
      <w:marRight w:val="0"/>
      <w:marTop w:val="0"/>
      <w:marBottom w:val="0"/>
      <w:divBdr>
        <w:top w:val="none" w:sz="0" w:space="0" w:color="auto"/>
        <w:left w:val="none" w:sz="0" w:space="0" w:color="auto"/>
        <w:bottom w:val="none" w:sz="0" w:space="0" w:color="auto"/>
        <w:right w:val="none" w:sz="0" w:space="0" w:color="auto"/>
      </w:divBdr>
    </w:div>
    <w:div w:id="1026448542">
      <w:bodyDiv w:val="1"/>
      <w:marLeft w:val="0"/>
      <w:marRight w:val="0"/>
      <w:marTop w:val="0"/>
      <w:marBottom w:val="0"/>
      <w:divBdr>
        <w:top w:val="none" w:sz="0" w:space="0" w:color="auto"/>
        <w:left w:val="none" w:sz="0" w:space="0" w:color="auto"/>
        <w:bottom w:val="none" w:sz="0" w:space="0" w:color="auto"/>
        <w:right w:val="none" w:sz="0" w:space="0" w:color="auto"/>
      </w:divBdr>
      <w:divsChild>
        <w:div w:id="2137985634">
          <w:marLeft w:val="0"/>
          <w:marRight w:val="0"/>
          <w:marTop w:val="0"/>
          <w:marBottom w:val="0"/>
          <w:divBdr>
            <w:top w:val="none" w:sz="0" w:space="0" w:color="auto"/>
            <w:left w:val="none" w:sz="0" w:space="0" w:color="auto"/>
            <w:bottom w:val="none" w:sz="0" w:space="0" w:color="auto"/>
            <w:right w:val="none" w:sz="0" w:space="0" w:color="auto"/>
          </w:divBdr>
          <w:divsChild>
            <w:div w:id="2063284505">
              <w:marLeft w:val="0"/>
              <w:marRight w:val="0"/>
              <w:marTop w:val="0"/>
              <w:marBottom w:val="0"/>
              <w:divBdr>
                <w:top w:val="none" w:sz="0" w:space="0" w:color="auto"/>
                <w:left w:val="none" w:sz="0" w:space="0" w:color="auto"/>
                <w:bottom w:val="none" w:sz="0" w:space="0" w:color="auto"/>
                <w:right w:val="none" w:sz="0" w:space="0" w:color="auto"/>
              </w:divBdr>
              <w:divsChild>
                <w:div w:id="112789331">
                  <w:marLeft w:val="0"/>
                  <w:marRight w:val="0"/>
                  <w:marTop w:val="0"/>
                  <w:marBottom w:val="0"/>
                  <w:divBdr>
                    <w:top w:val="none" w:sz="0" w:space="0" w:color="auto"/>
                    <w:left w:val="none" w:sz="0" w:space="0" w:color="auto"/>
                    <w:bottom w:val="none" w:sz="0" w:space="0" w:color="auto"/>
                    <w:right w:val="none" w:sz="0" w:space="0" w:color="auto"/>
                  </w:divBdr>
                  <w:divsChild>
                    <w:div w:id="147090269">
                      <w:marLeft w:val="0"/>
                      <w:marRight w:val="0"/>
                      <w:marTop w:val="0"/>
                      <w:marBottom w:val="0"/>
                      <w:divBdr>
                        <w:top w:val="none" w:sz="0" w:space="0" w:color="auto"/>
                        <w:left w:val="none" w:sz="0" w:space="0" w:color="auto"/>
                        <w:bottom w:val="none" w:sz="0" w:space="0" w:color="auto"/>
                        <w:right w:val="none" w:sz="0" w:space="0" w:color="auto"/>
                      </w:divBdr>
                      <w:divsChild>
                        <w:div w:id="365757257">
                          <w:marLeft w:val="0"/>
                          <w:marRight w:val="0"/>
                          <w:marTop w:val="0"/>
                          <w:marBottom w:val="0"/>
                          <w:divBdr>
                            <w:top w:val="none" w:sz="0" w:space="0" w:color="auto"/>
                            <w:left w:val="none" w:sz="0" w:space="0" w:color="auto"/>
                            <w:bottom w:val="none" w:sz="0" w:space="0" w:color="auto"/>
                            <w:right w:val="none" w:sz="0" w:space="0" w:color="auto"/>
                          </w:divBdr>
                          <w:divsChild>
                            <w:div w:id="136608197">
                              <w:marLeft w:val="0"/>
                              <w:marRight w:val="0"/>
                              <w:marTop w:val="0"/>
                              <w:marBottom w:val="0"/>
                              <w:divBdr>
                                <w:top w:val="single" w:sz="6" w:space="0" w:color="828282"/>
                                <w:left w:val="single" w:sz="6" w:space="0" w:color="828282"/>
                                <w:bottom w:val="single" w:sz="6" w:space="0" w:color="828282"/>
                                <w:right w:val="single" w:sz="6" w:space="0" w:color="828282"/>
                              </w:divBdr>
                              <w:divsChild>
                                <w:div w:id="2130120585">
                                  <w:marLeft w:val="0"/>
                                  <w:marRight w:val="0"/>
                                  <w:marTop w:val="0"/>
                                  <w:marBottom w:val="0"/>
                                  <w:divBdr>
                                    <w:top w:val="none" w:sz="0" w:space="0" w:color="auto"/>
                                    <w:left w:val="none" w:sz="0" w:space="0" w:color="auto"/>
                                    <w:bottom w:val="none" w:sz="0" w:space="0" w:color="auto"/>
                                    <w:right w:val="none" w:sz="0" w:space="0" w:color="auto"/>
                                  </w:divBdr>
                                  <w:divsChild>
                                    <w:div w:id="651065392">
                                      <w:marLeft w:val="0"/>
                                      <w:marRight w:val="0"/>
                                      <w:marTop w:val="0"/>
                                      <w:marBottom w:val="0"/>
                                      <w:divBdr>
                                        <w:top w:val="none" w:sz="0" w:space="0" w:color="auto"/>
                                        <w:left w:val="none" w:sz="0" w:space="0" w:color="auto"/>
                                        <w:bottom w:val="none" w:sz="0" w:space="0" w:color="auto"/>
                                        <w:right w:val="none" w:sz="0" w:space="0" w:color="auto"/>
                                      </w:divBdr>
                                      <w:divsChild>
                                        <w:div w:id="956065233">
                                          <w:marLeft w:val="0"/>
                                          <w:marRight w:val="0"/>
                                          <w:marTop w:val="0"/>
                                          <w:marBottom w:val="0"/>
                                          <w:divBdr>
                                            <w:top w:val="none" w:sz="0" w:space="0" w:color="auto"/>
                                            <w:left w:val="none" w:sz="0" w:space="0" w:color="auto"/>
                                            <w:bottom w:val="none" w:sz="0" w:space="0" w:color="auto"/>
                                            <w:right w:val="none" w:sz="0" w:space="0" w:color="auto"/>
                                          </w:divBdr>
                                          <w:divsChild>
                                            <w:div w:id="1556087995">
                                              <w:marLeft w:val="0"/>
                                              <w:marRight w:val="0"/>
                                              <w:marTop w:val="0"/>
                                              <w:marBottom w:val="0"/>
                                              <w:divBdr>
                                                <w:top w:val="none" w:sz="0" w:space="0" w:color="auto"/>
                                                <w:left w:val="none" w:sz="0" w:space="0" w:color="auto"/>
                                                <w:bottom w:val="none" w:sz="0" w:space="0" w:color="auto"/>
                                                <w:right w:val="none" w:sz="0" w:space="0" w:color="auto"/>
                                              </w:divBdr>
                                              <w:divsChild>
                                                <w:div w:id="1644847370">
                                                  <w:marLeft w:val="0"/>
                                                  <w:marRight w:val="0"/>
                                                  <w:marTop w:val="0"/>
                                                  <w:marBottom w:val="0"/>
                                                  <w:divBdr>
                                                    <w:top w:val="none" w:sz="0" w:space="0" w:color="auto"/>
                                                    <w:left w:val="none" w:sz="0" w:space="0" w:color="auto"/>
                                                    <w:bottom w:val="none" w:sz="0" w:space="0" w:color="auto"/>
                                                    <w:right w:val="none" w:sz="0" w:space="0" w:color="auto"/>
                                                  </w:divBdr>
                                                  <w:divsChild>
                                                    <w:div w:id="641540821">
                                                      <w:marLeft w:val="0"/>
                                                      <w:marRight w:val="0"/>
                                                      <w:marTop w:val="0"/>
                                                      <w:marBottom w:val="0"/>
                                                      <w:divBdr>
                                                        <w:top w:val="none" w:sz="0" w:space="0" w:color="auto"/>
                                                        <w:left w:val="none" w:sz="0" w:space="0" w:color="auto"/>
                                                        <w:bottom w:val="none" w:sz="0" w:space="0" w:color="auto"/>
                                                        <w:right w:val="none" w:sz="0" w:space="0" w:color="auto"/>
                                                      </w:divBdr>
                                                      <w:divsChild>
                                                        <w:div w:id="10037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27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hyperlink" Target="mailto:datazone@education.vic.gov.au" TargetMode="External"/><Relationship Id="rId26" Type="http://schemas.openxmlformats.org/officeDocument/2006/relationships/hyperlink" Target="https://www.pc.gov.au/research/ongoing/report-on-government-services/2021/child-care-education-and-training" TargetMode="External"/><Relationship Id="rId3" Type="http://schemas.openxmlformats.org/officeDocument/2006/relationships/customXml" Target="../customXml/item3.xml"/><Relationship Id="rId21" Type="http://schemas.openxmlformats.org/officeDocument/2006/relationships/hyperlink" Target="mailto:privacy@education.vic.gov.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ducation.vic.gov.au/about/contact/Pages/data.aspx" TargetMode="External"/><Relationship Id="rId17" Type="http://schemas.openxmlformats.org/officeDocument/2006/relationships/hyperlink" Target="mailto:reporting.and.data.services@education.vic.gov.au" TargetMode="External"/><Relationship Id="rId25" Type="http://schemas.openxmlformats.org/officeDocument/2006/relationships/hyperlink" Target="http://www.myschool.edu.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ducation.vic.gov.au/pages/privacypolicy.aspx" TargetMode="External"/><Relationship Id="rId29" Type="http://schemas.openxmlformats.org/officeDocument/2006/relationships/hyperlink" Target="https://www.education.vic.gov.au/about/department/Pages/stratpla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vpsc.vic.gov.au/"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vcaa.vic.edu.au/Pages/HomePage.aspx" TargetMode="External"/><Relationship Id="rId28" Type="http://schemas.openxmlformats.org/officeDocument/2006/relationships/hyperlink" Target="https://www.education.vic.gov.au/about/department/Pages/annualreports.aspx" TargetMode="External"/><Relationship Id="rId10" Type="http://schemas.openxmlformats.org/officeDocument/2006/relationships/endnotes" Target="endnotes.xml"/><Relationship Id="rId19" Type="http://schemas.openxmlformats.org/officeDocument/2006/relationships/hyperlink" Target="mailto:reporting.and.data.services@education.vic.gov.au" TargetMode="External"/><Relationship Id="rId31" Type="http://schemas.openxmlformats.org/officeDocument/2006/relationships/hyperlink" Target="mailto:reporting.and.data.services@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vic.gov.au/about/contact/Pages/data.aspx" TargetMode="External"/><Relationship Id="rId22" Type="http://schemas.openxmlformats.org/officeDocument/2006/relationships/hyperlink" Target="https://www.education.vic.gov.au/about/research/Pages/vcamstableau.aspx" TargetMode="External"/><Relationship Id="rId27" Type="http://schemas.openxmlformats.org/officeDocument/2006/relationships/hyperlink" Target="http://www.abs.gov.au/" TargetMode="External"/><Relationship Id="rId30" Type="http://schemas.openxmlformats.org/officeDocument/2006/relationships/hyperlink" Target="https://s3-ap-southeast-2.amazonaws.com/budgetfiles202122.budget.vic.gov.au/2021-22+State+Budget+-+Service+Delivery.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cid:image001.png@01D0DA5E.75A67A9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data, protocol, DET, users</DEECD_Keywords>
    <PublishingExpirationDate xmlns="http://schemas.microsoft.com/sharepoint/v3" xsi:nil="true"/>
    <DEECD_Description xmlns="http://schemas.microsoft.com/sharepoint/v3">This Protocol assists key client groups seeking datasets from the Victorian Department of Education. These client groups include internal department users, other government users and the research community.
Updated December 2022</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8ECCB-AF10-4248-862E-5B7FE6332BDE}">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2.xml><?xml version="1.0" encoding="utf-8"?>
<ds:datastoreItem xmlns:ds="http://schemas.openxmlformats.org/officeDocument/2006/customXml" ds:itemID="{11D4AA7F-F2C7-4B7A-A1EF-175E937B632E}">
  <ds:schemaRefs>
    <ds:schemaRef ds:uri="http://schemas.microsoft.com/sharepoint/v3/contenttype/forms"/>
  </ds:schemaRefs>
</ds:datastoreItem>
</file>

<file path=customXml/itemProps3.xml><?xml version="1.0" encoding="utf-8"?>
<ds:datastoreItem xmlns:ds="http://schemas.openxmlformats.org/officeDocument/2006/customXml" ds:itemID="{A29EDF1C-5A8E-4630-8AC1-837B30C661AC}">
  <ds:schemaRefs>
    <ds:schemaRef ds:uri="http://schemas.openxmlformats.org/officeDocument/2006/bibliography"/>
  </ds:schemaRefs>
</ds:datastoreItem>
</file>

<file path=customXml/itemProps4.xml><?xml version="1.0" encoding="utf-8"?>
<ds:datastoreItem xmlns:ds="http://schemas.openxmlformats.org/officeDocument/2006/customXml" ds:itemID="{EDCAF0DB-A68D-456E-B8B3-D6C2281CD6D7}"/>
</file>

<file path=docProps/app.xml><?xml version="1.0" encoding="utf-8"?>
<Properties xmlns="http://schemas.openxmlformats.org/officeDocument/2006/extended-properties" xmlns:vt="http://schemas.openxmlformats.org/officeDocument/2006/docPropsVTypes">
  <Template>Normal.dotm</Template>
  <TotalTime>1</TotalTime>
  <Pages>15</Pages>
  <Words>4680</Words>
  <Characters>26677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PED Data Governance Protocols (for publication)</vt:lpstr>
    </vt:vector>
  </TitlesOfParts>
  <Company>DEECD</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 Data Governance Protocols (for publication)</dc:title>
  <dc:creator>Missingham, Deidre J</dc:creator>
  <cp:lastModifiedBy>Daniel Aplin</cp:lastModifiedBy>
  <cp:revision>2</cp:revision>
  <cp:lastPrinted>2016-06-10T00:05:00Z</cp:lastPrinted>
  <dcterms:created xsi:type="dcterms:W3CDTF">2022-11-17T00:18:00Z</dcterms:created>
  <dcterms:modified xsi:type="dcterms:W3CDTF">2022-11-17T00:18:00Z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{3213104d-366f-4e50-bd7d-bb1f006fa0c8}</vt:lpwstr>
  </property>
  <property fmtid="{D5CDD505-2E9C-101B-9397-08002B2CF9AE}" pid="8" name="RecordPoint_ActiveItemUniqueId">
    <vt:lpwstr>{7b644be4-ae74-41e1-a13c-cc77c32f801f}</vt:lpwstr>
  </property>
  <property fmtid="{D5CDD505-2E9C-101B-9397-08002B2CF9AE}" pid="9" name="RecordPoint_ActiveItemWebId">
    <vt:lpwstr>{e93fa699-4810-4a92-91d8-f3ea09702ed4}</vt:lpwstr>
  </property>
  <property fmtid="{D5CDD505-2E9C-101B-9397-08002B2CF9AE}" pid="10" name="RecordPoint_ActiveItemSiteId">
    <vt:lpwstr>{bada3518-a604-4f15-8bc7-4552d36ee98e}</vt:lpwstr>
  </property>
  <property fmtid="{D5CDD505-2E9C-101B-9397-08002B2CF9AE}" pid="11" name="DEECD_Author">
    <vt:lpwstr>94;#Education|5232e41c-5101-41fe-b638-7d41d1371531</vt:lpwstr>
  </property>
  <property fmtid="{D5CDD505-2E9C-101B-9397-08002B2CF9AE}" pid="12" name="DEECD_ItemType">
    <vt:lpwstr>101;#Page|eb523acf-a821-456c-a76b-7607578309d7</vt:lpwstr>
  </property>
  <property fmtid="{D5CDD505-2E9C-101B-9397-08002B2CF9AE}" pid="13" name="DEECD_SubjectCategory">
    <vt:lpwstr/>
  </property>
  <property fmtid="{D5CDD505-2E9C-101B-9397-08002B2CF9AE}" pid="14" name="DEECD_Audience">
    <vt:lpwstr/>
  </property>
  <property fmtid="{D5CDD505-2E9C-101B-9397-08002B2CF9AE}" pid="15" name="DET_EDRMS_RCSTaxHTField0">
    <vt:lpwstr/>
  </property>
  <property fmtid="{D5CDD505-2E9C-101B-9397-08002B2CF9AE}" pid="16" name="TaxCatchAll">
    <vt:lpwstr/>
  </property>
  <property fmtid="{D5CDD505-2E9C-101B-9397-08002B2CF9AE}" pid="17" name="DET_EDRMS_SecClassTaxHTField0">
    <vt:lpwstr/>
  </property>
  <property fmtid="{D5CDD505-2E9C-101B-9397-08002B2CF9AE}" pid="18" name="DET_EDRMS_BusUnitTaxHTField0">
    <vt:lpwstr/>
  </property>
  <property fmtid="{D5CDD505-2E9C-101B-9397-08002B2CF9AE}" pid="19" name="RecordPoint_SubmissionDate">
    <vt:lpwstr/>
  </property>
  <property fmtid="{D5CDD505-2E9C-101B-9397-08002B2CF9AE}" pid="20" name="RecordPoint_RecordNumberSubmitted">
    <vt:lpwstr>R20220001138</vt:lpwstr>
  </property>
  <property fmtid="{D5CDD505-2E9C-101B-9397-08002B2CF9AE}" pid="21" name="RecordPoint_ActiveItemMoved">
    <vt:lpwstr/>
  </property>
  <property fmtid="{D5CDD505-2E9C-101B-9397-08002B2CF9AE}" pid="22" name="RecordPoint_RecordFormat">
    <vt:lpwstr/>
  </property>
  <property fmtid="{D5CDD505-2E9C-101B-9397-08002B2CF9AE}" pid="23" name="RecordPoint_SubmissionCompleted">
    <vt:lpwstr>2022-02-02T10:12:25.2198592+11:00</vt:lpwstr>
  </property>
</Properties>
</file>