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343F" w14:textId="77777777" w:rsidR="0060002A" w:rsidRPr="0060002A" w:rsidRDefault="00F620CF" w:rsidP="0060002A">
      <w:pPr>
        <w:pStyle w:val="Heading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COMMUNITY</w:t>
      </w:r>
      <w:r w:rsidR="00126FB9">
        <w:rPr>
          <w:sz w:val="32"/>
          <w:szCs w:val="32"/>
        </w:rPr>
        <w:t xml:space="preserve"> </w:t>
      </w:r>
      <w:r>
        <w:rPr>
          <w:sz w:val="32"/>
          <w:szCs w:val="32"/>
        </w:rPr>
        <w:t>TRAINING PROVIDER</w:t>
      </w:r>
      <w:r w:rsidR="00D37A8E">
        <w:rPr>
          <w:sz w:val="32"/>
          <w:szCs w:val="32"/>
        </w:rPr>
        <w:t xml:space="preserve"> OF THE YEAR</w:t>
      </w:r>
    </w:p>
    <w:p w14:paraId="32A449C7" w14:textId="77777777" w:rsidR="0074080C" w:rsidRPr="00EE79A7" w:rsidRDefault="00F620CF" w:rsidP="0074080C">
      <w:pPr>
        <w:ind w:left="0" w:firstLine="0"/>
        <w:rPr>
          <w:rFonts w:asciiTheme="minorHAnsi" w:hAnsiTheme="minorHAnsi" w:cstheme="minorHAnsi"/>
          <w:color w:val="0000FF"/>
          <w:szCs w:val="20"/>
        </w:rPr>
      </w:pPr>
      <w:r w:rsidRPr="00EE79A7">
        <w:rPr>
          <w:rFonts w:asciiTheme="minorHAnsi" w:hAnsiTheme="minorHAnsi" w:cstheme="minorHAnsi"/>
        </w:rPr>
        <w:t>The Community Training Provider of the Year Award recognises innovation and excellence by an organisation involved in improving skills in the local community or workplace.</w:t>
      </w:r>
      <w:r w:rsidR="000F0666">
        <w:rPr>
          <w:rFonts w:asciiTheme="minorHAnsi" w:hAnsiTheme="minorHAnsi" w:cstheme="minorHAnsi"/>
        </w:rPr>
        <w:t xml:space="preserve"> </w:t>
      </w:r>
      <w:r w:rsidRPr="00EE79A7">
        <w:rPr>
          <w:rFonts w:asciiTheme="minorHAnsi" w:hAnsiTheme="minorHAnsi" w:cstheme="minorHAnsi"/>
        </w:rPr>
        <w:t>Nominations can be made by relevant individuals or organisations (</w:t>
      </w:r>
      <w:r>
        <w:rPr>
          <w:rFonts w:asciiTheme="minorHAnsi" w:hAnsiTheme="minorHAnsi" w:cstheme="minorHAnsi"/>
        </w:rPr>
        <w:t>for example,</w:t>
      </w:r>
      <w:r w:rsidRPr="00EE79A7">
        <w:rPr>
          <w:rFonts w:asciiTheme="minorHAnsi" w:hAnsiTheme="minorHAnsi" w:cstheme="minorHAnsi"/>
        </w:rPr>
        <w:t xml:space="preserve"> colleagues, professional bodies, students, employers, industry or community representatives); or through self-nomination.</w:t>
      </w:r>
      <w:r w:rsidR="000F0666">
        <w:rPr>
          <w:rFonts w:asciiTheme="minorHAnsi" w:hAnsiTheme="minorHAnsi" w:cstheme="minorHAnsi"/>
        </w:rPr>
        <w:t xml:space="preserve"> </w:t>
      </w:r>
      <w:r w:rsidR="0074080C">
        <w:rPr>
          <w:rFonts w:asciiTheme="minorHAnsi" w:hAnsiTheme="minorHAnsi" w:cstheme="minorHAnsi"/>
        </w:rPr>
        <w:t xml:space="preserve">This is a Victorian-only award and </w:t>
      </w:r>
      <w:r w:rsidR="0074080C">
        <w:rPr>
          <w:rFonts w:asciiTheme="minorHAnsi" w:hAnsiTheme="minorHAnsi" w:cstheme="minorHAnsi"/>
          <w:color w:val="auto"/>
          <w:szCs w:val="20"/>
        </w:rPr>
        <w:t xml:space="preserve">does not articulate </w:t>
      </w:r>
      <w:r w:rsidR="0074080C" w:rsidRPr="00250950">
        <w:rPr>
          <w:rFonts w:asciiTheme="minorHAnsi" w:hAnsiTheme="minorHAnsi" w:cstheme="minorHAnsi"/>
          <w:color w:val="auto"/>
          <w:szCs w:val="20"/>
        </w:rPr>
        <w:t>to</w:t>
      </w:r>
      <w:r w:rsidR="0074080C">
        <w:rPr>
          <w:rFonts w:asciiTheme="minorHAnsi" w:hAnsiTheme="minorHAnsi" w:cstheme="minorHAnsi"/>
          <w:color w:val="auto"/>
          <w:szCs w:val="20"/>
        </w:rPr>
        <w:t xml:space="preserve"> the Australian Training Awards.</w:t>
      </w:r>
    </w:p>
    <w:p w14:paraId="63AF188E" w14:textId="77777777" w:rsidR="00F620CF" w:rsidRPr="000F0666" w:rsidRDefault="00F620CF" w:rsidP="000F0666">
      <w:pPr>
        <w:ind w:left="-5" w:right="45"/>
        <w:rPr>
          <w:rFonts w:asciiTheme="minorHAnsi" w:hAnsiTheme="minorHAnsi" w:cstheme="minorHAnsi"/>
        </w:rPr>
      </w:pPr>
    </w:p>
    <w:p w14:paraId="4F4DE171" w14:textId="77777777" w:rsidR="00F620CF" w:rsidRDefault="00F620CF" w:rsidP="00F620CF">
      <w:pPr>
        <w:rPr>
          <w:color w:val="0000FF"/>
          <w:sz w:val="36"/>
          <w:szCs w:val="36"/>
        </w:rPr>
      </w:pPr>
      <w:r w:rsidRPr="00F620CF">
        <w:rPr>
          <w:color w:val="0000FF"/>
          <w:sz w:val="32"/>
          <w:szCs w:val="32"/>
        </w:rPr>
        <w:t>Eligibility</w:t>
      </w:r>
    </w:p>
    <w:p w14:paraId="79CE8E6E" w14:textId="77777777" w:rsidR="00F620CF" w:rsidRPr="00B80878" w:rsidRDefault="00F620CF" w:rsidP="00F620CF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apply for this award, an organisation</w:t>
      </w:r>
      <w:r w:rsidRPr="001D6884">
        <w:rPr>
          <w:rFonts w:asciiTheme="minorHAnsi" w:hAnsiTheme="minorHAnsi" w:cstheme="minorHAnsi"/>
          <w:color w:val="auto"/>
        </w:rPr>
        <w:t xml:space="preserve"> must:</w:t>
      </w:r>
    </w:p>
    <w:p w14:paraId="043AFEC3" w14:textId="77777777" w:rsidR="00F620CF" w:rsidRPr="001B0C3B" w:rsidRDefault="00F620CF" w:rsidP="00F620CF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Deliver training in Victoria</w:t>
      </w:r>
    </w:p>
    <w:p w14:paraId="664C286C" w14:textId="77777777" w:rsidR="00F620CF" w:rsidRPr="001B0C3B" w:rsidRDefault="00F620CF" w:rsidP="00F620CF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Have a history of timely compliance with contractual obligations and program requirements</w:t>
      </w:r>
    </w:p>
    <w:p w14:paraId="12B7B02C" w14:textId="77777777" w:rsidR="00F620CF" w:rsidRPr="001B0C3B" w:rsidRDefault="00F620CF" w:rsidP="00F620CF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 xml:space="preserve">Be </w:t>
      </w:r>
      <w:r w:rsidRPr="001B0C3B">
        <w:rPr>
          <w:szCs w:val="20"/>
        </w:rPr>
        <w:t>registered with the ACFE Board as a Learn Local organisation</w:t>
      </w:r>
    </w:p>
    <w:p w14:paraId="2BEE41E8" w14:textId="77777777" w:rsidR="00F620CF" w:rsidRPr="00B80878" w:rsidRDefault="00F620CF" w:rsidP="00F620CF">
      <w:pPr>
        <w:rPr>
          <w:color w:val="auto"/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536E56">
        <w:rPr>
          <w:szCs w:val="20"/>
        </w:rPr>
        <w:t>Have delivered ACFE Board-funded pre-accredited training in 2019</w:t>
      </w:r>
      <w:r>
        <w:rPr>
          <w:szCs w:val="20"/>
        </w:rPr>
        <w:t>.</w:t>
      </w:r>
    </w:p>
    <w:p w14:paraId="6E63246A" w14:textId="77777777" w:rsidR="00F620CF" w:rsidRPr="00F620CF" w:rsidRDefault="00F620CF" w:rsidP="0060002A">
      <w:pPr>
        <w:ind w:left="0" w:firstLine="0"/>
        <w:rPr>
          <w:color w:val="0000FF"/>
          <w:szCs w:val="20"/>
        </w:rPr>
      </w:pPr>
    </w:p>
    <w:p w14:paraId="762D866A" w14:textId="59A904B7" w:rsidR="007D29AF" w:rsidRPr="00CB77D0" w:rsidRDefault="00CB402A" w:rsidP="00CB77D0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  <w:bookmarkStart w:id="0" w:name="_Toc26785701"/>
    </w:p>
    <w:p w14:paraId="4B8A8DB6" w14:textId="77777777" w:rsidR="00352CB4" w:rsidRPr="00250950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</w:pPr>
      <w:r w:rsidRPr="00250950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eastAsia="en-US"/>
        </w:rPr>
        <w:t>Criterion 1: Demonstrated design and implementation of quality training programs (pre-accredited and other) that are highly valued by the local community and are responsive to learner aspirations</w:t>
      </w:r>
    </w:p>
    <w:p w14:paraId="3D42DE04" w14:textId="77777777" w:rsidR="00352CB4" w:rsidRPr="00EE79A7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0"/>
          <w:lang w:eastAsia="en-US"/>
        </w:rPr>
        <w:t>Consider:</w:t>
      </w:r>
      <w:r w:rsidRPr="00EE79A7">
        <w:rPr>
          <w:rFonts w:asciiTheme="minorHAnsi" w:eastAsiaTheme="minorHAnsi" w:hAnsiTheme="minorHAnsi" w:cstheme="minorHAnsi"/>
          <w:color w:val="000000"/>
          <w:szCs w:val="20"/>
          <w:lang w:eastAsia="en-US"/>
        </w:rPr>
        <w:t xml:space="preserve"> </w:t>
      </w:r>
    </w:p>
    <w:p w14:paraId="494C20EF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how your programs provide pathways to other opportunities, further learning and employment</w:t>
      </w:r>
    </w:p>
    <w:p w14:paraId="089856BB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measures of quality</w:t>
      </w:r>
      <w:r>
        <w:rPr>
          <w:szCs w:val="20"/>
        </w:rPr>
        <w:t xml:space="preserve"> </w:t>
      </w:r>
      <w:r w:rsidRPr="00DB0D9B">
        <w:rPr>
          <w:szCs w:val="20"/>
        </w:rPr>
        <w:t xml:space="preserve">you implement to ensure the </w:t>
      </w:r>
      <w:r>
        <w:rPr>
          <w:szCs w:val="20"/>
        </w:rPr>
        <w:t xml:space="preserve">successful </w:t>
      </w:r>
      <w:r w:rsidRPr="00DB0D9B">
        <w:rPr>
          <w:szCs w:val="20"/>
        </w:rPr>
        <w:t xml:space="preserve">delivery of your </w:t>
      </w:r>
      <w:proofErr w:type="gramStart"/>
      <w:r w:rsidRPr="00DB0D9B">
        <w:rPr>
          <w:szCs w:val="20"/>
        </w:rPr>
        <w:t>programs</w:t>
      </w:r>
      <w:proofErr w:type="gramEnd"/>
    </w:p>
    <w:p w14:paraId="5743F89B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what c</w:t>
      </w:r>
      <w:r w:rsidRPr="00DB0D9B">
        <w:rPr>
          <w:szCs w:val="20"/>
        </w:rPr>
        <w:t>hallenges have been overcome in planning and implementing your training programs</w:t>
      </w:r>
    </w:p>
    <w:p w14:paraId="65A546BF" w14:textId="77777777" w:rsidR="00352CB4" w:rsidRPr="00DB0D9B" w:rsidRDefault="000F0666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 xml:space="preserve">if </w:t>
      </w:r>
      <w:r w:rsidR="00352CB4" w:rsidRPr="00DB0D9B">
        <w:rPr>
          <w:szCs w:val="20"/>
        </w:rPr>
        <w:t xml:space="preserve">the training programs </w:t>
      </w:r>
      <w:r>
        <w:rPr>
          <w:szCs w:val="20"/>
        </w:rPr>
        <w:t>might</w:t>
      </w:r>
      <w:r w:rsidR="00352CB4" w:rsidRPr="00DB0D9B">
        <w:rPr>
          <w:szCs w:val="20"/>
        </w:rPr>
        <w:t xml:space="preserve"> have a positive impact beyond the organisation in the wider community or environment</w:t>
      </w:r>
    </w:p>
    <w:p w14:paraId="1097F192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techniques and/or strategies your organisation uses to engage learners in your programs and maintain good learner completion rates</w:t>
      </w:r>
    </w:p>
    <w:p w14:paraId="301B1BE5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ways learners have been supported beyond the formal structures of program delivery</w:t>
      </w:r>
    </w:p>
    <w:p w14:paraId="1B0A0054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how you demonstrate creativity, excellence and/or innovation in the design and development of processes or techniques</w:t>
      </w:r>
    </w:p>
    <w:p w14:paraId="69BB4BB6" w14:textId="77777777" w:rsidR="00352CB4" w:rsidRPr="00DB0D9B" w:rsidRDefault="00352CB4" w:rsidP="000F0666">
      <w:pPr>
        <w:pStyle w:val="ListParagraph"/>
        <w:numPr>
          <w:ilvl w:val="0"/>
          <w:numId w:val="1"/>
        </w:numPr>
        <w:ind w:right="-472"/>
        <w:contextualSpacing w:val="0"/>
        <w:rPr>
          <w:szCs w:val="20"/>
        </w:rPr>
      </w:pPr>
      <w:r w:rsidRPr="00DB0D9B">
        <w:rPr>
          <w:szCs w:val="20"/>
        </w:rPr>
        <w:t>your organisation's history – how your services have responded to the changes in your local community.</w:t>
      </w:r>
    </w:p>
    <w:p w14:paraId="515483F8" w14:textId="77777777" w:rsidR="00352CB4" w:rsidRPr="005B2E29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</w:p>
    <w:p w14:paraId="3257AECA" w14:textId="77777777" w:rsidR="00352CB4" w:rsidRPr="00250950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</w:pPr>
      <w:r w:rsidRPr="00250950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eastAsia="en-US"/>
        </w:rPr>
        <w:t xml:space="preserve">Criterion 2: Demonstrated understanding of local community and know-how to attract learners facing barriers to participation and attainment in vocational training </w:t>
      </w:r>
    </w:p>
    <w:p w14:paraId="7434428D" w14:textId="77777777" w:rsidR="00352CB4" w:rsidRDefault="00352CB4" w:rsidP="00352C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0"/>
          <w:lang w:eastAsia="en-US"/>
        </w:rPr>
        <w:t>Consider:</w:t>
      </w:r>
      <w:r w:rsidRPr="005B2E29">
        <w:rPr>
          <w:rFonts w:asciiTheme="minorHAnsi" w:eastAsiaTheme="minorHAnsi" w:hAnsiTheme="minorHAnsi" w:cstheme="minorHAnsi"/>
          <w:color w:val="000000"/>
          <w:szCs w:val="20"/>
          <w:lang w:eastAsia="en-US"/>
        </w:rPr>
        <w:t xml:space="preserve"> </w:t>
      </w:r>
    </w:p>
    <w:p w14:paraId="13EA0001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if your programs benefit and appeal to individuals or groups who are typically under-represented in traditional educational channels (in terms of gender, age, ethnicity, ability, location)</w:t>
      </w:r>
    </w:p>
    <w:p w14:paraId="130EE5AE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examples of learners with pathways into local businesses that have addressed local skills shortages</w:t>
      </w:r>
    </w:p>
    <w:p w14:paraId="3D8E0A58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your organisation does to encourage access</w:t>
      </w:r>
    </w:p>
    <w:p w14:paraId="0D2FAC69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 xml:space="preserve">what degree of success the organisation has had in meeting the needs of learners facing </w:t>
      </w:r>
      <w:proofErr w:type="gramStart"/>
      <w:r w:rsidRPr="00DB0D9B">
        <w:rPr>
          <w:szCs w:val="20"/>
        </w:rPr>
        <w:t>barriers</w:t>
      </w:r>
      <w:proofErr w:type="gramEnd"/>
    </w:p>
    <w:p w14:paraId="78F5F4D5" w14:textId="77777777" w:rsidR="00352CB4" w:rsidRPr="00DB0D9B" w:rsidRDefault="00352CB4" w:rsidP="000F0666">
      <w:pPr>
        <w:pStyle w:val="ListParagraph"/>
        <w:numPr>
          <w:ilvl w:val="0"/>
          <w:numId w:val="1"/>
        </w:numPr>
        <w:ind w:right="-188"/>
        <w:contextualSpacing w:val="0"/>
        <w:rPr>
          <w:szCs w:val="20"/>
        </w:rPr>
      </w:pPr>
      <w:r w:rsidRPr="00DB0D9B">
        <w:rPr>
          <w:szCs w:val="20"/>
        </w:rPr>
        <w:t>what your organisation does to promote knowledge of clients and markets and how it responds to these</w:t>
      </w:r>
    </w:p>
    <w:p w14:paraId="0EBE9488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any systems and processes for collecting and analysing data on client needs and expectations</w:t>
      </w:r>
    </w:p>
    <w:p w14:paraId="4054D057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local and learner needs are addressed by your organisation</w:t>
      </w:r>
    </w:p>
    <w:p w14:paraId="10C97685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the benefits to your local community</w:t>
      </w:r>
    </w:p>
    <w:p w14:paraId="1BD488C9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is unique or creative about your organisation’s approach to addressing local needs</w:t>
      </w:r>
    </w:p>
    <w:p w14:paraId="439050E6" w14:textId="77777777" w:rsidR="00352CB4" w:rsidRPr="00DB0D9B" w:rsidRDefault="00352CB4" w:rsidP="000F0666">
      <w:pPr>
        <w:pStyle w:val="ListParagraph"/>
        <w:numPr>
          <w:ilvl w:val="0"/>
          <w:numId w:val="1"/>
        </w:numPr>
        <w:ind w:right="-755"/>
        <w:contextualSpacing w:val="0"/>
        <w:rPr>
          <w:szCs w:val="20"/>
        </w:rPr>
      </w:pPr>
      <w:r w:rsidRPr="00DB0D9B">
        <w:rPr>
          <w:szCs w:val="20"/>
        </w:rPr>
        <w:t>how you support learners to connect with local community, further education and employment opportunities.</w:t>
      </w:r>
    </w:p>
    <w:p w14:paraId="127C6525" w14:textId="77777777" w:rsidR="00352CB4" w:rsidRPr="005B2E29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</w:p>
    <w:p w14:paraId="4940EAE6" w14:textId="77777777" w:rsidR="00352CB4" w:rsidRPr="00250950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FF"/>
          <w:sz w:val="24"/>
          <w:szCs w:val="24"/>
          <w:lang w:eastAsia="en-US"/>
        </w:rPr>
      </w:pPr>
      <w:r w:rsidRPr="00250950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eastAsia="en-US"/>
        </w:rPr>
        <w:t xml:space="preserve">Criterion 3: Demonstrated partnerships and participation in broader service delivery within the local community </w:t>
      </w:r>
    </w:p>
    <w:p w14:paraId="05D8B4B7" w14:textId="77777777" w:rsidR="00352CB4" w:rsidRPr="005B2E29" w:rsidRDefault="00352CB4" w:rsidP="00352CB4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0"/>
          <w:lang w:eastAsia="en-US"/>
        </w:rPr>
        <w:t>Consider:</w:t>
      </w:r>
      <w:r w:rsidRPr="005B2E29">
        <w:rPr>
          <w:rFonts w:asciiTheme="minorHAnsi" w:eastAsiaTheme="minorHAnsi" w:hAnsiTheme="minorHAnsi" w:cstheme="minorHAnsi"/>
          <w:color w:val="000000"/>
          <w:szCs w:val="20"/>
          <w:lang w:eastAsia="en-US"/>
        </w:rPr>
        <w:t xml:space="preserve"> </w:t>
      </w:r>
    </w:p>
    <w:p w14:paraId="6599859A" w14:textId="77777777" w:rsidR="00352CB4" w:rsidRPr="00DB0D9B" w:rsidRDefault="00352CB4" w:rsidP="000F0666">
      <w:pPr>
        <w:pStyle w:val="ListParagraph"/>
        <w:numPr>
          <w:ilvl w:val="0"/>
          <w:numId w:val="1"/>
        </w:numPr>
        <w:ind w:right="-897"/>
        <w:contextualSpacing w:val="0"/>
        <w:rPr>
          <w:szCs w:val="20"/>
        </w:rPr>
      </w:pPr>
      <w:r w:rsidRPr="00DB0D9B">
        <w:rPr>
          <w:szCs w:val="20"/>
        </w:rPr>
        <w:t>how learners’ achievements have impacted on others either in the organisation or local community stakeholders</w:t>
      </w:r>
    </w:p>
    <w:p w14:paraId="4DA75CD4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 xml:space="preserve">how your work environment demonstrates that it recognises the </w:t>
      </w:r>
      <w:r>
        <w:rPr>
          <w:szCs w:val="20"/>
        </w:rPr>
        <w:t>well</w:t>
      </w:r>
      <w:r w:rsidR="00395314">
        <w:rPr>
          <w:szCs w:val="20"/>
        </w:rPr>
        <w:t>-</w:t>
      </w:r>
      <w:r>
        <w:rPr>
          <w:szCs w:val="20"/>
        </w:rPr>
        <w:t>being</w:t>
      </w:r>
      <w:r w:rsidRPr="00DB0D9B">
        <w:rPr>
          <w:szCs w:val="20"/>
        </w:rPr>
        <w:t xml:space="preserve"> of staff</w:t>
      </w:r>
    </w:p>
    <w:p w14:paraId="28A122D5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how you undertake continuous improvement within the organisation</w:t>
      </w:r>
    </w:p>
    <w:p w14:paraId="48C21BD9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how your organisation connects with the work and/or offerings of other organisations or groups in the local or wider community</w:t>
      </w:r>
    </w:p>
    <w:p w14:paraId="59B31ED6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lastRenderedPageBreak/>
        <w:t>how your organisation connects with business or industry (individuals or groups)</w:t>
      </w:r>
    </w:p>
    <w:p w14:paraId="47B2CAC3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 xml:space="preserve">the strategies your organisation </w:t>
      </w:r>
      <w:proofErr w:type="gramStart"/>
      <w:r w:rsidRPr="00DB0D9B">
        <w:rPr>
          <w:szCs w:val="20"/>
        </w:rPr>
        <w:t>has to</w:t>
      </w:r>
      <w:proofErr w:type="gramEnd"/>
      <w:r w:rsidRPr="00DB0D9B">
        <w:rPr>
          <w:szCs w:val="20"/>
        </w:rPr>
        <w:t xml:space="preserve"> identify local and/or regional issues (such as social, economic, industrial or environmental issues) and how you incorporate these into service delivery</w:t>
      </w:r>
    </w:p>
    <w:p w14:paraId="31197E92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the methods your organisation uses to create positive relationships with individuals, enterprises, industries and local community groups (</w:t>
      </w:r>
      <w:r>
        <w:rPr>
          <w:szCs w:val="20"/>
        </w:rPr>
        <w:t>for example,</w:t>
      </w:r>
      <w:r w:rsidRPr="00DB0D9B">
        <w:rPr>
          <w:szCs w:val="20"/>
        </w:rPr>
        <w:t xml:space="preserve"> industry consultation, partnerships, feedback)</w:t>
      </w:r>
    </w:p>
    <w:p w14:paraId="3A1977D0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if your organisation has supported learners to engage with their local community</w:t>
      </w:r>
    </w:p>
    <w:p w14:paraId="7E16390E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any types of learner pathways your organisation helped to create</w:t>
      </w:r>
    </w:p>
    <w:p w14:paraId="3597CDC4" w14:textId="77777777" w:rsidR="00352CB4" w:rsidRPr="00DB0D9B" w:rsidRDefault="00352CB4" w:rsidP="00352CB4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DB0D9B">
        <w:rPr>
          <w:szCs w:val="20"/>
        </w:rPr>
        <w:t>what partnership or network your organisation has established that has had positive outcomes for learners in your organisation or your local community.</w:t>
      </w:r>
    </w:p>
    <w:p w14:paraId="1BBD9F76" w14:textId="77777777" w:rsidR="007D29AF" w:rsidRPr="007D29AF" w:rsidRDefault="007D29AF" w:rsidP="009F510C">
      <w:pPr>
        <w:tabs>
          <w:tab w:val="left" w:pos="284"/>
        </w:tabs>
        <w:ind w:right="45"/>
        <w:rPr>
          <w:color w:val="0000FF"/>
          <w:szCs w:val="20"/>
        </w:rPr>
      </w:pPr>
    </w:p>
    <w:p w14:paraId="549B41BD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t xml:space="preserve">How to </w:t>
      </w:r>
      <w:bookmarkEnd w:id="0"/>
      <w:r w:rsidRPr="009F510C">
        <w:rPr>
          <w:color w:val="0000FF"/>
          <w:sz w:val="32"/>
          <w:szCs w:val="32"/>
        </w:rPr>
        <w:t>apply</w:t>
      </w:r>
    </w:p>
    <w:p w14:paraId="5347EDD1" w14:textId="2F6C4683" w:rsidR="00A141E8" w:rsidRDefault="009331D3" w:rsidP="009331D3">
      <w:pPr>
        <w:numPr>
          <w:ilvl w:val="0"/>
          <w:numId w:val="2"/>
        </w:numPr>
        <w:ind w:left="284" w:right="-22" w:hanging="283"/>
      </w:pPr>
      <w:r>
        <w:t xml:space="preserve">Check that you meet the </w:t>
      </w:r>
      <w:r w:rsidR="00E52B02">
        <w:t>eligibility requirements and selection c</w:t>
      </w:r>
      <w:r w:rsidR="00A141E8">
        <w:t>riteria above and r</w:t>
      </w:r>
      <w:r w:rsidR="00A141E8" w:rsidRPr="00DC3771">
        <w:t xml:space="preserve">ead </w:t>
      </w:r>
      <w:r>
        <w:t>the Conditions of E</w:t>
      </w:r>
      <w:r w:rsidR="00A141E8" w:rsidRPr="00DC3771">
        <w:t>ntry</w:t>
      </w:r>
      <w:r w:rsidR="00A141E8">
        <w:t xml:space="preserve"> to enter the awards.</w:t>
      </w:r>
    </w:p>
    <w:p w14:paraId="7BE4732A" w14:textId="3E3C78BE" w:rsidR="009F510C" w:rsidRDefault="009F510C" w:rsidP="00A141E8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>ortal:</w:t>
      </w:r>
      <w:r w:rsidR="00294D44" w:rsidRPr="00294D44">
        <w:t xml:space="preserve"> </w:t>
      </w:r>
      <w:hyperlink r:id="rId10" w:history="1">
        <w:r w:rsidR="00294D44" w:rsidRPr="0013492B">
          <w:rPr>
            <w:rStyle w:val="Hyperlink"/>
          </w:rPr>
          <w:t>https://vta.awardsplatform.com/</w:t>
        </w:r>
      </w:hyperlink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7D29AF">
        <w:rPr>
          <w:b/>
        </w:rPr>
        <w:t>Note:</w:t>
      </w:r>
      <w:r>
        <w:t xml:space="preserve"> Nominations may only be made through this portal.</w:t>
      </w:r>
    </w:p>
    <w:p w14:paraId="06230C65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099F352B" w14:textId="0082A2C7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5C31A6">
        <w:rPr>
          <w:b/>
        </w:rPr>
        <w:t>3</w:t>
      </w:r>
      <w:r w:rsidR="00294D44">
        <w:rPr>
          <w:b/>
        </w:rPr>
        <w:t xml:space="preserve"> Ju</w:t>
      </w:r>
      <w:r w:rsidR="005C31A6">
        <w:rPr>
          <w:b/>
        </w:rPr>
        <w:t>ly</w:t>
      </w:r>
      <w:r w:rsidRPr="00B80878">
        <w:rPr>
          <w:b/>
        </w:rPr>
        <w:t xml:space="preserve">. </w:t>
      </w:r>
    </w:p>
    <w:p w14:paraId="3BC7681F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6BF23B42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1" w:name="_Toc26785700"/>
      <w:r w:rsidRPr="009F510C">
        <w:rPr>
          <w:color w:val="0000FF"/>
          <w:sz w:val="32"/>
          <w:szCs w:val="32"/>
        </w:rPr>
        <w:t>Writing assistance</w:t>
      </w:r>
      <w:bookmarkEnd w:id="1"/>
    </w:p>
    <w:p w14:paraId="46D8568D" w14:textId="77777777" w:rsidR="009F510C" w:rsidRDefault="009F510C" w:rsidP="009F510C">
      <w:pPr>
        <w:ind w:right="45"/>
      </w:pPr>
      <w:r>
        <w:t>If you need help in preparing your nomination, just contact the VTA team. They can put you in touch with a writer who can review your draft and make sure your</w:t>
      </w:r>
      <w:r w:rsidR="004F7B6E">
        <w:t xml:space="preserve"> application</w:t>
      </w:r>
      <w:r>
        <w:t xml:space="preserve"> is of the highest possible quality. </w:t>
      </w:r>
    </w:p>
    <w:p w14:paraId="747D378F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02C96F13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04B6E4C7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77735499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1E816C28" w14:textId="77777777" w:rsidR="004F7B6E" w:rsidRPr="005628B9" w:rsidRDefault="004F7B6E" w:rsidP="004F7B6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>
        <w:rPr>
          <w:szCs w:val="20"/>
        </w:rPr>
        <w:t xml:space="preserve">– 500-word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offered, milestones achieved and so on). This information is not used for judging purposes.</w:t>
      </w:r>
    </w:p>
    <w:p w14:paraId="661F0B87" w14:textId="77777777" w:rsidR="004F7B6E" w:rsidRPr="005628B9" w:rsidRDefault="004F7B6E" w:rsidP="004F7B6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>
        <w:rPr>
          <w:szCs w:val="20"/>
        </w:rPr>
        <w:t xml:space="preserve"> – 800-word limit for each response.</w:t>
      </w:r>
    </w:p>
    <w:p w14:paraId="2FB1DF5E" w14:textId="550D88A7" w:rsidR="009F510C" w:rsidRPr="00A141E8" w:rsidRDefault="004F7B6E" w:rsidP="0039574F">
      <w:pPr>
        <w:pStyle w:val="ListParagraph"/>
        <w:numPr>
          <w:ilvl w:val="0"/>
          <w:numId w:val="1"/>
        </w:numPr>
        <w:contextualSpacing w:val="0"/>
        <w:rPr>
          <w:color w:val="auto"/>
          <w:szCs w:val="20"/>
        </w:rPr>
      </w:pPr>
      <w:r w:rsidRPr="00A141E8">
        <w:rPr>
          <w:szCs w:val="20"/>
        </w:rPr>
        <w:t xml:space="preserve">Supporting Evidence (photographs, business endorsements, logos and so on). </w:t>
      </w:r>
    </w:p>
    <w:p w14:paraId="55D2E187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2" w:name="_Toc529962152"/>
      <w:bookmarkStart w:id="3" w:name="_Toc531351814"/>
      <w:bookmarkStart w:id="4" w:name="_Toc22909957"/>
      <w:bookmarkStart w:id="5" w:name="_Toc26785695"/>
      <w:bookmarkStart w:id="6" w:name="_Toc22909959"/>
      <w:bookmarkStart w:id="7" w:name="_Toc26785697"/>
      <w:r w:rsidRPr="00AF48DE">
        <w:rPr>
          <w:color w:val="0000FF"/>
          <w:sz w:val="32"/>
          <w:szCs w:val="32"/>
        </w:rPr>
        <w:t>Key dates</w:t>
      </w:r>
      <w:bookmarkEnd w:id="2"/>
      <w:bookmarkEnd w:id="3"/>
      <w:bookmarkEnd w:id="4"/>
      <w:r w:rsidRPr="00AF48DE">
        <w:rPr>
          <w:color w:val="0000FF"/>
          <w:sz w:val="32"/>
          <w:szCs w:val="32"/>
        </w:rPr>
        <w:t xml:space="preserve"> </w:t>
      </w:r>
      <w:bookmarkEnd w:id="5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5C31A6" w:rsidRPr="00930982" w14:paraId="52DF3C87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86FB84C" w14:textId="00DD9484" w:rsidR="005C31A6" w:rsidRPr="00930982" w:rsidRDefault="005C31A6" w:rsidP="005C31A6">
            <w:pPr>
              <w:rPr>
                <w:b/>
                <w:i/>
                <w:sz w:val="18"/>
              </w:rPr>
            </w:pPr>
            <w:bookmarkStart w:id="8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0FE325F" w14:textId="75E82D78" w:rsidR="005C31A6" w:rsidRPr="00930982" w:rsidRDefault="005C31A6" w:rsidP="005C31A6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5C31A6" w14:paraId="78C9D304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921F4F6" w14:textId="1F9757D2" w:rsidR="005C31A6" w:rsidRPr="00AD7017" w:rsidRDefault="005C31A6" w:rsidP="005C31A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6BF6D1E" w14:textId="7F88869D" w:rsidR="005C31A6" w:rsidRDefault="005C31A6" w:rsidP="005C31A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5C31A6" w14:paraId="4989293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1B1265A" w14:textId="4C0285A2" w:rsidR="005C31A6" w:rsidRPr="00AD7017" w:rsidRDefault="005C31A6" w:rsidP="005C31A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4194C19" w14:textId="3DD798C3" w:rsidR="005C31A6" w:rsidRDefault="005C31A6" w:rsidP="005C31A6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5C31A6" w:rsidRPr="00930982" w14:paraId="2336C494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DFFA795" w14:textId="5649CD08" w:rsidR="005C31A6" w:rsidRPr="00930982" w:rsidRDefault="005C31A6" w:rsidP="005C31A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3CCCF3A" w14:textId="383C352F" w:rsidR="005C31A6" w:rsidRPr="00930982" w:rsidRDefault="005C31A6" w:rsidP="005C31A6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5C31A6" w:rsidRPr="00DC3771" w14:paraId="632FDB32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72039CF" w14:textId="0901C6B2" w:rsidR="005C31A6" w:rsidRPr="00AD7017" w:rsidRDefault="005C31A6" w:rsidP="005C31A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A567E15" w14:textId="6AF09B3B" w:rsidR="005C31A6" w:rsidRPr="00DC3771" w:rsidRDefault="005C31A6" w:rsidP="005C31A6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5C31A6" w:rsidRPr="00DC3771" w14:paraId="25031BA4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DF8F8D6" w14:textId="6E73CBAA" w:rsidR="005C31A6" w:rsidRPr="00AD7017" w:rsidDel="009F02D0" w:rsidRDefault="005C31A6" w:rsidP="005C31A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36F0442" w14:textId="5977E0B3" w:rsidR="005C31A6" w:rsidRPr="00DC3771" w:rsidRDefault="005C31A6" w:rsidP="005C31A6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5C31A6" w:rsidRPr="00DC3771" w14:paraId="192EC0A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34816E2" w14:textId="3FCBC236" w:rsidR="005C31A6" w:rsidRPr="00AD7017" w:rsidRDefault="005C31A6" w:rsidP="005C31A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FA28755" w14:textId="50DD775D" w:rsidR="005C31A6" w:rsidRPr="00DC3771" w:rsidRDefault="005C31A6" w:rsidP="005C31A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5C31A6" w:rsidRPr="00DC3771" w14:paraId="2BEAEE43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1A2232F" w14:textId="383C1FBA" w:rsidR="005C31A6" w:rsidRPr="00AD7017" w:rsidRDefault="005C31A6" w:rsidP="005C31A6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42C8B5B" w14:textId="2BB50503" w:rsidR="005C31A6" w:rsidRPr="00DC3771" w:rsidRDefault="005C31A6" w:rsidP="005C31A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8"/>
    </w:tbl>
    <w:p w14:paraId="69B40DA7" w14:textId="35FD1EAD" w:rsidR="00AF48DE" w:rsidRPr="00294D44" w:rsidRDefault="00AF48DE" w:rsidP="00294D44"/>
    <w:p w14:paraId="3B7CA307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6"/>
      <w:bookmarkEnd w:id="7"/>
    </w:p>
    <w:p w14:paraId="7C4225E6" w14:textId="53FBAD39" w:rsidR="00A141E8" w:rsidRPr="00A141E8" w:rsidRDefault="00A141E8" w:rsidP="00A141E8">
      <w:pPr>
        <w:ind w:right="45"/>
        <w:rPr>
          <w:rStyle w:val="Hyperlink"/>
          <w:color w:val="181717"/>
          <w:u w:val="none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1" w:history="1">
        <w:r w:rsidRPr="0081781C">
          <w:rPr>
            <w:rStyle w:val="Hyperlink"/>
          </w:rPr>
          <w:t>www.education.vic.gov.au/vta</w:t>
        </w:r>
      </w:hyperlink>
      <w:r>
        <w:t xml:space="preserve"> </w:t>
      </w:r>
    </w:p>
    <w:p w14:paraId="71754CCA" w14:textId="2FFB83E7" w:rsidR="00294D44" w:rsidRDefault="009F510C" w:rsidP="00A141E8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950231" w:rsidRPr="00C26FF9">
          <w:rPr>
            <w:rStyle w:val="Hyperlink"/>
            <w:lang w:val="it-IT"/>
          </w:rPr>
          <w:t>victorian.training.awards@education.vic.gov.au</w:t>
        </w:r>
      </w:hyperlink>
    </w:p>
    <w:p w14:paraId="56FC9153" w14:textId="08F9C7DE" w:rsidR="009F510C" w:rsidRPr="00294D44" w:rsidRDefault="009F510C" w:rsidP="00294D44">
      <w:pPr>
        <w:rPr>
          <w:color w:val="0563C1" w:themeColor="hyperlink"/>
          <w:lang w:val="it-IT"/>
        </w:rPr>
      </w:pPr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RPr="00294D44" w:rsidSect="00294D44">
      <w:footerReference w:type="default" r:id="rId13"/>
      <w:pgSz w:w="11906" w:h="16838"/>
      <w:pgMar w:top="1134" w:right="1274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598E" w14:textId="77777777" w:rsidR="006B1B82" w:rsidRDefault="006B1B82">
      <w:r>
        <w:separator/>
      </w:r>
    </w:p>
  </w:endnote>
  <w:endnote w:type="continuationSeparator" w:id="0">
    <w:p w14:paraId="608864B4" w14:textId="77777777" w:rsidR="006B1B82" w:rsidRDefault="006B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32289" w14:textId="531B7B3D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C0A3B6" w14:textId="77777777" w:rsidR="00F611F1" w:rsidRPr="00BE0E01" w:rsidRDefault="006B1B82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4A22" w14:textId="77777777" w:rsidR="006B1B82" w:rsidRDefault="006B1B82">
      <w:r>
        <w:separator/>
      </w:r>
    </w:p>
  </w:footnote>
  <w:footnote w:type="continuationSeparator" w:id="0">
    <w:p w14:paraId="684A30C8" w14:textId="77777777" w:rsidR="006B1B82" w:rsidRDefault="006B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34E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2163A"/>
    <w:rsid w:val="00025F4C"/>
    <w:rsid w:val="000650A4"/>
    <w:rsid w:val="000A239B"/>
    <w:rsid w:val="000F0666"/>
    <w:rsid w:val="00126FB9"/>
    <w:rsid w:val="00294D44"/>
    <w:rsid w:val="002C0705"/>
    <w:rsid w:val="00352CB4"/>
    <w:rsid w:val="00356BF6"/>
    <w:rsid w:val="00395314"/>
    <w:rsid w:val="004108AE"/>
    <w:rsid w:val="004C2B80"/>
    <w:rsid w:val="004D671E"/>
    <w:rsid w:val="004F7B6E"/>
    <w:rsid w:val="00505B41"/>
    <w:rsid w:val="005628B9"/>
    <w:rsid w:val="005C31A6"/>
    <w:rsid w:val="005C775B"/>
    <w:rsid w:val="0060002A"/>
    <w:rsid w:val="00617625"/>
    <w:rsid w:val="006322F9"/>
    <w:rsid w:val="006B1B82"/>
    <w:rsid w:val="0074080C"/>
    <w:rsid w:val="007D29AF"/>
    <w:rsid w:val="0092240E"/>
    <w:rsid w:val="009331D3"/>
    <w:rsid w:val="00950231"/>
    <w:rsid w:val="009E05A2"/>
    <w:rsid w:val="009F510C"/>
    <w:rsid w:val="00A141E8"/>
    <w:rsid w:val="00AF48DE"/>
    <w:rsid w:val="00B40F1E"/>
    <w:rsid w:val="00BB1DCC"/>
    <w:rsid w:val="00CB2D0D"/>
    <w:rsid w:val="00CB402A"/>
    <w:rsid w:val="00CB77D0"/>
    <w:rsid w:val="00D04323"/>
    <w:rsid w:val="00D24C7A"/>
    <w:rsid w:val="00D37A8E"/>
    <w:rsid w:val="00DC00A8"/>
    <w:rsid w:val="00DC5442"/>
    <w:rsid w:val="00E52B02"/>
    <w:rsid w:val="00EC5AE9"/>
    <w:rsid w:val="00F0576F"/>
    <w:rsid w:val="00F620CF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20F0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25"/>
    <w:rPr>
      <w:rFonts w:ascii="Segoe UI" w:eastAsia="Calibri" w:hAnsi="Segoe UI" w:cs="Segoe UI"/>
      <w:color w:val="181717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A23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hyperlink" Target="http://www.education.vic.gov.au/vta" TargetMode="Externa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VTA-Community-Training-Provider-Factsheet-2020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37645-4919-45AC-B41B-3C488152FB34}"/>
</file>

<file path=customXml/itemProps2.xml><?xml version="1.0" encoding="utf-8"?>
<ds:datastoreItem xmlns:ds="http://schemas.openxmlformats.org/officeDocument/2006/customXml" ds:itemID="{74954A80-6646-465A-93C5-54753DD6B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66A31-64FF-4434-AFD2-8FD6F0A9C991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58C7A5E5-6DCB-4A78-B553-C10D6E0C3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VTA-Community-Training-Provider-Factsheet-2020</dc:title>
  <dc:subject/>
  <dc:creator>Gilfedder, Tess T</dc:creator>
  <cp:keywords/>
  <dc:description/>
  <cp:lastModifiedBy>Sullivan, Jennifer M</cp:lastModifiedBy>
  <cp:revision>20</cp:revision>
  <cp:lastPrinted>2020-01-21T23:00:00Z</cp:lastPrinted>
  <dcterms:created xsi:type="dcterms:W3CDTF">2019-12-09T23:56:00Z</dcterms:created>
  <dcterms:modified xsi:type="dcterms:W3CDTF">2020-05-27T00:14:00Z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{d0e65e8d-d89e-4b80-804d-9b2ba81ac5cb}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R20200056192</vt:lpwstr>
  </property>
  <property fmtid="{D5CDD505-2E9C-101B-9397-08002B2CF9AE}" pid="9" name="RecordPoint_SubmissionCompleted">
    <vt:lpwstr>2020-01-29T13:41:12.9986089+11:00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