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8" w:lineRule="auto"/>
      </w:pPr>
      <w:r>
        <w:rPr>
          <w:color w:val="E15205"/>
        </w:rPr>
        <w:t>Secondary Teaching Scholarships Guidelines</w:t>
      </w:r>
      <w:r>
        <w:rPr>
          <w:color w:val="E15205"/>
          <w:spacing w:val="-4"/>
        </w:rPr>
        <w:t> </w:t>
      </w:r>
      <w:r>
        <w:rPr>
          <w:color w:val="E15205"/>
        </w:rPr>
        <w:t>part 1</w:t>
      </w:r>
      <w:r>
        <w:rPr>
          <w:color w:val="E15205"/>
          <w:spacing w:val="-1"/>
        </w:rPr>
        <w:t> </w:t>
      </w:r>
      <w:r>
        <w:rPr>
          <w:color w:val="E15205"/>
        </w:rPr>
        <w:t>–</w:t>
      </w:r>
      <w:r>
        <w:rPr>
          <w:color w:val="E15205"/>
          <w:spacing w:val="-2"/>
        </w:rPr>
        <w:t> </w:t>
      </w:r>
      <w:r>
        <w:rPr>
          <w:color w:val="E15205"/>
        </w:rPr>
        <w:t>Study</w:t>
      </w:r>
      <w:r>
        <w:rPr>
          <w:color w:val="E15205"/>
          <w:spacing w:val="-1"/>
        </w:rPr>
        <w:t> </w:t>
      </w:r>
      <w:r>
        <w:rPr>
          <w:color w:val="E15205"/>
          <w:spacing w:val="-2"/>
        </w:rPr>
        <w:t>Component</w:t>
      </w:r>
    </w:p>
    <w:p>
      <w:pPr>
        <w:pStyle w:val="BodyText"/>
        <w:rPr>
          <w:b/>
          <w:sz w:val="5"/>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52154</wp:posOffset>
                </wp:positionV>
                <wp:extent cx="572579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25795" cy="6350"/>
                        </a:xfrm>
                        <a:custGeom>
                          <a:avLst/>
                          <a:gdLst/>
                          <a:ahLst/>
                          <a:cxnLst/>
                          <a:rect l="l" t="t" r="r" b="b"/>
                          <a:pathLst>
                            <a:path w="5725795" h="6350">
                              <a:moveTo>
                                <a:pt x="5725667" y="0"/>
                              </a:moveTo>
                              <a:lnTo>
                                <a:pt x="0" y="0"/>
                              </a:lnTo>
                              <a:lnTo>
                                <a:pt x="0" y="6108"/>
                              </a:lnTo>
                              <a:lnTo>
                                <a:pt x="5725667" y="6108"/>
                              </a:lnTo>
                              <a:lnTo>
                                <a:pt x="57256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4.106656pt;width:450.84pt;height:.481pt;mso-position-horizontal-relative:page;mso-position-vertical-relative:paragraph;z-index:-15728640;mso-wrap-distance-left:0;mso-wrap-distance-right:0" id="docshape4" filled="true" fillcolor="#000000" stroked="false">
                <v:fill type="solid"/>
                <w10:wrap type="topAndBottom"/>
              </v:rect>
            </w:pict>
          </mc:Fallback>
        </mc:AlternateContent>
      </w:r>
    </w:p>
    <w:p>
      <w:pPr>
        <w:spacing w:before="60"/>
        <w:ind w:left="228" w:right="0" w:firstLine="0"/>
        <w:jc w:val="both"/>
        <w:rPr>
          <w:b/>
          <w:sz w:val="24"/>
        </w:rPr>
      </w:pPr>
      <w:r>
        <w:rPr>
          <w:b/>
          <w:color w:val="205E99"/>
          <w:sz w:val="24"/>
        </w:rPr>
        <w:t>Supporting</w:t>
      </w:r>
      <w:r>
        <w:rPr>
          <w:b/>
          <w:color w:val="205E99"/>
          <w:spacing w:val="-6"/>
          <w:sz w:val="24"/>
        </w:rPr>
        <w:t> </w:t>
      </w:r>
      <w:r>
        <w:rPr>
          <w:b/>
          <w:color w:val="205E99"/>
          <w:sz w:val="24"/>
        </w:rPr>
        <w:t>Victorians</w:t>
      </w:r>
      <w:r>
        <w:rPr>
          <w:b/>
          <w:color w:val="205E99"/>
          <w:spacing w:val="-2"/>
          <w:sz w:val="24"/>
        </w:rPr>
        <w:t> </w:t>
      </w:r>
      <w:r>
        <w:rPr>
          <w:b/>
          <w:color w:val="205E99"/>
          <w:sz w:val="24"/>
        </w:rPr>
        <w:t>to</w:t>
      </w:r>
      <w:r>
        <w:rPr>
          <w:b/>
          <w:color w:val="205E99"/>
          <w:spacing w:val="-4"/>
          <w:sz w:val="24"/>
        </w:rPr>
        <w:t> </w:t>
      </w:r>
      <w:r>
        <w:rPr>
          <w:b/>
          <w:color w:val="205E99"/>
          <w:sz w:val="24"/>
        </w:rPr>
        <w:t>study</w:t>
      </w:r>
      <w:r>
        <w:rPr>
          <w:b/>
          <w:color w:val="205E99"/>
          <w:spacing w:val="-2"/>
          <w:sz w:val="24"/>
        </w:rPr>
        <w:t> </w:t>
      </w:r>
      <w:r>
        <w:rPr>
          <w:b/>
          <w:color w:val="205E99"/>
          <w:sz w:val="24"/>
        </w:rPr>
        <w:t>secondary</w:t>
      </w:r>
      <w:r>
        <w:rPr>
          <w:b/>
          <w:color w:val="205E99"/>
          <w:spacing w:val="-4"/>
          <w:sz w:val="24"/>
        </w:rPr>
        <w:t> </w:t>
      </w:r>
      <w:r>
        <w:rPr>
          <w:b/>
          <w:color w:val="205E99"/>
          <w:sz w:val="24"/>
        </w:rPr>
        <w:t>teaching</w:t>
      </w:r>
      <w:r>
        <w:rPr>
          <w:b/>
          <w:color w:val="205E99"/>
          <w:spacing w:val="-3"/>
          <w:sz w:val="24"/>
        </w:rPr>
        <w:t> </w:t>
      </w:r>
      <w:r>
        <w:rPr>
          <w:b/>
          <w:color w:val="205E99"/>
          <w:spacing w:val="-2"/>
          <w:sz w:val="24"/>
        </w:rPr>
        <w:t>degrees</w:t>
      </w:r>
    </w:p>
    <w:p>
      <w:pPr>
        <w:spacing w:before="120"/>
        <w:ind w:left="228" w:right="0" w:firstLine="0"/>
        <w:jc w:val="both"/>
        <w:rPr>
          <w:i/>
          <w:sz w:val="22"/>
        </w:rPr>
      </w:pPr>
      <w:r>
        <w:rPr>
          <w:i/>
          <w:sz w:val="22"/>
        </w:rPr>
        <w:t>March</w:t>
      </w:r>
      <w:r>
        <w:rPr>
          <w:i/>
          <w:spacing w:val="-3"/>
          <w:sz w:val="22"/>
        </w:rPr>
        <w:t> </w:t>
      </w:r>
      <w:r>
        <w:rPr>
          <w:i/>
          <w:spacing w:val="-4"/>
          <w:sz w:val="22"/>
        </w:rPr>
        <w:t>2024</w:t>
      </w:r>
    </w:p>
    <w:p>
      <w:pPr>
        <w:pStyle w:val="BodyText"/>
        <w:spacing w:line="276" w:lineRule="auto" w:before="121"/>
        <w:ind w:left="228" w:right="934"/>
        <w:jc w:val="both"/>
      </w:pPr>
      <w:r>
        <w:rPr/>
        <w:t>These guidelines are intended to support applicants for the Victorian Government’s Secondary Teaching Scholarships. The guidelines outline how the scholarships work, eligibility</w:t>
      </w:r>
      <w:r>
        <w:rPr>
          <w:spacing w:val="-5"/>
        </w:rPr>
        <w:t> </w:t>
      </w:r>
      <w:r>
        <w:rPr/>
        <w:t>criteria,</w:t>
      </w:r>
      <w:r>
        <w:rPr>
          <w:spacing w:val="-6"/>
        </w:rPr>
        <w:t> </w:t>
      </w:r>
      <w:r>
        <w:rPr/>
        <w:t>the</w:t>
      </w:r>
      <w:r>
        <w:rPr>
          <w:spacing w:val="-7"/>
        </w:rPr>
        <w:t> </w:t>
      </w:r>
      <w:r>
        <w:rPr/>
        <w:t>application</w:t>
      </w:r>
      <w:r>
        <w:rPr>
          <w:spacing w:val="-5"/>
        </w:rPr>
        <w:t> </w:t>
      </w:r>
      <w:r>
        <w:rPr/>
        <w:t>and</w:t>
      </w:r>
      <w:r>
        <w:rPr>
          <w:spacing w:val="-7"/>
        </w:rPr>
        <w:t> </w:t>
      </w:r>
      <w:r>
        <w:rPr/>
        <w:t>payment</w:t>
      </w:r>
      <w:r>
        <w:rPr>
          <w:spacing w:val="-6"/>
        </w:rPr>
        <w:t> </w:t>
      </w:r>
      <w:r>
        <w:rPr/>
        <w:t>process,</w:t>
      </w:r>
      <w:r>
        <w:rPr>
          <w:spacing w:val="-6"/>
        </w:rPr>
        <w:t> </w:t>
      </w:r>
      <w:r>
        <w:rPr/>
        <w:t>terms</w:t>
      </w:r>
      <w:r>
        <w:rPr>
          <w:spacing w:val="-7"/>
        </w:rPr>
        <w:t> </w:t>
      </w:r>
      <w:r>
        <w:rPr/>
        <w:t>and</w:t>
      </w:r>
      <w:r>
        <w:rPr>
          <w:spacing w:val="-7"/>
        </w:rPr>
        <w:t> </w:t>
      </w:r>
      <w:r>
        <w:rPr/>
        <w:t>conditions,</w:t>
      </w:r>
      <w:r>
        <w:rPr>
          <w:spacing w:val="-6"/>
        </w:rPr>
        <w:t> </w:t>
      </w:r>
      <w:r>
        <w:rPr/>
        <w:t>and</w:t>
      </w:r>
      <w:r>
        <w:rPr>
          <w:spacing w:val="-7"/>
        </w:rPr>
        <w:t> </w:t>
      </w:r>
      <w:r>
        <w:rPr/>
        <w:t>a</w:t>
      </w:r>
      <w:r>
        <w:rPr>
          <w:spacing w:val="-7"/>
        </w:rPr>
        <w:t> </w:t>
      </w:r>
      <w:r>
        <w:rPr/>
        <w:t>privacy </w:t>
      </w:r>
      <w:r>
        <w:rPr>
          <w:spacing w:val="-2"/>
        </w:rPr>
        <w:t>statement.</w:t>
      </w:r>
    </w:p>
    <w:p>
      <w:pPr>
        <w:pStyle w:val="BodyText"/>
        <w:spacing w:before="4"/>
        <w:rPr>
          <w:sz w:val="8"/>
        </w:rPr>
      </w:pPr>
      <w:r>
        <w:rPr/>
        <mc:AlternateContent>
          <mc:Choice Requires="wps">
            <w:drawing>
              <wp:anchor distT="0" distB="0" distL="0" distR="0" allowOverlap="1" layoutInCell="1" locked="0" behindDoc="1" simplePos="0" relativeHeight="487588352">
                <wp:simplePos x="0" y="0"/>
                <wp:positionH relativeFrom="page">
                  <wp:posOffset>905255</wp:posOffset>
                </wp:positionH>
                <wp:positionV relativeFrom="paragraph">
                  <wp:posOffset>76659</wp:posOffset>
                </wp:positionV>
                <wp:extent cx="573532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735320" cy="6350"/>
                        </a:xfrm>
                        <a:custGeom>
                          <a:avLst/>
                          <a:gdLst/>
                          <a:ahLst/>
                          <a:cxnLst/>
                          <a:rect l="l" t="t" r="r" b="b"/>
                          <a:pathLst>
                            <a:path w="5735320" h="6350">
                              <a:moveTo>
                                <a:pt x="5734812" y="0"/>
                              </a:moveTo>
                              <a:lnTo>
                                <a:pt x="0" y="0"/>
                              </a:lnTo>
                              <a:lnTo>
                                <a:pt x="0" y="6108"/>
                              </a:lnTo>
                              <a:lnTo>
                                <a:pt x="5734812" y="6108"/>
                              </a:lnTo>
                              <a:lnTo>
                                <a:pt x="57348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279999pt;margin-top:6.036188pt;width:451.56pt;height:.481pt;mso-position-horizontal-relative:page;mso-position-vertical-relative:paragraph;z-index:-15728128;mso-wrap-distance-left:0;mso-wrap-distance-right:0" id="docshape5" filled="true" fillcolor="#000000" stroked="false">
                <v:fill type="solid"/>
                <w10:wrap type="topAndBottom"/>
              </v:rect>
            </w:pict>
          </mc:Fallback>
        </mc:AlternateContent>
      </w:r>
    </w:p>
    <w:p>
      <w:pPr>
        <w:pStyle w:val="Heading1"/>
        <w:numPr>
          <w:ilvl w:val="0"/>
          <w:numId w:val="1"/>
        </w:numPr>
        <w:tabs>
          <w:tab w:pos="479" w:val="left" w:leader="none"/>
        </w:tabs>
        <w:spacing w:line="240" w:lineRule="auto" w:before="362" w:after="0"/>
        <w:ind w:left="479" w:right="0" w:hanging="359"/>
        <w:jc w:val="left"/>
      </w:pPr>
      <w:bookmarkStart w:name="1. About STS" w:id="1"/>
      <w:bookmarkEnd w:id="1"/>
      <w:r>
        <w:rPr>
          <w:b w:val="0"/>
        </w:rPr>
      </w:r>
      <w:r>
        <w:rPr>
          <w:color w:val="205E99"/>
        </w:rPr>
        <w:t>About</w:t>
      </w:r>
      <w:r>
        <w:rPr>
          <w:color w:val="205E99"/>
          <w:spacing w:val="-13"/>
        </w:rPr>
        <w:t> </w:t>
      </w:r>
      <w:r>
        <w:rPr>
          <w:color w:val="205E99"/>
          <w:spacing w:val="-5"/>
        </w:rPr>
        <w:t>STS</w:t>
      </w:r>
    </w:p>
    <w:p>
      <w:pPr>
        <w:pStyle w:val="Heading2"/>
        <w:numPr>
          <w:ilvl w:val="1"/>
          <w:numId w:val="1"/>
        </w:numPr>
        <w:tabs>
          <w:tab w:pos="910" w:val="left" w:leader="none"/>
        </w:tabs>
        <w:spacing w:line="240" w:lineRule="auto" w:before="213" w:after="0"/>
        <w:ind w:left="910" w:right="0" w:hanging="430"/>
        <w:jc w:val="both"/>
      </w:pPr>
      <w:bookmarkStart w:name="1.1. Background &amp; Funding Purpose" w:id="2"/>
      <w:bookmarkEnd w:id="2"/>
      <w:r>
        <w:rPr>
          <w:b w:val="0"/>
        </w:rPr>
      </w:r>
      <w:r>
        <w:rPr/>
        <w:t>Background</w:t>
      </w:r>
      <w:r>
        <w:rPr>
          <w:spacing w:val="-6"/>
        </w:rPr>
        <w:t> </w:t>
      </w:r>
      <w:r>
        <w:rPr/>
        <w:t>&amp;</w:t>
      </w:r>
      <w:r>
        <w:rPr>
          <w:spacing w:val="-5"/>
        </w:rPr>
        <w:t> </w:t>
      </w:r>
      <w:r>
        <w:rPr/>
        <w:t>Funding</w:t>
      </w:r>
      <w:r>
        <w:rPr>
          <w:spacing w:val="-6"/>
        </w:rPr>
        <w:t> </w:t>
      </w:r>
      <w:r>
        <w:rPr>
          <w:spacing w:val="-2"/>
        </w:rPr>
        <w:t>Purpose</w:t>
      </w:r>
    </w:p>
    <w:p>
      <w:pPr>
        <w:pStyle w:val="BodyText"/>
        <w:spacing w:line="276" w:lineRule="auto" w:before="121"/>
        <w:ind w:left="839" w:right="814"/>
        <w:jc w:val="both"/>
      </w:pPr>
      <w:r>
        <w:rPr/>
        <w:t>The</w:t>
      </w:r>
      <w:r>
        <w:rPr>
          <w:spacing w:val="-3"/>
        </w:rPr>
        <w:t> </w:t>
      </w:r>
      <w:r>
        <w:rPr/>
        <w:t>Victorian</w:t>
      </w:r>
      <w:r>
        <w:rPr>
          <w:spacing w:val="-5"/>
        </w:rPr>
        <w:t> </w:t>
      </w:r>
      <w:r>
        <w:rPr/>
        <w:t>Government’s</w:t>
      </w:r>
      <w:r>
        <w:rPr>
          <w:spacing w:val="-2"/>
        </w:rPr>
        <w:t> </w:t>
      </w:r>
      <w:r>
        <w:rPr/>
        <w:t>Secondary</w:t>
      </w:r>
      <w:r>
        <w:rPr>
          <w:spacing w:val="-5"/>
        </w:rPr>
        <w:t> </w:t>
      </w:r>
      <w:r>
        <w:rPr/>
        <w:t>Teaching</w:t>
      </w:r>
      <w:r>
        <w:rPr>
          <w:spacing w:val="-5"/>
        </w:rPr>
        <w:t> </w:t>
      </w:r>
      <w:r>
        <w:rPr/>
        <w:t>Scholarships</w:t>
      </w:r>
      <w:r>
        <w:rPr>
          <w:spacing w:val="-7"/>
        </w:rPr>
        <w:t> </w:t>
      </w:r>
      <w:r>
        <w:rPr/>
        <w:t>(STS)</w:t>
      </w:r>
      <w:r>
        <w:rPr>
          <w:spacing w:val="-4"/>
        </w:rPr>
        <w:t> </w:t>
      </w:r>
      <w:r>
        <w:rPr/>
        <w:t>are</w:t>
      </w:r>
      <w:r>
        <w:rPr>
          <w:spacing w:val="-7"/>
        </w:rPr>
        <w:t> </w:t>
      </w:r>
      <w:r>
        <w:rPr/>
        <w:t>available</w:t>
      </w:r>
      <w:r>
        <w:rPr>
          <w:spacing w:val="-3"/>
        </w:rPr>
        <w:t> </w:t>
      </w:r>
      <w:r>
        <w:rPr/>
        <w:t>to students residing in Victoria or designated border communities who are enrolling for the first time in secondary school teaching degrees in 2024 and 2025 (including Bachelor (P-12)</w:t>
      </w:r>
      <w:r>
        <w:rPr>
          <w:spacing w:val="-2"/>
        </w:rPr>
        <w:t> </w:t>
      </w:r>
      <w:r>
        <w:rPr/>
        <w:t>and</w:t>
      </w:r>
      <w:r>
        <w:rPr>
          <w:spacing w:val="-4"/>
        </w:rPr>
        <w:t> </w:t>
      </w:r>
      <w:r>
        <w:rPr/>
        <w:t>Primary-Secondary</w:t>
      </w:r>
      <w:r>
        <w:rPr>
          <w:spacing w:val="-3"/>
        </w:rPr>
        <w:t> </w:t>
      </w:r>
      <w:r>
        <w:rPr/>
        <w:t>degrees).</w:t>
      </w:r>
      <w:r>
        <w:rPr>
          <w:spacing w:val="-2"/>
        </w:rPr>
        <w:t> </w:t>
      </w:r>
      <w:r>
        <w:rPr/>
        <w:t>Further</w:t>
      </w:r>
      <w:r>
        <w:rPr>
          <w:spacing w:val="-2"/>
        </w:rPr>
        <w:t> </w:t>
      </w:r>
      <w:r>
        <w:rPr/>
        <w:t>payments</w:t>
      </w:r>
      <w:r>
        <w:rPr>
          <w:spacing w:val="-3"/>
        </w:rPr>
        <w:t> </w:t>
      </w:r>
      <w:r>
        <w:rPr/>
        <w:t>will be</w:t>
      </w:r>
      <w:r>
        <w:rPr>
          <w:spacing w:val="-4"/>
        </w:rPr>
        <w:t> </w:t>
      </w:r>
      <w:r>
        <w:rPr/>
        <w:t>available to students who then work in Victorian government secondary or specialist school settings within 15 months of completing the requirements of their teaching degree.</w:t>
      </w:r>
    </w:p>
    <w:p>
      <w:pPr>
        <w:pStyle w:val="BodyText"/>
        <w:spacing w:before="37"/>
      </w:pPr>
    </w:p>
    <w:p>
      <w:pPr>
        <w:pStyle w:val="BodyText"/>
        <w:spacing w:line="276" w:lineRule="auto"/>
        <w:ind w:left="839" w:right="815"/>
        <w:jc w:val="both"/>
      </w:pPr>
      <w:r>
        <w:rPr/>
        <w:t>STS are designed to assist with supporting secondary teaching degree students with the costs of studying and living. Lost income during professional placements and the cost</w:t>
      </w:r>
      <w:r>
        <w:rPr>
          <w:spacing w:val="-13"/>
        </w:rPr>
        <w:t> </w:t>
      </w:r>
      <w:r>
        <w:rPr/>
        <w:t>of</w:t>
      </w:r>
      <w:r>
        <w:rPr>
          <w:spacing w:val="-12"/>
        </w:rPr>
        <w:t> </w:t>
      </w:r>
      <w:r>
        <w:rPr/>
        <w:t>completing</w:t>
      </w:r>
      <w:r>
        <w:rPr>
          <w:spacing w:val="-14"/>
        </w:rPr>
        <w:t> </w:t>
      </w:r>
      <w:r>
        <w:rPr/>
        <w:t>study</w:t>
      </w:r>
      <w:r>
        <w:rPr>
          <w:spacing w:val="-16"/>
        </w:rPr>
        <w:t> </w:t>
      </w:r>
      <w:r>
        <w:rPr/>
        <w:t>can</w:t>
      </w:r>
      <w:r>
        <w:rPr>
          <w:spacing w:val="-13"/>
        </w:rPr>
        <w:t> </w:t>
      </w:r>
      <w:r>
        <w:rPr/>
        <w:t>be</w:t>
      </w:r>
      <w:r>
        <w:rPr>
          <w:spacing w:val="-14"/>
        </w:rPr>
        <w:t> </w:t>
      </w:r>
      <w:r>
        <w:rPr/>
        <w:t>barriers</w:t>
      </w:r>
      <w:r>
        <w:rPr>
          <w:spacing w:val="-13"/>
        </w:rPr>
        <w:t> </w:t>
      </w:r>
      <w:r>
        <w:rPr/>
        <w:t>to</w:t>
      </w:r>
      <w:r>
        <w:rPr>
          <w:spacing w:val="-16"/>
        </w:rPr>
        <w:t> </w:t>
      </w:r>
      <w:r>
        <w:rPr/>
        <w:t>prospective</w:t>
      </w:r>
      <w:r>
        <w:rPr>
          <w:spacing w:val="-13"/>
        </w:rPr>
        <w:t> </w:t>
      </w:r>
      <w:r>
        <w:rPr/>
        <w:t>students</w:t>
      </w:r>
      <w:r>
        <w:rPr>
          <w:spacing w:val="-13"/>
        </w:rPr>
        <w:t> </w:t>
      </w:r>
      <w:r>
        <w:rPr/>
        <w:t>choosing</w:t>
      </w:r>
      <w:r>
        <w:rPr>
          <w:spacing w:val="-14"/>
        </w:rPr>
        <w:t> </w:t>
      </w:r>
      <w:r>
        <w:rPr/>
        <w:t>to</w:t>
      </w:r>
      <w:r>
        <w:rPr>
          <w:spacing w:val="-14"/>
        </w:rPr>
        <w:t> </w:t>
      </w:r>
      <w:r>
        <w:rPr/>
        <w:t>undertake and completing a secondary teaching degree.</w:t>
      </w:r>
    </w:p>
    <w:p>
      <w:pPr>
        <w:pStyle w:val="Heading2"/>
        <w:numPr>
          <w:ilvl w:val="1"/>
          <w:numId w:val="1"/>
        </w:numPr>
        <w:tabs>
          <w:tab w:pos="1033" w:val="left" w:leader="none"/>
        </w:tabs>
        <w:spacing w:line="240" w:lineRule="auto" w:before="163" w:after="0"/>
        <w:ind w:left="1033" w:right="0" w:hanging="554"/>
        <w:jc w:val="both"/>
      </w:pPr>
      <w:bookmarkStart w:name="1.2.   How STS Works" w:id="3"/>
      <w:bookmarkEnd w:id="3"/>
      <w:r>
        <w:rPr>
          <w:b w:val="0"/>
        </w:rPr>
      </w:r>
      <w:r>
        <w:rPr/>
        <w:t>How</w:t>
      </w:r>
      <w:r>
        <w:rPr>
          <w:spacing w:val="-3"/>
        </w:rPr>
        <w:t> </w:t>
      </w:r>
      <w:r>
        <w:rPr/>
        <w:t>STS</w:t>
      </w:r>
      <w:r>
        <w:rPr>
          <w:spacing w:val="-5"/>
        </w:rPr>
        <w:t> </w:t>
      </w:r>
      <w:r>
        <w:rPr>
          <w:spacing w:val="-2"/>
        </w:rPr>
        <w:t>Works</w:t>
      </w:r>
    </w:p>
    <w:p>
      <w:pPr>
        <w:pStyle w:val="BodyText"/>
        <w:spacing w:line="276" w:lineRule="auto" w:before="160"/>
        <w:ind w:left="839" w:right="815" w:hanging="1"/>
        <w:jc w:val="both"/>
      </w:pPr>
      <w:r>
        <w:rPr/>
        <w:t>STS is open to individuals residing in Victoria or designated border communities, enrolling</w:t>
      </w:r>
      <w:r>
        <w:rPr>
          <w:spacing w:val="-5"/>
        </w:rPr>
        <w:t> </w:t>
      </w:r>
      <w:r>
        <w:rPr/>
        <w:t>for</w:t>
      </w:r>
      <w:r>
        <w:rPr>
          <w:spacing w:val="-4"/>
        </w:rPr>
        <w:t> </w:t>
      </w:r>
      <w:r>
        <w:rPr/>
        <w:t>the</w:t>
      </w:r>
      <w:r>
        <w:rPr>
          <w:spacing w:val="-8"/>
        </w:rPr>
        <w:t> </w:t>
      </w:r>
      <w:r>
        <w:rPr/>
        <w:t>first</w:t>
      </w:r>
      <w:r>
        <w:rPr>
          <w:spacing w:val="-6"/>
        </w:rPr>
        <w:t> </w:t>
      </w:r>
      <w:r>
        <w:rPr/>
        <w:t>time</w:t>
      </w:r>
      <w:r>
        <w:rPr>
          <w:spacing w:val="-8"/>
        </w:rPr>
        <w:t> </w:t>
      </w:r>
      <w:r>
        <w:rPr/>
        <w:t>in</w:t>
      </w:r>
      <w:r>
        <w:rPr>
          <w:spacing w:val="-5"/>
        </w:rPr>
        <w:t> </w:t>
      </w:r>
      <w:r>
        <w:rPr/>
        <w:t>a</w:t>
      </w:r>
      <w:r>
        <w:rPr>
          <w:spacing w:val="-5"/>
        </w:rPr>
        <w:t> </w:t>
      </w:r>
      <w:r>
        <w:rPr/>
        <w:t>secondary</w:t>
      </w:r>
      <w:hyperlink w:history="true" w:anchor="_bookmark0">
        <w:r>
          <w:rPr>
            <w:vertAlign w:val="superscript"/>
          </w:rPr>
          <w:t>1</w:t>
        </w:r>
      </w:hyperlink>
      <w:r>
        <w:rPr>
          <w:spacing w:val="-1"/>
          <w:vertAlign w:val="baseline"/>
        </w:rPr>
        <w:t> </w:t>
      </w:r>
      <w:r>
        <w:rPr>
          <w:vertAlign w:val="baseline"/>
        </w:rPr>
        <w:t>school</w:t>
      </w:r>
      <w:r>
        <w:rPr>
          <w:spacing w:val="-6"/>
          <w:vertAlign w:val="baseline"/>
        </w:rPr>
        <w:t> </w:t>
      </w:r>
      <w:r>
        <w:rPr>
          <w:vertAlign w:val="baseline"/>
        </w:rPr>
        <w:t>initial</w:t>
      </w:r>
      <w:r>
        <w:rPr>
          <w:spacing w:val="-6"/>
          <w:vertAlign w:val="baseline"/>
        </w:rPr>
        <w:t> </w:t>
      </w:r>
      <w:r>
        <w:rPr>
          <w:vertAlign w:val="baseline"/>
        </w:rPr>
        <w:t>teacher</w:t>
      </w:r>
      <w:r>
        <w:rPr>
          <w:spacing w:val="-4"/>
          <w:vertAlign w:val="baseline"/>
        </w:rPr>
        <w:t> </w:t>
      </w:r>
      <w:r>
        <w:rPr>
          <w:vertAlign w:val="baseline"/>
        </w:rPr>
        <w:t>education</w:t>
      </w:r>
      <w:r>
        <w:rPr>
          <w:spacing w:val="-8"/>
          <w:vertAlign w:val="baseline"/>
        </w:rPr>
        <w:t> </w:t>
      </w:r>
      <w:r>
        <w:rPr>
          <w:vertAlign w:val="baseline"/>
        </w:rPr>
        <w:t>(ITE)</w:t>
      </w:r>
      <w:r>
        <w:rPr>
          <w:spacing w:val="-4"/>
          <w:vertAlign w:val="baseline"/>
        </w:rPr>
        <w:t> </w:t>
      </w:r>
      <w:r>
        <w:rPr>
          <w:vertAlign w:val="baseline"/>
        </w:rPr>
        <w:t>degree in 2024 or 2025</w:t>
      </w:r>
      <w:hyperlink w:history="true" w:anchor="_bookmark1">
        <w:r>
          <w:rPr>
            <w:vertAlign w:val="superscript"/>
          </w:rPr>
          <w:t>2</w:t>
        </w:r>
      </w:hyperlink>
      <w:r>
        <w:rPr>
          <w:spacing w:val="-1"/>
          <w:vertAlign w:val="baseline"/>
        </w:rPr>
        <w:t> </w:t>
      </w:r>
      <w:r>
        <w:rPr>
          <w:vertAlign w:val="baseline"/>
        </w:rPr>
        <w:t>that is accredited by the Victorian Institute of Teaching (VIT), or an equivalent Australian state or</w:t>
      </w:r>
      <w:r>
        <w:rPr>
          <w:spacing w:val="-1"/>
          <w:vertAlign w:val="baseline"/>
        </w:rPr>
        <w:t> </w:t>
      </w:r>
      <w:r>
        <w:rPr>
          <w:vertAlign w:val="baseline"/>
        </w:rPr>
        <w:t>territory</w:t>
      </w:r>
      <w:r>
        <w:rPr>
          <w:spacing w:val="-1"/>
          <w:vertAlign w:val="baseline"/>
        </w:rPr>
        <w:t> </w:t>
      </w:r>
      <w:r>
        <w:rPr>
          <w:vertAlign w:val="baseline"/>
        </w:rPr>
        <w:t>regulatory</w:t>
      </w:r>
      <w:r>
        <w:rPr>
          <w:spacing w:val="-4"/>
          <w:vertAlign w:val="baseline"/>
        </w:rPr>
        <w:t> </w:t>
      </w:r>
      <w:r>
        <w:rPr>
          <w:vertAlign w:val="baseline"/>
        </w:rPr>
        <w:t>authority</w:t>
      </w:r>
      <w:r>
        <w:rPr>
          <w:spacing w:val="-2"/>
          <w:vertAlign w:val="baseline"/>
        </w:rPr>
        <w:t> </w:t>
      </w:r>
      <w:r>
        <w:rPr>
          <w:vertAlign w:val="baseline"/>
        </w:rPr>
        <w:t>and</w:t>
      </w:r>
      <w:r>
        <w:rPr>
          <w:spacing w:val="-2"/>
          <w:vertAlign w:val="baseline"/>
        </w:rPr>
        <w:t> </w:t>
      </w:r>
      <w:r>
        <w:rPr>
          <w:vertAlign w:val="baseline"/>
        </w:rPr>
        <w:t>recognised</w:t>
      </w:r>
      <w:r>
        <w:rPr>
          <w:spacing w:val="-2"/>
          <w:vertAlign w:val="baseline"/>
        </w:rPr>
        <w:t> </w:t>
      </w:r>
      <w:r>
        <w:rPr>
          <w:vertAlign w:val="baseline"/>
        </w:rPr>
        <w:t>by</w:t>
      </w:r>
      <w:r>
        <w:rPr>
          <w:spacing w:val="-2"/>
          <w:vertAlign w:val="baseline"/>
        </w:rPr>
        <w:t> </w:t>
      </w:r>
      <w:r>
        <w:rPr>
          <w:vertAlign w:val="baseline"/>
        </w:rPr>
        <w:t>the VIT.</w:t>
      </w:r>
    </w:p>
    <w:p>
      <w:pPr>
        <w:pStyle w:val="BodyText"/>
        <w:spacing w:line="276" w:lineRule="auto" w:before="118"/>
        <w:ind w:left="840" w:right="816"/>
        <w:jc w:val="both"/>
      </w:pPr>
      <w:r>
        <w:rPr/>
        <w:t>VIT-accredited ITE degrees are listed at: </w:t>
      </w:r>
      <w:hyperlink r:id="rId7">
        <w:r>
          <w:rPr>
            <w:color w:val="467885"/>
            <w:u w:val="single" w:color="467885"/>
          </w:rPr>
          <w:t>https://www.vit.vic.edu.au/providers/new-</w:t>
        </w:r>
      </w:hyperlink>
      <w:r>
        <w:rPr>
          <w:color w:val="467885"/>
          <w:u w:val="none"/>
        </w:rPr>
        <w:t> </w:t>
      </w:r>
      <w:hyperlink r:id="rId7">
        <w:r>
          <w:rPr>
            <w:color w:val="467885"/>
            <w:u w:val="single" w:color="467885"/>
          </w:rPr>
          <w:t>teacher-ed</w:t>
        </w:r>
      </w:hyperlink>
      <w:r>
        <w:rPr>
          <w:u w:val="none"/>
        </w:rPr>
        <w:t>. This webpage also contains a link to the Australian Institute of Teaching and</w:t>
      </w:r>
      <w:r>
        <w:rPr>
          <w:spacing w:val="-3"/>
          <w:u w:val="none"/>
        </w:rPr>
        <w:t> </w:t>
      </w:r>
      <w:r>
        <w:rPr>
          <w:u w:val="none"/>
        </w:rPr>
        <w:t>School</w:t>
      </w:r>
      <w:r>
        <w:rPr>
          <w:spacing w:val="-3"/>
          <w:u w:val="none"/>
        </w:rPr>
        <w:t> </w:t>
      </w:r>
      <w:r>
        <w:rPr>
          <w:u w:val="none"/>
        </w:rPr>
        <w:t>Leadership’s</w:t>
      </w:r>
      <w:r>
        <w:rPr>
          <w:spacing w:val="-5"/>
          <w:u w:val="none"/>
        </w:rPr>
        <w:t> </w:t>
      </w:r>
      <w:r>
        <w:rPr>
          <w:u w:val="none"/>
        </w:rPr>
        <w:t>(AITSL’s)</w:t>
      </w:r>
      <w:r>
        <w:rPr>
          <w:spacing w:val="-4"/>
          <w:u w:val="none"/>
        </w:rPr>
        <w:t> </w:t>
      </w:r>
      <w:r>
        <w:rPr>
          <w:u w:val="none"/>
        </w:rPr>
        <w:t>list</w:t>
      </w:r>
      <w:r>
        <w:rPr>
          <w:spacing w:val="-1"/>
          <w:u w:val="none"/>
        </w:rPr>
        <w:t> </w:t>
      </w:r>
      <w:r>
        <w:rPr>
          <w:u w:val="none"/>
        </w:rPr>
        <w:t>of</w:t>
      </w:r>
      <w:r>
        <w:rPr>
          <w:spacing w:val="-1"/>
          <w:u w:val="none"/>
        </w:rPr>
        <w:t> </w:t>
      </w:r>
      <w:r>
        <w:rPr>
          <w:u w:val="none"/>
        </w:rPr>
        <w:t>degrees</w:t>
      </w:r>
      <w:r>
        <w:rPr>
          <w:spacing w:val="-5"/>
          <w:u w:val="none"/>
        </w:rPr>
        <w:t> </w:t>
      </w:r>
      <w:r>
        <w:rPr>
          <w:u w:val="none"/>
        </w:rPr>
        <w:t>accredited</w:t>
      </w:r>
      <w:r>
        <w:rPr>
          <w:spacing w:val="-5"/>
          <w:u w:val="none"/>
        </w:rPr>
        <w:t> </w:t>
      </w:r>
      <w:r>
        <w:rPr>
          <w:u w:val="none"/>
        </w:rPr>
        <w:t>by</w:t>
      </w:r>
      <w:r>
        <w:rPr>
          <w:spacing w:val="-5"/>
          <w:u w:val="none"/>
        </w:rPr>
        <w:t> </w:t>
      </w:r>
      <w:r>
        <w:rPr>
          <w:u w:val="none"/>
        </w:rPr>
        <w:t>regulatory</w:t>
      </w:r>
      <w:r>
        <w:rPr>
          <w:spacing w:val="-5"/>
          <w:u w:val="none"/>
        </w:rPr>
        <w:t> </w:t>
      </w:r>
      <w:r>
        <w:rPr>
          <w:u w:val="none"/>
        </w:rPr>
        <w:t>authorities in other Australian jurisdictions.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6"/>
        <w:rPr>
          <w:sz w:val="20"/>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190575</wp:posOffset>
                </wp:positionV>
                <wp:extent cx="1828800"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5.005928pt;width:144pt;height:.6pt;mso-position-horizontal-relative:page;mso-position-vertical-relative:paragraph;z-index:-15727616;mso-wrap-distance-left:0;mso-wrap-distance-right:0" id="docshape6" filled="true" fillcolor="#000000" stroked="false">
                <v:fill type="solid"/>
                <w10:wrap type="topAndBottom"/>
              </v:rect>
            </w:pict>
          </mc:Fallback>
        </mc:AlternateContent>
      </w:r>
    </w:p>
    <w:p>
      <w:pPr>
        <w:spacing w:before="137"/>
        <w:ind w:left="120" w:right="0" w:firstLine="0"/>
        <w:jc w:val="left"/>
        <w:rPr>
          <w:sz w:val="18"/>
        </w:rPr>
      </w:pPr>
      <w:bookmarkStart w:name="_bookmark0" w:id="4"/>
      <w:bookmarkEnd w:id="4"/>
      <w:r>
        <w:rPr/>
      </w:r>
      <w:r>
        <w:rPr>
          <w:position w:val="6"/>
          <w:sz w:val="12"/>
        </w:rPr>
        <w:t>1</w:t>
      </w:r>
      <w:r>
        <w:rPr>
          <w:spacing w:val="13"/>
          <w:position w:val="6"/>
          <w:sz w:val="12"/>
        </w:rPr>
        <w:t> </w:t>
      </w:r>
      <w:r>
        <w:rPr>
          <w:sz w:val="18"/>
        </w:rPr>
        <w:t>Including</w:t>
      </w:r>
      <w:r>
        <w:rPr>
          <w:spacing w:val="-4"/>
          <w:sz w:val="18"/>
        </w:rPr>
        <w:t> </w:t>
      </w:r>
      <w:r>
        <w:rPr>
          <w:sz w:val="18"/>
        </w:rPr>
        <w:t>dual</w:t>
      </w:r>
      <w:r>
        <w:rPr>
          <w:spacing w:val="-5"/>
          <w:sz w:val="18"/>
        </w:rPr>
        <w:t> </w:t>
      </w:r>
      <w:r>
        <w:rPr>
          <w:sz w:val="18"/>
        </w:rPr>
        <w:t>qualification</w:t>
      </w:r>
      <w:r>
        <w:rPr>
          <w:spacing w:val="-3"/>
          <w:sz w:val="18"/>
        </w:rPr>
        <w:t> </w:t>
      </w:r>
      <w:r>
        <w:rPr>
          <w:sz w:val="18"/>
        </w:rPr>
        <w:t>(primary-secondary)</w:t>
      </w:r>
      <w:r>
        <w:rPr>
          <w:spacing w:val="-3"/>
          <w:sz w:val="18"/>
        </w:rPr>
        <w:t> </w:t>
      </w:r>
      <w:r>
        <w:rPr>
          <w:sz w:val="18"/>
        </w:rPr>
        <w:t>and</w:t>
      </w:r>
      <w:r>
        <w:rPr>
          <w:spacing w:val="-3"/>
          <w:sz w:val="18"/>
        </w:rPr>
        <w:t> </w:t>
      </w:r>
      <w:r>
        <w:rPr>
          <w:sz w:val="18"/>
        </w:rPr>
        <w:t>Bachelor</w:t>
      </w:r>
      <w:r>
        <w:rPr>
          <w:spacing w:val="-4"/>
          <w:sz w:val="18"/>
        </w:rPr>
        <w:t> </w:t>
      </w:r>
      <w:r>
        <w:rPr>
          <w:sz w:val="18"/>
        </w:rPr>
        <w:t>of</w:t>
      </w:r>
      <w:r>
        <w:rPr>
          <w:spacing w:val="-3"/>
          <w:sz w:val="18"/>
        </w:rPr>
        <w:t> </w:t>
      </w:r>
      <w:r>
        <w:rPr>
          <w:sz w:val="18"/>
        </w:rPr>
        <w:t>Education</w:t>
      </w:r>
      <w:r>
        <w:rPr>
          <w:spacing w:val="-4"/>
          <w:sz w:val="18"/>
        </w:rPr>
        <w:t> </w:t>
      </w:r>
      <w:r>
        <w:rPr>
          <w:sz w:val="18"/>
        </w:rPr>
        <w:t>(P-12)</w:t>
      </w:r>
      <w:r>
        <w:rPr>
          <w:spacing w:val="-3"/>
          <w:sz w:val="18"/>
        </w:rPr>
        <w:t> </w:t>
      </w:r>
      <w:r>
        <w:rPr>
          <w:spacing w:val="-2"/>
          <w:sz w:val="18"/>
        </w:rPr>
        <w:t>degrees</w:t>
      </w:r>
    </w:p>
    <w:p>
      <w:pPr>
        <w:spacing w:line="285" w:lineRule="auto" w:before="49"/>
        <w:ind w:left="120" w:right="890" w:hanging="1"/>
        <w:jc w:val="left"/>
        <w:rPr>
          <w:sz w:val="18"/>
        </w:rPr>
      </w:pPr>
      <w:bookmarkStart w:name="_bookmark1" w:id="5"/>
      <w:bookmarkEnd w:id="5"/>
      <w:r>
        <w:rPr/>
      </w:r>
      <w:r>
        <w:rPr>
          <w:rFonts w:ascii="Calibri" w:hAnsi="Calibri"/>
          <w:sz w:val="18"/>
          <w:vertAlign w:val="superscript"/>
        </w:rPr>
        <w:t>2</w:t>
      </w:r>
      <w:r>
        <w:rPr>
          <w:rFonts w:ascii="Calibri" w:hAnsi="Calibri"/>
          <w:sz w:val="18"/>
          <w:vertAlign w:val="baseline"/>
        </w:rPr>
        <w:t> </w:t>
      </w:r>
      <w:r>
        <w:rPr>
          <w:sz w:val="18"/>
          <w:vertAlign w:val="baseline"/>
        </w:rPr>
        <w:t>The date of an ITE degree’s commencement is determined by the degree’s census date. This date in the applicant’s</w:t>
      </w:r>
      <w:r>
        <w:rPr>
          <w:spacing w:val="-1"/>
          <w:sz w:val="18"/>
          <w:vertAlign w:val="baseline"/>
        </w:rPr>
        <w:t> </w:t>
      </w:r>
      <w:r>
        <w:rPr>
          <w:sz w:val="18"/>
          <w:vertAlign w:val="baseline"/>
        </w:rPr>
        <w:t>year</w:t>
      </w:r>
      <w:r>
        <w:rPr>
          <w:spacing w:val="-2"/>
          <w:sz w:val="18"/>
          <w:vertAlign w:val="baseline"/>
        </w:rPr>
        <w:t> </w:t>
      </w:r>
      <w:r>
        <w:rPr>
          <w:sz w:val="18"/>
          <w:vertAlign w:val="baseline"/>
        </w:rPr>
        <w:t>of</w:t>
      </w:r>
      <w:r>
        <w:rPr>
          <w:spacing w:val="-4"/>
          <w:sz w:val="18"/>
          <w:vertAlign w:val="baseline"/>
        </w:rPr>
        <w:t> </w:t>
      </w:r>
      <w:r>
        <w:rPr>
          <w:sz w:val="18"/>
          <w:vertAlign w:val="baseline"/>
        </w:rPr>
        <w:t>enrolment</w:t>
      </w:r>
      <w:r>
        <w:rPr>
          <w:spacing w:val="-4"/>
          <w:sz w:val="18"/>
          <w:vertAlign w:val="baseline"/>
        </w:rPr>
        <w:t> </w:t>
      </w:r>
      <w:r>
        <w:rPr>
          <w:sz w:val="18"/>
          <w:vertAlign w:val="baseline"/>
        </w:rPr>
        <w:t>must</w:t>
      </w:r>
      <w:r>
        <w:rPr>
          <w:spacing w:val="-4"/>
          <w:sz w:val="18"/>
          <w:vertAlign w:val="baseline"/>
        </w:rPr>
        <w:t> </w:t>
      </w:r>
      <w:r>
        <w:rPr>
          <w:sz w:val="18"/>
          <w:vertAlign w:val="baseline"/>
        </w:rPr>
        <w:t>be</w:t>
      </w:r>
      <w:r>
        <w:rPr>
          <w:spacing w:val="-4"/>
          <w:sz w:val="18"/>
          <w:vertAlign w:val="baseline"/>
        </w:rPr>
        <w:t> </w:t>
      </w:r>
      <w:r>
        <w:rPr>
          <w:sz w:val="18"/>
          <w:vertAlign w:val="baseline"/>
        </w:rPr>
        <w:t>between</w:t>
      </w:r>
      <w:r>
        <w:rPr>
          <w:spacing w:val="-1"/>
          <w:sz w:val="18"/>
          <w:vertAlign w:val="baseline"/>
        </w:rPr>
        <w:t> </w:t>
      </w:r>
      <w:r>
        <w:rPr>
          <w:sz w:val="18"/>
          <w:vertAlign w:val="baseline"/>
        </w:rPr>
        <w:t>1</w:t>
      </w:r>
      <w:r>
        <w:rPr>
          <w:spacing w:val="-4"/>
          <w:sz w:val="18"/>
          <w:vertAlign w:val="baseline"/>
        </w:rPr>
        <w:t> </w:t>
      </w:r>
      <w:r>
        <w:rPr>
          <w:sz w:val="18"/>
          <w:vertAlign w:val="baseline"/>
        </w:rPr>
        <w:t>January</w:t>
      </w:r>
      <w:r>
        <w:rPr>
          <w:spacing w:val="-1"/>
          <w:sz w:val="18"/>
          <w:vertAlign w:val="baseline"/>
        </w:rPr>
        <w:t> </w:t>
      </w:r>
      <w:r>
        <w:rPr>
          <w:sz w:val="18"/>
          <w:vertAlign w:val="baseline"/>
        </w:rPr>
        <w:t>2024</w:t>
      </w:r>
      <w:r>
        <w:rPr>
          <w:spacing w:val="-1"/>
          <w:sz w:val="18"/>
          <w:vertAlign w:val="baseline"/>
        </w:rPr>
        <w:t> </w:t>
      </w:r>
      <w:r>
        <w:rPr>
          <w:sz w:val="18"/>
          <w:vertAlign w:val="baseline"/>
        </w:rPr>
        <w:t>and</w:t>
      </w:r>
      <w:r>
        <w:rPr>
          <w:spacing w:val="-1"/>
          <w:sz w:val="18"/>
          <w:vertAlign w:val="baseline"/>
        </w:rPr>
        <w:t> </w:t>
      </w:r>
      <w:r>
        <w:rPr>
          <w:sz w:val="18"/>
          <w:vertAlign w:val="baseline"/>
        </w:rPr>
        <w:t>31</w:t>
      </w:r>
      <w:r>
        <w:rPr>
          <w:spacing w:val="-1"/>
          <w:sz w:val="18"/>
          <w:vertAlign w:val="baseline"/>
        </w:rPr>
        <w:t> </w:t>
      </w:r>
      <w:r>
        <w:rPr>
          <w:sz w:val="18"/>
          <w:vertAlign w:val="baseline"/>
        </w:rPr>
        <w:t>December</w:t>
      </w:r>
      <w:r>
        <w:rPr>
          <w:spacing w:val="-2"/>
          <w:sz w:val="18"/>
          <w:vertAlign w:val="baseline"/>
        </w:rPr>
        <w:t> </w:t>
      </w:r>
      <w:r>
        <w:rPr>
          <w:sz w:val="18"/>
          <w:vertAlign w:val="baseline"/>
        </w:rPr>
        <w:t>2025</w:t>
      </w:r>
      <w:r>
        <w:rPr>
          <w:spacing w:val="-1"/>
          <w:sz w:val="18"/>
          <w:vertAlign w:val="baseline"/>
        </w:rPr>
        <w:t> </w:t>
      </w:r>
      <w:r>
        <w:rPr>
          <w:sz w:val="18"/>
          <w:vertAlign w:val="baseline"/>
        </w:rPr>
        <w:t>for</w:t>
      </w:r>
      <w:r>
        <w:rPr>
          <w:spacing w:val="-2"/>
          <w:sz w:val="18"/>
          <w:vertAlign w:val="baseline"/>
        </w:rPr>
        <w:t> </w:t>
      </w:r>
      <w:r>
        <w:rPr>
          <w:sz w:val="18"/>
          <w:vertAlign w:val="baseline"/>
        </w:rPr>
        <w:t>the</w:t>
      </w:r>
      <w:r>
        <w:rPr>
          <w:spacing w:val="-1"/>
          <w:sz w:val="18"/>
          <w:vertAlign w:val="baseline"/>
        </w:rPr>
        <w:t> </w:t>
      </w:r>
      <w:r>
        <w:rPr>
          <w:sz w:val="18"/>
          <w:vertAlign w:val="baseline"/>
        </w:rPr>
        <w:t>applicant</w:t>
      </w:r>
      <w:r>
        <w:rPr>
          <w:spacing w:val="-2"/>
          <w:sz w:val="18"/>
          <w:vertAlign w:val="baseline"/>
        </w:rPr>
        <w:t> </w:t>
      </w:r>
      <w:r>
        <w:rPr>
          <w:sz w:val="18"/>
          <w:vertAlign w:val="baseline"/>
        </w:rPr>
        <w:t>to</w:t>
      </w:r>
      <w:r>
        <w:rPr>
          <w:spacing w:val="-4"/>
          <w:sz w:val="18"/>
          <w:vertAlign w:val="baseline"/>
        </w:rPr>
        <w:t> </w:t>
      </w:r>
      <w:r>
        <w:rPr>
          <w:sz w:val="18"/>
          <w:vertAlign w:val="baseline"/>
        </w:rPr>
        <w:t>be </w:t>
      </w:r>
      <w:r>
        <w:rPr>
          <w:spacing w:val="-2"/>
          <w:sz w:val="18"/>
          <w:vertAlign w:val="baseline"/>
        </w:rPr>
        <w:t>eligible.</w:t>
      </w:r>
    </w:p>
    <w:p>
      <w:pPr>
        <w:spacing w:after="0" w:line="285" w:lineRule="auto"/>
        <w:jc w:val="left"/>
        <w:rPr>
          <w:sz w:val="18"/>
        </w:rPr>
        <w:sectPr>
          <w:headerReference w:type="default" r:id="rId5"/>
          <w:footerReference w:type="default" r:id="rId6"/>
          <w:type w:val="continuous"/>
          <w:pgSz w:w="11910" w:h="16840"/>
          <w:pgMar w:header="0" w:footer="765" w:top="1900" w:bottom="960" w:left="1320" w:right="620"/>
          <w:pgNumType w:start="1"/>
        </w:sectPr>
      </w:pPr>
    </w:p>
    <w:p>
      <w:pPr>
        <w:pStyle w:val="BodyText"/>
        <w:spacing w:line="276" w:lineRule="auto" w:before="83"/>
        <w:ind w:left="840" w:right="817"/>
        <w:jc w:val="both"/>
      </w:pPr>
      <w:r>
        <w:rPr/>
        <w:t>Applicants must also meet designated citizenship criteria and confirm that their place of primary residence is in Victoria or in a designated border community during completion of their eligible ITE degrees (see full eligibility criteria in </w:t>
      </w:r>
      <w:r>
        <w:rPr>
          <w:b/>
        </w:rPr>
        <w:t>Section 2</w:t>
      </w:r>
      <w:r>
        <w:rPr/>
        <w:t>).</w:t>
      </w:r>
    </w:p>
    <w:p>
      <w:pPr>
        <w:pStyle w:val="BodyText"/>
        <w:spacing w:line="276" w:lineRule="auto" w:before="121"/>
        <w:ind w:left="839" w:right="816"/>
        <w:jc w:val="both"/>
      </w:pPr>
      <w:r>
        <w:rPr/>
        <w:t>Individuals</w:t>
      </w:r>
      <w:r>
        <w:rPr>
          <w:spacing w:val="-12"/>
        </w:rPr>
        <w:t> </w:t>
      </w:r>
      <w:r>
        <w:rPr/>
        <w:t>apply</w:t>
      </w:r>
      <w:r>
        <w:rPr>
          <w:spacing w:val="-11"/>
        </w:rPr>
        <w:t> </w:t>
      </w:r>
      <w:r>
        <w:rPr/>
        <w:t>for</w:t>
      </w:r>
      <w:r>
        <w:rPr>
          <w:spacing w:val="-10"/>
        </w:rPr>
        <w:t> </w:t>
      </w:r>
      <w:r>
        <w:rPr/>
        <w:t>STS</w:t>
      </w:r>
      <w:r>
        <w:rPr>
          <w:spacing w:val="-14"/>
        </w:rPr>
        <w:t> </w:t>
      </w:r>
      <w:r>
        <w:rPr/>
        <w:t>via</w:t>
      </w:r>
      <w:r>
        <w:rPr>
          <w:spacing w:val="-11"/>
        </w:rPr>
        <w:t> </w:t>
      </w:r>
      <w:r>
        <w:rPr/>
        <w:t>an</w:t>
      </w:r>
      <w:r>
        <w:rPr>
          <w:spacing w:val="-11"/>
        </w:rPr>
        <w:t> </w:t>
      </w:r>
      <w:r>
        <w:rPr/>
        <w:t>online</w:t>
      </w:r>
      <w:r>
        <w:rPr>
          <w:spacing w:val="-11"/>
        </w:rPr>
        <w:t> </w:t>
      </w:r>
      <w:r>
        <w:rPr/>
        <w:t>program</w:t>
      </w:r>
      <w:r>
        <w:rPr>
          <w:spacing w:val="-10"/>
        </w:rPr>
        <w:t> </w:t>
      </w:r>
      <w:r>
        <w:rPr/>
        <w:t>portal</w:t>
      </w:r>
      <w:r>
        <w:rPr>
          <w:spacing w:val="-12"/>
        </w:rPr>
        <w:t> </w:t>
      </w:r>
      <w:r>
        <w:rPr/>
        <w:t>administered</w:t>
      </w:r>
      <w:r>
        <w:rPr>
          <w:spacing w:val="-11"/>
        </w:rPr>
        <w:t> </w:t>
      </w:r>
      <w:r>
        <w:rPr/>
        <w:t>by</w:t>
      </w:r>
      <w:r>
        <w:rPr>
          <w:spacing w:val="-13"/>
        </w:rPr>
        <w:t> </w:t>
      </w:r>
      <w:r>
        <w:rPr/>
        <w:t>the</w:t>
      </w:r>
      <w:r>
        <w:rPr>
          <w:spacing w:val="-16"/>
        </w:rPr>
        <w:t> </w:t>
      </w:r>
      <w:r>
        <w:rPr/>
        <w:t>Department of Government Services (DGS). Once an applicant is assessed as eligible and has agreed to STS terms and conditions, DGS will transfer the relevant STS payment to the applicant (see </w:t>
      </w:r>
      <w:r>
        <w:rPr>
          <w:b/>
        </w:rPr>
        <w:t>Section 4 – Available funding and payment schedule </w:t>
      </w:r>
      <w:r>
        <w:rPr/>
        <w:t>below).</w:t>
      </w:r>
    </w:p>
    <w:p>
      <w:pPr>
        <w:pStyle w:val="BodyText"/>
        <w:spacing w:line="276" w:lineRule="auto" w:before="159"/>
        <w:ind w:left="839" w:right="813"/>
        <w:jc w:val="both"/>
      </w:pPr>
      <w:r>
        <w:rPr/>
        <w:t>STS</w:t>
      </w:r>
      <w:r>
        <w:rPr>
          <w:spacing w:val="-8"/>
        </w:rPr>
        <w:t> </w:t>
      </w:r>
      <w:r>
        <w:rPr/>
        <w:t>recipients</w:t>
      </w:r>
      <w:r>
        <w:rPr>
          <w:spacing w:val="-9"/>
        </w:rPr>
        <w:t> </w:t>
      </w:r>
      <w:r>
        <w:rPr/>
        <w:t>who,</w:t>
      </w:r>
      <w:r>
        <w:rPr>
          <w:spacing w:val="-8"/>
        </w:rPr>
        <w:t> </w:t>
      </w:r>
      <w:r>
        <w:rPr/>
        <w:t>within</w:t>
      </w:r>
      <w:r>
        <w:rPr>
          <w:spacing w:val="-7"/>
        </w:rPr>
        <w:t> </w:t>
      </w:r>
      <w:r>
        <w:rPr/>
        <w:t>15</w:t>
      </w:r>
      <w:r>
        <w:rPr>
          <w:spacing w:val="-12"/>
        </w:rPr>
        <w:t> </w:t>
      </w:r>
      <w:r>
        <w:rPr/>
        <w:t>months</w:t>
      </w:r>
      <w:r>
        <w:rPr>
          <w:spacing w:val="-9"/>
        </w:rPr>
        <w:t> </w:t>
      </w:r>
      <w:r>
        <w:rPr/>
        <w:t>of</w:t>
      </w:r>
      <w:r>
        <w:rPr>
          <w:spacing w:val="-8"/>
        </w:rPr>
        <w:t> </w:t>
      </w:r>
      <w:r>
        <w:rPr/>
        <w:t>completing</w:t>
      </w:r>
      <w:r>
        <w:rPr>
          <w:spacing w:val="-10"/>
        </w:rPr>
        <w:t> </w:t>
      </w:r>
      <w:r>
        <w:rPr/>
        <w:t>their</w:t>
      </w:r>
      <w:r>
        <w:rPr>
          <w:spacing w:val="-9"/>
        </w:rPr>
        <w:t> </w:t>
      </w:r>
      <w:r>
        <w:rPr/>
        <w:t>qualification,</w:t>
      </w:r>
      <w:r>
        <w:rPr>
          <w:spacing w:val="-8"/>
        </w:rPr>
        <w:t> </w:t>
      </w:r>
      <w:r>
        <w:rPr/>
        <w:t>seek</w:t>
      </w:r>
      <w:r>
        <w:rPr>
          <w:spacing w:val="-9"/>
        </w:rPr>
        <w:t> </w:t>
      </w:r>
      <w:r>
        <w:rPr/>
        <w:t>and</w:t>
      </w:r>
      <w:r>
        <w:rPr>
          <w:spacing w:val="-10"/>
        </w:rPr>
        <w:t> </w:t>
      </w:r>
      <w:r>
        <w:rPr/>
        <w:t>retain employment as a teacher</w:t>
      </w:r>
      <w:hyperlink w:history="true" w:anchor="_bookmark2">
        <w:r>
          <w:rPr>
            <w:vertAlign w:val="superscript"/>
          </w:rPr>
          <w:t>3</w:t>
        </w:r>
      </w:hyperlink>
      <w:r>
        <w:rPr>
          <w:spacing w:val="-2"/>
          <w:vertAlign w:val="baseline"/>
        </w:rPr>
        <w:t> </w:t>
      </w:r>
      <w:r>
        <w:rPr>
          <w:vertAlign w:val="baseline"/>
        </w:rPr>
        <w:t>in a Victorian government secondary or specialist school setting</w:t>
      </w:r>
      <w:hyperlink w:history="true" w:anchor="_bookmark3">
        <w:r>
          <w:rPr>
            <w:vertAlign w:val="superscript"/>
          </w:rPr>
          <w:t>4</w:t>
        </w:r>
      </w:hyperlink>
      <w:r>
        <w:rPr>
          <w:spacing w:val="-2"/>
          <w:vertAlign w:val="baseline"/>
        </w:rPr>
        <w:t> </w:t>
      </w:r>
      <w:r>
        <w:rPr>
          <w:vertAlign w:val="baseline"/>
        </w:rPr>
        <w:t>for</w:t>
      </w:r>
      <w:r>
        <w:rPr>
          <w:spacing w:val="-4"/>
          <w:vertAlign w:val="baseline"/>
        </w:rPr>
        <w:t> </w:t>
      </w:r>
      <w:r>
        <w:rPr>
          <w:vertAlign w:val="baseline"/>
        </w:rPr>
        <w:t>2</w:t>
      </w:r>
      <w:r>
        <w:rPr>
          <w:spacing w:val="-3"/>
          <w:vertAlign w:val="baseline"/>
        </w:rPr>
        <w:t> </w:t>
      </w:r>
      <w:r>
        <w:rPr>
          <w:vertAlign w:val="baseline"/>
        </w:rPr>
        <w:t>years,</w:t>
      </w:r>
      <w:r>
        <w:rPr>
          <w:spacing w:val="-4"/>
          <w:vertAlign w:val="baseline"/>
        </w:rPr>
        <w:t> </w:t>
      </w:r>
      <w:r>
        <w:rPr>
          <w:vertAlign w:val="baseline"/>
        </w:rPr>
        <w:t>will</w:t>
      </w:r>
      <w:r>
        <w:rPr>
          <w:spacing w:val="-4"/>
          <w:vertAlign w:val="baseline"/>
        </w:rPr>
        <w:t> </w:t>
      </w:r>
      <w:r>
        <w:rPr>
          <w:vertAlign w:val="baseline"/>
        </w:rPr>
        <w:t>receive</w:t>
      </w:r>
      <w:r>
        <w:rPr>
          <w:spacing w:val="-3"/>
          <w:vertAlign w:val="baseline"/>
        </w:rPr>
        <w:t> </w:t>
      </w:r>
      <w:r>
        <w:rPr>
          <w:vertAlign w:val="baseline"/>
        </w:rPr>
        <w:t>further</w:t>
      </w:r>
      <w:r>
        <w:rPr>
          <w:spacing w:val="-4"/>
          <w:vertAlign w:val="baseline"/>
        </w:rPr>
        <w:t> </w:t>
      </w:r>
      <w:r>
        <w:rPr>
          <w:vertAlign w:val="baseline"/>
        </w:rPr>
        <w:t>payments.</w:t>
      </w:r>
      <w:r>
        <w:rPr>
          <w:spacing w:val="-4"/>
          <w:vertAlign w:val="baseline"/>
        </w:rPr>
        <w:t> </w:t>
      </w:r>
      <w:r>
        <w:rPr>
          <w:vertAlign w:val="baseline"/>
        </w:rPr>
        <w:t>More</w:t>
      </w:r>
      <w:r>
        <w:rPr>
          <w:spacing w:val="-5"/>
          <w:vertAlign w:val="baseline"/>
        </w:rPr>
        <w:t> </w:t>
      </w:r>
      <w:r>
        <w:rPr>
          <w:vertAlign w:val="baseline"/>
        </w:rPr>
        <w:t>detailed</w:t>
      </w:r>
      <w:r>
        <w:rPr>
          <w:spacing w:val="-3"/>
          <w:vertAlign w:val="baseline"/>
        </w:rPr>
        <w:t> </w:t>
      </w:r>
      <w:r>
        <w:rPr>
          <w:vertAlign w:val="baseline"/>
        </w:rPr>
        <w:t>information</w:t>
      </w:r>
      <w:r>
        <w:rPr>
          <w:spacing w:val="-3"/>
          <w:vertAlign w:val="baseline"/>
        </w:rPr>
        <w:t> </w:t>
      </w:r>
      <w:r>
        <w:rPr>
          <w:vertAlign w:val="baseline"/>
        </w:rPr>
        <w:t>about</w:t>
      </w:r>
      <w:r>
        <w:rPr>
          <w:spacing w:val="-4"/>
          <w:vertAlign w:val="baseline"/>
        </w:rPr>
        <w:t> </w:t>
      </w:r>
      <w:r>
        <w:rPr>
          <w:vertAlign w:val="baseline"/>
        </w:rPr>
        <w:t>the eligibility criteria and application and payment processes for the STS employment component</w:t>
      </w:r>
      <w:r>
        <w:rPr>
          <w:spacing w:val="-7"/>
          <w:vertAlign w:val="baseline"/>
        </w:rPr>
        <w:t> </w:t>
      </w:r>
      <w:r>
        <w:rPr>
          <w:vertAlign w:val="baseline"/>
        </w:rPr>
        <w:t>will</w:t>
      </w:r>
      <w:r>
        <w:rPr>
          <w:spacing w:val="-7"/>
          <w:vertAlign w:val="baseline"/>
        </w:rPr>
        <w:t> </w:t>
      </w:r>
      <w:r>
        <w:rPr>
          <w:vertAlign w:val="baseline"/>
        </w:rPr>
        <w:t>be</w:t>
      </w:r>
      <w:r>
        <w:rPr>
          <w:spacing w:val="-6"/>
          <w:vertAlign w:val="baseline"/>
        </w:rPr>
        <w:t> </w:t>
      </w:r>
      <w:r>
        <w:rPr>
          <w:vertAlign w:val="baseline"/>
        </w:rPr>
        <w:t>provided</w:t>
      </w:r>
      <w:r>
        <w:rPr>
          <w:spacing w:val="-6"/>
          <w:vertAlign w:val="baseline"/>
        </w:rPr>
        <w:t> </w:t>
      </w:r>
      <w:r>
        <w:rPr>
          <w:vertAlign w:val="baseline"/>
        </w:rPr>
        <w:t>in</w:t>
      </w:r>
      <w:r>
        <w:rPr>
          <w:spacing w:val="-6"/>
          <w:vertAlign w:val="baseline"/>
        </w:rPr>
        <w:t> </w:t>
      </w:r>
      <w:r>
        <w:rPr>
          <w:vertAlign w:val="baseline"/>
        </w:rPr>
        <w:t>Part</w:t>
      </w:r>
      <w:r>
        <w:rPr>
          <w:spacing w:val="-7"/>
          <w:vertAlign w:val="baseline"/>
        </w:rPr>
        <w:t> </w:t>
      </w:r>
      <w:r>
        <w:rPr>
          <w:vertAlign w:val="baseline"/>
        </w:rPr>
        <w:t>2</w:t>
      </w:r>
      <w:r>
        <w:rPr>
          <w:spacing w:val="-6"/>
          <w:vertAlign w:val="baseline"/>
        </w:rPr>
        <w:t> </w:t>
      </w:r>
      <w:r>
        <w:rPr>
          <w:vertAlign w:val="baseline"/>
        </w:rPr>
        <w:t>of</w:t>
      </w:r>
      <w:r>
        <w:rPr>
          <w:spacing w:val="-7"/>
          <w:vertAlign w:val="baseline"/>
        </w:rPr>
        <w:t> </w:t>
      </w:r>
      <w:r>
        <w:rPr>
          <w:vertAlign w:val="baseline"/>
        </w:rPr>
        <w:t>the</w:t>
      </w:r>
      <w:r>
        <w:rPr>
          <w:spacing w:val="-6"/>
          <w:vertAlign w:val="baseline"/>
        </w:rPr>
        <w:t> </w:t>
      </w:r>
      <w:r>
        <w:rPr>
          <w:vertAlign w:val="baseline"/>
        </w:rPr>
        <w:t>STS</w:t>
      </w:r>
      <w:r>
        <w:rPr>
          <w:spacing w:val="-7"/>
          <w:vertAlign w:val="baseline"/>
        </w:rPr>
        <w:t> </w:t>
      </w:r>
      <w:r>
        <w:rPr>
          <w:vertAlign w:val="baseline"/>
        </w:rPr>
        <w:t>guidelines,</w:t>
      </w:r>
      <w:r>
        <w:rPr>
          <w:spacing w:val="-5"/>
          <w:vertAlign w:val="baseline"/>
        </w:rPr>
        <w:t> </w:t>
      </w:r>
      <w:r>
        <w:rPr>
          <w:vertAlign w:val="baseline"/>
        </w:rPr>
        <w:t>to</w:t>
      </w:r>
      <w:r>
        <w:rPr>
          <w:spacing w:val="-6"/>
          <w:vertAlign w:val="baseline"/>
        </w:rPr>
        <w:t> </w:t>
      </w:r>
      <w:r>
        <w:rPr>
          <w:vertAlign w:val="baseline"/>
        </w:rPr>
        <w:t>be</w:t>
      </w:r>
      <w:r>
        <w:rPr>
          <w:spacing w:val="-6"/>
          <w:vertAlign w:val="baseline"/>
        </w:rPr>
        <w:t> </w:t>
      </w:r>
      <w:r>
        <w:rPr>
          <w:vertAlign w:val="baseline"/>
        </w:rPr>
        <w:t>issued</w:t>
      </w:r>
      <w:r>
        <w:rPr>
          <w:spacing w:val="-9"/>
          <w:vertAlign w:val="baseline"/>
        </w:rPr>
        <w:t> </w:t>
      </w:r>
      <w:r>
        <w:rPr>
          <w:vertAlign w:val="baseline"/>
        </w:rPr>
        <w:t>in</w:t>
      </w:r>
      <w:r>
        <w:rPr>
          <w:spacing w:val="-9"/>
          <w:vertAlign w:val="baseline"/>
        </w:rPr>
        <w:t> </w:t>
      </w:r>
      <w:r>
        <w:rPr>
          <w:vertAlign w:val="baseline"/>
        </w:rPr>
        <w:t>the</w:t>
      </w:r>
      <w:r>
        <w:rPr>
          <w:spacing w:val="-6"/>
          <w:vertAlign w:val="baseline"/>
        </w:rPr>
        <w:t> </w:t>
      </w:r>
      <w:r>
        <w:rPr>
          <w:vertAlign w:val="baseline"/>
        </w:rPr>
        <w:t>second half of 2024.</w:t>
      </w:r>
    </w:p>
    <w:p>
      <w:pPr>
        <w:pStyle w:val="BodyText"/>
        <w:spacing w:line="276" w:lineRule="auto" w:before="160"/>
        <w:ind w:left="840" w:right="815"/>
        <w:jc w:val="both"/>
      </w:pPr>
      <w:r>
        <w:rPr/>
        <w:t>The total potential STS payments from study and employment periods combined are based on the standard student contribution for a Commonwealth Supported Place (</w:t>
      </w:r>
      <w:r>
        <w:rPr>
          <w:b/>
        </w:rPr>
        <w:t>CSP</w:t>
      </w:r>
      <w:r>
        <w:rPr/>
        <w:t>) in an undergraduate or postgraduate secondary ITE degree, as at the date of the scholarship program’s announcement.</w:t>
      </w:r>
      <w:hyperlink w:history="true" w:anchor="_bookmark4">
        <w:r>
          <w:rPr>
            <w:vertAlign w:val="superscript"/>
          </w:rPr>
          <w:t>5</w:t>
        </w:r>
      </w:hyperlink>
    </w:p>
    <w:p>
      <w:pPr>
        <w:pStyle w:val="BodyText"/>
        <w:spacing w:line="276" w:lineRule="auto" w:before="161"/>
        <w:ind w:left="840" w:right="815"/>
        <w:jc w:val="both"/>
      </w:pPr>
      <w:r>
        <w:rPr/>
        <w:t>Eligible undergraduate students who complete an eligible secondary school teaching degree</w:t>
      </w:r>
      <w:r>
        <w:rPr>
          <w:spacing w:val="-10"/>
        </w:rPr>
        <w:t> </w:t>
      </w:r>
      <w:r>
        <w:rPr/>
        <w:t>will</w:t>
      </w:r>
      <w:r>
        <w:rPr>
          <w:spacing w:val="-13"/>
        </w:rPr>
        <w:t> </w:t>
      </w:r>
      <w:r>
        <w:rPr/>
        <w:t>receive</w:t>
      </w:r>
      <w:r>
        <w:rPr>
          <w:spacing w:val="-12"/>
        </w:rPr>
        <w:t> </w:t>
      </w:r>
      <w:r>
        <w:rPr/>
        <w:t>approximately</w:t>
      </w:r>
      <w:r>
        <w:rPr>
          <w:spacing w:val="-12"/>
        </w:rPr>
        <w:t> </w:t>
      </w:r>
      <w:r>
        <w:rPr/>
        <w:t>$9,600</w:t>
      </w:r>
      <w:r>
        <w:rPr>
          <w:spacing w:val="-12"/>
        </w:rPr>
        <w:t> </w:t>
      </w:r>
      <w:r>
        <w:rPr/>
        <w:t>across</w:t>
      </w:r>
      <w:r>
        <w:rPr>
          <w:spacing w:val="-14"/>
        </w:rPr>
        <w:t> </w:t>
      </w:r>
      <w:r>
        <w:rPr/>
        <w:t>their</w:t>
      </w:r>
      <w:r>
        <w:rPr>
          <w:spacing w:val="-9"/>
        </w:rPr>
        <w:t> </w:t>
      </w:r>
      <w:r>
        <w:rPr/>
        <w:t>4-year</w:t>
      </w:r>
      <w:r>
        <w:rPr>
          <w:spacing w:val="-13"/>
        </w:rPr>
        <w:t> </w:t>
      </w:r>
      <w:r>
        <w:rPr/>
        <w:t>full-time</w:t>
      </w:r>
      <w:r>
        <w:rPr>
          <w:spacing w:val="-12"/>
        </w:rPr>
        <w:t> </w:t>
      </w:r>
      <w:r>
        <w:rPr/>
        <w:t>equivalent</w:t>
      </w:r>
      <w:r>
        <w:rPr>
          <w:spacing w:val="-10"/>
        </w:rPr>
        <w:t> </w:t>
      </w:r>
      <w:r>
        <w:rPr/>
        <w:t>(FTE) ITE degree and approximately $8,400 during their first 2 years of teaching in a government</w:t>
      </w:r>
      <w:r>
        <w:rPr>
          <w:spacing w:val="68"/>
        </w:rPr>
        <w:t> </w:t>
      </w:r>
      <w:r>
        <w:rPr/>
        <w:t>secondary</w:t>
      </w:r>
      <w:r>
        <w:rPr>
          <w:spacing w:val="64"/>
        </w:rPr>
        <w:t> </w:t>
      </w:r>
      <w:r>
        <w:rPr/>
        <w:t>or</w:t>
      </w:r>
      <w:r>
        <w:rPr>
          <w:spacing w:val="70"/>
        </w:rPr>
        <w:t> </w:t>
      </w:r>
      <w:r>
        <w:rPr/>
        <w:t>specialist</w:t>
      </w:r>
      <w:r>
        <w:rPr>
          <w:spacing w:val="70"/>
        </w:rPr>
        <w:t> </w:t>
      </w:r>
      <w:r>
        <w:rPr/>
        <w:t>school</w:t>
      </w:r>
      <w:r>
        <w:rPr>
          <w:spacing w:val="68"/>
        </w:rPr>
        <w:t> </w:t>
      </w:r>
      <w:r>
        <w:rPr/>
        <w:t>setting,</w:t>
      </w:r>
      <w:r>
        <w:rPr>
          <w:spacing w:val="67"/>
        </w:rPr>
        <w:t> </w:t>
      </w:r>
      <w:r>
        <w:rPr/>
        <w:t>for</w:t>
      </w:r>
      <w:r>
        <w:rPr>
          <w:spacing w:val="70"/>
        </w:rPr>
        <w:t> </w:t>
      </w:r>
      <w:r>
        <w:rPr/>
        <w:t>a</w:t>
      </w:r>
      <w:r>
        <w:rPr>
          <w:spacing w:val="66"/>
        </w:rPr>
        <w:t> </w:t>
      </w:r>
      <w:r>
        <w:rPr/>
        <w:t>total</w:t>
      </w:r>
      <w:r>
        <w:rPr>
          <w:spacing w:val="68"/>
        </w:rPr>
        <w:t> </w:t>
      </w:r>
      <w:r>
        <w:rPr/>
        <w:t>of</w:t>
      </w:r>
      <w:r>
        <w:rPr>
          <w:spacing w:val="68"/>
        </w:rPr>
        <w:t> </w:t>
      </w:r>
      <w:r>
        <w:rPr>
          <w:spacing w:val="-2"/>
        </w:rPr>
        <w:t>approximately</w:t>
      </w:r>
    </w:p>
    <w:p>
      <w:pPr>
        <w:pStyle w:val="BodyText"/>
        <w:spacing w:before="3"/>
        <w:ind w:left="840"/>
      </w:pPr>
      <w:r>
        <w:rPr>
          <w:spacing w:val="-2"/>
        </w:rPr>
        <w:t>$18,000.</w:t>
      </w:r>
      <w:hyperlink w:history="true" w:anchor="_bookmark5">
        <w:r>
          <w:rPr>
            <w:spacing w:val="-2"/>
            <w:vertAlign w:val="superscript"/>
          </w:rPr>
          <w:t>6</w:t>
        </w:r>
      </w:hyperlink>
    </w:p>
    <w:p>
      <w:pPr>
        <w:pStyle w:val="BodyText"/>
        <w:spacing w:line="276" w:lineRule="auto" w:before="196"/>
        <w:ind w:left="839" w:right="815"/>
        <w:jc w:val="both"/>
      </w:pPr>
      <w:r>
        <w:rPr/>
        <w:t>Eligible postgraduate students who complete an eligible secondary school teaching degree will receive approximately $5,700 across their 2-year (FTE) ITE degree and approximately</w:t>
      </w:r>
      <w:r>
        <w:rPr>
          <w:spacing w:val="-2"/>
        </w:rPr>
        <w:t> </w:t>
      </w:r>
      <w:r>
        <w:rPr/>
        <w:t>$3,300</w:t>
      </w:r>
      <w:r>
        <w:rPr>
          <w:spacing w:val="-5"/>
        </w:rPr>
        <w:t> </w:t>
      </w:r>
      <w:r>
        <w:rPr/>
        <w:t>during</w:t>
      </w:r>
      <w:r>
        <w:rPr>
          <w:spacing w:val="-5"/>
        </w:rPr>
        <w:t> </w:t>
      </w:r>
      <w:r>
        <w:rPr/>
        <w:t>their</w:t>
      </w:r>
      <w:r>
        <w:rPr>
          <w:spacing w:val="-4"/>
        </w:rPr>
        <w:t> </w:t>
      </w:r>
      <w:r>
        <w:rPr/>
        <w:t>first</w:t>
      </w:r>
      <w:r>
        <w:rPr>
          <w:spacing w:val="-3"/>
        </w:rPr>
        <w:t> </w:t>
      </w:r>
      <w:r>
        <w:rPr/>
        <w:t>2</w:t>
      </w:r>
      <w:r>
        <w:rPr>
          <w:spacing w:val="-5"/>
        </w:rPr>
        <w:t> </w:t>
      </w:r>
      <w:r>
        <w:rPr/>
        <w:t>years</w:t>
      </w:r>
      <w:r>
        <w:rPr>
          <w:spacing w:val="-5"/>
        </w:rPr>
        <w:t> </w:t>
      </w:r>
      <w:r>
        <w:rPr/>
        <w:t>of</w:t>
      </w:r>
      <w:r>
        <w:rPr>
          <w:spacing w:val="-3"/>
        </w:rPr>
        <w:t> </w:t>
      </w:r>
      <w:r>
        <w:rPr/>
        <w:t>teaching</w:t>
      </w:r>
      <w:r>
        <w:rPr>
          <w:spacing w:val="-3"/>
        </w:rPr>
        <w:t> </w:t>
      </w:r>
      <w:r>
        <w:rPr/>
        <w:t>in</w:t>
      </w:r>
      <w:r>
        <w:rPr>
          <w:spacing w:val="-3"/>
        </w:rPr>
        <w:t> </w:t>
      </w:r>
      <w:r>
        <w:rPr/>
        <w:t>a</w:t>
      </w:r>
      <w:r>
        <w:rPr>
          <w:spacing w:val="-5"/>
        </w:rPr>
        <w:t> </w:t>
      </w:r>
      <w:r>
        <w:rPr/>
        <w:t>government</w:t>
      </w:r>
      <w:r>
        <w:rPr>
          <w:spacing w:val="-3"/>
        </w:rPr>
        <w:t> </w:t>
      </w:r>
      <w:r>
        <w:rPr/>
        <w:t>secondary or specialist school setting for a total of approximately $9,000.</w:t>
      </w:r>
      <w:hyperlink w:history="true" w:anchor="_bookmark6">
        <w:r>
          <w:rPr>
            <w:vertAlign w:val="superscript"/>
          </w:rPr>
          <w:t>7</w:t>
        </w:r>
      </w:hyperlink>
    </w:p>
    <w:p>
      <w:pPr>
        <w:pStyle w:val="BodyText"/>
        <w:spacing w:line="278" w:lineRule="auto" w:before="158"/>
        <w:ind w:left="840" w:right="814"/>
        <w:jc w:val="both"/>
      </w:pPr>
      <w:r>
        <w:rPr/>
        <w:t>Students who have not been granted a CSP and who meet the STS eligibility criteria receive the same STS amounts as students with a CSP.</w:t>
      </w:r>
    </w:p>
    <w:p>
      <w:pPr>
        <w:pStyle w:val="BodyText"/>
        <w:spacing w:line="276" w:lineRule="auto" w:before="155"/>
        <w:ind w:left="840" w:right="815"/>
        <w:jc w:val="both"/>
      </w:pPr>
      <w:r>
        <w:rPr/>
        <w:t>STS</w:t>
      </w:r>
      <w:r>
        <w:rPr>
          <w:spacing w:val="-5"/>
        </w:rPr>
        <w:t> </w:t>
      </w:r>
      <w:r>
        <w:rPr/>
        <w:t>payments</w:t>
      </w:r>
      <w:r>
        <w:rPr>
          <w:spacing w:val="-6"/>
        </w:rPr>
        <w:t> </w:t>
      </w:r>
      <w:r>
        <w:rPr/>
        <w:t>are</w:t>
      </w:r>
      <w:r>
        <w:rPr>
          <w:spacing w:val="-6"/>
        </w:rPr>
        <w:t> </w:t>
      </w:r>
      <w:r>
        <w:rPr/>
        <w:t>designed</w:t>
      </w:r>
      <w:r>
        <w:rPr>
          <w:spacing w:val="-5"/>
        </w:rPr>
        <w:t> </w:t>
      </w:r>
      <w:r>
        <w:rPr/>
        <w:t>to</w:t>
      </w:r>
      <w:r>
        <w:rPr>
          <w:spacing w:val="-6"/>
        </w:rPr>
        <w:t> </w:t>
      </w:r>
      <w:r>
        <w:rPr/>
        <w:t>support</w:t>
      </w:r>
      <w:r>
        <w:rPr>
          <w:spacing w:val="-6"/>
        </w:rPr>
        <w:t> </w:t>
      </w:r>
      <w:r>
        <w:rPr/>
        <w:t>secondary</w:t>
      </w:r>
      <w:r>
        <w:rPr>
          <w:spacing w:val="-5"/>
        </w:rPr>
        <w:t> </w:t>
      </w:r>
      <w:r>
        <w:rPr/>
        <w:t>ITE</w:t>
      </w:r>
      <w:r>
        <w:rPr>
          <w:spacing w:val="-7"/>
        </w:rPr>
        <w:t> </w:t>
      </w:r>
      <w:r>
        <w:rPr/>
        <w:t>students</w:t>
      </w:r>
      <w:r>
        <w:rPr>
          <w:spacing w:val="-6"/>
        </w:rPr>
        <w:t> </w:t>
      </w:r>
      <w:r>
        <w:rPr/>
        <w:t>with</w:t>
      </w:r>
      <w:r>
        <w:rPr>
          <w:spacing w:val="-6"/>
        </w:rPr>
        <w:t> </w:t>
      </w:r>
      <w:r>
        <w:rPr/>
        <w:t>costs</w:t>
      </w:r>
      <w:r>
        <w:rPr>
          <w:spacing w:val="-6"/>
        </w:rPr>
        <w:t> </w:t>
      </w:r>
      <w:r>
        <w:rPr/>
        <w:t>of</w:t>
      </w:r>
      <w:r>
        <w:rPr>
          <w:spacing w:val="-6"/>
        </w:rPr>
        <w:t> </w:t>
      </w:r>
      <w:r>
        <w:rPr/>
        <w:t>studying and living. This may include repayment of HELP/HECS loans taken to meet student fee</w:t>
      </w:r>
      <w:r>
        <w:rPr>
          <w:spacing w:val="-3"/>
        </w:rPr>
        <w:t> </w:t>
      </w:r>
      <w:r>
        <w:rPr/>
        <w:t>obligations.</w:t>
      </w:r>
      <w:r>
        <w:rPr>
          <w:spacing w:val="-1"/>
        </w:rPr>
        <w:t> </w:t>
      </w:r>
      <w:r>
        <w:rPr/>
        <w:t>As</w:t>
      </w:r>
      <w:r>
        <w:rPr>
          <w:spacing w:val="-2"/>
        </w:rPr>
        <w:t> </w:t>
      </w:r>
      <w:r>
        <w:rPr/>
        <w:t>STS</w:t>
      </w:r>
      <w:r>
        <w:rPr>
          <w:spacing w:val="-3"/>
        </w:rPr>
        <w:t> </w:t>
      </w:r>
      <w:r>
        <w:rPr/>
        <w:t>payments</w:t>
      </w:r>
      <w:r>
        <w:rPr>
          <w:spacing w:val="-2"/>
        </w:rPr>
        <w:t> </w:t>
      </w:r>
      <w:r>
        <w:rPr/>
        <w:t>are</w:t>
      </w:r>
      <w:r>
        <w:rPr>
          <w:spacing w:val="-3"/>
        </w:rPr>
        <w:t> </w:t>
      </w:r>
      <w:r>
        <w:rPr/>
        <w:t>phased</w:t>
      </w:r>
      <w:r>
        <w:rPr>
          <w:spacing w:val="-3"/>
        </w:rPr>
        <w:t> </w:t>
      </w:r>
      <w:r>
        <w:rPr/>
        <w:t>across</w:t>
      </w:r>
      <w:r>
        <w:rPr>
          <w:spacing w:val="-2"/>
        </w:rPr>
        <w:t> </w:t>
      </w:r>
      <w:r>
        <w:rPr/>
        <w:t>study</w:t>
      </w:r>
      <w:r>
        <w:rPr>
          <w:spacing w:val="-2"/>
        </w:rPr>
        <w:t> </w:t>
      </w:r>
      <w:r>
        <w:rPr/>
        <w:t>and</w:t>
      </w:r>
      <w:r>
        <w:rPr>
          <w:spacing w:val="-3"/>
        </w:rPr>
        <w:t> </w:t>
      </w:r>
      <w:r>
        <w:rPr/>
        <w:t>employment</w:t>
      </w:r>
      <w:r>
        <w:rPr>
          <w:spacing w:val="-1"/>
        </w:rPr>
        <w:t> </w:t>
      </w:r>
      <w:r>
        <w:rPr/>
        <w:t>periods, STS recipients need to meet upfront student fees required by their ITE provider.</w:t>
      </w:r>
    </w:p>
    <w:p>
      <w:pPr>
        <w:pStyle w:val="BodyText"/>
        <w:rPr>
          <w:sz w:val="20"/>
        </w:rPr>
      </w:pPr>
    </w:p>
    <w:p>
      <w:pPr>
        <w:pStyle w:val="BodyText"/>
        <w:rPr>
          <w:sz w:val="20"/>
        </w:rPr>
      </w:pPr>
    </w:p>
    <w:p>
      <w:pPr>
        <w:pStyle w:val="BodyText"/>
        <w:spacing w:before="150"/>
        <w:rPr>
          <w:sz w:val="20"/>
        </w:rPr>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256794</wp:posOffset>
                </wp:positionV>
                <wp:extent cx="1828800"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220064pt;width:144pt;height:.6pt;mso-position-horizontal-relative:page;mso-position-vertical-relative:paragraph;z-index:-15727104;mso-wrap-distance-left:0;mso-wrap-distance-right:0" id="docshape7" filled="true" fillcolor="#000000" stroked="false">
                <v:fill type="solid"/>
                <w10:wrap type="topAndBottom"/>
              </v:rect>
            </w:pict>
          </mc:Fallback>
        </mc:AlternateContent>
      </w:r>
    </w:p>
    <w:p>
      <w:pPr>
        <w:spacing w:line="278" w:lineRule="auto" w:before="137"/>
        <w:ind w:left="120" w:right="890" w:hanging="1"/>
        <w:jc w:val="left"/>
        <w:rPr>
          <w:sz w:val="18"/>
        </w:rPr>
      </w:pPr>
      <w:bookmarkStart w:name="_bookmark2" w:id="6"/>
      <w:bookmarkEnd w:id="6"/>
      <w:r>
        <w:rPr/>
      </w:r>
      <w:r>
        <w:rPr>
          <w:position w:val="6"/>
          <w:sz w:val="12"/>
        </w:rPr>
        <w:t>3</w:t>
      </w:r>
      <w:r>
        <w:rPr>
          <w:spacing w:val="15"/>
          <w:position w:val="6"/>
          <w:sz w:val="12"/>
        </w:rPr>
        <w:t> </w:t>
      </w:r>
      <w:r>
        <w:rPr>
          <w:sz w:val="18"/>
        </w:rPr>
        <w:t>A</w:t>
      </w:r>
      <w:r>
        <w:rPr>
          <w:spacing w:val="-2"/>
          <w:sz w:val="18"/>
        </w:rPr>
        <w:t> </w:t>
      </w:r>
      <w:r>
        <w:rPr>
          <w:sz w:val="18"/>
        </w:rPr>
        <w:t>teacher</w:t>
      </w:r>
      <w:r>
        <w:rPr>
          <w:spacing w:val="-2"/>
          <w:sz w:val="18"/>
        </w:rPr>
        <w:t> </w:t>
      </w:r>
      <w:r>
        <w:rPr>
          <w:sz w:val="18"/>
        </w:rPr>
        <w:t>for</w:t>
      </w:r>
      <w:r>
        <w:rPr>
          <w:spacing w:val="-2"/>
          <w:sz w:val="18"/>
        </w:rPr>
        <w:t> </w:t>
      </w:r>
      <w:r>
        <w:rPr>
          <w:sz w:val="18"/>
        </w:rPr>
        <w:t>the</w:t>
      </w:r>
      <w:r>
        <w:rPr>
          <w:spacing w:val="-1"/>
          <w:sz w:val="18"/>
        </w:rPr>
        <w:t> </w:t>
      </w:r>
      <w:r>
        <w:rPr>
          <w:sz w:val="18"/>
        </w:rPr>
        <w:t>purposes</w:t>
      </w:r>
      <w:r>
        <w:rPr>
          <w:spacing w:val="-3"/>
          <w:sz w:val="18"/>
        </w:rPr>
        <w:t> </w:t>
      </w:r>
      <w:r>
        <w:rPr>
          <w:sz w:val="18"/>
        </w:rPr>
        <w:t>of</w:t>
      </w:r>
      <w:r>
        <w:rPr>
          <w:spacing w:val="-4"/>
          <w:sz w:val="18"/>
        </w:rPr>
        <w:t> </w:t>
      </w:r>
      <w:r>
        <w:rPr>
          <w:sz w:val="18"/>
        </w:rPr>
        <w:t>STS</w:t>
      </w:r>
      <w:r>
        <w:rPr>
          <w:spacing w:val="-2"/>
          <w:sz w:val="18"/>
        </w:rPr>
        <w:t> </w:t>
      </w:r>
      <w:r>
        <w:rPr>
          <w:sz w:val="18"/>
        </w:rPr>
        <w:t>is</w:t>
      </w:r>
      <w:r>
        <w:rPr>
          <w:spacing w:val="-3"/>
          <w:sz w:val="18"/>
        </w:rPr>
        <w:t> </w:t>
      </w:r>
      <w:r>
        <w:rPr>
          <w:sz w:val="18"/>
        </w:rPr>
        <w:t>defined</w:t>
      </w:r>
      <w:r>
        <w:rPr>
          <w:spacing w:val="-4"/>
          <w:sz w:val="18"/>
        </w:rPr>
        <w:t> </w:t>
      </w:r>
      <w:r>
        <w:rPr>
          <w:sz w:val="18"/>
        </w:rPr>
        <w:t>as</w:t>
      </w:r>
      <w:r>
        <w:rPr>
          <w:spacing w:val="-3"/>
          <w:sz w:val="18"/>
        </w:rPr>
        <w:t> </w:t>
      </w:r>
      <w:r>
        <w:rPr>
          <w:sz w:val="18"/>
        </w:rPr>
        <w:t>a</w:t>
      </w:r>
      <w:r>
        <w:rPr>
          <w:spacing w:val="-1"/>
          <w:sz w:val="18"/>
        </w:rPr>
        <w:t> </w:t>
      </w:r>
      <w:r>
        <w:rPr>
          <w:sz w:val="18"/>
        </w:rPr>
        <w:t>Department</w:t>
      </w:r>
      <w:r>
        <w:rPr>
          <w:spacing w:val="-2"/>
          <w:sz w:val="18"/>
        </w:rPr>
        <w:t> </w:t>
      </w:r>
      <w:r>
        <w:rPr>
          <w:sz w:val="18"/>
        </w:rPr>
        <w:t>of</w:t>
      </w:r>
      <w:r>
        <w:rPr>
          <w:spacing w:val="-2"/>
          <w:sz w:val="18"/>
        </w:rPr>
        <w:t> </w:t>
      </w:r>
      <w:r>
        <w:rPr>
          <w:sz w:val="18"/>
        </w:rPr>
        <w:t>Education</w:t>
      </w:r>
      <w:r>
        <w:rPr>
          <w:spacing w:val="-1"/>
          <w:sz w:val="18"/>
        </w:rPr>
        <w:t> </w:t>
      </w:r>
      <w:r>
        <w:rPr>
          <w:sz w:val="18"/>
        </w:rPr>
        <w:t>teacher</w:t>
      </w:r>
      <w:r>
        <w:rPr>
          <w:spacing w:val="-2"/>
          <w:sz w:val="18"/>
        </w:rPr>
        <w:t> </w:t>
      </w:r>
      <w:r>
        <w:rPr>
          <w:sz w:val="18"/>
        </w:rPr>
        <w:t>class</w:t>
      </w:r>
      <w:r>
        <w:rPr>
          <w:spacing w:val="-3"/>
          <w:sz w:val="18"/>
        </w:rPr>
        <w:t> </w:t>
      </w:r>
      <w:r>
        <w:rPr>
          <w:sz w:val="18"/>
        </w:rPr>
        <w:t>employee</w:t>
      </w:r>
      <w:r>
        <w:rPr>
          <w:spacing w:val="-1"/>
          <w:sz w:val="18"/>
        </w:rPr>
        <w:t> </w:t>
      </w:r>
      <w:r>
        <w:rPr>
          <w:sz w:val="18"/>
        </w:rPr>
        <w:t>who</w:t>
      </w:r>
      <w:r>
        <w:rPr>
          <w:spacing w:val="-4"/>
          <w:sz w:val="18"/>
        </w:rPr>
        <w:t> </w:t>
      </w:r>
      <w:r>
        <w:rPr>
          <w:sz w:val="18"/>
        </w:rPr>
        <w:t>holds Victorian Institute of Teaching (VIT) teacher registration and is employed at a minimum of 0.5 FTE.</w:t>
      </w:r>
    </w:p>
    <w:p>
      <w:pPr>
        <w:spacing w:line="207" w:lineRule="exact" w:before="0"/>
        <w:ind w:left="120" w:right="0" w:firstLine="0"/>
        <w:jc w:val="left"/>
        <w:rPr>
          <w:sz w:val="18"/>
        </w:rPr>
      </w:pPr>
      <w:bookmarkStart w:name="_bookmark3" w:id="7"/>
      <w:bookmarkEnd w:id="7"/>
      <w:r>
        <w:rPr/>
      </w:r>
      <w:r>
        <w:rPr>
          <w:position w:val="6"/>
          <w:sz w:val="12"/>
        </w:rPr>
        <w:t>4</w:t>
      </w:r>
      <w:r>
        <w:rPr>
          <w:spacing w:val="15"/>
          <w:position w:val="6"/>
          <w:sz w:val="12"/>
        </w:rPr>
        <w:t> </w:t>
      </w:r>
      <w:r>
        <w:rPr>
          <w:sz w:val="18"/>
        </w:rPr>
        <w:t>The</w:t>
      </w:r>
      <w:r>
        <w:rPr>
          <w:spacing w:val="-1"/>
          <w:sz w:val="18"/>
        </w:rPr>
        <w:t> </w:t>
      </w:r>
      <w:r>
        <w:rPr>
          <w:sz w:val="18"/>
        </w:rPr>
        <w:t>term</w:t>
      </w:r>
      <w:r>
        <w:rPr>
          <w:spacing w:val="-2"/>
          <w:sz w:val="18"/>
        </w:rPr>
        <w:t> </w:t>
      </w:r>
      <w:r>
        <w:rPr>
          <w:sz w:val="18"/>
        </w:rPr>
        <w:t>‘setting’</w:t>
      </w:r>
      <w:r>
        <w:rPr>
          <w:spacing w:val="-1"/>
          <w:sz w:val="18"/>
        </w:rPr>
        <w:t> </w:t>
      </w:r>
      <w:r>
        <w:rPr>
          <w:sz w:val="18"/>
        </w:rPr>
        <w:t>is used</w:t>
      </w:r>
      <w:r>
        <w:rPr>
          <w:spacing w:val="-4"/>
          <w:sz w:val="18"/>
        </w:rPr>
        <w:t> </w:t>
      </w:r>
      <w:r>
        <w:rPr>
          <w:sz w:val="18"/>
        </w:rPr>
        <w:t>to</w:t>
      </w:r>
      <w:r>
        <w:rPr>
          <w:spacing w:val="-3"/>
          <w:sz w:val="18"/>
        </w:rPr>
        <w:t> </w:t>
      </w:r>
      <w:r>
        <w:rPr>
          <w:sz w:val="18"/>
        </w:rPr>
        <w:t>include</w:t>
      </w:r>
      <w:r>
        <w:rPr>
          <w:spacing w:val="-1"/>
          <w:sz w:val="18"/>
        </w:rPr>
        <w:t> </w:t>
      </w:r>
      <w:r>
        <w:rPr>
          <w:sz w:val="18"/>
        </w:rPr>
        <w:t>employment</w:t>
      </w:r>
      <w:r>
        <w:rPr>
          <w:spacing w:val="-3"/>
          <w:sz w:val="18"/>
        </w:rPr>
        <w:t> </w:t>
      </w:r>
      <w:r>
        <w:rPr>
          <w:sz w:val="18"/>
        </w:rPr>
        <w:t>in</w:t>
      </w:r>
      <w:r>
        <w:rPr>
          <w:spacing w:val="-1"/>
          <w:sz w:val="18"/>
        </w:rPr>
        <w:t> </w:t>
      </w:r>
      <w:r>
        <w:rPr>
          <w:sz w:val="18"/>
        </w:rPr>
        <w:t>the</w:t>
      </w:r>
      <w:r>
        <w:rPr>
          <w:spacing w:val="-4"/>
          <w:sz w:val="18"/>
        </w:rPr>
        <w:t> </w:t>
      </w:r>
      <w:r>
        <w:rPr>
          <w:sz w:val="18"/>
        </w:rPr>
        <w:t>secondary</w:t>
      </w:r>
      <w:r>
        <w:rPr>
          <w:spacing w:val="-2"/>
          <w:sz w:val="18"/>
        </w:rPr>
        <w:t> </w:t>
      </w:r>
      <w:r>
        <w:rPr>
          <w:sz w:val="18"/>
        </w:rPr>
        <w:t>section</w:t>
      </w:r>
      <w:r>
        <w:rPr>
          <w:spacing w:val="-1"/>
          <w:sz w:val="18"/>
        </w:rPr>
        <w:t> </w:t>
      </w:r>
      <w:r>
        <w:rPr>
          <w:sz w:val="18"/>
        </w:rPr>
        <w:t>of</w:t>
      </w:r>
      <w:r>
        <w:rPr>
          <w:spacing w:val="-3"/>
          <w:sz w:val="18"/>
        </w:rPr>
        <w:t> </w:t>
      </w:r>
      <w:r>
        <w:rPr>
          <w:sz w:val="18"/>
        </w:rPr>
        <w:t>P-9,</w:t>
      </w:r>
      <w:r>
        <w:rPr>
          <w:spacing w:val="-2"/>
          <w:sz w:val="18"/>
        </w:rPr>
        <w:t> </w:t>
      </w:r>
      <w:r>
        <w:rPr>
          <w:sz w:val="18"/>
        </w:rPr>
        <w:t>P-10 or</w:t>
      </w:r>
      <w:r>
        <w:rPr>
          <w:spacing w:val="-4"/>
          <w:sz w:val="18"/>
        </w:rPr>
        <w:t> </w:t>
      </w:r>
      <w:r>
        <w:rPr>
          <w:sz w:val="18"/>
        </w:rPr>
        <w:t>P-12 </w:t>
      </w:r>
      <w:r>
        <w:rPr>
          <w:spacing w:val="-2"/>
          <w:sz w:val="18"/>
        </w:rPr>
        <w:t>schools.</w:t>
      </w:r>
    </w:p>
    <w:p>
      <w:pPr>
        <w:spacing w:before="29"/>
        <w:ind w:left="120" w:right="0" w:firstLine="0"/>
        <w:jc w:val="left"/>
        <w:rPr>
          <w:sz w:val="18"/>
        </w:rPr>
      </w:pPr>
      <w:bookmarkStart w:name="_bookmark4" w:id="8"/>
      <w:bookmarkEnd w:id="8"/>
      <w:r>
        <w:rPr/>
      </w:r>
      <w:r>
        <w:rPr>
          <w:position w:val="6"/>
          <w:sz w:val="12"/>
        </w:rPr>
        <w:t>5</w:t>
      </w:r>
      <w:r>
        <w:rPr>
          <w:spacing w:val="12"/>
          <w:position w:val="6"/>
          <w:sz w:val="12"/>
        </w:rPr>
        <w:t> </w:t>
      </w:r>
      <w:r>
        <w:rPr>
          <w:sz w:val="18"/>
        </w:rPr>
        <w:t>Note:</w:t>
      </w:r>
      <w:r>
        <w:rPr>
          <w:spacing w:val="-4"/>
          <w:sz w:val="18"/>
        </w:rPr>
        <w:t> </w:t>
      </w:r>
      <w:r>
        <w:rPr>
          <w:sz w:val="18"/>
        </w:rPr>
        <w:t>Maximum</w:t>
      </w:r>
      <w:r>
        <w:rPr>
          <w:spacing w:val="-3"/>
          <w:sz w:val="18"/>
        </w:rPr>
        <w:t> </w:t>
      </w:r>
      <w:r>
        <w:rPr>
          <w:sz w:val="18"/>
        </w:rPr>
        <w:t>student</w:t>
      </w:r>
      <w:r>
        <w:rPr>
          <w:spacing w:val="-5"/>
          <w:sz w:val="18"/>
        </w:rPr>
        <w:t> </w:t>
      </w:r>
      <w:r>
        <w:rPr>
          <w:sz w:val="18"/>
        </w:rPr>
        <w:t>contributions</w:t>
      </w:r>
      <w:r>
        <w:rPr>
          <w:spacing w:val="-1"/>
          <w:sz w:val="18"/>
        </w:rPr>
        <w:t> </w:t>
      </w:r>
      <w:r>
        <w:rPr>
          <w:sz w:val="18"/>
        </w:rPr>
        <w:t>for</w:t>
      </w:r>
      <w:r>
        <w:rPr>
          <w:spacing w:val="-2"/>
          <w:sz w:val="18"/>
        </w:rPr>
        <w:t> </w:t>
      </w:r>
      <w:r>
        <w:rPr>
          <w:sz w:val="18"/>
        </w:rPr>
        <w:t>CSPs</w:t>
      </w:r>
      <w:r>
        <w:rPr>
          <w:spacing w:val="-4"/>
          <w:sz w:val="18"/>
        </w:rPr>
        <w:t> </w:t>
      </w:r>
      <w:r>
        <w:rPr>
          <w:sz w:val="18"/>
        </w:rPr>
        <w:t>are</w:t>
      </w:r>
      <w:r>
        <w:rPr>
          <w:spacing w:val="-1"/>
          <w:sz w:val="18"/>
        </w:rPr>
        <w:t> </w:t>
      </w:r>
      <w:r>
        <w:rPr>
          <w:sz w:val="18"/>
        </w:rPr>
        <w:t>determined</w:t>
      </w:r>
      <w:r>
        <w:rPr>
          <w:spacing w:val="-2"/>
          <w:sz w:val="18"/>
        </w:rPr>
        <w:t> </w:t>
      </w:r>
      <w:r>
        <w:rPr>
          <w:sz w:val="18"/>
        </w:rPr>
        <w:t>by</w:t>
      </w:r>
      <w:r>
        <w:rPr>
          <w:spacing w:val="-1"/>
          <w:sz w:val="18"/>
        </w:rPr>
        <w:t> </w:t>
      </w:r>
      <w:r>
        <w:rPr>
          <w:sz w:val="18"/>
        </w:rPr>
        <w:t>the</w:t>
      </w:r>
      <w:r>
        <w:rPr>
          <w:spacing w:val="-4"/>
          <w:sz w:val="18"/>
        </w:rPr>
        <w:t> </w:t>
      </w:r>
      <w:r>
        <w:rPr>
          <w:sz w:val="18"/>
        </w:rPr>
        <w:t>Commonwealth</w:t>
      </w:r>
      <w:r>
        <w:rPr>
          <w:spacing w:val="-4"/>
          <w:sz w:val="18"/>
        </w:rPr>
        <w:t> </w:t>
      </w:r>
      <w:r>
        <w:rPr>
          <w:spacing w:val="-2"/>
          <w:sz w:val="18"/>
        </w:rPr>
        <w:t>Government.</w:t>
      </w:r>
    </w:p>
    <w:p>
      <w:pPr>
        <w:spacing w:line="285" w:lineRule="auto" w:before="52"/>
        <w:ind w:left="120" w:right="890" w:firstLine="0"/>
        <w:jc w:val="left"/>
        <w:rPr>
          <w:sz w:val="18"/>
        </w:rPr>
      </w:pPr>
      <w:bookmarkStart w:name="_bookmark5" w:id="9"/>
      <w:bookmarkEnd w:id="9"/>
      <w:r>
        <w:rPr/>
      </w:r>
      <w:r>
        <w:rPr>
          <w:rFonts w:ascii="Calibri"/>
          <w:sz w:val="18"/>
          <w:vertAlign w:val="superscript"/>
        </w:rPr>
        <w:t>6</w:t>
      </w:r>
      <w:r>
        <w:rPr>
          <w:rFonts w:ascii="Calibri"/>
          <w:spacing w:val="40"/>
          <w:sz w:val="18"/>
          <w:vertAlign w:val="baseline"/>
        </w:rPr>
        <w:t> </w:t>
      </w:r>
      <w:r>
        <w:rPr>
          <w:sz w:val="18"/>
          <w:vertAlign w:val="baseline"/>
        </w:rPr>
        <w:t>These</w:t>
      </w:r>
      <w:r>
        <w:rPr>
          <w:spacing w:val="-1"/>
          <w:sz w:val="18"/>
          <w:vertAlign w:val="baseline"/>
        </w:rPr>
        <w:t> </w:t>
      </w:r>
      <w:r>
        <w:rPr>
          <w:sz w:val="18"/>
          <w:vertAlign w:val="baseline"/>
        </w:rPr>
        <w:t>figures</w:t>
      </w:r>
      <w:r>
        <w:rPr>
          <w:spacing w:val="-1"/>
          <w:sz w:val="18"/>
          <w:vertAlign w:val="baseline"/>
        </w:rPr>
        <w:t> </w:t>
      </w:r>
      <w:r>
        <w:rPr>
          <w:sz w:val="18"/>
          <w:vertAlign w:val="baseline"/>
        </w:rPr>
        <w:t>represent</w:t>
      </w:r>
      <w:r>
        <w:rPr>
          <w:spacing w:val="-4"/>
          <w:sz w:val="18"/>
          <w:vertAlign w:val="baseline"/>
        </w:rPr>
        <w:t> </w:t>
      </w:r>
      <w:r>
        <w:rPr>
          <w:sz w:val="18"/>
          <w:vertAlign w:val="baseline"/>
        </w:rPr>
        <w:t>payments</w:t>
      </w:r>
      <w:r>
        <w:rPr>
          <w:spacing w:val="-1"/>
          <w:sz w:val="18"/>
          <w:vertAlign w:val="baseline"/>
        </w:rPr>
        <w:t> </w:t>
      </w:r>
      <w:r>
        <w:rPr>
          <w:sz w:val="18"/>
          <w:vertAlign w:val="baseline"/>
        </w:rPr>
        <w:t>in</w:t>
      </w:r>
      <w:r>
        <w:rPr>
          <w:spacing w:val="-1"/>
          <w:sz w:val="18"/>
          <w:vertAlign w:val="baseline"/>
        </w:rPr>
        <w:t> </w:t>
      </w:r>
      <w:r>
        <w:rPr>
          <w:sz w:val="18"/>
          <w:vertAlign w:val="baseline"/>
        </w:rPr>
        <w:t>2024.</w:t>
      </w:r>
      <w:r>
        <w:rPr>
          <w:spacing w:val="-2"/>
          <w:sz w:val="18"/>
          <w:vertAlign w:val="baseline"/>
        </w:rPr>
        <w:t> </w:t>
      </w:r>
      <w:r>
        <w:rPr>
          <w:sz w:val="18"/>
          <w:vertAlign w:val="baseline"/>
        </w:rPr>
        <w:t>STS</w:t>
      </w:r>
      <w:r>
        <w:rPr>
          <w:spacing w:val="-5"/>
          <w:sz w:val="18"/>
          <w:vertAlign w:val="baseline"/>
        </w:rPr>
        <w:t> </w:t>
      </w:r>
      <w:r>
        <w:rPr>
          <w:sz w:val="18"/>
          <w:vertAlign w:val="baseline"/>
        </w:rPr>
        <w:t>payments</w:t>
      </w:r>
      <w:r>
        <w:rPr>
          <w:spacing w:val="-3"/>
          <w:sz w:val="18"/>
          <w:vertAlign w:val="baseline"/>
        </w:rPr>
        <w:t> </w:t>
      </w:r>
      <w:r>
        <w:rPr>
          <w:sz w:val="18"/>
          <w:vertAlign w:val="baseline"/>
        </w:rPr>
        <w:t>will</w:t>
      </w:r>
      <w:r>
        <w:rPr>
          <w:spacing w:val="-1"/>
          <w:sz w:val="18"/>
          <w:vertAlign w:val="baseline"/>
        </w:rPr>
        <w:t> </w:t>
      </w:r>
      <w:r>
        <w:rPr>
          <w:sz w:val="18"/>
          <w:vertAlign w:val="baseline"/>
        </w:rPr>
        <w:t>be</w:t>
      </w:r>
      <w:r>
        <w:rPr>
          <w:spacing w:val="-1"/>
          <w:sz w:val="18"/>
          <w:vertAlign w:val="baseline"/>
        </w:rPr>
        <w:t> </w:t>
      </w:r>
      <w:r>
        <w:rPr>
          <w:sz w:val="18"/>
          <w:vertAlign w:val="baseline"/>
        </w:rPr>
        <w:t>indexed</w:t>
      </w:r>
      <w:r>
        <w:rPr>
          <w:spacing w:val="-4"/>
          <w:sz w:val="18"/>
          <w:vertAlign w:val="baseline"/>
        </w:rPr>
        <w:t> </w:t>
      </w:r>
      <w:r>
        <w:rPr>
          <w:sz w:val="18"/>
          <w:vertAlign w:val="baseline"/>
        </w:rPr>
        <w:t>at</w:t>
      </w:r>
      <w:r>
        <w:rPr>
          <w:spacing w:val="-2"/>
          <w:sz w:val="18"/>
          <w:vertAlign w:val="baseline"/>
        </w:rPr>
        <w:t> </w:t>
      </w:r>
      <w:r>
        <w:rPr>
          <w:sz w:val="18"/>
          <w:vertAlign w:val="baseline"/>
        </w:rPr>
        <w:t>the</w:t>
      </w:r>
      <w:r>
        <w:rPr>
          <w:spacing w:val="-1"/>
          <w:sz w:val="18"/>
          <w:vertAlign w:val="baseline"/>
        </w:rPr>
        <w:t> </w:t>
      </w:r>
      <w:r>
        <w:rPr>
          <w:sz w:val="18"/>
          <w:vertAlign w:val="baseline"/>
        </w:rPr>
        <w:t>standard</w:t>
      </w:r>
      <w:r>
        <w:rPr>
          <w:spacing w:val="-1"/>
          <w:sz w:val="18"/>
          <w:vertAlign w:val="baseline"/>
        </w:rPr>
        <w:t> </w:t>
      </w:r>
      <w:r>
        <w:rPr>
          <w:sz w:val="18"/>
          <w:vertAlign w:val="baseline"/>
        </w:rPr>
        <w:t>Victorian Government rate of 2.5% per annum.</w:t>
      </w:r>
    </w:p>
    <w:p>
      <w:pPr>
        <w:spacing w:line="292" w:lineRule="auto" w:before="11"/>
        <w:ind w:left="120" w:right="890" w:hanging="1"/>
        <w:jc w:val="left"/>
        <w:rPr>
          <w:sz w:val="18"/>
        </w:rPr>
      </w:pPr>
      <w:bookmarkStart w:name="_bookmark6" w:id="10"/>
      <w:bookmarkEnd w:id="10"/>
      <w:r>
        <w:rPr/>
      </w:r>
      <w:r>
        <w:rPr>
          <w:rFonts w:ascii="Calibri"/>
          <w:sz w:val="18"/>
          <w:vertAlign w:val="superscript"/>
        </w:rPr>
        <w:t>7</w:t>
      </w:r>
      <w:r>
        <w:rPr>
          <w:rFonts w:ascii="Calibri"/>
          <w:spacing w:val="30"/>
          <w:sz w:val="18"/>
          <w:vertAlign w:val="baseline"/>
        </w:rPr>
        <w:t> </w:t>
      </w:r>
      <w:r>
        <w:rPr>
          <w:sz w:val="18"/>
          <w:vertAlign w:val="baseline"/>
        </w:rPr>
        <w:t>These</w:t>
      </w:r>
      <w:r>
        <w:rPr>
          <w:spacing w:val="-1"/>
          <w:sz w:val="18"/>
          <w:vertAlign w:val="baseline"/>
        </w:rPr>
        <w:t> </w:t>
      </w:r>
      <w:r>
        <w:rPr>
          <w:sz w:val="18"/>
          <w:vertAlign w:val="baseline"/>
        </w:rPr>
        <w:t>figures</w:t>
      </w:r>
      <w:r>
        <w:rPr>
          <w:spacing w:val="-1"/>
          <w:sz w:val="18"/>
          <w:vertAlign w:val="baseline"/>
        </w:rPr>
        <w:t> </w:t>
      </w:r>
      <w:r>
        <w:rPr>
          <w:sz w:val="18"/>
          <w:vertAlign w:val="baseline"/>
        </w:rPr>
        <w:t>represent</w:t>
      </w:r>
      <w:r>
        <w:rPr>
          <w:spacing w:val="-2"/>
          <w:sz w:val="18"/>
          <w:vertAlign w:val="baseline"/>
        </w:rPr>
        <w:t> </w:t>
      </w:r>
      <w:r>
        <w:rPr>
          <w:sz w:val="18"/>
          <w:vertAlign w:val="baseline"/>
        </w:rPr>
        <w:t>payments</w:t>
      </w:r>
      <w:r>
        <w:rPr>
          <w:spacing w:val="-1"/>
          <w:sz w:val="18"/>
          <w:vertAlign w:val="baseline"/>
        </w:rPr>
        <w:t> </w:t>
      </w:r>
      <w:r>
        <w:rPr>
          <w:sz w:val="18"/>
          <w:vertAlign w:val="baseline"/>
        </w:rPr>
        <w:t>in</w:t>
      </w:r>
      <w:r>
        <w:rPr>
          <w:spacing w:val="-1"/>
          <w:sz w:val="18"/>
          <w:vertAlign w:val="baseline"/>
        </w:rPr>
        <w:t> </w:t>
      </w:r>
      <w:r>
        <w:rPr>
          <w:sz w:val="18"/>
          <w:vertAlign w:val="baseline"/>
        </w:rPr>
        <w:t>2024.</w:t>
      </w:r>
      <w:r>
        <w:rPr>
          <w:spacing w:val="-2"/>
          <w:sz w:val="18"/>
          <w:vertAlign w:val="baseline"/>
        </w:rPr>
        <w:t> </w:t>
      </w:r>
      <w:r>
        <w:rPr>
          <w:sz w:val="18"/>
          <w:vertAlign w:val="baseline"/>
        </w:rPr>
        <w:t>STS</w:t>
      </w:r>
      <w:r>
        <w:rPr>
          <w:spacing w:val="-5"/>
          <w:sz w:val="18"/>
          <w:vertAlign w:val="baseline"/>
        </w:rPr>
        <w:t> </w:t>
      </w:r>
      <w:r>
        <w:rPr>
          <w:sz w:val="18"/>
          <w:vertAlign w:val="baseline"/>
        </w:rPr>
        <w:t>payments</w:t>
      </w:r>
      <w:r>
        <w:rPr>
          <w:spacing w:val="-3"/>
          <w:sz w:val="18"/>
          <w:vertAlign w:val="baseline"/>
        </w:rPr>
        <w:t> </w:t>
      </w:r>
      <w:r>
        <w:rPr>
          <w:sz w:val="18"/>
          <w:vertAlign w:val="baseline"/>
        </w:rPr>
        <w:t>will</w:t>
      </w:r>
      <w:r>
        <w:rPr>
          <w:spacing w:val="-1"/>
          <w:sz w:val="18"/>
          <w:vertAlign w:val="baseline"/>
        </w:rPr>
        <w:t> </w:t>
      </w:r>
      <w:r>
        <w:rPr>
          <w:sz w:val="18"/>
          <w:vertAlign w:val="baseline"/>
        </w:rPr>
        <w:t>be</w:t>
      </w:r>
      <w:r>
        <w:rPr>
          <w:spacing w:val="-1"/>
          <w:sz w:val="18"/>
          <w:vertAlign w:val="baseline"/>
        </w:rPr>
        <w:t> </w:t>
      </w:r>
      <w:r>
        <w:rPr>
          <w:sz w:val="18"/>
          <w:vertAlign w:val="baseline"/>
        </w:rPr>
        <w:t>indexed</w:t>
      </w:r>
      <w:r>
        <w:rPr>
          <w:spacing w:val="-4"/>
          <w:sz w:val="18"/>
          <w:vertAlign w:val="baseline"/>
        </w:rPr>
        <w:t> </w:t>
      </w:r>
      <w:r>
        <w:rPr>
          <w:sz w:val="18"/>
          <w:vertAlign w:val="baseline"/>
        </w:rPr>
        <w:t>at</w:t>
      </w:r>
      <w:r>
        <w:rPr>
          <w:spacing w:val="-2"/>
          <w:sz w:val="18"/>
          <w:vertAlign w:val="baseline"/>
        </w:rPr>
        <w:t> </w:t>
      </w:r>
      <w:r>
        <w:rPr>
          <w:sz w:val="18"/>
          <w:vertAlign w:val="baseline"/>
        </w:rPr>
        <w:t>the</w:t>
      </w:r>
      <w:r>
        <w:rPr>
          <w:spacing w:val="-1"/>
          <w:sz w:val="18"/>
          <w:vertAlign w:val="baseline"/>
        </w:rPr>
        <w:t> </w:t>
      </w:r>
      <w:r>
        <w:rPr>
          <w:sz w:val="18"/>
          <w:vertAlign w:val="baseline"/>
        </w:rPr>
        <w:t>standard</w:t>
      </w:r>
      <w:r>
        <w:rPr>
          <w:spacing w:val="-1"/>
          <w:sz w:val="18"/>
          <w:vertAlign w:val="baseline"/>
        </w:rPr>
        <w:t> </w:t>
      </w:r>
      <w:r>
        <w:rPr>
          <w:sz w:val="18"/>
          <w:vertAlign w:val="baseline"/>
        </w:rPr>
        <w:t>Victorian Government rate of 2.5% per annum.</w:t>
      </w:r>
    </w:p>
    <w:p>
      <w:pPr>
        <w:spacing w:after="0" w:line="292" w:lineRule="auto"/>
        <w:jc w:val="left"/>
        <w:rPr>
          <w:sz w:val="18"/>
        </w:rPr>
        <w:sectPr>
          <w:pgSz w:w="11910" w:h="16840"/>
          <w:pgMar w:header="0" w:footer="765" w:top="1900" w:bottom="960" w:left="1320" w:right="620"/>
        </w:sectPr>
      </w:pPr>
    </w:p>
    <w:p>
      <w:pPr>
        <w:pStyle w:val="Heading1"/>
        <w:numPr>
          <w:ilvl w:val="0"/>
          <w:numId w:val="1"/>
        </w:numPr>
        <w:tabs>
          <w:tab w:pos="480" w:val="left" w:leader="none"/>
        </w:tabs>
        <w:spacing w:line="240" w:lineRule="auto" w:before="85" w:after="0"/>
        <w:ind w:left="480" w:right="0" w:hanging="360"/>
        <w:jc w:val="left"/>
      </w:pPr>
      <w:bookmarkStart w:name="2. Eligibility" w:id="11"/>
      <w:bookmarkEnd w:id="11"/>
      <w:r>
        <w:rPr>
          <w:b w:val="0"/>
        </w:rPr>
      </w:r>
      <w:r>
        <w:rPr>
          <w:color w:val="205E99"/>
          <w:spacing w:val="-2"/>
        </w:rPr>
        <w:t>Eligibility</w:t>
      </w:r>
    </w:p>
    <w:p>
      <w:pPr>
        <w:pStyle w:val="Heading2"/>
        <w:numPr>
          <w:ilvl w:val="1"/>
          <w:numId w:val="2"/>
        </w:numPr>
        <w:tabs>
          <w:tab w:pos="486" w:val="left" w:leader="none"/>
        </w:tabs>
        <w:spacing w:line="240" w:lineRule="auto" w:before="216" w:after="0"/>
        <w:ind w:left="486" w:right="0" w:hanging="366"/>
        <w:jc w:val="left"/>
      </w:pPr>
      <w:bookmarkStart w:name="2.1 To be eligible for STS, an applicant" w:id="12"/>
      <w:bookmarkEnd w:id="12"/>
      <w:r>
        <w:rPr>
          <w:b w:val="0"/>
        </w:rPr>
      </w:r>
      <w:r>
        <w:rPr/>
        <w:t>To</w:t>
      </w:r>
      <w:r>
        <w:rPr>
          <w:spacing w:val="-7"/>
        </w:rPr>
        <w:t> </w:t>
      </w:r>
      <w:r>
        <w:rPr/>
        <w:t>be</w:t>
      </w:r>
      <w:r>
        <w:rPr>
          <w:spacing w:val="-3"/>
        </w:rPr>
        <w:t> </w:t>
      </w:r>
      <w:r>
        <w:rPr/>
        <w:t>eligible</w:t>
      </w:r>
      <w:r>
        <w:rPr>
          <w:spacing w:val="-5"/>
        </w:rPr>
        <w:t> </w:t>
      </w:r>
      <w:r>
        <w:rPr/>
        <w:t>for</w:t>
      </w:r>
      <w:r>
        <w:rPr>
          <w:spacing w:val="-2"/>
        </w:rPr>
        <w:t> </w:t>
      </w:r>
      <w:r>
        <w:rPr/>
        <w:t>STS,</w:t>
      </w:r>
      <w:r>
        <w:rPr>
          <w:spacing w:val="-3"/>
        </w:rPr>
        <w:t> </w:t>
      </w:r>
      <w:r>
        <w:rPr/>
        <w:t>an</w:t>
      </w:r>
      <w:r>
        <w:rPr>
          <w:spacing w:val="-4"/>
        </w:rPr>
        <w:t> </w:t>
      </w:r>
      <w:r>
        <w:rPr/>
        <w:t>applicant</w:t>
      </w:r>
      <w:r>
        <w:rPr>
          <w:spacing w:val="-4"/>
        </w:rPr>
        <w:t> </w:t>
      </w:r>
      <w:r>
        <w:rPr/>
        <w:t>must</w:t>
      </w:r>
      <w:r>
        <w:rPr>
          <w:spacing w:val="-3"/>
        </w:rPr>
        <w:t> </w:t>
      </w:r>
      <w:r>
        <w:rPr>
          <w:spacing w:val="-5"/>
        </w:rPr>
        <w:t>be:</w:t>
      </w:r>
    </w:p>
    <w:p>
      <w:pPr>
        <w:pStyle w:val="ListParagraph"/>
        <w:numPr>
          <w:ilvl w:val="2"/>
          <w:numId w:val="2"/>
        </w:numPr>
        <w:tabs>
          <w:tab w:pos="1389" w:val="left" w:leader="none"/>
          <w:tab w:pos="1559" w:val="left" w:leader="none"/>
        </w:tabs>
        <w:spacing w:line="388" w:lineRule="auto" w:before="119" w:after="0"/>
        <w:ind w:left="1559" w:right="1688" w:hanging="720"/>
        <w:jc w:val="left"/>
        <w:rPr>
          <w:sz w:val="22"/>
        </w:rPr>
      </w:pPr>
      <w:r>
        <w:rPr>
          <w:sz w:val="22"/>
        </w:rPr>
        <w:t>a</w:t>
      </w:r>
      <w:r>
        <w:rPr>
          <w:spacing w:val="-5"/>
          <w:sz w:val="22"/>
        </w:rPr>
        <w:t> </w:t>
      </w:r>
      <w:r>
        <w:rPr>
          <w:sz w:val="22"/>
        </w:rPr>
        <w:t>Victorian</w:t>
      </w:r>
      <w:r>
        <w:rPr>
          <w:spacing w:val="-5"/>
          <w:sz w:val="22"/>
        </w:rPr>
        <w:t> </w:t>
      </w:r>
      <w:r>
        <w:rPr>
          <w:sz w:val="22"/>
        </w:rPr>
        <w:t>or</w:t>
      </w:r>
      <w:r>
        <w:rPr>
          <w:spacing w:val="-3"/>
          <w:sz w:val="22"/>
        </w:rPr>
        <w:t> </w:t>
      </w:r>
      <w:r>
        <w:rPr>
          <w:sz w:val="22"/>
        </w:rPr>
        <w:t>designated</w:t>
      </w:r>
      <w:r>
        <w:rPr>
          <w:spacing w:val="-4"/>
          <w:sz w:val="22"/>
        </w:rPr>
        <w:t> </w:t>
      </w:r>
      <w:r>
        <w:rPr>
          <w:sz w:val="22"/>
        </w:rPr>
        <w:t>border</w:t>
      </w:r>
      <w:r>
        <w:rPr>
          <w:spacing w:val="-6"/>
          <w:sz w:val="22"/>
        </w:rPr>
        <w:t> </w:t>
      </w:r>
      <w:r>
        <w:rPr>
          <w:sz w:val="22"/>
        </w:rPr>
        <w:t>community</w:t>
      </w:r>
      <w:r>
        <w:rPr>
          <w:spacing w:val="-8"/>
          <w:sz w:val="22"/>
        </w:rPr>
        <w:t> </w:t>
      </w:r>
      <w:r>
        <w:rPr>
          <w:sz w:val="22"/>
        </w:rPr>
        <w:t>resident</w:t>
      </w:r>
      <w:r>
        <w:rPr>
          <w:spacing w:val="-3"/>
          <w:sz w:val="22"/>
        </w:rPr>
        <w:t> </w:t>
      </w:r>
      <w:r>
        <w:rPr>
          <w:sz w:val="22"/>
        </w:rPr>
        <w:t>domestic</w:t>
      </w:r>
      <w:r>
        <w:rPr>
          <w:spacing w:val="-4"/>
          <w:sz w:val="22"/>
        </w:rPr>
        <w:t> </w:t>
      </w:r>
      <w:r>
        <w:rPr>
          <w:sz w:val="22"/>
        </w:rPr>
        <w:t>student. For the purposes of the STS, this is defined as:</w:t>
      </w:r>
    </w:p>
    <w:p>
      <w:pPr>
        <w:pStyle w:val="ListParagraph"/>
        <w:numPr>
          <w:ilvl w:val="3"/>
          <w:numId w:val="2"/>
        </w:numPr>
        <w:tabs>
          <w:tab w:pos="1919" w:val="left" w:leader="none"/>
        </w:tabs>
        <w:spacing w:line="240" w:lineRule="auto" w:before="1" w:after="0"/>
        <w:ind w:left="1919" w:right="0" w:hanging="360"/>
        <w:jc w:val="left"/>
        <w:rPr>
          <w:sz w:val="22"/>
        </w:rPr>
      </w:pPr>
      <w:r>
        <w:rPr>
          <w:sz w:val="22"/>
        </w:rPr>
        <w:t>an</w:t>
      </w:r>
      <w:r>
        <w:rPr>
          <w:spacing w:val="-6"/>
          <w:sz w:val="22"/>
        </w:rPr>
        <w:t> </w:t>
      </w:r>
      <w:r>
        <w:rPr>
          <w:sz w:val="22"/>
        </w:rPr>
        <w:t>Australian</w:t>
      </w:r>
      <w:r>
        <w:rPr>
          <w:spacing w:val="-5"/>
          <w:sz w:val="22"/>
        </w:rPr>
        <w:t> </w:t>
      </w:r>
      <w:r>
        <w:rPr>
          <w:spacing w:val="-2"/>
          <w:sz w:val="22"/>
        </w:rPr>
        <w:t>citizen</w:t>
      </w:r>
    </w:p>
    <w:p>
      <w:pPr>
        <w:pStyle w:val="ListParagraph"/>
        <w:numPr>
          <w:ilvl w:val="3"/>
          <w:numId w:val="2"/>
        </w:numPr>
        <w:tabs>
          <w:tab w:pos="1920" w:val="left" w:leader="none"/>
        </w:tabs>
        <w:spacing w:line="240" w:lineRule="auto" w:before="37" w:after="0"/>
        <w:ind w:left="1920" w:right="0" w:hanging="360"/>
        <w:jc w:val="left"/>
        <w:rPr>
          <w:sz w:val="22"/>
        </w:rPr>
      </w:pPr>
      <w:r>
        <w:rPr>
          <w:sz w:val="22"/>
        </w:rPr>
        <w:t>an</w:t>
      </w:r>
      <w:r>
        <w:rPr>
          <w:spacing w:val="-7"/>
          <w:sz w:val="22"/>
        </w:rPr>
        <w:t> </w:t>
      </w:r>
      <w:r>
        <w:rPr>
          <w:sz w:val="22"/>
        </w:rPr>
        <w:t>Australian</w:t>
      </w:r>
      <w:r>
        <w:rPr>
          <w:spacing w:val="-6"/>
          <w:sz w:val="22"/>
        </w:rPr>
        <w:t> </w:t>
      </w:r>
      <w:r>
        <w:rPr>
          <w:sz w:val="22"/>
        </w:rPr>
        <w:t>permanent</w:t>
      </w:r>
      <w:r>
        <w:rPr>
          <w:spacing w:val="-6"/>
          <w:sz w:val="22"/>
        </w:rPr>
        <w:t> </w:t>
      </w:r>
      <w:r>
        <w:rPr>
          <w:spacing w:val="-2"/>
          <w:sz w:val="22"/>
        </w:rPr>
        <w:t>resident</w:t>
      </w:r>
    </w:p>
    <w:p>
      <w:pPr>
        <w:pStyle w:val="ListParagraph"/>
        <w:numPr>
          <w:ilvl w:val="3"/>
          <w:numId w:val="2"/>
        </w:numPr>
        <w:tabs>
          <w:tab w:pos="1920" w:val="left" w:leader="none"/>
        </w:tabs>
        <w:spacing w:line="240" w:lineRule="auto" w:before="36" w:after="0"/>
        <w:ind w:left="1920" w:right="0" w:hanging="360"/>
        <w:jc w:val="left"/>
        <w:rPr>
          <w:sz w:val="22"/>
        </w:rPr>
      </w:pPr>
      <w:r>
        <w:rPr>
          <w:sz w:val="22"/>
        </w:rPr>
        <w:t>a</w:t>
      </w:r>
      <w:r>
        <w:rPr>
          <w:spacing w:val="-7"/>
          <w:sz w:val="22"/>
        </w:rPr>
        <w:t> </w:t>
      </w:r>
      <w:r>
        <w:rPr>
          <w:sz w:val="22"/>
        </w:rPr>
        <w:t>New</w:t>
      </w:r>
      <w:r>
        <w:rPr>
          <w:spacing w:val="-4"/>
          <w:sz w:val="22"/>
        </w:rPr>
        <w:t> </w:t>
      </w:r>
      <w:r>
        <w:rPr>
          <w:sz w:val="22"/>
        </w:rPr>
        <w:t>Zealand</w:t>
      </w:r>
      <w:r>
        <w:rPr>
          <w:spacing w:val="-4"/>
          <w:sz w:val="22"/>
        </w:rPr>
        <w:t> </w:t>
      </w:r>
      <w:r>
        <w:rPr>
          <w:sz w:val="22"/>
        </w:rPr>
        <w:t>citizen</w:t>
      </w:r>
      <w:r>
        <w:rPr>
          <w:spacing w:val="-6"/>
          <w:sz w:val="22"/>
        </w:rPr>
        <w:t> </w:t>
      </w:r>
      <w:r>
        <w:rPr>
          <w:sz w:val="22"/>
        </w:rPr>
        <w:t>living</w:t>
      </w:r>
      <w:r>
        <w:rPr>
          <w:spacing w:val="-4"/>
          <w:sz w:val="22"/>
        </w:rPr>
        <w:t> </w:t>
      </w:r>
      <w:r>
        <w:rPr>
          <w:sz w:val="22"/>
        </w:rPr>
        <w:t>in</w:t>
      </w:r>
      <w:r>
        <w:rPr>
          <w:spacing w:val="-4"/>
          <w:sz w:val="22"/>
        </w:rPr>
        <w:t> </w:t>
      </w:r>
      <w:r>
        <w:rPr>
          <w:sz w:val="22"/>
        </w:rPr>
        <w:t>Victoria,</w:t>
      </w:r>
      <w:r>
        <w:rPr>
          <w:spacing w:val="-4"/>
          <w:sz w:val="22"/>
        </w:rPr>
        <w:t> </w:t>
      </w:r>
      <w:r>
        <w:rPr>
          <w:spacing w:val="-5"/>
          <w:sz w:val="22"/>
        </w:rPr>
        <w:t>or</w:t>
      </w:r>
    </w:p>
    <w:p>
      <w:pPr>
        <w:pStyle w:val="ListParagraph"/>
        <w:numPr>
          <w:ilvl w:val="3"/>
          <w:numId w:val="2"/>
        </w:numPr>
        <w:tabs>
          <w:tab w:pos="1560" w:val="left" w:leader="none"/>
          <w:tab w:pos="1917" w:val="left" w:leader="none"/>
        </w:tabs>
        <w:spacing w:line="379" w:lineRule="auto" w:before="37" w:after="0"/>
        <w:ind w:left="1560" w:right="3127" w:hanging="1"/>
        <w:jc w:val="left"/>
        <w:rPr>
          <w:sz w:val="22"/>
        </w:rPr>
      </w:pPr>
      <w:r>
        <w:rPr>
          <w:sz w:val="22"/>
        </w:rPr>
        <w:t>an</w:t>
      </w:r>
      <w:r>
        <w:rPr>
          <w:spacing w:val="-6"/>
          <w:sz w:val="22"/>
        </w:rPr>
        <w:t> </w:t>
      </w:r>
      <w:r>
        <w:rPr>
          <w:sz w:val="22"/>
        </w:rPr>
        <w:t>Australian</w:t>
      </w:r>
      <w:r>
        <w:rPr>
          <w:spacing w:val="-6"/>
          <w:sz w:val="22"/>
        </w:rPr>
        <w:t> </w:t>
      </w:r>
      <w:r>
        <w:rPr>
          <w:sz w:val="22"/>
        </w:rPr>
        <w:t>permanent</w:t>
      </w:r>
      <w:r>
        <w:rPr>
          <w:spacing w:val="-6"/>
          <w:sz w:val="22"/>
        </w:rPr>
        <w:t> </w:t>
      </w:r>
      <w:r>
        <w:rPr>
          <w:sz w:val="22"/>
        </w:rPr>
        <w:t>humanitarian</w:t>
      </w:r>
      <w:r>
        <w:rPr>
          <w:spacing w:val="-6"/>
          <w:sz w:val="22"/>
        </w:rPr>
        <w:t> </w:t>
      </w:r>
      <w:r>
        <w:rPr>
          <w:sz w:val="22"/>
        </w:rPr>
        <w:t>visa</w:t>
      </w:r>
      <w:r>
        <w:rPr>
          <w:spacing w:val="-8"/>
          <w:sz w:val="22"/>
        </w:rPr>
        <w:t> </w:t>
      </w:r>
      <w:r>
        <w:rPr>
          <w:sz w:val="22"/>
        </w:rPr>
        <w:t>holder, </w:t>
      </w:r>
      <w:r>
        <w:rPr>
          <w:spacing w:val="-4"/>
          <w:sz w:val="22"/>
        </w:rPr>
        <w:t>and</w:t>
      </w:r>
    </w:p>
    <w:p>
      <w:pPr>
        <w:pStyle w:val="ListParagraph"/>
        <w:numPr>
          <w:ilvl w:val="3"/>
          <w:numId w:val="2"/>
        </w:numPr>
        <w:tabs>
          <w:tab w:pos="1918" w:val="left" w:leader="none"/>
          <w:tab w:pos="1920" w:val="left" w:leader="none"/>
        </w:tabs>
        <w:spacing w:line="273" w:lineRule="auto" w:before="10" w:after="0"/>
        <w:ind w:left="1920" w:right="814" w:hanging="361"/>
        <w:jc w:val="both"/>
        <w:rPr>
          <w:sz w:val="22"/>
        </w:rPr>
      </w:pPr>
      <w:r>
        <w:rPr>
          <w:sz w:val="22"/>
        </w:rPr>
        <w:t>someone whose place of primary residence is in Victoria or a designated border community during completion of their eligible ITE degree (see </w:t>
      </w:r>
      <w:r>
        <w:rPr>
          <w:b/>
          <w:sz w:val="22"/>
        </w:rPr>
        <w:t>Appendix 1 </w:t>
      </w:r>
      <w:r>
        <w:rPr>
          <w:sz w:val="22"/>
        </w:rPr>
        <w:t>for a list of approved border communities);</w:t>
      </w:r>
    </w:p>
    <w:p>
      <w:pPr>
        <w:pStyle w:val="ListParagraph"/>
        <w:numPr>
          <w:ilvl w:val="2"/>
          <w:numId w:val="2"/>
        </w:numPr>
        <w:tabs>
          <w:tab w:pos="1397" w:val="left" w:leader="none"/>
          <w:tab w:pos="1431" w:val="left" w:leader="none"/>
        </w:tabs>
        <w:spacing w:line="276" w:lineRule="auto" w:before="124" w:after="0"/>
        <w:ind w:left="1397" w:right="814" w:hanging="557"/>
        <w:jc w:val="both"/>
        <w:rPr>
          <w:sz w:val="22"/>
        </w:rPr>
      </w:pPr>
      <w:r>
        <w:rPr>
          <w:b/>
          <w:sz w:val="22"/>
        </w:rPr>
        <w:tab/>
      </w:r>
      <w:r>
        <w:rPr>
          <w:sz w:val="22"/>
        </w:rPr>
        <w:t>enrolled in a secondary or dual qualification (primary-secondary) school ITE degree accredited by the VIT, or an equivalent regulatory State or Territory authority</w:t>
      </w:r>
      <w:r>
        <w:rPr>
          <w:spacing w:val="-3"/>
          <w:sz w:val="22"/>
        </w:rPr>
        <w:t> </w:t>
      </w:r>
      <w:r>
        <w:rPr>
          <w:sz w:val="22"/>
        </w:rPr>
        <w:t>and</w:t>
      </w:r>
      <w:r>
        <w:rPr>
          <w:spacing w:val="-4"/>
          <w:sz w:val="22"/>
        </w:rPr>
        <w:t> </w:t>
      </w:r>
      <w:r>
        <w:rPr>
          <w:sz w:val="22"/>
        </w:rPr>
        <w:t>recognised</w:t>
      </w:r>
      <w:r>
        <w:rPr>
          <w:spacing w:val="-4"/>
          <w:sz w:val="22"/>
        </w:rPr>
        <w:t> </w:t>
      </w:r>
      <w:r>
        <w:rPr>
          <w:sz w:val="22"/>
        </w:rPr>
        <w:t>by</w:t>
      </w:r>
      <w:r>
        <w:rPr>
          <w:spacing w:val="-4"/>
          <w:sz w:val="22"/>
        </w:rPr>
        <w:t> </w:t>
      </w:r>
      <w:r>
        <w:rPr>
          <w:sz w:val="22"/>
        </w:rPr>
        <w:t>the</w:t>
      </w:r>
      <w:r>
        <w:rPr>
          <w:spacing w:val="-4"/>
          <w:sz w:val="22"/>
        </w:rPr>
        <w:t> </w:t>
      </w:r>
      <w:r>
        <w:rPr>
          <w:sz w:val="22"/>
        </w:rPr>
        <w:t>VIT, with</w:t>
      </w:r>
      <w:r>
        <w:rPr>
          <w:spacing w:val="-4"/>
          <w:sz w:val="22"/>
        </w:rPr>
        <w:t> </w:t>
      </w:r>
      <w:r>
        <w:rPr>
          <w:sz w:val="22"/>
        </w:rPr>
        <w:t>a</w:t>
      </w:r>
      <w:r>
        <w:rPr>
          <w:spacing w:val="-4"/>
          <w:sz w:val="22"/>
        </w:rPr>
        <w:t> </w:t>
      </w:r>
      <w:r>
        <w:rPr>
          <w:sz w:val="22"/>
        </w:rPr>
        <w:t>first</w:t>
      </w:r>
      <w:r>
        <w:rPr>
          <w:spacing w:val="-3"/>
          <w:sz w:val="22"/>
        </w:rPr>
        <w:t> </w:t>
      </w:r>
      <w:r>
        <w:rPr>
          <w:sz w:val="22"/>
        </w:rPr>
        <w:t>census</w:t>
      </w:r>
      <w:r>
        <w:rPr>
          <w:spacing w:val="-1"/>
          <w:sz w:val="22"/>
        </w:rPr>
        <w:t> </w:t>
      </w:r>
      <w:r>
        <w:rPr>
          <w:sz w:val="22"/>
        </w:rPr>
        <w:t>date</w:t>
      </w:r>
      <w:r>
        <w:rPr>
          <w:spacing w:val="-1"/>
          <w:sz w:val="22"/>
        </w:rPr>
        <w:t> </w:t>
      </w:r>
      <w:r>
        <w:rPr>
          <w:sz w:val="22"/>
        </w:rPr>
        <w:t>between</w:t>
      </w:r>
      <w:r>
        <w:rPr>
          <w:spacing w:val="-2"/>
          <w:sz w:val="22"/>
        </w:rPr>
        <w:t> </w:t>
      </w:r>
      <w:r>
        <w:rPr>
          <w:sz w:val="22"/>
        </w:rPr>
        <w:t>1</w:t>
      </w:r>
      <w:r>
        <w:rPr>
          <w:spacing w:val="-4"/>
          <w:sz w:val="22"/>
        </w:rPr>
        <w:t> </w:t>
      </w:r>
      <w:r>
        <w:rPr>
          <w:sz w:val="22"/>
        </w:rPr>
        <w:t>January 2024 and 31 December 2025;</w:t>
      </w:r>
      <w:hyperlink w:history="true" w:anchor="_bookmark7">
        <w:r>
          <w:rPr>
            <w:sz w:val="22"/>
            <w:vertAlign w:val="superscript"/>
          </w:rPr>
          <w:t>8</w:t>
        </w:r>
      </w:hyperlink>
    </w:p>
    <w:p>
      <w:pPr>
        <w:pStyle w:val="ListParagraph"/>
        <w:numPr>
          <w:ilvl w:val="2"/>
          <w:numId w:val="2"/>
        </w:numPr>
        <w:tabs>
          <w:tab w:pos="1382" w:val="left" w:leader="none"/>
          <w:tab w:pos="1396" w:val="left" w:leader="none"/>
        </w:tabs>
        <w:spacing w:line="276" w:lineRule="auto" w:before="121" w:after="0"/>
        <w:ind w:left="1396" w:right="816" w:hanging="557"/>
        <w:jc w:val="both"/>
        <w:rPr>
          <w:sz w:val="22"/>
        </w:rPr>
      </w:pPr>
      <w:r>
        <w:rPr>
          <w:sz w:val="22"/>
        </w:rPr>
        <w:t>commencing</w:t>
      </w:r>
      <w:r>
        <w:rPr>
          <w:spacing w:val="-11"/>
          <w:sz w:val="22"/>
        </w:rPr>
        <w:t> </w:t>
      </w:r>
      <w:r>
        <w:rPr>
          <w:sz w:val="22"/>
        </w:rPr>
        <w:t>their</w:t>
      </w:r>
      <w:r>
        <w:rPr>
          <w:spacing w:val="-12"/>
          <w:sz w:val="22"/>
        </w:rPr>
        <w:t> </w:t>
      </w:r>
      <w:r>
        <w:rPr>
          <w:sz w:val="22"/>
        </w:rPr>
        <w:t>first</w:t>
      </w:r>
      <w:r>
        <w:rPr>
          <w:spacing w:val="-10"/>
          <w:sz w:val="22"/>
        </w:rPr>
        <w:t> </w:t>
      </w:r>
      <w:r>
        <w:rPr>
          <w:sz w:val="22"/>
        </w:rPr>
        <w:t>year</w:t>
      </w:r>
      <w:r>
        <w:rPr>
          <w:spacing w:val="-10"/>
          <w:sz w:val="22"/>
        </w:rPr>
        <w:t> </w:t>
      </w:r>
      <w:r>
        <w:rPr>
          <w:sz w:val="22"/>
        </w:rPr>
        <w:t>of</w:t>
      </w:r>
      <w:r>
        <w:rPr>
          <w:spacing w:val="-10"/>
          <w:sz w:val="22"/>
        </w:rPr>
        <w:t> </w:t>
      </w:r>
      <w:r>
        <w:rPr>
          <w:sz w:val="22"/>
        </w:rPr>
        <w:t>study</w:t>
      </w:r>
      <w:r>
        <w:rPr>
          <w:spacing w:val="-11"/>
          <w:sz w:val="22"/>
        </w:rPr>
        <w:t> </w:t>
      </w:r>
      <w:r>
        <w:rPr>
          <w:sz w:val="22"/>
        </w:rPr>
        <w:t>of</w:t>
      </w:r>
      <w:r>
        <w:rPr>
          <w:spacing w:val="-10"/>
          <w:sz w:val="22"/>
        </w:rPr>
        <w:t> </w:t>
      </w:r>
      <w:r>
        <w:rPr>
          <w:sz w:val="22"/>
        </w:rPr>
        <w:t>an</w:t>
      </w:r>
      <w:r>
        <w:rPr>
          <w:spacing w:val="-11"/>
          <w:sz w:val="22"/>
        </w:rPr>
        <w:t> </w:t>
      </w:r>
      <w:r>
        <w:rPr>
          <w:sz w:val="22"/>
        </w:rPr>
        <w:t>eligible</w:t>
      </w:r>
      <w:r>
        <w:rPr>
          <w:spacing w:val="-9"/>
          <w:sz w:val="22"/>
        </w:rPr>
        <w:t> </w:t>
      </w:r>
      <w:r>
        <w:rPr>
          <w:sz w:val="22"/>
        </w:rPr>
        <w:t>ITE</w:t>
      </w:r>
      <w:r>
        <w:rPr>
          <w:spacing w:val="-9"/>
          <w:sz w:val="22"/>
        </w:rPr>
        <w:t> </w:t>
      </w:r>
      <w:r>
        <w:rPr>
          <w:sz w:val="22"/>
        </w:rPr>
        <w:t>degree</w:t>
      </w:r>
      <w:r>
        <w:rPr>
          <w:spacing w:val="-8"/>
          <w:sz w:val="22"/>
        </w:rPr>
        <w:t> </w:t>
      </w:r>
      <w:r>
        <w:rPr>
          <w:sz w:val="22"/>
        </w:rPr>
        <w:t>in</w:t>
      </w:r>
      <w:r>
        <w:rPr>
          <w:spacing w:val="-11"/>
          <w:sz w:val="22"/>
        </w:rPr>
        <w:t> </w:t>
      </w:r>
      <w:r>
        <w:rPr>
          <w:sz w:val="22"/>
        </w:rPr>
        <w:t>the</w:t>
      </w:r>
      <w:r>
        <w:rPr>
          <w:spacing w:val="-11"/>
          <w:sz w:val="22"/>
        </w:rPr>
        <w:t> </w:t>
      </w:r>
      <w:r>
        <w:rPr>
          <w:sz w:val="22"/>
        </w:rPr>
        <w:t>2024</w:t>
      </w:r>
      <w:r>
        <w:rPr>
          <w:spacing w:val="-9"/>
          <w:sz w:val="22"/>
        </w:rPr>
        <w:t> </w:t>
      </w:r>
      <w:r>
        <w:rPr>
          <w:sz w:val="22"/>
        </w:rPr>
        <w:t>or</w:t>
      </w:r>
      <w:r>
        <w:rPr>
          <w:spacing w:val="-10"/>
          <w:sz w:val="22"/>
        </w:rPr>
        <w:t> </w:t>
      </w:r>
      <w:r>
        <w:rPr>
          <w:sz w:val="22"/>
        </w:rPr>
        <w:t>2025 cohort, and have commenced their degree at the time of application; and</w:t>
      </w:r>
    </w:p>
    <w:p>
      <w:pPr>
        <w:pStyle w:val="ListParagraph"/>
        <w:numPr>
          <w:ilvl w:val="2"/>
          <w:numId w:val="2"/>
        </w:numPr>
        <w:tabs>
          <w:tab w:pos="1392" w:val="left" w:leader="none"/>
          <w:tab w:pos="1397" w:val="left" w:leader="none"/>
        </w:tabs>
        <w:spacing w:line="278" w:lineRule="auto" w:before="119" w:after="0"/>
        <w:ind w:left="1397" w:right="817" w:hanging="557"/>
        <w:jc w:val="both"/>
        <w:rPr>
          <w:sz w:val="22"/>
        </w:rPr>
      </w:pPr>
      <w:r>
        <w:rPr>
          <w:sz w:val="22"/>
        </w:rPr>
        <w:t>undertaking</w:t>
      </w:r>
      <w:r>
        <w:rPr>
          <w:spacing w:val="-5"/>
          <w:sz w:val="22"/>
        </w:rPr>
        <w:t> </w:t>
      </w:r>
      <w:r>
        <w:rPr>
          <w:sz w:val="22"/>
        </w:rPr>
        <w:t>the</w:t>
      </w:r>
      <w:r>
        <w:rPr>
          <w:spacing w:val="-3"/>
          <w:sz w:val="22"/>
        </w:rPr>
        <w:t> </w:t>
      </w:r>
      <w:r>
        <w:rPr>
          <w:sz w:val="22"/>
        </w:rPr>
        <w:t>eligible</w:t>
      </w:r>
      <w:r>
        <w:rPr>
          <w:spacing w:val="-3"/>
          <w:sz w:val="22"/>
        </w:rPr>
        <w:t> </w:t>
      </w:r>
      <w:r>
        <w:rPr>
          <w:sz w:val="22"/>
        </w:rPr>
        <w:t>ITE</w:t>
      </w:r>
      <w:r>
        <w:rPr>
          <w:spacing w:val="-3"/>
          <w:sz w:val="22"/>
        </w:rPr>
        <w:t> </w:t>
      </w:r>
      <w:r>
        <w:rPr>
          <w:sz w:val="22"/>
        </w:rPr>
        <w:t>degree</w:t>
      </w:r>
      <w:r>
        <w:rPr>
          <w:spacing w:val="-2"/>
          <w:sz w:val="22"/>
        </w:rPr>
        <w:t> </w:t>
      </w:r>
      <w:r>
        <w:rPr>
          <w:sz w:val="22"/>
        </w:rPr>
        <w:t>at</w:t>
      </w:r>
      <w:r>
        <w:rPr>
          <w:spacing w:val="-1"/>
          <w:sz w:val="22"/>
        </w:rPr>
        <w:t> </w:t>
      </w:r>
      <w:r>
        <w:rPr>
          <w:sz w:val="22"/>
        </w:rPr>
        <w:t>a</w:t>
      </w:r>
      <w:r>
        <w:rPr>
          <w:spacing w:val="-5"/>
          <w:sz w:val="22"/>
        </w:rPr>
        <w:t> </w:t>
      </w:r>
      <w:r>
        <w:rPr>
          <w:sz w:val="22"/>
        </w:rPr>
        <w:t>minimum</w:t>
      </w:r>
      <w:r>
        <w:rPr>
          <w:spacing w:val="-1"/>
          <w:sz w:val="22"/>
        </w:rPr>
        <w:t> </w:t>
      </w:r>
      <w:r>
        <w:rPr>
          <w:sz w:val="22"/>
        </w:rPr>
        <w:t>of</w:t>
      </w:r>
      <w:r>
        <w:rPr>
          <w:spacing w:val="-1"/>
          <w:sz w:val="22"/>
        </w:rPr>
        <w:t> </w:t>
      </w:r>
      <w:r>
        <w:rPr>
          <w:sz w:val="22"/>
        </w:rPr>
        <w:t>50%</w:t>
      </w:r>
      <w:r>
        <w:rPr>
          <w:spacing w:val="-2"/>
          <w:sz w:val="22"/>
        </w:rPr>
        <w:t> </w:t>
      </w:r>
      <w:r>
        <w:rPr>
          <w:sz w:val="22"/>
        </w:rPr>
        <w:t>study</w:t>
      </w:r>
      <w:r>
        <w:rPr>
          <w:spacing w:val="-2"/>
          <w:sz w:val="22"/>
        </w:rPr>
        <w:t> </w:t>
      </w:r>
      <w:r>
        <w:rPr>
          <w:sz w:val="22"/>
        </w:rPr>
        <w:t>load</w:t>
      </w:r>
      <w:r>
        <w:rPr>
          <w:spacing w:val="-3"/>
          <w:sz w:val="22"/>
        </w:rPr>
        <w:t> </w:t>
      </w:r>
      <w:r>
        <w:rPr>
          <w:sz w:val="22"/>
        </w:rPr>
        <w:t>(equivalent full time study load – EFTSL) at the time of assessment</w:t>
      </w:r>
    </w:p>
    <w:p>
      <w:pPr>
        <w:pStyle w:val="Heading2"/>
        <w:numPr>
          <w:ilvl w:val="1"/>
          <w:numId w:val="2"/>
        </w:numPr>
        <w:tabs>
          <w:tab w:pos="487" w:val="left" w:leader="none"/>
        </w:tabs>
        <w:spacing w:line="240" w:lineRule="auto" w:before="159" w:after="0"/>
        <w:ind w:left="487" w:right="0" w:hanging="368"/>
        <w:jc w:val="both"/>
      </w:pPr>
      <w:bookmarkStart w:name="2.2 Further eligibility considerations" w:id="13"/>
      <w:bookmarkEnd w:id="13"/>
      <w:r>
        <w:rPr>
          <w:b w:val="0"/>
        </w:rPr>
      </w:r>
      <w:r>
        <w:rPr/>
        <w:t>Further</w:t>
      </w:r>
      <w:r>
        <w:rPr>
          <w:spacing w:val="-7"/>
        </w:rPr>
        <w:t> </w:t>
      </w:r>
      <w:r>
        <w:rPr/>
        <w:t>eligibility</w:t>
      </w:r>
      <w:r>
        <w:rPr>
          <w:spacing w:val="-7"/>
        </w:rPr>
        <w:t> </w:t>
      </w:r>
      <w:r>
        <w:rPr>
          <w:spacing w:val="-2"/>
        </w:rPr>
        <w:t>considerations</w:t>
      </w:r>
    </w:p>
    <w:p>
      <w:pPr>
        <w:pStyle w:val="ListParagraph"/>
        <w:numPr>
          <w:ilvl w:val="2"/>
          <w:numId w:val="2"/>
        </w:numPr>
        <w:tabs>
          <w:tab w:pos="1388" w:val="left" w:leader="none"/>
        </w:tabs>
        <w:spacing w:line="276" w:lineRule="auto" w:before="117" w:after="0"/>
        <w:ind w:left="840" w:right="817" w:firstLine="0"/>
        <w:jc w:val="both"/>
        <w:rPr>
          <w:sz w:val="22"/>
        </w:rPr>
      </w:pPr>
      <w:r>
        <w:rPr>
          <w:sz w:val="22"/>
        </w:rPr>
        <w:t>Eligible</w:t>
      </w:r>
      <w:r>
        <w:rPr>
          <w:spacing w:val="-5"/>
          <w:sz w:val="22"/>
        </w:rPr>
        <w:t> </w:t>
      </w:r>
      <w:r>
        <w:rPr>
          <w:sz w:val="22"/>
        </w:rPr>
        <w:t>types</w:t>
      </w:r>
      <w:r>
        <w:rPr>
          <w:spacing w:val="-7"/>
          <w:sz w:val="22"/>
        </w:rPr>
        <w:t> </w:t>
      </w:r>
      <w:r>
        <w:rPr>
          <w:sz w:val="22"/>
        </w:rPr>
        <w:t>of</w:t>
      </w:r>
      <w:r>
        <w:rPr>
          <w:spacing w:val="-8"/>
          <w:sz w:val="22"/>
        </w:rPr>
        <w:t> </w:t>
      </w:r>
      <w:r>
        <w:rPr>
          <w:sz w:val="22"/>
        </w:rPr>
        <w:t>ITE</w:t>
      </w:r>
      <w:r>
        <w:rPr>
          <w:spacing w:val="-5"/>
          <w:sz w:val="22"/>
        </w:rPr>
        <w:t> </w:t>
      </w:r>
      <w:r>
        <w:rPr>
          <w:sz w:val="22"/>
        </w:rPr>
        <w:t>degrees</w:t>
      </w:r>
      <w:r>
        <w:rPr>
          <w:spacing w:val="-7"/>
          <w:sz w:val="22"/>
        </w:rPr>
        <w:t> </w:t>
      </w:r>
      <w:r>
        <w:rPr>
          <w:sz w:val="22"/>
        </w:rPr>
        <w:t>to</w:t>
      </w:r>
      <w:r>
        <w:rPr>
          <w:spacing w:val="-10"/>
          <w:sz w:val="22"/>
        </w:rPr>
        <w:t> </w:t>
      </w:r>
      <w:r>
        <w:rPr>
          <w:sz w:val="22"/>
        </w:rPr>
        <w:t>receive</w:t>
      </w:r>
      <w:r>
        <w:rPr>
          <w:spacing w:val="-7"/>
          <w:sz w:val="22"/>
        </w:rPr>
        <w:t> </w:t>
      </w:r>
      <w:r>
        <w:rPr>
          <w:sz w:val="22"/>
        </w:rPr>
        <w:t>STS</w:t>
      </w:r>
      <w:r>
        <w:rPr>
          <w:spacing w:val="-5"/>
          <w:sz w:val="22"/>
        </w:rPr>
        <w:t> </w:t>
      </w:r>
      <w:r>
        <w:rPr>
          <w:sz w:val="22"/>
        </w:rPr>
        <w:t>payments</w:t>
      </w:r>
      <w:r>
        <w:rPr>
          <w:spacing w:val="-7"/>
          <w:sz w:val="22"/>
        </w:rPr>
        <w:t> </w:t>
      </w:r>
      <w:r>
        <w:rPr>
          <w:sz w:val="22"/>
        </w:rPr>
        <w:t>include</w:t>
      </w:r>
      <w:r>
        <w:rPr>
          <w:spacing w:val="-7"/>
          <w:sz w:val="22"/>
        </w:rPr>
        <w:t> </w:t>
      </w:r>
      <w:r>
        <w:rPr>
          <w:sz w:val="22"/>
        </w:rPr>
        <w:t>VIT</w:t>
      </w:r>
      <w:r>
        <w:rPr>
          <w:spacing w:val="-10"/>
          <w:sz w:val="22"/>
        </w:rPr>
        <w:t> </w:t>
      </w:r>
      <w:r>
        <w:rPr>
          <w:sz w:val="22"/>
        </w:rPr>
        <w:t>or</w:t>
      </w:r>
      <w:r>
        <w:rPr>
          <w:spacing w:val="-6"/>
          <w:sz w:val="22"/>
        </w:rPr>
        <w:t> </w:t>
      </w:r>
      <w:r>
        <w:rPr>
          <w:sz w:val="22"/>
        </w:rPr>
        <w:t>equivalent accredited 4-year (FTE) undergraduate and 2-year (FTE) postgraduate degrees that </w:t>
      </w:r>
      <w:r>
        <w:rPr>
          <w:spacing w:val="-4"/>
          <w:sz w:val="22"/>
        </w:rPr>
        <w:t>are:</w:t>
      </w:r>
    </w:p>
    <w:p>
      <w:pPr>
        <w:pStyle w:val="ListParagraph"/>
        <w:numPr>
          <w:ilvl w:val="3"/>
          <w:numId w:val="2"/>
        </w:numPr>
        <w:tabs>
          <w:tab w:pos="1560" w:val="left" w:leader="none"/>
        </w:tabs>
        <w:spacing w:line="240" w:lineRule="auto" w:before="0" w:after="0"/>
        <w:ind w:left="1560" w:right="0" w:hanging="360"/>
        <w:jc w:val="left"/>
        <w:rPr>
          <w:sz w:val="22"/>
        </w:rPr>
      </w:pPr>
      <w:r>
        <w:rPr>
          <w:sz w:val="22"/>
        </w:rPr>
        <w:t>secondary</w:t>
      </w:r>
      <w:r>
        <w:rPr>
          <w:spacing w:val="-5"/>
          <w:sz w:val="22"/>
        </w:rPr>
        <w:t> </w:t>
      </w:r>
      <w:r>
        <w:rPr>
          <w:sz w:val="22"/>
        </w:rPr>
        <w:t>school</w:t>
      </w:r>
      <w:r>
        <w:rPr>
          <w:spacing w:val="-6"/>
          <w:sz w:val="22"/>
        </w:rPr>
        <w:t> </w:t>
      </w:r>
      <w:r>
        <w:rPr>
          <w:sz w:val="22"/>
        </w:rPr>
        <w:t>ITE</w:t>
      </w:r>
      <w:r>
        <w:rPr>
          <w:spacing w:val="-2"/>
          <w:sz w:val="22"/>
        </w:rPr>
        <w:t> degrees</w:t>
      </w:r>
    </w:p>
    <w:p>
      <w:pPr>
        <w:pStyle w:val="ListParagraph"/>
        <w:numPr>
          <w:ilvl w:val="3"/>
          <w:numId w:val="2"/>
        </w:numPr>
        <w:tabs>
          <w:tab w:pos="1560" w:val="left" w:leader="none"/>
        </w:tabs>
        <w:spacing w:line="240" w:lineRule="auto" w:before="35" w:after="0"/>
        <w:ind w:left="1560" w:right="0" w:hanging="360"/>
        <w:jc w:val="left"/>
        <w:rPr>
          <w:sz w:val="22"/>
        </w:rPr>
      </w:pPr>
      <w:r>
        <w:rPr>
          <w:sz w:val="22"/>
        </w:rPr>
        <w:t>dual</w:t>
      </w:r>
      <w:r>
        <w:rPr>
          <w:spacing w:val="-10"/>
          <w:sz w:val="22"/>
        </w:rPr>
        <w:t> </w:t>
      </w:r>
      <w:r>
        <w:rPr>
          <w:sz w:val="22"/>
        </w:rPr>
        <w:t>qualification</w:t>
      </w:r>
      <w:r>
        <w:rPr>
          <w:spacing w:val="-8"/>
          <w:sz w:val="22"/>
        </w:rPr>
        <w:t> </w:t>
      </w:r>
      <w:r>
        <w:rPr>
          <w:sz w:val="22"/>
        </w:rPr>
        <w:t>(primary-secondary</w:t>
      </w:r>
      <w:r>
        <w:rPr>
          <w:spacing w:val="-7"/>
          <w:sz w:val="22"/>
        </w:rPr>
        <w:t> </w:t>
      </w:r>
      <w:r>
        <w:rPr>
          <w:sz w:val="22"/>
        </w:rPr>
        <w:t>school)</w:t>
      </w:r>
      <w:r>
        <w:rPr>
          <w:spacing w:val="-8"/>
          <w:sz w:val="22"/>
        </w:rPr>
        <w:t> </w:t>
      </w:r>
      <w:r>
        <w:rPr>
          <w:sz w:val="22"/>
        </w:rPr>
        <w:t>ITE</w:t>
      </w:r>
      <w:r>
        <w:rPr>
          <w:spacing w:val="-9"/>
          <w:sz w:val="22"/>
        </w:rPr>
        <w:t> </w:t>
      </w:r>
      <w:r>
        <w:rPr>
          <w:spacing w:val="-2"/>
          <w:sz w:val="22"/>
        </w:rPr>
        <w:t>degrees</w:t>
      </w:r>
    </w:p>
    <w:p>
      <w:pPr>
        <w:pStyle w:val="ListParagraph"/>
        <w:numPr>
          <w:ilvl w:val="3"/>
          <w:numId w:val="2"/>
        </w:numPr>
        <w:tabs>
          <w:tab w:pos="1560" w:val="left" w:leader="none"/>
        </w:tabs>
        <w:spacing w:line="240" w:lineRule="auto" w:before="38" w:after="0"/>
        <w:ind w:left="1560" w:right="0" w:hanging="360"/>
        <w:jc w:val="left"/>
        <w:rPr>
          <w:sz w:val="22"/>
        </w:rPr>
      </w:pPr>
      <w:r>
        <w:rPr>
          <w:sz w:val="22"/>
        </w:rPr>
        <w:t>Bachelor</w:t>
      </w:r>
      <w:r>
        <w:rPr>
          <w:spacing w:val="-4"/>
          <w:sz w:val="22"/>
        </w:rPr>
        <w:t> </w:t>
      </w:r>
      <w:r>
        <w:rPr>
          <w:sz w:val="22"/>
        </w:rPr>
        <w:t>of</w:t>
      </w:r>
      <w:r>
        <w:rPr>
          <w:spacing w:val="-5"/>
          <w:sz w:val="22"/>
        </w:rPr>
        <w:t> </w:t>
      </w:r>
      <w:r>
        <w:rPr>
          <w:sz w:val="22"/>
        </w:rPr>
        <w:t>Education</w:t>
      </w:r>
      <w:r>
        <w:rPr>
          <w:spacing w:val="-7"/>
          <w:sz w:val="22"/>
        </w:rPr>
        <w:t> </w:t>
      </w:r>
      <w:r>
        <w:rPr>
          <w:sz w:val="22"/>
        </w:rPr>
        <w:t>(P-12)</w:t>
      </w:r>
      <w:r>
        <w:rPr>
          <w:spacing w:val="-5"/>
          <w:sz w:val="22"/>
        </w:rPr>
        <w:t> </w:t>
      </w:r>
      <w:r>
        <w:rPr>
          <w:spacing w:val="-2"/>
          <w:sz w:val="22"/>
        </w:rPr>
        <w:t>degrees</w:t>
      </w:r>
    </w:p>
    <w:p>
      <w:pPr>
        <w:pStyle w:val="ListParagraph"/>
        <w:numPr>
          <w:ilvl w:val="3"/>
          <w:numId w:val="2"/>
        </w:numPr>
        <w:tabs>
          <w:tab w:pos="1560" w:val="left" w:leader="none"/>
        </w:tabs>
        <w:spacing w:line="240" w:lineRule="auto" w:before="35" w:after="0"/>
        <w:ind w:left="1560" w:right="0" w:hanging="360"/>
        <w:jc w:val="left"/>
        <w:rPr>
          <w:sz w:val="22"/>
        </w:rPr>
      </w:pPr>
      <w:r>
        <w:rPr>
          <w:sz w:val="22"/>
        </w:rPr>
        <w:t>accelerated</w:t>
      </w:r>
      <w:r>
        <w:rPr>
          <w:spacing w:val="-7"/>
          <w:sz w:val="22"/>
        </w:rPr>
        <w:t> </w:t>
      </w:r>
      <w:r>
        <w:rPr>
          <w:sz w:val="22"/>
        </w:rPr>
        <w:t>secondary</w:t>
      </w:r>
      <w:r>
        <w:rPr>
          <w:spacing w:val="-4"/>
          <w:sz w:val="22"/>
        </w:rPr>
        <w:t> </w:t>
      </w:r>
      <w:r>
        <w:rPr>
          <w:sz w:val="22"/>
        </w:rPr>
        <w:t>school</w:t>
      </w:r>
      <w:r>
        <w:rPr>
          <w:spacing w:val="-5"/>
          <w:sz w:val="22"/>
        </w:rPr>
        <w:t> </w:t>
      </w:r>
      <w:r>
        <w:rPr>
          <w:sz w:val="22"/>
        </w:rPr>
        <w:t>ITE</w:t>
      </w:r>
      <w:r>
        <w:rPr>
          <w:spacing w:val="-4"/>
          <w:sz w:val="22"/>
        </w:rPr>
        <w:t> </w:t>
      </w:r>
      <w:r>
        <w:rPr>
          <w:spacing w:val="-2"/>
          <w:sz w:val="22"/>
        </w:rPr>
        <w:t>degrees</w:t>
      </w:r>
    </w:p>
    <w:p>
      <w:pPr>
        <w:pStyle w:val="ListParagraph"/>
        <w:numPr>
          <w:ilvl w:val="3"/>
          <w:numId w:val="2"/>
        </w:numPr>
        <w:tabs>
          <w:tab w:pos="1560" w:val="left" w:leader="none"/>
        </w:tabs>
        <w:spacing w:line="271" w:lineRule="auto" w:before="38" w:after="0"/>
        <w:ind w:left="1560" w:right="818" w:hanging="360"/>
        <w:jc w:val="left"/>
        <w:rPr>
          <w:sz w:val="22"/>
        </w:rPr>
      </w:pPr>
      <w:r>
        <w:rPr>
          <w:sz w:val="22"/>
        </w:rPr>
        <w:t>employment-based</w:t>
      </w:r>
      <w:r>
        <w:rPr>
          <w:spacing w:val="-16"/>
          <w:sz w:val="22"/>
        </w:rPr>
        <w:t> </w:t>
      </w:r>
      <w:r>
        <w:rPr>
          <w:sz w:val="22"/>
        </w:rPr>
        <w:t>secondary</w:t>
      </w:r>
      <w:r>
        <w:rPr>
          <w:spacing w:val="-15"/>
          <w:sz w:val="22"/>
        </w:rPr>
        <w:t> </w:t>
      </w:r>
      <w:r>
        <w:rPr>
          <w:sz w:val="22"/>
        </w:rPr>
        <w:t>school</w:t>
      </w:r>
      <w:r>
        <w:rPr>
          <w:spacing w:val="-15"/>
          <w:sz w:val="22"/>
        </w:rPr>
        <w:t> </w:t>
      </w:r>
      <w:r>
        <w:rPr>
          <w:sz w:val="22"/>
        </w:rPr>
        <w:t>ITE</w:t>
      </w:r>
      <w:r>
        <w:rPr>
          <w:spacing w:val="-16"/>
          <w:sz w:val="22"/>
        </w:rPr>
        <w:t> </w:t>
      </w:r>
      <w:r>
        <w:rPr>
          <w:sz w:val="22"/>
        </w:rPr>
        <w:t>degrees,</w:t>
      </w:r>
      <w:r>
        <w:rPr>
          <w:spacing w:val="-13"/>
          <w:sz w:val="22"/>
        </w:rPr>
        <w:t> </w:t>
      </w:r>
      <w:r>
        <w:rPr>
          <w:sz w:val="22"/>
        </w:rPr>
        <w:t>including</w:t>
      </w:r>
      <w:r>
        <w:rPr>
          <w:spacing w:val="-13"/>
          <w:sz w:val="22"/>
        </w:rPr>
        <w:t> </w:t>
      </w:r>
      <w:hyperlink r:id="rId8">
        <w:r>
          <w:rPr>
            <w:color w:val="467885"/>
            <w:sz w:val="22"/>
            <w:u w:val="single" w:color="467885"/>
          </w:rPr>
          <w:t>Teach</w:t>
        </w:r>
        <w:r>
          <w:rPr>
            <w:color w:val="467885"/>
            <w:spacing w:val="-14"/>
            <w:sz w:val="22"/>
            <w:u w:val="single" w:color="467885"/>
          </w:rPr>
          <w:t> </w:t>
        </w:r>
        <w:r>
          <w:rPr>
            <w:color w:val="467885"/>
            <w:sz w:val="22"/>
            <w:u w:val="single" w:color="467885"/>
          </w:rPr>
          <w:t>Today</w:t>
        </w:r>
        <w:r>
          <w:rPr>
            <w:color w:val="467885"/>
            <w:spacing w:val="-16"/>
            <w:sz w:val="22"/>
            <w:u w:val="single" w:color="467885"/>
          </w:rPr>
          <w:t> </w:t>
        </w:r>
        <w:r>
          <w:rPr>
            <w:color w:val="467885"/>
            <w:sz w:val="22"/>
            <w:u w:val="single" w:color="467885"/>
          </w:rPr>
          <w:t>and</w:t>
        </w:r>
      </w:hyperlink>
      <w:r>
        <w:rPr>
          <w:color w:val="467885"/>
          <w:sz w:val="22"/>
          <w:u w:val="none"/>
        </w:rPr>
        <w:t> </w:t>
      </w:r>
      <w:hyperlink r:id="rId8">
        <w:r>
          <w:rPr>
            <w:color w:val="467885"/>
            <w:sz w:val="22"/>
            <w:u w:val="single" w:color="467885"/>
          </w:rPr>
          <w:t>Teach Tomorrow</w:t>
        </w:r>
      </w:hyperlink>
      <w:r>
        <w:rPr>
          <w:color w:val="467885"/>
          <w:sz w:val="22"/>
          <w:u w:val="none"/>
        </w:rPr>
        <w:t> </w:t>
      </w:r>
      <w:r>
        <w:rPr>
          <w:sz w:val="22"/>
          <w:u w:val="none"/>
        </w:rPr>
        <w:t>programs (see details in Definitions section, Appendix 2).</w:t>
      </w:r>
    </w:p>
    <w:p>
      <w:pPr>
        <w:pStyle w:val="ListParagraph"/>
        <w:numPr>
          <w:ilvl w:val="2"/>
          <w:numId w:val="2"/>
        </w:numPr>
        <w:tabs>
          <w:tab w:pos="1396" w:val="left" w:leader="none"/>
          <w:tab w:pos="1401" w:val="left" w:leader="none"/>
        </w:tabs>
        <w:spacing w:line="276" w:lineRule="auto" w:before="125" w:after="0"/>
        <w:ind w:left="1396" w:right="813" w:hanging="557"/>
        <w:jc w:val="both"/>
        <w:rPr>
          <w:sz w:val="22"/>
        </w:rPr>
      </w:pPr>
      <w:r>
        <w:rPr>
          <w:b/>
          <w:sz w:val="22"/>
        </w:rPr>
        <w:tab/>
      </w:r>
      <w:r>
        <w:rPr>
          <w:sz w:val="22"/>
        </w:rPr>
        <w:t>Students of non-Victorian degrees may be required to provide further evidence to</w:t>
      </w:r>
      <w:r>
        <w:rPr>
          <w:spacing w:val="-16"/>
          <w:sz w:val="22"/>
        </w:rPr>
        <w:t> </w:t>
      </w:r>
      <w:r>
        <w:rPr>
          <w:sz w:val="22"/>
        </w:rPr>
        <w:t>confirm</w:t>
      </w:r>
      <w:r>
        <w:rPr>
          <w:spacing w:val="-15"/>
          <w:sz w:val="22"/>
        </w:rPr>
        <w:t> </w:t>
      </w:r>
      <w:r>
        <w:rPr>
          <w:sz w:val="22"/>
        </w:rPr>
        <w:t>their</w:t>
      </w:r>
      <w:r>
        <w:rPr>
          <w:spacing w:val="-13"/>
          <w:sz w:val="22"/>
        </w:rPr>
        <w:t> </w:t>
      </w:r>
      <w:r>
        <w:rPr>
          <w:sz w:val="22"/>
        </w:rPr>
        <w:t>degree</w:t>
      </w:r>
      <w:r>
        <w:rPr>
          <w:spacing w:val="-15"/>
          <w:sz w:val="22"/>
        </w:rPr>
        <w:t> </w:t>
      </w:r>
      <w:r>
        <w:rPr>
          <w:sz w:val="22"/>
        </w:rPr>
        <w:t>enrolment,</w:t>
      </w:r>
      <w:r>
        <w:rPr>
          <w:spacing w:val="-13"/>
          <w:sz w:val="22"/>
        </w:rPr>
        <w:t> </w:t>
      </w:r>
      <w:r>
        <w:rPr>
          <w:sz w:val="22"/>
        </w:rPr>
        <w:t>and</w:t>
      </w:r>
      <w:r>
        <w:rPr>
          <w:spacing w:val="-15"/>
          <w:sz w:val="22"/>
        </w:rPr>
        <w:t> </w:t>
      </w:r>
      <w:r>
        <w:rPr>
          <w:sz w:val="22"/>
        </w:rPr>
        <w:t>Victorian</w:t>
      </w:r>
      <w:r>
        <w:rPr>
          <w:spacing w:val="-15"/>
          <w:sz w:val="22"/>
        </w:rPr>
        <w:t> </w:t>
      </w:r>
      <w:r>
        <w:rPr>
          <w:sz w:val="22"/>
        </w:rPr>
        <w:t>or</w:t>
      </w:r>
      <w:r>
        <w:rPr>
          <w:spacing w:val="-13"/>
          <w:sz w:val="22"/>
        </w:rPr>
        <w:t> </w:t>
      </w:r>
      <w:r>
        <w:rPr>
          <w:sz w:val="22"/>
        </w:rPr>
        <w:t>designated</w:t>
      </w:r>
      <w:r>
        <w:rPr>
          <w:spacing w:val="-14"/>
          <w:sz w:val="22"/>
        </w:rPr>
        <w:t> </w:t>
      </w:r>
      <w:r>
        <w:rPr>
          <w:sz w:val="22"/>
        </w:rPr>
        <w:t>border</w:t>
      </w:r>
      <w:r>
        <w:rPr>
          <w:spacing w:val="-16"/>
          <w:sz w:val="22"/>
        </w:rPr>
        <w:t> </w:t>
      </w:r>
      <w:r>
        <w:rPr>
          <w:sz w:val="22"/>
        </w:rPr>
        <w:t>community residency</w:t>
      </w:r>
      <w:r>
        <w:rPr>
          <w:spacing w:val="-12"/>
          <w:sz w:val="22"/>
        </w:rPr>
        <w:t> </w:t>
      </w:r>
      <w:r>
        <w:rPr>
          <w:sz w:val="22"/>
        </w:rPr>
        <w:t>status.</w:t>
      </w:r>
      <w:r>
        <w:rPr>
          <w:spacing w:val="-13"/>
          <w:sz w:val="22"/>
        </w:rPr>
        <w:t> </w:t>
      </w:r>
      <w:r>
        <w:rPr>
          <w:sz w:val="22"/>
        </w:rPr>
        <w:t>If</w:t>
      </w:r>
      <w:r>
        <w:rPr>
          <w:spacing w:val="-13"/>
          <w:sz w:val="22"/>
        </w:rPr>
        <w:t> </w:t>
      </w:r>
      <w:r>
        <w:rPr>
          <w:sz w:val="22"/>
        </w:rPr>
        <w:t>further</w:t>
      </w:r>
      <w:r>
        <w:rPr>
          <w:spacing w:val="-11"/>
          <w:sz w:val="22"/>
        </w:rPr>
        <w:t> </w:t>
      </w:r>
      <w:r>
        <w:rPr>
          <w:sz w:val="22"/>
        </w:rPr>
        <w:t>evidence</w:t>
      </w:r>
      <w:r>
        <w:rPr>
          <w:spacing w:val="-12"/>
          <w:sz w:val="22"/>
        </w:rPr>
        <w:t> </w:t>
      </w:r>
      <w:r>
        <w:rPr>
          <w:sz w:val="22"/>
        </w:rPr>
        <w:t>is</w:t>
      </w:r>
      <w:r>
        <w:rPr>
          <w:spacing w:val="-14"/>
          <w:sz w:val="22"/>
        </w:rPr>
        <w:t> </w:t>
      </w:r>
      <w:r>
        <w:rPr>
          <w:sz w:val="22"/>
        </w:rPr>
        <w:t>required,</w:t>
      </w:r>
      <w:r>
        <w:rPr>
          <w:spacing w:val="-11"/>
          <w:sz w:val="22"/>
        </w:rPr>
        <w:t> </w:t>
      </w:r>
      <w:r>
        <w:rPr>
          <w:sz w:val="22"/>
        </w:rPr>
        <w:t>the</w:t>
      </w:r>
      <w:r>
        <w:rPr>
          <w:spacing w:val="-12"/>
          <w:sz w:val="22"/>
        </w:rPr>
        <w:t> </w:t>
      </w:r>
      <w:r>
        <w:rPr>
          <w:sz w:val="22"/>
        </w:rPr>
        <w:t>Department</w:t>
      </w:r>
      <w:r>
        <w:rPr>
          <w:spacing w:val="-13"/>
          <w:sz w:val="22"/>
        </w:rPr>
        <w:t> </w:t>
      </w:r>
      <w:r>
        <w:rPr>
          <w:sz w:val="22"/>
        </w:rPr>
        <w:t>of</w:t>
      </w:r>
      <w:r>
        <w:rPr>
          <w:spacing w:val="-13"/>
          <w:sz w:val="22"/>
        </w:rPr>
        <w:t> </w:t>
      </w:r>
      <w:r>
        <w:rPr>
          <w:sz w:val="22"/>
        </w:rPr>
        <w:t>Education</w:t>
      </w:r>
      <w:r>
        <w:rPr>
          <w:spacing w:val="-12"/>
          <w:sz w:val="22"/>
        </w:rPr>
        <w:t> </w:t>
      </w:r>
      <w:r>
        <w:rPr>
          <w:sz w:val="22"/>
        </w:rPr>
        <w:t>will contact students about their application.</w:t>
      </w:r>
    </w:p>
    <w:p>
      <w:pPr>
        <w:pStyle w:val="BodyText"/>
        <w:rPr>
          <w:sz w:val="20"/>
        </w:rPr>
      </w:pPr>
    </w:p>
    <w:p>
      <w:pPr>
        <w:pStyle w:val="BodyText"/>
        <w:rPr>
          <w:sz w:val="20"/>
        </w:rPr>
      </w:pPr>
    </w:p>
    <w:p>
      <w:pPr>
        <w:pStyle w:val="BodyText"/>
        <w:spacing w:before="162"/>
        <w:rPr>
          <w:sz w:val="20"/>
        </w:rPr>
      </w:pPr>
      <w:r>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264628</wp:posOffset>
                </wp:positionV>
                <wp:extent cx="1828800"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83687pt;width:144pt;height:.6pt;mso-position-horizontal-relative:page;mso-position-vertical-relative:paragraph;z-index:-15726592;mso-wrap-distance-left:0;mso-wrap-distance-right:0" id="docshape8" filled="true" fillcolor="#000000" stroked="false">
                <v:fill type="solid"/>
                <w10:wrap type="topAndBottom"/>
              </v:rect>
            </w:pict>
          </mc:Fallback>
        </mc:AlternateContent>
      </w:r>
    </w:p>
    <w:p>
      <w:pPr>
        <w:spacing w:line="285" w:lineRule="auto" w:before="157"/>
        <w:ind w:left="119" w:right="574" w:firstLine="0"/>
        <w:jc w:val="left"/>
        <w:rPr>
          <w:sz w:val="18"/>
        </w:rPr>
      </w:pPr>
      <w:bookmarkStart w:name="_bookmark7" w:id="14"/>
      <w:bookmarkEnd w:id="14"/>
      <w:r>
        <w:rPr/>
      </w:r>
      <w:r>
        <w:rPr>
          <w:rFonts w:ascii="Calibri"/>
          <w:sz w:val="18"/>
          <w:vertAlign w:val="superscript"/>
        </w:rPr>
        <w:t>8</w:t>
      </w:r>
      <w:r>
        <w:rPr>
          <w:rFonts w:ascii="Calibri"/>
          <w:sz w:val="18"/>
          <w:vertAlign w:val="baseline"/>
        </w:rPr>
        <w:t> </w:t>
      </w:r>
      <w:r>
        <w:rPr>
          <w:sz w:val="18"/>
          <w:vertAlign w:val="baseline"/>
        </w:rPr>
        <w:t>Victorian residents who enrol in a secondary or primary-secondary school ITE degree at a non-Victorian ITE provider,</w:t>
      </w:r>
      <w:r>
        <w:rPr>
          <w:spacing w:val="-4"/>
          <w:sz w:val="18"/>
          <w:vertAlign w:val="baseline"/>
        </w:rPr>
        <w:t> </w:t>
      </w:r>
      <w:r>
        <w:rPr>
          <w:sz w:val="18"/>
          <w:vertAlign w:val="baseline"/>
        </w:rPr>
        <w:t>and</w:t>
      </w:r>
      <w:r>
        <w:rPr>
          <w:spacing w:val="-4"/>
          <w:sz w:val="18"/>
          <w:vertAlign w:val="baseline"/>
        </w:rPr>
        <w:t> </w:t>
      </w:r>
      <w:r>
        <w:rPr>
          <w:sz w:val="18"/>
          <w:vertAlign w:val="baseline"/>
        </w:rPr>
        <w:t>meet</w:t>
      </w:r>
      <w:r>
        <w:rPr>
          <w:spacing w:val="-2"/>
          <w:sz w:val="18"/>
          <w:vertAlign w:val="baseline"/>
        </w:rPr>
        <w:t> </w:t>
      </w:r>
      <w:r>
        <w:rPr>
          <w:sz w:val="18"/>
          <w:vertAlign w:val="baseline"/>
        </w:rPr>
        <w:t>all</w:t>
      </w:r>
      <w:r>
        <w:rPr>
          <w:spacing w:val="-1"/>
          <w:sz w:val="18"/>
          <w:vertAlign w:val="baseline"/>
        </w:rPr>
        <w:t> </w:t>
      </w:r>
      <w:r>
        <w:rPr>
          <w:sz w:val="18"/>
          <w:vertAlign w:val="baseline"/>
        </w:rPr>
        <w:t>other</w:t>
      </w:r>
      <w:r>
        <w:rPr>
          <w:spacing w:val="-2"/>
          <w:sz w:val="18"/>
          <w:vertAlign w:val="baseline"/>
        </w:rPr>
        <w:t> </w:t>
      </w:r>
      <w:r>
        <w:rPr>
          <w:sz w:val="18"/>
          <w:vertAlign w:val="baseline"/>
        </w:rPr>
        <w:t>eligibility</w:t>
      </w:r>
      <w:r>
        <w:rPr>
          <w:spacing w:val="-1"/>
          <w:sz w:val="18"/>
          <w:vertAlign w:val="baseline"/>
        </w:rPr>
        <w:t> </w:t>
      </w:r>
      <w:r>
        <w:rPr>
          <w:sz w:val="18"/>
          <w:vertAlign w:val="baseline"/>
        </w:rPr>
        <w:t>criteria,</w:t>
      </w:r>
      <w:r>
        <w:rPr>
          <w:spacing w:val="-4"/>
          <w:sz w:val="18"/>
          <w:vertAlign w:val="baseline"/>
        </w:rPr>
        <w:t> </w:t>
      </w:r>
      <w:r>
        <w:rPr>
          <w:sz w:val="18"/>
          <w:vertAlign w:val="baseline"/>
        </w:rPr>
        <w:t>may</w:t>
      </w:r>
      <w:r>
        <w:rPr>
          <w:spacing w:val="-3"/>
          <w:sz w:val="18"/>
          <w:vertAlign w:val="baseline"/>
        </w:rPr>
        <w:t> </w:t>
      </w:r>
      <w:r>
        <w:rPr>
          <w:sz w:val="18"/>
          <w:vertAlign w:val="baseline"/>
        </w:rPr>
        <w:t>apply</w:t>
      </w:r>
      <w:r>
        <w:rPr>
          <w:spacing w:val="-1"/>
          <w:sz w:val="18"/>
          <w:vertAlign w:val="baseline"/>
        </w:rPr>
        <w:t> </w:t>
      </w:r>
      <w:r>
        <w:rPr>
          <w:sz w:val="18"/>
          <w:vertAlign w:val="baseline"/>
        </w:rPr>
        <w:t>for</w:t>
      </w:r>
      <w:r>
        <w:rPr>
          <w:spacing w:val="-2"/>
          <w:sz w:val="18"/>
          <w:vertAlign w:val="baseline"/>
        </w:rPr>
        <w:t> </w:t>
      </w:r>
      <w:r>
        <w:rPr>
          <w:sz w:val="18"/>
          <w:vertAlign w:val="baseline"/>
        </w:rPr>
        <w:t>STS.</w:t>
      </w:r>
      <w:r>
        <w:rPr>
          <w:spacing w:val="-2"/>
          <w:sz w:val="18"/>
          <w:vertAlign w:val="baseline"/>
        </w:rPr>
        <w:t> </w:t>
      </w:r>
      <w:r>
        <w:rPr>
          <w:sz w:val="18"/>
          <w:vertAlign w:val="baseline"/>
        </w:rPr>
        <w:t>Eligibility</w:t>
      </w:r>
      <w:r>
        <w:rPr>
          <w:spacing w:val="-1"/>
          <w:sz w:val="18"/>
          <w:vertAlign w:val="baseline"/>
        </w:rPr>
        <w:t> </w:t>
      </w:r>
      <w:r>
        <w:rPr>
          <w:sz w:val="18"/>
          <w:vertAlign w:val="baseline"/>
        </w:rPr>
        <w:t>will</w:t>
      </w:r>
      <w:r>
        <w:rPr>
          <w:spacing w:val="-1"/>
          <w:sz w:val="18"/>
          <w:vertAlign w:val="baseline"/>
        </w:rPr>
        <w:t> </w:t>
      </w:r>
      <w:r>
        <w:rPr>
          <w:sz w:val="18"/>
          <w:vertAlign w:val="baseline"/>
        </w:rPr>
        <w:t>be</w:t>
      </w:r>
      <w:r>
        <w:rPr>
          <w:spacing w:val="-4"/>
          <w:sz w:val="18"/>
          <w:vertAlign w:val="baseline"/>
        </w:rPr>
        <w:t> </w:t>
      </w:r>
      <w:r>
        <w:rPr>
          <w:sz w:val="18"/>
          <w:vertAlign w:val="baseline"/>
        </w:rPr>
        <w:t>determined</w:t>
      </w:r>
      <w:r>
        <w:rPr>
          <w:spacing w:val="-1"/>
          <w:sz w:val="18"/>
          <w:vertAlign w:val="baseline"/>
        </w:rPr>
        <w:t> </w:t>
      </w:r>
      <w:r>
        <w:rPr>
          <w:sz w:val="18"/>
          <w:vertAlign w:val="baseline"/>
        </w:rPr>
        <w:t>on</w:t>
      </w:r>
      <w:r>
        <w:rPr>
          <w:spacing w:val="-1"/>
          <w:sz w:val="18"/>
          <w:vertAlign w:val="baseline"/>
        </w:rPr>
        <w:t> </w:t>
      </w:r>
      <w:r>
        <w:rPr>
          <w:sz w:val="18"/>
          <w:vertAlign w:val="baseline"/>
        </w:rPr>
        <w:t>a</w:t>
      </w:r>
      <w:r>
        <w:rPr>
          <w:spacing w:val="-4"/>
          <w:sz w:val="18"/>
          <w:vertAlign w:val="baseline"/>
        </w:rPr>
        <w:t> </w:t>
      </w:r>
      <w:r>
        <w:rPr>
          <w:sz w:val="18"/>
          <w:vertAlign w:val="baseline"/>
        </w:rPr>
        <w:t>case-by-case basis by the Department of Education.</w:t>
      </w:r>
    </w:p>
    <w:p>
      <w:pPr>
        <w:spacing w:after="0" w:line="285" w:lineRule="auto"/>
        <w:jc w:val="left"/>
        <w:rPr>
          <w:sz w:val="18"/>
        </w:rPr>
        <w:sectPr>
          <w:pgSz w:w="11910" w:h="16840"/>
          <w:pgMar w:header="0" w:footer="765" w:top="1900" w:bottom="960" w:left="1320" w:right="620"/>
        </w:sectPr>
      </w:pPr>
    </w:p>
    <w:p>
      <w:pPr>
        <w:pStyle w:val="ListParagraph"/>
        <w:numPr>
          <w:ilvl w:val="2"/>
          <w:numId w:val="2"/>
        </w:numPr>
        <w:tabs>
          <w:tab w:pos="1375" w:val="left" w:leader="none"/>
          <w:tab w:pos="1396" w:val="left" w:leader="none"/>
        </w:tabs>
        <w:spacing w:line="276" w:lineRule="auto" w:before="83" w:after="0"/>
        <w:ind w:left="1396" w:right="818" w:hanging="557"/>
        <w:jc w:val="both"/>
        <w:rPr>
          <w:sz w:val="22"/>
        </w:rPr>
      </w:pPr>
      <w:r>
        <w:rPr>
          <w:sz w:val="22"/>
        </w:rPr>
        <w:t>Students</w:t>
      </w:r>
      <w:r>
        <w:rPr>
          <w:spacing w:val="-2"/>
          <w:sz w:val="22"/>
        </w:rPr>
        <w:t> </w:t>
      </w:r>
      <w:r>
        <w:rPr>
          <w:sz w:val="22"/>
        </w:rPr>
        <w:t>who</w:t>
      </w:r>
      <w:r>
        <w:rPr>
          <w:spacing w:val="-3"/>
          <w:sz w:val="22"/>
        </w:rPr>
        <w:t> </w:t>
      </w:r>
      <w:r>
        <w:rPr>
          <w:sz w:val="22"/>
        </w:rPr>
        <w:t>change ITE</w:t>
      </w:r>
      <w:r>
        <w:rPr>
          <w:spacing w:val="-3"/>
          <w:sz w:val="22"/>
        </w:rPr>
        <w:t> </w:t>
      </w:r>
      <w:r>
        <w:rPr>
          <w:sz w:val="22"/>
        </w:rPr>
        <w:t>providers</w:t>
      </w:r>
      <w:r>
        <w:rPr>
          <w:spacing w:val="-2"/>
          <w:sz w:val="22"/>
        </w:rPr>
        <w:t> </w:t>
      </w:r>
      <w:r>
        <w:rPr>
          <w:sz w:val="22"/>
        </w:rPr>
        <w:t>will</w:t>
      </w:r>
      <w:r>
        <w:rPr>
          <w:spacing w:val="-1"/>
          <w:sz w:val="22"/>
        </w:rPr>
        <w:t> </w:t>
      </w:r>
      <w:r>
        <w:rPr>
          <w:sz w:val="22"/>
        </w:rPr>
        <w:t>remain eligible for</w:t>
      </w:r>
      <w:r>
        <w:rPr>
          <w:spacing w:val="-1"/>
          <w:sz w:val="22"/>
        </w:rPr>
        <w:t> </w:t>
      </w:r>
      <w:r>
        <w:rPr>
          <w:sz w:val="22"/>
        </w:rPr>
        <w:t>the</w:t>
      </w:r>
      <w:r>
        <w:rPr>
          <w:spacing w:val="-3"/>
          <w:sz w:val="22"/>
        </w:rPr>
        <w:t> </w:t>
      </w:r>
      <w:r>
        <w:rPr>
          <w:sz w:val="22"/>
        </w:rPr>
        <w:t>study</w:t>
      </w:r>
      <w:r>
        <w:rPr>
          <w:spacing w:val="-5"/>
          <w:sz w:val="22"/>
        </w:rPr>
        <w:t> </w:t>
      </w:r>
      <w:r>
        <w:rPr>
          <w:sz w:val="22"/>
        </w:rPr>
        <w:t>component of STS funding, providing they continue to meet the eligibility criteria.</w:t>
      </w:r>
    </w:p>
    <w:p>
      <w:pPr>
        <w:pStyle w:val="ListParagraph"/>
        <w:numPr>
          <w:ilvl w:val="2"/>
          <w:numId w:val="2"/>
        </w:numPr>
        <w:tabs>
          <w:tab w:pos="1397" w:val="left" w:leader="none"/>
          <w:tab w:pos="1414" w:val="left" w:leader="none"/>
        </w:tabs>
        <w:spacing w:line="276" w:lineRule="auto" w:before="122" w:after="0"/>
        <w:ind w:left="1397" w:right="815" w:hanging="557"/>
        <w:jc w:val="both"/>
        <w:rPr>
          <w:sz w:val="22"/>
        </w:rPr>
      </w:pPr>
      <w:r>
        <w:rPr>
          <w:b/>
          <w:sz w:val="22"/>
        </w:rPr>
        <w:tab/>
      </w:r>
      <w:r>
        <w:rPr>
          <w:sz w:val="22"/>
        </w:rPr>
        <w:t>Students who change to a different secondary ITE degree with the same ITE provider will continue to receive their scheduled STS payments, providing they continue to meet the eligibility criteria.</w:t>
      </w:r>
    </w:p>
    <w:p>
      <w:pPr>
        <w:pStyle w:val="ListParagraph"/>
        <w:numPr>
          <w:ilvl w:val="2"/>
          <w:numId w:val="2"/>
        </w:numPr>
        <w:tabs>
          <w:tab w:pos="1395" w:val="left" w:leader="none"/>
          <w:tab w:pos="1397" w:val="left" w:leader="none"/>
        </w:tabs>
        <w:spacing w:line="276" w:lineRule="auto" w:before="118" w:after="0"/>
        <w:ind w:left="1397" w:right="817" w:hanging="557"/>
        <w:jc w:val="both"/>
        <w:rPr>
          <w:sz w:val="22"/>
        </w:rPr>
      </w:pPr>
      <w:r>
        <w:rPr>
          <w:sz w:val="22"/>
        </w:rPr>
        <w:t>Previous partial or completed study of other degrees (i.e. programs that are not accredited</w:t>
      </w:r>
      <w:r>
        <w:rPr>
          <w:spacing w:val="-15"/>
          <w:sz w:val="22"/>
        </w:rPr>
        <w:t> </w:t>
      </w:r>
      <w:r>
        <w:rPr>
          <w:sz w:val="22"/>
        </w:rPr>
        <w:t>secondary</w:t>
      </w:r>
      <w:r>
        <w:rPr>
          <w:spacing w:val="-15"/>
          <w:sz w:val="22"/>
        </w:rPr>
        <w:t> </w:t>
      </w:r>
      <w:r>
        <w:rPr>
          <w:sz w:val="22"/>
        </w:rPr>
        <w:t>ITE</w:t>
      </w:r>
      <w:r>
        <w:rPr>
          <w:spacing w:val="-14"/>
          <w:sz w:val="22"/>
        </w:rPr>
        <w:t> </w:t>
      </w:r>
      <w:r>
        <w:rPr>
          <w:sz w:val="22"/>
        </w:rPr>
        <w:t>degrees)</w:t>
      </w:r>
      <w:r>
        <w:rPr>
          <w:spacing w:val="-14"/>
          <w:sz w:val="22"/>
        </w:rPr>
        <w:t> </w:t>
      </w:r>
      <w:r>
        <w:rPr>
          <w:sz w:val="22"/>
        </w:rPr>
        <w:t>do</w:t>
      </w:r>
      <w:r>
        <w:rPr>
          <w:spacing w:val="-16"/>
          <w:sz w:val="22"/>
        </w:rPr>
        <w:t> </w:t>
      </w:r>
      <w:r>
        <w:rPr>
          <w:sz w:val="22"/>
        </w:rPr>
        <w:t>not</w:t>
      </w:r>
      <w:r>
        <w:rPr>
          <w:spacing w:val="-13"/>
          <w:sz w:val="22"/>
        </w:rPr>
        <w:t> </w:t>
      </w:r>
      <w:r>
        <w:rPr>
          <w:sz w:val="22"/>
        </w:rPr>
        <w:t>affect</w:t>
      </w:r>
      <w:r>
        <w:rPr>
          <w:spacing w:val="-14"/>
          <w:sz w:val="22"/>
        </w:rPr>
        <w:t> </w:t>
      </w:r>
      <w:r>
        <w:rPr>
          <w:sz w:val="22"/>
        </w:rPr>
        <w:t>an</w:t>
      </w:r>
      <w:r>
        <w:rPr>
          <w:spacing w:val="-13"/>
          <w:sz w:val="22"/>
        </w:rPr>
        <w:t> </w:t>
      </w:r>
      <w:r>
        <w:rPr>
          <w:sz w:val="22"/>
        </w:rPr>
        <w:t>applicant’s</w:t>
      </w:r>
      <w:r>
        <w:rPr>
          <w:spacing w:val="-13"/>
          <w:sz w:val="22"/>
        </w:rPr>
        <w:t> </w:t>
      </w:r>
      <w:r>
        <w:rPr>
          <w:sz w:val="22"/>
        </w:rPr>
        <w:t>eligibility</w:t>
      </w:r>
      <w:r>
        <w:rPr>
          <w:spacing w:val="-13"/>
          <w:sz w:val="22"/>
        </w:rPr>
        <w:t> </w:t>
      </w:r>
      <w:r>
        <w:rPr>
          <w:sz w:val="22"/>
        </w:rPr>
        <w:t>for</w:t>
      </w:r>
      <w:r>
        <w:rPr>
          <w:spacing w:val="-12"/>
          <w:sz w:val="22"/>
        </w:rPr>
        <w:t> </w:t>
      </w:r>
      <w:r>
        <w:rPr>
          <w:sz w:val="22"/>
        </w:rPr>
        <w:t>STS.</w:t>
      </w:r>
    </w:p>
    <w:p>
      <w:pPr>
        <w:pStyle w:val="ListParagraph"/>
        <w:numPr>
          <w:ilvl w:val="2"/>
          <w:numId w:val="2"/>
        </w:numPr>
        <w:tabs>
          <w:tab w:pos="1378" w:val="left" w:leader="none"/>
        </w:tabs>
        <w:spacing w:line="240" w:lineRule="auto" w:before="121" w:after="0"/>
        <w:ind w:left="1378" w:right="0" w:hanging="550"/>
        <w:jc w:val="both"/>
        <w:rPr>
          <w:sz w:val="22"/>
        </w:rPr>
      </w:pPr>
      <w:r>
        <w:rPr>
          <w:sz w:val="22"/>
        </w:rPr>
        <w:t>To</w:t>
      </w:r>
      <w:r>
        <w:rPr>
          <w:spacing w:val="-8"/>
          <w:sz w:val="22"/>
        </w:rPr>
        <w:t> </w:t>
      </w:r>
      <w:r>
        <w:rPr>
          <w:sz w:val="22"/>
        </w:rPr>
        <w:t>be</w:t>
      </w:r>
      <w:r>
        <w:rPr>
          <w:spacing w:val="-6"/>
          <w:sz w:val="22"/>
        </w:rPr>
        <w:t> </w:t>
      </w:r>
      <w:r>
        <w:rPr>
          <w:sz w:val="22"/>
        </w:rPr>
        <w:t>eligible</w:t>
      </w:r>
      <w:r>
        <w:rPr>
          <w:spacing w:val="-5"/>
          <w:sz w:val="22"/>
        </w:rPr>
        <w:t> </w:t>
      </w:r>
      <w:r>
        <w:rPr>
          <w:sz w:val="22"/>
        </w:rPr>
        <w:t>for</w:t>
      </w:r>
      <w:r>
        <w:rPr>
          <w:spacing w:val="-6"/>
          <w:sz w:val="22"/>
        </w:rPr>
        <w:t> </w:t>
      </w:r>
      <w:r>
        <w:rPr>
          <w:sz w:val="22"/>
        </w:rPr>
        <w:t>the</w:t>
      </w:r>
      <w:r>
        <w:rPr>
          <w:spacing w:val="-5"/>
          <w:sz w:val="22"/>
        </w:rPr>
        <w:t> </w:t>
      </w:r>
      <w:r>
        <w:rPr>
          <w:sz w:val="22"/>
        </w:rPr>
        <w:t>employment</w:t>
      </w:r>
      <w:r>
        <w:rPr>
          <w:spacing w:val="-5"/>
          <w:sz w:val="22"/>
        </w:rPr>
        <w:t> </w:t>
      </w:r>
      <w:r>
        <w:rPr>
          <w:sz w:val="22"/>
        </w:rPr>
        <w:t>component</w:t>
      </w:r>
      <w:r>
        <w:rPr>
          <w:spacing w:val="-4"/>
          <w:sz w:val="22"/>
        </w:rPr>
        <w:t> </w:t>
      </w:r>
      <w:r>
        <w:rPr>
          <w:sz w:val="22"/>
        </w:rPr>
        <w:t>of</w:t>
      </w:r>
      <w:r>
        <w:rPr>
          <w:spacing w:val="-6"/>
          <w:sz w:val="22"/>
        </w:rPr>
        <w:t> </w:t>
      </w:r>
      <w:r>
        <w:rPr>
          <w:sz w:val="22"/>
        </w:rPr>
        <w:t>funding,</w:t>
      </w:r>
      <w:r>
        <w:rPr>
          <w:spacing w:val="-3"/>
          <w:sz w:val="22"/>
        </w:rPr>
        <w:t> </w:t>
      </w:r>
      <w:r>
        <w:rPr>
          <w:sz w:val="22"/>
        </w:rPr>
        <w:t>STS</w:t>
      </w:r>
      <w:r>
        <w:rPr>
          <w:spacing w:val="-7"/>
          <w:sz w:val="22"/>
        </w:rPr>
        <w:t> </w:t>
      </w:r>
      <w:r>
        <w:rPr>
          <w:sz w:val="22"/>
        </w:rPr>
        <w:t>recipients</w:t>
      </w:r>
      <w:r>
        <w:rPr>
          <w:spacing w:val="-6"/>
          <w:sz w:val="22"/>
        </w:rPr>
        <w:t> </w:t>
      </w:r>
      <w:r>
        <w:rPr>
          <w:spacing w:val="-2"/>
          <w:sz w:val="22"/>
        </w:rPr>
        <w:t>must:</w:t>
      </w:r>
    </w:p>
    <w:p>
      <w:pPr>
        <w:pStyle w:val="ListParagraph"/>
        <w:numPr>
          <w:ilvl w:val="3"/>
          <w:numId w:val="2"/>
        </w:numPr>
        <w:tabs>
          <w:tab w:pos="1536" w:val="left" w:leader="none"/>
          <w:tab w:pos="1538" w:val="left" w:leader="none"/>
        </w:tabs>
        <w:spacing w:line="273" w:lineRule="auto" w:before="157" w:after="0"/>
        <w:ind w:left="1538" w:right="818" w:hanging="361"/>
        <w:jc w:val="both"/>
        <w:rPr>
          <w:sz w:val="22"/>
        </w:rPr>
      </w:pPr>
      <w:r>
        <w:rPr>
          <w:sz w:val="22"/>
        </w:rPr>
        <w:t>commence employment in a Victorian government secondary or specialist school setting within 15 months of completing their ITE qualification and prior to June 2029; and</w:t>
      </w:r>
    </w:p>
    <w:p>
      <w:pPr>
        <w:pStyle w:val="ListParagraph"/>
        <w:numPr>
          <w:ilvl w:val="3"/>
          <w:numId w:val="2"/>
        </w:numPr>
        <w:tabs>
          <w:tab w:pos="1537" w:val="left" w:leader="none"/>
          <w:tab w:pos="1539" w:val="left" w:leader="none"/>
        </w:tabs>
        <w:spacing w:line="271" w:lineRule="auto" w:before="4" w:after="0"/>
        <w:ind w:left="1539" w:right="819" w:hanging="361"/>
        <w:jc w:val="both"/>
        <w:rPr>
          <w:sz w:val="22"/>
        </w:rPr>
      </w:pPr>
      <w:r>
        <w:rPr>
          <w:sz w:val="22"/>
        </w:rPr>
        <w:t>be employed in a Victorian government secondary or specialist school setting at a minimum of 0.5 FTE.</w:t>
      </w:r>
    </w:p>
    <w:p>
      <w:pPr>
        <w:pStyle w:val="BodyText"/>
        <w:spacing w:before="115"/>
      </w:pPr>
    </w:p>
    <w:p>
      <w:pPr>
        <w:pStyle w:val="Heading1"/>
        <w:numPr>
          <w:ilvl w:val="0"/>
          <w:numId w:val="1"/>
        </w:numPr>
        <w:tabs>
          <w:tab w:pos="479" w:val="left" w:leader="none"/>
        </w:tabs>
        <w:spacing w:line="240" w:lineRule="auto" w:before="0" w:after="0"/>
        <w:ind w:left="479" w:right="0" w:hanging="359"/>
        <w:jc w:val="both"/>
      </w:pPr>
      <w:bookmarkStart w:name="3. Ineligible applicants" w:id="15"/>
      <w:bookmarkEnd w:id="15"/>
      <w:r>
        <w:rPr>
          <w:b w:val="0"/>
        </w:rPr>
      </w:r>
      <w:r>
        <w:rPr>
          <w:color w:val="205E99"/>
        </w:rPr>
        <w:t>Ineligible</w:t>
      </w:r>
      <w:r>
        <w:rPr>
          <w:color w:val="205E99"/>
          <w:spacing w:val="-17"/>
        </w:rPr>
        <w:t> </w:t>
      </w:r>
      <w:r>
        <w:rPr>
          <w:color w:val="205E99"/>
          <w:spacing w:val="-2"/>
        </w:rPr>
        <w:t>applicants</w:t>
      </w:r>
    </w:p>
    <w:p>
      <w:pPr>
        <w:pStyle w:val="ListParagraph"/>
        <w:numPr>
          <w:ilvl w:val="1"/>
          <w:numId w:val="3"/>
        </w:numPr>
        <w:tabs>
          <w:tab w:pos="486" w:val="left" w:leader="none"/>
        </w:tabs>
        <w:spacing w:line="240" w:lineRule="auto" w:before="136" w:after="0"/>
        <w:ind w:left="486" w:right="0" w:hanging="366"/>
        <w:jc w:val="both"/>
        <w:rPr>
          <w:sz w:val="22"/>
        </w:rPr>
      </w:pPr>
      <w:r>
        <w:rPr>
          <w:sz w:val="22"/>
        </w:rPr>
        <w:t>Individuals</w:t>
      </w:r>
      <w:r>
        <w:rPr>
          <w:spacing w:val="-5"/>
          <w:sz w:val="22"/>
        </w:rPr>
        <w:t> </w:t>
      </w:r>
      <w:r>
        <w:rPr>
          <w:sz w:val="22"/>
        </w:rPr>
        <w:t>with</w:t>
      </w:r>
      <w:r>
        <w:rPr>
          <w:spacing w:val="-6"/>
          <w:sz w:val="22"/>
        </w:rPr>
        <w:t> </w:t>
      </w:r>
      <w:r>
        <w:rPr>
          <w:sz w:val="22"/>
        </w:rPr>
        <w:t>the</w:t>
      </w:r>
      <w:r>
        <w:rPr>
          <w:spacing w:val="-7"/>
          <w:sz w:val="22"/>
        </w:rPr>
        <w:t> </w:t>
      </w:r>
      <w:r>
        <w:rPr>
          <w:sz w:val="22"/>
        </w:rPr>
        <w:t>following</w:t>
      </w:r>
      <w:r>
        <w:rPr>
          <w:spacing w:val="-6"/>
          <w:sz w:val="22"/>
        </w:rPr>
        <w:t> </w:t>
      </w:r>
      <w:r>
        <w:rPr>
          <w:sz w:val="22"/>
        </w:rPr>
        <w:t>profiles</w:t>
      </w:r>
      <w:r>
        <w:rPr>
          <w:spacing w:val="-5"/>
          <w:sz w:val="22"/>
        </w:rPr>
        <w:t> </w:t>
      </w:r>
      <w:r>
        <w:rPr>
          <w:sz w:val="22"/>
        </w:rPr>
        <w:t>are</w:t>
      </w:r>
      <w:r>
        <w:rPr>
          <w:spacing w:val="-5"/>
          <w:sz w:val="22"/>
        </w:rPr>
        <w:t> </w:t>
      </w:r>
      <w:r>
        <w:rPr>
          <w:sz w:val="22"/>
        </w:rPr>
        <w:t>not</w:t>
      </w:r>
      <w:r>
        <w:rPr>
          <w:spacing w:val="-7"/>
          <w:sz w:val="22"/>
        </w:rPr>
        <w:t> </w:t>
      </w:r>
      <w:r>
        <w:rPr>
          <w:sz w:val="22"/>
        </w:rPr>
        <w:t>eligible</w:t>
      </w:r>
      <w:r>
        <w:rPr>
          <w:spacing w:val="-6"/>
          <w:sz w:val="22"/>
        </w:rPr>
        <w:t> </w:t>
      </w:r>
      <w:r>
        <w:rPr>
          <w:sz w:val="22"/>
        </w:rPr>
        <w:t>for</w:t>
      </w:r>
      <w:r>
        <w:rPr>
          <w:spacing w:val="-3"/>
          <w:sz w:val="22"/>
        </w:rPr>
        <w:t> </w:t>
      </w:r>
      <w:r>
        <w:rPr>
          <w:spacing w:val="-4"/>
          <w:sz w:val="22"/>
        </w:rPr>
        <w:t>STS:</w:t>
      </w:r>
    </w:p>
    <w:p>
      <w:pPr>
        <w:pStyle w:val="ListParagraph"/>
        <w:numPr>
          <w:ilvl w:val="2"/>
          <w:numId w:val="3"/>
        </w:numPr>
        <w:tabs>
          <w:tab w:pos="1396" w:val="left" w:leader="none"/>
          <w:tab w:pos="1418" w:val="left" w:leader="none"/>
        </w:tabs>
        <w:spacing w:line="276" w:lineRule="auto" w:before="196" w:after="0"/>
        <w:ind w:left="1396" w:right="816" w:hanging="557"/>
        <w:jc w:val="both"/>
        <w:rPr>
          <w:sz w:val="22"/>
        </w:rPr>
      </w:pPr>
      <w:r>
        <w:rPr>
          <w:b/>
          <w:sz w:val="22"/>
        </w:rPr>
        <w:tab/>
      </w:r>
      <w:r>
        <w:rPr>
          <w:sz w:val="22"/>
        </w:rPr>
        <w:t>Students whose place of primary residence is not in Victoria or a designated border community during their study period.</w:t>
      </w:r>
    </w:p>
    <w:p>
      <w:pPr>
        <w:pStyle w:val="ListParagraph"/>
        <w:numPr>
          <w:ilvl w:val="2"/>
          <w:numId w:val="3"/>
        </w:numPr>
        <w:tabs>
          <w:tab w:pos="1390" w:val="left" w:leader="none"/>
        </w:tabs>
        <w:spacing w:line="240" w:lineRule="auto" w:before="119" w:after="0"/>
        <w:ind w:left="1390" w:right="0" w:hanging="550"/>
        <w:jc w:val="both"/>
        <w:rPr>
          <w:sz w:val="22"/>
        </w:rPr>
      </w:pPr>
      <w:r>
        <w:rPr>
          <w:sz w:val="22"/>
        </w:rPr>
        <w:t>Students</w:t>
      </w:r>
      <w:r>
        <w:rPr>
          <w:spacing w:val="-7"/>
          <w:sz w:val="22"/>
        </w:rPr>
        <w:t> </w:t>
      </w:r>
      <w:r>
        <w:rPr>
          <w:sz w:val="22"/>
        </w:rPr>
        <w:t>enrolled</w:t>
      </w:r>
      <w:r>
        <w:rPr>
          <w:spacing w:val="-7"/>
          <w:sz w:val="22"/>
        </w:rPr>
        <w:t> </w:t>
      </w:r>
      <w:r>
        <w:rPr>
          <w:sz w:val="22"/>
        </w:rPr>
        <w:t>as</w:t>
      </w:r>
      <w:r>
        <w:rPr>
          <w:spacing w:val="-6"/>
          <w:sz w:val="22"/>
        </w:rPr>
        <w:t> </w:t>
      </w:r>
      <w:r>
        <w:rPr>
          <w:sz w:val="22"/>
        </w:rPr>
        <w:t>international</w:t>
      </w:r>
      <w:r>
        <w:rPr>
          <w:spacing w:val="-7"/>
          <w:sz w:val="22"/>
        </w:rPr>
        <w:t> </w:t>
      </w:r>
      <w:r>
        <w:rPr>
          <w:spacing w:val="-2"/>
          <w:sz w:val="22"/>
        </w:rPr>
        <w:t>students.</w:t>
      </w:r>
    </w:p>
    <w:p>
      <w:pPr>
        <w:pStyle w:val="ListParagraph"/>
        <w:numPr>
          <w:ilvl w:val="2"/>
          <w:numId w:val="4"/>
        </w:numPr>
        <w:tabs>
          <w:tab w:pos="1396" w:val="left" w:leader="none"/>
          <w:tab w:pos="1406" w:val="left" w:leader="none"/>
        </w:tabs>
        <w:spacing w:line="278" w:lineRule="auto" w:before="157" w:after="0"/>
        <w:ind w:left="1396" w:right="816" w:hanging="557"/>
        <w:jc w:val="left"/>
        <w:rPr>
          <w:sz w:val="22"/>
        </w:rPr>
      </w:pPr>
      <w:r>
        <w:rPr>
          <w:b/>
          <w:sz w:val="22"/>
        </w:rPr>
        <w:tab/>
      </w:r>
      <w:r>
        <w:rPr>
          <w:sz w:val="22"/>
        </w:rPr>
        <w:t>Students who enrol in an accredited secondary ITE degree with a first census date before 1 January 2024 or after 31 December 2025.</w:t>
      </w:r>
    </w:p>
    <w:p>
      <w:pPr>
        <w:pStyle w:val="ListParagraph"/>
        <w:numPr>
          <w:ilvl w:val="2"/>
          <w:numId w:val="4"/>
        </w:numPr>
        <w:tabs>
          <w:tab w:pos="1396" w:val="left" w:leader="none"/>
          <w:tab w:pos="1403" w:val="left" w:leader="none"/>
        </w:tabs>
        <w:spacing w:line="276" w:lineRule="auto" w:before="117" w:after="0"/>
        <w:ind w:left="1396" w:right="816" w:hanging="557"/>
        <w:jc w:val="left"/>
        <w:rPr>
          <w:sz w:val="22"/>
        </w:rPr>
      </w:pPr>
      <w:r>
        <w:rPr>
          <w:b/>
          <w:sz w:val="22"/>
        </w:rPr>
        <w:tab/>
      </w:r>
      <w:r>
        <w:rPr>
          <w:sz w:val="22"/>
        </w:rPr>
        <w:t>Students who are enrolled in degrees that are not accredited by the VIT, or by an equivalent Australian regulator and recognised by the VIT.</w:t>
      </w:r>
    </w:p>
    <w:p>
      <w:pPr>
        <w:pStyle w:val="ListParagraph"/>
        <w:numPr>
          <w:ilvl w:val="2"/>
          <w:numId w:val="4"/>
        </w:numPr>
        <w:tabs>
          <w:tab w:pos="1396" w:val="left" w:leader="none"/>
          <w:tab w:pos="1401" w:val="left" w:leader="none"/>
        </w:tabs>
        <w:spacing w:line="278" w:lineRule="auto" w:before="119" w:after="0"/>
        <w:ind w:left="1396" w:right="813" w:hanging="557"/>
        <w:jc w:val="left"/>
        <w:rPr>
          <w:sz w:val="22"/>
        </w:rPr>
      </w:pPr>
      <w:r>
        <w:rPr>
          <w:b/>
          <w:sz w:val="22"/>
        </w:rPr>
        <w:tab/>
      </w:r>
      <w:r>
        <w:rPr>
          <w:sz w:val="22"/>
        </w:rPr>
        <w:t>Students enrolled in a VIT-accredited primary or dual (early childhood-primary) qualification ITE degree.</w:t>
      </w:r>
    </w:p>
    <w:p>
      <w:pPr>
        <w:pStyle w:val="BodyText"/>
        <w:spacing w:line="276" w:lineRule="auto" w:before="116"/>
        <w:ind w:left="120" w:right="815"/>
        <w:jc w:val="both"/>
      </w:pPr>
      <w:r>
        <w:rPr/>
        <w:t>Note: recipients of the STS study component who do not enter employment in a Victorian government secondary or specialist school setting within 15 months of completing their secondary ITE degree will not be eligible to receive the employment component of STS.</w:t>
      </w:r>
    </w:p>
    <w:p>
      <w:pPr>
        <w:pStyle w:val="BodyText"/>
        <w:spacing w:before="107"/>
      </w:pPr>
    </w:p>
    <w:p>
      <w:pPr>
        <w:pStyle w:val="Heading1"/>
        <w:numPr>
          <w:ilvl w:val="0"/>
          <w:numId w:val="1"/>
        </w:numPr>
        <w:tabs>
          <w:tab w:pos="479" w:val="left" w:leader="none"/>
        </w:tabs>
        <w:spacing w:line="240" w:lineRule="auto" w:before="0" w:after="0"/>
        <w:ind w:left="479" w:right="0" w:hanging="359"/>
        <w:jc w:val="both"/>
      </w:pPr>
      <w:bookmarkStart w:name="4. Available funding and payment schedul" w:id="16"/>
      <w:bookmarkEnd w:id="16"/>
      <w:r>
        <w:rPr>
          <w:b w:val="0"/>
        </w:rPr>
      </w:r>
      <w:r>
        <w:rPr>
          <w:color w:val="205E99"/>
        </w:rPr>
        <w:t>Available</w:t>
      </w:r>
      <w:r>
        <w:rPr>
          <w:color w:val="205E99"/>
          <w:spacing w:val="-13"/>
        </w:rPr>
        <w:t> </w:t>
      </w:r>
      <w:r>
        <w:rPr>
          <w:color w:val="205E99"/>
        </w:rPr>
        <w:t>funding</w:t>
      </w:r>
      <w:r>
        <w:rPr>
          <w:color w:val="205E99"/>
          <w:spacing w:val="-13"/>
        </w:rPr>
        <w:t> </w:t>
      </w:r>
      <w:r>
        <w:rPr>
          <w:color w:val="205E99"/>
        </w:rPr>
        <w:t>and</w:t>
      </w:r>
      <w:r>
        <w:rPr>
          <w:color w:val="205E99"/>
          <w:spacing w:val="-10"/>
        </w:rPr>
        <w:t> </w:t>
      </w:r>
      <w:r>
        <w:rPr>
          <w:color w:val="205E99"/>
        </w:rPr>
        <w:t>payment</w:t>
      </w:r>
      <w:r>
        <w:rPr>
          <w:color w:val="205E99"/>
          <w:spacing w:val="-11"/>
        </w:rPr>
        <w:t> </w:t>
      </w:r>
      <w:r>
        <w:rPr>
          <w:color w:val="205E99"/>
          <w:spacing w:val="-2"/>
        </w:rPr>
        <w:t>schedule</w:t>
      </w:r>
    </w:p>
    <w:p>
      <w:pPr>
        <w:pStyle w:val="Heading2"/>
        <w:numPr>
          <w:ilvl w:val="1"/>
          <w:numId w:val="5"/>
        </w:numPr>
        <w:tabs>
          <w:tab w:pos="486" w:val="left" w:leader="none"/>
        </w:tabs>
        <w:spacing w:line="240" w:lineRule="auto" w:before="216" w:after="0"/>
        <w:ind w:left="486" w:right="0" w:hanging="366"/>
        <w:jc w:val="both"/>
      </w:pPr>
      <w:bookmarkStart w:name="4.1 Available STS payments" w:id="17"/>
      <w:bookmarkEnd w:id="17"/>
      <w:r>
        <w:rPr>
          <w:b w:val="0"/>
        </w:rPr>
      </w:r>
      <w:r>
        <w:rPr/>
        <w:t>Available</w:t>
      </w:r>
      <w:r>
        <w:rPr>
          <w:spacing w:val="-4"/>
        </w:rPr>
        <w:t> </w:t>
      </w:r>
      <w:r>
        <w:rPr/>
        <w:t>STS</w:t>
      </w:r>
      <w:r>
        <w:rPr>
          <w:spacing w:val="-4"/>
        </w:rPr>
        <w:t> </w:t>
      </w:r>
      <w:r>
        <w:rPr>
          <w:spacing w:val="-2"/>
        </w:rPr>
        <w:t>payments</w:t>
      </w:r>
    </w:p>
    <w:p>
      <w:pPr>
        <w:pStyle w:val="BodyText"/>
        <w:spacing w:line="276" w:lineRule="auto" w:before="119"/>
        <w:ind w:left="119" w:right="817"/>
        <w:jc w:val="both"/>
      </w:pPr>
      <w:r>
        <w:rPr/>
        <w:t>The maximum STS payments (including study and employment components) for eligible undergraduate and postgraduate recipients are set out below. Please note that the dollar figures</w:t>
      </w:r>
      <w:r>
        <w:rPr>
          <w:spacing w:val="-6"/>
        </w:rPr>
        <w:t> </w:t>
      </w:r>
      <w:r>
        <w:rPr/>
        <w:t>stated</w:t>
      </w:r>
      <w:r>
        <w:rPr>
          <w:spacing w:val="-4"/>
        </w:rPr>
        <w:t> </w:t>
      </w:r>
      <w:r>
        <w:rPr/>
        <w:t>in</w:t>
      </w:r>
      <w:r>
        <w:rPr>
          <w:spacing w:val="-4"/>
        </w:rPr>
        <w:t> </w:t>
      </w:r>
      <w:r>
        <w:rPr/>
        <w:t>Section</w:t>
      </w:r>
      <w:r>
        <w:rPr>
          <w:spacing w:val="-6"/>
        </w:rPr>
        <w:t> </w:t>
      </w:r>
      <w:r>
        <w:rPr/>
        <w:t>4</w:t>
      </w:r>
      <w:r>
        <w:rPr>
          <w:spacing w:val="-4"/>
        </w:rPr>
        <w:t> </w:t>
      </w:r>
      <w:r>
        <w:rPr/>
        <w:t>represent</w:t>
      </w:r>
      <w:r>
        <w:rPr>
          <w:spacing w:val="-5"/>
        </w:rPr>
        <w:t> </w:t>
      </w:r>
      <w:r>
        <w:rPr/>
        <w:t>amounts</w:t>
      </w:r>
      <w:r>
        <w:rPr>
          <w:spacing w:val="-6"/>
        </w:rPr>
        <w:t> </w:t>
      </w:r>
      <w:r>
        <w:rPr/>
        <w:t>in</w:t>
      </w:r>
      <w:r>
        <w:rPr>
          <w:spacing w:val="-4"/>
        </w:rPr>
        <w:t> </w:t>
      </w:r>
      <w:r>
        <w:rPr/>
        <w:t>2024</w:t>
      </w:r>
      <w:r>
        <w:rPr>
          <w:spacing w:val="-4"/>
        </w:rPr>
        <w:t> </w:t>
      </w:r>
      <w:r>
        <w:rPr/>
        <w:t>only.</w:t>
      </w:r>
      <w:r>
        <w:rPr>
          <w:spacing w:val="-3"/>
        </w:rPr>
        <w:t> </w:t>
      </w:r>
      <w:r>
        <w:rPr/>
        <w:t>STS</w:t>
      </w:r>
      <w:r>
        <w:rPr>
          <w:spacing w:val="-7"/>
        </w:rPr>
        <w:t> </w:t>
      </w:r>
      <w:r>
        <w:rPr/>
        <w:t>payments</w:t>
      </w:r>
      <w:r>
        <w:rPr>
          <w:spacing w:val="-8"/>
        </w:rPr>
        <w:t> </w:t>
      </w:r>
      <w:r>
        <w:rPr/>
        <w:t>in</w:t>
      </w:r>
      <w:r>
        <w:rPr>
          <w:spacing w:val="-4"/>
        </w:rPr>
        <w:t> </w:t>
      </w:r>
      <w:r>
        <w:rPr/>
        <w:t>future</w:t>
      </w:r>
      <w:r>
        <w:rPr>
          <w:spacing w:val="-4"/>
        </w:rPr>
        <w:t> </w:t>
      </w:r>
      <w:r>
        <w:rPr/>
        <w:t>years</w:t>
      </w:r>
      <w:r>
        <w:rPr>
          <w:spacing w:val="-6"/>
        </w:rPr>
        <w:t> </w:t>
      </w:r>
      <w:r>
        <w:rPr/>
        <w:t>will be indexed at 2.5% per annum.</w:t>
      </w:r>
    </w:p>
    <w:p>
      <w:pPr>
        <w:spacing w:after="0" w:line="276" w:lineRule="auto"/>
        <w:jc w:val="both"/>
        <w:sectPr>
          <w:pgSz w:w="11910" w:h="16840"/>
          <w:pgMar w:header="0" w:footer="765" w:top="1900" w:bottom="960" w:left="1320" w:right="620"/>
        </w:sectPr>
      </w:pPr>
    </w:p>
    <w:p>
      <w:pPr>
        <w:spacing w:before="86"/>
        <w:ind w:left="120" w:right="0" w:firstLine="0"/>
        <w:jc w:val="left"/>
        <w:rPr>
          <w:i/>
          <w:sz w:val="22"/>
        </w:rPr>
      </w:pPr>
      <w:r>
        <w:rPr>
          <w:i/>
          <w:sz w:val="22"/>
        </w:rPr>
        <w:t>Undergraduate</w:t>
      </w:r>
      <w:r>
        <w:rPr>
          <w:i/>
          <w:spacing w:val="-8"/>
          <w:sz w:val="22"/>
        </w:rPr>
        <w:t> </w:t>
      </w:r>
      <w:r>
        <w:rPr>
          <w:i/>
          <w:sz w:val="22"/>
        </w:rPr>
        <w:t>STS</w:t>
      </w:r>
      <w:r>
        <w:rPr>
          <w:i/>
          <w:spacing w:val="-7"/>
          <w:sz w:val="22"/>
        </w:rPr>
        <w:t> </w:t>
      </w:r>
      <w:r>
        <w:rPr>
          <w:i/>
          <w:spacing w:val="-2"/>
          <w:sz w:val="22"/>
        </w:rPr>
        <w:t>recipients:</w:t>
      </w:r>
    </w:p>
    <w:p>
      <w:pPr>
        <w:pStyle w:val="BodyText"/>
        <w:rPr>
          <w:i/>
          <w:sz w:val="17"/>
        </w:rPr>
      </w:pPr>
    </w:p>
    <w:tbl>
      <w:tblPr>
        <w:tblW w:w="0" w:type="auto"/>
        <w:jc w:val="left"/>
        <w:tblInd w:w="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69"/>
        <w:gridCol w:w="1380"/>
        <w:gridCol w:w="1591"/>
        <w:gridCol w:w="1109"/>
      </w:tblGrid>
      <w:tr>
        <w:trPr>
          <w:trHeight w:val="417" w:hRule="atLeast"/>
        </w:trPr>
        <w:tc>
          <w:tcPr>
            <w:tcW w:w="5069" w:type="dxa"/>
            <w:tcBorders>
              <w:bottom w:val="single" w:sz="4" w:space="0" w:color="000000"/>
              <w:right w:val="single" w:sz="4" w:space="0" w:color="000000"/>
            </w:tcBorders>
            <w:shd w:val="clear" w:color="auto" w:fill="205E99"/>
          </w:tcPr>
          <w:p>
            <w:pPr>
              <w:pStyle w:val="TableParagraph"/>
              <w:ind w:left="215"/>
              <w:rPr>
                <w:b/>
                <w:sz w:val="21"/>
              </w:rPr>
            </w:pPr>
            <w:r>
              <w:rPr>
                <w:b/>
                <w:color w:val="FFFFFF"/>
                <w:sz w:val="21"/>
              </w:rPr>
              <w:t>Funding</w:t>
            </w:r>
            <w:r>
              <w:rPr>
                <w:b/>
                <w:color w:val="FFFFFF"/>
                <w:spacing w:val="-7"/>
                <w:sz w:val="21"/>
              </w:rPr>
              <w:t> </w:t>
            </w:r>
            <w:r>
              <w:rPr>
                <w:b/>
                <w:color w:val="FFFFFF"/>
                <w:spacing w:val="-2"/>
                <w:sz w:val="21"/>
              </w:rPr>
              <w:t>component</w:t>
            </w:r>
          </w:p>
        </w:tc>
        <w:tc>
          <w:tcPr>
            <w:tcW w:w="1380" w:type="dxa"/>
            <w:tcBorders>
              <w:left w:val="single" w:sz="4" w:space="0" w:color="000000"/>
              <w:bottom w:val="single" w:sz="4" w:space="0" w:color="000000"/>
              <w:right w:val="single" w:sz="4" w:space="0" w:color="000000"/>
            </w:tcBorders>
            <w:shd w:val="clear" w:color="auto" w:fill="205E99"/>
          </w:tcPr>
          <w:p>
            <w:pPr>
              <w:pStyle w:val="TableParagraph"/>
              <w:ind w:left="220"/>
              <w:rPr>
                <w:b/>
                <w:sz w:val="21"/>
              </w:rPr>
            </w:pPr>
            <w:r>
              <w:rPr>
                <w:b/>
                <w:color w:val="FFFFFF"/>
                <w:spacing w:val="-2"/>
                <w:sz w:val="21"/>
              </w:rPr>
              <w:t>Duration</w:t>
            </w:r>
          </w:p>
        </w:tc>
        <w:tc>
          <w:tcPr>
            <w:tcW w:w="1591" w:type="dxa"/>
            <w:tcBorders>
              <w:left w:val="single" w:sz="4" w:space="0" w:color="000000"/>
              <w:bottom w:val="single" w:sz="4" w:space="0" w:color="000000"/>
              <w:right w:val="single" w:sz="4" w:space="0" w:color="000000"/>
            </w:tcBorders>
            <w:shd w:val="clear" w:color="auto" w:fill="205E99"/>
          </w:tcPr>
          <w:p>
            <w:pPr>
              <w:pStyle w:val="TableParagraph"/>
              <w:ind w:left="220"/>
              <w:rPr>
                <w:b/>
                <w:sz w:val="21"/>
              </w:rPr>
            </w:pPr>
            <w:r>
              <w:rPr>
                <w:b/>
                <w:color w:val="FFFFFF"/>
                <w:spacing w:val="-2"/>
                <w:sz w:val="21"/>
              </w:rPr>
              <w:t>Amount*</w:t>
            </w:r>
          </w:p>
        </w:tc>
        <w:tc>
          <w:tcPr>
            <w:tcW w:w="1109" w:type="dxa"/>
            <w:tcBorders>
              <w:left w:val="single" w:sz="4" w:space="0" w:color="000000"/>
              <w:bottom w:val="single" w:sz="4" w:space="0" w:color="000000"/>
            </w:tcBorders>
            <w:shd w:val="clear" w:color="auto" w:fill="205E99"/>
          </w:tcPr>
          <w:p>
            <w:pPr>
              <w:pStyle w:val="TableParagraph"/>
              <w:ind w:left="218"/>
              <w:rPr>
                <w:b/>
                <w:sz w:val="21"/>
              </w:rPr>
            </w:pPr>
            <w:r>
              <w:rPr>
                <w:b/>
                <w:color w:val="FFFFFF"/>
                <w:spacing w:val="-2"/>
                <w:sz w:val="21"/>
              </w:rPr>
              <w:t>Total*</w:t>
            </w:r>
          </w:p>
        </w:tc>
      </w:tr>
      <w:tr>
        <w:trPr>
          <w:trHeight w:val="719" w:hRule="atLeast"/>
        </w:trPr>
        <w:tc>
          <w:tcPr>
            <w:tcW w:w="5069" w:type="dxa"/>
            <w:tcBorders>
              <w:top w:val="single" w:sz="4" w:space="0" w:color="000000"/>
              <w:bottom w:val="single" w:sz="4" w:space="0" w:color="000000"/>
              <w:right w:val="single" w:sz="4" w:space="0" w:color="000000"/>
            </w:tcBorders>
          </w:tcPr>
          <w:p>
            <w:pPr>
              <w:pStyle w:val="TableParagraph"/>
              <w:spacing w:line="276" w:lineRule="auto" w:before="81"/>
              <w:ind w:left="215"/>
              <w:rPr>
                <w:sz w:val="21"/>
              </w:rPr>
            </w:pPr>
            <w:r>
              <w:rPr>
                <w:sz w:val="21"/>
              </w:rPr>
              <w:t>Study</w:t>
            </w:r>
            <w:r>
              <w:rPr>
                <w:spacing w:val="80"/>
                <w:sz w:val="21"/>
              </w:rPr>
              <w:t> </w:t>
            </w:r>
            <w:r>
              <w:rPr>
                <w:sz w:val="21"/>
              </w:rPr>
              <w:t>–</w:t>
            </w:r>
            <w:r>
              <w:rPr>
                <w:spacing w:val="80"/>
                <w:sz w:val="21"/>
              </w:rPr>
              <w:t> </w:t>
            </w:r>
            <w:r>
              <w:rPr>
                <w:sz w:val="21"/>
              </w:rPr>
              <w:t>Undergraduate</w:t>
            </w:r>
            <w:r>
              <w:rPr>
                <w:spacing w:val="80"/>
                <w:sz w:val="21"/>
              </w:rPr>
              <w:t> </w:t>
            </w:r>
            <w:r>
              <w:rPr>
                <w:sz w:val="22"/>
              </w:rPr>
              <w:t>VIT-</w:t>
            </w:r>
            <w:r>
              <w:rPr>
                <w:spacing w:val="80"/>
                <w:sz w:val="22"/>
              </w:rPr>
              <w:t> </w:t>
            </w:r>
            <w:r>
              <w:rPr>
                <w:sz w:val="22"/>
              </w:rPr>
              <w:t>(or</w:t>
            </w:r>
            <w:r>
              <w:rPr>
                <w:spacing w:val="80"/>
                <w:sz w:val="22"/>
              </w:rPr>
              <w:t> </w:t>
            </w:r>
            <w:r>
              <w:rPr>
                <w:sz w:val="22"/>
              </w:rPr>
              <w:t>equivalent) accredited </w:t>
            </w:r>
            <w:r>
              <w:rPr>
                <w:sz w:val="21"/>
              </w:rPr>
              <w:t>secondary ITE degree</w:t>
            </w:r>
          </w:p>
        </w:tc>
        <w:tc>
          <w:tcPr>
            <w:tcW w:w="1380" w:type="dxa"/>
            <w:tcBorders>
              <w:top w:val="single" w:sz="4" w:space="0" w:color="000000"/>
              <w:left w:val="single" w:sz="4" w:space="0" w:color="000000"/>
              <w:bottom w:val="single" w:sz="4" w:space="0" w:color="000000"/>
              <w:right w:val="single" w:sz="4" w:space="0" w:color="000000"/>
            </w:tcBorders>
          </w:tcPr>
          <w:p>
            <w:pPr>
              <w:pStyle w:val="TableParagraph"/>
              <w:ind w:left="220"/>
              <w:rPr>
                <w:sz w:val="21"/>
              </w:rPr>
            </w:pPr>
            <w:r>
              <w:rPr>
                <w:sz w:val="21"/>
              </w:rPr>
              <w:t>4</w:t>
            </w:r>
            <w:r>
              <w:rPr>
                <w:spacing w:val="-1"/>
                <w:sz w:val="21"/>
              </w:rPr>
              <w:t> </w:t>
            </w:r>
            <w:r>
              <w:rPr>
                <w:spacing w:val="-4"/>
                <w:sz w:val="21"/>
              </w:rPr>
              <w:t>years</w:t>
            </w:r>
          </w:p>
        </w:tc>
        <w:tc>
          <w:tcPr>
            <w:tcW w:w="1591" w:type="dxa"/>
            <w:tcBorders>
              <w:top w:val="single" w:sz="4" w:space="0" w:color="000000"/>
              <w:left w:val="single" w:sz="4" w:space="0" w:color="000000"/>
              <w:bottom w:val="single" w:sz="4" w:space="0" w:color="000000"/>
              <w:right w:val="single" w:sz="4" w:space="0" w:color="000000"/>
            </w:tcBorders>
          </w:tcPr>
          <w:p>
            <w:pPr>
              <w:pStyle w:val="TableParagraph"/>
              <w:ind w:left="220"/>
              <w:rPr>
                <w:sz w:val="21"/>
              </w:rPr>
            </w:pPr>
            <w:r>
              <w:rPr>
                <w:spacing w:val="-2"/>
                <w:sz w:val="21"/>
              </w:rPr>
              <w:t>$9,600</w:t>
            </w:r>
          </w:p>
        </w:tc>
        <w:tc>
          <w:tcPr>
            <w:tcW w:w="1109" w:type="dxa"/>
            <w:vMerge w:val="restart"/>
            <w:tcBorders>
              <w:top w:val="single" w:sz="4" w:space="0" w:color="000000"/>
              <w:left w:val="single" w:sz="4" w:space="0" w:color="000000"/>
            </w:tcBorders>
          </w:tcPr>
          <w:p>
            <w:pPr>
              <w:pStyle w:val="TableParagraph"/>
              <w:spacing w:before="194"/>
              <w:ind w:left="0"/>
              <w:rPr>
                <w:i/>
                <w:sz w:val="21"/>
              </w:rPr>
            </w:pPr>
          </w:p>
          <w:p>
            <w:pPr>
              <w:pStyle w:val="TableParagraph"/>
              <w:spacing w:before="1"/>
              <w:ind w:left="105"/>
              <w:rPr>
                <w:sz w:val="21"/>
              </w:rPr>
            </w:pPr>
            <w:r>
              <w:rPr>
                <w:spacing w:val="-2"/>
                <w:sz w:val="21"/>
              </w:rPr>
              <w:t>$18,000</w:t>
            </w:r>
          </w:p>
        </w:tc>
      </w:tr>
      <w:tr>
        <w:trPr>
          <w:trHeight w:val="693" w:hRule="atLeast"/>
        </w:trPr>
        <w:tc>
          <w:tcPr>
            <w:tcW w:w="5069" w:type="dxa"/>
            <w:tcBorders>
              <w:top w:val="single" w:sz="4" w:space="0" w:color="000000"/>
              <w:right w:val="single" w:sz="4" w:space="0" w:color="000000"/>
            </w:tcBorders>
          </w:tcPr>
          <w:p>
            <w:pPr>
              <w:pStyle w:val="TableParagraph"/>
              <w:spacing w:line="276" w:lineRule="auto" w:before="76"/>
              <w:ind w:left="215"/>
              <w:rPr>
                <w:sz w:val="21"/>
              </w:rPr>
            </w:pPr>
            <w:r>
              <w:rPr>
                <w:sz w:val="21"/>
              </w:rPr>
              <w:t>Employment</w:t>
            </w:r>
            <w:r>
              <w:rPr>
                <w:spacing w:val="80"/>
                <w:sz w:val="21"/>
              </w:rPr>
              <w:t> </w:t>
            </w:r>
            <w:r>
              <w:rPr>
                <w:sz w:val="21"/>
              </w:rPr>
              <w:t>–</w:t>
            </w:r>
            <w:r>
              <w:rPr>
                <w:spacing w:val="80"/>
                <w:sz w:val="21"/>
              </w:rPr>
              <w:t> </w:t>
            </w:r>
            <w:r>
              <w:rPr>
                <w:sz w:val="21"/>
              </w:rPr>
              <w:t>Employment</w:t>
            </w:r>
            <w:r>
              <w:rPr>
                <w:spacing w:val="80"/>
                <w:sz w:val="21"/>
              </w:rPr>
              <w:t> </w:t>
            </w:r>
            <w:r>
              <w:rPr>
                <w:sz w:val="21"/>
              </w:rPr>
              <w:t>within</w:t>
            </w:r>
            <w:r>
              <w:rPr>
                <w:spacing w:val="80"/>
                <w:sz w:val="21"/>
              </w:rPr>
              <w:t> </w:t>
            </w:r>
            <w:r>
              <w:rPr>
                <w:sz w:val="21"/>
              </w:rPr>
              <w:t>a</w:t>
            </w:r>
            <w:r>
              <w:rPr>
                <w:spacing w:val="80"/>
                <w:sz w:val="21"/>
              </w:rPr>
              <w:t> </w:t>
            </w:r>
            <w:r>
              <w:rPr>
                <w:sz w:val="21"/>
              </w:rPr>
              <w:t>Victorian government secondary or specialist school setting</w:t>
            </w:r>
          </w:p>
        </w:tc>
        <w:tc>
          <w:tcPr>
            <w:tcW w:w="1380" w:type="dxa"/>
            <w:tcBorders>
              <w:top w:val="single" w:sz="4" w:space="0" w:color="000000"/>
              <w:left w:val="single" w:sz="4" w:space="0" w:color="000000"/>
              <w:right w:val="single" w:sz="4" w:space="0" w:color="000000"/>
            </w:tcBorders>
          </w:tcPr>
          <w:p>
            <w:pPr>
              <w:pStyle w:val="TableParagraph"/>
              <w:spacing w:before="76"/>
              <w:ind w:left="220"/>
              <w:rPr>
                <w:sz w:val="21"/>
              </w:rPr>
            </w:pPr>
            <w:r>
              <w:rPr>
                <w:sz w:val="21"/>
              </w:rPr>
              <w:t>2</w:t>
            </w:r>
            <w:r>
              <w:rPr>
                <w:spacing w:val="-1"/>
                <w:sz w:val="21"/>
              </w:rPr>
              <w:t> </w:t>
            </w:r>
            <w:r>
              <w:rPr>
                <w:spacing w:val="-4"/>
                <w:sz w:val="21"/>
              </w:rPr>
              <w:t>years</w:t>
            </w:r>
          </w:p>
        </w:tc>
        <w:tc>
          <w:tcPr>
            <w:tcW w:w="1591" w:type="dxa"/>
            <w:tcBorders>
              <w:top w:val="single" w:sz="4" w:space="0" w:color="000000"/>
              <w:left w:val="single" w:sz="4" w:space="0" w:color="000000"/>
              <w:right w:val="single" w:sz="4" w:space="0" w:color="000000"/>
            </w:tcBorders>
          </w:tcPr>
          <w:p>
            <w:pPr>
              <w:pStyle w:val="TableParagraph"/>
              <w:spacing w:before="76"/>
              <w:ind w:left="220"/>
              <w:rPr>
                <w:sz w:val="21"/>
              </w:rPr>
            </w:pPr>
            <w:r>
              <w:rPr>
                <w:spacing w:val="-2"/>
                <w:sz w:val="21"/>
              </w:rPr>
              <w:t>$8,400</w:t>
            </w:r>
          </w:p>
        </w:tc>
        <w:tc>
          <w:tcPr>
            <w:tcW w:w="1109" w:type="dxa"/>
            <w:vMerge/>
            <w:tcBorders>
              <w:top w:val="nil"/>
              <w:left w:val="single" w:sz="4" w:space="0" w:color="000000"/>
            </w:tcBorders>
          </w:tcPr>
          <w:p>
            <w:pPr>
              <w:rPr>
                <w:sz w:val="2"/>
                <w:szCs w:val="2"/>
              </w:rPr>
            </w:pPr>
          </w:p>
        </w:tc>
      </w:tr>
    </w:tbl>
    <w:p>
      <w:pPr>
        <w:pStyle w:val="BodyText"/>
        <w:spacing w:before="159"/>
        <w:rPr>
          <w:i/>
        </w:rPr>
      </w:pPr>
    </w:p>
    <w:p>
      <w:pPr>
        <w:spacing w:before="1"/>
        <w:ind w:left="120" w:right="0" w:firstLine="0"/>
        <w:jc w:val="left"/>
        <w:rPr>
          <w:i/>
          <w:sz w:val="22"/>
        </w:rPr>
      </w:pPr>
      <w:r>
        <w:rPr>
          <w:i/>
          <w:sz w:val="22"/>
        </w:rPr>
        <w:t>Postgraduate</w:t>
      </w:r>
      <w:r>
        <w:rPr>
          <w:i/>
          <w:spacing w:val="-5"/>
          <w:sz w:val="22"/>
        </w:rPr>
        <w:t> </w:t>
      </w:r>
      <w:r>
        <w:rPr>
          <w:i/>
          <w:sz w:val="22"/>
        </w:rPr>
        <w:t>STS</w:t>
      </w:r>
      <w:r>
        <w:rPr>
          <w:i/>
          <w:spacing w:val="-6"/>
          <w:sz w:val="22"/>
        </w:rPr>
        <w:t> </w:t>
      </w:r>
      <w:r>
        <w:rPr>
          <w:i/>
          <w:spacing w:val="-2"/>
          <w:sz w:val="22"/>
        </w:rPr>
        <w:t>recipients:</w:t>
      </w:r>
    </w:p>
    <w:p>
      <w:pPr>
        <w:pStyle w:val="BodyText"/>
        <w:spacing w:before="7"/>
        <w:rPr>
          <w:i/>
          <w:sz w:val="13"/>
        </w:rPr>
      </w:pPr>
    </w:p>
    <w:tbl>
      <w:tblPr>
        <w:tblW w:w="0" w:type="auto"/>
        <w:jc w:val="left"/>
        <w:tblInd w:w="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34"/>
        <w:gridCol w:w="1694"/>
        <w:gridCol w:w="1411"/>
        <w:gridCol w:w="1109"/>
      </w:tblGrid>
      <w:tr>
        <w:trPr>
          <w:trHeight w:val="417" w:hRule="atLeast"/>
        </w:trPr>
        <w:tc>
          <w:tcPr>
            <w:tcW w:w="4934" w:type="dxa"/>
            <w:tcBorders>
              <w:bottom w:val="single" w:sz="4" w:space="0" w:color="000000"/>
              <w:right w:val="single" w:sz="4" w:space="0" w:color="000000"/>
            </w:tcBorders>
            <w:shd w:val="clear" w:color="auto" w:fill="205E99"/>
          </w:tcPr>
          <w:p>
            <w:pPr>
              <w:pStyle w:val="TableParagraph"/>
              <w:ind w:left="215"/>
              <w:rPr>
                <w:b/>
                <w:sz w:val="21"/>
              </w:rPr>
            </w:pPr>
            <w:r>
              <w:rPr>
                <w:b/>
                <w:color w:val="FFFFFF"/>
                <w:sz w:val="21"/>
              </w:rPr>
              <w:t>Funding</w:t>
            </w:r>
            <w:r>
              <w:rPr>
                <w:b/>
                <w:color w:val="FFFFFF"/>
                <w:spacing w:val="-7"/>
                <w:sz w:val="21"/>
              </w:rPr>
              <w:t> </w:t>
            </w:r>
            <w:r>
              <w:rPr>
                <w:b/>
                <w:color w:val="FFFFFF"/>
                <w:spacing w:val="-2"/>
                <w:sz w:val="21"/>
              </w:rPr>
              <w:t>component</w:t>
            </w:r>
          </w:p>
        </w:tc>
        <w:tc>
          <w:tcPr>
            <w:tcW w:w="1694" w:type="dxa"/>
            <w:tcBorders>
              <w:left w:val="single" w:sz="4" w:space="0" w:color="000000"/>
              <w:bottom w:val="single" w:sz="4" w:space="0" w:color="000000"/>
              <w:right w:val="single" w:sz="4" w:space="0" w:color="000000"/>
            </w:tcBorders>
            <w:shd w:val="clear" w:color="auto" w:fill="205E99"/>
          </w:tcPr>
          <w:p>
            <w:pPr>
              <w:pStyle w:val="TableParagraph"/>
              <w:ind w:left="221"/>
              <w:rPr>
                <w:b/>
                <w:sz w:val="21"/>
              </w:rPr>
            </w:pPr>
            <w:r>
              <w:rPr>
                <w:b/>
                <w:color w:val="FFFFFF"/>
                <w:spacing w:val="-2"/>
                <w:sz w:val="21"/>
              </w:rPr>
              <w:t>Duration</w:t>
            </w:r>
          </w:p>
        </w:tc>
        <w:tc>
          <w:tcPr>
            <w:tcW w:w="1411" w:type="dxa"/>
            <w:tcBorders>
              <w:left w:val="single" w:sz="4" w:space="0" w:color="000000"/>
              <w:bottom w:val="single" w:sz="4" w:space="0" w:color="000000"/>
              <w:right w:val="single" w:sz="4" w:space="0" w:color="000000"/>
            </w:tcBorders>
            <w:shd w:val="clear" w:color="auto" w:fill="205E99"/>
          </w:tcPr>
          <w:p>
            <w:pPr>
              <w:pStyle w:val="TableParagraph"/>
              <w:ind w:left="221"/>
              <w:rPr>
                <w:b/>
                <w:sz w:val="21"/>
              </w:rPr>
            </w:pPr>
            <w:r>
              <w:rPr>
                <w:b/>
                <w:color w:val="FFFFFF"/>
                <w:spacing w:val="-2"/>
                <w:sz w:val="21"/>
              </w:rPr>
              <w:t>Amount*</w:t>
            </w:r>
          </w:p>
        </w:tc>
        <w:tc>
          <w:tcPr>
            <w:tcW w:w="1109" w:type="dxa"/>
            <w:tcBorders>
              <w:left w:val="single" w:sz="4" w:space="0" w:color="000000"/>
              <w:bottom w:val="single" w:sz="4" w:space="0" w:color="000000"/>
            </w:tcBorders>
            <w:shd w:val="clear" w:color="auto" w:fill="205E99"/>
          </w:tcPr>
          <w:p>
            <w:pPr>
              <w:pStyle w:val="TableParagraph"/>
              <w:ind w:left="219"/>
              <w:rPr>
                <w:b/>
                <w:sz w:val="21"/>
              </w:rPr>
            </w:pPr>
            <w:r>
              <w:rPr>
                <w:b/>
                <w:color w:val="FFFFFF"/>
                <w:spacing w:val="-2"/>
                <w:sz w:val="21"/>
              </w:rPr>
              <w:t>Total*</w:t>
            </w:r>
          </w:p>
        </w:tc>
      </w:tr>
      <w:tr>
        <w:trPr>
          <w:trHeight w:val="719" w:hRule="atLeast"/>
        </w:trPr>
        <w:tc>
          <w:tcPr>
            <w:tcW w:w="4934" w:type="dxa"/>
            <w:tcBorders>
              <w:top w:val="single" w:sz="4" w:space="0" w:color="000000"/>
              <w:bottom w:val="single" w:sz="4" w:space="0" w:color="000000"/>
              <w:right w:val="single" w:sz="4" w:space="0" w:color="000000"/>
            </w:tcBorders>
          </w:tcPr>
          <w:p>
            <w:pPr>
              <w:pStyle w:val="TableParagraph"/>
              <w:spacing w:line="276" w:lineRule="auto" w:before="81"/>
              <w:ind w:left="215"/>
              <w:rPr>
                <w:sz w:val="21"/>
              </w:rPr>
            </w:pPr>
            <w:r>
              <w:rPr>
                <w:sz w:val="21"/>
              </w:rPr>
              <w:t>Study</w:t>
            </w:r>
            <w:r>
              <w:rPr>
                <w:spacing w:val="80"/>
                <w:sz w:val="21"/>
              </w:rPr>
              <w:t> </w:t>
            </w:r>
            <w:r>
              <w:rPr>
                <w:sz w:val="21"/>
              </w:rPr>
              <w:t>–</w:t>
            </w:r>
            <w:r>
              <w:rPr>
                <w:spacing w:val="80"/>
                <w:sz w:val="21"/>
              </w:rPr>
              <w:t> </w:t>
            </w:r>
            <w:r>
              <w:rPr>
                <w:sz w:val="21"/>
              </w:rPr>
              <w:t>Postgraduate</w:t>
            </w:r>
            <w:r>
              <w:rPr>
                <w:spacing w:val="80"/>
                <w:sz w:val="21"/>
              </w:rPr>
              <w:t> </w:t>
            </w:r>
            <w:r>
              <w:rPr>
                <w:sz w:val="22"/>
              </w:rPr>
              <w:t>VIT-</w:t>
            </w:r>
            <w:r>
              <w:rPr>
                <w:spacing w:val="80"/>
                <w:sz w:val="22"/>
              </w:rPr>
              <w:t> </w:t>
            </w:r>
            <w:r>
              <w:rPr>
                <w:sz w:val="22"/>
              </w:rPr>
              <w:t>(or</w:t>
            </w:r>
            <w:r>
              <w:rPr>
                <w:spacing w:val="80"/>
                <w:sz w:val="22"/>
              </w:rPr>
              <w:t> </w:t>
            </w:r>
            <w:r>
              <w:rPr>
                <w:sz w:val="22"/>
              </w:rPr>
              <w:t>equivalent)</w:t>
            </w:r>
            <w:r>
              <w:rPr>
                <w:spacing w:val="40"/>
                <w:sz w:val="22"/>
              </w:rPr>
              <w:t> </w:t>
            </w:r>
            <w:r>
              <w:rPr>
                <w:sz w:val="22"/>
              </w:rPr>
              <w:t>accredited </w:t>
            </w:r>
            <w:r>
              <w:rPr>
                <w:sz w:val="21"/>
              </w:rPr>
              <w:t>secondary ITE degree</w:t>
            </w:r>
          </w:p>
        </w:tc>
        <w:tc>
          <w:tcPr>
            <w:tcW w:w="1694" w:type="dxa"/>
            <w:tcBorders>
              <w:top w:val="single" w:sz="4" w:space="0" w:color="000000"/>
              <w:left w:val="single" w:sz="4" w:space="0" w:color="000000"/>
              <w:bottom w:val="single" w:sz="4" w:space="0" w:color="000000"/>
              <w:right w:val="single" w:sz="4" w:space="0" w:color="000000"/>
            </w:tcBorders>
          </w:tcPr>
          <w:p>
            <w:pPr>
              <w:pStyle w:val="TableParagraph"/>
              <w:ind w:left="221"/>
              <w:rPr>
                <w:sz w:val="21"/>
              </w:rPr>
            </w:pPr>
            <w:r>
              <w:rPr>
                <w:sz w:val="21"/>
              </w:rPr>
              <w:t>2</w:t>
            </w:r>
            <w:r>
              <w:rPr>
                <w:spacing w:val="-1"/>
                <w:sz w:val="21"/>
              </w:rPr>
              <w:t> </w:t>
            </w:r>
            <w:r>
              <w:rPr>
                <w:spacing w:val="-4"/>
                <w:sz w:val="21"/>
              </w:rPr>
              <w:t>years</w:t>
            </w:r>
          </w:p>
        </w:tc>
        <w:tc>
          <w:tcPr>
            <w:tcW w:w="1411" w:type="dxa"/>
            <w:tcBorders>
              <w:top w:val="single" w:sz="4" w:space="0" w:color="000000"/>
              <w:left w:val="single" w:sz="4" w:space="0" w:color="000000"/>
              <w:bottom w:val="single" w:sz="4" w:space="0" w:color="000000"/>
              <w:right w:val="single" w:sz="4" w:space="0" w:color="000000"/>
            </w:tcBorders>
          </w:tcPr>
          <w:p>
            <w:pPr>
              <w:pStyle w:val="TableParagraph"/>
              <w:ind w:left="221"/>
              <w:rPr>
                <w:sz w:val="21"/>
              </w:rPr>
            </w:pPr>
            <w:r>
              <w:rPr>
                <w:spacing w:val="-2"/>
                <w:sz w:val="21"/>
              </w:rPr>
              <w:t>$5,700</w:t>
            </w:r>
          </w:p>
        </w:tc>
        <w:tc>
          <w:tcPr>
            <w:tcW w:w="1109" w:type="dxa"/>
            <w:vMerge w:val="restart"/>
            <w:tcBorders>
              <w:top w:val="single" w:sz="4" w:space="0" w:color="000000"/>
              <w:left w:val="single" w:sz="4" w:space="0" w:color="000000"/>
            </w:tcBorders>
          </w:tcPr>
          <w:p>
            <w:pPr>
              <w:pStyle w:val="TableParagraph"/>
              <w:ind w:left="106"/>
              <w:rPr>
                <w:sz w:val="21"/>
              </w:rPr>
            </w:pPr>
            <w:r>
              <w:rPr>
                <w:spacing w:val="-2"/>
                <w:sz w:val="21"/>
              </w:rPr>
              <w:t>$9,000</w:t>
            </w:r>
          </w:p>
        </w:tc>
      </w:tr>
      <w:tr>
        <w:trPr>
          <w:trHeight w:val="693" w:hRule="atLeast"/>
        </w:trPr>
        <w:tc>
          <w:tcPr>
            <w:tcW w:w="4934" w:type="dxa"/>
            <w:tcBorders>
              <w:top w:val="single" w:sz="4" w:space="0" w:color="000000"/>
              <w:right w:val="single" w:sz="4" w:space="0" w:color="000000"/>
            </w:tcBorders>
          </w:tcPr>
          <w:p>
            <w:pPr>
              <w:pStyle w:val="TableParagraph"/>
              <w:spacing w:line="276" w:lineRule="auto" w:before="76"/>
              <w:ind w:left="215"/>
              <w:rPr>
                <w:sz w:val="21"/>
              </w:rPr>
            </w:pPr>
            <w:r>
              <w:rPr>
                <w:sz w:val="21"/>
              </w:rPr>
              <w:t>Employment</w:t>
            </w:r>
            <w:r>
              <w:rPr>
                <w:spacing w:val="40"/>
                <w:sz w:val="21"/>
              </w:rPr>
              <w:t> </w:t>
            </w:r>
            <w:r>
              <w:rPr>
                <w:sz w:val="21"/>
              </w:rPr>
              <w:t>–</w:t>
            </w:r>
            <w:r>
              <w:rPr>
                <w:spacing w:val="40"/>
                <w:sz w:val="21"/>
              </w:rPr>
              <w:t> </w:t>
            </w:r>
            <w:r>
              <w:rPr>
                <w:sz w:val="21"/>
              </w:rPr>
              <w:t>Employment</w:t>
            </w:r>
            <w:r>
              <w:rPr>
                <w:spacing w:val="40"/>
                <w:sz w:val="21"/>
              </w:rPr>
              <w:t> </w:t>
            </w:r>
            <w:r>
              <w:rPr>
                <w:sz w:val="21"/>
              </w:rPr>
              <w:t>within</w:t>
            </w:r>
            <w:r>
              <w:rPr>
                <w:spacing w:val="40"/>
                <w:sz w:val="21"/>
              </w:rPr>
              <w:t> </w:t>
            </w:r>
            <w:r>
              <w:rPr>
                <w:sz w:val="21"/>
              </w:rPr>
              <w:t>a</w:t>
            </w:r>
            <w:r>
              <w:rPr>
                <w:spacing w:val="40"/>
                <w:sz w:val="21"/>
              </w:rPr>
              <w:t> </w:t>
            </w:r>
            <w:r>
              <w:rPr>
                <w:sz w:val="21"/>
              </w:rPr>
              <w:t>Victorian government</w:t>
            </w:r>
            <w:r>
              <w:rPr>
                <w:spacing w:val="-14"/>
                <w:sz w:val="21"/>
              </w:rPr>
              <w:t> </w:t>
            </w:r>
            <w:r>
              <w:rPr>
                <w:sz w:val="21"/>
              </w:rPr>
              <w:t>secondary</w:t>
            </w:r>
            <w:r>
              <w:rPr>
                <w:spacing w:val="-12"/>
                <w:sz w:val="21"/>
              </w:rPr>
              <w:t> </w:t>
            </w:r>
            <w:r>
              <w:rPr>
                <w:sz w:val="21"/>
              </w:rPr>
              <w:t>or</w:t>
            </w:r>
            <w:r>
              <w:rPr>
                <w:spacing w:val="-13"/>
                <w:sz w:val="21"/>
              </w:rPr>
              <w:t> </w:t>
            </w:r>
            <w:r>
              <w:rPr>
                <w:sz w:val="21"/>
              </w:rPr>
              <w:t>specialist</w:t>
            </w:r>
            <w:r>
              <w:rPr>
                <w:spacing w:val="-13"/>
                <w:sz w:val="21"/>
              </w:rPr>
              <w:t> </w:t>
            </w:r>
            <w:r>
              <w:rPr>
                <w:sz w:val="21"/>
              </w:rPr>
              <w:t>school</w:t>
            </w:r>
            <w:r>
              <w:rPr>
                <w:spacing w:val="-11"/>
                <w:sz w:val="21"/>
              </w:rPr>
              <w:t> </w:t>
            </w:r>
            <w:r>
              <w:rPr>
                <w:spacing w:val="-2"/>
                <w:sz w:val="21"/>
              </w:rPr>
              <w:t>setting</w:t>
            </w:r>
          </w:p>
        </w:tc>
        <w:tc>
          <w:tcPr>
            <w:tcW w:w="1694" w:type="dxa"/>
            <w:tcBorders>
              <w:top w:val="single" w:sz="4" w:space="0" w:color="000000"/>
              <w:left w:val="single" w:sz="4" w:space="0" w:color="000000"/>
              <w:right w:val="single" w:sz="4" w:space="0" w:color="000000"/>
            </w:tcBorders>
          </w:tcPr>
          <w:p>
            <w:pPr>
              <w:pStyle w:val="TableParagraph"/>
              <w:spacing w:before="76"/>
              <w:ind w:left="221"/>
              <w:rPr>
                <w:sz w:val="21"/>
              </w:rPr>
            </w:pPr>
            <w:r>
              <w:rPr>
                <w:sz w:val="21"/>
              </w:rPr>
              <w:t>2</w:t>
            </w:r>
            <w:r>
              <w:rPr>
                <w:spacing w:val="-1"/>
                <w:sz w:val="21"/>
              </w:rPr>
              <w:t> </w:t>
            </w:r>
            <w:r>
              <w:rPr>
                <w:spacing w:val="-4"/>
                <w:sz w:val="21"/>
              </w:rPr>
              <w:t>years</w:t>
            </w:r>
          </w:p>
        </w:tc>
        <w:tc>
          <w:tcPr>
            <w:tcW w:w="1411" w:type="dxa"/>
            <w:tcBorders>
              <w:top w:val="single" w:sz="4" w:space="0" w:color="000000"/>
              <w:left w:val="single" w:sz="4" w:space="0" w:color="000000"/>
              <w:right w:val="single" w:sz="4" w:space="0" w:color="000000"/>
            </w:tcBorders>
          </w:tcPr>
          <w:p>
            <w:pPr>
              <w:pStyle w:val="TableParagraph"/>
              <w:spacing w:before="76"/>
              <w:ind w:left="221"/>
              <w:rPr>
                <w:sz w:val="21"/>
              </w:rPr>
            </w:pPr>
            <w:r>
              <w:rPr>
                <w:spacing w:val="-2"/>
                <w:sz w:val="21"/>
              </w:rPr>
              <w:t>$3,300</w:t>
            </w:r>
          </w:p>
        </w:tc>
        <w:tc>
          <w:tcPr>
            <w:tcW w:w="1109" w:type="dxa"/>
            <w:vMerge/>
            <w:tcBorders>
              <w:top w:val="nil"/>
              <w:left w:val="single" w:sz="4" w:space="0" w:color="000000"/>
            </w:tcBorders>
          </w:tcPr>
          <w:p>
            <w:pPr>
              <w:rPr>
                <w:sz w:val="2"/>
                <w:szCs w:val="2"/>
              </w:rPr>
            </w:pPr>
          </w:p>
        </w:tc>
      </w:tr>
    </w:tbl>
    <w:p>
      <w:pPr>
        <w:pStyle w:val="BodyText"/>
        <w:spacing w:before="157"/>
        <w:rPr>
          <w:i/>
        </w:rPr>
      </w:pPr>
    </w:p>
    <w:p>
      <w:pPr>
        <w:spacing w:before="0"/>
        <w:ind w:left="120" w:right="0" w:firstLine="0"/>
        <w:jc w:val="left"/>
        <w:rPr>
          <w:i/>
          <w:sz w:val="22"/>
        </w:rPr>
      </w:pPr>
      <w:r>
        <w:rPr>
          <w:i/>
          <w:sz w:val="22"/>
        </w:rPr>
        <w:t>*noting</w:t>
      </w:r>
      <w:r>
        <w:rPr>
          <w:i/>
          <w:spacing w:val="-8"/>
          <w:sz w:val="22"/>
        </w:rPr>
        <w:t> </w:t>
      </w:r>
      <w:r>
        <w:rPr>
          <w:i/>
          <w:sz w:val="22"/>
        </w:rPr>
        <w:t>that</w:t>
      </w:r>
      <w:r>
        <w:rPr>
          <w:i/>
          <w:spacing w:val="-3"/>
          <w:sz w:val="22"/>
        </w:rPr>
        <w:t> </w:t>
      </w:r>
      <w:r>
        <w:rPr>
          <w:i/>
          <w:sz w:val="22"/>
        </w:rPr>
        <w:t>these</w:t>
      </w:r>
      <w:r>
        <w:rPr>
          <w:i/>
          <w:spacing w:val="-6"/>
          <w:sz w:val="22"/>
        </w:rPr>
        <w:t> </w:t>
      </w:r>
      <w:r>
        <w:rPr>
          <w:i/>
          <w:sz w:val="22"/>
        </w:rPr>
        <w:t>figures</w:t>
      </w:r>
      <w:r>
        <w:rPr>
          <w:i/>
          <w:spacing w:val="-5"/>
          <w:sz w:val="22"/>
        </w:rPr>
        <w:t> </w:t>
      </w:r>
      <w:r>
        <w:rPr>
          <w:i/>
          <w:sz w:val="22"/>
        </w:rPr>
        <w:t>are</w:t>
      </w:r>
      <w:r>
        <w:rPr>
          <w:i/>
          <w:spacing w:val="-5"/>
          <w:sz w:val="22"/>
        </w:rPr>
        <w:t> </w:t>
      </w:r>
      <w:r>
        <w:rPr>
          <w:i/>
          <w:sz w:val="22"/>
        </w:rPr>
        <w:t>rounded</w:t>
      </w:r>
      <w:r>
        <w:rPr>
          <w:i/>
          <w:spacing w:val="-6"/>
          <w:sz w:val="22"/>
        </w:rPr>
        <w:t> </w:t>
      </w:r>
      <w:r>
        <w:rPr>
          <w:i/>
          <w:sz w:val="22"/>
        </w:rPr>
        <w:t>and</w:t>
      </w:r>
      <w:r>
        <w:rPr>
          <w:i/>
          <w:spacing w:val="-4"/>
          <w:sz w:val="22"/>
        </w:rPr>
        <w:t> </w:t>
      </w:r>
      <w:r>
        <w:rPr>
          <w:i/>
          <w:sz w:val="22"/>
        </w:rPr>
        <w:t>may</w:t>
      </w:r>
      <w:r>
        <w:rPr>
          <w:i/>
          <w:spacing w:val="-6"/>
          <w:sz w:val="22"/>
        </w:rPr>
        <w:t> </w:t>
      </w:r>
      <w:r>
        <w:rPr>
          <w:i/>
          <w:sz w:val="22"/>
        </w:rPr>
        <w:t>vary</w:t>
      </w:r>
      <w:r>
        <w:rPr>
          <w:i/>
          <w:spacing w:val="-5"/>
          <w:sz w:val="22"/>
        </w:rPr>
        <w:t> </w:t>
      </w:r>
      <w:r>
        <w:rPr>
          <w:i/>
          <w:sz w:val="22"/>
        </w:rPr>
        <w:t>following</w:t>
      </w:r>
      <w:r>
        <w:rPr>
          <w:i/>
          <w:spacing w:val="-3"/>
          <w:sz w:val="22"/>
        </w:rPr>
        <w:t> </w:t>
      </w:r>
      <w:r>
        <w:rPr>
          <w:i/>
          <w:spacing w:val="-2"/>
          <w:sz w:val="22"/>
        </w:rPr>
        <w:t>indexation.</w:t>
      </w:r>
    </w:p>
    <w:p>
      <w:pPr>
        <w:pStyle w:val="BodyText"/>
        <w:rPr>
          <w:i/>
        </w:rPr>
      </w:pPr>
    </w:p>
    <w:p>
      <w:pPr>
        <w:pStyle w:val="BodyText"/>
        <w:spacing w:before="108"/>
        <w:rPr>
          <w:i/>
        </w:rPr>
      </w:pPr>
    </w:p>
    <w:p>
      <w:pPr>
        <w:pStyle w:val="Heading2"/>
        <w:numPr>
          <w:ilvl w:val="1"/>
          <w:numId w:val="5"/>
        </w:numPr>
        <w:tabs>
          <w:tab w:pos="486" w:val="left" w:leader="none"/>
        </w:tabs>
        <w:spacing w:line="240" w:lineRule="auto" w:before="0" w:after="0"/>
        <w:ind w:left="486" w:right="0" w:hanging="366"/>
        <w:jc w:val="left"/>
      </w:pPr>
      <w:bookmarkStart w:name="4.2 Applicant outcome and Payment – stud" w:id="18"/>
      <w:bookmarkEnd w:id="18"/>
      <w:r>
        <w:rPr>
          <w:b w:val="0"/>
        </w:rPr>
      </w:r>
      <w:r>
        <w:rPr/>
        <w:t>Applicant</w:t>
      </w:r>
      <w:r>
        <w:rPr>
          <w:spacing w:val="-5"/>
        </w:rPr>
        <w:t> </w:t>
      </w:r>
      <w:r>
        <w:rPr/>
        <w:t>outcome</w:t>
      </w:r>
      <w:r>
        <w:rPr>
          <w:spacing w:val="-7"/>
        </w:rPr>
        <w:t> </w:t>
      </w:r>
      <w:r>
        <w:rPr/>
        <w:t>and</w:t>
      </w:r>
      <w:r>
        <w:rPr>
          <w:spacing w:val="-4"/>
        </w:rPr>
        <w:t> </w:t>
      </w:r>
      <w:r>
        <w:rPr/>
        <w:t>Payment</w:t>
      </w:r>
      <w:r>
        <w:rPr>
          <w:spacing w:val="-5"/>
        </w:rPr>
        <w:t> </w:t>
      </w:r>
      <w:r>
        <w:rPr/>
        <w:t>–</w:t>
      </w:r>
      <w:r>
        <w:rPr>
          <w:spacing w:val="-5"/>
        </w:rPr>
        <w:t> </w:t>
      </w:r>
      <w:r>
        <w:rPr/>
        <w:t>study</w:t>
      </w:r>
      <w:r>
        <w:rPr>
          <w:spacing w:val="-5"/>
        </w:rPr>
        <w:t> </w:t>
      </w:r>
      <w:r>
        <w:rPr>
          <w:spacing w:val="-2"/>
        </w:rPr>
        <w:t>component</w:t>
      </w:r>
    </w:p>
    <w:p>
      <w:pPr>
        <w:pStyle w:val="Heading3"/>
        <w:spacing w:before="119"/>
        <w:rPr>
          <w:i/>
        </w:rPr>
      </w:pPr>
      <w:r>
        <w:rPr>
          <w:i/>
        </w:rPr>
        <w:t>Undergraduate</w:t>
      </w:r>
      <w:r>
        <w:rPr>
          <w:i/>
          <w:spacing w:val="-8"/>
        </w:rPr>
        <w:t> </w:t>
      </w:r>
      <w:r>
        <w:rPr>
          <w:i/>
        </w:rPr>
        <w:t>STS</w:t>
      </w:r>
      <w:r>
        <w:rPr>
          <w:i/>
          <w:spacing w:val="-6"/>
        </w:rPr>
        <w:t> </w:t>
      </w:r>
      <w:r>
        <w:rPr>
          <w:i/>
          <w:spacing w:val="-2"/>
        </w:rPr>
        <w:t>recipients</w:t>
      </w:r>
    </w:p>
    <w:p>
      <w:pPr>
        <w:pStyle w:val="ListParagraph"/>
        <w:numPr>
          <w:ilvl w:val="2"/>
          <w:numId w:val="5"/>
        </w:numPr>
        <w:tabs>
          <w:tab w:pos="1396" w:val="left" w:leader="none"/>
          <w:tab w:pos="1437" w:val="left" w:leader="none"/>
        </w:tabs>
        <w:spacing w:line="276" w:lineRule="auto" w:before="196" w:after="0"/>
        <w:ind w:left="1396" w:right="813" w:hanging="557"/>
        <w:jc w:val="both"/>
        <w:rPr>
          <w:sz w:val="22"/>
        </w:rPr>
      </w:pPr>
      <w:r>
        <w:rPr>
          <w:b/>
          <w:sz w:val="22"/>
        </w:rPr>
        <w:tab/>
      </w:r>
      <w:r>
        <w:rPr>
          <w:sz w:val="22"/>
        </w:rPr>
        <w:t>STS recipients commencing a VIT-accredited undergraduate secondary ITE degree in 2024</w:t>
      </w:r>
      <w:r>
        <w:rPr>
          <w:spacing w:val="-2"/>
          <w:sz w:val="22"/>
        </w:rPr>
        <w:t> </w:t>
      </w:r>
      <w:r>
        <w:rPr>
          <w:sz w:val="22"/>
        </w:rPr>
        <w:t>or 2025</w:t>
      </w:r>
      <w:r>
        <w:rPr>
          <w:spacing w:val="-3"/>
          <w:sz w:val="22"/>
        </w:rPr>
        <w:t> </w:t>
      </w:r>
      <w:r>
        <w:rPr>
          <w:sz w:val="22"/>
        </w:rPr>
        <w:t>may</w:t>
      </w:r>
      <w:r>
        <w:rPr>
          <w:spacing w:val="-1"/>
          <w:sz w:val="22"/>
        </w:rPr>
        <w:t> </w:t>
      </w:r>
      <w:r>
        <w:rPr>
          <w:sz w:val="22"/>
        </w:rPr>
        <w:t>receive payments at 2 points</w:t>
      </w:r>
      <w:r>
        <w:rPr>
          <w:spacing w:val="-1"/>
          <w:sz w:val="22"/>
        </w:rPr>
        <w:t> </w:t>
      </w:r>
      <w:r>
        <w:rPr>
          <w:sz w:val="22"/>
        </w:rPr>
        <w:t>in</w:t>
      </w:r>
      <w:r>
        <w:rPr>
          <w:spacing w:val="-2"/>
          <w:sz w:val="22"/>
        </w:rPr>
        <w:t> </w:t>
      </w:r>
      <w:r>
        <w:rPr>
          <w:sz w:val="22"/>
        </w:rPr>
        <w:t>the calendar years of 2024 and 2025 once their eligibility is verified.</w:t>
      </w:r>
    </w:p>
    <w:p>
      <w:pPr>
        <w:pStyle w:val="Heading3"/>
        <w:spacing w:before="123"/>
        <w:jc w:val="both"/>
        <w:rPr>
          <w:i/>
        </w:rPr>
      </w:pPr>
      <w:r>
        <w:rPr>
          <w:i/>
        </w:rPr>
        <w:t>Postgraduate</w:t>
      </w:r>
      <w:r>
        <w:rPr>
          <w:i/>
          <w:spacing w:val="-7"/>
        </w:rPr>
        <w:t> </w:t>
      </w:r>
      <w:r>
        <w:rPr>
          <w:i/>
        </w:rPr>
        <w:t>STS</w:t>
      </w:r>
      <w:r>
        <w:rPr>
          <w:i/>
          <w:spacing w:val="-5"/>
        </w:rPr>
        <w:t> </w:t>
      </w:r>
      <w:r>
        <w:rPr>
          <w:i/>
          <w:spacing w:val="-2"/>
        </w:rPr>
        <w:t>recipients</w:t>
      </w:r>
    </w:p>
    <w:p>
      <w:pPr>
        <w:pStyle w:val="ListParagraph"/>
        <w:numPr>
          <w:ilvl w:val="2"/>
          <w:numId w:val="5"/>
        </w:numPr>
        <w:tabs>
          <w:tab w:pos="1396" w:val="left" w:leader="none"/>
          <w:tab w:pos="1432" w:val="left" w:leader="none"/>
        </w:tabs>
        <w:spacing w:line="276" w:lineRule="auto" w:before="196" w:after="0"/>
        <w:ind w:left="1396" w:right="816" w:hanging="557"/>
        <w:jc w:val="both"/>
        <w:rPr>
          <w:sz w:val="22"/>
        </w:rPr>
      </w:pPr>
      <w:r>
        <w:rPr>
          <w:b/>
          <w:sz w:val="22"/>
        </w:rPr>
        <w:tab/>
      </w:r>
      <w:r>
        <w:rPr>
          <w:sz w:val="22"/>
        </w:rPr>
        <w:t>STS recipients commencing a VIT-accredited postgraduate secondary ITE degree in 2024</w:t>
      </w:r>
      <w:r>
        <w:rPr>
          <w:spacing w:val="-2"/>
          <w:sz w:val="22"/>
        </w:rPr>
        <w:t> </w:t>
      </w:r>
      <w:r>
        <w:rPr>
          <w:sz w:val="22"/>
        </w:rPr>
        <w:t>or 2025</w:t>
      </w:r>
      <w:r>
        <w:rPr>
          <w:spacing w:val="-3"/>
          <w:sz w:val="22"/>
        </w:rPr>
        <w:t> </w:t>
      </w:r>
      <w:r>
        <w:rPr>
          <w:sz w:val="22"/>
        </w:rPr>
        <w:t>may</w:t>
      </w:r>
      <w:r>
        <w:rPr>
          <w:spacing w:val="-1"/>
          <w:sz w:val="22"/>
        </w:rPr>
        <w:t> </w:t>
      </w:r>
      <w:r>
        <w:rPr>
          <w:sz w:val="22"/>
        </w:rPr>
        <w:t>receive payments at 2 points</w:t>
      </w:r>
      <w:r>
        <w:rPr>
          <w:spacing w:val="-1"/>
          <w:sz w:val="22"/>
        </w:rPr>
        <w:t> </w:t>
      </w:r>
      <w:r>
        <w:rPr>
          <w:sz w:val="22"/>
        </w:rPr>
        <w:t>in</w:t>
      </w:r>
      <w:r>
        <w:rPr>
          <w:spacing w:val="-2"/>
          <w:sz w:val="22"/>
        </w:rPr>
        <w:t> </w:t>
      </w:r>
      <w:r>
        <w:rPr>
          <w:sz w:val="22"/>
        </w:rPr>
        <w:t>the calendar years of 2024 and 2025 once their eligibility is verified.</w:t>
      </w:r>
    </w:p>
    <w:p>
      <w:pPr>
        <w:pStyle w:val="Heading3"/>
        <w:spacing w:before="121"/>
        <w:jc w:val="both"/>
        <w:rPr>
          <w:i/>
        </w:rPr>
      </w:pPr>
      <w:r>
        <w:rPr>
          <w:i/>
        </w:rPr>
        <w:t>Applicants</w:t>
      </w:r>
      <w:r>
        <w:rPr>
          <w:i/>
          <w:spacing w:val="-9"/>
        </w:rPr>
        <w:t> </w:t>
      </w:r>
      <w:r>
        <w:rPr>
          <w:i/>
        </w:rPr>
        <w:t>with</w:t>
      </w:r>
      <w:r>
        <w:rPr>
          <w:i/>
          <w:spacing w:val="-3"/>
        </w:rPr>
        <w:t> </w:t>
      </w:r>
      <w:r>
        <w:rPr>
          <w:i/>
        </w:rPr>
        <w:t>a</w:t>
      </w:r>
      <w:r>
        <w:rPr>
          <w:i/>
          <w:spacing w:val="-5"/>
        </w:rPr>
        <w:t> </w:t>
      </w:r>
      <w:r>
        <w:rPr>
          <w:i/>
        </w:rPr>
        <w:t>census</w:t>
      </w:r>
      <w:r>
        <w:rPr>
          <w:i/>
          <w:spacing w:val="-3"/>
        </w:rPr>
        <w:t> </w:t>
      </w:r>
      <w:r>
        <w:rPr>
          <w:i/>
        </w:rPr>
        <w:t>date</w:t>
      </w:r>
      <w:r>
        <w:rPr>
          <w:i/>
          <w:spacing w:val="-5"/>
        </w:rPr>
        <w:t> </w:t>
      </w:r>
      <w:r>
        <w:rPr>
          <w:i/>
        </w:rPr>
        <w:t>between</w:t>
      </w:r>
      <w:r>
        <w:rPr>
          <w:i/>
          <w:spacing w:val="-3"/>
        </w:rPr>
        <w:t> </w:t>
      </w:r>
      <w:r>
        <w:rPr>
          <w:i/>
        </w:rPr>
        <w:t>1</w:t>
      </w:r>
      <w:r>
        <w:rPr>
          <w:i/>
          <w:spacing w:val="-5"/>
        </w:rPr>
        <w:t> </w:t>
      </w:r>
      <w:r>
        <w:rPr>
          <w:i/>
        </w:rPr>
        <w:t>September</w:t>
      </w:r>
      <w:r>
        <w:rPr>
          <w:i/>
          <w:spacing w:val="-4"/>
        </w:rPr>
        <w:t> </w:t>
      </w:r>
      <w:r>
        <w:rPr>
          <w:i/>
        </w:rPr>
        <w:t>to</w:t>
      </w:r>
      <w:r>
        <w:rPr>
          <w:i/>
          <w:spacing w:val="-3"/>
        </w:rPr>
        <w:t> </w:t>
      </w:r>
      <w:r>
        <w:rPr>
          <w:i/>
        </w:rPr>
        <w:t>31</w:t>
      </w:r>
      <w:r>
        <w:rPr>
          <w:i/>
          <w:spacing w:val="-5"/>
        </w:rPr>
        <w:t> </w:t>
      </w:r>
      <w:r>
        <w:rPr>
          <w:i/>
        </w:rPr>
        <w:t>December</w:t>
      </w:r>
      <w:r>
        <w:rPr>
          <w:i/>
          <w:spacing w:val="-4"/>
        </w:rPr>
        <w:t> </w:t>
      </w:r>
      <w:r>
        <w:rPr>
          <w:i/>
        </w:rPr>
        <w:t>in</w:t>
      </w:r>
      <w:r>
        <w:rPr>
          <w:i/>
          <w:spacing w:val="-3"/>
        </w:rPr>
        <w:t> </w:t>
      </w:r>
      <w:r>
        <w:rPr>
          <w:i/>
        </w:rPr>
        <w:t>2024</w:t>
      </w:r>
      <w:r>
        <w:rPr>
          <w:i/>
          <w:spacing w:val="-5"/>
        </w:rPr>
        <w:t> </w:t>
      </w:r>
      <w:r>
        <w:rPr>
          <w:i/>
        </w:rPr>
        <w:t>and</w:t>
      </w:r>
      <w:r>
        <w:rPr>
          <w:i/>
          <w:spacing w:val="-3"/>
        </w:rPr>
        <w:t> </w:t>
      </w:r>
      <w:r>
        <w:rPr>
          <w:i/>
          <w:spacing w:val="-4"/>
        </w:rPr>
        <w:t>2025</w:t>
      </w:r>
    </w:p>
    <w:p>
      <w:pPr>
        <w:pStyle w:val="ListParagraph"/>
        <w:numPr>
          <w:ilvl w:val="2"/>
          <w:numId w:val="5"/>
        </w:numPr>
        <w:tabs>
          <w:tab w:pos="1396" w:val="left" w:leader="none"/>
          <w:tab w:pos="1415" w:val="left" w:leader="none"/>
        </w:tabs>
        <w:spacing w:line="278" w:lineRule="auto" w:before="196" w:after="0"/>
        <w:ind w:left="1396" w:right="813" w:hanging="557"/>
        <w:jc w:val="both"/>
        <w:rPr>
          <w:sz w:val="22"/>
        </w:rPr>
      </w:pPr>
      <w:r>
        <w:rPr>
          <w:b/>
          <w:sz w:val="22"/>
        </w:rPr>
        <w:tab/>
      </w:r>
      <w:r>
        <w:rPr>
          <w:sz w:val="22"/>
        </w:rPr>
        <w:t>Applicants with a degree census date within this period will be assessed and receive their payment following the assessment period in the following year.</w:t>
      </w:r>
    </w:p>
    <w:p>
      <w:pPr>
        <w:pStyle w:val="Heading3"/>
        <w:spacing w:before="118"/>
        <w:ind w:left="120"/>
        <w:jc w:val="both"/>
        <w:rPr>
          <w:i/>
        </w:rPr>
      </w:pPr>
      <w:r>
        <w:rPr>
          <w:i/>
        </w:rPr>
        <w:t>All STS</w:t>
      </w:r>
      <w:r>
        <w:rPr>
          <w:i/>
          <w:spacing w:val="-3"/>
        </w:rPr>
        <w:t> </w:t>
      </w:r>
      <w:r>
        <w:rPr>
          <w:i/>
          <w:spacing w:val="-2"/>
        </w:rPr>
        <w:t>recipients</w:t>
      </w:r>
    </w:p>
    <w:p>
      <w:pPr>
        <w:pStyle w:val="ListParagraph"/>
        <w:numPr>
          <w:ilvl w:val="2"/>
          <w:numId w:val="5"/>
        </w:numPr>
        <w:tabs>
          <w:tab w:pos="1390" w:val="left" w:leader="none"/>
          <w:tab w:pos="1397" w:val="left" w:leader="none"/>
        </w:tabs>
        <w:spacing w:line="276" w:lineRule="auto" w:before="196" w:after="0"/>
        <w:ind w:left="1397" w:right="1165" w:hanging="557"/>
        <w:jc w:val="left"/>
        <w:rPr>
          <w:sz w:val="22"/>
        </w:rPr>
      </w:pPr>
      <w:r>
        <w:rPr>
          <w:sz w:val="22"/>
        </w:rPr>
        <w:t>From</w:t>
      </w:r>
      <w:r>
        <w:rPr>
          <w:spacing w:val="-2"/>
          <w:sz w:val="22"/>
        </w:rPr>
        <w:t> </w:t>
      </w:r>
      <w:r>
        <w:rPr>
          <w:sz w:val="22"/>
        </w:rPr>
        <w:t>2026,</w:t>
      </w:r>
      <w:r>
        <w:rPr>
          <w:spacing w:val="-2"/>
          <w:sz w:val="22"/>
        </w:rPr>
        <w:t> </w:t>
      </w:r>
      <w:r>
        <w:rPr>
          <w:sz w:val="22"/>
        </w:rPr>
        <w:t>STS</w:t>
      </w:r>
      <w:r>
        <w:rPr>
          <w:spacing w:val="-6"/>
          <w:sz w:val="22"/>
        </w:rPr>
        <w:t> </w:t>
      </w:r>
      <w:r>
        <w:rPr>
          <w:sz w:val="22"/>
        </w:rPr>
        <w:t>recipients</w:t>
      </w:r>
      <w:r>
        <w:rPr>
          <w:spacing w:val="-3"/>
          <w:sz w:val="22"/>
        </w:rPr>
        <w:t> </w:t>
      </w:r>
      <w:r>
        <w:rPr>
          <w:sz w:val="22"/>
        </w:rPr>
        <w:t>will</w:t>
      </w:r>
      <w:r>
        <w:rPr>
          <w:spacing w:val="-4"/>
          <w:sz w:val="22"/>
        </w:rPr>
        <w:t> </w:t>
      </w:r>
      <w:r>
        <w:rPr>
          <w:sz w:val="22"/>
        </w:rPr>
        <w:t>receive</w:t>
      </w:r>
      <w:r>
        <w:rPr>
          <w:spacing w:val="-4"/>
          <w:sz w:val="22"/>
        </w:rPr>
        <w:t> </w:t>
      </w:r>
      <w:r>
        <w:rPr>
          <w:sz w:val="22"/>
        </w:rPr>
        <w:t>a</w:t>
      </w:r>
      <w:r>
        <w:rPr>
          <w:spacing w:val="-4"/>
          <w:sz w:val="22"/>
        </w:rPr>
        <w:t> </w:t>
      </w:r>
      <w:r>
        <w:rPr>
          <w:sz w:val="22"/>
        </w:rPr>
        <w:t>once</w:t>
      </w:r>
      <w:r>
        <w:rPr>
          <w:spacing w:val="-4"/>
          <w:sz w:val="22"/>
        </w:rPr>
        <w:t> </w:t>
      </w:r>
      <w:r>
        <w:rPr>
          <w:sz w:val="22"/>
        </w:rPr>
        <w:t>yearly</w:t>
      </w:r>
      <w:r>
        <w:rPr>
          <w:spacing w:val="-6"/>
          <w:sz w:val="22"/>
        </w:rPr>
        <w:t> </w:t>
      </w:r>
      <w:r>
        <w:rPr>
          <w:sz w:val="22"/>
        </w:rPr>
        <w:t>payment</w:t>
      </w:r>
      <w:r>
        <w:rPr>
          <w:spacing w:val="-4"/>
          <w:sz w:val="22"/>
        </w:rPr>
        <w:t> </w:t>
      </w:r>
      <w:r>
        <w:rPr>
          <w:sz w:val="22"/>
        </w:rPr>
        <w:t>mid-year</w:t>
      </w:r>
      <w:r>
        <w:rPr>
          <w:spacing w:val="-2"/>
          <w:sz w:val="22"/>
        </w:rPr>
        <w:t> </w:t>
      </w:r>
      <w:r>
        <w:rPr>
          <w:sz w:val="22"/>
        </w:rPr>
        <w:t>until their maximum eligible amount is reached.</w:t>
      </w:r>
    </w:p>
    <w:p>
      <w:pPr>
        <w:pStyle w:val="BodyText"/>
        <w:spacing w:line="276" w:lineRule="auto" w:before="119"/>
        <w:ind w:left="1396" w:right="890"/>
      </w:pPr>
      <w:r>
        <w:rPr/>
        <w:t>Application,</w:t>
      </w:r>
      <w:r>
        <w:rPr>
          <w:spacing w:val="-1"/>
        </w:rPr>
        <w:t> </w:t>
      </w:r>
      <w:r>
        <w:rPr/>
        <w:t>assessment</w:t>
      </w:r>
      <w:r>
        <w:rPr>
          <w:spacing w:val="-6"/>
        </w:rPr>
        <w:t> </w:t>
      </w:r>
      <w:r>
        <w:rPr/>
        <w:t>and</w:t>
      </w:r>
      <w:r>
        <w:rPr>
          <w:spacing w:val="-3"/>
        </w:rPr>
        <w:t> </w:t>
      </w:r>
      <w:r>
        <w:rPr/>
        <w:t>outcome</w:t>
      </w:r>
      <w:r>
        <w:rPr>
          <w:spacing w:val="-5"/>
        </w:rPr>
        <w:t> </w:t>
      </w:r>
      <w:r>
        <w:rPr/>
        <w:t>periods</w:t>
      </w:r>
      <w:r>
        <w:rPr>
          <w:spacing w:val="-2"/>
        </w:rPr>
        <w:t> </w:t>
      </w:r>
      <w:r>
        <w:rPr/>
        <w:t>will</w:t>
      </w:r>
      <w:r>
        <w:rPr>
          <w:spacing w:val="-3"/>
        </w:rPr>
        <w:t> </w:t>
      </w:r>
      <w:r>
        <w:rPr/>
        <w:t>be</w:t>
      </w:r>
      <w:r>
        <w:rPr>
          <w:spacing w:val="-3"/>
        </w:rPr>
        <w:t> </w:t>
      </w:r>
      <w:r>
        <w:rPr/>
        <w:t>published</w:t>
      </w:r>
      <w:r>
        <w:rPr>
          <w:spacing w:val="-2"/>
        </w:rPr>
        <w:t> </w:t>
      </w:r>
      <w:r>
        <w:rPr/>
        <w:t>on</w:t>
      </w:r>
      <w:r>
        <w:rPr>
          <w:spacing w:val="-5"/>
        </w:rPr>
        <w:t> </w:t>
      </w:r>
      <w:r>
        <w:rPr/>
        <w:t>the</w:t>
      </w:r>
      <w:r>
        <w:rPr>
          <w:spacing w:val="-5"/>
        </w:rPr>
        <w:t> </w:t>
      </w:r>
      <w:hyperlink r:id="rId9">
        <w:r>
          <w:rPr>
            <w:color w:val="467885"/>
            <w:u w:val="single" w:color="467885"/>
          </w:rPr>
          <w:t>STS</w:t>
        </w:r>
      </w:hyperlink>
      <w:r>
        <w:rPr>
          <w:color w:val="467885"/>
          <w:u w:val="none"/>
        </w:rPr>
        <w:t> </w:t>
      </w:r>
      <w:hyperlink r:id="rId9">
        <w:r>
          <w:rPr>
            <w:color w:val="467885"/>
            <w:u w:val="single" w:color="467885"/>
          </w:rPr>
          <w:t>website</w:t>
        </w:r>
      </w:hyperlink>
      <w:r>
        <w:rPr>
          <w:color w:val="467885"/>
          <w:spacing w:val="40"/>
          <w:u w:val="none"/>
        </w:rPr>
        <w:t> </w:t>
      </w:r>
      <w:r>
        <w:rPr>
          <w:u w:val="none"/>
        </w:rPr>
        <w:t>prior to each round.</w:t>
      </w:r>
    </w:p>
    <w:p>
      <w:pPr>
        <w:pStyle w:val="BodyText"/>
        <w:spacing w:before="1"/>
        <w:ind w:left="1396"/>
      </w:pPr>
      <w:r>
        <w:rPr/>
        <w:t>STS</w:t>
      </w:r>
      <w:r>
        <w:rPr>
          <w:spacing w:val="-5"/>
        </w:rPr>
        <w:t> </w:t>
      </w:r>
      <w:r>
        <w:rPr/>
        <w:t>payments</w:t>
      </w:r>
      <w:r>
        <w:rPr>
          <w:spacing w:val="-3"/>
        </w:rPr>
        <w:t> </w:t>
      </w:r>
      <w:r>
        <w:rPr/>
        <w:t>conclude</w:t>
      </w:r>
      <w:r>
        <w:rPr>
          <w:spacing w:val="-5"/>
        </w:rPr>
        <w:t> </w:t>
      </w:r>
      <w:r>
        <w:rPr/>
        <w:t>in</w:t>
      </w:r>
      <w:r>
        <w:rPr>
          <w:spacing w:val="-4"/>
        </w:rPr>
        <w:t> </w:t>
      </w:r>
      <w:r>
        <w:rPr/>
        <w:t>June</w:t>
      </w:r>
      <w:r>
        <w:rPr>
          <w:spacing w:val="-4"/>
        </w:rPr>
        <w:t> </w:t>
      </w:r>
      <w:r>
        <w:rPr>
          <w:spacing w:val="-2"/>
        </w:rPr>
        <w:t>2029.</w:t>
      </w:r>
    </w:p>
    <w:p>
      <w:pPr>
        <w:spacing w:after="0"/>
        <w:sectPr>
          <w:pgSz w:w="11910" w:h="16840"/>
          <w:pgMar w:header="0" w:footer="765" w:top="1900" w:bottom="960" w:left="1320" w:right="620"/>
        </w:sectPr>
      </w:pPr>
    </w:p>
    <w:p>
      <w:pPr>
        <w:pStyle w:val="Heading3"/>
        <w:spacing w:before="83"/>
        <w:ind w:left="120"/>
        <w:rPr>
          <w:i/>
        </w:rPr>
      </w:pPr>
      <w:r>
        <w:rPr>
          <w:i/>
        </w:rPr>
        <w:t>Processing</w:t>
      </w:r>
      <w:r>
        <w:rPr>
          <w:i/>
          <w:spacing w:val="-8"/>
        </w:rPr>
        <w:t> </w:t>
      </w:r>
      <w:r>
        <w:rPr>
          <w:i/>
          <w:spacing w:val="-4"/>
        </w:rPr>
        <w:t>times</w:t>
      </w:r>
    </w:p>
    <w:p>
      <w:pPr>
        <w:pStyle w:val="ListParagraph"/>
        <w:numPr>
          <w:ilvl w:val="2"/>
          <w:numId w:val="5"/>
        </w:numPr>
        <w:tabs>
          <w:tab w:pos="1396" w:val="left" w:leader="none"/>
          <w:tab w:pos="1403" w:val="left" w:leader="none"/>
        </w:tabs>
        <w:spacing w:line="276" w:lineRule="auto" w:before="158" w:after="0"/>
        <w:ind w:left="1396" w:right="817" w:hanging="569"/>
        <w:jc w:val="both"/>
        <w:rPr>
          <w:sz w:val="22"/>
        </w:rPr>
      </w:pPr>
      <w:r>
        <w:rPr>
          <w:b/>
          <w:sz w:val="22"/>
        </w:rPr>
        <w:tab/>
      </w:r>
      <w:r>
        <w:rPr>
          <w:sz w:val="22"/>
        </w:rPr>
        <w:t>The department will endeavour to notify all applicants of the outcome of their completed applications and facilitate payments in accordance with the above </w:t>
      </w:r>
      <w:r>
        <w:rPr>
          <w:spacing w:val="-2"/>
          <w:sz w:val="22"/>
        </w:rPr>
        <w:t>timelines.</w:t>
      </w:r>
    </w:p>
    <w:p>
      <w:pPr>
        <w:pStyle w:val="BodyText"/>
        <w:spacing w:line="276" w:lineRule="auto" w:before="121"/>
        <w:ind w:left="1396" w:right="697"/>
      </w:pPr>
      <w:r>
        <w:rPr/>
        <w:t>There</w:t>
      </w:r>
      <w:r>
        <w:rPr>
          <w:spacing w:val="-16"/>
        </w:rPr>
        <w:t> </w:t>
      </w:r>
      <w:r>
        <w:rPr/>
        <w:t>may</w:t>
      </w:r>
      <w:r>
        <w:rPr>
          <w:spacing w:val="-14"/>
        </w:rPr>
        <w:t> </w:t>
      </w:r>
      <w:r>
        <w:rPr/>
        <w:t>be</w:t>
      </w:r>
      <w:r>
        <w:rPr>
          <w:spacing w:val="-14"/>
        </w:rPr>
        <w:t> </w:t>
      </w:r>
      <w:r>
        <w:rPr/>
        <w:t>longer</w:t>
      </w:r>
      <w:r>
        <w:rPr>
          <w:spacing w:val="-16"/>
        </w:rPr>
        <w:t> </w:t>
      </w:r>
      <w:r>
        <w:rPr/>
        <w:t>processing</w:t>
      </w:r>
      <w:r>
        <w:rPr>
          <w:spacing w:val="-14"/>
        </w:rPr>
        <w:t> </w:t>
      </w:r>
      <w:r>
        <w:rPr/>
        <w:t>and</w:t>
      </w:r>
      <w:r>
        <w:rPr>
          <w:spacing w:val="-15"/>
        </w:rPr>
        <w:t> </w:t>
      </w:r>
      <w:r>
        <w:rPr/>
        <w:t>assessment</w:t>
      </w:r>
      <w:r>
        <w:rPr>
          <w:spacing w:val="-16"/>
        </w:rPr>
        <w:t> </w:t>
      </w:r>
      <w:r>
        <w:rPr/>
        <w:t>times</w:t>
      </w:r>
      <w:r>
        <w:rPr>
          <w:spacing w:val="-13"/>
        </w:rPr>
        <w:t> </w:t>
      </w:r>
      <w:r>
        <w:rPr/>
        <w:t>and</w:t>
      </w:r>
      <w:r>
        <w:rPr>
          <w:spacing w:val="-16"/>
        </w:rPr>
        <w:t> </w:t>
      </w:r>
      <w:r>
        <w:rPr/>
        <w:t>delays</w:t>
      </w:r>
      <w:r>
        <w:rPr>
          <w:spacing w:val="-13"/>
        </w:rPr>
        <w:t> </w:t>
      </w:r>
      <w:r>
        <w:rPr/>
        <w:t>in</w:t>
      </w:r>
      <w:r>
        <w:rPr>
          <w:spacing w:val="-15"/>
        </w:rPr>
        <w:t> </w:t>
      </w:r>
      <w:r>
        <w:rPr/>
        <w:t>notification of the outcome for applicants if:</w:t>
      </w:r>
    </w:p>
    <w:p>
      <w:pPr>
        <w:pStyle w:val="ListParagraph"/>
        <w:numPr>
          <w:ilvl w:val="3"/>
          <w:numId w:val="5"/>
        </w:numPr>
        <w:tabs>
          <w:tab w:pos="1756" w:val="left" w:leader="none"/>
        </w:tabs>
        <w:spacing w:line="240" w:lineRule="auto" w:before="118" w:after="0"/>
        <w:ind w:left="1756" w:right="0" w:hanging="360"/>
        <w:jc w:val="left"/>
        <w:rPr>
          <w:sz w:val="22"/>
        </w:rPr>
      </w:pPr>
      <w:r>
        <w:rPr>
          <w:sz w:val="22"/>
        </w:rPr>
        <w:t>the</w:t>
      </w:r>
      <w:r>
        <w:rPr>
          <w:spacing w:val="-7"/>
          <w:sz w:val="22"/>
        </w:rPr>
        <w:t> </w:t>
      </w:r>
      <w:r>
        <w:rPr>
          <w:sz w:val="22"/>
        </w:rPr>
        <w:t>applicant</w:t>
      </w:r>
      <w:r>
        <w:rPr>
          <w:spacing w:val="-4"/>
          <w:sz w:val="22"/>
        </w:rPr>
        <w:t> </w:t>
      </w:r>
      <w:r>
        <w:rPr>
          <w:sz w:val="22"/>
        </w:rPr>
        <w:t>is</w:t>
      </w:r>
      <w:r>
        <w:rPr>
          <w:spacing w:val="-3"/>
          <w:sz w:val="22"/>
        </w:rPr>
        <w:t> </w:t>
      </w:r>
      <w:r>
        <w:rPr>
          <w:sz w:val="22"/>
        </w:rPr>
        <w:t>not</w:t>
      </w:r>
      <w:r>
        <w:rPr>
          <w:spacing w:val="-2"/>
          <w:sz w:val="22"/>
        </w:rPr>
        <w:t> </w:t>
      </w:r>
      <w:r>
        <w:rPr>
          <w:sz w:val="22"/>
        </w:rPr>
        <w:t>undertaking</w:t>
      </w:r>
      <w:r>
        <w:rPr>
          <w:spacing w:val="-4"/>
          <w:sz w:val="22"/>
        </w:rPr>
        <w:t> </w:t>
      </w:r>
      <w:r>
        <w:rPr>
          <w:sz w:val="22"/>
        </w:rPr>
        <w:t>a</w:t>
      </w:r>
      <w:r>
        <w:rPr>
          <w:spacing w:val="-6"/>
          <w:sz w:val="22"/>
        </w:rPr>
        <w:t> </w:t>
      </w:r>
      <w:r>
        <w:rPr>
          <w:sz w:val="22"/>
        </w:rPr>
        <w:t>degree</w:t>
      </w:r>
      <w:r>
        <w:rPr>
          <w:spacing w:val="-5"/>
          <w:sz w:val="22"/>
        </w:rPr>
        <w:t> </w:t>
      </w:r>
      <w:r>
        <w:rPr>
          <w:sz w:val="22"/>
        </w:rPr>
        <w:t>with</w:t>
      </w:r>
      <w:r>
        <w:rPr>
          <w:spacing w:val="-5"/>
          <w:sz w:val="22"/>
        </w:rPr>
        <w:t> </w:t>
      </w:r>
      <w:r>
        <w:rPr>
          <w:sz w:val="22"/>
        </w:rPr>
        <w:t>a</w:t>
      </w:r>
      <w:r>
        <w:rPr>
          <w:spacing w:val="-4"/>
          <w:sz w:val="22"/>
        </w:rPr>
        <w:t> </w:t>
      </w:r>
      <w:r>
        <w:rPr>
          <w:sz w:val="22"/>
        </w:rPr>
        <w:t>Victorian</w:t>
      </w:r>
      <w:r>
        <w:rPr>
          <w:spacing w:val="-4"/>
          <w:sz w:val="22"/>
        </w:rPr>
        <w:t> </w:t>
      </w:r>
      <w:r>
        <w:rPr>
          <w:spacing w:val="-2"/>
          <w:sz w:val="22"/>
        </w:rPr>
        <w:t>provider</w:t>
      </w:r>
    </w:p>
    <w:p>
      <w:pPr>
        <w:pStyle w:val="ListParagraph"/>
        <w:numPr>
          <w:ilvl w:val="3"/>
          <w:numId w:val="5"/>
        </w:numPr>
        <w:tabs>
          <w:tab w:pos="1757" w:val="left" w:leader="none"/>
        </w:tabs>
        <w:spacing w:line="240" w:lineRule="auto" w:before="38" w:after="0"/>
        <w:ind w:left="1757" w:right="0" w:hanging="360"/>
        <w:jc w:val="left"/>
        <w:rPr>
          <w:sz w:val="22"/>
        </w:rPr>
      </w:pPr>
      <w:r>
        <w:rPr>
          <w:sz w:val="22"/>
        </w:rPr>
        <w:t>further</w:t>
      </w:r>
      <w:r>
        <w:rPr>
          <w:spacing w:val="-5"/>
          <w:sz w:val="22"/>
        </w:rPr>
        <w:t> </w:t>
      </w:r>
      <w:r>
        <w:rPr>
          <w:sz w:val="22"/>
        </w:rPr>
        <w:t>information</w:t>
      </w:r>
      <w:r>
        <w:rPr>
          <w:spacing w:val="-6"/>
          <w:sz w:val="22"/>
        </w:rPr>
        <w:t> </w:t>
      </w:r>
      <w:r>
        <w:rPr>
          <w:sz w:val="22"/>
        </w:rPr>
        <w:t>is</w:t>
      </w:r>
      <w:r>
        <w:rPr>
          <w:spacing w:val="-2"/>
          <w:sz w:val="22"/>
        </w:rPr>
        <w:t> </w:t>
      </w:r>
      <w:r>
        <w:rPr>
          <w:sz w:val="22"/>
        </w:rPr>
        <w:t>required</w:t>
      </w:r>
      <w:r>
        <w:rPr>
          <w:spacing w:val="-4"/>
          <w:sz w:val="22"/>
        </w:rPr>
        <w:t> </w:t>
      </w:r>
      <w:r>
        <w:rPr>
          <w:sz w:val="22"/>
        </w:rPr>
        <w:t>to</w:t>
      </w:r>
      <w:r>
        <w:rPr>
          <w:spacing w:val="-6"/>
          <w:sz w:val="22"/>
        </w:rPr>
        <w:t> </w:t>
      </w:r>
      <w:r>
        <w:rPr>
          <w:sz w:val="22"/>
        </w:rPr>
        <w:t>verify</w:t>
      </w:r>
      <w:r>
        <w:rPr>
          <w:spacing w:val="-3"/>
          <w:sz w:val="22"/>
        </w:rPr>
        <w:t> </w:t>
      </w:r>
      <w:r>
        <w:rPr>
          <w:sz w:val="22"/>
        </w:rPr>
        <w:t>or</w:t>
      </w:r>
      <w:r>
        <w:rPr>
          <w:spacing w:val="-1"/>
          <w:sz w:val="22"/>
        </w:rPr>
        <w:t> </w:t>
      </w:r>
      <w:r>
        <w:rPr>
          <w:sz w:val="22"/>
        </w:rPr>
        <w:t>validate</w:t>
      </w:r>
      <w:r>
        <w:rPr>
          <w:spacing w:val="-6"/>
          <w:sz w:val="22"/>
        </w:rPr>
        <w:t> </w:t>
      </w:r>
      <w:r>
        <w:rPr>
          <w:sz w:val="22"/>
        </w:rPr>
        <w:t>the</w:t>
      </w:r>
      <w:r>
        <w:rPr>
          <w:spacing w:val="-5"/>
          <w:sz w:val="22"/>
        </w:rPr>
        <w:t> </w:t>
      </w:r>
      <w:r>
        <w:rPr>
          <w:spacing w:val="-2"/>
          <w:sz w:val="22"/>
        </w:rPr>
        <w:t>application</w:t>
      </w:r>
    </w:p>
    <w:p>
      <w:pPr>
        <w:pStyle w:val="ListParagraph"/>
        <w:numPr>
          <w:ilvl w:val="3"/>
          <w:numId w:val="5"/>
        </w:numPr>
        <w:tabs>
          <w:tab w:pos="1757" w:val="left" w:leader="none"/>
        </w:tabs>
        <w:spacing w:line="273" w:lineRule="auto" w:before="35" w:after="0"/>
        <w:ind w:left="1757" w:right="818" w:hanging="361"/>
        <w:jc w:val="left"/>
        <w:rPr>
          <w:sz w:val="22"/>
        </w:rPr>
      </w:pPr>
      <w:r>
        <w:rPr>
          <w:sz w:val="22"/>
        </w:rPr>
        <w:t>the</w:t>
      </w:r>
      <w:r>
        <w:rPr>
          <w:spacing w:val="80"/>
          <w:sz w:val="22"/>
        </w:rPr>
        <w:t> </w:t>
      </w:r>
      <w:r>
        <w:rPr>
          <w:sz w:val="22"/>
        </w:rPr>
        <w:t>applicant</w:t>
      </w:r>
      <w:r>
        <w:rPr>
          <w:spacing w:val="80"/>
          <w:sz w:val="22"/>
        </w:rPr>
        <w:t> </w:t>
      </w:r>
      <w:r>
        <w:rPr>
          <w:sz w:val="22"/>
        </w:rPr>
        <w:t>does</w:t>
      </w:r>
      <w:r>
        <w:rPr>
          <w:spacing w:val="80"/>
          <w:sz w:val="22"/>
        </w:rPr>
        <w:t> </w:t>
      </w:r>
      <w:r>
        <w:rPr>
          <w:sz w:val="22"/>
        </w:rPr>
        <w:t>not</w:t>
      </w:r>
      <w:r>
        <w:rPr>
          <w:spacing w:val="80"/>
          <w:sz w:val="22"/>
        </w:rPr>
        <w:t> </w:t>
      </w:r>
      <w:r>
        <w:rPr>
          <w:sz w:val="22"/>
        </w:rPr>
        <w:t>initially</w:t>
      </w:r>
      <w:r>
        <w:rPr>
          <w:spacing w:val="80"/>
          <w:sz w:val="22"/>
        </w:rPr>
        <w:t> </w:t>
      </w:r>
      <w:r>
        <w:rPr>
          <w:sz w:val="22"/>
        </w:rPr>
        <w:t>provide</w:t>
      </w:r>
      <w:r>
        <w:rPr>
          <w:spacing w:val="80"/>
          <w:sz w:val="22"/>
        </w:rPr>
        <w:t> </w:t>
      </w:r>
      <w:r>
        <w:rPr>
          <w:sz w:val="22"/>
        </w:rPr>
        <w:t>sufficient</w:t>
      </w:r>
      <w:r>
        <w:rPr>
          <w:spacing w:val="80"/>
          <w:sz w:val="22"/>
        </w:rPr>
        <w:t> </w:t>
      </w:r>
      <w:r>
        <w:rPr>
          <w:sz w:val="22"/>
        </w:rPr>
        <w:t>information</w:t>
      </w:r>
      <w:r>
        <w:rPr>
          <w:spacing w:val="80"/>
          <w:sz w:val="22"/>
        </w:rPr>
        <w:t> </w:t>
      </w:r>
      <w:r>
        <w:rPr>
          <w:sz w:val="22"/>
        </w:rPr>
        <w:t>for</w:t>
      </w:r>
      <w:r>
        <w:rPr>
          <w:spacing w:val="80"/>
          <w:sz w:val="22"/>
        </w:rPr>
        <w:t> </w:t>
      </w:r>
      <w:r>
        <w:rPr>
          <w:sz w:val="22"/>
        </w:rPr>
        <w:t>the department to establish that the applicant satisfies the eligibility criteria</w:t>
      </w:r>
    </w:p>
    <w:p>
      <w:pPr>
        <w:pStyle w:val="ListParagraph"/>
        <w:numPr>
          <w:ilvl w:val="3"/>
          <w:numId w:val="5"/>
        </w:numPr>
        <w:tabs>
          <w:tab w:pos="1757" w:val="left" w:leader="none"/>
        </w:tabs>
        <w:spacing w:line="240" w:lineRule="auto" w:before="2" w:after="0"/>
        <w:ind w:left="1757" w:right="0" w:hanging="360"/>
        <w:jc w:val="left"/>
        <w:rPr>
          <w:sz w:val="22"/>
        </w:rPr>
      </w:pPr>
      <w:r>
        <w:rPr>
          <w:sz w:val="22"/>
        </w:rPr>
        <w:t>the</w:t>
      </w:r>
      <w:r>
        <w:rPr>
          <w:spacing w:val="-7"/>
          <w:sz w:val="22"/>
        </w:rPr>
        <w:t> </w:t>
      </w:r>
      <w:r>
        <w:rPr>
          <w:sz w:val="22"/>
        </w:rPr>
        <w:t>application</w:t>
      </w:r>
      <w:r>
        <w:rPr>
          <w:spacing w:val="-5"/>
          <w:sz w:val="22"/>
        </w:rPr>
        <w:t> </w:t>
      </w:r>
      <w:r>
        <w:rPr>
          <w:sz w:val="22"/>
        </w:rPr>
        <w:t>is</w:t>
      </w:r>
      <w:r>
        <w:rPr>
          <w:spacing w:val="-7"/>
          <w:sz w:val="22"/>
        </w:rPr>
        <w:t> </w:t>
      </w:r>
      <w:r>
        <w:rPr>
          <w:sz w:val="22"/>
        </w:rPr>
        <w:t>incomplete</w:t>
      </w:r>
      <w:r>
        <w:rPr>
          <w:spacing w:val="-5"/>
          <w:sz w:val="22"/>
        </w:rPr>
        <w:t> </w:t>
      </w:r>
      <w:r>
        <w:rPr>
          <w:sz w:val="22"/>
        </w:rPr>
        <w:t>or</w:t>
      </w:r>
      <w:r>
        <w:rPr>
          <w:spacing w:val="-6"/>
          <w:sz w:val="22"/>
        </w:rPr>
        <w:t> </w:t>
      </w:r>
      <w:r>
        <w:rPr>
          <w:sz w:val="22"/>
        </w:rPr>
        <w:t>contains</w:t>
      </w:r>
      <w:r>
        <w:rPr>
          <w:spacing w:val="-7"/>
          <w:sz w:val="22"/>
        </w:rPr>
        <w:t> </w:t>
      </w:r>
      <w:r>
        <w:rPr>
          <w:sz w:val="22"/>
        </w:rPr>
        <w:t>incorrect</w:t>
      </w:r>
      <w:r>
        <w:rPr>
          <w:spacing w:val="-4"/>
          <w:sz w:val="22"/>
        </w:rPr>
        <w:t> </w:t>
      </w:r>
      <w:r>
        <w:rPr>
          <w:spacing w:val="-2"/>
          <w:sz w:val="22"/>
        </w:rPr>
        <w:t>information</w:t>
      </w:r>
    </w:p>
    <w:p>
      <w:pPr>
        <w:pStyle w:val="ListParagraph"/>
        <w:numPr>
          <w:ilvl w:val="3"/>
          <w:numId w:val="5"/>
        </w:numPr>
        <w:tabs>
          <w:tab w:pos="1757" w:val="left" w:leader="none"/>
        </w:tabs>
        <w:spacing w:line="273" w:lineRule="auto" w:before="35" w:after="0"/>
        <w:ind w:left="1757" w:right="818" w:hanging="361"/>
        <w:jc w:val="left"/>
        <w:rPr>
          <w:sz w:val="22"/>
        </w:rPr>
      </w:pPr>
      <w:r>
        <w:rPr>
          <w:sz w:val="22"/>
        </w:rPr>
        <w:t>there is difficulty in reaching the applicant or</w:t>
      </w:r>
      <w:r>
        <w:rPr>
          <w:spacing w:val="-1"/>
          <w:sz w:val="22"/>
        </w:rPr>
        <w:t> </w:t>
      </w:r>
      <w:r>
        <w:rPr>
          <w:sz w:val="22"/>
        </w:rPr>
        <w:t>the applicant does not</w:t>
      </w:r>
      <w:r>
        <w:rPr>
          <w:spacing w:val="-1"/>
          <w:sz w:val="22"/>
        </w:rPr>
        <w:t> </w:t>
      </w:r>
      <w:r>
        <w:rPr>
          <w:sz w:val="22"/>
        </w:rPr>
        <w:t>respond in a timely manner.</w:t>
      </w:r>
    </w:p>
    <w:p>
      <w:pPr>
        <w:pStyle w:val="BodyText"/>
        <w:spacing w:before="162"/>
      </w:pPr>
    </w:p>
    <w:p>
      <w:pPr>
        <w:spacing w:before="0"/>
        <w:ind w:left="120" w:right="0" w:firstLine="0"/>
        <w:jc w:val="left"/>
        <w:rPr>
          <w:b/>
          <w:i/>
          <w:sz w:val="22"/>
        </w:rPr>
      </w:pPr>
      <w:r>
        <w:rPr>
          <w:b/>
          <w:i/>
          <w:sz w:val="22"/>
        </w:rPr>
        <w:t>Variations</w:t>
      </w:r>
      <w:r>
        <w:rPr>
          <w:b/>
          <w:i/>
          <w:spacing w:val="-6"/>
          <w:sz w:val="22"/>
        </w:rPr>
        <w:t> </w:t>
      </w:r>
      <w:r>
        <w:rPr>
          <w:b/>
          <w:i/>
          <w:sz w:val="22"/>
        </w:rPr>
        <w:t>to</w:t>
      </w:r>
      <w:r>
        <w:rPr>
          <w:b/>
          <w:i/>
          <w:spacing w:val="-6"/>
          <w:sz w:val="22"/>
        </w:rPr>
        <w:t> </w:t>
      </w:r>
      <w:r>
        <w:rPr>
          <w:b/>
          <w:i/>
          <w:sz w:val="22"/>
        </w:rPr>
        <w:t>the</w:t>
      </w:r>
      <w:r>
        <w:rPr>
          <w:b/>
          <w:i/>
          <w:spacing w:val="-4"/>
          <w:sz w:val="22"/>
        </w:rPr>
        <w:t> </w:t>
      </w:r>
      <w:r>
        <w:rPr>
          <w:b/>
          <w:i/>
          <w:sz w:val="22"/>
        </w:rPr>
        <w:t>payment</w:t>
      </w:r>
      <w:r>
        <w:rPr>
          <w:b/>
          <w:i/>
          <w:spacing w:val="-1"/>
          <w:sz w:val="22"/>
        </w:rPr>
        <w:t> </w:t>
      </w:r>
      <w:r>
        <w:rPr>
          <w:b/>
          <w:i/>
          <w:spacing w:val="-2"/>
          <w:sz w:val="22"/>
        </w:rPr>
        <w:t>schedule</w:t>
      </w:r>
    </w:p>
    <w:p>
      <w:pPr>
        <w:pStyle w:val="Heading2"/>
        <w:numPr>
          <w:ilvl w:val="1"/>
          <w:numId w:val="5"/>
        </w:numPr>
        <w:tabs>
          <w:tab w:pos="486" w:val="left" w:leader="none"/>
        </w:tabs>
        <w:spacing w:line="240" w:lineRule="auto" w:before="198" w:after="0"/>
        <w:ind w:left="486" w:right="0" w:hanging="366"/>
        <w:jc w:val="both"/>
      </w:pPr>
      <w:bookmarkStart w:name="4.3 Accelerated postgraduate secondary I" w:id="19"/>
      <w:bookmarkEnd w:id="19"/>
      <w:r>
        <w:rPr>
          <w:b w:val="0"/>
        </w:rPr>
      </w:r>
      <w:r>
        <w:rPr/>
        <w:t>Accelerated</w:t>
      </w:r>
      <w:r>
        <w:rPr>
          <w:spacing w:val="-9"/>
        </w:rPr>
        <w:t> </w:t>
      </w:r>
      <w:r>
        <w:rPr/>
        <w:t>postgraduate</w:t>
      </w:r>
      <w:r>
        <w:rPr>
          <w:spacing w:val="-7"/>
        </w:rPr>
        <w:t> </w:t>
      </w:r>
      <w:r>
        <w:rPr/>
        <w:t>secondary</w:t>
      </w:r>
      <w:r>
        <w:rPr>
          <w:spacing w:val="-10"/>
        </w:rPr>
        <w:t> </w:t>
      </w:r>
      <w:r>
        <w:rPr/>
        <w:t>ITE</w:t>
      </w:r>
      <w:r>
        <w:rPr>
          <w:spacing w:val="-8"/>
        </w:rPr>
        <w:t> </w:t>
      </w:r>
      <w:r>
        <w:rPr>
          <w:spacing w:val="-2"/>
        </w:rPr>
        <w:t>degrees:</w:t>
      </w:r>
    </w:p>
    <w:p>
      <w:pPr>
        <w:pStyle w:val="BodyText"/>
        <w:spacing w:line="276" w:lineRule="auto" w:before="119"/>
        <w:ind w:left="840" w:right="815"/>
        <w:jc w:val="both"/>
      </w:pPr>
      <w:r>
        <w:rPr/>
        <w:t>For their third payment, eligible students of accelerated postgraduate secondary ITE degrees will receive both of their final 2 STS study component payments</w:t>
      </w:r>
      <w:r>
        <w:rPr>
          <w:spacing w:val="-1"/>
        </w:rPr>
        <w:t> </w:t>
      </w:r>
      <w:r>
        <w:rPr/>
        <w:t>at the same time. For example, an eligible student commencing an accelerated postgraduate secondary ITE degree in February 2024 would receive payments in each of July and December 2024, and a single payment of the full second year amount in July 2025.</w:t>
      </w:r>
      <w:hyperlink w:history="true" w:anchor="_bookmark8">
        <w:r>
          <w:rPr>
            <w:vertAlign w:val="superscript"/>
          </w:rPr>
          <w:t>9</w:t>
        </w:r>
      </w:hyperlink>
    </w:p>
    <w:p>
      <w:pPr>
        <w:pStyle w:val="Heading2"/>
        <w:numPr>
          <w:ilvl w:val="1"/>
          <w:numId w:val="5"/>
        </w:numPr>
        <w:tabs>
          <w:tab w:pos="488" w:val="left" w:leader="none"/>
        </w:tabs>
        <w:spacing w:line="240" w:lineRule="auto" w:before="163" w:after="0"/>
        <w:ind w:left="488" w:right="0" w:hanging="368"/>
        <w:jc w:val="both"/>
      </w:pPr>
      <w:bookmarkStart w:name="4.4 Recognition of prior learning (RPL):" w:id="20"/>
      <w:bookmarkEnd w:id="20"/>
      <w:r>
        <w:rPr>
          <w:b w:val="0"/>
        </w:rPr>
      </w:r>
      <w:r>
        <w:rPr/>
        <w:t>Recognition</w:t>
      </w:r>
      <w:r>
        <w:rPr>
          <w:spacing w:val="-7"/>
        </w:rPr>
        <w:t> </w:t>
      </w:r>
      <w:r>
        <w:rPr/>
        <w:t>of</w:t>
      </w:r>
      <w:r>
        <w:rPr>
          <w:spacing w:val="-6"/>
        </w:rPr>
        <w:t> </w:t>
      </w:r>
      <w:r>
        <w:rPr/>
        <w:t>prior</w:t>
      </w:r>
      <w:r>
        <w:rPr>
          <w:spacing w:val="-4"/>
        </w:rPr>
        <w:t> </w:t>
      </w:r>
      <w:r>
        <w:rPr/>
        <w:t>learning</w:t>
      </w:r>
      <w:r>
        <w:rPr>
          <w:spacing w:val="-6"/>
        </w:rPr>
        <w:t> </w:t>
      </w:r>
      <w:r>
        <w:rPr>
          <w:spacing w:val="-2"/>
        </w:rPr>
        <w:t>(RPL):</w:t>
      </w:r>
    </w:p>
    <w:p>
      <w:pPr>
        <w:pStyle w:val="BodyText"/>
        <w:spacing w:line="276" w:lineRule="auto" w:before="117"/>
        <w:ind w:left="839" w:right="815"/>
        <w:jc w:val="both"/>
      </w:pPr>
      <w:r>
        <w:rPr/>
        <w:t>STS recipients granted RPL for one or two semesters of their secondary ITE degree will not receive retrospective payments for study completed prior to entering their accredited secondary ITE degree, including the study that led to their grant of RPL. Once an STS recipient commences an accredited secondary ITE degree, they will receive</w:t>
      </w:r>
      <w:r>
        <w:rPr>
          <w:spacing w:val="-4"/>
        </w:rPr>
        <w:t> </w:t>
      </w:r>
      <w:r>
        <w:rPr/>
        <w:t>the</w:t>
      </w:r>
      <w:r>
        <w:rPr>
          <w:spacing w:val="-4"/>
        </w:rPr>
        <w:t> </w:t>
      </w:r>
      <w:r>
        <w:rPr/>
        <w:t>standard</w:t>
      </w:r>
      <w:r>
        <w:rPr>
          <w:spacing w:val="-4"/>
        </w:rPr>
        <w:t> </w:t>
      </w:r>
      <w:r>
        <w:rPr/>
        <w:t>STS</w:t>
      </w:r>
      <w:r>
        <w:rPr>
          <w:spacing w:val="-2"/>
        </w:rPr>
        <w:t> </w:t>
      </w:r>
      <w:r>
        <w:rPr/>
        <w:t>payments</w:t>
      </w:r>
      <w:r>
        <w:rPr>
          <w:spacing w:val="-6"/>
        </w:rPr>
        <w:t> </w:t>
      </w:r>
      <w:r>
        <w:rPr/>
        <w:t>for</w:t>
      </w:r>
      <w:r>
        <w:rPr>
          <w:spacing w:val="-3"/>
        </w:rPr>
        <w:t> </w:t>
      </w:r>
      <w:r>
        <w:rPr/>
        <w:t>the</w:t>
      </w:r>
      <w:r>
        <w:rPr>
          <w:spacing w:val="-4"/>
        </w:rPr>
        <w:t> </w:t>
      </w:r>
      <w:r>
        <w:rPr/>
        <w:t>duration</w:t>
      </w:r>
      <w:r>
        <w:rPr>
          <w:spacing w:val="-2"/>
        </w:rPr>
        <w:t> </w:t>
      </w:r>
      <w:r>
        <w:rPr/>
        <w:t>of</w:t>
      </w:r>
      <w:r>
        <w:rPr>
          <w:spacing w:val="-5"/>
        </w:rPr>
        <w:t> </w:t>
      </w:r>
      <w:r>
        <w:rPr/>
        <w:t>their</w:t>
      </w:r>
      <w:r>
        <w:rPr>
          <w:spacing w:val="-3"/>
        </w:rPr>
        <w:t> </w:t>
      </w:r>
      <w:r>
        <w:rPr/>
        <w:t>secondary</w:t>
      </w:r>
      <w:r>
        <w:rPr>
          <w:spacing w:val="-4"/>
        </w:rPr>
        <w:t> </w:t>
      </w:r>
      <w:r>
        <w:rPr/>
        <w:t>ITE</w:t>
      </w:r>
      <w:r>
        <w:rPr>
          <w:spacing w:val="-4"/>
        </w:rPr>
        <w:t> </w:t>
      </w:r>
      <w:r>
        <w:rPr/>
        <w:t>FTE</w:t>
      </w:r>
      <w:r>
        <w:rPr>
          <w:spacing w:val="-4"/>
        </w:rPr>
        <w:t> </w:t>
      </w:r>
      <w:r>
        <w:rPr/>
        <w:t>study period.</w:t>
      </w:r>
      <w:r>
        <w:rPr>
          <w:spacing w:val="-6"/>
        </w:rPr>
        <w:t> </w:t>
      </w:r>
      <w:r>
        <w:rPr/>
        <w:t>For</w:t>
      </w:r>
      <w:r>
        <w:rPr>
          <w:spacing w:val="-6"/>
        </w:rPr>
        <w:t> </w:t>
      </w:r>
      <w:r>
        <w:rPr/>
        <w:t>example,</w:t>
      </w:r>
      <w:r>
        <w:rPr>
          <w:spacing w:val="-8"/>
        </w:rPr>
        <w:t> </w:t>
      </w:r>
      <w:r>
        <w:rPr/>
        <w:t>this</w:t>
      </w:r>
      <w:r>
        <w:rPr>
          <w:spacing w:val="-9"/>
        </w:rPr>
        <w:t> </w:t>
      </w:r>
      <w:r>
        <w:rPr/>
        <w:t>means</w:t>
      </w:r>
      <w:r>
        <w:rPr>
          <w:spacing w:val="-12"/>
        </w:rPr>
        <w:t> </w:t>
      </w:r>
      <w:r>
        <w:rPr/>
        <w:t>that</w:t>
      </w:r>
      <w:r>
        <w:rPr>
          <w:spacing w:val="-8"/>
        </w:rPr>
        <w:t> </w:t>
      </w:r>
      <w:r>
        <w:rPr/>
        <w:t>an</w:t>
      </w:r>
      <w:r>
        <w:rPr>
          <w:spacing w:val="-7"/>
        </w:rPr>
        <w:t> </w:t>
      </w:r>
      <w:r>
        <w:rPr/>
        <w:t>undergraduate</w:t>
      </w:r>
      <w:r>
        <w:rPr>
          <w:spacing w:val="-7"/>
        </w:rPr>
        <w:t> </w:t>
      </w:r>
      <w:r>
        <w:rPr/>
        <w:t>STS</w:t>
      </w:r>
      <w:r>
        <w:rPr>
          <w:spacing w:val="-10"/>
        </w:rPr>
        <w:t> </w:t>
      </w:r>
      <w:r>
        <w:rPr/>
        <w:t>recipient</w:t>
      </w:r>
      <w:r>
        <w:rPr>
          <w:spacing w:val="-8"/>
        </w:rPr>
        <w:t> </w:t>
      </w:r>
      <w:r>
        <w:rPr/>
        <w:t>granted</w:t>
      </w:r>
      <w:r>
        <w:rPr>
          <w:spacing w:val="-7"/>
        </w:rPr>
        <w:t> </w:t>
      </w:r>
      <w:r>
        <w:rPr/>
        <w:t>RPL</w:t>
      </w:r>
      <w:r>
        <w:rPr>
          <w:spacing w:val="-10"/>
        </w:rPr>
        <w:t> </w:t>
      </w:r>
      <w:r>
        <w:rPr/>
        <w:t>for one semester will be eligible to receive up to a total STS study component of approximately $8,400 paid across 3.5 years, and an undergraduate STS recipient granted RPL for two semesters will be eligible to receive up to a total STS study component of approximately $7,200 paid across 3 years.</w:t>
      </w:r>
      <w:hyperlink w:history="true" w:anchor="_bookmark9">
        <w:r>
          <w:rPr>
            <w:vertAlign w:val="superscript"/>
          </w:rPr>
          <w:t>10</w:t>
        </w:r>
      </w:hyperlink>
    </w:p>
    <w:p>
      <w:pPr>
        <w:pStyle w:val="Heading2"/>
        <w:numPr>
          <w:ilvl w:val="1"/>
          <w:numId w:val="5"/>
        </w:numPr>
        <w:tabs>
          <w:tab w:pos="488" w:val="left" w:leader="none"/>
        </w:tabs>
        <w:spacing w:line="240" w:lineRule="auto" w:before="163" w:after="0"/>
        <w:ind w:left="488" w:right="0" w:hanging="368"/>
        <w:jc w:val="both"/>
      </w:pPr>
      <w:bookmarkStart w:name="4.5 Part-time study:" w:id="21"/>
      <w:bookmarkEnd w:id="21"/>
      <w:r>
        <w:rPr>
          <w:b w:val="0"/>
        </w:rPr>
      </w:r>
      <w:r>
        <w:rPr/>
        <w:t>Part-time</w:t>
      </w:r>
      <w:r>
        <w:rPr>
          <w:spacing w:val="-8"/>
        </w:rPr>
        <w:t> </w:t>
      </w:r>
      <w:r>
        <w:rPr>
          <w:spacing w:val="-2"/>
        </w:rPr>
        <w:t>study:</w:t>
      </w:r>
    </w:p>
    <w:p>
      <w:pPr>
        <w:pStyle w:val="BodyText"/>
        <w:spacing w:line="278" w:lineRule="auto" w:before="119"/>
        <w:ind w:left="839" w:right="812"/>
        <w:jc w:val="both"/>
      </w:pPr>
      <w:r>
        <w:rPr/>
        <w:t>Undergraduate STS recipients who study their secondary ITE degree part-time (at a minimum of 50% study load at the time of assessment) will receive payments on the same schedule as full-time students, for the first 4 years of their study period.</w:t>
      </w:r>
    </w:p>
    <w:p>
      <w:pPr>
        <w:pStyle w:val="BodyText"/>
        <w:rPr>
          <w:sz w:val="20"/>
        </w:rPr>
      </w:pPr>
    </w:p>
    <w:p>
      <w:pPr>
        <w:pStyle w:val="BodyText"/>
        <w:rPr>
          <w:sz w:val="20"/>
        </w:rPr>
      </w:pPr>
    </w:p>
    <w:p>
      <w:pPr>
        <w:pStyle w:val="BodyText"/>
        <w:rPr>
          <w:sz w:val="20"/>
        </w:rPr>
      </w:pPr>
    </w:p>
    <w:p>
      <w:pPr>
        <w:pStyle w:val="BodyText"/>
        <w:spacing w:before="69"/>
        <w:rPr>
          <w:sz w:val="20"/>
        </w:rPr>
      </w:pPr>
      <w:r>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205458</wp:posOffset>
                </wp:positionV>
                <wp:extent cx="1828800" cy="76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177816pt;width:144pt;height:.599pt;mso-position-horizontal-relative:page;mso-position-vertical-relative:paragraph;z-index:-15726080;mso-wrap-distance-left:0;mso-wrap-distance-right:0" id="docshape9" filled="true" fillcolor="#000000" stroked="false">
                <v:fill type="solid"/>
                <w10:wrap type="topAndBottom"/>
              </v:rect>
            </w:pict>
          </mc:Fallback>
        </mc:AlternateContent>
      </w:r>
    </w:p>
    <w:p>
      <w:pPr>
        <w:spacing w:before="137"/>
        <w:ind w:left="120" w:right="0" w:firstLine="0"/>
        <w:jc w:val="left"/>
        <w:rPr>
          <w:sz w:val="18"/>
        </w:rPr>
      </w:pPr>
      <w:bookmarkStart w:name="_bookmark8" w:id="22"/>
      <w:bookmarkEnd w:id="22"/>
      <w:r>
        <w:rPr/>
      </w:r>
      <w:r>
        <w:rPr>
          <w:position w:val="6"/>
          <w:sz w:val="12"/>
        </w:rPr>
        <w:t>9</w:t>
      </w:r>
      <w:r>
        <w:rPr>
          <w:spacing w:val="14"/>
          <w:position w:val="6"/>
          <w:sz w:val="12"/>
        </w:rPr>
        <w:t> </w:t>
      </w:r>
      <w:r>
        <w:rPr>
          <w:sz w:val="18"/>
        </w:rPr>
        <w:t>noting</w:t>
      </w:r>
      <w:r>
        <w:rPr>
          <w:spacing w:val="-2"/>
          <w:sz w:val="18"/>
        </w:rPr>
        <w:t> </w:t>
      </w:r>
      <w:r>
        <w:rPr>
          <w:sz w:val="18"/>
        </w:rPr>
        <w:t>that</w:t>
      </w:r>
      <w:r>
        <w:rPr>
          <w:spacing w:val="-3"/>
          <w:sz w:val="18"/>
        </w:rPr>
        <w:t> </w:t>
      </w:r>
      <w:r>
        <w:rPr>
          <w:sz w:val="18"/>
        </w:rPr>
        <w:t>these</w:t>
      </w:r>
      <w:r>
        <w:rPr>
          <w:spacing w:val="-1"/>
          <w:sz w:val="18"/>
        </w:rPr>
        <w:t> </w:t>
      </w:r>
      <w:r>
        <w:rPr>
          <w:sz w:val="18"/>
        </w:rPr>
        <w:t>figures</w:t>
      </w:r>
      <w:r>
        <w:rPr>
          <w:spacing w:val="-2"/>
          <w:sz w:val="18"/>
        </w:rPr>
        <w:t> </w:t>
      </w:r>
      <w:r>
        <w:rPr>
          <w:sz w:val="18"/>
        </w:rPr>
        <w:t>are</w:t>
      </w:r>
      <w:r>
        <w:rPr>
          <w:spacing w:val="-2"/>
          <w:sz w:val="18"/>
        </w:rPr>
        <w:t> </w:t>
      </w:r>
      <w:r>
        <w:rPr>
          <w:sz w:val="18"/>
        </w:rPr>
        <w:t>rounded</w:t>
      </w:r>
      <w:r>
        <w:rPr>
          <w:spacing w:val="-2"/>
          <w:sz w:val="18"/>
        </w:rPr>
        <w:t> </w:t>
      </w:r>
      <w:r>
        <w:rPr>
          <w:sz w:val="18"/>
        </w:rPr>
        <w:t>and</w:t>
      </w:r>
      <w:r>
        <w:rPr>
          <w:spacing w:val="-1"/>
          <w:sz w:val="18"/>
        </w:rPr>
        <w:t> </w:t>
      </w:r>
      <w:r>
        <w:rPr>
          <w:sz w:val="18"/>
        </w:rPr>
        <w:t>may</w:t>
      </w:r>
      <w:r>
        <w:rPr>
          <w:spacing w:val="-4"/>
          <w:sz w:val="18"/>
        </w:rPr>
        <w:t> </w:t>
      </w:r>
      <w:r>
        <w:rPr>
          <w:sz w:val="18"/>
        </w:rPr>
        <w:t>vary</w:t>
      </w:r>
      <w:r>
        <w:rPr>
          <w:spacing w:val="-2"/>
          <w:sz w:val="18"/>
        </w:rPr>
        <w:t> </w:t>
      </w:r>
      <w:r>
        <w:rPr>
          <w:sz w:val="18"/>
        </w:rPr>
        <w:t>following</w:t>
      </w:r>
      <w:r>
        <w:rPr>
          <w:spacing w:val="-1"/>
          <w:sz w:val="18"/>
        </w:rPr>
        <w:t> </w:t>
      </w:r>
      <w:r>
        <w:rPr>
          <w:spacing w:val="-2"/>
          <w:sz w:val="18"/>
        </w:rPr>
        <w:t>indexation.</w:t>
      </w:r>
    </w:p>
    <w:p>
      <w:pPr>
        <w:spacing w:before="31"/>
        <w:ind w:left="120" w:right="0" w:firstLine="0"/>
        <w:jc w:val="left"/>
        <w:rPr>
          <w:sz w:val="18"/>
        </w:rPr>
      </w:pPr>
      <w:bookmarkStart w:name="_bookmark9" w:id="23"/>
      <w:bookmarkEnd w:id="23"/>
      <w:r>
        <w:rPr/>
      </w:r>
      <w:r>
        <w:rPr>
          <w:position w:val="6"/>
          <w:sz w:val="12"/>
        </w:rPr>
        <w:t>10</w:t>
      </w:r>
      <w:r>
        <w:rPr>
          <w:spacing w:val="12"/>
          <w:position w:val="6"/>
          <w:sz w:val="12"/>
        </w:rPr>
        <w:t> </w:t>
      </w:r>
      <w:r>
        <w:rPr>
          <w:sz w:val="18"/>
        </w:rPr>
        <w:t>noting</w:t>
      </w:r>
      <w:r>
        <w:rPr>
          <w:spacing w:val="-2"/>
          <w:sz w:val="18"/>
        </w:rPr>
        <w:t> </w:t>
      </w:r>
      <w:r>
        <w:rPr>
          <w:sz w:val="18"/>
        </w:rPr>
        <w:t>that</w:t>
      </w:r>
      <w:r>
        <w:rPr>
          <w:spacing w:val="-3"/>
          <w:sz w:val="18"/>
        </w:rPr>
        <w:t> </w:t>
      </w:r>
      <w:r>
        <w:rPr>
          <w:sz w:val="18"/>
        </w:rPr>
        <w:t>these</w:t>
      </w:r>
      <w:r>
        <w:rPr>
          <w:spacing w:val="-1"/>
          <w:sz w:val="18"/>
        </w:rPr>
        <w:t> </w:t>
      </w:r>
      <w:r>
        <w:rPr>
          <w:sz w:val="18"/>
        </w:rPr>
        <w:t>figures</w:t>
      </w:r>
      <w:r>
        <w:rPr>
          <w:spacing w:val="-2"/>
          <w:sz w:val="18"/>
        </w:rPr>
        <w:t> </w:t>
      </w:r>
      <w:r>
        <w:rPr>
          <w:sz w:val="18"/>
        </w:rPr>
        <w:t>are</w:t>
      </w:r>
      <w:r>
        <w:rPr>
          <w:spacing w:val="-2"/>
          <w:sz w:val="18"/>
        </w:rPr>
        <w:t> </w:t>
      </w:r>
      <w:r>
        <w:rPr>
          <w:sz w:val="18"/>
        </w:rPr>
        <w:t>rounded</w:t>
      </w:r>
      <w:r>
        <w:rPr>
          <w:spacing w:val="-2"/>
          <w:sz w:val="18"/>
        </w:rPr>
        <w:t> </w:t>
      </w:r>
      <w:r>
        <w:rPr>
          <w:sz w:val="18"/>
        </w:rPr>
        <w:t>and</w:t>
      </w:r>
      <w:r>
        <w:rPr>
          <w:spacing w:val="-1"/>
          <w:sz w:val="18"/>
        </w:rPr>
        <w:t> </w:t>
      </w:r>
      <w:r>
        <w:rPr>
          <w:sz w:val="18"/>
        </w:rPr>
        <w:t>may</w:t>
      </w:r>
      <w:r>
        <w:rPr>
          <w:spacing w:val="-4"/>
          <w:sz w:val="18"/>
        </w:rPr>
        <w:t> </w:t>
      </w:r>
      <w:r>
        <w:rPr>
          <w:sz w:val="18"/>
        </w:rPr>
        <w:t>vary</w:t>
      </w:r>
      <w:r>
        <w:rPr>
          <w:spacing w:val="-2"/>
          <w:sz w:val="18"/>
        </w:rPr>
        <w:t> </w:t>
      </w:r>
      <w:r>
        <w:rPr>
          <w:sz w:val="18"/>
        </w:rPr>
        <w:t>following</w:t>
      </w:r>
      <w:r>
        <w:rPr>
          <w:spacing w:val="-1"/>
          <w:sz w:val="18"/>
        </w:rPr>
        <w:t> </w:t>
      </w:r>
      <w:r>
        <w:rPr>
          <w:spacing w:val="-2"/>
          <w:sz w:val="18"/>
        </w:rPr>
        <w:t>indexation.</w:t>
      </w:r>
    </w:p>
    <w:p>
      <w:pPr>
        <w:spacing w:after="0"/>
        <w:jc w:val="left"/>
        <w:rPr>
          <w:sz w:val="18"/>
        </w:rPr>
        <w:sectPr>
          <w:pgSz w:w="11910" w:h="16840"/>
          <w:pgMar w:header="0" w:footer="765" w:top="1900" w:bottom="960" w:left="1320" w:right="620"/>
        </w:sectPr>
      </w:pPr>
    </w:p>
    <w:p>
      <w:pPr>
        <w:pStyle w:val="Heading2"/>
        <w:numPr>
          <w:ilvl w:val="1"/>
          <w:numId w:val="5"/>
        </w:numPr>
        <w:tabs>
          <w:tab w:pos="488" w:val="left" w:leader="none"/>
        </w:tabs>
        <w:spacing w:line="240" w:lineRule="auto" w:before="86" w:after="0"/>
        <w:ind w:left="488" w:right="0" w:hanging="368"/>
        <w:jc w:val="both"/>
      </w:pPr>
      <w:bookmarkStart w:name="4.6 Leave of Absence (LOA):" w:id="24"/>
      <w:bookmarkEnd w:id="24"/>
      <w:r>
        <w:rPr>
          <w:b w:val="0"/>
        </w:rPr>
      </w:r>
      <w:r>
        <w:rPr/>
        <w:t>Leave</w:t>
      </w:r>
      <w:r>
        <w:rPr>
          <w:spacing w:val="-6"/>
        </w:rPr>
        <w:t> </w:t>
      </w:r>
      <w:r>
        <w:rPr/>
        <w:t>of</w:t>
      </w:r>
      <w:r>
        <w:rPr>
          <w:spacing w:val="-5"/>
        </w:rPr>
        <w:t> </w:t>
      </w:r>
      <w:r>
        <w:rPr/>
        <w:t>Absence</w:t>
      </w:r>
      <w:r>
        <w:rPr>
          <w:spacing w:val="-5"/>
        </w:rPr>
        <w:t> </w:t>
      </w:r>
      <w:r>
        <w:rPr>
          <w:spacing w:val="-2"/>
        </w:rPr>
        <w:t>(LOA):</w:t>
      </w:r>
    </w:p>
    <w:p>
      <w:pPr>
        <w:pStyle w:val="BodyText"/>
        <w:spacing w:line="276" w:lineRule="auto" w:before="119"/>
        <w:ind w:left="840" w:right="816"/>
        <w:jc w:val="both"/>
      </w:pPr>
      <w:r>
        <w:rPr/>
        <w:t>STS recipients may take LOA of up to 12 months where their ITE provider grants the LOA for compassionate reasons. STS payments are paused during the LOA period. Once</w:t>
      </w:r>
      <w:r>
        <w:rPr>
          <w:spacing w:val="-5"/>
        </w:rPr>
        <w:t> </w:t>
      </w:r>
      <w:r>
        <w:rPr/>
        <w:t>the</w:t>
      </w:r>
      <w:r>
        <w:rPr>
          <w:spacing w:val="-5"/>
        </w:rPr>
        <w:t> </w:t>
      </w:r>
      <w:r>
        <w:rPr/>
        <w:t>STS</w:t>
      </w:r>
      <w:r>
        <w:rPr>
          <w:spacing w:val="-5"/>
        </w:rPr>
        <w:t> </w:t>
      </w:r>
      <w:r>
        <w:rPr/>
        <w:t>recipient</w:t>
      </w:r>
      <w:r>
        <w:rPr>
          <w:spacing w:val="-3"/>
        </w:rPr>
        <w:t> </w:t>
      </w:r>
      <w:r>
        <w:rPr/>
        <w:t>resumes</w:t>
      </w:r>
      <w:r>
        <w:rPr>
          <w:spacing w:val="-5"/>
        </w:rPr>
        <w:t> </w:t>
      </w:r>
      <w:r>
        <w:rPr/>
        <w:t>their</w:t>
      </w:r>
      <w:r>
        <w:rPr>
          <w:spacing w:val="-1"/>
        </w:rPr>
        <w:t> </w:t>
      </w:r>
      <w:r>
        <w:rPr/>
        <w:t>secondary</w:t>
      </w:r>
      <w:r>
        <w:rPr>
          <w:spacing w:val="-7"/>
        </w:rPr>
        <w:t> </w:t>
      </w:r>
      <w:r>
        <w:rPr/>
        <w:t>ITE</w:t>
      </w:r>
      <w:r>
        <w:rPr>
          <w:spacing w:val="-3"/>
        </w:rPr>
        <w:t> </w:t>
      </w:r>
      <w:r>
        <w:rPr/>
        <w:t>degree,</w:t>
      </w:r>
      <w:r>
        <w:rPr>
          <w:spacing w:val="-3"/>
        </w:rPr>
        <w:t> </w:t>
      </w:r>
      <w:r>
        <w:rPr/>
        <w:t>their</w:t>
      </w:r>
      <w:r>
        <w:rPr>
          <w:spacing w:val="-4"/>
        </w:rPr>
        <w:t> </w:t>
      </w:r>
      <w:r>
        <w:rPr/>
        <w:t>STS</w:t>
      </w:r>
      <w:r>
        <w:rPr>
          <w:spacing w:val="-5"/>
        </w:rPr>
        <w:t> </w:t>
      </w:r>
      <w:r>
        <w:rPr/>
        <w:t>payments</w:t>
      </w:r>
      <w:r>
        <w:rPr>
          <w:spacing w:val="-2"/>
        </w:rPr>
        <w:t> </w:t>
      </w:r>
      <w:r>
        <w:rPr/>
        <w:t>will continue</w:t>
      </w:r>
      <w:r>
        <w:rPr>
          <w:spacing w:val="-5"/>
        </w:rPr>
        <w:t> </w:t>
      </w:r>
      <w:r>
        <w:rPr/>
        <w:t>until</w:t>
      </w:r>
      <w:r>
        <w:rPr>
          <w:spacing w:val="-6"/>
        </w:rPr>
        <w:t> </w:t>
      </w:r>
      <w:r>
        <w:rPr/>
        <w:t>they</w:t>
      </w:r>
      <w:r>
        <w:rPr>
          <w:spacing w:val="-7"/>
        </w:rPr>
        <w:t> </w:t>
      </w:r>
      <w:r>
        <w:rPr/>
        <w:t>have</w:t>
      </w:r>
      <w:r>
        <w:rPr>
          <w:spacing w:val="-7"/>
        </w:rPr>
        <w:t> </w:t>
      </w:r>
      <w:r>
        <w:rPr/>
        <w:t>received</w:t>
      </w:r>
      <w:r>
        <w:rPr>
          <w:spacing w:val="-5"/>
        </w:rPr>
        <w:t> </w:t>
      </w:r>
      <w:r>
        <w:rPr/>
        <w:t>their</w:t>
      </w:r>
      <w:r>
        <w:rPr>
          <w:spacing w:val="-9"/>
        </w:rPr>
        <w:t> </w:t>
      </w:r>
      <w:r>
        <w:rPr/>
        <w:t>maximum</w:t>
      </w:r>
      <w:r>
        <w:rPr>
          <w:spacing w:val="-6"/>
        </w:rPr>
        <w:t> </w:t>
      </w:r>
      <w:r>
        <w:rPr/>
        <w:t>eligible</w:t>
      </w:r>
      <w:r>
        <w:rPr>
          <w:spacing w:val="-5"/>
        </w:rPr>
        <w:t> </w:t>
      </w:r>
      <w:r>
        <w:rPr/>
        <w:t>payments</w:t>
      </w:r>
      <w:r>
        <w:rPr>
          <w:spacing w:val="-7"/>
        </w:rPr>
        <w:t> </w:t>
      </w:r>
      <w:r>
        <w:rPr/>
        <w:t>or</w:t>
      </w:r>
      <w:r>
        <w:rPr>
          <w:spacing w:val="-6"/>
        </w:rPr>
        <w:t> </w:t>
      </w:r>
      <w:r>
        <w:rPr/>
        <w:t>until</w:t>
      </w:r>
      <w:r>
        <w:rPr>
          <w:spacing w:val="-8"/>
        </w:rPr>
        <w:t> </w:t>
      </w:r>
      <w:r>
        <w:rPr/>
        <w:t>June</w:t>
      </w:r>
      <w:r>
        <w:rPr>
          <w:spacing w:val="-5"/>
        </w:rPr>
        <w:t> </w:t>
      </w:r>
      <w:r>
        <w:rPr/>
        <w:t>2029, whichever occurs earlier.</w:t>
      </w:r>
    </w:p>
    <w:p>
      <w:pPr>
        <w:pStyle w:val="BodyText"/>
        <w:spacing w:before="108"/>
      </w:pPr>
    </w:p>
    <w:p>
      <w:pPr>
        <w:pStyle w:val="Heading1"/>
        <w:numPr>
          <w:ilvl w:val="0"/>
          <w:numId w:val="1"/>
        </w:numPr>
        <w:tabs>
          <w:tab w:pos="479" w:val="left" w:leader="none"/>
        </w:tabs>
        <w:spacing w:line="240" w:lineRule="auto" w:before="1" w:after="0"/>
        <w:ind w:left="479" w:right="0" w:hanging="359"/>
        <w:jc w:val="both"/>
      </w:pPr>
      <w:bookmarkStart w:name="5. STS dates" w:id="25"/>
      <w:bookmarkEnd w:id="25"/>
      <w:r>
        <w:rPr>
          <w:b w:val="0"/>
        </w:rPr>
      </w:r>
      <w:r>
        <w:rPr>
          <w:color w:val="205E99"/>
        </w:rPr>
        <w:t>STS</w:t>
      </w:r>
      <w:r>
        <w:rPr>
          <w:color w:val="205E99"/>
          <w:spacing w:val="-6"/>
        </w:rPr>
        <w:t> </w:t>
      </w:r>
      <w:r>
        <w:rPr>
          <w:color w:val="205E99"/>
          <w:spacing w:val="-2"/>
        </w:rPr>
        <w:t>dates</w:t>
      </w:r>
    </w:p>
    <w:p>
      <w:pPr>
        <w:pStyle w:val="BodyText"/>
        <w:spacing w:before="7"/>
        <w:rPr>
          <w:b/>
          <w:sz w:val="11"/>
        </w:rPr>
      </w:pPr>
    </w:p>
    <w:tbl>
      <w:tblPr>
        <w:tblW w:w="0" w:type="auto"/>
        <w:jc w:val="left"/>
        <w:tblInd w:w="271"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896"/>
        <w:gridCol w:w="4889"/>
        <w:gridCol w:w="2575"/>
      </w:tblGrid>
      <w:tr>
        <w:trPr>
          <w:trHeight w:val="417" w:hRule="atLeast"/>
        </w:trPr>
        <w:tc>
          <w:tcPr>
            <w:tcW w:w="1896" w:type="dxa"/>
            <w:tcBorders>
              <w:bottom w:val="single" w:sz="4" w:space="0" w:color="FFFFFF"/>
            </w:tcBorders>
            <w:shd w:val="clear" w:color="auto" w:fill="205E99"/>
          </w:tcPr>
          <w:p>
            <w:pPr>
              <w:pStyle w:val="TableParagraph"/>
              <w:ind w:left="215"/>
              <w:rPr>
                <w:b/>
                <w:sz w:val="21"/>
              </w:rPr>
            </w:pPr>
            <w:r>
              <w:rPr>
                <w:b/>
                <w:color w:val="FFFFFF"/>
                <w:spacing w:val="-2"/>
                <w:sz w:val="21"/>
              </w:rPr>
              <w:t>Activities</w:t>
            </w:r>
          </w:p>
        </w:tc>
        <w:tc>
          <w:tcPr>
            <w:tcW w:w="4889" w:type="dxa"/>
            <w:tcBorders>
              <w:bottom w:val="single" w:sz="4" w:space="0" w:color="FFFFFF"/>
              <w:right w:val="single" w:sz="4" w:space="0" w:color="FFFFFF"/>
            </w:tcBorders>
            <w:shd w:val="clear" w:color="auto" w:fill="205E99"/>
          </w:tcPr>
          <w:p>
            <w:pPr>
              <w:pStyle w:val="TableParagraph"/>
              <w:ind w:left="218"/>
              <w:rPr>
                <w:b/>
                <w:sz w:val="21"/>
              </w:rPr>
            </w:pPr>
            <w:r>
              <w:rPr>
                <w:b/>
                <w:color w:val="FFFFFF"/>
                <w:spacing w:val="-2"/>
                <w:sz w:val="21"/>
              </w:rPr>
              <w:t>Details</w:t>
            </w:r>
          </w:p>
        </w:tc>
        <w:tc>
          <w:tcPr>
            <w:tcW w:w="2575" w:type="dxa"/>
            <w:tcBorders>
              <w:left w:val="single" w:sz="4" w:space="0" w:color="FFFFFF"/>
              <w:bottom w:val="single" w:sz="4" w:space="0" w:color="FFFFFF"/>
            </w:tcBorders>
            <w:shd w:val="clear" w:color="auto" w:fill="205E99"/>
          </w:tcPr>
          <w:p>
            <w:pPr>
              <w:pStyle w:val="TableParagraph"/>
              <w:ind w:left="220"/>
              <w:rPr>
                <w:b/>
                <w:sz w:val="21"/>
              </w:rPr>
            </w:pPr>
            <w:r>
              <w:rPr>
                <w:b/>
                <w:color w:val="FFFFFF"/>
                <w:sz w:val="21"/>
              </w:rPr>
              <w:t>Key</w:t>
            </w:r>
            <w:r>
              <w:rPr>
                <w:b/>
                <w:color w:val="FFFFFF"/>
                <w:spacing w:val="-4"/>
                <w:sz w:val="21"/>
              </w:rPr>
              <w:t> </w:t>
            </w:r>
            <w:r>
              <w:rPr>
                <w:b/>
                <w:color w:val="FFFFFF"/>
                <w:spacing w:val="-2"/>
                <w:sz w:val="21"/>
              </w:rPr>
              <w:t>Dates</w:t>
            </w:r>
          </w:p>
        </w:tc>
      </w:tr>
      <w:tr>
        <w:trPr>
          <w:trHeight w:val="417" w:hRule="atLeast"/>
        </w:trPr>
        <w:tc>
          <w:tcPr>
            <w:tcW w:w="1896" w:type="dxa"/>
            <w:tcBorders>
              <w:top w:val="single" w:sz="4" w:space="0" w:color="FFFFFF"/>
              <w:bottom w:val="single" w:sz="4" w:space="0" w:color="FFFFFF"/>
            </w:tcBorders>
            <w:shd w:val="clear" w:color="auto" w:fill="F1F1F1"/>
          </w:tcPr>
          <w:p>
            <w:pPr>
              <w:pStyle w:val="TableParagraph"/>
              <w:spacing w:before="79"/>
              <w:ind w:left="215"/>
              <w:rPr>
                <w:sz w:val="21"/>
              </w:rPr>
            </w:pPr>
            <w:r>
              <w:rPr>
                <w:spacing w:val="-5"/>
                <w:sz w:val="21"/>
              </w:rPr>
              <w:t>EOI</w:t>
            </w:r>
          </w:p>
        </w:tc>
        <w:tc>
          <w:tcPr>
            <w:tcW w:w="4889" w:type="dxa"/>
            <w:tcBorders>
              <w:top w:val="single" w:sz="4" w:space="0" w:color="FFFFFF"/>
              <w:bottom w:val="single" w:sz="4" w:space="0" w:color="FFFFFF"/>
              <w:right w:val="single" w:sz="4" w:space="0" w:color="FFFFFF"/>
            </w:tcBorders>
            <w:shd w:val="clear" w:color="auto" w:fill="F1F1F1"/>
          </w:tcPr>
          <w:p>
            <w:pPr>
              <w:pStyle w:val="TableParagraph"/>
              <w:spacing w:before="79"/>
              <w:ind w:left="218"/>
              <w:rPr>
                <w:sz w:val="21"/>
              </w:rPr>
            </w:pPr>
            <w:r>
              <w:rPr>
                <w:sz w:val="21"/>
              </w:rPr>
              <w:t>Expression</w:t>
            </w:r>
            <w:r>
              <w:rPr>
                <w:spacing w:val="-8"/>
                <w:sz w:val="21"/>
              </w:rPr>
              <w:t> </w:t>
            </w:r>
            <w:r>
              <w:rPr>
                <w:sz w:val="21"/>
              </w:rPr>
              <w:t>of</w:t>
            </w:r>
            <w:r>
              <w:rPr>
                <w:spacing w:val="-6"/>
                <w:sz w:val="21"/>
              </w:rPr>
              <w:t> </w:t>
            </w:r>
            <w:r>
              <w:rPr>
                <w:sz w:val="21"/>
              </w:rPr>
              <w:t>interest</w:t>
            </w:r>
            <w:r>
              <w:rPr>
                <w:spacing w:val="-6"/>
                <w:sz w:val="21"/>
              </w:rPr>
              <w:t> </w:t>
            </w:r>
            <w:r>
              <w:rPr>
                <w:sz w:val="21"/>
              </w:rPr>
              <w:t>(EOI)</w:t>
            </w:r>
            <w:r>
              <w:rPr>
                <w:spacing w:val="-6"/>
                <w:sz w:val="21"/>
              </w:rPr>
              <w:t> </w:t>
            </w:r>
            <w:r>
              <w:rPr>
                <w:sz w:val="21"/>
              </w:rPr>
              <w:t>form</w:t>
            </w:r>
            <w:r>
              <w:rPr>
                <w:spacing w:val="-4"/>
                <w:sz w:val="21"/>
              </w:rPr>
              <w:t> </w:t>
            </w:r>
            <w:r>
              <w:rPr>
                <w:spacing w:val="-2"/>
                <w:sz w:val="21"/>
              </w:rPr>
              <w:t>opens</w:t>
            </w:r>
          </w:p>
        </w:tc>
        <w:tc>
          <w:tcPr>
            <w:tcW w:w="2575" w:type="dxa"/>
            <w:tcBorders>
              <w:top w:val="single" w:sz="4" w:space="0" w:color="FFFFFF"/>
              <w:left w:val="single" w:sz="4" w:space="0" w:color="FFFFFF"/>
              <w:bottom w:val="single" w:sz="4" w:space="0" w:color="FFFFFF"/>
            </w:tcBorders>
            <w:shd w:val="clear" w:color="auto" w:fill="F1F1F1"/>
          </w:tcPr>
          <w:p>
            <w:pPr>
              <w:pStyle w:val="TableParagraph"/>
              <w:spacing w:before="59"/>
              <w:ind w:left="220"/>
              <w:rPr>
                <w:sz w:val="21"/>
              </w:rPr>
            </w:pPr>
            <w:r>
              <w:rPr>
                <w:sz w:val="21"/>
              </w:rPr>
              <w:t>11</w:t>
            </w:r>
            <w:r>
              <w:rPr>
                <w:spacing w:val="-5"/>
                <w:sz w:val="21"/>
              </w:rPr>
              <w:t> </w:t>
            </w:r>
            <w:r>
              <w:rPr>
                <w:sz w:val="21"/>
              </w:rPr>
              <w:t>December</w:t>
            </w:r>
            <w:r>
              <w:rPr>
                <w:spacing w:val="-4"/>
                <w:sz w:val="21"/>
              </w:rPr>
              <w:t> 2023</w:t>
            </w:r>
          </w:p>
        </w:tc>
      </w:tr>
      <w:tr>
        <w:trPr>
          <w:trHeight w:val="2819" w:hRule="atLeast"/>
        </w:trPr>
        <w:tc>
          <w:tcPr>
            <w:tcW w:w="1896" w:type="dxa"/>
            <w:tcBorders>
              <w:top w:val="single" w:sz="4" w:space="0" w:color="FFFFFF"/>
              <w:bottom w:val="single" w:sz="4" w:space="0" w:color="FFFFFF"/>
            </w:tcBorders>
            <w:shd w:val="clear" w:color="auto" w:fill="F1F1F1"/>
          </w:tcPr>
          <w:p>
            <w:pPr>
              <w:pStyle w:val="TableParagraph"/>
              <w:spacing w:before="79"/>
              <w:ind w:left="215"/>
              <w:rPr>
                <w:sz w:val="21"/>
              </w:rPr>
            </w:pPr>
            <w:r>
              <w:rPr>
                <w:sz w:val="21"/>
              </w:rPr>
              <w:t>STS</w:t>
            </w:r>
            <w:r>
              <w:rPr>
                <w:spacing w:val="-4"/>
                <w:sz w:val="21"/>
              </w:rPr>
              <w:t> </w:t>
            </w:r>
            <w:r>
              <w:rPr>
                <w:sz w:val="21"/>
              </w:rPr>
              <w:t>round</w:t>
            </w:r>
            <w:r>
              <w:rPr>
                <w:spacing w:val="-3"/>
                <w:sz w:val="21"/>
              </w:rPr>
              <w:t> </w:t>
            </w:r>
            <w:r>
              <w:rPr>
                <w:spacing w:val="-10"/>
                <w:sz w:val="21"/>
              </w:rPr>
              <w:t>1</w:t>
            </w:r>
          </w:p>
          <w:p>
            <w:pPr>
              <w:pStyle w:val="TableParagraph"/>
              <w:spacing w:before="116"/>
              <w:ind w:left="215"/>
              <w:rPr>
                <w:sz w:val="21"/>
              </w:rPr>
            </w:pPr>
            <w:r>
              <w:rPr>
                <w:spacing w:val="-2"/>
                <w:sz w:val="21"/>
              </w:rPr>
              <w:t>Semester</w:t>
            </w:r>
            <w:r>
              <w:rPr>
                <w:spacing w:val="-11"/>
                <w:sz w:val="21"/>
              </w:rPr>
              <w:t> </w:t>
            </w:r>
            <w:r>
              <w:rPr>
                <w:spacing w:val="-2"/>
                <w:sz w:val="21"/>
              </w:rPr>
              <w:t>1</w:t>
            </w:r>
            <w:r>
              <w:rPr>
                <w:spacing w:val="-7"/>
                <w:sz w:val="21"/>
              </w:rPr>
              <w:t> </w:t>
            </w:r>
            <w:r>
              <w:rPr>
                <w:spacing w:val="-4"/>
                <w:sz w:val="21"/>
              </w:rPr>
              <w:t>2024</w:t>
            </w:r>
          </w:p>
        </w:tc>
        <w:tc>
          <w:tcPr>
            <w:tcW w:w="4889" w:type="dxa"/>
            <w:tcBorders>
              <w:top w:val="single" w:sz="4" w:space="0" w:color="FFFFFF"/>
              <w:bottom w:val="single" w:sz="4" w:space="0" w:color="FFFFFF"/>
              <w:right w:val="single" w:sz="4" w:space="0" w:color="FFFFFF"/>
            </w:tcBorders>
            <w:shd w:val="clear" w:color="auto" w:fill="F1F1F1"/>
          </w:tcPr>
          <w:p>
            <w:pPr>
              <w:pStyle w:val="TableParagraph"/>
              <w:spacing w:before="79"/>
              <w:ind w:left="218"/>
              <w:rPr>
                <w:b/>
                <w:i/>
                <w:sz w:val="21"/>
              </w:rPr>
            </w:pPr>
            <w:r>
              <w:rPr>
                <w:b/>
                <w:i/>
                <w:sz w:val="21"/>
              </w:rPr>
              <w:t>New</w:t>
            </w:r>
            <w:r>
              <w:rPr>
                <w:b/>
                <w:i/>
                <w:spacing w:val="-1"/>
                <w:sz w:val="21"/>
              </w:rPr>
              <w:t> </w:t>
            </w:r>
            <w:r>
              <w:rPr>
                <w:b/>
                <w:i/>
                <w:spacing w:val="-2"/>
                <w:sz w:val="21"/>
              </w:rPr>
              <w:t>applicants</w:t>
            </w:r>
          </w:p>
          <w:p>
            <w:pPr>
              <w:pStyle w:val="TableParagraph"/>
              <w:spacing w:line="276" w:lineRule="auto" w:before="156"/>
              <w:ind w:left="218"/>
              <w:rPr>
                <w:sz w:val="21"/>
              </w:rPr>
            </w:pPr>
            <w:r>
              <w:rPr>
                <w:sz w:val="21"/>
              </w:rPr>
              <w:t>Students</w:t>
            </w:r>
            <w:r>
              <w:rPr>
                <w:spacing w:val="-11"/>
                <w:sz w:val="21"/>
              </w:rPr>
              <w:t> </w:t>
            </w:r>
            <w:r>
              <w:rPr>
                <w:sz w:val="21"/>
              </w:rPr>
              <w:t>commencing</w:t>
            </w:r>
            <w:r>
              <w:rPr>
                <w:spacing w:val="-11"/>
                <w:sz w:val="21"/>
              </w:rPr>
              <w:t> </w:t>
            </w:r>
            <w:r>
              <w:rPr>
                <w:sz w:val="21"/>
              </w:rPr>
              <w:t>eligible</w:t>
            </w:r>
            <w:r>
              <w:rPr>
                <w:spacing w:val="-11"/>
                <w:sz w:val="21"/>
              </w:rPr>
              <w:t> </w:t>
            </w:r>
            <w:r>
              <w:rPr>
                <w:sz w:val="21"/>
              </w:rPr>
              <w:t>ITE</w:t>
            </w:r>
            <w:r>
              <w:rPr>
                <w:spacing w:val="-11"/>
                <w:sz w:val="21"/>
              </w:rPr>
              <w:t> </w:t>
            </w:r>
            <w:r>
              <w:rPr>
                <w:sz w:val="21"/>
              </w:rPr>
              <w:t>degrees</w:t>
            </w:r>
            <w:r>
              <w:rPr>
                <w:spacing w:val="-12"/>
                <w:sz w:val="21"/>
              </w:rPr>
              <w:t> </w:t>
            </w:r>
            <w:r>
              <w:rPr>
                <w:sz w:val="21"/>
              </w:rPr>
              <w:t>with</w:t>
            </w:r>
            <w:r>
              <w:rPr>
                <w:spacing w:val="-13"/>
                <w:sz w:val="21"/>
              </w:rPr>
              <w:t> </w:t>
            </w:r>
            <w:r>
              <w:rPr>
                <w:sz w:val="21"/>
              </w:rPr>
              <w:t>a census</w:t>
            </w:r>
            <w:r>
              <w:rPr>
                <w:spacing w:val="48"/>
                <w:sz w:val="21"/>
              </w:rPr>
              <w:t> </w:t>
            </w:r>
            <w:r>
              <w:rPr>
                <w:sz w:val="21"/>
              </w:rPr>
              <w:t>date</w:t>
            </w:r>
            <w:r>
              <w:rPr>
                <w:spacing w:val="49"/>
                <w:sz w:val="21"/>
              </w:rPr>
              <w:t> </w:t>
            </w:r>
            <w:r>
              <w:rPr>
                <w:sz w:val="21"/>
              </w:rPr>
              <w:t>between</w:t>
            </w:r>
            <w:r>
              <w:rPr>
                <w:spacing w:val="49"/>
                <w:sz w:val="21"/>
              </w:rPr>
              <w:t> </w:t>
            </w:r>
            <w:r>
              <w:rPr>
                <w:sz w:val="21"/>
              </w:rPr>
              <w:t>1</w:t>
            </w:r>
            <w:r>
              <w:rPr>
                <w:spacing w:val="46"/>
                <w:sz w:val="21"/>
              </w:rPr>
              <w:t> </w:t>
            </w:r>
            <w:r>
              <w:rPr>
                <w:sz w:val="21"/>
              </w:rPr>
              <w:t>January</w:t>
            </w:r>
            <w:r>
              <w:rPr>
                <w:spacing w:val="49"/>
                <w:sz w:val="21"/>
              </w:rPr>
              <w:t> </w:t>
            </w:r>
            <w:r>
              <w:rPr>
                <w:sz w:val="21"/>
              </w:rPr>
              <w:t>2024</w:t>
            </w:r>
            <w:r>
              <w:rPr>
                <w:spacing w:val="49"/>
                <w:sz w:val="21"/>
              </w:rPr>
              <w:t> </w:t>
            </w:r>
            <w:r>
              <w:rPr>
                <w:sz w:val="21"/>
              </w:rPr>
              <w:t>and</w:t>
            </w:r>
            <w:r>
              <w:rPr>
                <w:spacing w:val="49"/>
                <w:sz w:val="21"/>
              </w:rPr>
              <w:t> </w:t>
            </w:r>
            <w:r>
              <w:rPr>
                <w:spacing w:val="-5"/>
                <w:sz w:val="21"/>
              </w:rPr>
              <w:t>31</w:t>
            </w:r>
          </w:p>
          <w:p>
            <w:pPr>
              <w:pStyle w:val="TableParagraph"/>
              <w:spacing w:before="2"/>
              <w:ind w:left="218"/>
              <w:rPr>
                <w:sz w:val="21"/>
              </w:rPr>
            </w:pPr>
            <w:r>
              <w:rPr>
                <w:sz w:val="21"/>
              </w:rPr>
              <w:t>March</w:t>
            </w:r>
            <w:r>
              <w:rPr>
                <w:spacing w:val="-3"/>
                <w:sz w:val="21"/>
              </w:rPr>
              <w:t> </w:t>
            </w:r>
            <w:r>
              <w:rPr>
                <w:spacing w:val="-4"/>
                <w:sz w:val="21"/>
              </w:rPr>
              <w:t>2024</w:t>
            </w:r>
          </w:p>
        </w:tc>
        <w:tc>
          <w:tcPr>
            <w:tcW w:w="2575" w:type="dxa"/>
            <w:tcBorders>
              <w:top w:val="single" w:sz="4" w:space="0" w:color="FFFFFF"/>
              <w:left w:val="single" w:sz="4" w:space="0" w:color="FFFFFF"/>
              <w:bottom w:val="single" w:sz="4" w:space="0" w:color="FFFFFF"/>
            </w:tcBorders>
            <w:shd w:val="clear" w:color="auto" w:fill="F1F1F1"/>
          </w:tcPr>
          <w:p>
            <w:pPr>
              <w:pStyle w:val="TableParagraph"/>
              <w:spacing w:before="59"/>
              <w:ind w:left="220"/>
              <w:rPr>
                <w:b/>
                <w:sz w:val="21"/>
              </w:rPr>
            </w:pPr>
            <w:r>
              <w:rPr>
                <w:b/>
                <w:sz w:val="21"/>
              </w:rPr>
              <w:t>Applications</w:t>
            </w:r>
            <w:r>
              <w:rPr>
                <w:b/>
                <w:spacing w:val="-13"/>
                <w:sz w:val="21"/>
              </w:rPr>
              <w:t> </w:t>
            </w:r>
            <w:r>
              <w:rPr>
                <w:b/>
                <w:spacing w:val="-4"/>
                <w:sz w:val="21"/>
              </w:rPr>
              <w:t>open</w:t>
            </w:r>
          </w:p>
          <w:p>
            <w:pPr>
              <w:pStyle w:val="TableParagraph"/>
              <w:numPr>
                <w:ilvl w:val="0"/>
                <w:numId w:val="6"/>
              </w:numPr>
              <w:tabs>
                <w:tab w:pos="827" w:val="left" w:leader="none"/>
              </w:tabs>
              <w:spacing w:line="240" w:lineRule="auto" w:before="98" w:after="0"/>
              <w:ind w:left="827" w:right="0" w:hanging="360"/>
              <w:jc w:val="left"/>
              <w:rPr>
                <w:sz w:val="21"/>
              </w:rPr>
            </w:pPr>
            <w:r>
              <w:rPr>
                <w:sz w:val="21"/>
              </w:rPr>
              <w:t>27</w:t>
            </w:r>
            <w:r>
              <w:rPr>
                <w:spacing w:val="-2"/>
                <w:sz w:val="21"/>
              </w:rPr>
              <w:t> </w:t>
            </w:r>
            <w:r>
              <w:rPr>
                <w:sz w:val="21"/>
              </w:rPr>
              <w:t>March</w:t>
            </w:r>
            <w:r>
              <w:rPr>
                <w:spacing w:val="-2"/>
                <w:sz w:val="21"/>
              </w:rPr>
              <w:t> </w:t>
            </w:r>
            <w:r>
              <w:rPr>
                <w:spacing w:val="-4"/>
                <w:sz w:val="21"/>
              </w:rPr>
              <w:t>2024</w:t>
            </w:r>
          </w:p>
          <w:p>
            <w:pPr>
              <w:pStyle w:val="TableParagraph"/>
              <w:spacing w:before="95"/>
              <w:ind w:left="0" w:right="482"/>
              <w:jc w:val="right"/>
              <w:rPr>
                <w:b/>
                <w:sz w:val="21"/>
              </w:rPr>
            </w:pPr>
            <w:r>
              <w:rPr>
                <w:b/>
                <w:sz w:val="21"/>
              </w:rPr>
              <w:t>Applications</w:t>
            </w:r>
            <w:r>
              <w:rPr>
                <w:b/>
                <w:spacing w:val="-11"/>
                <w:sz w:val="21"/>
              </w:rPr>
              <w:t> </w:t>
            </w:r>
            <w:r>
              <w:rPr>
                <w:b/>
                <w:spacing w:val="-2"/>
                <w:sz w:val="21"/>
              </w:rPr>
              <w:t>close</w:t>
            </w:r>
          </w:p>
          <w:p>
            <w:pPr>
              <w:pStyle w:val="TableParagraph"/>
              <w:numPr>
                <w:ilvl w:val="0"/>
                <w:numId w:val="6"/>
              </w:numPr>
              <w:tabs>
                <w:tab w:pos="360" w:val="left" w:leader="none"/>
              </w:tabs>
              <w:spacing w:line="240" w:lineRule="auto" w:before="95" w:after="0"/>
              <w:ind w:left="360" w:right="515" w:hanging="360"/>
              <w:jc w:val="right"/>
              <w:rPr>
                <w:sz w:val="21"/>
              </w:rPr>
            </w:pPr>
            <w:r>
              <w:rPr>
                <w:sz w:val="21"/>
              </w:rPr>
              <w:t>10</w:t>
            </w:r>
            <w:r>
              <w:rPr>
                <w:spacing w:val="-2"/>
                <w:sz w:val="21"/>
              </w:rPr>
              <w:t> </w:t>
            </w:r>
            <w:r>
              <w:rPr>
                <w:sz w:val="21"/>
              </w:rPr>
              <w:t>May</w:t>
            </w:r>
            <w:r>
              <w:rPr>
                <w:spacing w:val="-1"/>
                <w:sz w:val="21"/>
              </w:rPr>
              <w:t> </w:t>
            </w:r>
            <w:r>
              <w:rPr>
                <w:spacing w:val="-4"/>
                <w:sz w:val="21"/>
              </w:rPr>
              <w:t>2024</w:t>
            </w:r>
          </w:p>
          <w:p>
            <w:pPr>
              <w:pStyle w:val="TableParagraph"/>
              <w:spacing w:before="95"/>
              <w:ind w:left="0" w:right="401"/>
              <w:jc w:val="right"/>
              <w:rPr>
                <w:b/>
                <w:sz w:val="21"/>
              </w:rPr>
            </w:pPr>
            <w:r>
              <w:rPr>
                <w:b/>
                <w:sz w:val="21"/>
              </w:rPr>
              <w:t>Assessment</w:t>
            </w:r>
            <w:r>
              <w:rPr>
                <w:b/>
                <w:spacing w:val="-11"/>
                <w:sz w:val="21"/>
              </w:rPr>
              <w:t> </w:t>
            </w:r>
            <w:r>
              <w:rPr>
                <w:b/>
                <w:spacing w:val="-2"/>
                <w:sz w:val="21"/>
              </w:rPr>
              <w:t>period</w:t>
            </w:r>
          </w:p>
          <w:p>
            <w:pPr>
              <w:pStyle w:val="TableParagraph"/>
              <w:numPr>
                <w:ilvl w:val="0"/>
                <w:numId w:val="6"/>
              </w:numPr>
              <w:tabs>
                <w:tab w:pos="827" w:val="left" w:leader="none"/>
              </w:tabs>
              <w:spacing w:line="240" w:lineRule="auto" w:before="97" w:after="0"/>
              <w:ind w:left="827" w:right="0" w:hanging="360"/>
              <w:jc w:val="left"/>
              <w:rPr>
                <w:sz w:val="21"/>
              </w:rPr>
            </w:pPr>
            <w:r>
              <w:rPr>
                <w:sz w:val="21"/>
              </w:rPr>
              <w:t>May</w:t>
            </w:r>
            <w:r>
              <w:rPr>
                <w:spacing w:val="-3"/>
                <w:sz w:val="21"/>
              </w:rPr>
              <w:t> </w:t>
            </w:r>
            <w:r>
              <w:rPr>
                <w:sz w:val="21"/>
              </w:rPr>
              <w:t>–</w:t>
            </w:r>
            <w:r>
              <w:rPr>
                <w:spacing w:val="-2"/>
                <w:sz w:val="21"/>
              </w:rPr>
              <w:t> </w:t>
            </w:r>
            <w:r>
              <w:rPr>
                <w:sz w:val="21"/>
              </w:rPr>
              <w:t>June</w:t>
            </w:r>
            <w:r>
              <w:rPr>
                <w:spacing w:val="-2"/>
                <w:sz w:val="21"/>
              </w:rPr>
              <w:t> </w:t>
            </w:r>
            <w:r>
              <w:rPr>
                <w:spacing w:val="-4"/>
                <w:sz w:val="21"/>
              </w:rPr>
              <w:t>2024</w:t>
            </w:r>
          </w:p>
          <w:p>
            <w:pPr>
              <w:pStyle w:val="TableParagraph"/>
              <w:spacing w:before="93"/>
              <w:ind w:left="220"/>
              <w:rPr>
                <w:b/>
                <w:sz w:val="21"/>
              </w:rPr>
            </w:pPr>
            <w:r>
              <w:rPr>
                <w:b/>
                <w:spacing w:val="-2"/>
                <w:sz w:val="21"/>
              </w:rPr>
              <w:t>Outcome</w:t>
            </w:r>
          </w:p>
          <w:p>
            <w:pPr>
              <w:pStyle w:val="TableParagraph"/>
              <w:numPr>
                <w:ilvl w:val="0"/>
                <w:numId w:val="6"/>
              </w:numPr>
              <w:tabs>
                <w:tab w:pos="827" w:val="left" w:leader="none"/>
              </w:tabs>
              <w:spacing w:line="240" w:lineRule="auto" w:before="97" w:after="0"/>
              <w:ind w:left="827" w:right="0" w:hanging="360"/>
              <w:jc w:val="left"/>
              <w:rPr>
                <w:sz w:val="21"/>
              </w:rPr>
            </w:pPr>
            <w:r>
              <w:rPr>
                <w:sz w:val="21"/>
              </w:rPr>
              <w:t>July </w:t>
            </w:r>
            <w:r>
              <w:rPr>
                <w:spacing w:val="-4"/>
                <w:sz w:val="21"/>
              </w:rPr>
              <w:t>2024</w:t>
            </w:r>
          </w:p>
        </w:tc>
      </w:tr>
      <w:tr>
        <w:trPr>
          <w:trHeight w:val="3177" w:hRule="atLeast"/>
        </w:trPr>
        <w:tc>
          <w:tcPr>
            <w:tcW w:w="1896" w:type="dxa"/>
            <w:tcBorders>
              <w:top w:val="single" w:sz="4" w:space="0" w:color="FFFFFF"/>
              <w:bottom w:val="single" w:sz="4" w:space="0" w:color="FFFFFF"/>
            </w:tcBorders>
            <w:shd w:val="clear" w:color="auto" w:fill="F1F1F1"/>
          </w:tcPr>
          <w:p>
            <w:pPr>
              <w:pStyle w:val="TableParagraph"/>
              <w:spacing w:before="79"/>
              <w:ind w:left="215"/>
              <w:rPr>
                <w:sz w:val="21"/>
              </w:rPr>
            </w:pPr>
            <w:r>
              <w:rPr>
                <w:sz w:val="21"/>
              </w:rPr>
              <w:t>STS</w:t>
            </w:r>
            <w:r>
              <w:rPr>
                <w:spacing w:val="-4"/>
                <w:sz w:val="21"/>
              </w:rPr>
              <w:t> </w:t>
            </w:r>
            <w:r>
              <w:rPr>
                <w:sz w:val="21"/>
              </w:rPr>
              <w:t>round</w:t>
            </w:r>
            <w:r>
              <w:rPr>
                <w:spacing w:val="-3"/>
                <w:sz w:val="21"/>
              </w:rPr>
              <w:t> </w:t>
            </w:r>
            <w:r>
              <w:rPr>
                <w:spacing w:val="-10"/>
                <w:sz w:val="21"/>
              </w:rPr>
              <w:t>2</w:t>
            </w:r>
          </w:p>
          <w:p>
            <w:pPr>
              <w:pStyle w:val="TableParagraph"/>
              <w:spacing w:before="116"/>
              <w:ind w:left="215"/>
              <w:rPr>
                <w:sz w:val="21"/>
              </w:rPr>
            </w:pPr>
            <w:r>
              <w:rPr>
                <w:spacing w:val="-2"/>
                <w:sz w:val="21"/>
              </w:rPr>
              <w:t>Semester</w:t>
            </w:r>
            <w:r>
              <w:rPr>
                <w:spacing w:val="-11"/>
                <w:sz w:val="21"/>
              </w:rPr>
              <w:t> </w:t>
            </w:r>
            <w:r>
              <w:rPr>
                <w:spacing w:val="-2"/>
                <w:sz w:val="21"/>
              </w:rPr>
              <w:t>2</w:t>
            </w:r>
            <w:r>
              <w:rPr>
                <w:spacing w:val="-7"/>
                <w:sz w:val="21"/>
              </w:rPr>
              <w:t> </w:t>
            </w:r>
            <w:r>
              <w:rPr>
                <w:spacing w:val="-4"/>
                <w:sz w:val="21"/>
              </w:rPr>
              <w:t>2024</w:t>
            </w:r>
          </w:p>
        </w:tc>
        <w:tc>
          <w:tcPr>
            <w:tcW w:w="4889" w:type="dxa"/>
            <w:tcBorders>
              <w:top w:val="single" w:sz="4" w:space="0" w:color="FFFFFF"/>
              <w:bottom w:val="single" w:sz="4" w:space="0" w:color="FFFFFF"/>
              <w:right w:val="single" w:sz="4" w:space="0" w:color="FFFFFF"/>
            </w:tcBorders>
            <w:shd w:val="clear" w:color="auto" w:fill="F1F1F1"/>
          </w:tcPr>
          <w:p>
            <w:pPr>
              <w:pStyle w:val="TableParagraph"/>
              <w:spacing w:before="79"/>
              <w:ind w:left="218"/>
              <w:rPr>
                <w:b/>
                <w:i/>
                <w:sz w:val="21"/>
              </w:rPr>
            </w:pPr>
            <w:r>
              <w:rPr>
                <w:b/>
                <w:i/>
                <w:sz w:val="21"/>
              </w:rPr>
              <w:t>New</w:t>
            </w:r>
            <w:r>
              <w:rPr>
                <w:b/>
                <w:i/>
                <w:spacing w:val="-1"/>
                <w:sz w:val="21"/>
              </w:rPr>
              <w:t> </w:t>
            </w:r>
            <w:r>
              <w:rPr>
                <w:b/>
                <w:i/>
                <w:spacing w:val="-2"/>
                <w:sz w:val="21"/>
              </w:rPr>
              <w:t>applicants</w:t>
            </w:r>
          </w:p>
          <w:p>
            <w:pPr>
              <w:pStyle w:val="TableParagraph"/>
              <w:spacing w:line="276" w:lineRule="auto" w:before="156"/>
              <w:ind w:left="218"/>
              <w:rPr>
                <w:sz w:val="21"/>
              </w:rPr>
            </w:pPr>
            <w:r>
              <w:rPr>
                <w:sz w:val="21"/>
              </w:rPr>
              <w:t>Students</w:t>
            </w:r>
            <w:r>
              <w:rPr>
                <w:spacing w:val="-11"/>
                <w:sz w:val="21"/>
              </w:rPr>
              <w:t> </w:t>
            </w:r>
            <w:r>
              <w:rPr>
                <w:sz w:val="21"/>
              </w:rPr>
              <w:t>commencing</w:t>
            </w:r>
            <w:r>
              <w:rPr>
                <w:spacing w:val="-11"/>
                <w:sz w:val="21"/>
              </w:rPr>
              <w:t> </w:t>
            </w:r>
            <w:r>
              <w:rPr>
                <w:sz w:val="21"/>
              </w:rPr>
              <w:t>eligible</w:t>
            </w:r>
            <w:r>
              <w:rPr>
                <w:spacing w:val="-11"/>
                <w:sz w:val="21"/>
              </w:rPr>
              <w:t> </w:t>
            </w:r>
            <w:r>
              <w:rPr>
                <w:sz w:val="21"/>
              </w:rPr>
              <w:t>ITE</w:t>
            </w:r>
            <w:r>
              <w:rPr>
                <w:spacing w:val="-10"/>
                <w:sz w:val="21"/>
              </w:rPr>
              <w:t> </w:t>
            </w:r>
            <w:r>
              <w:rPr>
                <w:sz w:val="21"/>
              </w:rPr>
              <w:t>degrees</w:t>
            </w:r>
            <w:r>
              <w:rPr>
                <w:spacing w:val="-12"/>
                <w:sz w:val="21"/>
              </w:rPr>
              <w:t> </w:t>
            </w:r>
            <w:r>
              <w:rPr>
                <w:sz w:val="21"/>
              </w:rPr>
              <w:t>with</w:t>
            </w:r>
            <w:r>
              <w:rPr>
                <w:spacing w:val="-13"/>
                <w:sz w:val="21"/>
              </w:rPr>
              <w:t> </w:t>
            </w:r>
            <w:r>
              <w:rPr>
                <w:sz w:val="21"/>
              </w:rPr>
              <w:t>a census</w:t>
            </w:r>
            <w:r>
              <w:rPr>
                <w:spacing w:val="-8"/>
                <w:sz w:val="21"/>
              </w:rPr>
              <w:t> </w:t>
            </w:r>
            <w:r>
              <w:rPr>
                <w:sz w:val="21"/>
              </w:rPr>
              <w:t>date</w:t>
            </w:r>
            <w:r>
              <w:rPr>
                <w:spacing w:val="-5"/>
                <w:sz w:val="21"/>
              </w:rPr>
              <w:t> </w:t>
            </w:r>
            <w:r>
              <w:rPr>
                <w:sz w:val="21"/>
              </w:rPr>
              <w:t>between</w:t>
            </w:r>
            <w:r>
              <w:rPr>
                <w:spacing w:val="-5"/>
                <w:sz w:val="21"/>
              </w:rPr>
              <w:t> </w:t>
            </w:r>
            <w:r>
              <w:rPr>
                <w:sz w:val="21"/>
              </w:rPr>
              <w:t>1</w:t>
            </w:r>
            <w:r>
              <w:rPr>
                <w:spacing w:val="-4"/>
                <w:sz w:val="21"/>
              </w:rPr>
              <w:t> </w:t>
            </w:r>
            <w:r>
              <w:rPr>
                <w:sz w:val="21"/>
              </w:rPr>
              <w:t>April</w:t>
            </w:r>
            <w:r>
              <w:rPr>
                <w:spacing w:val="-5"/>
                <w:sz w:val="21"/>
              </w:rPr>
              <w:t> </w:t>
            </w:r>
            <w:r>
              <w:rPr>
                <w:sz w:val="21"/>
              </w:rPr>
              <w:t>2024</w:t>
            </w:r>
            <w:r>
              <w:rPr>
                <w:spacing w:val="-5"/>
                <w:sz w:val="21"/>
              </w:rPr>
              <w:t> </w:t>
            </w:r>
            <w:r>
              <w:rPr>
                <w:sz w:val="21"/>
              </w:rPr>
              <w:t>and</w:t>
            </w:r>
            <w:r>
              <w:rPr>
                <w:spacing w:val="-5"/>
                <w:sz w:val="21"/>
              </w:rPr>
              <w:t> </w:t>
            </w:r>
            <w:r>
              <w:rPr>
                <w:sz w:val="21"/>
              </w:rPr>
              <w:t>31</w:t>
            </w:r>
            <w:r>
              <w:rPr>
                <w:spacing w:val="-4"/>
                <w:sz w:val="21"/>
              </w:rPr>
              <w:t> </w:t>
            </w:r>
            <w:r>
              <w:rPr>
                <w:spacing w:val="-2"/>
                <w:sz w:val="21"/>
              </w:rPr>
              <w:t>August</w:t>
            </w:r>
          </w:p>
          <w:p>
            <w:pPr>
              <w:pStyle w:val="TableParagraph"/>
              <w:spacing w:line="240" w:lineRule="exact" w:before="0"/>
              <w:ind w:left="218"/>
              <w:rPr>
                <w:sz w:val="21"/>
              </w:rPr>
            </w:pPr>
            <w:r>
              <w:rPr>
                <w:spacing w:val="-4"/>
                <w:sz w:val="21"/>
              </w:rPr>
              <w:t>2024</w:t>
            </w:r>
          </w:p>
          <w:p>
            <w:pPr>
              <w:pStyle w:val="TableParagraph"/>
              <w:spacing w:before="157"/>
              <w:ind w:left="218"/>
              <w:rPr>
                <w:b/>
                <w:i/>
                <w:sz w:val="21"/>
              </w:rPr>
            </w:pPr>
            <w:r>
              <w:rPr>
                <w:b/>
                <w:i/>
                <w:sz w:val="21"/>
              </w:rPr>
              <w:t>STS</w:t>
            </w:r>
            <w:r>
              <w:rPr>
                <w:b/>
                <w:i/>
                <w:spacing w:val="-8"/>
                <w:sz w:val="21"/>
              </w:rPr>
              <w:t> </w:t>
            </w:r>
            <w:r>
              <w:rPr>
                <w:b/>
                <w:i/>
                <w:sz w:val="21"/>
              </w:rPr>
              <w:t>recipients</w:t>
            </w:r>
            <w:r>
              <w:rPr>
                <w:b/>
                <w:i/>
                <w:spacing w:val="-6"/>
                <w:sz w:val="21"/>
              </w:rPr>
              <w:t> </w:t>
            </w:r>
            <w:r>
              <w:rPr>
                <w:b/>
                <w:i/>
                <w:sz w:val="21"/>
              </w:rPr>
              <w:t>from</w:t>
            </w:r>
            <w:r>
              <w:rPr>
                <w:b/>
                <w:i/>
                <w:spacing w:val="-6"/>
                <w:sz w:val="21"/>
              </w:rPr>
              <w:t> </w:t>
            </w:r>
            <w:r>
              <w:rPr>
                <w:b/>
                <w:i/>
                <w:sz w:val="21"/>
              </w:rPr>
              <w:t>round</w:t>
            </w:r>
            <w:r>
              <w:rPr>
                <w:b/>
                <w:i/>
                <w:spacing w:val="-5"/>
                <w:sz w:val="21"/>
              </w:rPr>
              <w:t> </w:t>
            </w:r>
            <w:r>
              <w:rPr>
                <w:b/>
                <w:i/>
                <w:spacing w:val="-10"/>
                <w:sz w:val="21"/>
              </w:rPr>
              <w:t>1</w:t>
            </w:r>
          </w:p>
          <w:p>
            <w:pPr>
              <w:pStyle w:val="TableParagraph"/>
              <w:spacing w:line="276" w:lineRule="auto" w:before="157"/>
              <w:ind w:left="218" w:right="88"/>
              <w:jc w:val="both"/>
              <w:rPr>
                <w:sz w:val="21"/>
              </w:rPr>
            </w:pPr>
            <w:r>
              <w:rPr>
                <w:sz w:val="21"/>
              </w:rPr>
              <w:t>Successful STS recipients from round 1 will continue</w:t>
            </w:r>
            <w:r>
              <w:rPr>
                <w:spacing w:val="-7"/>
                <w:sz w:val="21"/>
              </w:rPr>
              <w:t> </w:t>
            </w:r>
            <w:r>
              <w:rPr>
                <w:sz w:val="21"/>
              </w:rPr>
              <w:t>to</w:t>
            </w:r>
            <w:r>
              <w:rPr>
                <w:spacing w:val="-7"/>
                <w:sz w:val="21"/>
              </w:rPr>
              <w:t> </w:t>
            </w:r>
            <w:r>
              <w:rPr>
                <w:sz w:val="21"/>
              </w:rPr>
              <w:t>receive</w:t>
            </w:r>
            <w:r>
              <w:rPr>
                <w:spacing w:val="-7"/>
                <w:sz w:val="21"/>
              </w:rPr>
              <w:t> </w:t>
            </w:r>
            <w:r>
              <w:rPr>
                <w:sz w:val="21"/>
              </w:rPr>
              <w:t>payment</w:t>
            </w:r>
            <w:r>
              <w:rPr>
                <w:spacing w:val="-8"/>
                <w:sz w:val="21"/>
              </w:rPr>
              <w:t> </w:t>
            </w:r>
            <w:r>
              <w:rPr>
                <w:sz w:val="21"/>
              </w:rPr>
              <w:t>following</w:t>
            </w:r>
            <w:r>
              <w:rPr>
                <w:spacing w:val="-7"/>
                <w:sz w:val="21"/>
              </w:rPr>
              <w:t> </w:t>
            </w:r>
            <w:r>
              <w:rPr>
                <w:sz w:val="21"/>
              </w:rPr>
              <w:t>verification of their continued ITE degrees enrolment.</w:t>
            </w:r>
          </w:p>
        </w:tc>
        <w:tc>
          <w:tcPr>
            <w:tcW w:w="2575" w:type="dxa"/>
            <w:tcBorders>
              <w:top w:val="single" w:sz="4" w:space="0" w:color="FFFFFF"/>
              <w:left w:val="single" w:sz="4" w:space="0" w:color="FFFFFF"/>
              <w:bottom w:val="single" w:sz="4" w:space="0" w:color="FFFFFF"/>
            </w:tcBorders>
            <w:shd w:val="clear" w:color="auto" w:fill="F1F1F1"/>
          </w:tcPr>
          <w:p>
            <w:pPr>
              <w:pStyle w:val="TableParagraph"/>
              <w:spacing w:before="59"/>
              <w:ind w:left="220"/>
              <w:rPr>
                <w:b/>
                <w:sz w:val="21"/>
              </w:rPr>
            </w:pPr>
            <w:r>
              <w:rPr>
                <w:b/>
                <w:sz w:val="21"/>
              </w:rPr>
              <w:t>Application</w:t>
            </w:r>
            <w:r>
              <w:rPr>
                <w:b/>
                <w:spacing w:val="-11"/>
                <w:sz w:val="21"/>
              </w:rPr>
              <w:t> </w:t>
            </w:r>
            <w:r>
              <w:rPr>
                <w:b/>
                <w:spacing w:val="-2"/>
                <w:sz w:val="21"/>
              </w:rPr>
              <w:t>period</w:t>
            </w:r>
          </w:p>
          <w:p>
            <w:pPr>
              <w:pStyle w:val="TableParagraph"/>
              <w:numPr>
                <w:ilvl w:val="0"/>
                <w:numId w:val="7"/>
              </w:numPr>
              <w:tabs>
                <w:tab w:pos="827" w:val="left" w:leader="none"/>
              </w:tabs>
              <w:spacing w:line="240" w:lineRule="auto" w:before="95" w:after="0"/>
              <w:ind w:left="827" w:right="0" w:hanging="360"/>
              <w:jc w:val="left"/>
              <w:rPr>
                <w:sz w:val="21"/>
              </w:rPr>
            </w:pPr>
            <w:r>
              <w:rPr>
                <w:sz w:val="21"/>
              </w:rPr>
              <w:t>Aug</w:t>
            </w:r>
            <w:r>
              <w:rPr>
                <w:spacing w:val="-3"/>
                <w:sz w:val="21"/>
              </w:rPr>
              <w:t> </w:t>
            </w:r>
            <w:r>
              <w:rPr>
                <w:sz w:val="21"/>
              </w:rPr>
              <w:t>–</w:t>
            </w:r>
            <w:r>
              <w:rPr>
                <w:spacing w:val="-4"/>
                <w:sz w:val="21"/>
              </w:rPr>
              <w:t> </w:t>
            </w:r>
            <w:r>
              <w:rPr>
                <w:sz w:val="21"/>
              </w:rPr>
              <w:t>Sep</w:t>
            </w:r>
            <w:r>
              <w:rPr>
                <w:spacing w:val="-1"/>
                <w:sz w:val="21"/>
              </w:rPr>
              <w:t> </w:t>
            </w:r>
            <w:r>
              <w:rPr>
                <w:spacing w:val="-4"/>
                <w:sz w:val="21"/>
              </w:rPr>
              <w:t>2024</w:t>
            </w:r>
          </w:p>
          <w:p>
            <w:pPr>
              <w:pStyle w:val="TableParagraph"/>
              <w:spacing w:before="192"/>
              <w:ind w:left="0"/>
              <w:rPr>
                <w:b/>
                <w:sz w:val="21"/>
              </w:rPr>
            </w:pPr>
          </w:p>
          <w:p>
            <w:pPr>
              <w:pStyle w:val="TableParagraph"/>
              <w:spacing w:line="276" w:lineRule="auto" w:before="0"/>
              <w:ind w:left="220" w:right="94"/>
              <w:rPr>
                <w:i/>
                <w:sz w:val="21"/>
              </w:rPr>
            </w:pPr>
            <w:r>
              <w:rPr>
                <w:i/>
                <w:sz w:val="21"/>
              </w:rPr>
              <w:t>Timetables for</w:t>
            </w:r>
            <w:r>
              <w:rPr>
                <w:i/>
                <w:sz w:val="21"/>
              </w:rPr>
              <w:t> application,</w:t>
            </w:r>
            <w:r>
              <w:rPr>
                <w:i/>
                <w:spacing w:val="-15"/>
                <w:sz w:val="21"/>
              </w:rPr>
              <w:t> </w:t>
            </w:r>
            <w:r>
              <w:rPr>
                <w:i/>
                <w:sz w:val="21"/>
              </w:rPr>
              <w:t>assessment and outcome periods will be published on the </w:t>
            </w:r>
            <w:hyperlink r:id="rId9">
              <w:r>
                <w:rPr>
                  <w:i/>
                  <w:color w:val="467885"/>
                  <w:sz w:val="21"/>
                  <w:u w:val="single" w:color="467885"/>
                </w:rPr>
                <w:t>STS website</w:t>
              </w:r>
            </w:hyperlink>
            <w:r>
              <w:rPr>
                <w:i/>
                <w:color w:val="467885"/>
                <w:sz w:val="21"/>
                <w:u w:val="none"/>
              </w:rPr>
              <w:t> </w:t>
            </w:r>
            <w:r>
              <w:rPr>
                <w:i/>
                <w:sz w:val="21"/>
                <w:u w:val="none"/>
              </w:rPr>
              <w:t>prior to each round</w:t>
            </w:r>
          </w:p>
        </w:tc>
      </w:tr>
      <w:tr>
        <w:trPr>
          <w:trHeight w:val="3736" w:hRule="atLeast"/>
        </w:trPr>
        <w:tc>
          <w:tcPr>
            <w:tcW w:w="1896" w:type="dxa"/>
            <w:tcBorders>
              <w:top w:val="single" w:sz="4" w:space="0" w:color="FFFFFF"/>
              <w:bottom w:val="single" w:sz="4" w:space="0" w:color="FFFFFF"/>
            </w:tcBorders>
            <w:shd w:val="clear" w:color="auto" w:fill="F1F1F1"/>
          </w:tcPr>
          <w:p>
            <w:pPr>
              <w:pStyle w:val="TableParagraph"/>
              <w:spacing w:before="81"/>
              <w:ind w:left="215"/>
              <w:rPr>
                <w:sz w:val="21"/>
              </w:rPr>
            </w:pPr>
            <w:r>
              <w:rPr>
                <w:sz w:val="21"/>
              </w:rPr>
              <w:t>STS</w:t>
            </w:r>
            <w:r>
              <w:rPr>
                <w:spacing w:val="-4"/>
                <w:sz w:val="21"/>
              </w:rPr>
              <w:t> </w:t>
            </w:r>
            <w:r>
              <w:rPr>
                <w:sz w:val="21"/>
              </w:rPr>
              <w:t>round</w:t>
            </w:r>
            <w:r>
              <w:rPr>
                <w:spacing w:val="-3"/>
                <w:sz w:val="21"/>
              </w:rPr>
              <w:t> </w:t>
            </w:r>
            <w:r>
              <w:rPr>
                <w:spacing w:val="-10"/>
                <w:sz w:val="21"/>
              </w:rPr>
              <w:t>3</w:t>
            </w:r>
          </w:p>
          <w:p>
            <w:pPr>
              <w:pStyle w:val="TableParagraph"/>
              <w:spacing w:before="116"/>
              <w:ind w:left="215"/>
              <w:rPr>
                <w:sz w:val="21"/>
              </w:rPr>
            </w:pPr>
            <w:r>
              <w:rPr>
                <w:spacing w:val="-2"/>
                <w:sz w:val="21"/>
              </w:rPr>
              <w:t>Semester</w:t>
            </w:r>
            <w:r>
              <w:rPr>
                <w:spacing w:val="-11"/>
                <w:sz w:val="21"/>
              </w:rPr>
              <w:t> </w:t>
            </w:r>
            <w:r>
              <w:rPr>
                <w:spacing w:val="-2"/>
                <w:sz w:val="21"/>
              </w:rPr>
              <w:t>1</w:t>
            </w:r>
            <w:r>
              <w:rPr>
                <w:spacing w:val="-7"/>
                <w:sz w:val="21"/>
              </w:rPr>
              <w:t> </w:t>
            </w:r>
            <w:r>
              <w:rPr>
                <w:spacing w:val="-4"/>
                <w:sz w:val="21"/>
              </w:rPr>
              <w:t>2025</w:t>
            </w:r>
          </w:p>
        </w:tc>
        <w:tc>
          <w:tcPr>
            <w:tcW w:w="4889" w:type="dxa"/>
            <w:tcBorders>
              <w:top w:val="single" w:sz="4" w:space="0" w:color="FFFFFF"/>
              <w:bottom w:val="single" w:sz="4" w:space="0" w:color="FFFFFF"/>
              <w:right w:val="single" w:sz="4" w:space="0" w:color="FFFFFF"/>
            </w:tcBorders>
            <w:shd w:val="clear" w:color="auto" w:fill="F1F1F1"/>
          </w:tcPr>
          <w:p>
            <w:pPr>
              <w:pStyle w:val="TableParagraph"/>
              <w:spacing w:before="81"/>
              <w:ind w:left="218"/>
              <w:rPr>
                <w:b/>
                <w:i/>
                <w:sz w:val="21"/>
              </w:rPr>
            </w:pPr>
            <w:r>
              <w:rPr>
                <w:b/>
                <w:i/>
                <w:sz w:val="21"/>
              </w:rPr>
              <w:t>New</w:t>
            </w:r>
            <w:r>
              <w:rPr>
                <w:b/>
                <w:i/>
                <w:spacing w:val="-1"/>
                <w:sz w:val="21"/>
              </w:rPr>
              <w:t> </w:t>
            </w:r>
            <w:r>
              <w:rPr>
                <w:b/>
                <w:i/>
                <w:spacing w:val="-2"/>
                <w:sz w:val="21"/>
              </w:rPr>
              <w:t>applicants</w:t>
            </w:r>
          </w:p>
          <w:p>
            <w:pPr>
              <w:pStyle w:val="TableParagraph"/>
              <w:spacing w:line="273" w:lineRule="auto" w:before="157"/>
              <w:ind w:left="218" w:right="88"/>
              <w:jc w:val="both"/>
              <w:rPr>
                <w:sz w:val="21"/>
              </w:rPr>
            </w:pPr>
            <w:r>
              <w:rPr>
                <w:sz w:val="21"/>
              </w:rPr>
              <w:t>Students</w:t>
            </w:r>
            <w:r>
              <w:rPr>
                <w:spacing w:val="-12"/>
                <w:sz w:val="21"/>
              </w:rPr>
              <w:t> </w:t>
            </w:r>
            <w:r>
              <w:rPr>
                <w:sz w:val="21"/>
              </w:rPr>
              <w:t>commencing</w:t>
            </w:r>
            <w:r>
              <w:rPr>
                <w:spacing w:val="-12"/>
                <w:sz w:val="21"/>
              </w:rPr>
              <w:t> </w:t>
            </w:r>
            <w:r>
              <w:rPr>
                <w:sz w:val="21"/>
              </w:rPr>
              <w:t>eligible</w:t>
            </w:r>
            <w:r>
              <w:rPr>
                <w:spacing w:val="-12"/>
                <w:sz w:val="21"/>
              </w:rPr>
              <w:t> </w:t>
            </w:r>
            <w:r>
              <w:rPr>
                <w:sz w:val="21"/>
              </w:rPr>
              <w:t>ITE</w:t>
            </w:r>
            <w:r>
              <w:rPr>
                <w:spacing w:val="-11"/>
                <w:sz w:val="21"/>
              </w:rPr>
              <w:t> </w:t>
            </w:r>
            <w:r>
              <w:rPr>
                <w:sz w:val="21"/>
              </w:rPr>
              <w:t>degrees</w:t>
            </w:r>
            <w:r>
              <w:rPr>
                <w:spacing w:val="-13"/>
                <w:sz w:val="21"/>
              </w:rPr>
              <w:t> </w:t>
            </w:r>
            <w:r>
              <w:rPr>
                <w:sz w:val="21"/>
              </w:rPr>
              <w:t>with</w:t>
            </w:r>
            <w:r>
              <w:rPr>
                <w:spacing w:val="-13"/>
                <w:sz w:val="21"/>
              </w:rPr>
              <w:t> </w:t>
            </w:r>
            <w:r>
              <w:rPr>
                <w:sz w:val="21"/>
              </w:rPr>
              <w:t>a census</w:t>
            </w:r>
            <w:r>
              <w:rPr>
                <w:spacing w:val="9"/>
                <w:sz w:val="21"/>
              </w:rPr>
              <w:t> </w:t>
            </w:r>
            <w:r>
              <w:rPr>
                <w:sz w:val="21"/>
              </w:rPr>
              <w:t>date</w:t>
            </w:r>
            <w:r>
              <w:rPr>
                <w:spacing w:val="9"/>
                <w:sz w:val="21"/>
              </w:rPr>
              <w:t> </w:t>
            </w:r>
            <w:r>
              <w:rPr>
                <w:sz w:val="21"/>
              </w:rPr>
              <w:t>between</w:t>
            </w:r>
            <w:r>
              <w:rPr>
                <w:spacing w:val="9"/>
                <w:sz w:val="21"/>
              </w:rPr>
              <w:t> </w:t>
            </w:r>
            <w:r>
              <w:rPr>
                <w:sz w:val="21"/>
              </w:rPr>
              <w:t>1</w:t>
            </w:r>
            <w:r>
              <w:rPr>
                <w:spacing w:val="8"/>
                <w:sz w:val="21"/>
              </w:rPr>
              <w:t> </w:t>
            </w:r>
            <w:r>
              <w:rPr>
                <w:sz w:val="21"/>
              </w:rPr>
              <w:t>September</w:t>
            </w:r>
            <w:r>
              <w:rPr>
                <w:spacing w:val="6"/>
                <w:sz w:val="21"/>
              </w:rPr>
              <w:t> </w:t>
            </w:r>
            <w:r>
              <w:rPr>
                <w:sz w:val="21"/>
              </w:rPr>
              <w:t>2024</w:t>
            </w:r>
            <w:r>
              <w:rPr>
                <w:spacing w:val="9"/>
                <w:sz w:val="21"/>
              </w:rPr>
              <w:t> </w:t>
            </w:r>
            <w:r>
              <w:rPr>
                <w:sz w:val="21"/>
              </w:rPr>
              <w:t>and</w:t>
            </w:r>
            <w:r>
              <w:rPr>
                <w:spacing w:val="10"/>
                <w:sz w:val="21"/>
              </w:rPr>
              <w:t> </w:t>
            </w:r>
            <w:r>
              <w:rPr>
                <w:spacing w:val="-5"/>
                <w:sz w:val="21"/>
              </w:rPr>
              <w:t>31</w:t>
            </w:r>
          </w:p>
          <w:p>
            <w:pPr>
              <w:pStyle w:val="TableParagraph"/>
              <w:spacing w:before="4"/>
              <w:ind w:left="218"/>
              <w:rPr>
                <w:sz w:val="21"/>
              </w:rPr>
            </w:pPr>
            <w:r>
              <w:rPr>
                <w:sz w:val="21"/>
              </w:rPr>
              <w:t>March</w:t>
            </w:r>
            <w:r>
              <w:rPr>
                <w:spacing w:val="-3"/>
                <w:sz w:val="21"/>
              </w:rPr>
              <w:t> </w:t>
            </w:r>
            <w:r>
              <w:rPr>
                <w:spacing w:val="-4"/>
                <w:sz w:val="21"/>
              </w:rPr>
              <w:t>2025</w:t>
            </w:r>
          </w:p>
          <w:p>
            <w:pPr>
              <w:pStyle w:val="TableParagraph"/>
              <w:spacing w:before="157"/>
              <w:ind w:left="218"/>
              <w:rPr>
                <w:b/>
                <w:i/>
                <w:sz w:val="21"/>
              </w:rPr>
            </w:pPr>
            <w:r>
              <w:rPr>
                <w:b/>
                <w:i/>
                <w:sz w:val="21"/>
              </w:rPr>
              <w:t>STS</w:t>
            </w:r>
            <w:r>
              <w:rPr>
                <w:b/>
                <w:i/>
                <w:spacing w:val="-5"/>
                <w:sz w:val="21"/>
              </w:rPr>
              <w:t> </w:t>
            </w:r>
            <w:r>
              <w:rPr>
                <w:b/>
                <w:i/>
                <w:sz w:val="21"/>
              </w:rPr>
              <w:t>recipients</w:t>
            </w:r>
            <w:r>
              <w:rPr>
                <w:b/>
                <w:i/>
                <w:spacing w:val="-4"/>
                <w:sz w:val="21"/>
              </w:rPr>
              <w:t> </w:t>
            </w:r>
            <w:r>
              <w:rPr>
                <w:b/>
                <w:i/>
                <w:sz w:val="21"/>
              </w:rPr>
              <w:t>from</w:t>
            </w:r>
            <w:r>
              <w:rPr>
                <w:b/>
                <w:i/>
                <w:spacing w:val="-5"/>
                <w:sz w:val="21"/>
              </w:rPr>
              <w:t> </w:t>
            </w:r>
            <w:r>
              <w:rPr>
                <w:b/>
                <w:i/>
                <w:sz w:val="21"/>
              </w:rPr>
              <w:t>rounds</w:t>
            </w:r>
            <w:r>
              <w:rPr>
                <w:b/>
                <w:i/>
                <w:spacing w:val="-4"/>
                <w:sz w:val="21"/>
              </w:rPr>
              <w:t> </w:t>
            </w:r>
            <w:r>
              <w:rPr>
                <w:b/>
                <w:i/>
                <w:sz w:val="21"/>
              </w:rPr>
              <w:t>1</w:t>
            </w:r>
            <w:r>
              <w:rPr>
                <w:b/>
                <w:i/>
                <w:spacing w:val="-6"/>
                <w:sz w:val="21"/>
              </w:rPr>
              <w:t> </w:t>
            </w:r>
            <w:r>
              <w:rPr>
                <w:b/>
                <w:i/>
                <w:sz w:val="21"/>
              </w:rPr>
              <w:t>&amp;</w:t>
            </w:r>
            <w:r>
              <w:rPr>
                <w:b/>
                <w:i/>
                <w:spacing w:val="-3"/>
                <w:sz w:val="21"/>
              </w:rPr>
              <w:t> </w:t>
            </w:r>
            <w:r>
              <w:rPr>
                <w:b/>
                <w:i/>
                <w:spacing w:val="-10"/>
                <w:sz w:val="21"/>
              </w:rPr>
              <w:t>2</w:t>
            </w:r>
          </w:p>
          <w:p>
            <w:pPr>
              <w:pStyle w:val="TableParagraph"/>
              <w:spacing w:line="276" w:lineRule="auto" w:before="157"/>
              <w:ind w:left="218" w:right="87"/>
              <w:jc w:val="both"/>
              <w:rPr>
                <w:sz w:val="21"/>
              </w:rPr>
            </w:pPr>
            <w:r>
              <w:rPr>
                <w:sz w:val="21"/>
              </w:rPr>
              <w:t>Successful STS recipients from rounds 1 &amp; 2 will receive payment following verification of their continued ITE degree enrolment. There is no need for STS recipients to resubmit their </w:t>
            </w:r>
            <w:r>
              <w:rPr>
                <w:spacing w:val="-2"/>
                <w:sz w:val="21"/>
              </w:rPr>
              <w:t>application</w:t>
            </w:r>
          </w:p>
        </w:tc>
        <w:tc>
          <w:tcPr>
            <w:tcW w:w="2575" w:type="dxa"/>
            <w:tcBorders>
              <w:top w:val="single" w:sz="4" w:space="0" w:color="FFFFFF"/>
              <w:left w:val="single" w:sz="4" w:space="0" w:color="FFFFFF"/>
              <w:bottom w:val="single" w:sz="4" w:space="0" w:color="FFFFFF"/>
            </w:tcBorders>
            <w:shd w:val="clear" w:color="auto" w:fill="F1F1F1"/>
          </w:tcPr>
          <w:p>
            <w:pPr>
              <w:pStyle w:val="TableParagraph"/>
              <w:spacing w:before="62"/>
              <w:ind w:left="220"/>
              <w:rPr>
                <w:b/>
                <w:sz w:val="21"/>
              </w:rPr>
            </w:pPr>
            <w:r>
              <w:rPr>
                <w:b/>
                <w:sz w:val="21"/>
              </w:rPr>
              <w:t>Application</w:t>
            </w:r>
            <w:r>
              <w:rPr>
                <w:b/>
                <w:spacing w:val="-11"/>
                <w:sz w:val="21"/>
              </w:rPr>
              <w:t> </w:t>
            </w:r>
            <w:r>
              <w:rPr>
                <w:b/>
                <w:spacing w:val="-2"/>
                <w:sz w:val="21"/>
              </w:rPr>
              <w:t>period</w:t>
            </w:r>
          </w:p>
          <w:p>
            <w:pPr>
              <w:pStyle w:val="TableParagraph"/>
              <w:numPr>
                <w:ilvl w:val="0"/>
                <w:numId w:val="8"/>
              </w:numPr>
              <w:tabs>
                <w:tab w:pos="827" w:val="left" w:leader="none"/>
              </w:tabs>
              <w:spacing w:line="240" w:lineRule="auto" w:before="94" w:after="0"/>
              <w:ind w:left="827" w:right="0" w:hanging="360"/>
              <w:jc w:val="left"/>
              <w:rPr>
                <w:sz w:val="21"/>
              </w:rPr>
            </w:pPr>
            <w:r>
              <w:rPr>
                <w:sz w:val="21"/>
              </w:rPr>
              <w:t>Feb</w:t>
            </w:r>
            <w:r>
              <w:rPr>
                <w:spacing w:val="-2"/>
                <w:sz w:val="21"/>
              </w:rPr>
              <w:t> </w:t>
            </w:r>
            <w:r>
              <w:rPr>
                <w:sz w:val="21"/>
              </w:rPr>
              <w:t>–</w:t>
            </w:r>
            <w:r>
              <w:rPr>
                <w:spacing w:val="-1"/>
                <w:sz w:val="21"/>
              </w:rPr>
              <w:t> </w:t>
            </w:r>
            <w:r>
              <w:rPr>
                <w:sz w:val="21"/>
              </w:rPr>
              <w:t>Mar</w:t>
            </w:r>
            <w:r>
              <w:rPr>
                <w:spacing w:val="-2"/>
                <w:sz w:val="21"/>
              </w:rPr>
              <w:t> </w:t>
            </w:r>
            <w:r>
              <w:rPr>
                <w:spacing w:val="-4"/>
                <w:sz w:val="21"/>
              </w:rPr>
              <w:t>2025</w:t>
            </w:r>
          </w:p>
          <w:p>
            <w:pPr>
              <w:pStyle w:val="TableParagraph"/>
              <w:spacing w:before="193"/>
              <w:ind w:left="0"/>
              <w:rPr>
                <w:b/>
                <w:sz w:val="21"/>
              </w:rPr>
            </w:pPr>
          </w:p>
          <w:p>
            <w:pPr>
              <w:pStyle w:val="TableParagraph"/>
              <w:spacing w:line="276" w:lineRule="auto" w:before="0"/>
              <w:ind w:left="220" w:right="94"/>
              <w:rPr>
                <w:i/>
                <w:sz w:val="21"/>
              </w:rPr>
            </w:pPr>
            <w:r>
              <w:rPr>
                <w:i/>
                <w:sz w:val="21"/>
              </w:rPr>
              <w:t>Timetables for</w:t>
            </w:r>
            <w:r>
              <w:rPr>
                <w:i/>
                <w:sz w:val="21"/>
              </w:rPr>
              <w:t> application,</w:t>
            </w:r>
            <w:r>
              <w:rPr>
                <w:i/>
                <w:spacing w:val="-15"/>
                <w:sz w:val="21"/>
              </w:rPr>
              <w:t> </w:t>
            </w:r>
            <w:r>
              <w:rPr>
                <w:i/>
                <w:sz w:val="21"/>
              </w:rPr>
              <w:t>assessment and outcome periods will be published on the </w:t>
            </w:r>
            <w:hyperlink r:id="rId9">
              <w:r>
                <w:rPr>
                  <w:i/>
                  <w:color w:val="467885"/>
                  <w:sz w:val="21"/>
                  <w:u w:val="single" w:color="467885"/>
                </w:rPr>
                <w:t>STS website</w:t>
              </w:r>
            </w:hyperlink>
            <w:r>
              <w:rPr>
                <w:i/>
                <w:color w:val="467885"/>
                <w:sz w:val="21"/>
                <w:u w:val="none"/>
              </w:rPr>
              <w:t> </w:t>
            </w:r>
            <w:r>
              <w:rPr>
                <w:i/>
                <w:sz w:val="21"/>
                <w:u w:val="none"/>
              </w:rPr>
              <w:t>prior to each round</w:t>
            </w:r>
          </w:p>
        </w:tc>
      </w:tr>
    </w:tbl>
    <w:p>
      <w:pPr>
        <w:spacing w:after="0" w:line="276" w:lineRule="auto"/>
        <w:rPr>
          <w:sz w:val="21"/>
        </w:rPr>
        <w:sectPr>
          <w:pgSz w:w="11910" w:h="16840"/>
          <w:pgMar w:header="0" w:footer="765" w:top="1900" w:bottom="960" w:left="1320" w:right="620"/>
        </w:sectPr>
      </w:pPr>
    </w:p>
    <w:p>
      <w:pPr>
        <w:pStyle w:val="BodyText"/>
        <w:rPr>
          <w:b/>
          <w:sz w:val="7"/>
        </w:rPr>
      </w:pPr>
    </w:p>
    <w:tbl>
      <w:tblPr>
        <w:tblW w:w="0" w:type="auto"/>
        <w:jc w:val="left"/>
        <w:tblInd w:w="2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1896"/>
        <w:gridCol w:w="4889"/>
        <w:gridCol w:w="2575"/>
      </w:tblGrid>
      <w:tr>
        <w:trPr>
          <w:trHeight w:val="3734" w:hRule="atLeast"/>
        </w:trPr>
        <w:tc>
          <w:tcPr>
            <w:tcW w:w="1896" w:type="dxa"/>
            <w:tcBorders>
              <w:left w:val="single" w:sz="6" w:space="0" w:color="FFFFFF"/>
              <w:right w:val="single" w:sz="6" w:space="0" w:color="FFFFFF"/>
            </w:tcBorders>
            <w:shd w:val="clear" w:color="auto" w:fill="F1F1F1"/>
          </w:tcPr>
          <w:p>
            <w:pPr>
              <w:pStyle w:val="TableParagraph"/>
              <w:spacing w:before="79"/>
              <w:ind w:left="215"/>
              <w:rPr>
                <w:sz w:val="21"/>
              </w:rPr>
            </w:pPr>
            <w:r>
              <w:rPr>
                <w:sz w:val="21"/>
              </w:rPr>
              <w:t>STS</w:t>
            </w:r>
            <w:r>
              <w:rPr>
                <w:spacing w:val="-4"/>
                <w:sz w:val="21"/>
              </w:rPr>
              <w:t> </w:t>
            </w:r>
            <w:r>
              <w:rPr>
                <w:sz w:val="21"/>
              </w:rPr>
              <w:t>round</w:t>
            </w:r>
            <w:r>
              <w:rPr>
                <w:spacing w:val="-3"/>
                <w:sz w:val="21"/>
              </w:rPr>
              <w:t> </w:t>
            </w:r>
            <w:r>
              <w:rPr>
                <w:spacing w:val="-10"/>
                <w:sz w:val="21"/>
              </w:rPr>
              <w:t>4</w:t>
            </w:r>
          </w:p>
          <w:p>
            <w:pPr>
              <w:pStyle w:val="TableParagraph"/>
              <w:spacing w:before="116"/>
              <w:ind w:left="215"/>
              <w:rPr>
                <w:sz w:val="21"/>
              </w:rPr>
            </w:pPr>
            <w:r>
              <w:rPr>
                <w:spacing w:val="-2"/>
                <w:sz w:val="21"/>
              </w:rPr>
              <w:t>Semester</w:t>
            </w:r>
            <w:r>
              <w:rPr>
                <w:spacing w:val="-11"/>
                <w:sz w:val="21"/>
              </w:rPr>
              <w:t> </w:t>
            </w:r>
            <w:r>
              <w:rPr>
                <w:spacing w:val="-2"/>
                <w:sz w:val="21"/>
              </w:rPr>
              <w:t>2</w:t>
            </w:r>
            <w:r>
              <w:rPr>
                <w:spacing w:val="-7"/>
                <w:sz w:val="21"/>
              </w:rPr>
              <w:t> </w:t>
            </w:r>
            <w:r>
              <w:rPr>
                <w:spacing w:val="-4"/>
                <w:sz w:val="21"/>
              </w:rPr>
              <w:t>2025</w:t>
            </w:r>
          </w:p>
        </w:tc>
        <w:tc>
          <w:tcPr>
            <w:tcW w:w="4889" w:type="dxa"/>
            <w:tcBorders>
              <w:left w:val="single" w:sz="6" w:space="0" w:color="FFFFFF"/>
            </w:tcBorders>
            <w:shd w:val="clear" w:color="auto" w:fill="F1F1F1"/>
          </w:tcPr>
          <w:p>
            <w:pPr>
              <w:pStyle w:val="TableParagraph"/>
              <w:spacing w:before="79"/>
              <w:ind w:left="218"/>
              <w:rPr>
                <w:b/>
                <w:i/>
                <w:sz w:val="21"/>
              </w:rPr>
            </w:pPr>
            <w:r>
              <w:rPr>
                <w:b/>
                <w:i/>
                <w:sz w:val="21"/>
              </w:rPr>
              <w:t>New</w:t>
            </w:r>
            <w:r>
              <w:rPr>
                <w:b/>
                <w:i/>
                <w:spacing w:val="-1"/>
                <w:sz w:val="21"/>
              </w:rPr>
              <w:t> </w:t>
            </w:r>
            <w:r>
              <w:rPr>
                <w:b/>
                <w:i/>
                <w:spacing w:val="-2"/>
                <w:sz w:val="21"/>
              </w:rPr>
              <w:t>applicants</w:t>
            </w:r>
          </w:p>
          <w:p>
            <w:pPr>
              <w:pStyle w:val="TableParagraph"/>
              <w:spacing w:line="276" w:lineRule="auto" w:before="156"/>
              <w:ind w:left="218"/>
              <w:rPr>
                <w:sz w:val="21"/>
              </w:rPr>
            </w:pPr>
            <w:r>
              <w:rPr>
                <w:sz w:val="21"/>
              </w:rPr>
              <w:t>Students</w:t>
            </w:r>
            <w:r>
              <w:rPr>
                <w:spacing w:val="-11"/>
                <w:sz w:val="21"/>
              </w:rPr>
              <w:t> </w:t>
            </w:r>
            <w:r>
              <w:rPr>
                <w:sz w:val="21"/>
              </w:rPr>
              <w:t>commencing</w:t>
            </w:r>
            <w:r>
              <w:rPr>
                <w:spacing w:val="-11"/>
                <w:sz w:val="21"/>
              </w:rPr>
              <w:t> </w:t>
            </w:r>
            <w:r>
              <w:rPr>
                <w:sz w:val="21"/>
              </w:rPr>
              <w:t>eligible</w:t>
            </w:r>
            <w:r>
              <w:rPr>
                <w:spacing w:val="-11"/>
                <w:sz w:val="21"/>
              </w:rPr>
              <w:t> </w:t>
            </w:r>
            <w:r>
              <w:rPr>
                <w:sz w:val="21"/>
              </w:rPr>
              <w:t>ITE</w:t>
            </w:r>
            <w:r>
              <w:rPr>
                <w:spacing w:val="-10"/>
                <w:sz w:val="21"/>
              </w:rPr>
              <w:t> </w:t>
            </w:r>
            <w:r>
              <w:rPr>
                <w:sz w:val="21"/>
              </w:rPr>
              <w:t>degrees</w:t>
            </w:r>
            <w:r>
              <w:rPr>
                <w:spacing w:val="-12"/>
                <w:sz w:val="21"/>
              </w:rPr>
              <w:t> </w:t>
            </w:r>
            <w:r>
              <w:rPr>
                <w:sz w:val="21"/>
              </w:rPr>
              <w:t>with</w:t>
            </w:r>
            <w:r>
              <w:rPr>
                <w:spacing w:val="-13"/>
                <w:sz w:val="21"/>
              </w:rPr>
              <w:t> </w:t>
            </w:r>
            <w:r>
              <w:rPr>
                <w:sz w:val="21"/>
              </w:rPr>
              <w:t>a census</w:t>
            </w:r>
            <w:r>
              <w:rPr>
                <w:spacing w:val="-8"/>
                <w:sz w:val="21"/>
              </w:rPr>
              <w:t> </w:t>
            </w:r>
            <w:r>
              <w:rPr>
                <w:sz w:val="21"/>
              </w:rPr>
              <w:t>date</w:t>
            </w:r>
            <w:r>
              <w:rPr>
                <w:spacing w:val="-5"/>
                <w:sz w:val="21"/>
              </w:rPr>
              <w:t> </w:t>
            </w:r>
            <w:r>
              <w:rPr>
                <w:sz w:val="21"/>
              </w:rPr>
              <w:t>between</w:t>
            </w:r>
            <w:r>
              <w:rPr>
                <w:spacing w:val="-5"/>
                <w:sz w:val="21"/>
              </w:rPr>
              <w:t> </w:t>
            </w:r>
            <w:r>
              <w:rPr>
                <w:sz w:val="21"/>
              </w:rPr>
              <w:t>1</w:t>
            </w:r>
            <w:r>
              <w:rPr>
                <w:spacing w:val="-4"/>
                <w:sz w:val="21"/>
              </w:rPr>
              <w:t> </w:t>
            </w:r>
            <w:r>
              <w:rPr>
                <w:sz w:val="21"/>
              </w:rPr>
              <w:t>April</w:t>
            </w:r>
            <w:r>
              <w:rPr>
                <w:spacing w:val="-5"/>
                <w:sz w:val="21"/>
              </w:rPr>
              <w:t> </w:t>
            </w:r>
            <w:r>
              <w:rPr>
                <w:sz w:val="21"/>
              </w:rPr>
              <w:t>2025</w:t>
            </w:r>
            <w:r>
              <w:rPr>
                <w:spacing w:val="-5"/>
                <w:sz w:val="21"/>
              </w:rPr>
              <w:t> </w:t>
            </w:r>
            <w:r>
              <w:rPr>
                <w:sz w:val="21"/>
              </w:rPr>
              <w:t>and</w:t>
            </w:r>
            <w:r>
              <w:rPr>
                <w:spacing w:val="-5"/>
                <w:sz w:val="21"/>
              </w:rPr>
              <w:t> </w:t>
            </w:r>
            <w:r>
              <w:rPr>
                <w:sz w:val="21"/>
              </w:rPr>
              <w:t>31</w:t>
            </w:r>
            <w:r>
              <w:rPr>
                <w:spacing w:val="-4"/>
                <w:sz w:val="21"/>
              </w:rPr>
              <w:t> </w:t>
            </w:r>
            <w:r>
              <w:rPr>
                <w:spacing w:val="-2"/>
                <w:sz w:val="21"/>
              </w:rPr>
              <w:t>August</w:t>
            </w:r>
          </w:p>
          <w:p>
            <w:pPr>
              <w:pStyle w:val="TableParagraph"/>
              <w:spacing w:before="2"/>
              <w:ind w:left="218"/>
              <w:rPr>
                <w:sz w:val="21"/>
              </w:rPr>
            </w:pPr>
            <w:r>
              <w:rPr>
                <w:spacing w:val="-4"/>
                <w:sz w:val="21"/>
              </w:rPr>
              <w:t>2025</w:t>
            </w:r>
          </w:p>
          <w:p>
            <w:pPr>
              <w:pStyle w:val="TableParagraph"/>
              <w:spacing w:before="154"/>
              <w:ind w:left="218"/>
              <w:rPr>
                <w:b/>
                <w:i/>
                <w:sz w:val="21"/>
              </w:rPr>
            </w:pPr>
            <w:r>
              <w:rPr>
                <w:b/>
                <w:i/>
                <w:sz w:val="21"/>
              </w:rPr>
              <w:t>STS</w:t>
            </w:r>
            <w:r>
              <w:rPr>
                <w:b/>
                <w:i/>
                <w:spacing w:val="-5"/>
                <w:sz w:val="21"/>
              </w:rPr>
              <w:t> </w:t>
            </w:r>
            <w:r>
              <w:rPr>
                <w:b/>
                <w:i/>
                <w:sz w:val="21"/>
              </w:rPr>
              <w:t>recipients</w:t>
            </w:r>
            <w:r>
              <w:rPr>
                <w:b/>
                <w:i/>
                <w:spacing w:val="-4"/>
                <w:sz w:val="21"/>
              </w:rPr>
              <w:t> </w:t>
            </w:r>
            <w:r>
              <w:rPr>
                <w:b/>
                <w:i/>
                <w:sz w:val="21"/>
              </w:rPr>
              <w:t>from</w:t>
            </w:r>
            <w:r>
              <w:rPr>
                <w:b/>
                <w:i/>
                <w:spacing w:val="-4"/>
                <w:sz w:val="21"/>
              </w:rPr>
              <w:t> </w:t>
            </w:r>
            <w:r>
              <w:rPr>
                <w:b/>
                <w:i/>
                <w:sz w:val="21"/>
              </w:rPr>
              <w:t>rounds</w:t>
            </w:r>
            <w:r>
              <w:rPr>
                <w:b/>
                <w:i/>
                <w:spacing w:val="-4"/>
                <w:sz w:val="21"/>
              </w:rPr>
              <w:t> </w:t>
            </w:r>
            <w:r>
              <w:rPr>
                <w:b/>
                <w:i/>
                <w:sz w:val="21"/>
              </w:rPr>
              <w:t>1,</w:t>
            </w:r>
            <w:r>
              <w:rPr>
                <w:b/>
                <w:i/>
                <w:spacing w:val="-4"/>
                <w:sz w:val="21"/>
              </w:rPr>
              <w:t> </w:t>
            </w:r>
            <w:r>
              <w:rPr>
                <w:b/>
                <w:i/>
                <w:sz w:val="21"/>
              </w:rPr>
              <w:t>2</w:t>
            </w:r>
            <w:r>
              <w:rPr>
                <w:b/>
                <w:i/>
                <w:spacing w:val="-6"/>
                <w:sz w:val="21"/>
              </w:rPr>
              <w:t> </w:t>
            </w:r>
            <w:r>
              <w:rPr>
                <w:b/>
                <w:i/>
                <w:sz w:val="21"/>
              </w:rPr>
              <w:t>&amp;</w:t>
            </w:r>
            <w:r>
              <w:rPr>
                <w:b/>
                <w:i/>
                <w:spacing w:val="-2"/>
                <w:sz w:val="21"/>
              </w:rPr>
              <w:t> </w:t>
            </w:r>
            <w:r>
              <w:rPr>
                <w:b/>
                <w:i/>
                <w:spacing w:val="-10"/>
                <w:sz w:val="21"/>
              </w:rPr>
              <w:t>3</w:t>
            </w:r>
          </w:p>
          <w:p>
            <w:pPr>
              <w:pStyle w:val="TableParagraph"/>
              <w:spacing w:line="276" w:lineRule="auto" w:before="157"/>
              <w:ind w:left="218" w:right="87"/>
              <w:jc w:val="both"/>
              <w:rPr>
                <w:sz w:val="21"/>
              </w:rPr>
            </w:pPr>
            <w:r>
              <w:rPr>
                <w:sz w:val="21"/>
              </w:rPr>
              <w:t>Successful STS recipients from rounds 1, 2 &amp; 3 will</w:t>
            </w:r>
            <w:r>
              <w:rPr>
                <w:spacing w:val="-1"/>
                <w:sz w:val="21"/>
              </w:rPr>
              <w:t> </w:t>
            </w:r>
            <w:r>
              <w:rPr>
                <w:sz w:val="21"/>
              </w:rPr>
              <w:t>receive payment</w:t>
            </w:r>
            <w:r>
              <w:rPr>
                <w:spacing w:val="-1"/>
                <w:sz w:val="21"/>
              </w:rPr>
              <w:t> </w:t>
            </w:r>
            <w:r>
              <w:rPr>
                <w:sz w:val="21"/>
              </w:rPr>
              <w:t>following verification of</w:t>
            </w:r>
            <w:r>
              <w:rPr>
                <w:spacing w:val="-1"/>
                <w:sz w:val="21"/>
              </w:rPr>
              <w:t> </w:t>
            </w:r>
            <w:r>
              <w:rPr>
                <w:sz w:val="21"/>
              </w:rPr>
              <w:t>their continued ITE degree enrolment. There is no need for STS recipients to resubmit their </w:t>
            </w:r>
            <w:r>
              <w:rPr>
                <w:spacing w:val="-2"/>
                <w:sz w:val="21"/>
              </w:rPr>
              <w:t>application</w:t>
            </w:r>
          </w:p>
        </w:tc>
        <w:tc>
          <w:tcPr>
            <w:tcW w:w="2575" w:type="dxa"/>
            <w:tcBorders>
              <w:right w:val="single" w:sz="6" w:space="0" w:color="FFFFFF"/>
            </w:tcBorders>
            <w:shd w:val="clear" w:color="auto" w:fill="F1F1F1"/>
          </w:tcPr>
          <w:p>
            <w:pPr>
              <w:pStyle w:val="TableParagraph"/>
              <w:spacing w:before="59"/>
              <w:ind w:left="220"/>
              <w:rPr>
                <w:b/>
                <w:sz w:val="21"/>
              </w:rPr>
            </w:pPr>
            <w:r>
              <w:rPr>
                <w:b/>
                <w:sz w:val="21"/>
              </w:rPr>
              <w:t>Application</w:t>
            </w:r>
            <w:r>
              <w:rPr>
                <w:b/>
                <w:spacing w:val="-11"/>
                <w:sz w:val="21"/>
              </w:rPr>
              <w:t> </w:t>
            </w:r>
            <w:r>
              <w:rPr>
                <w:b/>
                <w:spacing w:val="-2"/>
                <w:sz w:val="21"/>
              </w:rPr>
              <w:t>period</w:t>
            </w:r>
          </w:p>
          <w:p>
            <w:pPr>
              <w:pStyle w:val="TableParagraph"/>
              <w:numPr>
                <w:ilvl w:val="0"/>
                <w:numId w:val="9"/>
              </w:numPr>
              <w:tabs>
                <w:tab w:pos="827" w:val="left" w:leader="none"/>
              </w:tabs>
              <w:spacing w:line="240" w:lineRule="auto" w:before="97" w:after="0"/>
              <w:ind w:left="827" w:right="0" w:hanging="360"/>
              <w:jc w:val="left"/>
              <w:rPr>
                <w:sz w:val="21"/>
              </w:rPr>
            </w:pPr>
            <w:r>
              <w:rPr>
                <w:sz w:val="21"/>
              </w:rPr>
              <w:t>Aug</w:t>
            </w:r>
            <w:r>
              <w:rPr>
                <w:spacing w:val="-3"/>
                <w:sz w:val="21"/>
              </w:rPr>
              <w:t> </w:t>
            </w:r>
            <w:r>
              <w:rPr>
                <w:sz w:val="21"/>
              </w:rPr>
              <w:t>–</w:t>
            </w:r>
            <w:r>
              <w:rPr>
                <w:spacing w:val="-4"/>
                <w:sz w:val="21"/>
              </w:rPr>
              <w:t> </w:t>
            </w:r>
            <w:r>
              <w:rPr>
                <w:sz w:val="21"/>
              </w:rPr>
              <w:t>Sep</w:t>
            </w:r>
            <w:r>
              <w:rPr>
                <w:spacing w:val="-1"/>
                <w:sz w:val="21"/>
              </w:rPr>
              <w:t> </w:t>
            </w:r>
            <w:r>
              <w:rPr>
                <w:spacing w:val="-4"/>
                <w:sz w:val="21"/>
              </w:rPr>
              <w:t>2025</w:t>
            </w:r>
          </w:p>
          <w:p>
            <w:pPr>
              <w:pStyle w:val="TableParagraph"/>
              <w:spacing w:before="190"/>
              <w:ind w:left="0"/>
              <w:rPr>
                <w:b/>
                <w:sz w:val="21"/>
              </w:rPr>
            </w:pPr>
          </w:p>
          <w:p>
            <w:pPr>
              <w:pStyle w:val="TableParagraph"/>
              <w:spacing w:line="276" w:lineRule="auto" w:before="0"/>
              <w:ind w:left="220" w:right="94"/>
              <w:rPr>
                <w:i/>
                <w:sz w:val="21"/>
              </w:rPr>
            </w:pPr>
            <w:r>
              <w:rPr>
                <w:i/>
                <w:sz w:val="21"/>
              </w:rPr>
              <w:t>Timetables for</w:t>
            </w:r>
            <w:r>
              <w:rPr>
                <w:i/>
                <w:sz w:val="21"/>
              </w:rPr>
              <w:t> application,</w:t>
            </w:r>
            <w:r>
              <w:rPr>
                <w:i/>
                <w:spacing w:val="-15"/>
                <w:sz w:val="21"/>
              </w:rPr>
              <w:t> </w:t>
            </w:r>
            <w:r>
              <w:rPr>
                <w:i/>
                <w:sz w:val="21"/>
              </w:rPr>
              <w:t>assessment and outcome periods will be published on the </w:t>
            </w:r>
            <w:hyperlink r:id="rId9">
              <w:r>
                <w:rPr>
                  <w:i/>
                  <w:color w:val="467885"/>
                  <w:sz w:val="21"/>
                  <w:u w:val="single" w:color="467885"/>
                </w:rPr>
                <w:t>STS website</w:t>
              </w:r>
            </w:hyperlink>
            <w:r>
              <w:rPr>
                <w:i/>
                <w:color w:val="467885"/>
                <w:sz w:val="21"/>
                <w:u w:val="none"/>
              </w:rPr>
              <w:t> </w:t>
            </w:r>
            <w:r>
              <w:rPr>
                <w:i/>
                <w:sz w:val="21"/>
                <w:u w:val="none"/>
              </w:rPr>
              <w:t>prior to each round</w:t>
            </w:r>
          </w:p>
        </w:tc>
      </w:tr>
      <w:tr>
        <w:trPr>
          <w:trHeight w:val="2543" w:hRule="atLeast"/>
        </w:trPr>
        <w:tc>
          <w:tcPr>
            <w:tcW w:w="1896" w:type="dxa"/>
            <w:tcBorders>
              <w:left w:val="single" w:sz="6" w:space="0" w:color="FFFFFF"/>
              <w:bottom w:val="single" w:sz="6" w:space="0" w:color="FFFFFF"/>
              <w:right w:val="single" w:sz="6" w:space="0" w:color="FFFFFF"/>
            </w:tcBorders>
            <w:shd w:val="clear" w:color="auto" w:fill="F1F1F1"/>
          </w:tcPr>
          <w:p>
            <w:pPr>
              <w:pStyle w:val="TableParagraph"/>
              <w:tabs>
                <w:tab w:pos="880" w:val="left" w:leader="none"/>
              </w:tabs>
              <w:spacing w:line="276" w:lineRule="auto" w:before="81"/>
              <w:ind w:left="215" w:right="86"/>
              <w:rPr>
                <w:sz w:val="21"/>
              </w:rPr>
            </w:pPr>
            <w:r>
              <w:rPr>
                <w:spacing w:val="-4"/>
                <w:sz w:val="21"/>
              </w:rPr>
              <w:t>STS</w:t>
            </w:r>
            <w:r>
              <w:rPr>
                <w:sz w:val="21"/>
              </w:rPr>
              <w:tab/>
            </w:r>
            <w:r>
              <w:rPr>
                <w:spacing w:val="-2"/>
                <w:sz w:val="21"/>
              </w:rPr>
              <w:t>payments 2026–2029</w:t>
            </w:r>
          </w:p>
        </w:tc>
        <w:tc>
          <w:tcPr>
            <w:tcW w:w="4889" w:type="dxa"/>
            <w:tcBorders>
              <w:left w:val="single" w:sz="6" w:space="0" w:color="FFFFFF"/>
              <w:bottom w:val="single" w:sz="6" w:space="0" w:color="FFFFFF"/>
            </w:tcBorders>
            <w:shd w:val="clear" w:color="auto" w:fill="F1F1F1"/>
          </w:tcPr>
          <w:p>
            <w:pPr>
              <w:pStyle w:val="TableParagraph"/>
              <w:spacing w:line="276" w:lineRule="auto" w:before="81"/>
              <w:ind w:left="218" w:right="86"/>
              <w:jc w:val="both"/>
              <w:rPr>
                <w:sz w:val="21"/>
              </w:rPr>
            </w:pPr>
            <w:r>
              <w:rPr>
                <w:sz w:val="21"/>
              </w:rPr>
              <w:t>From 2026 STS recipients assessed as still eligible will continue to receive STS payments with no further</w:t>
            </w:r>
            <w:r>
              <w:rPr>
                <w:spacing w:val="-1"/>
                <w:sz w:val="21"/>
              </w:rPr>
              <w:t> </w:t>
            </w:r>
            <w:r>
              <w:rPr>
                <w:sz w:val="21"/>
              </w:rPr>
              <w:t>application</w:t>
            </w:r>
            <w:r>
              <w:rPr>
                <w:spacing w:val="-3"/>
                <w:sz w:val="21"/>
              </w:rPr>
              <w:t> </w:t>
            </w:r>
            <w:r>
              <w:rPr>
                <w:sz w:val="21"/>
              </w:rPr>
              <w:t>required until the point where they have received their full eligible amount, or until June 2029, whichever is earlier.</w:t>
            </w:r>
          </w:p>
          <w:p>
            <w:pPr>
              <w:pStyle w:val="TableParagraph"/>
              <w:spacing w:line="276" w:lineRule="auto" w:before="119"/>
              <w:ind w:left="218" w:right="87"/>
              <w:jc w:val="both"/>
              <w:rPr>
                <w:b/>
                <w:i/>
                <w:sz w:val="21"/>
              </w:rPr>
            </w:pPr>
            <w:r>
              <w:rPr>
                <w:b/>
                <w:i/>
                <w:sz w:val="21"/>
              </w:rPr>
              <w:t>Note: Applicants whose course census date</w:t>
            </w:r>
            <w:r>
              <w:rPr>
                <w:b/>
                <w:i/>
                <w:sz w:val="21"/>
              </w:rPr>
              <w:t> falls between 1 September and 31 December in</w:t>
            </w:r>
            <w:r>
              <w:rPr>
                <w:b/>
                <w:i/>
                <w:spacing w:val="-9"/>
                <w:sz w:val="21"/>
              </w:rPr>
              <w:t> </w:t>
            </w:r>
            <w:r>
              <w:rPr>
                <w:b/>
                <w:i/>
                <w:sz w:val="21"/>
              </w:rPr>
              <w:t>2025</w:t>
            </w:r>
            <w:r>
              <w:rPr>
                <w:b/>
                <w:i/>
                <w:spacing w:val="-10"/>
                <w:sz w:val="21"/>
              </w:rPr>
              <w:t> </w:t>
            </w:r>
            <w:r>
              <w:rPr>
                <w:b/>
                <w:i/>
                <w:sz w:val="21"/>
              </w:rPr>
              <w:t>will</w:t>
            </w:r>
            <w:r>
              <w:rPr>
                <w:b/>
                <w:i/>
                <w:spacing w:val="-11"/>
                <w:sz w:val="21"/>
              </w:rPr>
              <w:t> </w:t>
            </w:r>
            <w:r>
              <w:rPr>
                <w:b/>
                <w:i/>
                <w:sz w:val="21"/>
              </w:rPr>
              <w:t>receive</w:t>
            </w:r>
            <w:r>
              <w:rPr>
                <w:b/>
                <w:i/>
                <w:spacing w:val="-9"/>
                <w:sz w:val="21"/>
              </w:rPr>
              <w:t> </w:t>
            </w:r>
            <w:r>
              <w:rPr>
                <w:b/>
                <w:i/>
                <w:sz w:val="21"/>
              </w:rPr>
              <w:t>their</w:t>
            </w:r>
            <w:r>
              <w:rPr>
                <w:b/>
                <w:i/>
                <w:spacing w:val="-13"/>
                <w:sz w:val="21"/>
              </w:rPr>
              <w:t> </w:t>
            </w:r>
            <w:r>
              <w:rPr>
                <w:b/>
                <w:i/>
                <w:sz w:val="21"/>
              </w:rPr>
              <w:t>first</w:t>
            </w:r>
            <w:r>
              <w:rPr>
                <w:b/>
                <w:i/>
                <w:spacing w:val="-10"/>
                <w:sz w:val="21"/>
              </w:rPr>
              <w:t> </w:t>
            </w:r>
            <w:r>
              <w:rPr>
                <w:b/>
                <w:i/>
                <w:sz w:val="21"/>
              </w:rPr>
              <w:t>payment</w:t>
            </w:r>
            <w:r>
              <w:rPr>
                <w:b/>
                <w:i/>
                <w:spacing w:val="-11"/>
                <w:sz w:val="21"/>
              </w:rPr>
              <w:t> </w:t>
            </w:r>
            <w:r>
              <w:rPr>
                <w:b/>
                <w:i/>
                <w:sz w:val="21"/>
              </w:rPr>
              <w:t>in</w:t>
            </w:r>
            <w:r>
              <w:rPr>
                <w:b/>
                <w:i/>
                <w:spacing w:val="-11"/>
                <w:sz w:val="21"/>
              </w:rPr>
              <w:t> </w:t>
            </w:r>
            <w:r>
              <w:rPr>
                <w:b/>
                <w:i/>
                <w:spacing w:val="-4"/>
                <w:sz w:val="21"/>
              </w:rPr>
              <w:t>2026.</w:t>
            </w:r>
          </w:p>
        </w:tc>
        <w:tc>
          <w:tcPr>
            <w:tcW w:w="2575" w:type="dxa"/>
            <w:tcBorders>
              <w:bottom w:val="single" w:sz="6" w:space="0" w:color="FFFFFF"/>
              <w:right w:val="single" w:sz="6" w:space="0" w:color="FFFFFF"/>
            </w:tcBorders>
            <w:shd w:val="clear" w:color="auto" w:fill="F1F1F1"/>
          </w:tcPr>
          <w:p>
            <w:pPr>
              <w:pStyle w:val="TableParagraph"/>
              <w:spacing w:line="276" w:lineRule="auto" w:before="2"/>
              <w:ind w:left="220" w:right="94"/>
              <w:rPr>
                <w:i/>
                <w:sz w:val="21"/>
              </w:rPr>
            </w:pPr>
            <w:r>
              <w:rPr>
                <w:i/>
                <w:sz w:val="21"/>
              </w:rPr>
              <w:t>Timetables for</w:t>
            </w:r>
            <w:r>
              <w:rPr>
                <w:i/>
                <w:sz w:val="21"/>
              </w:rPr>
              <w:t> application,</w:t>
            </w:r>
            <w:r>
              <w:rPr>
                <w:i/>
                <w:spacing w:val="-15"/>
                <w:sz w:val="21"/>
              </w:rPr>
              <w:t> </w:t>
            </w:r>
            <w:r>
              <w:rPr>
                <w:i/>
                <w:sz w:val="21"/>
              </w:rPr>
              <w:t>assessment and outcome periods will be published on the </w:t>
            </w:r>
            <w:hyperlink r:id="rId9">
              <w:r>
                <w:rPr>
                  <w:i/>
                  <w:color w:val="467885"/>
                  <w:sz w:val="21"/>
                  <w:u w:val="single" w:color="467885"/>
                </w:rPr>
                <w:t>STS website</w:t>
              </w:r>
            </w:hyperlink>
            <w:r>
              <w:rPr>
                <w:i/>
                <w:color w:val="467885"/>
                <w:sz w:val="21"/>
                <w:u w:val="none"/>
              </w:rPr>
              <w:t> </w:t>
            </w:r>
            <w:r>
              <w:rPr>
                <w:i/>
                <w:sz w:val="21"/>
                <w:u w:val="none"/>
              </w:rPr>
              <w:t>prior to each payment round</w:t>
            </w:r>
          </w:p>
        </w:tc>
      </w:tr>
    </w:tbl>
    <w:p>
      <w:pPr>
        <w:pStyle w:val="BodyText"/>
        <w:spacing w:line="276" w:lineRule="auto" w:before="123"/>
        <w:ind w:left="120" w:right="697"/>
      </w:pPr>
      <w:r>
        <w:rPr/>
        <w:t>Specific</w:t>
      </w:r>
      <w:r>
        <w:rPr>
          <w:spacing w:val="-1"/>
        </w:rPr>
        <w:t> </w:t>
      </w:r>
      <w:r>
        <w:rPr/>
        <w:t>dates</w:t>
      </w:r>
      <w:r>
        <w:rPr>
          <w:spacing w:val="-4"/>
        </w:rPr>
        <w:t> </w:t>
      </w:r>
      <w:r>
        <w:rPr/>
        <w:t>for</w:t>
      </w:r>
      <w:r>
        <w:rPr>
          <w:spacing w:val="-3"/>
        </w:rPr>
        <w:t> </w:t>
      </w:r>
      <w:r>
        <w:rPr/>
        <w:t>future</w:t>
      </w:r>
      <w:r>
        <w:rPr>
          <w:spacing w:val="-6"/>
        </w:rPr>
        <w:t> </w:t>
      </w:r>
      <w:r>
        <w:rPr/>
        <w:t>application</w:t>
      </w:r>
      <w:r>
        <w:rPr>
          <w:spacing w:val="-2"/>
        </w:rPr>
        <w:t> </w:t>
      </w:r>
      <w:r>
        <w:rPr/>
        <w:t>rounds</w:t>
      </w:r>
      <w:r>
        <w:rPr>
          <w:spacing w:val="-4"/>
        </w:rPr>
        <w:t> </w:t>
      </w:r>
      <w:r>
        <w:rPr/>
        <w:t>will</w:t>
      </w:r>
      <w:r>
        <w:rPr>
          <w:spacing w:val="-2"/>
        </w:rPr>
        <w:t> </w:t>
      </w:r>
      <w:r>
        <w:rPr/>
        <w:t>be</w:t>
      </w:r>
      <w:r>
        <w:rPr>
          <w:spacing w:val="-4"/>
        </w:rPr>
        <w:t> </w:t>
      </w:r>
      <w:r>
        <w:rPr/>
        <w:t>published</w:t>
      </w:r>
      <w:r>
        <w:rPr>
          <w:spacing w:val="-2"/>
        </w:rPr>
        <w:t> </w:t>
      </w:r>
      <w:r>
        <w:rPr/>
        <w:t>on</w:t>
      </w:r>
      <w:r>
        <w:rPr>
          <w:spacing w:val="-6"/>
        </w:rPr>
        <w:t> </w:t>
      </w:r>
      <w:r>
        <w:rPr/>
        <w:t>the</w:t>
      </w:r>
      <w:r>
        <w:rPr>
          <w:spacing w:val="-4"/>
        </w:rPr>
        <w:t> </w:t>
      </w:r>
      <w:hyperlink r:id="rId9">
        <w:r>
          <w:rPr>
            <w:color w:val="467885"/>
            <w:u w:val="single" w:color="467885"/>
          </w:rPr>
          <w:t>STS</w:t>
        </w:r>
        <w:r>
          <w:rPr>
            <w:color w:val="467885"/>
            <w:spacing w:val="-2"/>
            <w:u w:val="single" w:color="467885"/>
          </w:rPr>
          <w:t> </w:t>
        </w:r>
        <w:r>
          <w:rPr>
            <w:color w:val="467885"/>
            <w:u w:val="single" w:color="467885"/>
          </w:rPr>
          <w:t>webpage</w:t>
        </w:r>
      </w:hyperlink>
      <w:r>
        <w:rPr>
          <w:color w:val="467885"/>
          <w:spacing w:val="-1"/>
          <w:u w:val="none"/>
        </w:rPr>
        <w:t> </w:t>
      </w:r>
      <w:r>
        <w:rPr>
          <w:u w:val="none"/>
        </w:rPr>
        <w:t>each</w:t>
      </w:r>
      <w:r>
        <w:rPr>
          <w:spacing w:val="-4"/>
          <w:u w:val="none"/>
        </w:rPr>
        <w:t> </w:t>
      </w:r>
      <w:r>
        <w:rPr>
          <w:u w:val="none"/>
        </w:rPr>
        <w:t>year. Dates may be subject to change at the discretion of the Department of Education.</w:t>
      </w:r>
    </w:p>
    <w:p>
      <w:pPr>
        <w:pStyle w:val="BodyText"/>
        <w:spacing w:before="108"/>
      </w:pPr>
    </w:p>
    <w:p>
      <w:pPr>
        <w:pStyle w:val="Heading1"/>
        <w:numPr>
          <w:ilvl w:val="0"/>
          <w:numId w:val="1"/>
        </w:numPr>
        <w:tabs>
          <w:tab w:pos="479" w:val="left" w:leader="none"/>
        </w:tabs>
        <w:spacing w:line="240" w:lineRule="auto" w:before="0" w:after="0"/>
        <w:ind w:left="479" w:right="0" w:hanging="359"/>
        <w:jc w:val="both"/>
      </w:pPr>
      <w:bookmarkStart w:name="6. Conditions for payment" w:id="26"/>
      <w:bookmarkEnd w:id="26"/>
      <w:r>
        <w:rPr>
          <w:b w:val="0"/>
        </w:rPr>
      </w:r>
      <w:r>
        <w:rPr>
          <w:color w:val="205E99"/>
        </w:rPr>
        <w:t>Conditions</w:t>
      </w:r>
      <w:r>
        <w:rPr>
          <w:color w:val="205E99"/>
          <w:spacing w:val="-11"/>
        </w:rPr>
        <w:t> </w:t>
      </w:r>
      <w:r>
        <w:rPr>
          <w:color w:val="205E99"/>
        </w:rPr>
        <w:t>for</w:t>
      </w:r>
      <w:r>
        <w:rPr>
          <w:color w:val="205E99"/>
          <w:spacing w:val="-11"/>
        </w:rPr>
        <w:t> </w:t>
      </w:r>
      <w:r>
        <w:rPr>
          <w:color w:val="205E99"/>
          <w:spacing w:val="-2"/>
        </w:rPr>
        <w:t>payment</w:t>
      </w:r>
    </w:p>
    <w:p>
      <w:pPr>
        <w:pStyle w:val="ListParagraph"/>
        <w:numPr>
          <w:ilvl w:val="1"/>
          <w:numId w:val="10"/>
        </w:numPr>
        <w:tabs>
          <w:tab w:pos="499" w:val="left" w:leader="none"/>
          <w:tab w:pos="515" w:val="left" w:leader="none"/>
        </w:tabs>
        <w:spacing w:line="276" w:lineRule="auto" w:before="134" w:after="0"/>
        <w:ind w:left="515" w:right="819" w:hanging="396"/>
        <w:jc w:val="both"/>
        <w:rPr>
          <w:sz w:val="22"/>
        </w:rPr>
      </w:pPr>
      <w:r>
        <w:rPr>
          <w:sz w:val="22"/>
        </w:rPr>
        <w:t>To be eligible for STS payments, an applicant must meet the eligibility criteria set out in Section 2.</w:t>
      </w:r>
    </w:p>
    <w:p>
      <w:pPr>
        <w:pStyle w:val="ListParagraph"/>
        <w:numPr>
          <w:ilvl w:val="1"/>
          <w:numId w:val="10"/>
        </w:numPr>
        <w:tabs>
          <w:tab w:pos="485" w:val="left" w:leader="none"/>
          <w:tab w:pos="515" w:val="left" w:leader="none"/>
        </w:tabs>
        <w:spacing w:line="276" w:lineRule="auto" w:before="119" w:after="0"/>
        <w:ind w:left="515" w:right="816" w:hanging="396"/>
        <w:jc w:val="both"/>
        <w:rPr>
          <w:sz w:val="22"/>
        </w:rPr>
      </w:pPr>
      <w:r>
        <w:rPr>
          <w:sz w:val="22"/>
        </w:rPr>
        <w:t>To</w:t>
      </w:r>
      <w:r>
        <w:rPr>
          <w:spacing w:val="-5"/>
          <w:sz w:val="22"/>
        </w:rPr>
        <w:t> </w:t>
      </w:r>
      <w:r>
        <w:rPr>
          <w:sz w:val="22"/>
        </w:rPr>
        <w:t>claim</w:t>
      </w:r>
      <w:r>
        <w:rPr>
          <w:spacing w:val="-4"/>
          <w:sz w:val="22"/>
        </w:rPr>
        <w:t> </w:t>
      </w:r>
      <w:r>
        <w:rPr>
          <w:sz w:val="22"/>
        </w:rPr>
        <w:t>each</w:t>
      </w:r>
      <w:r>
        <w:rPr>
          <w:spacing w:val="-5"/>
          <w:sz w:val="22"/>
        </w:rPr>
        <w:t> </w:t>
      </w:r>
      <w:r>
        <w:rPr>
          <w:sz w:val="22"/>
        </w:rPr>
        <w:t>STS</w:t>
      </w:r>
      <w:r>
        <w:rPr>
          <w:spacing w:val="-5"/>
          <w:sz w:val="22"/>
        </w:rPr>
        <w:t> </w:t>
      </w:r>
      <w:r>
        <w:rPr>
          <w:sz w:val="22"/>
        </w:rPr>
        <w:t>payment,</w:t>
      </w:r>
      <w:r>
        <w:rPr>
          <w:spacing w:val="-4"/>
          <w:sz w:val="22"/>
        </w:rPr>
        <w:t> </w:t>
      </w:r>
      <w:r>
        <w:rPr>
          <w:sz w:val="22"/>
        </w:rPr>
        <w:t>STS</w:t>
      </w:r>
      <w:r>
        <w:rPr>
          <w:spacing w:val="-7"/>
          <w:sz w:val="22"/>
        </w:rPr>
        <w:t> </w:t>
      </w:r>
      <w:r>
        <w:rPr>
          <w:sz w:val="22"/>
        </w:rPr>
        <w:t>recipients</w:t>
      </w:r>
      <w:r>
        <w:rPr>
          <w:spacing w:val="-6"/>
          <w:sz w:val="22"/>
        </w:rPr>
        <w:t> </w:t>
      </w:r>
      <w:r>
        <w:rPr>
          <w:sz w:val="22"/>
        </w:rPr>
        <w:t>must</w:t>
      </w:r>
      <w:r>
        <w:rPr>
          <w:spacing w:val="-5"/>
          <w:sz w:val="22"/>
        </w:rPr>
        <w:t> </w:t>
      </w:r>
      <w:r>
        <w:rPr>
          <w:sz w:val="22"/>
        </w:rPr>
        <w:t>maintain</w:t>
      </w:r>
      <w:r>
        <w:rPr>
          <w:spacing w:val="-6"/>
          <w:sz w:val="22"/>
        </w:rPr>
        <w:t> </w:t>
      </w:r>
      <w:r>
        <w:rPr>
          <w:sz w:val="22"/>
        </w:rPr>
        <w:t>their</w:t>
      </w:r>
      <w:r>
        <w:rPr>
          <w:spacing w:val="-4"/>
          <w:sz w:val="22"/>
        </w:rPr>
        <w:t> </w:t>
      </w:r>
      <w:r>
        <w:rPr>
          <w:sz w:val="22"/>
        </w:rPr>
        <w:t>eligibility.</w:t>
      </w:r>
      <w:r>
        <w:rPr>
          <w:spacing w:val="-4"/>
          <w:sz w:val="22"/>
        </w:rPr>
        <w:t> </w:t>
      </w:r>
      <w:r>
        <w:rPr>
          <w:sz w:val="22"/>
        </w:rPr>
        <w:t>STS</w:t>
      </w:r>
      <w:r>
        <w:rPr>
          <w:spacing w:val="-5"/>
          <w:sz w:val="22"/>
        </w:rPr>
        <w:t> </w:t>
      </w:r>
      <w:r>
        <w:rPr>
          <w:sz w:val="22"/>
        </w:rPr>
        <w:t>recipients must, on request, provide updated information to confirm their continuing eligibility for payments. This could include (without limitation) resubmitting proof of enrolment in an eligible</w:t>
      </w:r>
      <w:r>
        <w:rPr>
          <w:spacing w:val="-16"/>
          <w:sz w:val="22"/>
        </w:rPr>
        <w:t> </w:t>
      </w:r>
      <w:r>
        <w:rPr>
          <w:sz w:val="22"/>
        </w:rPr>
        <w:t>ITE</w:t>
      </w:r>
      <w:r>
        <w:rPr>
          <w:spacing w:val="-15"/>
          <w:sz w:val="22"/>
        </w:rPr>
        <w:t> </w:t>
      </w:r>
      <w:r>
        <w:rPr>
          <w:sz w:val="22"/>
        </w:rPr>
        <w:t>degree,</w:t>
      </w:r>
      <w:r>
        <w:rPr>
          <w:spacing w:val="-13"/>
          <w:sz w:val="22"/>
        </w:rPr>
        <w:t> </w:t>
      </w:r>
      <w:r>
        <w:rPr>
          <w:sz w:val="22"/>
        </w:rPr>
        <w:t>proof</w:t>
      </w:r>
      <w:r>
        <w:rPr>
          <w:spacing w:val="-15"/>
          <w:sz w:val="22"/>
        </w:rPr>
        <w:t> </w:t>
      </w:r>
      <w:r>
        <w:rPr>
          <w:sz w:val="22"/>
        </w:rPr>
        <w:t>of</w:t>
      </w:r>
      <w:r>
        <w:rPr>
          <w:spacing w:val="-15"/>
          <w:sz w:val="22"/>
        </w:rPr>
        <w:t> </w:t>
      </w:r>
      <w:r>
        <w:rPr>
          <w:sz w:val="22"/>
        </w:rPr>
        <w:t>current</w:t>
      </w:r>
      <w:r>
        <w:rPr>
          <w:spacing w:val="-15"/>
          <w:sz w:val="22"/>
        </w:rPr>
        <w:t> </w:t>
      </w:r>
      <w:r>
        <w:rPr>
          <w:sz w:val="22"/>
        </w:rPr>
        <w:t>study</w:t>
      </w:r>
      <w:r>
        <w:rPr>
          <w:spacing w:val="-16"/>
          <w:sz w:val="22"/>
        </w:rPr>
        <w:t> </w:t>
      </w:r>
      <w:r>
        <w:rPr>
          <w:sz w:val="22"/>
        </w:rPr>
        <w:t>load</w:t>
      </w:r>
      <w:r>
        <w:rPr>
          <w:spacing w:val="-15"/>
          <w:sz w:val="22"/>
        </w:rPr>
        <w:t> </w:t>
      </w:r>
      <w:r>
        <w:rPr>
          <w:sz w:val="22"/>
        </w:rPr>
        <w:t>at</w:t>
      </w:r>
      <w:r>
        <w:rPr>
          <w:spacing w:val="-15"/>
          <w:sz w:val="22"/>
        </w:rPr>
        <w:t> </w:t>
      </w:r>
      <w:r>
        <w:rPr>
          <w:sz w:val="22"/>
        </w:rPr>
        <w:t>or</w:t>
      </w:r>
      <w:r>
        <w:rPr>
          <w:spacing w:val="-12"/>
          <w:sz w:val="22"/>
        </w:rPr>
        <w:t> </w:t>
      </w:r>
      <w:r>
        <w:rPr>
          <w:sz w:val="22"/>
        </w:rPr>
        <w:t>above</w:t>
      </w:r>
      <w:r>
        <w:rPr>
          <w:spacing w:val="-16"/>
          <w:sz w:val="22"/>
        </w:rPr>
        <w:t> </w:t>
      </w:r>
      <w:r>
        <w:rPr>
          <w:sz w:val="22"/>
        </w:rPr>
        <w:t>the</w:t>
      </w:r>
      <w:r>
        <w:rPr>
          <w:spacing w:val="-15"/>
          <w:sz w:val="22"/>
        </w:rPr>
        <w:t> </w:t>
      </w:r>
      <w:r>
        <w:rPr>
          <w:sz w:val="22"/>
        </w:rPr>
        <w:t>50%</w:t>
      </w:r>
      <w:r>
        <w:rPr>
          <w:spacing w:val="-15"/>
          <w:sz w:val="22"/>
        </w:rPr>
        <w:t> </w:t>
      </w:r>
      <w:r>
        <w:rPr>
          <w:sz w:val="22"/>
        </w:rPr>
        <w:t>threshold,</w:t>
      </w:r>
      <w:r>
        <w:rPr>
          <w:spacing w:val="-12"/>
          <w:sz w:val="22"/>
        </w:rPr>
        <w:t> </w:t>
      </w:r>
      <w:r>
        <w:rPr>
          <w:sz w:val="22"/>
        </w:rPr>
        <w:t>and/or</w:t>
      </w:r>
      <w:r>
        <w:rPr>
          <w:spacing w:val="-15"/>
          <w:sz w:val="22"/>
        </w:rPr>
        <w:t> </w:t>
      </w:r>
      <w:r>
        <w:rPr>
          <w:sz w:val="22"/>
        </w:rPr>
        <w:t>proof of a Victorian primary residence address.</w:t>
      </w:r>
    </w:p>
    <w:p>
      <w:pPr>
        <w:pStyle w:val="ListParagraph"/>
        <w:numPr>
          <w:ilvl w:val="1"/>
          <w:numId w:val="10"/>
        </w:numPr>
        <w:tabs>
          <w:tab w:pos="487" w:val="left" w:leader="none"/>
          <w:tab w:pos="515" w:val="left" w:leader="none"/>
        </w:tabs>
        <w:spacing w:line="278" w:lineRule="auto" w:before="119" w:after="0"/>
        <w:ind w:left="515" w:right="819" w:hanging="396"/>
        <w:jc w:val="both"/>
        <w:rPr>
          <w:sz w:val="22"/>
        </w:rPr>
      </w:pPr>
      <w:r>
        <w:rPr>
          <w:sz w:val="22"/>
        </w:rPr>
        <w:t>STS</w:t>
      </w:r>
      <w:r>
        <w:rPr>
          <w:spacing w:val="-4"/>
          <w:sz w:val="22"/>
        </w:rPr>
        <w:t> </w:t>
      </w:r>
      <w:r>
        <w:rPr>
          <w:sz w:val="22"/>
        </w:rPr>
        <w:t>recipients</w:t>
      </w:r>
      <w:r>
        <w:rPr>
          <w:spacing w:val="-1"/>
          <w:sz w:val="22"/>
        </w:rPr>
        <w:t> </w:t>
      </w:r>
      <w:r>
        <w:rPr>
          <w:sz w:val="22"/>
        </w:rPr>
        <w:t>who</w:t>
      </w:r>
      <w:r>
        <w:rPr>
          <w:spacing w:val="-6"/>
          <w:sz w:val="22"/>
        </w:rPr>
        <w:t> </w:t>
      </w:r>
      <w:r>
        <w:rPr>
          <w:sz w:val="22"/>
        </w:rPr>
        <w:t>withdraw</w:t>
      </w:r>
      <w:r>
        <w:rPr>
          <w:spacing w:val="-2"/>
          <w:sz w:val="22"/>
        </w:rPr>
        <w:t> </w:t>
      </w:r>
      <w:r>
        <w:rPr>
          <w:sz w:val="22"/>
        </w:rPr>
        <w:t>from</w:t>
      </w:r>
      <w:r>
        <w:rPr>
          <w:spacing w:val="-3"/>
          <w:sz w:val="22"/>
        </w:rPr>
        <w:t> </w:t>
      </w:r>
      <w:r>
        <w:rPr>
          <w:sz w:val="22"/>
        </w:rPr>
        <w:t>the</w:t>
      </w:r>
      <w:r>
        <w:rPr>
          <w:spacing w:val="-4"/>
          <w:sz w:val="22"/>
        </w:rPr>
        <w:t> </w:t>
      </w:r>
      <w:r>
        <w:rPr>
          <w:sz w:val="22"/>
        </w:rPr>
        <w:t>eligible</w:t>
      </w:r>
      <w:r>
        <w:rPr>
          <w:spacing w:val="-2"/>
          <w:sz w:val="22"/>
        </w:rPr>
        <w:t> </w:t>
      </w:r>
      <w:r>
        <w:rPr>
          <w:sz w:val="22"/>
        </w:rPr>
        <w:t>ITE</w:t>
      </w:r>
      <w:r>
        <w:rPr>
          <w:spacing w:val="-2"/>
          <w:sz w:val="22"/>
        </w:rPr>
        <w:t> </w:t>
      </w:r>
      <w:r>
        <w:rPr>
          <w:sz w:val="22"/>
        </w:rPr>
        <w:t>degree</w:t>
      </w:r>
      <w:r>
        <w:rPr>
          <w:spacing w:val="-4"/>
          <w:sz w:val="22"/>
        </w:rPr>
        <w:t> </w:t>
      </w:r>
      <w:r>
        <w:rPr>
          <w:sz w:val="22"/>
        </w:rPr>
        <w:t>following</w:t>
      </w:r>
      <w:r>
        <w:rPr>
          <w:spacing w:val="-2"/>
          <w:sz w:val="22"/>
        </w:rPr>
        <w:t> </w:t>
      </w:r>
      <w:r>
        <w:rPr>
          <w:sz w:val="22"/>
        </w:rPr>
        <w:t>the</w:t>
      </w:r>
      <w:r>
        <w:rPr>
          <w:spacing w:val="-2"/>
          <w:sz w:val="22"/>
        </w:rPr>
        <w:t> </w:t>
      </w:r>
      <w:r>
        <w:rPr>
          <w:sz w:val="22"/>
        </w:rPr>
        <w:t>census</w:t>
      </w:r>
      <w:r>
        <w:rPr>
          <w:spacing w:val="-4"/>
          <w:sz w:val="22"/>
        </w:rPr>
        <w:t> </w:t>
      </w:r>
      <w:r>
        <w:rPr>
          <w:sz w:val="22"/>
        </w:rPr>
        <w:t>date</w:t>
      </w:r>
      <w:r>
        <w:rPr>
          <w:spacing w:val="-4"/>
          <w:sz w:val="22"/>
        </w:rPr>
        <w:t> </w:t>
      </w:r>
      <w:r>
        <w:rPr>
          <w:sz w:val="22"/>
        </w:rPr>
        <w:t>must notify DGS and cannot claim a payment for that semester.</w:t>
      </w:r>
    </w:p>
    <w:p>
      <w:pPr>
        <w:pStyle w:val="ListParagraph"/>
        <w:numPr>
          <w:ilvl w:val="1"/>
          <w:numId w:val="10"/>
        </w:numPr>
        <w:tabs>
          <w:tab w:pos="515" w:val="left" w:leader="none"/>
          <w:tab w:pos="526" w:val="left" w:leader="none"/>
        </w:tabs>
        <w:spacing w:line="276" w:lineRule="auto" w:before="117" w:after="0"/>
        <w:ind w:left="515" w:right="815" w:hanging="396"/>
        <w:jc w:val="both"/>
        <w:rPr>
          <w:sz w:val="22"/>
        </w:rPr>
      </w:pPr>
      <w:r>
        <w:rPr>
          <w:b/>
          <w:sz w:val="22"/>
        </w:rPr>
        <w:tab/>
      </w:r>
      <w:r>
        <w:rPr>
          <w:sz w:val="22"/>
        </w:rPr>
        <w:t>Applicants are responsible for updating any changes to their registration details (e.g. withdrawal from ITE degree, change of primary address, or update to bank details) as soon as possible. Changes may impact recipient eligibility.</w:t>
      </w:r>
    </w:p>
    <w:p>
      <w:pPr>
        <w:pStyle w:val="ListParagraph"/>
        <w:numPr>
          <w:ilvl w:val="1"/>
          <w:numId w:val="10"/>
        </w:numPr>
        <w:tabs>
          <w:tab w:pos="515" w:val="left" w:leader="none"/>
          <w:tab w:pos="518" w:val="left" w:leader="none"/>
        </w:tabs>
        <w:spacing w:line="276" w:lineRule="auto" w:before="121" w:after="0"/>
        <w:ind w:left="515" w:right="816" w:hanging="396"/>
        <w:jc w:val="both"/>
        <w:rPr>
          <w:sz w:val="22"/>
        </w:rPr>
      </w:pPr>
      <w:r>
        <w:rPr>
          <w:b/>
          <w:sz w:val="22"/>
        </w:rPr>
        <w:tab/>
      </w:r>
      <w:r>
        <w:rPr>
          <w:sz w:val="22"/>
        </w:rPr>
        <w:t>Applicants may only apply for the STS once they have commenced their ITE degree. Applicants</w:t>
      </w:r>
      <w:r>
        <w:rPr>
          <w:spacing w:val="-5"/>
          <w:sz w:val="22"/>
        </w:rPr>
        <w:t> </w:t>
      </w:r>
      <w:r>
        <w:rPr>
          <w:sz w:val="22"/>
        </w:rPr>
        <w:t>who</w:t>
      </w:r>
      <w:r>
        <w:rPr>
          <w:spacing w:val="-6"/>
          <w:sz w:val="22"/>
        </w:rPr>
        <w:t> </w:t>
      </w:r>
      <w:r>
        <w:rPr>
          <w:sz w:val="22"/>
        </w:rPr>
        <w:t>do</w:t>
      </w:r>
      <w:r>
        <w:rPr>
          <w:spacing w:val="-6"/>
          <w:sz w:val="22"/>
        </w:rPr>
        <w:t> </w:t>
      </w:r>
      <w:r>
        <w:rPr>
          <w:sz w:val="22"/>
        </w:rPr>
        <w:t>not</w:t>
      </w:r>
      <w:r>
        <w:rPr>
          <w:spacing w:val="-5"/>
          <w:sz w:val="22"/>
        </w:rPr>
        <w:t> </w:t>
      </w:r>
      <w:r>
        <w:rPr>
          <w:sz w:val="22"/>
        </w:rPr>
        <w:t>apply</w:t>
      </w:r>
      <w:r>
        <w:rPr>
          <w:spacing w:val="-5"/>
          <w:sz w:val="22"/>
        </w:rPr>
        <w:t> </w:t>
      </w:r>
      <w:r>
        <w:rPr>
          <w:sz w:val="22"/>
        </w:rPr>
        <w:t>for</w:t>
      </w:r>
      <w:r>
        <w:rPr>
          <w:spacing w:val="-5"/>
          <w:sz w:val="22"/>
        </w:rPr>
        <w:t> </w:t>
      </w:r>
      <w:r>
        <w:rPr>
          <w:sz w:val="22"/>
        </w:rPr>
        <w:t>STS</w:t>
      </w:r>
      <w:r>
        <w:rPr>
          <w:spacing w:val="-7"/>
          <w:sz w:val="22"/>
        </w:rPr>
        <w:t> </w:t>
      </w:r>
      <w:r>
        <w:rPr>
          <w:sz w:val="22"/>
        </w:rPr>
        <w:t>at</w:t>
      </w:r>
      <w:r>
        <w:rPr>
          <w:spacing w:val="-7"/>
          <w:sz w:val="22"/>
        </w:rPr>
        <w:t> </w:t>
      </w:r>
      <w:r>
        <w:rPr>
          <w:sz w:val="22"/>
        </w:rPr>
        <w:t>the</w:t>
      </w:r>
      <w:r>
        <w:rPr>
          <w:spacing w:val="-6"/>
          <w:sz w:val="22"/>
        </w:rPr>
        <w:t> </w:t>
      </w:r>
      <w:r>
        <w:rPr>
          <w:sz w:val="22"/>
        </w:rPr>
        <w:t>commencement</w:t>
      </w:r>
      <w:r>
        <w:rPr>
          <w:spacing w:val="-5"/>
          <w:sz w:val="22"/>
        </w:rPr>
        <w:t> </w:t>
      </w:r>
      <w:r>
        <w:rPr>
          <w:sz w:val="22"/>
        </w:rPr>
        <w:t>of</w:t>
      </w:r>
      <w:r>
        <w:rPr>
          <w:spacing w:val="-7"/>
          <w:sz w:val="22"/>
        </w:rPr>
        <w:t> </w:t>
      </w:r>
      <w:r>
        <w:rPr>
          <w:sz w:val="22"/>
        </w:rPr>
        <w:t>their</w:t>
      </w:r>
      <w:r>
        <w:rPr>
          <w:spacing w:val="-5"/>
          <w:sz w:val="22"/>
        </w:rPr>
        <w:t> </w:t>
      </w:r>
      <w:r>
        <w:rPr>
          <w:sz w:val="22"/>
        </w:rPr>
        <w:t>degree</w:t>
      </w:r>
      <w:r>
        <w:rPr>
          <w:spacing w:val="-6"/>
          <w:sz w:val="22"/>
        </w:rPr>
        <w:t> </w:t>
      </w:r>
      <w:r>
        <w:rPr>
          <w:sz w:val="22"/>
        </w:rPr>
        <w:t>will</w:t>
      </w:r>
      <w:r>
        <w:rPr>
          <w:spacing w:val="-5"/>
          <w:sz w:val="22"/>
        </w:rPr>
        <w:t> </w:t>
      </w:r>
      <w:r>
        <w:rPr>
          <w:sz w:val="22"/>
        </w:rPr>
        <w:t>be</w:t>
      </w:r>
      <w:r>
        <w:rPr>
          <w:spacing w:val="-6"/>
          <w:sz w:val="22"/>
        </w:rPr>
        <w:t> </w:t>
      </w:r>
      <w:r>
        <w:rPr>
          <w:sz w:val="22"/>
        </w:rPr>
        <w:t>eligible for payment only from the semester of application. Retrospective payments will not be </w:t>
      </w:r>
      <w:r>
        <w:rPr>
          <w:spacing w:val="-2"/>
          <w:sz w:val="22"/>
        </w:rPr>
        <w:t>provided.</w:t>
      </w:r>
    </w:p>
    <w:p>
      <w:pPr>
        <w:pStyle w:val="ListParagraph"/>
        <w:numPr>
          <w:ilvl w:val="1"/>
          <w:numId w:val="10"/>
        </w:numPr>
        <w:tabs>
          <w:tab w:pos="488" w:val="left" w:leader="none"/>
        </w:tabs>
        <w:spacing w:line="240" w:lineRule="auto" w:before="117" w:after="0"/>
        <w:ind w:left="488" w:right="0" w:hanging="368"/>
        <w:jc w:val="both"/>
        <w:rPr>
          <w:sz w:val="22"/>
        </w:rPr>
      </w:pPr>
      <w:r>
        <w:rPr>
          <w:sz w:val="22"/>
        </w:rPr>
        <w:t>All</w:t>
      </w:r>
      <w:r>
        <w:rPr>
          <w:spacing w:val="-6"/>
          <w:sz w:val="22"/>
        </w:rPr>
        <w:t> </w:t>
      </w:r>
      <w:r>
        <w:rPr>
          <w:sz w:val="22"/>
        </w:rPr>
        <w:t>STS</w:t>
      </w:r>
      <w:r>
        <w:rPr>
          <w:spacing w:val="-4"/>
          <w:sz w:val="22"/>
        </w:rPr>
        <w:t> </w:t>
      </w:r>
      <w:r>
        <w:rPr>
          <w:sz w:val="22"/>
        </w:rPr>
        <w:t>payments</w:t>
      </w:r>
      <w:r>
        <w:rPr>
          <w:spacing w:val="-5"/>
          <w:sz w:val="22"/>
        </w:rPr>
        <w:t> </w:t>
      </w:r>
      <w:r>
        <w:rPr>
          <w:sz w:val="22"/>
        </w:rPr>
        <w:t>must</w:t>
      </w:r>
      <w:r>
        <w:rPr>
          <w:spacing w:val="-2"/>
          <w:sz w:val="22"/>
        </w:rPr>
        <w:t> </w:t>
      </w:r>
      <w:r>
        <w:rPr>
          <w:sz w:val="22"/>
        </w:rPr>
        <w:t>be</w:t>
      </w:r>
      <w:r>
        <w:rPr>
          <w:spacing w:val="-5"/>
          <w:sz w:val="22"/>
        </w:rPr>
        <w:t> </w:t>
      </w:r>
      <w:r>
        <w:rPr>
          <w:sz w:val="22"/>
        </w:rPr>
        <w:t>claimed</w:t>
      </w:r>
      <w:r>
        <w:rPr>
          <w:spacing w:val="-4"/>
          <w:sz w:val="22"/>
        </w:rPr>
        <w:t> </w:t>
      </w:r>
      <w:r>
        <w:rPr>
          <w:sz w:val="22"/>
        </w:rPr>
        <w:t>by</w:t>
      </w:r>
      <w:r>
        <w:rPr>
          <w:spacing w:val="-2"/>
          <w:sz w:val="22"/>
        </w:rPr>
        <w:t> </w:t>
      </w:r>
      <w:r>
        <w:rPr>
          <w:sz w:val="22"/>
        </w:rPr>
        <w:t>June</w:t>
      </w:r>
      <w:r>
        <w:rPr>
          <w:spacing w:val="-6"/>
          <w:sz w:val="22"/>
        </w:rPr>
        <w:t> </w:t>
      </w:r>
      <w:r>
        <w:rPr>
          <w:sz w:val="22"/>
        </w:rPr>
        <w:t>2029,</w:t>
      </w:r>
      <w:r>
        <w:rPr>
          <w:spacing w:val="-1"/>
          <w:sz w:val="22"/>
        </w:rPr>
        <w:t> </w:t>
      </w:r>
      <w:r>
        <w:rPr>
          <w:sz w:val="22"/>
        </w:rPr>
        <w:t>when</w:t>
      </w:r>
      <w:r>
        <w:rPr>
          <w:spacing w:val="-4"/>
          <w:sz w:val="22"/>
        </w:rPr>
        <w:t> </w:t>
      </w:r>
      <w:r>
        <w:rPr>
          <w:sz w:val="22"/>
        </w:rPr>
        <w:t>all</w:t>
      </w:r>
      <w:r>
        <w:rPr>
          <w:spacing w:val="-5"/>
          <w:sz w:val="22"/>
        </w:rPr>
        <w:t> </w:t>
      </w:r>
      <w:r>
        <w:rPr>
          <w:sz w:val="22"/>
        </w:rPr>
        <w:t>funding</w:t>
      </w:r>
      <w:r>
        <w:rPr>
          <w:spacing w:val="-5"/>
          <w:sz w:val="22"/>
        </w:rPr>
        <w:t> </w:t>
      </w:r>
      <w:r>
        <w:rPr>
          <w:sz w:val="22"/>
        </w:rPr>
        <w:t>for</w:t>
      </w:r>
      <w:r>
        <w:rPr>
          <w:spacing w:val="-5"/>
          <w:sz w:val="22"/>
        </w:rPr>
        <w:t> </w:t>
      </w:r>
      <w:r>
        <w:rPr>
          <w:sz w:val="22"/>
        </w:rPr>
        <w:t>STS</w:t>
      </w:r>
      <w:r>
        <w:rPr>
          <w:spacing w:val="-3"/>
          <w:sz w:val="22"/>
        </w:rPr>
        <w:t> </w:t>
      </w:r>
      <w:r>
        <w:rPr>
          <w:spacing w:val="-2"/>
          <w:sz w:val="22"/>
        </w:rPr>
        <w:t>ceases.</w:t>
      </w:r>
    </w:p>
    <w:p>
      <w:pPr>
        <w:spacing w:after="0" w:line="240" w:lineRule="auto"/>
        <w:jc w:val="both"/>
        <w:rPr>
          <w:sz w:val="22"/>
        </w:rPr>
        <w:sectPr>
          <w:pgSz w:w="11910" w:h="16840"/>
          <w:pgMar w:header="0" w:footer="765" w:top="1900" w:bottom="960" w:left="1320" w:right="620"/>
        </w:sectPr>
      </w:pPr>
    </w:p>
    <w:p>
      <w:pPr>
        <w:pStyle w:val="Heading1"/>
        <w:numPr>
          <w:ilvl w:val="0"/>
          <w:numId w:val="1"/>
        </w:numPr>
        <w:tabs>
          <w:tab w:pos="479" w:val="left" w:leader="none"/>
        </w:tabs>
        <w:spacing w:line="240" w:lineRule="auto" w:before="85" w:after="0"/>
        <w:ind w:left="479" w:right="0" w:hanging="359"/>
        <w:jc w:val="left"/>
      </w:pPr>
      <w:bookmarkStart w:name="7. How to apply" w:id="27"/>
      <w:bookmarkEnd w:id="27"/>
      <w:r>
        <w:rPr>
          <w:b w:val="0"/>
        </w:rPr>
      </w:r>
      <w:r>
        <w:rPr>
          <w:color w:val="205E99"/>
        </w:rPr>
        <w:t>How</w:t>
      </w:r>
      <w:r>
        <w:rPr>
          <w:color w:val="205E99"/>
          <w:spacing w:val="-6"/>
        </w:rPr>
        <w:t> </w:t>
      </w:r>
      <w:r>
        <w:rPr>
          <w:color w:val="205E99"/>
        </w:rPr>
        <w:t>to</w:t>
      </w:r>
      <w:r>
        <w:rPr>
          <w:color w:val="205E99"/>
          <w:spacing w:val="-5"/>
        </w:rPr>
        <w:t> </w:t>
      </w:r>
      <w:r>
        <w:rPr>
          <w:color w:val="205E99"/>
          <w:spacing w:val="-4"/>
        </w:rPr>
        <w:t>apply</w:t>
      </w:r>
    </w:p>
    <w:p>
      <w:pPr>
        <w:pStyle w:val="ListParagraph"/>
        <w:numPr>
          <w:ilvl w:val="1"/>
          <w:numId w:val="11"/>
        </w:numPr>
        <w:tabs>
          <w:tab w:pos="488" w:val="left" w:leader="none"/>
        </w:tabs>
        <w:spacing w:line="240" w:lineRule="auto" w:before="137" w:after="0"/>
        <w:ind w:left="488" w:right="0" w:hanging="368"/>
        <w:jc w:val="left"/>
        <w:rPr>
          <w:sz w:val="22"/>
        </w:rPr>
      </w:pPr>
      <w:r>
        <w:rPr>
          <w:sz w:val="22"/>
        </w:rPr>
        <w:t>Applicants</w:t>
      </w:r>
      <w:r>
        <w:rPr>
          <w:spacing w:val="-8"/>
          <w:sz w:val="22"/>
        </w:rPr>
        <w:t> </w:t>
      </w:r>
      <w:r>
        <w:rPr>
          <w:sz w:val="22"/>
        </w:rPr>
        <w:t>must</w:t>
      </w:r>
      <w:r>
        <w:rPr>
          <w:spacing w:val="-4"/>
          <w:sz w:val="22"/>
        </w:rPr>
        <w:t> </w:t>
      </w:r>
      <w:r>
        <w:rPr>
          <w:sz w:val="22"/>
        </w:rPr>
        <w:t>apply</w:t>
      </w:r>
      <w:r>
        <w:rPr>
          <w:spacing w:val="-3"/>
          <w:sz w:val="22"/>
        </w:rPr>
        <w:t> </w:t>
      </w:r>
      <w:r>
        <w:rPr>
          <w:sz w:val="22"/>
        </w:rPr>
        <w:t>for</w:t>
      </w:r>
      <w:r>
        <w:rPr>
          <w:spacing w:val="-2"/>
          <w:sz w:val="22"/>
        </w:rPr>
        <w:t> </w:t>
      </w:r>
      <w:r>
        <w:rPr>
          <w:sz w:val="22"/>
        </w:rPr>
        <w:t>STS</w:t>
      </w:r>
      <w:r>
        <w:rPr>
          <w:spacing w:val="-4"/>
          <w:sz w:val="22"/>
        </w:rPr>
        <w:t> </w:t>
      </w:r>
      <w:r>
        <w:rPr>
          <w:sz w:val="22"/>
        </w:rPr>
        <w:t>payments</w:t>
      </w:r>
      <w:r>
        <w:rPr>
          <w:spacing w:val="-6"/>
          <w:sz w:val="22"/>
        </w:rPr>
        <w:t> </w:t>
      </w:r>
      <w:r>
        <w:rPr>
          <w:sz w:val="22"/>
        </w:rPr>
        <w:t>via</w:t>
      </w:r>
      <w:r>
        <w:rPr>
          <w:spacing w:val="-4"/>
          <w:sz w:val="22"/>
        </w:rPr>
        <w:t> </w:t>
      </w:r>
      <w:r>
        <w:rPr>
          <w:sz w:val="22"/>
        </w:rPr>
        <w:t>the</w:t>
      </w:r>
      <w:r>
        <w:rPr>
          <w:spacing w:val="-4"/>
          <w:sz w:val="22"/>
        </w:rPr>
        <w:t> </w:t>
      </w:r>
      <w:r>
        <w:rPr>
          <w:sz w:val="22"/>
        </w:rPr>
        <w:t>STS</w:t>
      </w:r>
      <w:r>
        <w:rPr>
          <w:spacing w:val="-3"/>
          <w:sz w:val="22"/>
        </w:rPr>
        <w:t> </w:t>
      </w:r>
      <w:r>
        <w:rPr>
          <w:spacing w:val="-2"/>
          <w:sz w:val="22"/>
        </w:rPr>
        <w:t>portal.</w:t>
      </w:r>
    </w:p>
    <w:p>
      <w:pPr>
        <w:pStyle w:val="ListParagraph"/>
        <w:numPr>
          <w:ilvl w:val="1"/>
          <w:numId w:val="11"/>
        </w:numPr>
        <w:tabs>
          <w:tab w:pos="492" w:val="left" w:leader="none"/>
          <w:tab w:pos="516" w:val="left" w:leader="none"/>
        </w:tabs>
        <w:spacing w:line="276" w:lineRule="auto" w:before="193" w:after="0"/>
        <w:ind w:left="516" w:right="816" w:hanging="397"/>
        <w:jc w:val="both"/>
        <w:rPr>
          <w:sz w:val="22"/>
        </w:rPr>
      </w:pPr>
      <w:r>
        <w:rPr>
          <w:sz w:val="22"/>
        </w:rPr>
        <w:t>The link to the STS portal will be provided on the Victorian Government’s </w:t>
      </w:r>
      <w:hyperlink r:id="rId10">
        <w:r>
          <w:rPr>
            <w:rFonts w:ascii="Calibri" w:hAnsi="Calibri"/>
            <w:sz w:val="24"/>
          </w:rPr>
          <w:t>STS webpage</w:t>
        </w:r>
      </w:hyperlink>
      <w:r>
        <w:rPr>
          <w:sz w:val="22"/>
        </w:rPr>
        <w:t>. Applications</w:t>
      </w:r>
      <w:r>
        <w:rPr>
          <w:spacing w:val="-4"/>
          <w:sz w:val="22"/>
        </w:rPr>
        <w:t> </w:t>
      </w:r>
      <w:r>
        <w:rPr>
          <w:sz w:val="22"/>
        </w:rPr>
        <w:t>must</w:t>
      </w:r>
      <w:r>
        <w:rPr>
          <w:spacing w:val="-5"/>
          <w:sz w:val="22"/>
        </w:rPr>
        <w:t> </w:t>
      </w:r>
      <w:r>
        <w:rPr>
          <w:sz w:val="22"/>
        </w:rPr>
        <w:t>be</w:t>
      </w:r>
      <w:r>
        <w:rPr>
          <w:spacing w:val="-6"/>
          <w:sz w:val="22"/>
        </w:rPr>
        <w:t> </w:t>
      </w:r>
      <w:r>
        <w:rPr>
          <w:sz w:val="22"/>
        </w:rPr>
        <w:t>submitted</w:t>
      </w:r>
      <w:r>
        <w:rPr>
          <w:spacing w:val="-6"/>
          <w:sz w:val="22"/>
        </w:rPr>
        <w:t> </w:t>
      </w:r>
      <w:r>
        <w:rPr>
          <w:sz w:val="22"/>
        </w:rPr>
        <w:t>during</w:t>
      </w:r>
      <w:r>
        <w:rPr>
          <w:spacing w:val="-7"/>
          <w:sz w:val="22"/>
        </w:rPr>
        <w:t> </w:t>
      </w:r>
      <w:r>
        <w:rPr>
          <w:sz w:val="22"/>
        </w:rPr>
        <w:t>the</w:t>
      </w:r>
      <w:r>
        <w:rPr>
          <w:spacing w:val="-6"/>
          <w:sz w:val="22"/>
        </w:rPr>
        <w:t> </w:t>
      </w:r>
      <w:r>
        <w:rPr>
          <w:sz w:val="22"/>
        </w:rPr>
        <w:t>STS</w:t>
      </w:r>
      <w:r>
        <w:rPr>
          <w:spacing w:val="-4"/>
          <w:sz w:val="22"/>
        </w:rPr>
        <w:t> </w:t>
      </w:r>
      <w:r>
        <w:rPr>
          <w:sz w:val="22"/>
        </w:rPr>
        <w:t>application</w:t>
      </w:r>
      <w:r>
        <w:rPr>
          <w:spacing w:val="-4"/>
          <w:sz w:val="22"/>
        </w:rPr>
        <w:t> </w:t>
      </w:r>
      <w:r>
        <w:rPr>
          <w:sz w:val="22"/>
        </w:rPr>
        <w:t>rounds</w:t>
      </w:r>
      <w:r>
        <w:rPr>
          <w:spacing w:val="-8"/>
          <w:sz w:val="22"/>
        </w:rPr>
        <w:t> </w:t>
      </w:r>
      <w:r>
        <w:rPr>
          <w:sz w:val="22"/>
        </w:rPr>
        <w:t>(i.e.</w:t>
      </w:r>
      <w:r>
        <w:rPr>
          <w:spacing w:val="-7"/>
          <w:sz w:val="22"/>
        </w:rPr>
        <w:t> </w:t>
      </w:r>
      <w:r>
        <w:rPr>
          <w:sz w:val="22"/>
        </w:rPr>
        <w:t>the</w:t>
      </w:r>
      <w:r>
        <w:rPr>
          <w:spacing w:val="-9"/>
          <w:sz w:val="22"/>
        </w:rPr>
        <w:t> </w:t>
      </w:r>
      <w:r>
        <w:rPr>
          <w:sz w:val="22"/>
        </w:rPr>
        <w:t>dates</w:t>
      </w:r>
      <w:r>
        <w:rPr>
          <w:spacing w:val="-6"/>
          <w:sz w:val="22"/>
        </w:rPr>
        <w:t> </w:t>
      </w:r>
      <w:r>
        <w:rPr>
          <w:sz w:val="22"/>
        </w:rPr>
        <w:t>the</w:t>
      </w:r>
      <w:r>
        <w:rPr>
          <w:spacing w:val="-6"/>
          <w:sz w:val="22"/>
        </w:rPr>
        <w:t> </w:t>
      </w:r>
      <w:r>
        <w:rPr>
          <w:sz w:val="22"/>
        </w:rPr>
        <w:t>STS portal is open) as published in Section 5 of these guidelines.</w:t>
      </w:r>
    </w:p>
    <w:p>
      <w:pPr>
        <w:pStyle w:val="ListParagraph"/>
        <w:numPr>
          <w:ilvl w:val="1"/>
          <w:numId w:val="11"/>
        </w:numPr>
        <w:tabs>
          <w:tab w:pos="505" w:val="left" w:leader="none"/>
          <w:tab w:pos="516" w:val="left" w:leader="none"/>
        </w:tabs>
        <w:spacing w:line="278" w:lineRule="auto" w:before="121" w:after="0"/>
        <w:ind w:left="516" w:right="816" w:hanging="396"/>
        <w:jc w:val="both"/>
        <w:rPr>
          <w:sz w:val="22"/>
        </w:rPr>
      </w:pPr>
      <w:r>
        <w:rPr>
          <w:sz w:val="22"/>
        </w:rPr>
        <w:t>Applicants must provide the following information and documentation in support of their </w:t>
      </w:r>
      <w:r>
        <w:rPr>
          <w:spacing w:val="-2"/>
          <w:sz w:val="22"/>
        </w:rPr>
        <w:t>application:</w:t>
      </w:r>
    </w:p>
    <w:p>
      <w:pPr>
        <w:pStyle w:val="ListParagraph"/>
        <w:numPr>
          <w:ilvl w:val="2"/>
          <w:numId w:val="11"/>
        </w:numPr>
        <w:tabs>
          <w:tab w:pos="1199" w:val="left" w:leader="none"/>
        </w:tabs>
        <w:spacing w:line="265" w:lineRule="exact" w:before="0" w:after="0"/>
        <w:ind w:left="1199" w:right="0" w:hanging="360"/>
        <w:jc w:val="left"/>
        <w:rPr>
          <w:sz w:val="22"/>
        </w:rPr>
      </w:pPr>
      <w:r>
        <w:rPr>
          <w:sz w:val="22"/>
        </w:rPr>
        <w:t>the</w:t>
      </w:r>
      <w:r>
        <w:rPr>
          <w:spacing w:val="-3"/>
          <w:sz w:val="22"/>
        </w:rPr>
        <w:t> </w:t>
      </w:r>
      <w:r>
        <w:rPr>
          <w:sz w:val="22"/>
        </w:rPr>
        <w:t>name</w:t>
      </w:r>
      <w:r>
        <w:rPr>
          <w:spacing w:val="-2"/>
          <w:sz w:val="22"/>
        </w:rPr>
        <w:t> </w:t>
      </w:r>
      <w:r>
        <w:rPr>
          <w:sz w:val="22"/>
        </w:rPr>
        <w:t>of</w:t>
      </w:r>
      <w:r>
        <w:rPr>
          <w:spacing w:val="-3"/>
          <w:sz w:val="22"/>
        </w:rPr>
        <w:t> </w:t>
      </w:r>
      <w:r>
        <w:rPr>
          <w:sz w:val="22"/>
        </w:rPr>
        <w:t>their</w:t>
      </w:r>
      <w:r>
        <w:rPr>
          <w:spacing w:val="-3"/>
          <w:sz w:val="22"/>
        </w:rPr>
        <w:t> </w:t>
      </w:r>
      <w:r>
        <w:rPr>
          <w:sz w:val="22"/>
        </w:rPr>
        <w:t>ITE</w:t>
      </w:r>
      <w:r>
        <w:rPr>
          <w:spacing w:val="-3"/>
          <w:sz w:val="22"/>
        </w:rPr>
        <w:t> </w:t>
      </w:r>
      <w:r>
        <w:rPr>
          <w:spacing w:val="-2"/>
          <w:sz w:val="22"/>
        </w:rPr>
        <w:t>provider</w:t>
      </w:r>
    </w:p>
    <w:p>
      <w:pPr>
        <w:pStyle w:val="ListParagraph"/>
        <w:numPr>
          <w:ilvl w:val="2"/>
          <w:numId w:val="11"/>
        </w:numPr>
        <w:tabs>
          <w:tab w:pos="1200" w:val="left" w:leader="none"/>
        </w:tabs>
        <w:spacing w:line="240" w:lineRule="auto" w:before="35" w:after="0"/>
        <w:ind w:left="1200" w:right="0" w:hanging="360"/>
        <w:jc w:val="left"/>
        <w:rPr>
          <w:sz w:val="22"/>
        </w:rPr>
      </w:pPr>
      <w:r>
        <w:rPr>
          <w:sz w:val="22"/>
        </w:rPr>
        <w:t>the</w:t>
      </w:r>
      <w:r>
        <w:rPr>
          <w:spacing w:val="-7"/>
          <w:sz w:val="22"/>
        </w:rPr>
        <w:t> </w:t>
      </w:r>
      <w:r>
        <w:rPr>
          <w:sz w:val="22"/>
        </w:rPr>
        <w:t>ITE</w:t>
      </w:r>
      <w:r>
        <w:rPr>
          <w:spacing w:val="-2"/>
          <w:sz w:val="22"/>
        </w:rPr>
        <w:t> </w:t>
      </w:r>
      <w:r>
        <w:rPr>
          <w:sz w:val="22"/>
        </w:rPr>
        <w:t>degree</w:t>
      </w:r>
      <w:r>
        <w:rPr>
          <w:spacing w:val="-2"/>
          <w:sz w:val="22"/>
        </w:rPr>
        <w:t> </w:t>
      </w:r>
      <w:r>
        <w:rPr>
          <w:sz w:val="22"/>
        </w:rPr>
        <w:t>course</w:t>
      </w:r>
      <w:r>
        <w:rPr>
          <w:spacing w:val="-4"/>
          <w:sz w:val="22"/>
        </w:rPr>
        <w:t> code</w:t>
      </w:r>
    </w:p>
    <w:p>
      <w:pPr>
        <w:pStyle w:val="ListParagraph"/>
        <w:numPr>
          <w:ilvl w:val="2"/>
          <w:numId w:val="11"/>
        </w:numPr>
        <w:tabs>
          <w:tab w:pos="1200" w:val="left" w:leader="none"/>
        </w:tabs>
        <w:spacing w:line="240" w:lineRule="auto" w:before="37" w:after="0"/>
        <w:ind w:left="1200" w:right="0" w:hanging="360"/>
        <w:jc w:val="left"/>
        <w:rPr>
          <w:sz w:val="22"/>
        </w:rPr>
      </w:pPr>
      <w:r>
        <w:rPr>
          <w:sz w:val="22"/>
        </w:rPr>
        <w:t>the</w:t>
      </w:r>
      <w:r>
        <w:rPr>
          <w:spacing w:val="-2"/>
          <w:sz w:val="22"/>
        </w:rPr>
        <w:t> </w:t>
      </w:r>
      <w:r>
        <w:rPr>
          <w:sz w:val="22"/>
        </w:rPr>
        <w:t>name</w:t>
      </w:r>
      <w:r>
        <w:rPr>
          <w:spacing w:val="-1"/>
          <w:sz w:val="22"/>
        </w:rPr>
        <w:t> </w:t>
      </w:r>
      <w:r>
        <w:rPr>
          <w:sz w:val="22"/>
        </w:rPr>
        <w:t>of</w:t>
      </w:r>
      <w:r>
        <w:rPr>
          <w:spacing w:val="-3"/>
          <w:sz w:val="22"/>
        </w:rPr>
        <w:t> </w:t>
      </w:r>
      <w:r>
        <w:rPr>
          <w:sz w:val="22"/>
        </w:rPr>
        <w:t>the</w:t>
      </w:r>
      <w:r>
        <w:rPr>
          <w:spacing w:val="-3"/>
          <w:sz w:val="22"/>
        </w:rPr>
        <w:t> </w:t>
      </w:r>
      <w:r>
        <w:rPr>
          <w:sz w:val="22"/>
        </w:rPr>
        <w:t>ITE</w:t>
      </w:r>
      <w:r>
        <w:rPr>
          <w:spacing w:val="-1"/>
          <w:sz w:val="22"/>
        </w:rPr>
        <w:t> </w:t>
      </w:r>
      <w:r>
        <w:rPr>
          <w:spacing w:val="-2"/>
          <w:sz w:val="22"/>
        </w:rPr>
        <w:t>degree</w:t>
      </w:r>
    </w:p>
    <w:p>
      <w:pPr>
        <w:pStyle w:val="ListParagraph"/>
        <w:numPr>
          <w:ilvl w:val="2"/>
          <w:numId w:val="11"/>
        </w:numPr>
        <w:tabs>
          <w:tab w:pos="1200" w:val="left" w:leader="none"/>
        </w:tabs>
        <w:spacing w:line="240" w:lineRule="auto" w:before="36" w:after="0"/>
        <w:ind w:left="1200" w:right="0" w:hanging="360"/>
        <w:jc w:val="left"/>
        <w:rPr>
          <w:sz w:val="22"/>
        </w:rPr>
      </w:pPr>
      <w:r>
        <w:rPr>
          <w:sz w:val="22"/>
        </w:rPr>
        <w:t>their</w:t>
      </w:r>
      <w:r>
        <w:rPr>
          <w:spacing w:val="-2"/>
          <w:sz w:val="22"/>
        </w:rPr>
        <w:t> </w:t>
      </w:r>
      <w:r>
        <w:rPr>
          <w:sz w:val="22"/>
        </w:rPr>
        <w:t>student</w:t>
      </w:r>
      <w:r>
        <w:rPr>
          <w:spacing w:val="-5"/>
          <w:sz w:val="22"/>
        </w:rPr>
        <w:t> </w:t>
      </w:r>
      <w:r>
        <w:rPr>
          <w:sz w:val="22"/>
        </w:rPr>
        <w:t>ID</w:t>
      </w:r>
      <w:r>
        <w:rPr>
          <w:spacing w:val="-4"/>
          <w:sz w:val="22"/>
        </w:rPr>
        <w:t> </w:t>
      </w:r>
      <w:r>
        <w:rPr>
          <w:sz w:val="22"/>
        </w:rPr>
        <w:t>number</w:t>
      </w:r>
      <w:r>
        <w:rPr>
          <w:spacing w:val="-4"/>
          <w:sz w:val="22"/>
        </w:rPr>
        <w:t> </w:t>
      </w:r>
      <w:r>
        <w:rPr>
          <w:sz w:val="22"/>
        </w:rPr>
        <w:t>(from</w:t>
      </w:r>
      <w:r>
        <w:rPr>
          <w:spacing w:val="-3"/>
          <w:sz w:val="22"/>
        </w:rPr>
        <w:t> </w:t>
      </w:r>
      <w:r>
        <w:rPr>
          <w:sz w:val="22"/>
        </w:rPr>
        <w:t>their</w:t>
      </w:r>
      <w:r>
        <w:rPr>
          <w:spacing w:val="-4"/>
          <w:sz w:val="22"/>
        </w:rPr>
        <w:t> </w:t>
      </w:r>
      <w:r>
        <w:rPr>
          <w:sz w:val="22"/>
        </w:rPr>
        <w:t>ITE</w:t>
      </w:r>
      <w:r>
        <w:rPr>
          <w:spacing w:val="-3"/>
          <w:sz w:val="22"/>
        </w:rPr>
        <w:t> </w:t>
      </w:r>
      <w:r>
        <w:rPr>
          <w:spacing w:val="-2"/>
          <w:sz w:val="22"/>
        </w:rPr>
        <w:t>provider)</w:t>
      </w:r>
    </w:p>
    <w:p>
      <w:pPr>
        <w:pStyle w:val="ListParagraph"/>
        <w:numPr>
          <w:ilvl w:val="2"/>
          <w:numId w:val="11"/>
        </w:numPr>
        <w:tabs>
          <w:tab w:pos="1200" w:val="left" w:leader="none"/>
        </w:tabs>
        <w:spacing w:line="273" w:lineRule="auto" w:before="35" w:after="0"/>
        <w:ind w:left="1200" w:right="815" w:hanging="361"/>
        <w:jc w:val="left"/>
        <w:rPr>
          <w:sz w:val="22"/>
        </w:rPr>
      </w:pPr>
      <w:r>
        <w:rPr>
          <w:sz w:val="22"/>
        </w:rPr>
        <w:t>their</w:t>
      </w:r>
      <w:r>
        <w:rPr>
          <w:spacing w:val="30"/>
          <w:sz w:val="22"/>
        </w:rPr>
        <w:t> </w:t>
      </w:r>
      <w:r>
        <w:rPr>
          <w:sz w:val="22"/>
        </w:rPr>
        <w:t>Unique</w:t>
      </w:r>
      <w:r>
        <w:rPr>
          <w:spacing w:val="28"/>
          <w:sz w:val="22"/>
        </w:rPr>
        <w:t> </w:t>
      </w:r>
      <w:r>
        <w:rPr>
          <w:sz w:val="22"/>
        </w:rPr>
        <w:t>Student</w:t>
      </w:r>
      <w:r>
        <w:rPr>
          <w:spacing w:val="30"/>
          <w:sz w:val="22"/>
        </w:rPr>
        <w:t> </w:t>
      </w:r>
      <w:r>
        <w:rPr>
          <w:sz w:val="22"/>
        </w:rPr>
        <w:t>Identifier (USI)</w:t>
      </w:r>
      <w:r>
        <w:rPr>
          <w:spacing w:val="30"/>
          <w:sz w:val="22"/>
        </w:rPr>
        <w:t> </w:t>
      </w:r>
      <w:r>
        <w:rPr>
          <w:sz w:val="22"/>
        </w:rPr>
        <w:t>number.</w:t>
      </w:r>
      <w:r>
        <w:rPr>
          <w:spacing w:val="30"/>
          <w:sz w:val="22"/>
        </w:rPr>
        <w:t> </w:t>
      </w:r>
      <w:r>
        <w:rPr>
          <w:sz w:val="22"/>
        </w:rPr>
        <w:t>USI</w:t>
      </w:r>
      <w:r>
        <w:rPr>
          <w:spacing w:val="30"/>
          <w:sz w:val="22"/>
        </w:rPr>
        <w:t> </w:t>
      </w:r>
      <w:r>
        <w:rPr>
          <w:sz w:val="22"/>
        </w:rPr>
        <w:t>numbers</w:t>
      </w:r>
      <w:r>
        <w:rPr>
          <w:spacing w:val="29"/>
          <w:sz w:val="22"/>
        </w:rPr>
        <w:t> </w:t>
      </w:r>
      <w:r>
        <w:rPr>
          <w:sz w:val="22"/>
        </w:rPr>
        <w:t>can be</w:t>
      </w:r>
      <w:r>
        <w:rPr>
          <w:spacing w:val="28"/>
          <w:sz w:val="22"/>
        </w:rPr>
        <w:t> </w:t>
      </w:r>
      <w:r>
        <w:rPr>
          <w:sz w:val="22"/>
        </w:rPr>
        <w:t>found</w:t>
      </w:r>
      <w:r>
        <w:rPr>
          <w:spacing w:val="28"/>
          <w:sz w:val="22"/>
        </w:rPr>
        <w:t> </w:t>
      </w:r>
      <w:r>
        <w:rPr>
          <w:sz w:val="22"/>
        </w:rPr>
        <w:t>here: </w:t>
      </w:r>
      <w:hyperlink r:id="rId11">
        <w:r>
          <w:rPr>
            <w:color w:val="467885"/>
            <w:spacing w:val="-2"/>
            <w:sz w:val="22"/>
            <w:u w:val="single" w:color="467885"/>
          </w:rPr>
          <w:t>https://www.usi.gov.au/PSTs/find-your-usi</w:t>
        </w:r>
      </w:hyperlink>
    </w:p>
    <w:p>
      <w:pPr>
        <w:pStyle w:val="ListParagraph"/>
        <w:numPr>
          <w:ilvl w:val="2"/>
          <w:numId w:val="11"/>
        </w:numPr>
        <w:tabs>
          <w:tab w:pos="1200" w:val="left" w:leader="none"/>
        </w:tabs>
        <w:spacing w:line="240" w:lineRule="auto" w:before="2" w:after="0"/>
        <w:ind w:left="1200" w:right="0" w:hanging="360"/>
        <w:jc w:val="left"/>
        <w:rPr>
          <w:sz w:val="22"/>
        </w:rPr>
      </w:pPr>
      <w:r>
        <w:rPr>
          <w:sz w:val="22"/>
        </w:rPr>
        <w:t>their</w:t>
      </w:r>
      <w:r>
        <w:rPr>
          <w:spacing w:val="-3"/>
          <w:sz w:val="22"/>
        </w:rPr>
        <w:t> </w:t>
      </w:r>
      <w:r>
        <w:rPr>
          <w:sz w:val="22"/>
        </w:rPr>
        <w:t>part-time</w:t>
      </w:r>
      <w:r>
        <w:rPr>
          <w:spacing w:val="-4"/>
          <w:sz w:val="22"/>
        </w:rPr>
        <w:t> </w:t>
      </w:r>
      <w:r>
        <w:rPr>
          <w:sz w:val="22"/>
        </w:rPr>
        <w:t>or</w:t>
      </w:r>
      <w:r>
        <w:rPr>
          <w:spacing w:val="-5"/>
          <w:sz w:val="22"/>
        </w:rPr>
        <w:t> </w:t>
      </w:r>
      <w:r>
        <w:rPr>
          <w:sz w:val="22"/>
        </w:rPr>
        <w:t>full-time</w:t>
      </w:r>
      <w:r>
        <w:rPr>
          <w:spacing w:val="-6"/>
          <w:sz w:val="22"/>
        </w:rPr>
        <w:t> </w:t>
      </w:r>
      <w:r>
        <w:rPr>
          <w:sz w:val="22"/>
        </w:rPr>
        <w:t>study</w:t>
      </w:r>
      <w:r>
        <w:rPr>
          <w:spacing w:val="-5"/>
          <w:sz w:val="22"/>
        </w:rPr>
        <w:t> </w:t>
      </w:r>
      <w:r>
        <w:rPr>
          <w:spacing w:val="-2"/>
          <w:sz w:val="22"/>
        </w:rPr>
        <w:t>status</w:t>
      </w:r>
    </w:p>
    <w:p>
      <w:pPr>
        <w:pStyle w:val="ListParagraph"/>
        <w:numPr>
          <w:ilvl w:val="2"/>
          <w:numId w:val="11"/>
        </w:numPr>
        <w:tabs>
          <w:tab w:pos="1200" w:val="left" w:leader="none"/>
        </w:tabs>
        <w:spacing w:line="273" w:lineRule="auto" w:before="35" w:after="0"/>
        <w:ind w:left="1200" w:right="820" w:hanging="361"/>
        <w:jc w:val="left"/>
        <w:rPr>
          <w:sz w:val="22"/>
        </w:rPr>
      </w:pPr>
      <w:r>
        <w:rPr>
          <w:sz w:val="22"/>
        </w:rPr>
        <w:t>their</w:t>
      </w:r>
      <w:r>
        <w:rPr>
          <w:spacing w:val="-9"/>
          <w:sz w:val="22"/>
        </w:rPr>
        <w:t> </w:t>
      </w:r>
      <w:r>
        <w:rPr>
          <w:sz w:val="22"/>
        </w:rPr>
        <w:t>address</w:t>
      </w:r>
      <w:r>
        <w:rPr>
          <w:spacing w:val="-9"/>
          <w:sz w:val="22"/>
        </w:rPr>
        <w:t> </w:t>
      </w:r>
      <w:r>
        <w:rPr>
          <w:sz w:val="22"/>
        </w:rPr>
        <w:t>of</w:t>
      </w:r>
      <w:r>
        <w:rPr>
          <w:spacing w:val="-11"/>
          <w:sz w:val="22"/>
        </w:rPr>
        <w:t> </w:t>
      </w:r>
      <w:r>
        <w:rPr>
          <w:sz w:val="22"/>
        </w:rPr>
        <w:t>primary</w:t>
      </w:r>
      <w:r>
        <w:rPr>
          <w:spacing w:val="-11"/>
          <w:sz w:val="22"/>
        </w:rPr>
        <w:t> </w:t>
      </w:r>
      <w:r>
        <w:rPr>
          <w:sz w:val="22"/>
        </w:rPr>
        <w:t>residence</w:t>
      </w:r>
      <w:r>
        <w:rPr>
          <w:spacing w:val="-10"/>
          <w:sz w:val="22"/>
        </w:rPr>
        <w:t> </w:t>
      </w:r>
      <w:r>
        <w:rPr>
          <w:sz w:val="22"/>
        </w:rPr>
        <w:t>(i.e.</w:t>
      </w:r>
      <w:r>
        <w:rPr>
          <w:spacing w:val="-11"/>
          <w:sz w:val="22"/>
        </w:rPr>
        <w:t> </w:t>
      </w:r>
      <w:r>
        <w:rPr>
          <w:sz w:val="22"/>
        </w:rPr>
        <w:t>where</w:t>
      </w:r>
      <w:r>
        <w:rPr>
          <w:spacing w:val="-11"/>
          <w:sz w:val="22"/>
        </w:rPr>
        <w:t> </w:t>
      </w:r>
      <w:r>
        <w:rPr>
          <w:sz w:val="22"/>
        </w:rPr>
        <w:t>the</w:t>
      </w:r>
      <w:r>
        <w:rPr>
          <w:spacing w:val="-11"/>
          <w:sz w:val="22"/>
        </w:rPr>
        <w:t> </w:t>
      </w:r>
      <w:r>
        <w:rPr>
          <w:sz w:val="22"/>
        </w:rPr>
        <w:t>applicant</w:t>
      </w:r>
      <w:r>
        <w:rPr>
          <w:spacing w:val="-8"/>
          <w:sz w:val="22"/>
        </w:rPr>
        <w:t> </w:t>
      </w:r>
      <w:r>
        <w:rPr>
          <w:sz w:val="22"/>
        </w:rPr>
        <w:t>is</w:t>
      </w:r>
      <w:r>
        <w:rPr>
          <w:spacing w:val="-9"/>
          <w:sz w:val="22"/>
        </w:rPr>
        <w:t> </w:t>
      </w:r>
      <w:r>
        <w:rPr>
          <w:sz w:val="22"/>
        </w:rPr>
        <w:t>living</w:t>
      </w:r>
      <w:r>
        <w:rPr>
          <w:spacing w:val="-10"/>
          <w:sz w:val="22"/>
        </w:rPr>
        <w:t> </w:t>
      </w:r>
      <w:r>
        <w:rPr>
          <w:sz w:val="22"/>
        </w:rPr>
        <w:t>while</w:t>
      </w:r>
      <w:r>
        <w:rPr>
          <w:spacing w:val="-10"/>
          <w:sz w:val="22"/>
        </w:rPr>
        <w:t> </w:t>
      </w:r>
      <w:r>
        <w:rPr>
          <w:sz w:val="22"/>
        </w:rPr>
        <w:t>studying) and contact details</w:t>
      </w:r>
    </w:p>
    <w:p>
      <w:pPr>
        <w:pStyle w:val="ListParagraph"/>
        <w:numPr>
          <w:ilvl w:val="2"/>
          <w:numId w:val="11"/>
        </w:numPr>
        <w:tabs>
          <w:tab w:pos="1200" w:val="left" w:leader="none"/>
        </w:tabs>
        <w:spacing w:line="240" w:lineRule="auto" w:before="5" w:after="0"/>
        <w:ind w:left="1200" w:right="0" w:hanging="360"/>
        <w:jc w:val="left"/>
        <w:rPr>
          <w:sz w:val="22"/>
        </w:rPr>
      </w:pPr>
      <w:r>
        <w:rPr>
          <w:sz w:val="22"/>
        </w:rPr>
        <w:t>Australian</w:t>
      </w:r>
      <w:r>
        <w:rPr>
          <w:spacing w:val="-5"/>
          <w:sz w:val="22"/>
        </w:rPr>
        <w:t> </w:t>
      </w:r>
      <w:r>
        <w:rPr>
          <w:sz w:val="22"/>
        </w:rPr>
        <w:t>bank</w:t>
      </w:r>
      <w:r>
        <w:rPr>
          <w:spacing w:val="-6"/>
          <w:sz w:val="22"/>
        </w:rPr>
        <w:t> </w:t>
      </w:r>
      <w:r>
        <w:rPr>
          <w:sz w:val="22"/>
        </w:rPr>
        <w:t>account</w:t>
      </w:r>
      <w:r>
        <w:rPr>
          <w:spacing w:val="-5"/>
          <w:sz w:val="22"/>
        </w:rPr>
        <w:t> </w:t>
      </w:r>
      <w:r>
        <w:rPr>
          <w:sz w:val="22"/>
        </w:rPr>
        <w:t>details</w:t>
      </w:r>
      <w:r>
        <w:rPr>
          <w:spacing w:val="-4"/>
          <w:sz w:val="22"/>
        </w:rPr>
        <w:t> </w:t>
      </w:r>
      <w:r>
        <w:rPr>
          <w:sz w:val="22"/>
        </w:rPr>
        <w:t>for</w:t>
      </w:r>
      <w:r>
        <w:rPr>
          <w:spacing w:val="-2"/>
          <w:sz w:val="22"/>
        </w:rPr>
        <w:t> </w:t>
      </w:r>
      <w:r>
        <w:rPr>
          <w:sz w:val="22"/>
        </w:rPr>
        <w:t>where</w:t>
      </w:r>
      <w:r>
        <w:rPr>
          <w:spacing w:val="-7"/>
          <w:sz w:val="22"/>
        </w:rPr>
        <w:t> </w:t>
      </w:r>
      <w:r>
        <w:rPr>
          <w:sz w:val="22"/>
        </w:rPr>
        <w:t>they</w:t>
      </w:r>
      <w:r>
        <w:rPr>
          <w:spacing w:val="-3"/>
          <w:sz w:val="22"/>
        </w:rPr>
        <w:t> </w:t>
      </w:r>
      <w:r>
        <w:rPr>
          <w:sz w:val="22"/>
        </w:rPr>
        <w:t>would</w:t>
      </w:r>
      <w:r>
        <w:rPr>
          <w:spacing w:val="-4"/>
          <w:sz w:val="22"/>
        </w:rPr>
        <w:t> </w:t>
      </w:r>
      <w:r>
        <w:rPr>
          <w:sz w:val="22"/>
        </w:rPr>
        <w:t>like</w:t>
      </w:r>
      <w:r>
        <w:rPr>
          <w:spacing w:val="-5"/>
          <w:sz w:val="22"/>
        </w:rPr>
        <w:t> </w:t>
      </w:r>
      <w:r>
        <w:rPr>
          <w:sz w:val="22"/>
        </w:rPr>
        <w:t>the</w:t>
      </w:r>
      <w:r>
        <w:rPr>
          <w:spacing w:val="-6"/>
          <w:sz w:val="22"/>
        </w:rPr>
        <w:t> </w:t>
      </w:r>
      <w:r>
        <w:rPr>
          <w:sz w:val="22"/>
        </w:rPr>
        <w:t>funding</w:t>
      </w:r>
      <w:r>
        <w:rPr>
          <w:spacing w:val="-3"/>
          <w:sz w:val="22"/>
        </w:rPr>
        <w:t> </w:t>
      </w:r>
      <w:r>
        <w:rPr>
          <w:spacing w:val="-2"/>
          <w:sz w:val="22"/>
        </w:rPr>
        <w:t>paid.</w:t>
      </w:r>
    </w:p>
    <w:p>
      <w:pPr>
        <w:pStyle w:val="Heading2"/>
        <w:numPr>
          <w:ilvl w:val="1"/>
          <w:numId w:val="11"/>
        </w:numPr>
        <w:tabs>
          <w:tab w:pos="488" w:val="left" w:leader="none"/>
        </w:tabs>
        <w:spacing w:line="240" w:lineRule="auto" w:before="194" w:after="0"/>
        <w:ind w:left="488" w:right="0" w:hanging="368"/>
        <w:jc w:val="left"/>
      </w:pPr>
      <w:r>
        <w:rPr/>
        <w:t>Proof</w:t>
      </w:r>
      <w:r>
        <w:rPr>
          <w:spacing w:val="-3"/>
        </w:rPr>
        <w:t> </w:t>
      </w:r>
      <w:r>
        <w:rPr/>
        <w:t>of</w:t>
      </w:r>
      <w:r>
        <w:rPr>
          <w:spacing w:val="-4"/>
        </w:rPr>
        <w:t> </w:t>
      </w:r>
      <w:r>
        <w:rPr>
          <w:spacing w:val="-2"/>
        </w:rPr>
        <w:t>Identity:</w:t>
      </w:r>
    </w:p>
    <w:p>
      <w:pPr>
        <w:pStyle w:val="BodyText"/>
        <w:spacing w:line="278" w:lineRule="auto" w:before="37"/>
        <w:ind w:left="676" w:right="890"/>
      </w:pPr>
      <w:r>
        <w:rPr/>
        <w:t>The</w:t>
      </w:r>
      <w:r>
        <w:rPr>
          <w:spacing w:val="-2"/>
        </w:rPr>
        <w:t> </w:t>
      </w:r>
      <w:r>
        <w:rPr/>
        <w:t>applicant</w:t>
      </w:r>
      <w:r>
        <w:rPr>
          <w:spacing w:val="-3"/>
        </w:rPr>
        <w:t> </w:t>
      </w:r>
      <w:r>
        <w:rPr/>
        <w:t>must</w:t>
      </w:r>
      <w:r>
        <w:rPr>
          <w:spacing w:val="-2"/>
        </w:rPr>
        <w:t> </w:t>
      </w:r>
      <w:r>
        <w:rPr/>
        <w:t>be</w:t>
      </w:r>
      <w:r>
        <w:rPr>
          <w:spacing w:val="-4"/>
        </w:rPr>
        <w:t> </w:t>
      </w:r>
      <w:r>
        <w:rPr/>
        <w:t>the</w:t>
      </w:r>
      <w:r>
        <w:rPr>
          <w:spacing w:val="-2"/>
        </w:rPr>
        <w:t> </w:t>
      </w:r>
      <w:r>
        <w:rPr/>
        <w:t>intended</w:t>
      </w:r>
      <w:r>
        <w:rPr>
          <w:spacing w:val="-3"/>
        </w:rPr>
        <w:t> </w:t>
      </w:r>
      <w:r>
        <w:rPr/>
        <w:t>STS</w:t>
      </w:r>
      <w:r>
        <w:rPr>
          <w:spacing w:val="-4"/>
        </w:rPr>
        <w:t> </w:t>
      </w:r>
      <w:r>
        <w:rPr/>
        <w:t>recipient</w:t>
      </w:r>
      <w:r>
        <w:rPr>
          <w:spacing w:val="-2"/>
        </w:rPr>
        <w:t> </w:t>
      </w:r>
      <w:r>
        <w:rPr/>
        <w:t>and</w:t>
      </w:r>
      <w:r>
        <w:rPr>
          <w:spacing w:val="-4"/>
        </w:rPr>
        <w:t> </w:t>
      </w:r>
      <w:r>
        <w:rPr/>
        <w:t>must</w:t>
      </w:r>
      <w:r>
        <w:rPr>
          <w:spacing w:val="-2"/>
        </w:rPr>
        <w:t> </w:t>
      </w:r>
      <w:r>
        <w:rPr/>
        <w:t>provide</w:t>
      </w:r>
      <w:r>
        <w:rPr>
          <w:spacing w:val="-3"/>
        </w:rPr>
        <w:t> </w:t>
      </w:r>
      <w:r>
        <w:rPr/>
        <w:t>information</w:t>
      </w:r>
      <w:r>
        <w:rPr>
          <w:spacing w:val="-2"/>
        </w:rPr>
        <w:t> </w:t>
      </w:r>
      <w:r>
        <w:rPr/>
        <w:t>from one of the following current proof of identity documents on the application form:</w:t>
      </w:r>
    </w:p>
    <w:p>
      <w:pPr>
        <w:pStyle w:val="ListParagraph"/>
        <w:numPr>
          <w:ilvl w:val="2"/>
          <w:numId w:val="11"/>
        </w:numPr>
        <w:tabs>
          <w:tab w:pos="1200" w:val="left" w:leader="none"/>
        </w:tabs>
        <w:spacing w:line="240" w:lineRule="auto" w:before="116" w:after="0"/>
        <w:ind w:left="1200" w:right="0" w:hanging="361"/>
        <w:jc w:val="left"/>
        <w:rPr>
          <w:i/>
          <w:sz w:val="22"/>
        </w:rPr>
      </w:pPr>
      <w:r>
        <w:rPr>
          <w:sz w:val="22"/>
        </w:rPr>
        <w:t>Australian</w:t>
      </w:r>
      <w:r>
        <w:rPr>
          <w:spacing w:val="-8"/>
          <w:sz w:val="22"/>
        </w:rPr>
        <w:t> </w:t>
      </w:r>
      <w:r>
        <w:rPr>
          <w:sz w:val="22"/>
        </w:rPr>
        <w:t>passport,</w:t>
      </w:r>
      <w:r>
        <w:rPr>
          <w:spacing w:val="-5"/>
          <w:sz w:val="22"/>
        </w:rPr>
        <w:t> </w:t>
      </w:r>
      <w:r>
        <w:rPr>
          <w:i/>
          <w:spacing w:val="-5"/>
          <w:sz w:val="22"/>
        </w:rPr>
        <w:t>or</w:t>
      </w:r>
    </w:p>
    <w:p>
      <w:pPr>
        <w:pStyle w:val="ListParagraph"/>
        <w:numPr>
          <w:ilvl w:val="2"/>
          <w:numId w:val="11"/>
        </w:numPr>
        <w:tabs>
          <w:tab w:pos="1200" w:val="left" w:leader="none"/>
        </w:tabs>
        <w:spacing w:line="240" w:lineRule="auto" w:before="35" w:after="0"/>
        <w:ind w:left="1200" w:right="0" w:hanging="360"/>
        <w:jc w:val="left"/>
        <w:rPr>
          <w:i/>
          <w:sz w:val="22"/>
        </w:rPr>
      </w:pPr>
      <w:r>
        <w:rPr>
          <w:sz w:val="22"/>
        </w:rPr>
        <w:t>foreign</w:t>
      </w:r>
      <w:r>
        <w:rPr>
          <w:spacing w:val="-5"/>
          <w:sz w:val="22"/>
        </w:rPr>
        <w:t> </w:t>
      </w:r>
      <w:r>
        <w:rPr>
          <w:sz w:val="22"/>
        </w:rPr>
        <w:t>passport</w:t>
      </w:r>
      <w:r>
        <w:rPr>
          <w:spacing w:val="-5"/>
          <w:sz w:val="22"/>
        </w:rPr>
        <w:t> </w:t>
      </w:r>
      <w:r>
        <w:rPr>
          <w:sz w:val="22"/>
        </w:rPr>
        <w:t>for</w:t>
      </w:r>
      <w:r>
        <w:rPr>
          <w:spacing w:val="-6"/>
          <w:sz w:val="22"/>
        </w:rPr>
        <w:t> </w:t>
      </w:r>
      <w:r>
        <w:rPr>
          <w:sz w:val="22"/>
        </w:rPr>
        <w:t>those</w:t>
      </w:r>
      <w:r>
        <w:rPr>
          <w:spacing w:val="-4"/>
          <w:sz w:val="22"/>
        </w:rPr>
        <w:t> </w:t>
      </w:r>
      <w:r>
        <w:rPr>
          <w:sz w:val="22"/>
        </w:rPr>
        <w:t>issued</w:t>
      </w:r>
      <w:r>
        <w:rPr>
          <w:spacing w:val="-5"/>
          <w:sz w:val="22"/>
        </w:rPr>
        <w:t> </w:t>
      </w:r>
      <w:r>
        <w:rPr>
          <w:sz w:val="22"/>
        </w:rPr>
        <w:t>with</w:t>
      </w:r>
      <w:r>
        <w:rPr>
          <w:spacing w:val="-6"/>
          <w:sz w:val="22"/>
        </w:rPr>
        <w:t> </w:t>
      </w:r>
      <w:r>
        <w:rPr>
          <w:sz w:val="22"/>
        </w:rPr>
        <w:t>an</w:t>
      </w:r>
      <w:r>
        <w:rPr>
          <w:spacing w:val="-5"/>
          <w:sz w:val="22"/>
        </w:rPr>
        <w:t> </w:t>
      </w:r>
      <w:r>
        <w:rPr>
          <w:sz w:val="22"/>
        </w:rPr>
        <w:t>eligible</w:t>
      </w:r>
      <w:r>
        <w:rPr>
          <w:spacing w:val="-4"/>
          <w:sz w:val="22"/>
        </w:rPr>
        <w:t> </w:t>
      </w:r>
      <w:r>
        <w:rPr>
          <w:sz w:val="22"/>
        </w:rPr>
        <w:t>Australian</w:t>
      </w:r>
      <w:r>
        <w:rPr>
          <w:spacing w:val="-5"/>
          <w:sz w:val="22"/>
        </w:rPr>
        <w:t> </w:t>
      </w:r>
      <w:r>
        <w:rPr>
          <w:sz w:val="22"/>
        </w:rPr>
        <w:t>visa</w:t>
      </w:r>
      <w:r>
        <w:rPr>
          <w:spacing w:val="-6"/>
          <w:sz w:val="22"/>
        </w:rPr>
        <w:t> </w:t>
      </w:r>
      <w:r>
        <w:rPr>
          <w:sz w:val="22"/>
        </w:rPr>
        <w:t>type,</w:t>
      </w:r>
      <w:r>
        <w:rPr>
          <w:spacing w:val="-2"/>
          <w:sz w:val="22"/>
        </w:rPr>
        <w:t> </w:t>
      </w:r>
      <w:r>
        <w:rPr>
          <w:i/>
          <w:spacing w:val="-5"/>
          <w:sz w:val="22"/>
        </w:rPr>
        <w:t>or</w:t>
      </w:r>
    </w:p>
    <w:p>
      <w:pPr>
        <w:pStyle w:val="ListParagraph"/>
        <w:numPr>
          <w:ilvl w:val="2"/>
          <w:numId w:val="11"/>
        </w:numPr>
        <w:tabs>
          <w:tab w:pos="1200" w:val="left" w:leader="none"/>
        </w:tabs>
        <w:spacing w:line="240" w:lineRule="auto" w:before="38" w:after="0"/>
        <w:ind w:left="1200" w:right="0" w:hanging="360"/>
        <w:jc w:val="left"/>
        <w:rPr>
          <w:i/>
          <w:sz w:val="22"/>
        </w:rPr>
      </w:pPr>
      <w:r>
        <w:rPr>
          <w:sz w:val="22"/>
        </w:rPr>
        <w:t>Medicare</w:t>
      </w:r>
      <w:r>
        <w:rPr>
          <w:spacing w:val="-9"/>
          <w:sz w:val="22"/>
        </w:rPr>
        <w:t> </w:t>
      </w:r>
      <w:r>
        <w:rPr>
          <w:sz w:val="22"/>
        </w:rPr>
        <w:t>card,</w:t>
      </w:r>
      <w:r>
        <w:rPr>
          <w:spacing w:val="-2"/>
          <w:sz w:val="22"/>
        </w:rPr>
        <w:t> </w:t>
      </w:r>
      <w:r>
        <w:rPr>
          <w:i/>
          <w:spacing w:val="-5"/>
          <w:sz w:val="22"/>
        </w:rPr>
        <w:t>or</w:t>
      </w:r>
    </w:p>
    <w:p>
      <w:pPr>
        <w:pStyle w:val="ListParagraph"/>
        <w:numPr>
          <w:ilvl w:val="2"/>
          <w:numId w:val="11"/>
        </w:numPr>
        <w:tabs>
          <w:tab w:pos="1200" w:val="left" w:leader="none"/>
        </w:tabs>
        <w:spacing w:line="240" w:lineRule="auto" w:before="38" w:after="0"/>
        <w:ind w:left="1200" w:right="0" w:hanging="360"/>
        <w:jc w:val="left"/>
        <w:rPr>
          <w:sz w:val="22"/>
        </w:rPr>
      </w:pPr>
      <w:r>
        <w:rPr>
          <w:sz w:val="22"/>
        </w:rPr>
        <w:t>Australian-issued</w:t>
      </w:r>
      <w:r>
        <w:rPr>
          <w:spacing w:val="-7"/>
          <w:sz w:val="22"/>
        </w:rPr>
        <w:t> </w:t>
      </w:r>
      <w:r>
        <w:rPr>
          <w:sz w:val="22"/>
        </w:rPr>
        <w:t>driver</w:t>
      </w:r>
      <w:r>
        <w:rPr>
          <w:spacing w:val="-7"/>
          <w:sz w:val="22"/>
        </w:rPr>
        <w:t> </w:t>
      </w:r>
      <w:r>
        <w:rPr>
          <w:sz w:val="22"/>
        </w:rPr>
        <w:t>licence</w:t>
      </w:r>
      <w:r>
        <w:rPr>
          <w:spacing w:val="-6"/>
          <w:sz w:val="22"/>
        </w:rPr>
        <w:t> </w:t>
      </w:r>
      <w:r>
        <w:rPr>
          <w:sz w:val="22"/>
        </w:rPr>
        <w:t>or</w:t>
      </w:r>
      <w:r>
        <w:rPr>
          <w:spacing w:val="-7"/>
          <w:sz w:val="22"/>
        </w:rPr>
        <w:t> </w:t>
      </w:r>
      <w:r>
        <w:rPr>
          <w:sz w:val="22"/>
        </w:rPr>
        <w:t>learner</w:t>
      </w:r>
      <w:r>
        <w:rPr>
          <w:spacing w:val="-6"/>
          <w:sz w:val="22"/>
        </w:rPr>
        <w:t> </w:t>
      </w:r>
      <w:r>
        <w:rPr>
          <w:spacing w:val="-2"/>
          <w:sz w:val="22"/>
        </w:rPr>
        <w:t>permit.</w:t>
      </w:r>
    </w:p>
    <w:p>
      <w:pPr>
        <w:pStyle w:val="ListParagraph"/>
        <w:numPr>
          <w:ilvl w:val="1"/>
          <w:numId w:val="11"/>
        </w:numPr>
        <w:tabs>
          <w:tab w:pos="479" w:val="left" w:leader="none"/>
          <w:tab w:pos="516" w:val="left" w:leader="none"/>
        </w:tabs>
        <w:spacing w:line="276" w:lineRule="auto" w:before="194" w:after="0"/>
        <w:ind w:left="516" w:right="814" w:hanging="396"/>
        <w:jc w:val="both"/>
        <w:rPr>
          <w:sz w:val="22"/>
        </w:rPr>
      </w:pPr>
      <w:r>
        <w:rPr>
          <w:sz w:val="22"/>
        </w:rPr>
        <w:t>Successful</w:t>
      </w:r>
      <w:r>
        <w:rPr>
          <w:spacing w:val="-13"/>
          <w:sz w:val="22"/>
        </w:rPr>
        <w:t> </w:t>
      </w:r>
      <w:r>
        <w:rPr>
          <w:sz w:val="22"/>
        </w:rPr>
        <w:t>applicants</w:t>
      </w:r>
      <w:r>
        <w:rPr>
          <w:spacing w:val="-12"/>
          <w:sz w:val="22"/>
        </w:rPr>
        <w:t> </w:t>
      </w:r>
      <w:r>
        <w:rPr>
          <w:sz w:val="22"/>
        </w:rPr>
        <w:t>will</w:t>
      </w:r>
      <w:r>
        <w:rPr>
          <w:spacing w:val="-13"/>
          <w:sz w:val="22"/>
        </w:rPr>
        <w:t> </w:t>
      </w:r>
      <w:r>
        <w:rPr>
          <w:sz w:val="22"/>
        </w:rPr>
        <w:t>be</w:t>
      </w:r>
      <w:r>
        <w:rPr>
          <w:spacing w:val="-12"/>
          <w:sz w:val="22"/>
        </w:rPr>
        <w:t> </w:t>
      </w:r>
      <w:r>
        <w:rPr>
          <w:sz w:val="22"/>
        </w:rPr>
        <w:t>notified</w:t>
      </w:r>
      <w:r>
        <w:rPr>
          <w:spacing w:val="-12"/>
          <w:sz w:val="22"/>
        </w:rPr>
        <w:t> </w:t>
      </w:r>
      <w:r>
        <w:rPr>
          <w:sz w:val="22"/>
        </w:rPr>
        <w:t>via</w:t>
      </w:r>
      <w:r>
        <w:rPr>
          <w:spacing w:val="-15"/>
          <w:sz w:val="22"/>
        </w:rPr>
        <w:t> </w:t>
      </w:r>
      <w:r>
        <w:rPr>
          <w:sz w:val="22"/>
        </w:rPr>
        <w:t>email.</w:t>
      </w:r>
      <w:r>
        <w:rPr>
          <w:spacing w:val="-11"/>
          <w:sz w:val="22"/>
        </w:rPr>
        <w:t> </w:t>
      </w:r>
      <w:r>
        <w:rPr>
          <w:sz w:val="22"/>
        </w:rPr>
        <w:t>This</w:t>
      </w:r>
      <w:r>
        <w:rPr>
          <w:spacing w:val="-12"/>
          <w:sz w:val="22"/>
        </w:rPr>
        <w:t> </w:t>
      </w:r>
      <w:r>
        <w:rPr>
          <w:sz w:val="22"/>
        </w:rPr>
        <w:t>email</w:t>
      </w:r>
      <w:r>
        <w:rPr>
          <w:spacing w:val="-13"/>
          <w:sz w:val="22"/>
        </w:rPr>
        <w:t> </w:t>
      </w:r>
      <w:r>
        <w:rPr>
          <w:sz w:val="22"/>
        </w:rPr>
        <w:t>will</w:t>
      </w:r>
      <w:r>
        <w:rPr>
          <w:spacing w:val="-13"/>
          <w:sz w:val="22"/>
        </w:rPr>
        <w:t> </w:t>
      </w:r>
      <w:r>
        <w:rPr>
          <w:sz w:val="22"/>
        </w:rPr>
        <w:t>form</w:t>
      </w:r>
      <w:r>
        <w:rPr>
          <w:spacing w:val="-11"/>
          <w:sz w:val="22"/>
        </w:rPr>
        <w:t> </w:t>
      </w:r>
      <w:r>
        <w:rPr>
          <w:sz w:val="22"/>
        </w:rPr>
        <w:t>an</w:t>
      </w:r>
      <w:r>
        <w:rPr>
          <w:spacing w:val="-15"/>
          <w:sz w:val="22"/>
        </w:rPr>
        <w:t> </w:t>
      </w:r>
      <w:r>
        <w:rPr>
          <w:sz w:val="22"/>
        </w:rPr>
        <w:t>agreement</w:t>
      </w:r>
      <w:r>
        <w:rPr>
          <w:spacing w:val="-11"/>
          <w:sz w:val="22"/>
        </w:rPr>
        <w:t> </w:t>
      </w:r>
      <w:r>
        <w:rPr>
          <w:sz w:val="22"/>
        </w:rPr>
        <w:t>between the STS recipient and the Victorian Government based on the terms contained in these guidelines and the terms and conditions of STS in the application form on delivery of the successful email notification.</w:t>
      </w:r>
    </w:p>
    <w:p>
      <w:pPr>
        <w:pStyle w:val="Heading1"/>
        <w:numPr>
          <w:ilvl w:val="0"/>
          <w:numId w:val="1"/>
        </w:numPr>
        <w:tabs>
          <w:tab w:pos="477" w:val="left" w:leader="none"/>
        </w:tabs>
        <w:spacing w:line="240" w:lineRule="auto" w:before="242" w:after="0"/>
        <w:ind w:left="477" w:right="0" w:hanging="357"/>
        <w:jc w:val="left"/>
      </w:pPr>
      <w:bookmarkStart w:name="8. Terms and conditions" w:id="28"/>
      <w:bookmarkEnd w:id="28"/>
      <w:r>
        <w:rPr>
          <w:b w:val="0"/>
        </w:rPr>
      </w:r>
      <w:r>
        <w:rPr>
          <w:color w:val="205E99"/>
        </w:rPr>
        <w:t>Terms</w:t>
      </w:r>
      <w:r>
        <w:rPr>
          <w:color w:val="205E99"/>
          <w:spacing w:val="-10"/>
        </w:rPr>
        <w:t> </w:t>
      </w:r>
      <w:r>
        <w:rPr>
          <w:color w:val="205E99"/>
        </w:rPr>
        <w:t>and</w:t>
      </w:r>
      <w:r>
        <w:rPr>
          <w:color w:val="205E99"/>
          <w:spacing w:val="-7"/>
        </w:rPr>
        <w:t> </w:t>
      </w:r>
      <w:r>
        <w:rPr>
          <w:color w:val="205E99"/>
          <w:spacing w:val="-2"/>
        </w:rPr>
        <w:t>conditions</w:t>
      </w:r>
    </w:p>
    <w:p>
      <w:pPr>
        <w:pStyle w:val="ListParagraph"/>
        <w:numPr>
          <w:ilvl w:val="1"/>
          <w:numId w:val="12"/>
        </w:numPr>
        <w:tabs>
          <w:tab w:pos="515" w:val="left" w:leader="none"/>
        </w:tabs>
        <w:spacing w:line="276" w:lineRule="auto" w:before="134" w:after="0"/>
        <w:ind w:left="515" w:right="819" w:hanging="396"/>
        <w:jc w:val="both"/>
        <w:rPr>
          <w:sz w:val="22"/>
        </w:rPr>
      </w:pPr>
      <w:r>
        <w:rPr>
          <w:sz w:val="22"/>
        </w:rPr>
        <w:t>The applicant will be required to confirm they meet the eligibility criteria at the time of application</w:t>
      </w:r>
      <w:r>
        <w:rPr>
          <w:spacing w:val="-4"/>
          <w:sz w:val="22"/>
        </w:rPr>
        <w:t> </w:t>
      </w:r>
      <w:r>
        <w:rPr>
          <w:sz w:val="22"/>
        </w:rPr>
        <w:t>and</w:t>
      </w:r>
      <w:r>
        <w:rPr>
          <w:spacing w:val="-4"/>
          <w:sz w:val="22"/>
        </w:rPr>
        <w:t> </w:t>
      </w:r>
      <w:r>
        <w:rPr>
          <w:sz w:val="22"/>
        </w:rPr>
        <w:t>must</w:t>
      </w:r>
      <w:r>
        <w:rPr>
          <w:spacing w:val="-5"/>
          <w:sz w:val="22"/>
        </w:rPr>
        <w:t> </w:t>
      </w:r>
      <w:r>
        <w:rPr>
          <w:sz w:val="22"/>
        </w:rPr>
        <w:t>meet</w:t>
      </w:r>
      <w:r>
        <w:rPr>
          <w:spacing w:val="-3"/>
          <w:sz w:val="22"/>
        </w:rPr>
        <w:t> </w:t>
      </w:r>
      <w:r>
        <w:rPr>
          <w:sz w:val="22"/>
        </w:rPr>
        <w:t>the</w:t>
      </w:r>
      <w:r>
        <w:rPr>
          <w:spacing w:val="-4"/>
          <w:sz w:val="22"/>
        </w:rPr>
        <w:t> </w:t>
      </w:r>
      <w:r>
        <w:rPr>
          <w:sz w:val="22"/>
        </w:rPr>
        <w:t>eligibility</w:t>
      </w:r>
      <w:r>
        <w:rPr>
          <w:spacing w:val="-4"/>
          <w:sz w:val="22"/>
        </w:rPr>
        <w:t> </w:t>
      </w:r>
      <w:r>
        <w:rPr>
          <w:sz w:val="22"/>
        </w:rPr>
        <w:t>criteria</w:t>
      </w:r>
      <w:r>
        <w:rPr>
          <w:spacing w:val="-4"/>
          <w:sz w:val="22"/>
        </w:rPr>
        <w:t> </w:t>
      </w:r>
      <w:r>
        <w:rPr>
          <w:sz w:val="22"/>
        </w:rPr>
        <w:t>when</w:t>
      </w:r>
      <w:r>
        <w:rPr>
          <w:spacing w:val="-4"/>
          <w:sz w:val="22"/>
        </w:rPr>
        <w:t> </w:t>
      </w:r>
      <w:r>
        <w:rPr>
          <w:sz w:val="22"/>
        </w:rPr>
        <w:t>DGS</w:t>
      </w:r>
      <w:r>
        <w:rPr>
          <w:spacing w:val="-4"/>
          <w:sz w:val="22"/>
        </w:rPr>
        <w:t> </w:t>
      </w:r>
      <w:r>
        <w:rPr>
          <w:sz w:val="22"/>
        </w:rPr>
        <w:t>or</w:t>
      </w:r>
      <w:r>
        <w:rPr>
          <w:spacing w:val="-3"/>
          <w:sz w:val="22"/>
        </w:rPr>
        <w:t> </w:t>
      </w:r>
      <w:r>
        <w:rPr>
          <w:sz w:val="22"/>
        </w:rPr>
        <w:t>DE</w:t>
      </w:r>
      <w:r>
        <w:rPr>
          <w:spacing w:val="-4"/>
          <w:sz w:val="22"/>
        </w:rPr>
        <w:t> </w:t>
      </w:r>
      <w:r>
        <w:rPr>
          <w:sz w:val="22"/>
        </w:rPr>
        <w:t>assess</w:t>
      </w:r>
      <w:r>
        <w:rPr>
          <w:spacing w:val="-6"/>
          <w:sz w:val="22"/>
        </w:rPr>
        <w:t> </w:t>
      </w:r>
      <w:r>
        <w:rPr>
          <w:sz w:val="22"/>
        </w:rPr>
        <w:t>their</w:t>
      </w:r>
      <w:r>
        <w:rPr>
          <w:spacing w:val="-3"/>
          <w:sz w:val="22"/>
        </w:rPr>
        <w:t> </w:t>
      </w:r>
      <w:r>
        <w:rPr>
          <w:sz w:val="22"/>
        </w:rPr>
        <w:t>application prior to each payment period.</w:t>
      </w:r>
    </w:p>
    <w:p>
      <w:pPr>
        <w:pStyle w:val="ListParagraph"/>
        <w:numPr>
          <w:ilvl w:val="1"/>
          <w:numId w:val="12"/>
        </w:numPr>
        <w:tabs>
          <w:tab w:pos="507" w:val="left" w:leader="none"/>
          <w:tab w:pos="516" w:val="left" w:leader="none"/>
        </w:tabs>
        <w:spacing w:line="276" w:lineRule="auto" w:before="119" w:after="0"/>
        <w:ind w:left="516" w:right="813" w:hanging="397"/>
        <w:jc w:val="both"/>
        <w:rPr>
          <w:sz w:val="22"/>
        </w:rPr>
      </w:pPr>
      <w:r>
        <w:rPr>
          <w:sz w:val="22"/>
        </w:rPr>
        <w:t>Applicants will be required to attest that they will exercise their best efforts to meet the requirements to complete their ITE degree.</w:t>
      </w:r>
    </w:p>
    <w:p>
      <w:pPr>
        <w:pStyle w:val="ListParagraph"/>
        <w:numPr>
          <w:ilvl w:val="1"/>
          <w:numId w:val="12"/>
        </w:numPr>
        <w:tabs>
          <w:tab w:pos="480" w:val="left" w:leader="none"/>
          <w:tab w:pos="515" w:val="left" w:leader="none"/>
        </w:tabs>
        <w:spacing w:line="276" w:lineRule="auto" w:before="121" w:after="0"/>
        <w:ind w:left="515" w:right="816" w:hanging="396"/>
        <w:jc w:val="both"/>
        <w:rPr>
          <w:sz w:val="22"/>
        </w:rPr>
      </w:pPr>
      <w:r>
        <w:rPr>
          <w:sz w:val="22"/>
        </w:rPr>
        <w:t>Applications</w:t>
      </w:r>
      <w:r>
        <w:rPr>
          <w:spacing w:val="-9"/>
          <w:sz w:val="22"/>
        </w:rPr>
        <w:t> </w:t>
      </w:r>
      <w:r>
        <w:rPr>
          <w:sz w:val="22"/>
        </w:rPr>
        <w:t>and</w:t>
      </w:r>
      <w:r>
        <w:rPr>
          <w:spacing w:val="-10"/>
          <w:sz w:val="22"/>
        </w:rPr>
        <w:t> </w:t>
      </w:r>
      <w:r>
        <w:rPr>
          <w:sz w:val="22"/>
        </w:rPr>
        <w:t>claims</w:t>
      </w:r>
      <w:r>
        <w:rPr>
          <w:spacing w:val="-9"/>
          <w:sz w:val="22"/>
        </w:rPr>
        <w:t> </w:t>
      </w:r>
      <w:r>
        <w:rPr>
          <w:sz w:val="22"/>
        </w:rPr>
        <w:t>will</w:t>
      </w:r>
      <w:r>
        <w:rPr>
          <w:spacing w:val="-10"/>
          <w:sz w:val="22"/>
        </w:rPr>
        <w:t> </w:t>
      </w:r>
      <w:r>
        <w:rPr>
          <w:sz w:val="22"/>
        </w:rPr>
        <w:t>be</w:t>
      </w:r>
      <w:r>
        <w:rPr>
          <w:spacing w:val="-10"/>
          <w:sz w:val="22"/>
        </w:rPr>
        <w:t> </w:t>
      </w:r>
      <w:r>
        <w:rPr>
          <w:sz w:val="22"/>
        </w:rPr>
        <w:t>assessed</w:t>
      </w:r>
      <w:r>
        <w:rPr>
          <w:spacing w:val="-10"/>
          <w:sz w:val="22"/>
        </w:rPr>
        <w:t> </w:t>
      </w:r>
      <w:r>
        <w:rPr>
          <w:sz w:val="22"/>
        </w:rPr>
        <w:t>using</w:t>
      </w:r>
      <w:r>
        <w:rPr>
          <w:spacing w:val="-10"/>
          <w:sz w:val="22"/>
        </w:rPr>
        <w:t> </w:t>
      </w:r>
      <w:r>
        <w:rPr>
          <w:sz w:val="22"/>
        </w:rPr>
        <w:t>the</w:t>
      </w:r>
      <w:r>
        <w:rPr>
          <w:spacing w:val="-10"/>
          <w:sz w:val="22"/>
        </w:rPr>
        <w:t> </w:t>
      </w:r>
      <w:r>
        <w:rPr>
          <w:sz w:val="22"/>
        </w:rPr>
        <w:t>information</w:t>
      </w:r>
      <w:r>
        <w:rPr>
          <w:spacing w:val="-10"/>
          <w:sz w:val="22"/>
        </w:rPr>
        <w:t> </w:t>
      </w:r>
      <w:r>
        <w:rPr>
          <w:sz w:val="22"/>
        </w:rPr>
        <w:t>and</w:t>
      </w:r>
      <w:r>
        <w:rPr>
          <w:spacing w:val="-10"/>
          <w:sz w:val="22"/>
        </w:rPr>
        <w:t> </w:t>
      </w:r>
      <w:r>
        <w:rPr>
          <w:sz w:val="22"/>
        </w:rPr>
        <w:t>evidence</w:t>
      </w:r>
      <w:r>
        <w:rPr>
          <w:spacing w:val="-10"/>
          <w:sz w:val="22"/>
        </w:rPr>
        <w:t> </w:t>
      </w:r>
      <w:r>
        <w:rPr>
          <w:sz w:val="22"/>
        </w:rPr>
        <w:t>the</w:t>
      </w:r>
      <w:r>
        <w:rPr>
          <w:spacing w:val="-10"/>
          <w:sz w:val="22"/>
        </w:rPr>
        <w:t> </w:t>
      </w:r>
      <w:r>
        <w:rPr>
          <w:sz w:val="22"/>
        </w:rPr>
        <w:t>applicant provides. As part of this process, any information the applicant provides to DGS may be shared with and is subject to verification by the applicant’s ITE provider, the Australian Government</w:t>
      </w:r>
      <w:r>
        <w:rPr>
          <w:spacing w:val="27"/>
          <w:sz w:val="22"/>
        </w:rPr>
        <w:t> </w:t>
      </w:r>
      <w:r>
        <w:rPr>
          <w:sz w:val="22"/>
        </w:rPr>
        <w:t>Department</w:t>
      </w:r>
      <w:r>
        <w:rPr>
          <w:spacing w:val="27"/>
          <w:sz w:val="22"/>
        </w:rPr>
        <w:t> </w:t>
      </w:r>
      <w:r>
        <w:rPr>
          <w:sz w:val="22"/>
        </w:rPr>
        <w:t>of</w:t>
      </w:r>
      <w:r>
        <w:rPr>
          <w:spacing w:val="29"/>
          <w:sz w:val="22"/>
        </w:rPr>
        <w:t> </w:t>
      </w:r>
      <w:r>
        <w:rPr>
          <w:sz w:val="22"/>
        </w:rPr>
        <w:t>Education</w:t>
      </w:r>
      <w:r>
        <w:rPr>
          <w:spacing w:val="25"/>
          <w:sz w:val="22"/>
        </w:rPr>
        <w:t> </w:t>
      </w:r>
      <w:r>
        <w:rPr>
          <w:sz w:val="22"/>
        </w:rPr>
        <w:t>and</w:t>
      </w:r>
      <w:r>
        <w:rPr>
          <w:spacing w:val="25"/>
          <w:sz w:val="22"/>
        </w:rPr>
        <w:t> </w:t>
      </w:r>
      <w:r>
        <w:rPr>
          <w:sz w:val="22"/>
        </w:rPr>
        <w:t>Department</w:t>
      </w:r>
      <w:r>
        <w:rPr>
          <w:spacing w:val="27"/>
          <w:sz w:val="22"/>
        </w:rPr>
        <w:t> </w:t>
      </w:r>
      <w:r>
        <w:rPr>
          <w:sz w:val="22"/>
        </w:rPr>
        <w:t>of</w:t>
      </w:r>
      <w:r>
        <w:rPr>
          <w:spacing w:val="27"/>
          <w:sz w:val="22"/>
        </w:rPr>
        <w:t> </w:t>
      </w:r>
      <w:r>
        <w:rPr>
          <w:sz w:val="22"/>
        </w:rPr>
        <w:t>Home</w:t>
      </w:r>
      <w:r>
        <w:rPr>
          <w:spacing w:val="25"/>
          <w:sz w:val="22"/>
        </w:rPr>
        <w:t> </w:t>
      </w:r>
      <w:r>
        <w:rPr>
          <w:sz w:val="22"/>
        </w:rPr>
        <w:t>Affairs,</w:t>
      </w:r>
      <w:r>
        <w:rPr>
          <w:spacing w:val="24"/>
          <w:sz w:val="22"/>
        </w:rPr>
        <w:t> </w:t>
      </w:r>
      <w:r>
        <w:rPr>
          <w:sz w:val="22"/>
        </w:rPr>
        <w:t>and</w:t>
      </w:r>
      <w:r>
        <w:rPr>
          <w:spacing w:val="27"/>
          <w:sz w:val="22"/>
        </w:rPr>
        <w:t> </w:t>
      </w:r>
      <w:r>
        <w:rPr>
          <w:sz w:val="22"/>
        </w:rPr>
        <w:t>Victorian</w:t>
      </w:r>
    </w:p>
    <w:p>
      <w:pPr>
        <w:spacing w:after="0" w:line="276" w:lineRule="auto"/>
        <w:jc w:val="both"/>
        <w:rPr>
          <w:sz w:val="22"/>
        </w:rPr>
        <w:sectPr>
          <w:pgSz w:w="11910" w:h="16840"/>
          <w:pgMar w:header="0" w:footer="765" w:top="1900" w:bottom="960" w:left="1320" w:right="620"/>
        </w:sectPr>
      </w:pPr>
    </w:p>
    <w:p>
      <w:pPr>
        <w:pStyle w:val="BodyText"/>
        <w:spacing w:line="276" w:lineRule="auto" w:before="83"/>
        <w:ind w:left="515" w:right="574"/>
      </w:pPr>
      <w:r>
        <w:rPr/>
        <w:t>Government departments including DE and the Department of Jobs, Skills, Industry and Regions (DJSIR).</w:t>
      </w:r>
    </w:p>
    <w:p>
      <w:pPr>
        <w:pStyle w:val="ListParagraph"/>
        <w:numPr>
          <w:ilvl w:val="1"/>
          <w:numId w:val="12"/>
        </w:numPr>
        <w:tabs>
          <w:tab w:pos="483" w:val="left" w:leader="none"/>
          <w:tab w:pos="515" w:val="left" w:leader="none"/>
        </w:tabs>
        <w:spacing w:line="276" w:lineRule="auto" w:before="122" w:after="0"/>
        <w:ind w:left="515" w:right="816" w:hanging="396"/>
        <w:jc w:val="both"/>
        <w:rPr>
          <w:sz w:val="22"/>
        </w:rPr>
      </w:pPr>
      <w:r>
        <w:rPr>
          <w:sz w:val="22"/>
        </w:rPr>
        <w:t>The</w:t>
      </w:r>
      <w:r>
        <w:rPr>
          <w:spacing w:val="-6"/>
          <w:sz w:val="22"/>
        </w:rPr>
        <w:t> </w:t>
      </w:r>
      <w:r>
        <w:rPr>
          <w:sz w:val="22"/>
        </w:rPr>
        <w:t>applicant</w:t>
      </w:r>
      <w:r>
        <w:rPr>
          <w:spacing w:val="-7"/>
          <w:sz w:val="22"/>
        </w:rPr>
        <w:t> </w:t>
      </w:r>
      <w:r>
        <w:rPr>
          <w:sz w:val="22"/>
        </w:rPr>
        <w:t>may</w:t>
      </w:r>
      <w:r>
        <w:rPr>
          <w:spacing w:val="-8"/>
          <w:sz w:val="22"/>
        </w:rPr>
        <w:t> </w:t>
      </w:r>
      <w:r>
        <w:rPr>
          <w:sz w:val="22"/>
        </w:rPr>
        <w:t>be</w:t>
      </w:r>
      <w:r>
        <w:rPr>
          <w:spacing w:val="-9"/>
          <w:sz w:val="22"/>
        </w:rPr>
        <w:t> </w:t>
      </w:r>
      <w:r>
        <w:rPr>
          <w:sz w:val="22"/>
        </w:rPr>
        <w:t>requested</w:t>
      </w:r>
      <w:r>
        <w:rPr>
          <w:spacing w:val="-6"/>
          <w:sz w:val="22"/>
        </w:rPr>
        <w:t> </w:t>
      </w:r>
      <w:r>
        <w:rPr>
          <w:sz w:val="22"/>
        </w:rPr>
        <w:t>to</w:t>
      </w:r>
      <w:r>
        <w:rPr>
          <w:spacing w:val="-9"/>
          <w:sz w:val="22"/>
        </w:rPr>
        <w:t> </w:t>
      </w:r>
      <w:r>
        <w:rPr>
          <w:sz w:val="22"/>
        </w:rPr>
        <w:t>provide</w:t>
      </w:r>
      <w:r>
        <w:rPr>
          <w:spacing w:val="-9"/>
          <w:sz w:val="22"/>
        </w:rPr>
        <w:t> </w:t>
      </w:r>
      <w:r>
        <w:rPr>
          <w:sz w:val="22"/>
        </w:rPr>
        <w:t>further</w:t>
      </w:r>
      <w:r>
        <w:rPr>
          <w:spacing w:val="-5"/>
          <w:sz w:val="22"/>
        </w:rPr>
        <w:t> </w:t>
      </w:r>
      <w:r>
        <w:rPr>
          <w:sz w:val="22"/>
        </w:rPr>
        <w:t>information</w:t>
      </w:r>
      <w:r>
        <w:rPr>
          <w:spacing w:val="-6"/>
          <w:sz w:val="22"/>
        </w:rPr>
        <w:t> </w:t>
      </w:r>
      <w:r>
        <w:rPr>
          <w:sz w:val="22"/>
        </w:rPr>
        <w:t>to</w:t>
      </w:r>
      <w:r>
        <w:rPr>
          <w:spacing w:val="-9"/>
          <w:sz w:val="22"/>
        </w:rPr>
        <w:t> </w:t>
      </w:r>
      <w:r>
        <w:rPr>
          <w:sz w:val="22"/>
        </w:rPr>
        <w:t>assist</w:t>
      </w:r>
      <w:r>
        <w:rPr>
          <w:spacing w:val="-5"/>
          <w:sz w:val="22"/>
        </w:rPr>
        <w:t> </w:t>
      </w:r>
      <w:r>
        <w:rPr>
          <w:sz w:val="22"/>
        </w:rPr>
        <w:t>in</w:t>
      </w:r>
      <w:r>
        <w:rPr>
          <w:spacing w:val="-6"/>
          <w:sz w:val="22"/>
        </w:rPr>
        <w:t> </w:t>
      </w:r>
      <w:r>
        <w:rPr>
          <w:sz w:val="22"/>
        </w:rPr>
        <w:t>the</w:t>
      </w:r>
      <w:r>
        <w:rPr>
          <w:spacing w:val="-6"/>
          <w:sz w:val="22"/>
        </w:rPr>
        <w:t> </w:t>
      </w:r>
      <w:r>
        <w:rPr>
          <w:sz w:val="22"/>
        </w:rPr>
        <w:t>assessment of</w:t>
      </w:r>
      <w:r>
        <w:rPr>
          <w:spacing w:val="-16"/>
          <w:sz w:val="22"/>
        </w:rPr>
        <w:t> </w:t>
      </w:r>
      <w:r>
        <w:rPr>
          <w:sz w:val="22"/>
        </w:rPr>
        <w:t>their</w:t>
      </w:r>
      <w:r>
        <w:rPr>
          <w:spacing w:val="-15"/>
          <w:sz w:val="22"/>
        </w:rPr>
        <w:t> </w:t>
      </w:r>
      <w:r>
        <w:rPr>
          <w:sz w:val="22"/>
        </w:rPr>
        <w:t>application</w:t>
      </w:r>
      <w:r>
        <w:rPr>
          <w:spacing w:val="-15"/>
          <w:sz w:val="22"/>
        </w:rPr>
        <w:t> </w:t>
      </w:r>
      <w:r>
        <w:rPr>
          <w:sz w:val="22"/>
        </w:rPr>
        <w:t>or</w:t>
      </w:r>
      <w:r>
        <w:rPr>
          <w:spacing w:val="-12"/>
          <w:sz w:val="22"/>
        </w:rPr>
        <w:t> </w:t>
      </w:r>
      <w:r>
        <w:rPr>
          <w:sz w:val="22"/>
        </w:rPr>
        <w:t>claim.</w:t>
      </w:r>
      <w:r>
        <w:rPr>
          <w:spacing w:val="-15"/>
          <w:sz w:val="22"/>
        </w:rPr>
        <w:t> </w:t>
      </w:r>
      <w:r>
        <w:rPr>
          <w:sz w:val="22"/>
        </w:rPr>
        <w:t>DGS</w:t>
      </w:r>
      <w:r>
        <w:rPr>
          <w:spacing w:val="-16"/>
          <w:sz w:val="22"/>
        </w:rPr>
        <w:t> </w:t>
      </w:r>
      <w:r>
        <w:rPr>
          <w:sz w:val="22"/>
        </w:rPr>
        <w:t>and</w:t>
      </w:r>
      <w:r>
        <w:rPr>
          <w:spacing w:val="-15"/>
          <w:sz w:val="22"/>
        </w:rPr>
        <w:t> </w:t>
      </w:r>
      <w:r>
        <w:rPr>
          <w:sz w:val="22"/>
        </w:rPr>
        <w:t>DE</w:t>
      </w:r>
      <w:r>
        <w:rPr>
          <w:spacing w:val="-15"/>
          <w:sz w:val="22"/>
        </w:rPr>
        <w:t> </w:t>
      </w:r>
      <w:r>
        <w:rPr>
          <w:sz w:val="22"/>
        </w:rPr>
        <w:t>reserve</w:t>
      </w:r>
      <w:r>
        <w:rPr>
          <w:spacing w:val="-16"/>
          <w:sz w:val="22"/>
        </w:rPr>
        <w:t> </w:t>
      </w:r>
      <w:r>
        <w:rPr>
          <w:sz w:val="22"/>
        </w:rPr>
        <w:t>the</w:t>
      </w:r>
      <w:r>
        <w:rPr>
          <w:spacing w:val="-13"/>
          <w:sz w:val="22"/>
        </w:rPr>
        <w:t> </w:t>
      </w:r>
      <w:r>
        <w:rPr>
          <w:sz w:val="22"/>
        </w:rPr>
        <w:t>right</w:t>
      </w:r>
      <w:r>
        <w:rPr>
          <w:spacing w:val="-16"/>
          <w:sz w:val="22"/>
        </w:rPr>
        <w:t> </w:t>
      </w:r>
      <w:r>
        <w:rPr>
          <w:sz w:val="22"/>
        </w:rPr>
        <w:t>to</w:t>
      </w:r>
      <w:r>
        <w:rPr>
          <w:spacing w:val="-15"/>
          <w:sz w:val="22"/>
        </w:rPr>
        <w:t> </w:t>
      </w:r>
      <w:r>
        <w:rPr>
          <w:sz w:val="22"/>
        </w:rPr>
        <w:t>refuse</w:t>
      </w:r>
      <w:r>
        <w:rPr>
          <w:spacing w:val="-13"/>
          <w:sz w:val="22"/>
        </w:rPr>
        <w:t> </w:t>
      </w:r>
      <w:r>
        <w:rPr>
          <w:sz w:val="22"/>
        </w:rPr>
        <w:t>an</w:t>
      </w:r>
      <w:r>
        <w:rPr>
          <w:spacing w:val="-16"/>
          <w:sz w:val="22"/>
        </w:rPr>
        <w:t> </w:t>
      </w:r>
      <w:r>
        <w:rPr>
          <w:sz w:val="22"/>
        </w:rPr>
        <w:t>application</w:t>
      </w:r>
      <w:r>
        <w:rPr>
          <w:spacing w:val="-13"/>
          <w:sz w:val="22"/>
        </w:rPr>
        <w:t> </w:t>
      </w:r>
      <w:r>
        <w:rPr>
          <w:sz w:val="22"/>
        </w:rPr>
        <w:t>or</w:t>
      </w:r>
      <w:r>
        <w:rPr>
          <w:spacing w:val="-12"/>
          <w:sz w:val="22"/>
        </w:rPr>
        <w:t> </w:t>
      </w:r>
      <w:r>
        <w:rPr>
          <w:sz w:val="22"/>
        </w:rPr>
        <w:t>claim where eligibility criteria are not met, or where the applicant does not or cannot provide sufficient information in the required timeframe to assess whether eligibility criteria have been met, or where a claim cannot be supported.</w:t>
      </w:r>
    </w:p>
    <w:p>
      <w:pPr>
        <w:pStyle w:val="ListParagraph"/>
        <w:numPr>
          <w:ilvl w:val="1"/>
          <w:numId w:val="12"/>
        </w:numPr>
        <w:tabs>
          <w:tab w:pos="490" w:val="left" w:leader="none"/>
          <w:tab w:pos="516" w:val="left" w:leader="none"/>
        </w:tabs>
        <w:spacing w:line="276" w:lineRule="auto" w:before="119" w:after="0"/>
        <w:ind w:left="516" w:right="817" w:hanging="397"/>
        <w:jc w:val="both"/>
        <w:rPr>
          <w:sz w:val="22"/>
        </w:rPr>
      </w:pPr>
      <w:r>
        <w:rPr>
          <w:sz w:val="22"/>
        </w:rPr>
        <w:t>As</w:t>
      </w:r>
      <w:r>
        <w:rPr>
          <w:spacing w:val="-1"/>
          <w:sz w:val="22"/>
        </w:rPr>
        <w:t> </w:t>
      </w:r>
      <w:r>
        <w:rPr>
          <w:sz w:val="22"/>
        </w:rPr>
        <w:t>part of the</w:t>
      </w:r>
      <w:r>
        <w:rPr>
          <w:spacing w:val="-2"/>
          <w:sz w:val="22"/>
        </w:rPr>
        <w:t> </w:t>
      </w:r>
      <w:r>
        <w:rPr>
          <w:sz w:val="22"/>
        </w:rPr>
        <w:t>application process, STS</w:t>
      </w:r>
      <w:r>
        <w:rPr>
          <w:spacing w:val="-2"/>
          <w:sz w:val="22"/>
        </w:rPr>
        <w:t> </w:t>
      </w:r>
      <w:r>
        <w:rPr>
          <w:sz w:val="22"/>
        </w:rPr>
        <w:t>recipients</w:t>
      </w:r>
      <w:r>
        <w:rPr>
          <w:spacing w:val="-1"/>
          <w:sz w:val="22"/>
        </w:rPr>
        <w:t> </w:t>
      </w:r>
      <w:r>
        <w:rPr>
          <w:sz w:val="22"/>
        </w:rPr>
        <w:t>must accept and agree to</w:t>
      </w:r>
      <w:r>
        <w:rPr>
          <w:spacing w:val="-2"/>
          <w:sz w:val="22"/>
        </w:rPr>
        <w:t> </w:t>
      </w:r>
      <w:r>
        <w:rPr>
          <w:sz w:val="22"/>
        </w:rPr>
        <w:t>be bound</w:t>
      </w:r>
      <w:r>
        <w:rPr>
          <w:spacing w:val="-2"/>
          <w:sz w:val="22"/>
        </w:rPr>
        <w:t> </w:t>
      </w:r>
      <w:r>
        <w:rPr>
          <w:sz w:val="22"/>
        </w:rPr>
        <w:t>by the terms and conditions of STS as stated in the application form and these guidelines.</w:t>
      </w:r>
    </w:p>
    <w:p>
      <w:pPr>
        <w:pStyle w:val="ListParagraph"/>
        <w:numPr>
          <w:ilvl w:val="1"/>
          <w:numId w:val="12"/>
        </w:numPr>
        <w:tabs>
          <w:tab w:pos="516" w:val="left" w:leader="none"/>
          <w:tab w:pos="534" w:val="left" w:leader="none"/>
        </w:tabs>
        <w:spacing w:line="276" w:lineRule="auto" w:before="119" w:after="0"/>
        <w:ind w:left="516" w:right="813" w:hanging="396"/>
        <w:jc w:val="both"/>
        <w:rPr>
          <w:sz w:val="22"/>
        </w:rPr>
      </w:pPr>
      <w:r>
        <w:rPr>
          <w:b/>
          <w:sz w:val="22"/>
        </w:rPr>
        <w:tab/>
      </w:r>
      <w:r>
        <w:rPr>
          <w:sz w:val="22"/>
        </w:rPr>
        <w:t>If allocated funding for STS is exhausted before the announced STS end date, DE reserves the right to end STS payments before the end date.</w:t>
      </w:r>
    </w:p>
    <w:p>
      <w:pPr>
        <w:pStyle w:val="ListParagraph"/>
        <w:numPr>
          <w:ilvl w:val="1"/>
          <w:numId w:val="12"/>
        </w:numPr>
        <w:tabs>
          <w:tab w:pos="487" w:val="left" w:leader="none"/>
          <w:tab w:pos="516" w:val="left" w:leader="none"/>
        </w:tabs>
        <w:spacing w:line="276" w:lineRule="auto" w:before="122" w:after="0"/>
        <w:ind w:left="516" w:right="813" w:hanging="397"/>
        <w:jc w:val="both"/>
        <w:rPr>
          <w:sz w:val="22"/>
        </w:rPr>
      </w:pPr>
      <w:r>
        <w:rPr>
          <w:sz w:val="22"/>
        </w:rPr>
        <w:t>The</w:t>
      </w:r>
      <w:r>
        <w:rPr>
          <w:spacing w:val="-4"/>
          <w:sz w:val="22"/>
        </w:rPr>
        <w:t> </w:t>
      </w:r>
      <w:r>
        <w:rPr>
          <w:sz w:val="22"/>
        </w:rPr>
        <w:t>provision</w:t>
      </w:r>
      <w:r>
        <w:rPr>
          <w:spacing w:val="-2"/>
          <w:sz w:val="22"/>
        </w:rPr>
        <w:t> </w:t>
      </w:r>
      <w:r>
        <w:rPr>
          <w:sz w:val="22"/>
        </w:rPr>
        <w:t>of incorrect bank</w:t>
      </w:r>
      <w:r>
        <w:rPr>
          <w:spacing w:val="-4"/>
          <w:sz w:val="22"/>
        </w:rPr>
        <w:t> </w:t>
      </w:r>
      <w:r>
        <w:rPr>
          <w:sz w:val="22"/>
        </w:rPr>
        <w:t>details</w:t>
      </w:r>
      <w:r>
        <w:rPr>
          <w:spacing w:val="-4"/>
          <w:sz w:val="22"/>
        </w:rPr>
        <w:t> </w:t>
      </w:r>
      <w:r>
        <w:rPr>
          <w:sz w:val="22"/>
        </w:rPr>
        <w:t>means</w:t>
      </w:r>
      <w:r>
        <w:rPr>
          <w:spacing w:val="-4"/>
          <w:sz w:val="22"/>
        </w:rPr>
        <w:t> </w:t>
      </w:r>
      <w:r>
        <w:rPr>
          <w:sz w:val="22"/>
        </w:rPr>
        <w:t>that payment</w:t>
      </w:r>
      <w:r>
        <w:rPr>
          <w:spacing w:val="-5"/>
          <w:sz w:val="22"/>
        </w:rPr>
        <w:t> </w:t>
      </w:r>
      <w:r>
        <w:rPr>
          <w:sz w:val="22"/>
        </w:rPr>
        <w:t>may</w:t>
      </w:r>
      <w:r>
        <w:rPr>
          <w:spacing w:val="-1"/>
          <w:sz w:val="22"/>
        </w:rPr>
        <w:t> </w:t>
      </w:r>
      <w:r>
        <w:rPr>
          <w:sz w:val="22"/>
        </w:rPr>
        <w:t>not be</w:t>
      </w:r>
      <w:r>
        <w:rPr>
          <w:spacing w:val="-2"/>
          <w:sz w:val="22"/>
        </w:rPr>
        <w:t> </w:t>
      </w:r>
      <w:r>
        <w:rPr>
          <w:sz w:val="22"/>
        </w:rPr>
        <w:t>received, and</w:t>
      </w:r>
      <w:r>
        <w:rPr>
          <w:spacing w:val="-4"/>
          <w:sz w:val="22"/>
        </w:rPr>
        <w:t> </w:t>
      </w:r>
      <w:r>
        <w:rPr>
          <w:sz w:val="22"/>
        </w:rPr>
        <w:t>the Victorian Government will be under no obligation to remake any payment.</w:t>
      </w:r>
    </w:p>
    <w:p>
      <w:pPr>
        <w:pStyle w:val="ListParagraph"/>
        <w:numPr>
          <w:ilvl w:val="1"/>
          <w:numId w:val="12"/>
        </w:numPr>
        <w:tabs>
          <w:tab w:pos="509" w:val="left" w:leader="none"/>
          <w:tab w:pos="516" w:val="left" w:leader="none"/>
        </w:tabs>
        <w:spacing w:line="276" w:lineRule="auto" w:before="119" w:after="0"/>
        <w:ind w:left="516" w:right="818" w:hanging="397"/>
        <w:jc w:val="both"/>
        <w:rPr>
          <w:sz w:val="22"/>
        </w:rPr>
      </w:pPr>
      <w:r>
        <w:rPr>
          <w:sz w:val="22"/>
        </w:rPr>
        <w:t>If an applicant enters into the STS agreement and does not comply with its terms and conditions, the applicant may be required to refund any amount paid to them.</w:t>
      </w:r>
    </w:p>
    <w:p>
      <w:pPr>
        <w:pStyle w:val="ListParagraph"/>
        <w:numPr>
          <w:ilvl w:val="1"/>
          <w:numId w:val="12"/>
        </w:numPr>
        <w:tabs>
          <w:tab w:pos="547" w:val="left" w:leader="none"/>
          <w:tab w:pos="600" w:val="left" w:leader="none"/>
        </w:tabs>
        <w:spacing w:line="278" w:lineRule="auto" w:before="119" w:after="0"/>
        <w:ind w:left="547" w:right="816" w:hanging="428"/>
        <w:jc w:val="both"/>
        <w:rPr>
          <w:sz w:val="22"/>
        </w:rPr>
      </w:pPr>
      <w:r>
        <w:rPr>
          <w:b/>
          <w:sz w:val="22"/>
        </w:rPr>
        <w:tab/>
      </w:r>
      <w:r>
        <w:rPr>
          <w:sz w:val="22"/>
        </w:rPr>
        <w:t>DE</w:t>
      </w:r>
      <w:r>
        <w:rPr>
          <w:spacing w:val="-4"/>
          <w:sz w:val="22"/>
        </w:rPr>
        <w:t> </w:t>
      </w:r>
      <w:r>
        <w:rPr>
          <w:sz w:val="22"/>
        </w:rPr>
        <w:t>reserves</w:t>
      </w:r>
      <w:r>
        <w:rPr>
          <w:spacing w:val="-8"/>
          <w:sz w:val="22"/>
        </w:rPr>
        <w:t> </w:t>
      </w:r>
      <w:r>
        <w:rPr>
          <w:sz w:val="22"/>
        </w:rPr>
        <w:t>the</w:t>
      </w:r>
      <w:r>
        <w:rPr>
          <w:spacing w:val="-6"/>
          <w:sz w:val="22"/>
        </w:rPr>
        <w:t> </w:t>
      </w:r>
      <w:r>
        <w:rPr>
          <w:sz w:val="22"/>
        </w:rPr>
        <w:t>right</w:t>
      </w:r>
      <w:r>
        <w:rPr>
          <w:spacing w:val="-5"/>
          <w:sz w:val="22"/>
        </w:rPr>
        <w:t> </w:t>
      </w:r>
      <w:r>
        <w:rPr>
          <w:sz w:val="22"/>
        </w:rPr>
        <w:t>to</w:t>
      </w:r>
      <w:r>
        <w:rPr>
          <w:spacing w:val="-7"/>
          <w:sz w:val="22"/>
        </w:rPr>
        <w:t> </w:t>
      </w:r>
      <w:r>
        <w:rPr>
          <w:sz w:val="22"/>
        </w:rPr>
        <w:t>reclaim</w:t>
      </w:r>
      <w:r>
        <w:rPr>
          <w:spacing w:val="-5"/>
          <w:sz w:val="22"/>
        </w:rPr>
        <w:t> </w:t>
      </w:r>
      <w:r>
        <w:rPr>
          <w:sz w:val="22"/>
        </w:rPr>
        <w:t>or</w:t>
      </w:r>
      <w:r>
        <w:rPr>
          <w:spacing w:val="-5"/>
          <w:sz w:val="22"/>
        </w:rPr>
        <w:t> </w:t>
      </w:r>
      <w:r>
        <w:rPr>
          <w:sz w:val="22"/>
        </w:rPr>
        <w:t>offset</w:t>
      </w:r>
      <w:r>
        <w:rPr>
          <w:spacing w:val="-3"/>
          <w:sz w:val="22"/>
        </w:rPr>
        <w:t> </w:t>
      </w:r>
      <w:r>
        <w:rPr>
          <w:sz w:val="22"/>
        </w:rPr>
        <w:t>payments</w:t>
      </w:r>
      <w:r>
        <w:rPr>
          <w:spacing w:val="-6"/>
          <w:sz w:val="22"/>
        </w:rPr>
        <w:t> </w:t>
      </w:r>
      <w:r>
        <w:rPr>
          <w:sz w:val="22"/>
        </w:rPr>
        <w:t>to</w:t>
      </w:r>
      <w:r>
        <w:rPr>
          <w:spacing w:val="-4"/>
          <w:sz w:val="22"/>
        </w:rPr>
        <w:t> </w:t>
      </w:r>
      <w:r>
        <w:rPr>
          <w:sz w:val="22"/>
        </w:rPr>
        <w:t>STS</w:t>
      </w:r>
      <w:r>
        <w:rPr>
          <w:spacing w:val="-7"/>
          <w:sz w:val="22"/>
        </w:rPr>
        <w:t> </w:t>
      </w:r>
      <w:r>
        <w:rPr>
          <w:sz w:val="22"/>
        </w:rPr>
        <w:t>recipients</w:t>
      </w:r>
      <w:r>
        <w:rPr>
          <w:spacing w:val="-6"/>
          <w:sz w:val="22"/>
        </w:rPr>
        <w:t> </w:t>
      </w:r>
      <w:r>
        <w:rPr>
          <w:sz w:val="22"/>
        </w:rPr>
        <w:t>who</w:t>
      </w:r>
      <w:r>
        <w:rPr>
          <w:spacing w:val="-4"/>
          <w:sz w:val="22"/>
        </w:rPr>
        <w:t> </w:t>
      </w:r>
      <w:r>
        <w:rPr>
          <w:sz w:val="22"/>
        </w:rPr>
        <w:t>withdraw</w:t>
      </w:r>
      <w:r>
        <w:rPr>
          <w:spacing w:val="-7"/>
          <w:sz w:val="22"/>
        </w:rPr>
        <w:t> </w:t>
      </w:r>
      <w:r>
        <w:rPr>
          <w:sz w:val="22"/>
        </w:rPr>
        <w:t>from their secondary ITE degree or fail to meet other eligibility criteria.</w:t>
      </w:r>
    </w:p>
    <w:p>
      <w:pPr>
        <w:pStyle w:val="ListParagraph"/>
        <w:numPr>
          <w:ilvl w:val="1"/>
          <w:numId w:val="12"/>
        </w:numPr>
        <w:tabs>
          <w:tab w:pos="631" w:val="left" w:leader="none"/>
          <w:tab w:pos="647" w:val="left" w:leader="none"/>
        </w:tabs>
        <w:spacing w:line="276" w:lineRule="auto" w:before="116" w:after="0"/>
        <w:ind w:left="631" w:right="816" w:hanging="512"/>
        <w:jc w:val="both"/>
        <w:rPr>
          <w:sz w:val="22"/>
        </w:rPr>
      </w:pPr>
      <w:r>
        <w:rPr>
          <w:b/>
          <w:sz w:val="22"/>
        </w:rPr>
        <w:tab/>
      </w:r>
      <w:r>
        <w:rPr>
          <w:sz w:val="22"/>
        </w:rPr>
        <w:t>Applications and claims may be subject to audit by the Victorian Government or its representatives for a period of up to 3 years following completion of STS to determine whether</w:t>
      </w:r>
      <w:r>
        <w:rPr>
          <w:spacing w:val="-6"/>
          <w:sz w:val="22"/>
        </w:rPr>
        <w:t> </w:t>
      </w:r>
      <w:r>
        <w:rPr>
          <w:sz w:val="22"/>
        </w:rPr>
        <w:t>the</w:t>
      </w:r>
      <w:r>
        <w:rPr>
          <w:spacing w:val="-5"/>
          <w:sz w:val="22"/>
        </w:rPr>
        <w:t> </w:t>
      </w:r>
      <w:r>
        <w:rPr>
          <w:sz w:val="22"/>
        </w:rPr>
        <w:t>application</w:t>
      </w:r>
      <w:r>
        <w:rPr>
          <w:spacing w:val="-5"/>
          <w:sz w:val="22"/>
        </w:rPr>
        <w:t> </w:t>
      </w:r>
      <w:r>
        <w:rPr>
          <w:sz w:val="22"/>
        </w:rPr>
        <w:t>and</w:t>
      </w:r>
      <w:r>
        <w:rPr>
          <w:spacing w:val="-5"/>
          <w:sz w:val="22"/>
        </w:rPr>
        <w:t> </w:t>
      </w:r>
      <w:r>
        <w:rPr>
          <w:sz w:val="22"/>
        </w:rPr>
        <w:t>information</w:t>
      </w:r>
      <w:r>
        <w:rPr>
          <w:spacing w:val="-5"/>
          <w:sz w:val="22"/>
        </w:rPr>
        <w:t> </w:t>
      </w:r>
      <w:r>
        <w:rPr>
          <w:sz w:val="22"/>
        </w:rPr>
        <w:t>provided</w:t>
      </w:r>
      <w:r>
        <w:rPr>
          <w:spacing w:val="-7"/>
          <w:sz w:val="22"/>
        </w:rPr>
        <w:t> </w:t>
      </w:r>
      <w:r>
        <w:rPr>
          <w:sz w:val="22"/>
        </w:rPr>
        <w:t>during</w:t>
      </w:r>
      <w:r>
        <w:rPr>
          <w:spacing w:val="-5"/>
          <w:sz w:val="22"/>
        </w:rPr>
        <w:t> </w:t>
      </w:r>
      <w:r>
        <w:rPr>
          <w:sz w:val="22"/>
        </w:rPr>
        <w:t>the</w:t>
      </w:r>
      <w:r>
        <w:rPr>
          <w:spacing w:val="-7"/>
          <w:sz w:val="22"/>
        </w:rPr>
        <w:t> </w:t>
      </w:r>
      <w:r>
        <w:rPr>
          <w:sz w:val="22"/>
        </w:rPr>
        <w:t>term</w:t>
      </w:r>
      <w:r>
        <w:rPr>
          <w:spacing w:val="-4"/>
          <w:sz w:val="22"/>
        </w:rPr>
        <w:t> </w:t>
      </w:r>
      <w:r>
        <w:rPr>
          <w:sz w:val="22"/>
        </w:rPr>
        <w:t>of</w:t>
      </w:r>
      <w:r>
        <w:rPr>
          <w:spacing w:val="-4"/>
          <w:sz w:val="22"/>
        </w:rPr>
        <w:t> </w:t>
      </w:r>
      <w:r>
        <w:rPr>
          <w:sz w:val="22"/>
        </w:rPr>
        <w:t>STS</w:t>
      </w:r>
      <w:r>
        <w:rPr>
          <w:spacing w:val="-5"/>
          <w:sz w:val="22"/>
        </w:rPr>
        <w:t> </w:t>
      </w:r>
      <w:r>
        <w:rPr>
          <w:sz w:val="22"/>
        </w:rPr>
        <w:t>was</w:t>
      </w:r>
      <w:r>
        <w:rPr>
          <w:spacing w:val="-5"/>
          <w:sz w:val="22"/>
        </w:rPr>
        <w:t> </w:t>
      </w:r>
      <w:r>
        <w:rPr>
          <w:sz w:val="22"/>
        </w:rPr>
        <w:t>compliant.</w:t>
      </w:r>
    </w:p>
    <w:p>
      <w:pPr>
        <w:pStyle w:val="ListParagraph"/>
        <w:numPr>
          <w:ilvl w:val="1"/>
          <w:numId w:val="12"/>
        </w:numPr>
        <w:tabs>
          <w:tab w:pos="596" w:val="left" w:leader="none"/>
          <w:tab w:pos="631" w:val="left" w:leader="none"/>
        </w:tabs>
        <w:spacing w:line="276" w:lineRule="auto" w:before="118" w:after="0"/>
        <w:ind w:left="631" w:right="816" w:hanging="512"/>
        <w:jc w:val="both"/>
        <w:rPr>
          <w:sz w:val="22"/>
        </w:rPr>
      </w:pPr>
      <w:r>
        <w:rPr>
          <w:sz w:val="22"/>
        </w:rPr>
        <w:t>The</w:t>
      </w:r>
      <w:r>
        <w:rPr>
          <w:spacing w:val="-15"/>
          <w:sz w:val="22"/>
        </w:rPr>
        <w:t> </w:t>
      </w:r>
      <w:r>
        <w:rPr>
          <w:sz w:val="22"/>
        </w:rPr>
        <w:t>administering</w:t>
      </w:r>
      <w:r>
        <w:rPr>
          <w:spacing w:val="-14"/>
          <w:sz w:val="22"/>
        </w:rPr>
        <w:t> </w:t>
      </w:r>
      <w:r>
        <w:rPr>
          <w:sz w:val="22"/>
        </w:rPr>
        <w:t>department</w:t>
      </w:r>
      <w:r>
        <w:rPr>
          <w:spacing w:val="-15"/>
          <w:sz w:val="22"/>
        </w:rPr>
        <w:t> </w:t>
      </w:r>
      <w:r>
        <w:rPr>
          <w:sz w:val="22"/>
        </w:rPr>
        <w:t>may,</w:t>
      </w:r>
      <w:r>
        <w:rPr>
          <w:spacing w:val="-12"/>
          <w:sz w:val="22"/>
        </w:rPr>
        <w:t> </w:t>
      </w:r>
      <w:r>
        <w:rPr>
          <w:sz w:val="22"/>
        </w:rPr>
        <w:t>at</w:t>
      </w:r>
      <w:r>
        <w:rPr>
          <w:spacing w:val="-12"/>
          <w:sz w:val="22"/>
        </w:rPr>
        <w:t> </w:t>
      </w:r>
      <w:r>
        <w:rPr>
          <w:sz w:val="22"/>
        </w:rPr>
        <w:t>any</w:t>
      </w:r>
      <w:r>
        <w:rPr>
          <w:spacing w:val="-16"/>
          <w:sz w:val="22"/>
        </w:rPr>
        <w:t> </w:t>
      </w:r>
      <w:r>
        <w:rPr>
          <w:sz w:val="22"/>
        </w:rPr>
        <w:t>time,</w:t>
      </w:r>
      <w:r>
        <w:rPr>
          <w:spacing w:val="-14"/>
          <w:sz w:val="22"/>
        </w:rPr>
        <w:t> </w:t>
      </w:r>
      <w:r>
        <w:rPr>
          <w:sz w:val="22"/>
        </w:rPr>
        <w:t>remove</w:t>
      </w:r>
      <w:r>
        <w:rPr>
          <w:spacing w:val="-14"/>
          <w:sz w:val="22"/>
        </w:rPr>
        <w:t> </w:t>
      </w:r>
      <w:r>
        <w:rPr>
          <w:sz w:val="22"/>
        </w:rPr>
        <w:t>an</w:t>
      </w:r>
      <w:r>
        <w:rPr>
          <w:spacing w:val="-14"/>
          <w:sz w:val="22"/>
        </w:rPr>
        <w:t> </w:t>
      </w:r>
      <w:r>
        <w:rPr>
          <w:sz w:val="22"/>
        </w:rPr>
        <w:t>applicant</w:t>
      </w:r>
      <w:r>
        <w:rPr>
          <w:spacing w:val="-15"/>
          <w:sz w:val="22"/>
        </w:rPr>
        <w:t> </w:t>
      </w:r>
      <w:r>
        <w:rPr>
          <w:sz w:val="22"/>
        </w:rPr>
        <w:t>from</w:t>
      </w:r>
      <w:r>
        <w:rPr>
          <w:spacing w:val="-12"/>
          <w:sz w:val="22"/>
        </w:rPr>
        <w:t> </w:t>
      </w:r>
      <w:r>
        <w:rPr>
          <w:sz w:val="22"/>
        </w:rPr>
        <w:t>the</w:t>
      </w:r>
      <w:r>
        <w:rPr>
          <w:spacing w:val="-16"/>
          <w:sz w:val="22"/>
        </w:rPr>
        <w:t> </w:t>
      </w:r>
      <w:r>
        <w:rPr>
          <w:sz w:val="22"/>
        </w:rPr>
        <w:t>application assessment process or terminate an agreement if, in the department’s opinion, association with the applicant may bring the department, a minister or the Victorian Government into disrepute.</w:t>
      </w:r>
    </w:p>
    <w:p>
      <w:pPr>
        <w:pStyle w:val="ListParagraph"/>
        <w:numPr>
          <w:ilvl w:val="1"/>
          <w:numId w:val="12"/>
        </w:numPr>
        <w:tabs>
          <w:tab w:pos="608" w:val="left" w:leader="none"/>
          <w:tab w:pos="631" w:val="left" w:leader="none"/>
        </w:tabs>
        <w:spacing w:line="276" w:lineRule="auto" w:before="121" w:after="0"/>
        <w:ind w:left="631" w:right="1011" w:hanging="512"/>
        <w:jc w:val="left"/>
        <w:rPr>
          <w:sz w:val="22"/>
        </w:rPr>
      </w:pPr>
      <w:r>
        <w:rPr>
          <w:sz w:val="22"/>
        </w:rPr>
        <w:t>Program surveys</w:t>
      </w:r>
      <w:r>
        <w:rPr>
          <w:spacing w:val="-4"/>
          <w:sz w:val="22"/>
        </w:rPr>
        <w:t> </w:t>
      </w:r>
      <w:r>
        <w:rPr>
          <w:sz w:val="22"/>
        </w:rPr>
        <w:t>and</w:t>
      </w:r>
      <w:r>
        <w:rPr>
          <w:spacing w:val="-2"/>
          <w:sz w:val="22"/>
        </w:rPr>
        <w:t> </w:t>
      </w:r>
      <w:r>
        <w:rPr>
          <w:sz w:val="22"/>
        </w:rPr>
        <w:t>evaluation:</w:t>
      </w:r>
      <w:r>
        <w:rPr>
          <w:spacing w:val="-2"/>
          <w:sz w:val="22"/>
        </w:rPr>
        <w:t> </w:t>
      </w:r>
      <w:r>
        <w:rPr>
          <w:sz w:val="22"/>
        </w:rPr>
        <w:t>STS</w:t>
      </w:r>
      <w:r>
        <w:rPr>
          <w:spacing w:val="-2"/>
          <w:sz w:val="22"/>
        </w:rPr>
        <w:t> </w:t>
      </w:r>
      <w:r>
        <w:rPr>
          <w:sz w:val="22"/>
        </w:rPr>
        <w:t>recipients</w:t>
      </w:r>
      <w:r>
        <w:rPr>
          <w:spacing w:val="-1"/>
          <w:sz w:val="22"/>
        </w:rPr>
        <w:t> </w:t>
      </w:r>
      <w:r>
        <w:rPr>
          <w:sz w:val="22"/>
        </w:rPr>
        <w:t>will</w:t>
      </w:r>
      <w:r>
        <w:rPr>
          <w:spacing w:val="-2"/>
          <w:sz w:val="22"/>
        </w:rPr>
        <w:t> </w:t>
      </w:r>
      <w:r>
        <w:rPr>
          <w:sz w:val="22"/>
        </w:rPr>
        <w:t>be</w:t>
      </w:r>
      <w:r>
        <w:rPr>
          <w:spacing w:val="-4"/>
          <w:sz w:val="22"/>
        </w:rPr>
        <w:t> </w:t>
      </w:r>
      <w:r>
        <w:rPr>
          <w:sz w:val="22"/>
        </w:rPr>
        <w:t>requested</w:t>
      </w:r>
      <w:r>
        <w:rPr>
          <w:spacing w:val="-4"/>
          <w:sz w:val="22"/>
        </w:rPr>
        <w:t> </w:t>
      </w:r>
      <w:r>
        <w:rPr>
          <w:sz w:val="22"/>
        </w:rPr>
        <w:t>to</w:t>
      </w:r>
      <w:r>
        <w:rPr>
          <w:spacing w:val="-6"/>
          <w:sz w:val="22"/>
        </w:rPr>
        <w:t> </w:t>
      </w:r>
      <w:r>
        <w:rPr>
          <w:sz w:val="22"/>
        </w:rPr>
        <w:t>participate</w:t>
      </w:r>
      <w:r>
        <w:rPr>
          <w:spacing w:val="-4"/>
          <w:sz w:val="22"/>
        </w:rPr>
        <w:t> </w:t>
      </w:r>
      <w:r>
        <w:rPr>
          <w:sz w:val="22"/>
        </w:rPr>
        <w:t>in</w:t>
      </w:r>
      <w:r>
        <w:rPr>
          <w:spacing w:val="-1"/>
          <w:sz w:val="22"/>
        </w:rPr>
        <w:t> </w:t>
      </w:r>
      <w:r>
        <w:rPr>
          <w:sz w:val="22"/>
        </w:rPr>
        <w:t>the Victorian Government’s monitoring and evaluation of STS by completing survey questions, which may be for a period of up to 6 years after applying to STS. This information will be treated in accordance with the privacy statement detailed below.</w:t>
      </w:r>
    </w:p>
    <w:p>
      <w:pPr>
        <w:pStyle w:val="ListParagraph"/>
        <w:numPr>
          <w:ilvl w:val="1"/>
          <w:numId w:val="12"/>
        </w:numPr>
        <w:tabs>
          <w:tab w:pos="609" w:val="left" w:leader="none"/>
          <w:tab w:pos="632" w:val="left" w:leader="none"/>
        </w:tabs>
        <w:spacing w:line="276" w:lineRule="auto" w:before="120" w:after="0"/>
        <w:ind w:left="632" w:right="1060" w:hanging="512"/>
        <w:jc w:val="left"/>
        <w:rPr>
          <w:sz w:val="22"/>
        </w:rPr>
      </w:pPr>
      <w:r>
        <w:rPr>
          <w:sz w:val="22"/>
        </w:rPr>
        <w:t>Declaration</w:t>
      </w:r>
      <w:r>
        <w:rPr>
          <w:spacing w:val="-2"/>
          <w:sz w:val="22"/>
        </w:rPr>
        <w:t> </w:t>
      </w:r>
      <w:r>
        <w:rPr>
          <w:sz w:val="22"/>
        </w:rPr>
        <w:t>of</w:t>
      </w:r>
      <w:r>
        <w:rPr>
          <w:spacing w:val="-2"/>
          <w:sz w:val="22"/>
        </w:rPr>
        <w:t> </w:t>
      </w:r>
      <w:r>
        <w:rPr>
          <w:sz w:val="22"/>
        </w:rPr>
        <w:t>claim:</w:t>
      </w:r>
      <w:r>
        <w:rPr>
          <w:spacing w:val="-1"/>
          <w:sz w:val="22"/>
        </w:rPr>
        <w:t> </w:t>
      </w:r>
      <w:r>
        <w:rPr>
          <w:sz w:val="22"/>
        </w:rPr>
        <w:t>By</w:t>
      </w:r>
      <w:r>
        <w:rPr>
          <w:spacing w:val="-4"/>
          <w:sz w:val="22"/>
        </w:rPr>
        <w:t> </w:t>
      </w:r>
      <w:r>
        <w:rPr>
          <w:sz w:val="22"/>
        </w:rPr>
        <w:t>submitting</w:t>
      </w:r>
      <w:r>
        <w:rPr>
          <w:spacing w:val="-2"/>
          <w:sz w:val="22"/>
        </w:rPr>
        <w:t> </w:t>
      </w:r>
      <w:r>
        <w:rPr>
          <w:sz w:val="22"/>
        </w:rPr>
        <w:t>an</w:t>
      </w:r>
      <w:r>
        <w:rPr>
          <w:spacing w:val="-4"/>
          <w:sz w:val="22"/>
        </w:rPr>
        <w:t> </w:t>
      </w:r>
      <w:r>
        <w:rPr>
          <w:sz w:val="22"/>
        </w:rPr>
        <w:t>application</w:t>
      </w:r>
      <w:r>
        <w:rPr>
          <w:spacing w:val="-2"/>
          <w:sz w:val="22"/>
        </w:rPr>
        <w:t> </w:t>
      </w:r>
      <w:r>
        <w:rPr>
          <w:sz w:val="22"/>
        </w:rPr>
        <w:t>form,</w:t>
      </w:r>
      <w:r>
        <w:rPr>
          <w:spacing w:val="-1"/>
          <w:sz w:val="22"/>
        </w:rPr>
        <w:t> </w:t>
      </w:r>
      <w:r>
        <w:rPr>
          <w:sz w:val="22"/>
        </w:rPr>
        <w:t>an</w:t>
      </w:r>
      <w:r>
        <w:rPr>
          <w:spacing w:val="-4"/>
          <w:sz w:val="22"/>
        </w:rPr>
        <w:t> </w:t>
      </w:r>
      <w:r>
        <w:rPr>
          <w:sz w:val="22"/>
        </w:rPr>
        <w:t>applicant</w:t>
      </w:r>
      <w:r>
        <w:rPr>
          <w:spacing w:val="-5"/>
          <w:sz w:val="22"/>
        </w:rPr>
        <w:t> </w:t>
      </w:r>
      <w:r>
        <w:rPr>
          <w:sz w:val="22"/>
        </w:rPr>
        <w:t>declares</w:t>
      </w:r>
      <w:r>
        <w:rPr>
          <w:spacing w:val="-4"/>
          <w:sz w:val="22"/>
        </w:rPr>
        <w:t> </w:t>
      </w:r>
      <w:r>
        <w:rPr>
          <w:sz w:val="22"/>
        </w:rPr>
        <w:t>that</w:t>
      </w:r>
      <w:r>
        <w:rPr>
          <w:spacing w:val="-2"/>
          <w:sz w:val="22"/>
        </w:rPr>
        <w:t> </w:t>
      </w:r>
      <w:r>
        <w:rPr>
          <w:sz w:val="22"/>
        </w:rPr>
        <w:t>the information provided in the application form and supporting documentation is true, accurate and not misleading about a material fact.</w:t>
      </w:r>
    </w:p>
    <w:p>
      <w:pPr>
        <w:pStyle w:val="ListParagraph"/>
        <w:numPr>
          <w:ilvl w:val="1"/>
          <w:numId w:val="12"/>
        </w:numPr>
        <w:tabs>
          <w:tab w:pos="607" w:val="left" w:leader="none"/>
          <w:tab w:pos="632" w:val="left" w:leader="none"/>
        </w:tabs>
        <w:spacing w:line="276" w:lineRule="auto" w:before="121" w:after="0"/>
        <w:ind w:left="632" w:right="905" w:hanging="512"/>
        <w:jc w:val="left"/>
        <w:rPr>
          <w:sz w:val="22"/>
        </w:rPr>
      </w:pPr>
      <w:r>
        <w:rPr>
          <w:sz w:val="22"/>
        </w:rPr>
        <w:t>If any information in the application or claims for payment is found to be false, misleading</w:t>
      </w:r>
      <w:r>
        <w:rPr>
          <w:spacing w:val="-1"/>
          <w:sz w:val="22"/>
        </w:rPr>
        <w:t> </w:t>
      </w:r>
      <w:r>
        <w:rPr>
          <w:sz w:val="22"/>
        </w:rPr>
        <w:t>or</w:t>
      </w:r>
      <w:r>
        <w:rPr>
          <w:spacing w:val="-2"/>
          <w:sz w:val="22"/>
        </w:rPr>
        <w:t> </w:t>
      </w:r>
      <w:r>
        <w:rPr>
          <w:sz w:val="22"/>
        </w:rPr>
        <w:t>fraudulent</w:t>
      </w:r>
      <w:r>
        <w:rPr>
          <w:spacing w:val="-2"/>
          <w:sz w:val="22"/>
        </w:rPr>
        <w:t> </w:t>
      </w:r>
      <w:r>
        <w:rPr>
          <w:sz w:val="22"/>
        </w:rPr>
        <w:t>(as determined</w:t>
      </w:r>
      <w:r>
        <w:rPr>
          <w:spacing w:val="-1"/>
          <w:sz w:val="22"/>
        </w:rPr>
        <w:t> </w:t>
      </w:r>
      <w:r>
        <w:rPr>
          <w:sz w:val="22"/>
        </w:rPr>
        <w:t>by</w:t>
      </w:r>
      <w:r>
        <w:rPr>
          <w:spacing w:val="-3"/>
          <w:sz w:val="22"/>
        </w:rPr>
        <w:t> </w:t>
      </w:r>
      <w:r>
        <w:rPr>
          <w:sz w:val="22"/>
        </w:rPr>
        <w:t>DGS</w:t>
      </w:r>
      <w:r>
        <w:rPr>
          <w:spacing w:val="-6"/>
          <w:sz w:val="22"/>
        </w:rPr>
        <w:t> </w:t>
      </w:r>
      <w:r>
        <w:rPr>
          <w:sz w:val="22"/>
        </w:rPr>
        <w:t>or DE</w:t>
      </w:r>
      <w:r>
        <w:rPr>
          <w:spacing w:val="-1"/>
          <w:sz w:val="22"/>
        </w:rPr>
        <w:t> </w:t>
      </w:r>
      <w:r>
        <w:rPr>
          <w:sz w:val="22"/>
        </w:rPr>
        <w:t>in</w:t>
      </w:r>
      <w:r>
        <w:rPr>
          <w:spacing w:val="-3"/>
          <w:sz w:val="22"/>
        </w:rPr>
        <w:t> </w:t>
      </w:r>
      <w:r>
        <w:rPr>
          <w:sz w:val="22"/>
        </w:rPr>
        <w:t>their</w:t>
      </w:r>
      <w:r>
        <w:rPr>
          <w:spacing w:val="-2"/>
          <w:sz w:val="22"/>
        </w:rPr>
        <w:t> </w:t>
      </w:r>
      <w:r>
        <w:rPr>
          <w:sz w:val="22"/>
        </w:rPr>
        <w:t>discretion),</w:t>
      </w:r>
      <w:r>
        <w:rPr>
          <w:spacing w:val="-1"/>
          <w:sz w:val="22"/>
        </w:rPr>
        <w:t> </w:t>
      </w:r>
      <w:r>
        <w:rPr>
          <w:sz w:val="22"/>
        </w:rPr>
        <w:t>the</w:t>
      </w:r>
      <w:r>
        <w:rPr>
          <w:spacing w:val="-3"/>
          <w:sz w:val="22"/>
        </w:rPr>
        <w:t> </w:t>
      </w:r>
      <w:r>
        <w:rPr>
          <w:sz w:val="22"/>
        </w:rPr>
        <w:t>STS will be repayable on demand and the Victorian Government reserves the right to take further</w:t>
      </w:r>
      <w:r>
        <w:rPr>
          <w:spacing w:val="-4"/>
          <w:sz w:val="22"/>
        </w:rPr>
        <w:t> </w:t>
      </w:r>
      <w:r>
        <w:rPr>
          <w:sz w:val="22"/>
        </w:rPr>
        <w:t>action,</w:t>
      </w:r>
      <w:r>
        <w:rPr>
          <w:spacing w:val="-3"/>
          <w:sz w:val="22"/>
        </w:rPr>
        <w:t> </w:t>
      </w:r>
      <w:r>
        <w:rPr>
          <w:sz w:val="22"/>
        </w:rPr>
        <w:t>including</w:t>
      </w:r>
      <w:r>
        <w:rPr>
          <w:spacing w:val="-3"/>
          <w:sz w:val="22"/>
        </w:rPr>
        <w:t> </w:t>
      </w:r>
      <w:r>
        <w:rPr>
          <w:sz w:val="22"/>
        </w:rPr>
        <w:t>referring</w:t>
      </w:r>
      <w:r>
        <w:rPr>
          <w:spacing w:val="-3"/>
          <w:sz w:val="22"/>
        </w:rPr>
        <w:t> </w:t>
      </w:r>
      <w:r>
        <w:rPr>
          <w:sz w:val="22"/>
        </w:rPr>
        <w:t>the</w:t>
      </w:r>
      <w:r>
        <w:rPr>
          <w:spacing w:val="-5"/>
          <w:sz w:val="22"/>
        </w:rPr>
        <w:t> </w:t>
      </w:r>
      <w:r>
        <w:rPr>
          <w:sz w:val="22"/>
        </w:rPr>
        <w:t>applicant</w:t>
      </w:r>
      <w:r>
        <w:rPr>
          <w:spacing w:val="-4"/>
          <w:sz w:val="22"/>
        </w:rPr>
        <w:t> </w:t>
      </w:r>
      <w:r>
        <w:rPr>
          <w:sz w:val="22"/>
        </w:rPr>
        <w:t>to</w:t>
      </w:r>
      <w:r>
        <w:rPr>
          <w:spacing w:val="-5"/>
          <w:sz w:val="22"/>
        </w:rPr>
        <w:t> </w:t>
      </w:r>
      <w:r>
        <w:rPr>
          <w:sz w:val="22"/>
        </w:rPr>
        <w:t>the</w:t>
      </w:r>
      <w:r>
        <w:rPr>
          <w:spacing w:val="-3"/>
          <w:sz w:val="22"/>
        </w:rPr>
        <w:t> </w:t>
      </w:r>
      <w:r>
        <w:rPr>
          <w:sz w:val="22"/>
        </w:rPr>
        <w:t>relevant</w:t>
      </w:r>
      <w:r>
        <w:rPr>
          <w:spacing w:val="-3"/>
          <w:sz w:val="22"/>
        </w:rPr>
        <w:t> </w:t>
      </w:r>
      <w:r>
        <w:rPr>
          <w:sz w:val="22"/>
        </w:rPr>
        <w:t>law</w:t>
      </w:r>
      <w:r>
        <w:rPr>
          <w:spacing w:val="-3"/>
          <w:sz w:val="22"/>
        </w:rPr>
        <w:t> </w:t>
      </w:r>
      <w:r>
        <w:rPr>
          <w:sz w:val="22"/>
        </w:rPr>
        <w:t>enforcement</w:t>
      </w:r>
      <w:r>
        <w:rPr>
          <w:spacing w:val="-3"/>
          <w:sz w:val="22"/>
        </w:rPr>
        <w:t> </w:t>
      </w:r>
      <w:r>
        <w:rPr>
          <w:sz w:val="22"/>
        </w:rPr>
        <w:t>agency. Providing inaccurate, untrue, or misleading information may result in an offence being committed and serious penalties may apply.</w:t>
      </w:r>
    </w:p>
    <w:p>
      <w:pPr>
        <w:spacing w:after="0" w:line="276" w:lineRule="auto"/>
        <w:jc w:val="left"/>
        <w:rPr>
          <w:sz w:val="22"/>
        </w:rPr>
        <w:sectPr>
          <w:pgSz w:w="11910" w:h="16840"/>
          <w:pgMar w:header="0" w:footer="765" w:top="1900" w:bottom="960" w:left="1320" w:right="620"/>
        </w:sectPr>
      </w:pPr>
    </w:p>
    <w:p>
      <w:pPr>
        <w:pStyle w:val="Heading1"/>
        <w:numPr>
          <w:ilvl w:val="0"/>
          <w:numId w:val="1"/>
        </w:numPr>
        <w:tabs>
          <w:tab w:pos="479" w:val="left" w:leader="none"/>
        </w:tabs>
        <w:spacing w:line="240" w:lineRule="auto" w:before="85" w:after="0"/>
        <w:ind w:left="479" w:right="0" w:hanging="359"/>
        <w:jc w:val="left"/>
      </w:pPr>
      <w:bookmarkStart w:name="9. Privacy statement" w:id="29"/>
      <w:bookmarkEnd w:id="29"/>
      <w:r>
        <w:rPr>
          <w:b w:val="0"/>
        </w:rPr>
      </w:r>
      <w:r>
        <w:rPr>
          <w:color w:val="205E99"/>
        </w:rPr>
        <w:t>Privacy</w:t>
      </w:r>
      <w:r>
        <w:rPr>
          <w:color w:val="205E99"/>
          <w:spacing w:val="-17"/>
        </w:rPr>
        <w:t> </w:t>
      </w:r>
      <w:r>
        <w:rPr>
          <w:color w:val="205E99"/>
          <w:spacing w:val="-2"/>
        </w:rPr>
        <w:t>statement</w:t>
      </w:r>
    </w:p>
    <w:p>
      <w:pPr>
        <w:pStyle w:val="ListParagraph"/>
        <w:numPr>
          <w:ilvl w:val="1"/>
          <w:numId w:val="13"/>
        </w:numPr>
        <w:tabs>
          <w:tab w:pos="499" w:val="left" w:leader="none"/>
          <w:tab w:pos="515" w:val="left" w:leader="none"/>
        </w:tabs>
        <w:spacing w:line="276" w:lineRule="auto" w:before="134" w:after="0"/>
        <w:ind w:left="515" w:right="815" w:hanging="396"/>
        <w:jc w:val="both"/>
        <w:rPr>
          <w:sz w:val="22"/>
        </w:rPr>
      </w:pPr>
      <w:r>
        <w:rPr>
          <w:sz w:val="22"/>
        </w:rPr>
        <w:t>Information provided by applicants for STS, which includes personal information, will be collected and used by the Victorian Government. DGS is a program administrator and collects personal information of applicants for the purpose of assessing eligibility and to administer claims and payments.</w:t>
      </w:r>
    </w:p>
    <w:p>
      <w:pPr>
        <w:pStyle w:val="ListParagraph"/>
        <w:numPr>
          <w:ilvl w:val="1"/>
          <w:numId w:val="13"/>
        </w:numPr>
        <w:tabs>
          <w:tab w:pos="504" w:val="left" w:leader="none"/>
          <w:tab w:pos="515" w:val="left" w:leader="none"/>
        </w:tabs>
        <w:spacing w:line="276" w:lineRule="auto" w:before="121" w:after="0"/>
        <w:ind w:left="515" w:right="816" w:hanging="396"/>
        <w:jc w:val="both"/>
        <w:rPr>
          <w:sz w:val="22"/>
        </w:rPr>
      </w:pPr>
      <w:r>
        <w:rPr>
          <w:sz w:val="22"/>
        </w:rPr>
        <w:t>By applying for STS, applicants consent to the sharing of information as outlined in the Terms and Conditions. DGS or DE may contact an applicant to clarify the submitted information</w:t>
      </w:r>
      <w:r>
        <w:rPr>
          <w:spacing w:val="-7"/>
          <w:sz w:val="22"/>
        </w:rPr>
        <w:t> </w:t>
      </w:r>
      <w:r>
        <w:rPr>
          <w:sz w:val="22"/>
        </w:rPr>
        <w:t>for</w:t>
      </w:r>
      <w:r>
        <w:rPr>
          <w:spacing w:val="-6"/>
          <w:sz w:val="22"/>
        </w:rPr>
        <w:t> </w:t>
      </w:r>
      <w:r>
        <w:rPr>
          <w:sz w:val="22"/>
        </w:rPr>
        <w:t>program</w:t>
      </w:r>
      <w:r>
        <w:rPr>
          <w:spacing w:val="-6"/>
          <w:sz w:val="22"/>
        </w:rPr>
        <w:t> </w:t>
      </w:r>
      <w:r>
        <w:rPr>
          <w:sz w:val="22"/>
        </w:rPr>
        <w:t>review,</w:t>
      </w:r>
      <w:r>
        <w:rPr>
          <w:spacing w:val="-6"/>
          <w:sz w:val="22"/>
        </w:rPr>
        <w:t> </w:t>
      </w:r>
      <w:r>
        <w:rPr>
          <w:sz w:val="22"/>
        </w:rPr>
        <w:t>reporting,</w:t>
      </w:r>
      <w:r>
        <w:rPr>
          <w:spacing w:val="-8"/>
          <w:sz w:val="22"/>
        </w:rPr>
        <w:t> </w:t>
      </w:r>
      <w:r>
        <w:rPr>
          <w:sz w:val="22"/>
        </w:rPr>
        <w:t>monitoring,</w:t>
      </w:r>
      <w:r>
        <w:rPr>
          <w:spacing w:val="-6"/>
          <w:sz w:val="22"/>
        </w:rPr>
        <w:t> </w:t>
      </w:r>
      <w:r>
        <w:rPr>
          <w:sz w:val="22"/>
        </w:rPr>
        <w:t>audit</w:t>
      </w:r>
      <w:r>
        <w:rPr>
          <w:spacing w:val="-6"/>
          <w:sz w:val="22"/>
        </w:rPr>
        <w:t> </w:t>
      </w:r>
      <w:r>
        <w:rPr>
          <w:sz w:val="22"/>
        </w:rPr>
        <w:t>and</w:t>
      </w:r>
      <w:r>
        <w:rPr>
          <w:spacing w:val="-10"/>
          <w:sz w:val="22"/>
        </w:rPr>
        <w:t> </w:t>
      </w:r>
      <w:r>
        <w:rPr>
          <w:sz w:val="22"/>
        </w:rPr>
        <w:t>evaluation</w:t>
      </w:r>
      <w:r>
        <w:rPr>
          <w:spacing w:val="-10"/>
          <w:sz w:val="22"/>
        </w:rPr>
        <w:t> </w:t>
      </w:r>
      <w:r>
        <w:rPr>
          <w:sz w:val="22"/>
        </w:rPr>
        <w:t>purposes,</w:t>
      </w:r>
      <w:r>
        <w:rPr>
          <w:spacing w:val="-8"/>
          <w:sz w:val="22"/>
        </w:rPr>
        <w:t> </w:t>
      </w:r>
      <w:r>
        <w:rPr>
          <w:sz w:val="22"/>
        </w:rPr>
        <w:t>and to communicate information about future Victorian Government funding and job </w:t>
      </w:r>
      <w:r>
        <w:rPr>
          <w:spacing w:val="-2"/>
          <w:sz w:val="22"/>
        </w:rPr>
        <w:t>opportunities.</w:t>
      </w:r>
    </w:p>
    <w:p>
      <w:pPr>
        <w:pStyle w:val="ListParagraph"/>
        <w:numPr>
          <w:ilvl w:val="1"/>
          <w:numId w:val="13"/>
        </w:numPr>
        <w:tabs>
          <w:tab w:pos="504" w:val="left" w:leader="none"/>
          <w:tab w:pos="515" w:val="left" w:leader="none"/>
        </w:tabs>
        <w:spacing w:line="276" w:lineRule="auto" w:before="119" w:after="0"/>
        <w:ind w:left="515" w:right="815" w:hanging="396"/>
        <w:jc w:val="both"/>
        <w:rPr>
          <w:sz w:val="22"/>
        </w:rPr>
      </w:pPr>
      <w:r>
        <w:rPr>
          <w:sz w:val="22"/>
        </w:rPr>
        <w:t>DGS will complete a range of eligibility assessments that may include data matching to clarify the accuracy and</w:t>
      </w:r>
      <w:r>
        <w:rPr>
          <w:spacing w:val="-2"/>
          <w:sz w:val="22"/>
        </w:rPr>
        <w:t> </w:t>
      </w:r>
      <w:r>
        <w:rPr>
          <w:sz w:val="22"/>
        </w:rPr>
        <w:t>quality of information supplied by applicants. The data matching may occur following submission of an application to DGS and may involve personal information provided in an application, an applicant’s supporting evidence and any claim or payment forms.</w:t>
      </w:r>
    </w:p>
    <w:p>
      <w:pPr>
        <w:pStyle w:val="ListParagraph"/>
        <w:numPr>
          <w:ilvl w:val="1"/>
          <w:numId w:val="13"/>
        </w:numPr>
        <w:tabs>
          <w:tab w:pos="509" w:val="left" w:leader="none"/>
          <w:tab w:pos="516" w:val="left" w:leader="none"/>
        </w:tabs>
        <w:spacing w:line="276" w:lineRule="auto" w:before="120" w:after="0"/>
        <w:ind w:left="516" w:right="818" w:hanging="397"/>
        <w:jc w:val="both"/>
        <w:rPr>
          <w:sz w:val="22"/>
        </w:rPr>
      </w:pPr>
      <w:r>
        <w:rPr>
          <w:sz w:val="22"/>
        </w:rPr>
        <w:t>For either verification and/or payment processing purposes, DGS will share applicants’ personal information with Victorian Government departments including DE and DJSIR, and the Australian Government departments of Education and Home Affairs.</w:t>
      </w:r>
    </w:p>
    <w:p>
      <w:pPr>
        <w:pStyle w:val="ListParagraph"/>
        <w:numPr>
          <w:ilvl w:val="1"/>
          <w:numId w:val="13"/>
        </w:numPr>
        <w:tabs>
          <w:tab w:pos="480" w:val="left" w:leader="none"/>
          <w:tab w:pos="515" w:val="left" w:leader="none"/>
        </w:tabs>
        <w:spacing w:line="276" w:lineRule="auto" w:before="118" w:after="0"/>
        <w:ind w:left="515" w:right="818" w:hanging="396"/>
        <w:jc w:val="both"/>
        <w:rPr>
          <w:sz w:val="22"/>
        </w:rPr>
      </w:pPr>
      <w:r>
        <w:rPr>
          <w:sz w:val="22"/>
        </w:rPr>
        <w:t>If</w:t>
      </w:r>
      <w:r>
        <w:rPr>
          <w:spacing w:val="-10"/>
          <w:sz w:val="22"/>
        </w:rPr>
        <w:t> </w:t>
      </w:r>
      <w:r>
        <w:rPr>
          <w:sz w:val="22"/>
        </w:rPr>
        <w:t>there</w:t>
      </w:r>
      <w:r>
        <w:rPr>
          <w:spacing w:val="-11"/>
          <w:sz w:val="22"/>
        </w:rPr>
        <w:t> </w:t>
      </w:r>
      <w:r>
        <w:rPr>
          <w:sz w:val="22"/>
        </w:rPr>
        <w:t>is</w:t>
      </w:r>
      <w:r>
        <w:rPr>
          <w:spacing w:val="-8"/>
          <w:sz w:val="22"/>
        </w:rPr>
        <w:t> </w:t>
      </w:r>
      <w:r>
        <w:rPr>
          <w:sz w:val="22"/>
        </w:rPr>
        <w:t>an</w:t>
      </w:r>
      <w:r>
        <w:rPr>
          <w:spacing w:val="-9"/>
          <w:sz w:val="22"/>
        </w:rPr>
        <w:t> </w:t>
      </w:r>
      <w:r>
        <w:rPr>
          <w:sz w:val="22"/>
        </w:rPr>
        <w:t>intention</w:t>
      </w:r>
      <w:r>
        <w:rPr>
          <w:spacing w:val="-11"/>
          <w:sz w:val="22"/>
        </w:rPr>
        <w:t> </w:t>
      </w:r>
      <w:r>
        <w:rPr>
          <w:sz w:val="22"/>
        </w:rPr>
        <w:t>to</w:t>
      </w:r>
      <w:r>
        <w:rPr>
          <w:spacing w:val="-9"/>
          <w:sz w:val="22"/>
        </w:rPr>
        <w:t> </w:t>
      </w:r>
      <w:r>
        <w:rPr>
          <w:sz w:val="22"/>
        </w:rPr>
        <w:t>include</w:t>
      </w:r>
      <w:r>
        <w:rPr>
          <w:spacing w:val="-9"/>
          <w:sz w:val="22"/>
        </w:rPr>
        <w:t> </w:t>
      </w:r>
      <w:r>
        <w:rPr>
          <w:sz w:val="22"/>
        </w:rPr>
        <w:t>personal</w:t>
      </w:r>
      <w:r>
        <w:rPr>
          <w:spacing w:val="-9"/>
          <w:sz w:val="22"/>
        </w:rPr>
        <w:t> </w:t>
      </w:r>
      <w:r>
        <w:rPr>
          <w:sz w:val="22"/>
        </w:rPr>
        <w:t>information</w:t>
      </w:r>
      <w:r>
        <w:rPr>
          <w:spacing w:val="-9"/>
          <w:sz w:val="22"/>
        </w:rPr>
        <w:t> </w:t>
      </w:r>
      <w:r>
        <w:rPr>
          <w:sz w:val="22"/>
        </w:rPr>
        <w:t>about</w:t>
      </w:r>
      <w:r>
        <w:rPr>
          <w:spacing w:val="-7"/>
          <w:sz w:val="22"/>
        </w:rPr>
        <w:t> </w:t>
      </w:r>
      <w:r>
        <w:rPr>
          <w:sz w:val="22"/>
        </w:rPr>
        <w:t>a</w:t>
      </w:r>
      <w:r>
        <w:rPr>
          <w:spacing w:val="-11"/>
          <w:sz w:val="22"/>
        </w:rPr>
        <w:t> </w:t>
      </w:r>
      <w:r>
        <w:rPr>
          <w:sz w:val="22"/>
        </w:rPr>
        <w:t>third</w:t>
      </w:r>
      <w:r>
        <w:rPr>
          <w:spacing w:val="-11"/>
          <w:sz w:val="22"/>
        </w:rPr>
        <w:t> </w:t>
      </w:r>
      <w:r>
        <w:rPr>
          <w:sz w:val="22"/>
        </w:rPr>
        <w:t>party</w:t>
      </w:r>
      <w:r>
        <w:rPr>
          <w:spacing w:val="-8"/>
          <w:sz w:val="22"/>
        </w:rPr>
        <w:t> </w:t>
      </w:r>
      <w:r>
        <w:rPr>
          <w:sz w:val="22"/>
        </w:rPr>
        <w:t>in</w:t>
      </w:r>
      <w:r>
        <w:rPr>
          <w:spacing w:val="-9"/>
          <w:sz w:val="22"/>
        </w:rPr>
        <w:t> </w:t>
      </w:r>
      <w:r>
        <w:rPr>
          <w:sz w:val="22"/>
        </w:rPr>
        <w:t>the</w:t>
      </w:r>
      <w:r>
        <w:rPr>
          <w:spacing w:val="-9"/>
          <w:sz w:val="22"/>
        </w:rPr>
        <w:t> </w:t>
      </w:r>
      <w:r>
        <w:rPr>
          <w:sz w:val="22"/>
        </w:rPr>
        <w:t>application, the</w:t>
      </w:r>
      <w:r>
        <w:rPr>
          <w:spacing w:val="-16"/>
          <w:sz w:val="22"/>
        </w:rPr>
        <w:t> </w:t>
      </w:r>
      <w:r>
        <w:rPr>
          <w:sz w:val="22"/>
        </w:rPr>
        <w:t>applicant</w:t>
      </w:r>
      <w:r>
        <w:rPr>
          <w:spacing w:val="-11"/>
          <w:sz w:val="22"/>
        </w:rPr>
        <w:t> </w:t>
      </w:r>
      <w:r>
        <w:rPr>
          <w:sz w:val="22"/>
        </w:rPr>
        <w:t>applying</w:t>
      </w:r>
      <w:r>
        <w:rPr>
          <w:spacing w:val="-16"/>
          <w:sz w:val="22"/>
        </w:rPr>
        <w:t> </w:t>
      </w:r>
      <w:r>
        <w:rPr>
          <w:sz w:val="22"/>
        </w:rPr>
        <w:t>must</w:t>
      </w:r>
      <w:r>
        <w:rPr>
          <w:spacing w:val="-11"/>
          <w:sz w:val="22"/>
        </w:rPr>
        <w:t> </w:t>
      </w:r>
      <w:r>
        <w:rPr>
          <w:sz w:val="22"/>
        </w:rPr>
        <w:t>ensure</w:t>
      </w:r>
      <w:r>
        <w:rPr>
          <w:spacing w:val="-16"/>
          <w:sz w:val="22"/>
        </w:rPr>
        <w:t> </w:t>
      </w:r>
      <w:r>
        <w:rPr>
          <w:sz w:val="22"/>
        </w:rPr>
        <w:t>the</w:t>
      </w:r>
      <w:r>
        <w:rPr>
          <w:spacing w:val="-15"/>
          <w:sz w:val="22"/>
        </w:rPr>
        <w:t> </w:t>
      </w:r>
      <w:r>
        <w:rPr>
          <w:sz w:val="22"/>
        </w:rPr>
        <w:t>third</w:t>
      </w:r>
      <w:r>
        <w:rPr>
          <w:spacing w:val="-13"/>
          <w:sz w:val="22"/>
        </w:rPr>
        <w:t> </w:t>
      </w:r>
      <w:r>
        <w:rPr>
          <w:sz w:val="22"/>
        </w:rPr>
        <w:t>party</w:t>
      </w:r>
      <w:r>
        <w:rPr>
          <w:spacing w:val="-16"/>
          <w:sz w:val="22"/>
        </w:rPr>
        <w:t> </w:t>
      </w:r>
      <w:r>
        <w:rPr>
          <w:sz w:val="22"/>
        </w:rPr>
        <w:t>is</w:t>
      </w:r>
      <w:r>
        <w:rPr>
          <w:spacing w:val="-12"/>
          <w:sz w:val="22"/>
        </w:rPr>
        <w:t> </w:t>
      </w:r>
      <w:r>
        <w:rPr>
          <w:sz w:val="22"/>
        </w:rPr>
        <w:t>aware</w:t>
      </w:r>
      <w:r>
        <w:rPr>
          <w:spacing w:val="-14"/>
          <w:sz w:val="22"/>
        </w:rPr>
        <w:t> </w:t>
      </w:r>
      <w:r>
        <w:rPr>
          <w:sz w:val="22"/>
        </w:rPr>
        <w:t>of</w:t>
      </w:r>
      <w:r>
        <w:rPr>
          <w:spacing w:val="-12"/>
          <w:sz w:val="22"/>
        </w:rPr>
        <w:t> </w:t>
      </w:r>
      <w:r>
        <w:rPr>
          <w:sz w:val="22"/>
        </w:rPr>
        <w:t>and</w:t>
      </w:r>
      <w:r>
        <w:rPr>
          <w:spacing w:val="-16"/>
          <w:sz w:val="22"/>
        </w:rPr>
        <w:t> </w:t>
      </w:r>
      <w:r>
        <w:rPr>
          <w:sz w:val="22"/>
        </w:rPr>
        <w:t>consents</w:t>
      </w:r>
      <w:r>
        <w:rPr>
          <w:spacing w:val="-15"/>
          <w:sz w:val="22"/>
        </w:rPr>
        <w:t> </w:t>
      </w:r>
      <w:r>
        <w:rPr>
          <w:sz w:val="22"/>
        </w:rPr>
        <w:t>to</w:t>
      </w:r>
      <w:r>
        <w:rPr>
          <w:spacing w:val="-15"/>
          <w:sz w:val="22"/>
        </w:rPr>
        <w:t> </w:t>
      </w:r>
      <w:r>
        <w:rPr>
          <w:sz w:val="22"/>
        </w:rPr>
        <w:t>the</w:t>
      </w:r>
      <w:r>
        <w:rPr>
          <w:spacing w:val="-14"/>
          <w:sz w:val="22"/>
        </w:rPr>
        <w:t> </w:t>
      </w:r>
      <w:r>
        <w:rPr>
          <w:sz w:val="22"/>
        </w:rPr>
        <w:t>contents of this privacy statement.</w:t>
      </w:r>
    </w:p>
    <w:p>
      <w:pPr>
        <w:pStyle w:val="ListParagraph"/>
        <w:numPr>
          <w:ilvl w:val="1"/>
          <w:numId w:val="13"/>
        </w:numPr>
        <w:tabs>
          <w:tab w:pos="515" w:val="left" w:leader="none"/>
          <w:tab w:pos="523" w:val="left" w:leader="none"/>
        </w:tabs>
        <w:spacing w:line="276" w:lineRule="auto" w:before="121" w:after="0"/>
        <w:ind w:left="515" w:right="816" w:hanging="396"/>
        <w:jc w:val="both"/>
        <w:rPr>
          <w:sz w:val="22"/>
        </w:rPr>
      </w:pPr>
      <w:r>
        <w:rPr>
          <w:b/>
          <w:sz w:val="22"/>
        </w:rPr>
        <w:tab/>
      </w:r>
      <w:r>
        <w:rPr>
          <w:sz w:val="22"/>
        </w:rPr>
        <w:t>As an administering department, DGS collects demographic information for economic reporting purposes on behalf of the Victorian Government. No personal information is used in outcomes reporting. These reports present data that is de-identified and at aggregate levels only.</w:t>
      </w:r>
    </w:p>
    <w:p>
      <w:pPr>
        <w:pStyle w:val="ListParagraph"/>
        <w:numPr>
          <w:ilvl w:val="1"/>
          <w:numId w:val="13"/>
        </w:numPr>
        <w:tabs>
          <w:tab w:pos="507" w:val="left" w:leader="none"/>
          <w:tab w:pos="516" w:val="left" w:leader="none"/>
        </w:tabs>
        <w:spacing w:line="276" w:lineRule="auto" w:before="120" w:after="0"/>
        <w:ind w:left="516" w:right="816" w:hanging="397"/>
        <w:jc w:val="both"/>
        <w:rPr>
          <w:sz w:val="22"/>
        </w:rPr>
      </w:pPr>
      <w:r>
        <w:rPr>
          <w:sz w:val="22"/>
        </w:rPr>
        <w:t>Any personal information about the applicant applying or a third party will be collected, held, managed, used, disclosed or transferred and stored in accordance with the provisions of the </w:t>
      </w:r>
      <w:r>
        <w:rPr>
          <w:i/>
          <w:sz w:val="22"/>
        </w:rPr>
        <w:t>Privacy and Data Protection Act 2014 </w:t>
      </w:r>
      <w:r>
        <w:rPr>
          <w:sz w:val="22"/>
        </w:rPr>
        <w:t>(Vic) and other applicable laws.</w:t>
      </w:r>
    </w:p>
    <w:p>
      <w:pPr>
        <w:pStyle w:val="ListParagraph"/>
        <w:numPr>
          <w:ilvl w:val="1"/>
          <w:numId w:val="13"/>
        </w:numPr>
        <w:tabs>
          <w:tab w:pos="492" w:val="left" w:leader="none"/>
          <w:tab w:pos="515" w:val="left" w:leader="none"/>
        </w:tabs>
        <w:spacing w:line="276" w:lineRule="auto" w:before="121" w:after="0"/>
        <w:ind w:left="515" w:right="816" w:hanging="396"/>
        <w:jc w:val="both"/>
        <w:rPr>
          <w:sz w:val="22"/>
        </w:rPr>
      </w:pPr>
      <w:r>
        <w:rPr>
          <w:sz w:val="22"/>
        </w:rPr>
        <w:t>A</w:t>
      </w:r>
      <w:r>
        <w:rPr>
          <w:spacing w:val="-1"/>
          <w:sz w:val="22"/>
        </w:rPr>
        <w:t> </w:t>
      </w:r>
      <w:r>
        <w:rPr>
          <w:sz w:val="22"/>
        </w:rPr>
        <w:t>copy of our privacy statement is located at:</w:t>
      </w:r>
      <w:r>
        <w:rPr>
          <w:spacing w:val="-1"/>
          <w:sz w:val="22"/>
        </w:rPr>
        <w:t> </w:t>
      </w:r>
      <w:hyperlink r:id="rId12">
        <w:r>
          <w:rPr>
            <w:sz w:val="22"/>
          </w:rPr>
          <w:t>www.vic.gov.au/privacy-policy-department-</w:t>
        </w:r>
      </w:hyperlink>
      <w:r>
        <w:rPr>
          <w:sz w:val="22"/>
        </w:rPr>
        <w:t> </w:t>
      </w:r>
      <w:hyperlink r:id="rId12">
        <w:r>
          <w:rPr>
            <w:spacing w:val="-2"/>
            <w:sz w:val="22"/>
          </w:rPr>
          <w:t>government-services</w:t>
        </w:r>
      </w:hyperlink>
      <w:r>
        <w:rPr>
          <w:spacing w:val="-2"/>
          <w:sz w:val="22"/>
        </w:rPr>
        <w:t>.</w:t>
      </w:r>
    </w:p>
    <w:p>
      <w:pPr>
        <w:pStyle w:val="BodyText"/>
        <w:spacing w:before="202"/>
      </w:pPr>
    </w:p>
    <w:p>
      <w:pPr>
        <w:pStyle w:val="BodyText"/>
        <w:ind w:left="120"/>
      </w:pPr>
      <w:r>
        <w:rPr/>
        <w:t>For</w:t>
      </w:r>
      <w:r>
        <w:rPr>
          <w:spacing w:val="-6"/>
        </w:rPr>
        <w:t> </w:t>
      </w:r>
      <w:r>
        <w:rPr/>
        <w:t>concerns</w:t>
      </w:r>
      <w:r>
        <w:rPr>
          <w:spacing w:val="-8"/>
        </w:rPr>
        <w:t> </w:t>
      </w:r>
      <w:r>
        <w:rPr/>
        <w:t>regarding</w:t>
      </w:r>
      <w:r>
        <w:rPr>
          <w:spacing w:val="-5"/>
        </w:rPr>
        <w:t> </w:t>
      </w:r>
      <w:r>
        <w:rPr/>
        <w:t>the</w:t>
      </w:r>
      <w:r>
        <w:rPr>
          <w:spacing w:val="-6"/>
        </w:rPr>
        <w:t> </w:t>
      </w:r>
      <w:r>
        <w:rPr/>
        <w:t>privacy</w:t>
      </w:r>
      <w:r>
        <w:rPr>
          <w:spacing w:val="-7"/>
        </w:rPr>
        <w:t> </w:t>
      </w:r>
      <w:r>
        <w:rPr/>
        <w:t>of</w:t>
      </w:r>
      <w:r>
        <w:rPr>
          <w:spacing w:val="-6"/>
        </w:rPr>
        <w:t> </w:t>
      </w:r>
      <w:r>
        <w:rPr/>
        <w:t>personal</w:t>
      </w:r>
      <w:r>
        <w:rPr>
          <w:spacing w:val="-5"/>
        </w:rPr>
        <w:t> </w:t>
      </w:r>
      <w:r>
        <w:rPr/>
        <w:t>information,</w:t>
      </w:r>
      <w:r>
        <w:rPr>
          <w:spacing w:val="-3"/>
        </w:rPr>
        <w:t> </w:t>
      </w:r>
      <w:r>
        <w:rPr/>
        <w:t>email</w:t>
      </w:r>
      <w:r>
        <w:rPr>
          <w:spacing w:val="-5"/>
        </w:rPr>
        <w:t> </w:t>
      </w:r>
      <w:hyperlink r:id="rId13">
        <w:r>
          <w:rPr>
            <w:spacing w:val="-2"/>
          </w:rPr>
          <w:t>privacy@dgs.vic.gov.au</w:t>
        </w:r>
      </w:hyperlink>
    </w:p>
    <w:p>
      <w:pPr>
        <w:pStyle w:val="BodyText"/>
        <w:spacing w:before="149"/>
      </w:pPr>
    </w:p>
    <w:p>
      <w:pPr>
        <w:pStyle w:val="Heading1"/>
        <w:numPr>
          <w:ilvl w:val="0"/>
          <w:numId w:val="1"/>
        </w:numPr>
        <w:tabs>
          <w:tab w:pos="840" w:val="left" w:leader="none"/>
        </w:tabs>
        <w:spacing w:line="240" w:lineRule="auto" w:before="0" w:after="0"/>
        <w:ind w:left="840" w:right="0" w:hanging="720"/>
        <w:jc w:val="left"/>
      </w:pPr>
      <w:bookmarkStart w:name="10. Other information" w:id="30"/>
      <w:bookmarkEnd w:id="30"/>
      <w:r>
        <w:rPr>
          <w:b w:val="0"/>
        </w:rPr>
      </w:r>
      <w:r>
        <w:rPr>
          <w:color w:val="205E99"/>
        </w:rPr>
        <w:t>Other</w:t>
      </w:r>
      <w:r>
        <w:rPr>
          <w:color w:val="205E99"/>
          <w:spacing w:val="-11"/>
        </w:rPr>
        <w:t> </w:t>
      </w:r>
      <w:r>
        <w:rPr>
          <w:color w:val="205E99"/>
          <w:spacing w:val="-2"/>
        </w:rPr>
        <w:t>information</w:t>
      </w:r>
    </w:p>
    <w:p>
      <w:pPr>
        <w:pStyle w:val="ListParagraph"/>
        <w:numPr>
          <w:ilvl w:val="1"/>
          <w:numId w:val="14"/>
        </w:numPr>
        <w:tabs>
          <w:tab w:pos="676" w:val="left" w:leader="none"/>
          <w:tab w:pos="690" w:val="left" w:leader="none"/>
        </w:tabs>
        <w:spacing w:line="276" w:lineRule="auto" w:before="132" w:after="0"/>
        <w:ind w:left="676" w:right="814" w:hanging="557"/>
        <w:jc w:val="both"/>
        <w:rPr>
          <w:sz w:val="22"/>
        </w:rPr>
      </w:pPr>
      <w:r>
        <w:rPr>
          <w:b/>
          <w:sz w:val="22"/>
        </w:rPr>
        <w:tab/>
      </w:r>
      <w:r>
        <w:rPr>
          <w:sz w:val="22"/>
        </w:rPr>
        <w:t>It is strongly recommended that individuals considering applying to STS obtain professional advice on any impact the STS payments have on their tax liability or any other benefits paid under an Australian Government scheme, such as Austudy, ABSTUDY, pensions, or aged, disability or carer allowances.</w:t>
      </w:r>
    </w:p>
    <w:p>
      <w:pPr>
        <w:spacing w:after="0" w:line="276" w:lineRule="auto"/>
        <w:jc w:val="both"/>
        <w:rPr>
          <w:sz w:val="22"/>
        </w:rPr>
        <w:sectPr>
          <w:pgSz w:w="11910" w:h="16840"/>
          <w:pgMar w:header="0" w:footer="765" w:top="1900" w:bottom="960" w:left="1320" w:right="620"/>
        </w:sectPr>
      </w:pPr>
    </w:p>
    <w:p>
      <w:pPr>
        <w:pStyle w:val="ListParagraph"/>
        <w:numPr>
          <w:ilvl w:val="1"/>
          <w:numId w:val="14"/>
        </w:numPr>
        <w:tabs>
          <w:tab w:pos="613" w:val="left" w:leader="none"/>
          <w:tab w:pos="676" w:val="left" w:leader="none"/>
        </w:tabs>
        <w:spacing w:line="276" w:lineRule="auto" w:before="83" w:after="0"/>
        <w:ind w:left="676" w:right="816" w:hanging="557"/>
        <w:jc w:val="both"/>
        <w:rPr>
          <w:sz w:val="22"/>
        </w:rPr>
      </w:pPr>
      <w:r>
        <w:rPr>
          <w:sz w:val="22"/>
        </w:rPr>
        <w:t>DE reserves the right to amend these guidelines and application of the eligibility criteria and terms and conditions at any time (subject to appropriate notice being given either by publication on the STS webpage or by email to applicants and recipients).</w:t>
      </w:r>
    </w:p>
    <w:p>
      <w:pPr>
        <w:pStyle w:val="ListParagraph"/>
        <w:numPr>
          <w:ilvl w:val="1"/>
          <w:numId w:val="14"/>
        </w:numPr>
        <w:tabs>
          <w:tab w:pos="616" w:val="left" w:leader="none"/>
          <w:tab w:pos="676" w:val="left" w:leader="none"/>
        </w:tabs>
        <w:spacing w:line="276" w:lineRule="auto" w:before="121" w:after="0"/>
        <w:ind w:left="676" w:right="817" w:hanging="557"/>
        <w:jc w:val="both"/>
        <w:rPr>
          <w:sz w:val="22"/>
        </w:rPr>
      </w:pPr>
      <w:r>
        <w:rPr>
          <w:sz w:val="22"/>
        </w:rPr>
        <w:t>If an applicant or recipient considers that their application or claim has been incorrectly assessed or paid, they may lodge a complaint. The complaint must be received within</w:t>
      </w:r>
    </w:p>
    <w:p>
      <w:pPr>
        <w:pStyle w:val="BodyText"/>
        <w:spacing w:line="276" w:lineRule="auto"/>
        <w:ind w:left="676" w:right="817"/>
        <w:jc w:val="both"/>
      </w:pPr>
      <w:r>
        <w:rPr>
          <w:w w:val="105"/>
        </w:rPr>
        <w:t>60</w:t>
      </w:r>
      <w:r>
        <w:rPr>
          <w:w w:val="105"/>
        </w:rPr>
        <w:t> days</w:t>
      </w:r>
      <w:r>
        <w:rPr>
          <w:w w:val="105"/>
        </w:rPr>
        <w:t> from</w:t>
      </w:r>
      <w:r>
        <w:rPr>
          <w:w w:val="105"/>
        </w:rPr>
        <w:t> the</w:t>
      </w:r>
      <w:r>
        <w:rPr>
          <w:w w:val="105"/>
        </w:rPr>
        <w:t> date</w:t>
      </w:r>
      <w:r>
        <w:rPr>
          <w:w w:val="105"/>
        </w:rPr>
        <w:t> DE</w:t>
      </w:r>
      <w:r>
        <w:rPr>
          <w:w w:val="105"/>
        </w:rPr>
        <w:t> or</w:t>
      </w:r>
      <w:r>
        <w:rPr>
          <w:w w:val="105"/>
        </w:rPr>
        <w:t> DGS</w:t>
      </w:r>
      <w:r>
        <w:rPr>
          <w:w w:val="105"/>
        </w:rPr>
        <w:t> notifies</w:t>
      </w:r>
      <w:r>
        <w:rPr>
          <w:w w:val="105"/>
        </w:rPr>
        <w:t> the</w:t>
      </w:r>
      <w:r>
        <w:rPr>
          <w:w w:val="105"/>
        </w:rPr>
        <w:t> applicant</w:t>
      </w:r>
      <w:r>
        <w:rPr>
          <w:w w:val="105"/>
        </w:rPr>
        <w:t> of</w:t>
      </w:r>
      <w:r>
        <w:rPr>
          <w:w w:val="105"/>
        </w:rPr>
        <w:t> the</w:t>
      </w:r>
      <w:r>
        <w:rPr>
          <w:w w:val="105"/>
        </w:rPr>
        <w:t> outcome</w:t>
      </w:r>
      <w:r>
        <w:rPr>
          <w:w w:val="105"/>
        </w:rPr>
        <w:t> of</w:t>
      </w:r>
      <w:r>
        <w:rPr>
          <w:w w:val="105"/>
        </w:rPr>
        <w:t> their application</w:t>
      </w:r>
      <w:r>
        <w:rPr>
          <w:spacing w:val="-13"/>
          <w:w w:val="105"/>
        </w:rPr>
        <w:t> </w:t>
      </w:r>
      <w:r>
        <w:rPr>
          <w:w w:val="105"/>
        </w:rPr>
        <w:t>or</w:t>
      </w:r>
      <w:r>
        <w:rPr>
          <w:spacing w:val="-12"/>
          <w:w w:val="105"/>
        </w:rPr>
        <w:t> </w:t>
      </w:r>
      <w:r>
        <w:rPr>
          <w:w w:val="105"/>
        </w:rPr>
        <w:t>claim.</w:t>
      </w:r>
      <w:r>
        <w:rPr>
          <w:spacing w:val="-14"/>
          <w:w w:val="105"/>
        </w:rPr>
        <w:t> </w:t>
      </w:r>
      <w:r>
        <w:rPr>
          <w:w w:val="105"/>
        </w:rPr>
        <w:t>If</w:t>
      </w:r>
      <w:r>
        <w:rPr>
          <w:spacing w:val="-14"/>
          <w:w w:val="105"/>
        </w:rPr>
        <w:t> </w:t>
      </w:r>
      <w:r>
        <w:rPr>
          <w:w w:val="105"/>
        </w:rPr>
        <w:t>a</w:t>
      </w:r>
      <w:r>
        <w:rPr>
          <w:spacing w:val="-14"/>
          <w:w w:val="105"/>
        </w:rPr>
        <w:t> </w:t>
      </w:r>
      <w:r>
        <w:rPr>
          <w:w w:val="105"/>
        </w:rPr>
        <w:t>complaint</w:t>
      </w:r>
      <w:r>
        <w:rPr>
          <w:spacing w:val="-14"/>
          <w:w w:val="105"/>
        </w:rPr>
        <w:t> </w:t>
      </w:r>
      <w:r>
        <w:rPr>
          <w:w w:val="105"/>
        </w:rPr>
        <w:t>is</w:t>
      </w:r>
      <w:r>
        <w:rPr>
          <w:spacing w:val="-12"/>
          <w:w w:val="105"/>
        </w:rPr>
        <w:t> </w:t>
      </w:r>
      <w:r>
        <w:rPr>
          <w:w w:val="105"/>
        </w:rPr>
        <w:t>not</w:t>
      </w:r>
      <w:r>
        <w:rPr>
          <w:spacing w:val="-14"/>
          <w:w w:val="105"/>
        </w:rPr>
        <w:t> </w:t>
      </w:r>
      <w:r>
        <w:rPr>
          <w:w w:val="105"/>
        </w:rPr>
        <w:t>received</w:t>
      </w:r>
      <w:r>
        <w:rPr>
          <w:spacing w:val="-13"/>
          <w:w w:val="105"/>
        </w:rPr>
        <w:t> </w:t>
      </w:r>
      <w:r>
        <w:rPr>
          <w:w w:val="105"/>
        </w:rPr>
        <w:t>within</w:t>
      </w:r>
      <w:r>
        <w:rPr>
          <w:spacing w:val="-13"/>
          <w:w w:val="105"/>
        </w:rPr>
        <w:t> </w:t>
      </w:r>
      <w:r>
        <w:rPr>
          <w:w w:val="105"/>
        </w:rPr>
        <w:t>60</w:t>
      </w:r>
      <w:r>
        <w:rPr>
          <w:spacing w:val="-13"/>
          <w:w w:val="105"/>
        </w:rPr>
        <w:t> </w:t>
      </w:r>
      <w:r>
        <w:rPr>
          <w:w w:val="105"/>
        </w:rPr>
        <w:t>days,</w:t>
      </w:r>
      <w:r>
        <w:rPr>
          <w:spacing w:val="-14"/>
          <w:w w:val="105"/>
        </w:rPr>
        <w:t> </w:t>
      </w:r>
      <w:r>
        <w:rPr>
          <w:w w:val="105"/>
        </w:rPr>
        <w:t>the</w:t>
      </w:r>
      <w:r>
        <w:rPr>
          <w:spacing w:val="-14"/>
          <w:w w:val="105"/>
        </w:rPr>
        <w:t> </w:t>
      </w:r>
      <w:r>
        <w:rPr>
          <w:w w:val="105"/>
        </w:rPr>
        <w:t>decision</w:t>
      </w:r>
      <w:r>
        <w:rPr>
          <w:spacing w:val="-13"/>
          <w:w w:val="105"/>
        </w:rPr>
        <w:t> </w:t>
      </w:r>
      <w:r>
        <w:rPr>
          <w:w w:val="105"/>
        </w:rPr>
        <w:t>will</w:t>
      </w:r>
      <w:r>
        <w:rPr>
          <w:spacing w:val="-13"/>
          <w:w w:val="105"/>
        </w:rPr>
        <w:t> </w:t>
      </w:r>
      <w:r>
        <w:rPr>
          <w:w w:val="105"/>
        </w:rPr>
        <w:t>be final. Contact DGS at </w:t>
      </w:r>
      <w:hyperlink r:id="rId14">
        <w:r>
          <w:rPr>
            <w:rFonts w:ascii="Calibri"/>
            <w:color w:val="467885"/>
            <w:w w:val="105"/>
            <w:sz w:val="24"/>
            <w:u w:val="single" w:color="467885"/>
          </w:rPr>
          <w:t>sts@grants.vic.gov.au</w:t>
        </w:r>
      </w:hyperlink>
      <w:r>
        <w:rPr>
          <w:w w:val="105"/>
          <w:u w:val="none"/>
        </w:rPr>
        <w:t>.</w:t>
      </w:r>
    </w:p>
    <w:p>
      <w:pPr>
        <w:pStyle w:val="Heading1"/>
        <w:numPr>
          <w:ilvl w:val="0"/>
          <w:numId w:val="1"/>
        </w:numPr>
        <w:tabs>
          <w:tab w:pos="840" w:val="left" w:leader="none"/>
        </w:tabs>
        <w:spacing w:line="240" w:lineRule="auto" w:before="362" w:after="0"/>
        <w:ind w:left="840" w:right="0" w:hanging="720"/>
        <w:jc w:val="left"/>
      </w:pPr>
      <w:bookmarkStart w:name="11. Contact" w:id="31"/>
      <w:bookmarkEnd w:id="31"/>
      <w:r>
        <w:rPr>
          <w:b w:val="0"/>
        </w:rPr>
      </w:r>
      <w:r>
        <w:rPr>
          <w:color w:val="205E99"/>
          <w:spacing w:val="-2"/>
        </w:rPr>
        <w:t>Contact</w:t>
      </w:r>
    </w:p>
    <w:p>
      <w:pPr>
        <w:pStyle w:val="BodyText"/>
        <w:spacing w:line="276" w:lineRule="auto" w:before="133"/>
        <w:ind w:left="120" w:right="818"/>
        <w:jc w:val="both"/>
      </w:pPr>
      <w:r>
        <w:rPr/>
        <w:t>Please contact </w:t>
      </w:r>
      <w:hyperlink r:id="rId15">
        <w:r>
          <w:rPr>
            <w:color w:val="467885"/>
            <w:u w:val="single" w:color="467885"/>
          </w:rPr>
          <w:t>school.teaching.scholarships@education.vic.gov.au</w:t>
        </w:r>
      </w:hyperlink>
      <w:r>
        <w:rPr>
          <w:color w:val="467885"/>
          <w:u w:val="none"/>
        </w:rPr>
        <w:t> </w:t>
      </w:r>
      <w:r>
        <w:rPr>
          <w:u w:val="none"/>
        </w:rPr>
        <w:t>with any STS eligibility </w:t>
      </w:r>
      <w:r>
        <w:rPr>
          <w:spacing w:val="-2"/>
          <w:u w:val="none"/>
        </w:rPr>
        <w:t>queries.</w:t>
      </w:r>
    </w:p>
    <w:p>
      <w:pPr>
        <w:pStyle w:val="BodyText"/>
        <w:spacing w:before="34"/>
      </w:pPr>
    </w:p>
    <w:p>
      <w:pPr>
        <w:pStyle w:val="BodyText"/>
        <w:spacing w:line="278" w:lineRule="auto"/>
        <w:ind w:left="120" w:right="816"/>
        <w:jc w:val="both"/>
      </w:pPr>
      <w:r>
        <w:rPr/>
        <w:t>Please contact </w:t>
      </w:r>
      <w:hyperlink r:id="rId14">
        <w:r>
          <w:rPr>
            <w:rFonts w:ascii="Calibri"/>
            <w:color w:val="467885"/>
            <w:sz w:val="24"/>
            <w:u w:val="single" w:color="467885"/>
          </w:rPr>
          <w:t>sts@grants.vic.gov.au</w:t>
        </w:r>
      </w:hyperlink>
      <w:r>
        <w:rPr>
          <w:rFonts w:ascii="Calibri"/>
          <w:color w:val="467885"/>
          <w:sz w:val="24"/>
          <w:u w:val="none"/>
        </w:rPr>
        <w:t> </w:t>
      </w:r>
      <w:r>
        <w:rPr>
          <w:u w:val="none"/>
        </w:rPr>
        <w:t>with any queries about access to the application platform,</w:t>
      </w:r>
      <w:r>
        <w:rPr>
          <w:spacing w:val="-4"/>
          <w:u w:val="none"/>
        </w:rPr>
        <w:t> </w:t>
      </w:r>
      <w:r>
        <w:rPr>
          <w:u w:val="none"/>
        </w:rPr>
        <w:t>application</w:t>
      </w:r>
      <w:r>
        <w:rPr>
          <w:spacing w:val="-5"/>
          <w:u w:val="none"/>
        </w:rPr>
        <w:t> </w:t>
      </w:r>
      <w:r>
        <w:rPr>
          <w:u w:val="none"/>
        </w:rPr>
        <w:t>process,</w:t>
      </w:r>
      <w:r>
        <w:rPr>
          <w:spacing w:val="-4"/>
          <w:u w:val="none"/>
        </w:rPr>
        <w:t> </w:t>
      </w:r>
      <w:r>
        <w:rPr>
          <w:u w:val="none"/>
        </w:rPr>
        <w:t>verification</w:t>
      </w:r>
      <w:r>
        <w:rPr>
          <w:spacing w:val="-5"/>
          <w:u w:val="none"/>
        </w:rPr>
        <w:t> </w:t>
      </w:r>
      <w:r>
        <w:rPr>
          <w:u w:val="none"/>
        </w:rPr>
        <w:t>of</w:t>
      </w:r>
      <w:r>
        <w:rPr>
          <w:spacing w:val="-4"/>
          <w:u w:val="none"/>
        </w:rPr>
        <w:t> </w:t>
      </w:r>
      <w:r>
        <w:rPr>
          <w:u w:val="none"/>
        </w:rPr>
        <w:t>identity,</w:t>
      </w:r>
      <w:r>
        <w:rPr>
          <w:spacing w:val="-4"/>
          <w:u w:val="none"/>
        </w:rPr>
        <w:t> </w:t>
      </w:r>
      <w:r>
        <w:rPr>
          <w:u w:val="none"/>
        </w:rPr>
        <w:t>status</w:t>
      </w:r>
      <w:r>
        <w:rPr>
          <w:spacing w:val="-5"/>
          <w:u w:val="none"/>
        </w:rPr>
        <w:t> </w:t>
      </w:r>
      <w:r>
        <w:rPr>
          <w:u w:val="none"/>
        </w:rPr>
        <w:t>of</w:t>
      </w:r>
      <w:r>
        <w:rPr>
          <w:spacing w:val="-4"/>
          <w:u w:val="none"/>
        </w:rPr>
        <w:t> </w:t>
      </w:r>
      <w:r>
        <w:rPr>
          <w:u w:val="none"/>
        </w:rPr>
        <w:t>an</w:t>
      </w:r>
      <w:r>
        <w:rPr>
          <w:spacing w:val="-5"/>
          <w:u w:val="none"/>
        </w:rPr>
        <w:t> </w:t>
      </w:r>
      <w:r>
        <w:rPr>
          <w:u w:val="none"/>
        </w:rPr>
        <w:t>application</w:t>
      </w:r>
      <w:r>
        <w:rPr>
          <w:spacing w:val="-4"/>
          <w:u w:val="none"/>
        </w:rPr>
        <w:t> </w:t>
      </w:r>
      <w:r>
        <w:rPr>
          <w:u w:val="none"/>
        </w:rPr>
        <w:t>and</w:t>
      </w:r>
      <w:r>
        <w:rPr>
          <w:spacing w:val="-5"/>
          <w:u w:val="none"/>
        </w:rPr>
        <w:t> </w:t>
      </w:r>
      <w:r>
        <w:rPr>
          <w:u w:val="none"/>
        </w:rPr>
        <w:t>confirmation of payment.</w:t>
      </w:r>
    </w:p>
    <w:p>
      <w:pPr>
        <w:spacing w:after="0" w:line="278" w:lineRule="auto"/>
        <w:jc w:val="both"/>
        <w:sectPr>
          <w:pgSz w:w="11910" w:h="16840"/>
          <w:pgMar w:header="0" w:footer="765" w:top="1900" w:bottom="960" w:left="1320" w:right="620"/>
        </w:sectPr>
      </w:pPr>
    </w:p>
    <w:p>
      <w:pPr>
        <w:pStyle w:val="BodyText"/>
        <w:rPr>
          <w:sz w:val="32"/>
        </w:rPr>
      </w:pPr>
    </w:p>
    <w:p>
      <w:pPr>
        <w:pStyle w:val="BodyText"/>
        <w:rPr>
          <w:sz w:val="32"/>
        </w:rPr>
      </w:pPr>
    </w:p>
    <w:p>
      <w:pPr>
        <w:pStyle w:val="Heading1"/>
        <w:numPr>
          <w:ilvl w:val="0"/>
          <w:numId w:val="1"/>
        </w:numPr>
        <w:tabs>
          <w:tab w:pos="840" w:val="left" w:leader="none"/>
        </w:tabs>
        <w:spacing w:line="240" w:lineRule="auto" w:before="0" w:after="0"/>
        <w:ind w:left="840" w:right="0" w:hanging="720"/>
        <w:jc w:val="left"/>
      </w:pPr>
      <w:bookmarkStart w:name="12. Appendix 1: Designated border commun" w:id="32"/>
      <w:bookmarkEnd w:id="32"/>
      <w:r>
        <w:rPr>
          <w:b w:val="0"/>
        </w:rPr>
      </w:r>
      <w:r>
        <w:rPr>
          <w:color w:val="205E99"/>
        </w:rPr>
        <w:t>Appendix</w:t>
      </w:r>
      <w:r>
        <w:rPr>
          <w:color w:val="205E99"/>
          <w:spacing w:val="-10"/>
        </w:rPr>
        <w:t> </w:t>
      </w:r>
      <w:r>
        <w:rPr>
          <w:color w:val="205E99"/>
        </w:rPr>
        <w:t>1:</w:t>
      </w:r>
      <w:r>
        <w:rPr>
          <w:color w:val="205E99"/>
          <w:spacing w:val="-12"/>
        </w:rPr>
        <w:t> </w:t>
      </w:r>
      <w:r>
        <w:rPr>
          <w:color w:val="205E99"/>
        </w:rPr>
        <w:t>Designated</w:t>
      </w:r>
      <w:r>
        <w:rPr>
          <w:color w:val="205E99"/>
          <w:spacing w:val="-11"/>
        </w:rPr>
        <w:t> </w:t>
      </w:r>
      <w:r>
        <w:rPr>
          <w:color w:val="205E99"/>
        </w:rPr>
        <w:t>border</w:t>
      </w:r>
      <w:r>
        <w:rPr>
          <w:color w:val="205E99"/>
          <w:spacing w:val="-9"/>
        </w:rPr>
        <w:t> </w:t>
      </w:r>
      <w:r>
        <w:rPr>
          <w:color w:val="205E99"/>
          <w:spacing w:val="-2"/>
        </w:rPr>
        <w:t>communities</w:t>
      </w:r>
    </w:p>
    <w:p>
      <w:pPr>
        <w:pStyle w:val="BodyText"/>
        <w:spacing w:before="7"/>
        <w:rPr>
          <w:b/>
          <w:sz w:val="11"/>
        </w:rPr>
      </w:pPr>
    </w:p>
    <w:tbl>
      <w:tblPr>
        <w:tblW w:w="0" w:type="auto"/>
        <w:jc w:val="left"/>
        <w:tblInd w:w="841"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0" w:type="dxa"/>
          <w:left w:w="0" w:type="dxa"/>
          <w:bottom w:w="0" w:type="dxa"/>
          <w:right w:w="0" w:type="dxa"/>
        </w:tblCellMar>
        <w:tblLook w:val="01E0"/>
      </w:tblPr>
      <w:tblGrid>
        <w:gridCol w:w="2429"/>
        <w:gridCol w:w="6586"/>
      </w:tblGrid>
      <w:tr>
        <w:trPr>
          <w:trHeight w:val="416" w:hRule="atLeast"/>
        </w:trPr>
        <w:tc>
          <w:tcPr>
            <w:tcW w:w="2429" w:type="dxa"/>
            <w:shd w:val="clear" w:color="auto" w:fill="205E99"/>
          </w:tcPr>
          <w:p>
            <w:pPr>
              <w:pStyle w:val="TableParagraph"/>
              <w:ind w:left="217"/>
              <w:rPr>
                <w:b/>
                <w:sz w:val="21"/>
              </w:rPr>
            </w:pPr>
            <w:r>
              <w:rPr>
                <w:b/>
                <w:color w:val="FFFFFF"/>
                <w:spacing w:val="-4"/>
                <w:sz w:val="21"/>
              </w:rPr>
              <w:t>Term</w:t>
            </w:r>
          </w:p>
        </w:tc>
        <w:tc>
          <w:tcPr>
            <w:tcW w:w="6586" w:type="dxa"/>
            <w:shd w:val="clear" w:color="auto" w:fill="205E99"/>
          </w:tcPr>
          <w:p>
            <w:pPr>
              <w:pStyle w:val="TableParagraph"/>
              <w:ind w:left="217"/>
              <w:rPr>
                <w:b/>
                <w:sz w:val="21"/>
              </w:rPr>
            </w:pPr>
            <w:r>
              <w:rPr>
                <w:b/>
                <w:color w:val="FFFFFF"/>
                <w:spacing w:val="-2"/>
                <w:sz w:val="21"/>
              </w:rPr>
              <w:t>Definition</w:t>
            </w:r>
          </w:p>
        </w:tc>
      </w:tr>
      <w:tr>
        <w:trPr>
          <w:trHeight w:val="6853" w:hRule="atLeast"/>
        </w:trPr>
        <w:tc>
          <w:tcPr>
            <w:tcW w:w="2429" w:type="dxa"/>
            <w:shd w:val="clear" w:color="auto" w:fill="F1F1F1"/>
          </w:tcPr>
          <w:p>
            <w:pPr>
              <w:pStyle w:val="TableParagraph"/>
              <w:spacing w:before="81"/>
              <w:ind w:left="217"/>
              <w:rPr>
                <w:sz w:val="21"/>
              </w:rPr>
            </w:pPr>
            <w:r>
              <w:rPr>
                <w:sz w:val="21"/>
              </w:rPr>
              <w:t>New</w:t>
            </w:r>
            <w:r>
              <w:rPr>
                <w:spacing w:val="-4"/>
                <w:sz w:val="21"/>
              </w:rPr>
              <w:t> </w:t>
            </w:r>
            <w:r>
              <w:rPr>
                <w:sz w:val="21"/>
              </w:rPr>
              <w:t>South</w:t>
            </w:r>
            <w:r>
              <w:rPr>
                <w:spacing w:val="-3"/>
                <w:sz w:val="21"/>
              </w:rPr>
              <w:t> </w:t>
            </w:r>
            <w:r>
              <w:rPr>
                <w:spacing w:val="-2"/>
                <w:sz w:val="21"/>
              </w:rPr>
              <w:t>Wales</w:t>
            </w:r>
          </w:p>
        </w:tc>
        <w:tc>
          <w:tcPr>
            <w:tcW w:w="6586" w:type="dxa"/>
            <w:shd w:val="clear" w:color="auto" w:fill="F1F1F1"/>
          </w:tcPr>
          <w:p>
            <w:pPr>
              <w:pStyle w:val="TableParagraph"/>
              <w:numPr>
                <w:ilvl w:val="0"/>
                <w:numId w:val="15"/>
              </w:numPr>
              <w:tabs>
                <w:tab w:pos="824" w:val="left" w:leader="none"/>
              </w:tabs>
              <w:spacing w:line="240" w:lineRule="auto" w:before="42" w:after="0"/>
              <w:ind w:left="824" w:right="0" w:hanging="360"/>
              <w:jc w:val="left"/>
              <w:rPr>
                <w:sz w:val="22"/>
              </w:rPr>
            </w:pPr>
            <w:bookmarkStart w:name=" Balranald Shire" w:id="33"/>
            <w:bookmarkEnd w:id="33"/>
            <w:r>
              <w:rPr>
                <w:rFonts w:ascii="Times New Roman" w:hAnsi="Times New Roman"/>
                <w:sz w:val="22"/>
              </w:rPr>
            </w:r>
            <w:r>
              <w:rPr>
                <w:sz w:val="22"/>
              </w:rPr>
              <w:t>Balranald</w:t>
            </w:r>
            <w:r>
              <w:rPr>
                <w:spacing w:val="-9"/>
                <w:sz w:val="22"/>
              </w:rPr>
              <w:t> </w:t>
            </w:r>
            <w:r>
              <w:rPr>
                <w:spacing w:val="-2"/>
                <w:sz w:val="22"/>
              </w:rPr>
              <w:t>Shire</w:t>
            </w:r>
          </w:p>
          <w:p>
            <w:pPr>
              <w:pStyle w:val="TableParagraph"/>
              <w:numPr>
                <w:ilvl w:val="0"/>
                <w:numId w:val="15"/>
              </w:numPr>
              <w:tabs>
                <w:tab w:pos="824" w:val="left" w:leader="none"/>
              </w:tabs>
              <w:spacing w:line="240" w:lineRule="auto" w:before="155" w:after="0"/>
              <w:ind w:left="824" w:right="0" w:hanging="360"/>
              <w:jc w:val="left"/>
              <w:rPr>
                <w:sz w:val="22"/>
              </w:rPr>
            </w:pPr>
            <w:bookmarkStart w:name=" Bega Valley Shire" w:id="34"/>
            <w:bookmarkEnd w:id="34"/>
            <w:r>
              <w:rPr>
                <w:rFonts w:ascii="Times New Roman" w:hAnsi="Times New Roman"/>
                <w:sz w:val="22"/>
              </w:rPr>
            </w:r>
            <w:r>
              <w:rPr>
                <w:sz w:val="22"/>
              </w:rPr>
              <w:t>Bega</w:t>
            </w:r>
            <w:r>
              <w:rPr>
                <w:spacing w:val="-5"/>
                <w:sz w:val="22"/>
              </w:rPr>
              <w:t> </w:t>
            </w:r>
            <w:r>
              <w:rPr>
                <w:sz w:val="22"/>
              </w:rPr>
              <w:t>Valley</w:t>
            </w:r>
            <w:r>
              <w:rPr>
                <w:spacing w:val="-4"/>
                <w:sz w:val="22"/>
              </w:rPr>
              <w:t> </w:t>
            </w:r>
            <w:r>
              <w:rPr>
                <w:spacing w:val="-2"/>
                <w:sz w:val="22"/>
              </w:rPr>
              <w:t>Shire</w:t>
            </w:r>
          </w:p>
          <w:p>
            <w:pPr>
              <w:pStyle w:val="TableParagraph"/>
              <w:numPr>
                <w:ilvl w:val="0"/>
                <w:numId w:val="15"/>
              </w:numPr>
              <w:tabs>
                <w:tab w:pos="824" w:val="left" w:leader="none"/>
              </w:tabs>
              <w:spacing w:line="240" w:lineRule="auto" w:before="155" w:after="0"/>
              <w:ind w:left="824" w:right="0" w:hanging="360"/>
              <w:jc w:val="left"/>
              <w:rPr>
                <w:sz w:val="22"/>
              </w:rPr>
            </w:pPr>
            <w:bookmarkStart w:name=" Berrigan Shire" w:id="35"/>
            <w:bookmarkEnd w:id="35"/>
            <w:r>
              <w:rPr>
                <w:rFonts w:ascii="Times New Roman" w:hAnsi="Times New Roman"/>
                <w:sz w:val="22"/>
              </w:rPr>
            </w:r>
            <w:r>
              <w:rPr>
                <w:sz w:val="22"/>
              </w:rPr>
              <w:t>Berrigan</w:t>
            </w:r>
            <w:r>
              <w:rPr>
                <w:spacing w:val="-8"/>
                <w:sz w:val="22"/>
              </w:rPr>
              <w:t> </w:t>
            </w:r>
            <w:r>
              <w:rPr>
                <w:spacing w:val="-2"/>
                <w:sz w:val="22"/>
              </w:rPr>
              <w:t>Shire</w:t>
            </w:r>
          </w:p>
          <w:p>
            <w:pPr>
              <w:pStyle w:val="TableParagraph"/>
              <w:numPr>
                <w:ilvl w:val="0"/>
                <w:numId w:val="15"/>
              </w:numPr>
              <w:tabs>
                <w:tab w:pos="824" w:val="left" w:leader="none"/>
              </w:tabs>
              <w:spacing w:line="240" w:lineRule="auto" w:before="158" w:after="0"/>
              <w:ind w:left="824" w:right="0" w:hanging="360"/>
              <w:jc w:val="left"/>
              <w:rPr>
                <w:sz w:val="22"/>
              </w:rPr>
            </w:pPr>
            <w:bookmarkStart w:name=" City of Albury" w:id="36"/>
            <w:bookmarkEnd w:id="36"/>
            <w:r>
              <w:rPr>
                <w:rFonts w:ascii="Times New Roman" w:hAnsi="Times New Roman"/>
                <w:sz w:val="22"/>
              </w:rPr>
            </w:r>
            <w:r>
              <w:rPr>
                <w:sz w:val="22"/>
              </w:rPr>
              <w:t>City</w:t>
            </w:r>
            <w:r>
              <w:rPr>
                <w:spacing w:val="-2"/>
                <w:sz w:val="22"/>
              </w:rPr>
              <w:t> </w:t>
            </w:r>
            <w:r>
              <w:rPr>
                <w:sz w:val="22"/>
              </w:rPr>
              <w:t>of</w:t>
            </w:r>
            <w:r>
              <w:rPr>
                <w:spacing w:val="-1"/>
                <w:sz w:val="22"/>
              </w:rPr>
              <w:t> </w:t>
            </w:r>
            <w:r>
              <w:rPr>
                <w:spacing w:val="-2"/>
                <w:sz w:val="22"/>
              </w:rPr>
              <w:t>Albury</w:t>
            </w:r>
          </w:p>
          <w:p>
            <w:pPr>
              <w:pStyle w:val="TableParagraph"/>
              <w:numPr>
                <w:ilvl w:val="0"/>
                <w:numId w:val="15"/>
              </w:numPr>
              <w:tabs>
                <w:tab w:pos="824" w:val="left" w:leader="none"/>
              </w:tabs>
              <w:spacing w:line="240" w:lineRule="auto" w:before="155" w:after="0"/>
              <w:ind w:left="824" w:right="0" w:hanging="360"/>
              <w:jc w:val="left"/>
              <w:rPr>
                <w:sz w:val="22"/>
              </w:rPr>
            </w:pPr>
            <w:bookmarkStart w:name=" City of Broken Hill" w:id="37"/>
            <w:bookmarkEnd w:id="37"/>
            <w:r>
              <w:rPr>
                <w:rFonts w:ascii="Times New Roman" w:hAnsi="Times New Roman"/>
                <w:sz w:val="22"/>
              </w:rPr>
            </w:r>
            <w:r>
              <w:rPr>
                <w:sz w:val="22"/>
              </w:rPr>
              <w:t>City</w:t>
            </w:r>
            <w:r>
              <w:rPr>
                <w:spacing w:val="-2"/>
                <w:sz w:val="22"/>
              </w:rPr>
              <w:t> </w:t>
            </w:r>
            <w:r>
              <w:rPr>
                <w:sz w:val="22"/>
              </w:rPr>
              <w:t>of</w:t>
            </w:r>
            <w:r>
              <w:rPr>
                <w:spacing w:val="-2"/>
                <w:sz w:val="22"/>
              </w:rPr>
              <w:t> </w:t>
            </w:r>
            <w:r>
              <w:rPr>
                <w:sz w:val="22"/>
              </w:rPr>
              <w:t>Broken</w:t>
            </w:r>
            <w:r>
              <w:rPr>
                <w:spacing w:val="-4"/>
                <w:sz w:val="22"/>
              </w:rPr>
              <w:t> Hill</w:t>
            </w:r>
          </w:p>
          <w:p>
            <w:pPr>
              <w:pStyle w:val="TableParagraph"/>
              <w:numPr>
                <w:ilvl w:val="0"/>
                <w:numId w:val="15"/>
              </w:numPr>
              <w:tabs>
                <w:tab w:pos="824" w:val="left" w:leader="none"/>
              </w:tabs>
              <w:spacing w:line="240" w:lineRule="auto" w:before="158" w:after="0"/>
              <w:ind w:left="824" w:right="0" w:hanging="360"/>
              <w:jc w:val="left"/>
              <w:rPr>
                <w:sz w:val="22"/>
              </w:rPr>
            </w:pPr>
            <w:bookmarkStart w:name=" City of Wagga Wagga" w:id="38"/>
            <w:bookmarkEnd w:id="38"/>
            <w:r>
              <w:rPr>
                <w:rFonts w:ascii="Times New Roman" w:hAnsi="Times New Roman"/>
                <w:sz w:val="22"/>
              </w:rPr>
            </w:r>
            <w:r>
              <w:rPr>
                <w:sz w:val="22"/>
              </w:rPr>
              <w:t>City</w:t>
            </w:r>
            <w:r>
              <w:rPr>
                <w:spacing w:val="-2"/>
                <w:sz w:val="22"/>
              </w:rPr>
              <w:t> </w:t>
            </w:r>
            <w:r>
              <w:rPr>
                <w:sz w:val="22"/>
              </w:rPr>
              <w:t>of</w:t>
            </w:r>
            <w:r>
              <w:rPr>
                <w:spacing w:val="-2"/>
                <w:sz w:val="22"/>
              </w:rPr>
              <w:t> </w:t>
            </w:r>
            <w:r>
              <w:rPr>
                <w:sz w:val="22"/>
              </w:rPr>
              <w:t>Wagga</w:t>
            </w:r>
            <w:r>
              <w:rPr>
                <w:spacing w:val="-4"/>
                <w:sz w:val="22"/>
              </w:rPr>
              <w:t> </w:t>
            </w:r>
            <w:r>
              <w:rPr>
                <w:spacing w:val="-2"/>
                <w:sz w:val="22"/>
              </w:rPr>
              <w:t>Wagga</w:t>
            </w:r>
          </w:p>
          <w:p>
            <w:pPr>
              <w:pStyle w:val="TableParagraph"/>
              <w:numPr>
                <w:ilvl w:val="0"/>
                <w:numId w:val="15"/>
              </w:numPr>
              <w:tabs>
                <w:tab w:pos="824" w:val="left" w:leader="none"/>
              </w:tabs>
              <w:spacing w:line="240" w:lineRule="auto" w:before="155" w:after="0"/>
              <w:ind w:left="824" w:right="0" w:hanging="360"/>
              <w:jc w:val="left"/>
              <w:rPr>
                <w:sz w:val="22"/>
              </w:rPr>
            </w:pPr>
            <w:bookmarkStart w:name=" Edward River Council" w:id="39"/>
            <w:bookmarkEnd w:id="39"/>
            <w:r>
              <w:rPr>
                <w:rFonts w:ascii="Times New Roman" w:hAnsi="Times New Roman"/>
                <w:sz w:val="22"/>
              </w:rPr>
            </w:r>
            <w:r>
              <w:rPr>
                <w:sz w:val="22"/>
              </w:rPr>
              <w:t>Edward</w:t>
            </w:r>
            <w:r>
              <w:rPr>
                <w:spacing w:val="-5"/>
                <w:sz w:val="22"/>
              </w:rPr>
              <w:t> </w:t>
            </w:r>
            <w:r>
              <w:rPr>
                <w:sz w:val="22"/>
              </w:rPr>
              <w:t>River</w:t>
            </w:r>
            <w:r>
              <w:rPr>
                <w:spacing w:val="-3"/>
                <w:sz w:val="22"/>
              </w:rPr>
              <w:t> </w:t>
            </w:r>
            <w:r>
              <w:rPr>
                <w:spacing w:val="-2"/>
                <w:sz w:val="22"/>
              </w:rPr>
              <w:t>Council</w:t>
            </w:r>
          </w:p>
          <w:p>
            <w:pPr>
              <w:pStyle w:val="TableParagraph"/>
              <w:numPr>
                <w:ilvl w:val="0"/>
                <w:numId w:val="15"/>
              </w:numPr>
              <w:tabs>
                <w:tab w:pos="824" w:val="left" w:leader="none"/>
              </w:tabs>
              <w:spacing w:line="240" w:lineRule="auto" w:before="156" w:after="0"/>
              <w:ind w:left="824" w:right="0" w:hanging="360"/>
              <w:jc w:val="left"/>
              <w:rPr>
                <w:sz w:val="22"/>
              </w:rPr>
            </w:pPr>
            <w:bookmarkStart w:name=" Federation Council" w:id="40"/>
            <w:bookmarkEnd w:id="40"/>
            <w:r>
              <w:rPr>
                <w:rFonts w:ascii="Times New Roman" w:hAnsi="Times New Roman"/>
                <w:sz w:val="22"/>
              </w:rPr>
            </w:r>
            <w:r>
              <w:rPr>
                <w:sz w:val="22"/>
              </w:rPr>
              <w:t>Federation</w:t>
            </w:r>
            <w:r>
              <w:rPr>
                <w:spacing w:val="-7"/>
                <w:sz w:val="22"/>
              </w:rPr>
              <w:t> </w:t>
            </w:r>
            <w:r>
              <w:rPr>
                <w:spacing w:val="-2"/>
                <w:sz w:val="22"/>
              </w:rPr>
              <w:t>Council</w:t>
            </w:r>
          </w:p>
          <w:p>
            <w:pPr>
              <w:pStyle w:val="TableParagraph"/>
              <w:numPr>
                <w:ilvl w:val="0"/>
                <w:numId w:val="15"/>
              </w:numPr>
              <w:tabs>
                <w:tab w:pos="824" w:val="left" w:leader="none"/>
              </w:tabs>
              <w:spacing w:line="240" w:lineRule="auto" w:before="157" w:after="0"/>
              <w:ind w:left="824" w:right="0" w:hanging="360"/>
              <w:jc w:val="left"/>
              <w:rPr>
                <w:sz w:val="22"/>
              </w:rPr>
            </w:pPr>
            <w:bookmarkStart w:name=" Greater Hume Shire" w:id="41"/>
            <w:bookmarkEnd w:id="41"/>
            <w:r>
              <w:rPr>
                <w:rFonts w:ascii="Times New Roman" w:hAnsi="Times New Roman"/>
                <w:sz w:val="22"/>
              </w:rPr>
            </w:r>
            <w:r>
              <w:rPr>
                <w:sz w:val="22"/>
              </w:rPr>
              <w:t>Greater</w:t>
            </w:r>
            <w:r>
              <w:rPr>
                <w:spacing w:val="-5"/>
                <w:sz w:val="22"/>
              </w:rPr>
              <w:t> </w:t>
            </w:r>
            <w:r>
              <w:rPr>
                <w:sz w:val="22"/>
              </w:rPr>
              <w:t>Hume</w:t>
            </w:r>
            <w:r>
              <w:rPr>
                <w:spacing w:val="-4"/>
                <w:sz w:val="22"/>
              </w:rPr>
              <w:t> </w:t>
            </w:r>
            <w:r>
              <w:rPr>
                <w:spacing w:val="-2"/>
                <w:sz w:val="22"/>
              </w:rPr>
              <w:t>Shire</w:t>
            </w:r>
          </w:p>
          <w:p>
            <w:pPr>
              <w:pStyle w:val="TableParagraph"/>
              <w:numPr>
                <w:ilvl w:val="0"/>
                <w:numId w:val="15"/>
              </w:numPr>
              <w:tabs>
                <w:tab w:pos="824" w:val="left" w:leader="none"/>
              </w:tabs>
              <w:spacing w:line="240" w:lineRule="auto" w:before="156" w:after="0"/>
              <w:ind w:left="824" w:right="0" w:hanging="360"/>
              <w:jc w:val="left"/>
              <w:rPr>
                <w:sz w:val="22"/>
              </w:rPr>
            </w:pPr>
            <w:bookmarkStart w:name=" Hay Shire" w:id="42"/>
            <w:bookmarkEnd w:id="42"/>
            <w:r>
              <w:rPr>
                <w:rFonts w:ascii="Times New Roman" w:hAnsi="Times New Roman"/>
                <w:sz w:val="22"/>
              </w:rPr>
            </w:r>
            <w:r>
              <w:rPr>
                <w:sz w:val="22"/>
              </w:rPr>
              <w:t>Hay</w:t>
            </w:r>
            <w:r>
              <w:rPr>
                <w:spacing w:val="-2"/>
                <w:sz w:val="22"/>
              </w:rPr>
              <w:t> Shire</w:t>
            </w:r>
          </w:p>
          <w:p>
            <w:pPr>
              <w:pStyle w:val="TableParagraph"/>
              <w:numPr>
                <w:ilvl w:val="0"/>
                <w:numId w:val="15"/>
              </w:numPr>
              <w:tabs>
                <w:tab w:pos="824" w:val="left" w:leader="none"/>
              </w:tabs>
              <w:spacing w:line="240" w:lineRule="auto" w:before="157" w:after="0"/>
              <w:ind w:left="824" w:right="0" w:hanging="360"/>
              <w:jc w:val="left"/>
              <w:rPr>
                <w:sz w:val="22"/>
              </w:rPr>
            </w:pPr>
            <w:bookmarkStart w:name=" Lockhart Shire" w:id="43"/>
            <w:bookmarkEnd w:id="43"/>
            <w:r>
              <w:rPr>
                <w:rFonts w:ascii="Times New Roman" w:hAnsi="Times New Roman"/>
                <w:sz w:val="22"/>
              </w:rPr>
            </w:r>
            <w:r>
              <w:rPr>
                <w:sz w:val="22"/>
              </w:rPr>
              <w:t>Lockhart</w:t>
            </w:r>
            <w:r>
              <w:rPr>
                <w:spacing w:val="-4"/>
                <w:sz w:val="22"/>
              </w:rPr>
              <w:t> </w:t>
            </w:r>
            <w:r>
              <w:rPr>
                <w:spacing w:val="-2"/>
                <w:sz w:val="22"/>
              </w:rPr>
              <w:t>Shire</w:t>
            </w:r>
          </w:p>
          <w:p>
            <w:pPr>
              <w:pStyle w:val="TableParagraph"/>
              <w:numPr>
                <w:ilvl w:val="0"/>
                <w:numId w:val="15"/>
              </w:numPr>
              <w:tabs>
                <w:tab w:pos="824" w:val="left" w:leader="none"/>
              </w:tabs>
              <w:spacing w:line="240" w:lineRule="auto" w:before="156" w:after="0"/>
              <w:ind w:left="824" w:right="0" w:hanging="360"/>
              <w:jc w:val="left"/>
              <w:rPr>
                <w:sz w:val="22"/>
              </w:rPr>
            </w:pPr>
            <w:bookmarkStart w:name=" Murray River Council" w:id="44"/>
            <w:bookmarkEnd w:id="44"/>
            <w:r>
              <w:rPr>
                <w:rFonts w:ascii="Times New Roman" w:hAnsi="Times New Roman"/>
                <w:sz w:val="22"/>
              </w:rPr>
            </w:r>
            <w:r>
              <w:rPr>
                <w:sz w:val="22"/>
              </w:rPr>
              <w:t>Murray</w:t>
            </w:r>
            <w:r>
              <w:rPr>
                <w:spacing w:val="-4"/>
                <w:sz w:val="22"/>
              </w:rPr>
              <w:t> </w:t>
            </w:r>
            <w:r>
              <w:rPr>
                <w:sz w:val="22"/>
              </w:rPr>
              <w:t>River</w:t>
            </w:r>
            <w:r>
              <w:rPr>
                <w:spacing w:val="-5"/>
                <w:sz w:val="22"/>
              </w:rPr>
              <w:t> </w:t>
            </w:r>
            <w:r>
              <w:rPr>
                <w:spacing w:val="-2"/>
                <w:sz w:val="22"/>
              </w:rPr>
              <w:t>Council</w:t>
            </w:r>
          </w:p>
          <w:p>
            <w:pPr>
              <w:pStyle w:val="TableParagraph"/>
              <w:numPr>
                <w:ilvl w:val="0"/>
                <w:numId w:val="15"/>
              </w:numPr>
              <w:tabs>
                <w:tab w:pos="824" w:val="left" w:leader="none"/>
              </w:tabs>
              <w:spacing w:line="240" w:lineRule="auto" w:before="155" w:after="0"/>
              <w:ind w:left="824" w:right="0" w:hanging="360"/>
              <w:jc w:val="left"/>
              <w:rPr>
                <w:sz w:val="22"/>
              </w:rPr>
            </w:pPr>
            <w:bookmarkStart w:name=" Murrumbidgee Council" w:id="45"/>
            <w:bookmarkEnd w:id="45"/>
            <w:r>
              <w:rPr>
                <w:rFonts w:ascii="Times New Roman" w:hAnsi="Times New Roman"/>
                <w:sz w:val="22"/>
              </w:rPr>
            </w:r>
            <w:r>
              <w:rPr>
                <w:sz w:val="22"/>
              </w:rPr>
              <w:t>Murrumbidgee</w:t>
            </w:r>
            <w:r>
              <w:rPr>
                <w:spacing w:val="-10"/>
                <w:sz w:val="22"/>
              </w:rPr>
              <w:t> </w:t>
            </w:r>
            <w:r>
              <w:rPr>
                <w:spacing w:val="-2"/>
                <w:sz w:val="22"/>
              </w:rPr>
              <w:t>Council</w:t>
            </w:r>
          </w:p>
          <w:p>
            <w:pPr>
              <w:pStyle w:val="TableParagraph"/>
              <w:numPr>
                <w:ilvl w:val="0"/>
                <w:numId w:val="15"/>
              </w:numPr>
              <w:tabs>
                <w:tab w:pos="824" w:val="left" w:leader="none"/>
              </w:tabs>
              <w:spacing w:line="240" w:lineRule="auto" w:before="158" w:after="0"/>
              <w:ind w:left="824" w:right="0" w:hanging="360"/>
              <w:jc w:val="left"/>
              <w:rPr>
                <w:sz w:val="22"/>
              </w:rPr>
            </w:pPr>
            <w:bookmarkStart w:name=" Snowy Monaro Regional Council" w:id="46"/>
            <w:bookmarkEnd w:id="46"/>
            <w:r>
              <w:rPr>
                <w:rFonts w:ascii="Times New Roman" w:hAnsi="Times New Roman"/>
                <w:sz w:val="22"/>
              </w:rPr>
            </w:r>
            <w:r>
              <w:rPr>
                <w:sz w:val="22"/>
              </w:rPr>
              <w:t>Snowy</w:t>
            </w:r>
            <w:r>
              <w:rPr>
                <w:spacing w:val="-6"/>
                <w:sz w:val="22"/>
              </w:rPr>
              <w:t> </w:t>
            </w:r>
            <w:r>
              <w:rPr>
                <w:sz w:val="22"/>
              </w:rPr>
              <w:t>Monaro</w:t>
            </w:r>
            <w:r>
              <w:rPr>
                <w:spacing w:val="-6"/>
                <w:sz w:val="22"/>
              </w:rPr>
              <w:t> </w:t>
            </w:r>
            <w:r>
              <w:rPr>
                <w:sz w:val="22"/>
              </w:rPr>
              <w:t>Regional</w:t>
            </w:r>
            <w:r>
              <w:rPr>
                <w:spacing w:val="-6"/>
                <w:sz w:val="22"/>
              </w:rPr>
              <w:t> </w:t>
            </w:r>
            <w:r>
              <w:rPr>
                <w:spacing w:val="-2"/>
                <w:sz w:val="22"/>
              </w:rPr>
              <w:t>Council</w:t>
            </w:r>
          </w:p>
          <w:p>
            <w:pPr>
              <w:pStyle w:val="TableParagraph"/>
              <w:numPr>
                <w:ilvl w:val="0"/>
                <w:numId w:val="15"/>
              </w:numPr>
              <w:tabs>
                <w:tab w:pos="824" w:val="left" w:leader="none"/>
              </w:tabs>
              <w:spacing w:line="240" w:lineRule="auto" w:before="155" w:after="0"/>
              <w:ind w:left="824" w:right="0" w:hanging="360"/>
              <w:jc w:val="left"/>
              <w:rPr>
                <w:sz w:val="22"/>
              </w:rPr>
            </w:pPr>
            <w:bookmarkStart w:name=" Snowy Valleys Council" w:id="47"/>
            <w:bookmarkEnd w:id="47"/>
            <w:r>
              <w:rPr>
                <w:rFonts w:ascii="Times New Roman" w:hAnsi="Times New Roman"/>
                <w:sz w:val="22"/>
              </w:rPr>
            </w:r>
            <w:r>
              <w:rPr>
                <w:sz w:val="22"/>
              </w:rPr>
              <w:t>Snowy</w:t>
            </w:r>
            <w:r>
              <w:rPr>
                <w:spacing w:val="-6"/>
                <w:sz w:val="22"/>
              </w:rPr>
              <w:t> </w:t>
            </w:r>
            <w:r>
              <w:rPr>
                <w:sz w:val="22"/>
              </w:rPr>
              <w:t>Valleys</w:t>
            </w:r>
            <w:r>
              <w:rPr>
                <w:spacing w:val="-5"/>
                <w:sz w:val="22"/>
              </w:rPr>
              <w:t> </w:t>
            </w:r>
            <w:r>
              <w:rPr>
                <w:spacing w:val="-2"/>
                <w:sz w:val="22"/>
              </w:rPr>
              <w:t>Council</w:t>
            </w:r>
          </w:p>
          <w:p>
            <w:pPr>
              <w:pStyle w:val="TableParagraph"/>
              <w:numPr>
                <w:ilvl w:val="0"/>
                <w:numId w:val="15"/>
              </w:numPr>
              <w:tabs>
                <w:tab w:pos="824" w:val="left" w:leader="none"/>
              </w:tabs>
              <w:spacing w:line="240" w:lineRule="auto" w:before="157" w:after="0"/>
              <w:ind w:left="824" w:right="0" w:hanging="360"/>
              <w:jc w:val="left"/>
              <w:rPr>
                <w:sz w:val="22"/>
              </w:rPr>
            </w:pPr>
            <w:bookmarkStart w:name=" Wentworth Shire." w:id="48"/>
            <w:bookmarkEnd w:id="48"/>
            <w:r>
              <w:rPr>
                <w:rFonts w:ascii="Times New Roman" w:hAnsi="Times New Roman"/>
                <w:sz w:val="22"/>
              </w:rPr>
            </w:r>
            <w:r>
              <w:rPr>
                <w:sz w:val="22"/>
              </w:rPr>
              <w:t>Wentworth</w:t>
            </w:r>
            <w:r>
              <w:rPr>
                <w:spacing w:val="-5"/>
                <w:sz w:val="22"/>
              </w:rPr>
              <w:t> </w:t>
            </w:r>
            <w:r>
              <w:rPr>
                <w:spacing w:val="-2"/>
                <w:sz w:val="22"/>
              </w:rPr>
              <w:t>Shire.</w:t>
            </w:r>
          </w:p>
        </w:tc>
      </w:tr>
      <w:tr>
        <w:trPr>
          <w:trHeight w:val="4724" w:hRule="atLeast"/>
        </w:trPr>
        <w:tc>
          <w:tcPr>
            <w:tcW w:w="2429" w:type="dxa"/>
            <w:shd w:val="clear" w:color="auto" w:fill="F1F1F1"/>
          </w:tcPr>
          <w:p>
            <w:pPr>
              <w:pStyle w:val="TableParagraph"/>
              <w:spacing w:before="81"/>
              <w:ind w:left="217"/>
              <w:rPr>
                <w:sz w:val="21"/>
              </w:rPr>
            </w:pPr>
            <w:r>
              <w:rPr>
                <w:sz w:val="21"/>
              </w:rPr>
              <w:t>South</w:t>
            </w:r>
            <w:r>
              <w:rPr>
                <w:spacing w:val="-5"/>
                <w:sz w:val="21"/>
              </w:rPr>
              <w:t> </w:t>
            </w:r>
            <w:r>
              <w:rPr>
                <w:spacing w:val="-2"/>
                <w:sz w:val="21"/>
              </w:rPr>
              <w:t>Australia</w:t>
            </w:r>
          </w:p>
        </w:tc>
        <w:tc>
          <w:tcPr>
            <w:tcW w:w="6586" w:type="dxa"/>
            <w:shd w:val="clear" w:color="auto" w:fill="F1F1F1"/>
          </w:tcPr>
          <w:p>
            <w:pPr>
              <w:pStyle w:val="TableParagraph"/>
              <w:numPr>
                <w:ilvl w:val="0"/>
                <w:numId w:val="16"/>
              </w:numPr>
              <w:tabs>
                <w:tab w:pos="824" w:val="left" w:leader="none"/>
              </w:tabs>
              <w:spacing w:line="240" w:lineRule="auto" w:before="42" w:after="0"/>
              <w:ind w:left="824" w:right="0" w:hanging="360"/>
              <w:jc w:val="left"/>
              <w:rPr>
                <w:sz w:val="22"/>
              </w:rPr>
            </w:pPr>
            <w:bookmarkStart w:name=" Berri Barmera Council" w:id="49"/>
            <w:bookmarkEnd w:id="49"/>
            <w:r>
              <w:rPr>
                <w:rFonts w:ascii="Times New Roman" w:hAnsi="Times New Roman"/>
                <w:sz w:val="22"/>
              </w:rPr>
            </w:r>
            <w:r>
              <w:rPr>
                <w:sz w:val="22"/>
              </w:rPr>
              <w:t>Berri</w:t>
            </w:r>
            <w:r>
              <w:rPr>
                <w:spacing w:val="-4"/>
                <w:sz w:val="22"/>
              </w:rPr>
              <w:t> </w:t>
            </w:r>
            <w:r>
              <w:rPr>
                <w:sz w:val="22"/>
              </w:rPr>
              <w:t>Barmera</w:t>
            </w:r>
            <w:r>
              <w:rPr>
                <w:spacing w:val="-5"/>
                <w:sz w:val="22"/>
              </w:rPr>
              <w:t> </w:t>
            </w:r>
            <w:r>
              <w:rPr>
                <w:spacing w:val="-2"/>
                <w:sz w:val="22"/>
              </w:rPr>
              <w:t>Council</w:t>
            </w:r>
          </w:p>
          <w:p>
            <w:pPr>
              <w:pStyle w:val="TableParagraph"/>
              <w:numPr>
                <w:ilvl w:val="0"/>
                <w:numId w:val="16"/>
              </w:numPr>
              <w:tabs>
                <w:tab w:pos="824" w:val="left" w:leader="none"/>
              </w:tabs>
              <w:spacing w:line="240" w:lineRule="auto" w:before="155" w:after="0"/>
              <w:ind w:left="824" w:right="0" w:hanging="360"/>
              <w:jc w:val="left"/>
              <w:rPr>
                <w:sz w:val="22"/>
              </w:rPr>
            </w:pPr>
            <w:bookmarkStart w:name=" City of Mount Gambier" w:id="50"/>
            <w:bookmarkEnd w:id="50"/>
            <w:r>
              <w:rPr>
                <w:rFonts w:ascii="Times New Roman" w:hAnsi="Times New Roman"/>
                <w:sz w:val="22"/>
              </w:rPr>
            </w:r>
            <w:r>
              <w:rPr>
                <w:sz w:val="22"/>
              </w:rPr>
              <w:t>City</w:t>
            </w:r>
            <w:r>
              <w:rPr>
                <w:spacing w:val="-3"/>
                <w:sz w:val="22"/>
              </w:rPr>
              <w:t> </w:t>
            </w:r>
            <w:r>
              <w:rPr>
                <w:sz w:val="22"/>
              </w:rPr>
              <w:t>of</w:t>
            </w:r>
            <w:r>
              <w:rPr>
                <w:spacing w:val="-3"/>
                <w:sz w:val="22"/>
              </w:rPr>
              <w:t> </w:t>
            </w:r>
            <w:r>
              <w:rPr>
                <w:sz w:val="22"/>
              </w:rPr>
              <w:t>Mount</w:t>
            </w:r>
            <w:r>
              <w:rPr>
                <w:spacing w:val="-3"/>
                <w:sz w:val="22"/>
              </w:rPr>
              <w:t> </w:t>
            </w:r>
            <w:r>
              <w:rPr>
                <w:spacing w:val="-2"/>
                <w:sz w:val="22"/>
              </w:rPr>
              <w:t>Gambier</w:t>
            </w:r>
          </w:p>
          <w:p>
            <w:pPr>
              <w:pStyle w:val="TableParagraph"/>
              <w:numPr>
                <w:ilvl w:val="0"/>
                <w:numId w:val="16"/>
              </w:numPr>
              <w:tabs>
                <w:tab w:pos="824" w:val="left" w:leader="none"/>
              </w:tabs>
              <w:spacing w:line="240" w:lineRule="auto" w:before="155" w:after="0"/>
              <w:ind w:left="824" w:right="0" w:hanging="360"/>
              <w:jc w:val="left"/>
              <w:rPr>
                <w:sz w:val="22"/>
              </w:rPr>
            </w:pPr>
            <w:bookmarkStart w:name=" District Council of Grant" w:id="51"/>
            <w:bookmarkEnd w:id="51"/>
            <w:r>
              <w:rPr>
                <w:rFonts w:ascii="Times New Roman" w:hAnsi="Times New Roman"/>
                <w:sz w:val="22"/>
              </w:rPr>
            </w:r>
            <w:r>
              <w:rPr>
                <w:sz w:val="22"/>
              </w:rPr>
              <w:t>District</w:t>
            </w:r>
            <w:r>
              <w:rPr>
                <w:spacing w:val="-6"/>
                <w:sz w:val="22"/>
              </w:rPr>
              <w:t> </w:t>
            </w:r>
            <w:r>
              <w:rPr>
                <w:sz w:val="22"/>
              </w:rPr>
              <w:t>Council</w:t>
            </w:r>
            <w:r>
              <w:rPr>
                <w:spacing w:val="-5"/>
                <w:sz w:val="22"/>
              </w:rPr>
              <w:t> </w:t>
            </w:r>
            <w:r>
              <w:rPr>
                <w:sz w:val="22"/>
              </w:rPr>
              <w:t>of</w:t>
            </w:r>
            <w:r>
              <w:rPr>
                <w:spacing w:val="-5"/>
                <w:sz w:val="22"/>
              </w:rPr>
              <w:t> </w:t>
            </w:r>
            <w:r>
              <w:rPr>
                <w:spacing w:val="-4"/>
                <w:sz w:val="22"/>
              </w:rPr>
              <w:t>Grant</w:t>
            </w:r>
          </w:p>
          <w:p>
            <w:pPr>
              <w:pStyle w:val="TableParagraph"/>
              <w:numPr>
                <w:ilvl w:val="0"/>
                <w:numId w:val="16"/>
              </w:numPr>
              <w:tabs>
                <w:tab w:pos="824" w:val="left" w:leader="none"/>
              </w:tabs>
              <w:spacing w:line="240" w:lineRule="auto" w:before="156" w:after="0"/>
              <w:ind w:left="824" w:right="0" w:hanging="360"/>
              <w:jc w:val="left"/>
              <w:rPr>
                <w:sz w:val="22"/>
              </w:rPr>
            </w:pPr>
            <w:bookmarkStart w:name=" District Council of Loxton Waikerie" w:id="52"/>
            <w:bookmarkEnd w:id="52"/>
            <w:r>
              <w:rPr>
                <w:rFonts w:ascii="Times New Roman" w:hAnsi="Times New Roman"/>
                <w:sz w:val="22"/>
              </w:rPr>
            </w:r>
            <w:r>
              <w:rPr>
                <w:sz w:val="22"/>
              </w:rPr>
              <w:t>District</w:t>
            </w:r>
            <w:r>
              <w:rPr>
                <w:spacing w:val="-3"/>
                <w:sz w:val="22"/>
              </w:rPr>
              <w:t> </w:t>
            </w:r>
            <w:r>
              <w:rPr>
                <w:sz w:val="22"/>
              </w:rPr>
              <w:t>Council</w:t>
            </w:r>
            <w:r>
              <w:rPr>
                <w:spacing w:val="-5"/>
                <w:sz w:val="22"/>
              </w:rPr>
              <w:t> </w:t>
            </w:r>
            <w:r>
              <w:rPr>
                <w:sz w:val="22"/>
              </w:rPr>
              <w:t>of</w:t>
            </w:r>
            <w:r>
              <w:rPr>
                <w:spacing w:val="-3"/>
                <w:sz w:val="22"/>
              </w:rPr>
              <w:t> </w:t>
            </w:r>
            <w:r>
              <w:rPr>
                <w:sz w:val="22"/>
              </w:rPr>
              <w:t>Loxton</w:t>
            </w:r>
            <w:r>
              <w:rPr>
                <w:spacing w:val="-6"/>
                <w:sz w:val="22"/>
              </w:rPr>
              <w:t> </w:t>
            </w:r>
            <w:r>
              <w:rPr>
                <w:spacing w:val="-2"/>
                <w:sz w:val="22"/>
              </w:rPr>
              <w:t>Waikerie</w:t>
            </w:r>
          </w:p>
          <w:p>
            <w:pPr>
              <w:pStyle w:val="TableParagraph"/>
              <w:numPr>
                <w:ilvl w:val="0"/>
                <w:numId w:val="16"/>
              </w:numPr>
              <w:tabs>
                <w:tab w:pos="824" w:val="left" w:leader="none"/>
              </w:tabs>
              <w:spacing w:line="240" w:lineRule="auto" w:before="157" w:after="0"/>
              <w:ind w:left="824" w:right="0" w:hanging="360"/>
              <w:jc w:val="left"/>
              <w:rPr>
                <w:sz w:val="22"/>
              </w:rPr>
            </w:pPr>
            <w:bookmarkStart w:name=" District Council of Robe" w:id="53"/>
            <w:bookmarkEnd w:id="53"/>
            <w:r>
              <w:rPr>
                <w:rFonts w:ascii="Times New Roman" w:hAnsi="Times New Roman"/>
                <w:sz w:val="22"/>
              </w:rPr>
            </w:r>
            <w:r>
              <w:rPr>
                <w:sz w:val="22"/>
              </w:rPr>
              <w:t>District</w:t>
            </w:r>
            <w:r>
              <w:rPr>
                <w:spacing w:val="-6"/>
                <w:sz w:val="22"/>
              </w:rPr>
              <w:t> </w:t>
            </w:r>
            <w:r>
              <w:rPr>
                <w:sz w:val="22"/>
              </w:rPr>
              <w:t>Council</w:t>
            </w:r>
            <w:r>
              <w:rPr>
                <w:spacing w:val="-4"/>
                <w:sz w:val="22"/>
              </w:rPr>
              <w:t> </w:t>
            </w:r>
            <w:r>
              <w:rPr>
                <w:sz w:val="22"/>
              </w:rPr>
              <w:t>of</w:t>
            </w:r>
            <w:r>
              <w:rPr>
                <w:spacing w:val="-3"/>
                <w:sz w:val="22"/>
              </w:rPr>
              <w:t> </w:t>
            </w:r>
            <w:r>
              <w:rPr>
                <w:spacing w:val="-4"/>
                <w:sz w:val="22"/>
              </w:rPr>
              <w:t>Robe</w:t>
            </w:r>
          </w:p>
          <w:p>
            <w:pPr>
              <w:pStyle w:val="TableParagraph"/>
              <w:numPr>
                <w:ilvl w:val="0"/>
                <w:numId w:val="16"/>
              </w:numPr>
              <w:tabs>
                <w:tab w:pos="824" w:val="left" w:leader="none"/>
              </w:tabs>
              <w:spacing w:line="240" w:lineRule="auto" w:before="156" w:after="0"/>
              <w:ind w:left="824" w:right="0" w:hanging="360"/>
              <w:jc w:val="left"/>
              <w:rPr>
                <w:sz w:val="22"/>
              </w:rPr>
            </w:pPr>
            <w:bookmarkStart w:name=" Kingston District Council" w:id="54"/>
            <w:bookmarkEnd w:id="54"/>
            <w:r>
              <w:rPr>
                <w:rFonts w:ascii="Times New Roman" w:hAnsi="Times New Roman"/>
                <w:sz w:val="22"/>
              </w:rPr>
            </w:r>
            <w:r>
              <w:rPr>
                <w:sz w:val="22"/>
              </w:rPr>
              <w:t>Kingston</w:t>
            </w:r>
            <w:r>
              <w:rPr>
                <w:spacing w:val="-7"/>
                <w:sz w:val="22"/>
              </w:rPr>
              <w:t> </w:t>
            </w:r>
            <w:r>
              <w:rPr>
                <w:sz w:val="22"/>
              </w:rPr>
              <w:t>District</w:t>
            </w:r>
            <w:r>
              <w:rPr>
                <w:spacing w:val="-4"/>
                <w:sz w:val="22"/>
              </w:rPr>
              <w:t> </w:t>
            </w:r>
            <w:r>
              <w:rPr>
                <w:spacing w:val="-2"/>
                <w:sz w:val="22"/>
              </w:rPr>
              <w:t>Council</w:t>
            </w:r>
          </w:p>
          <w:p>
            <w:pPr>
              <w:pStyle w:val="TableParagraph"/>
              <w:numPr>
                <w:ilvl w:val="0"/>
                <w:numId w:val="16"/>
              </w:numPr>
              <w:tabs>
                <w:tab w:pos="824" w:val="left" w:leader="none"/>
              </w:tabs>
              <w:spacing w:line="240" w:lineRule="auto" w:before="157" w:after="0"/>
              <w:ind w:left="824" w:right="0" w:hanging="360"/>
              <w:jc w:val="left"/>
              <w:rPr>
                <w:sz w:val="22"/>
              </w:rPr>
            </w:pPr>
            <w:bookmarkStart w:name=" Naracoorte Lucindale Council" w:id="55"/>
            <w:bookmarkEnd w:id="55"/>
            <w:r>
              <w:rPr>
                <w:rFonts w:ascii="Times New Roman" w:hAnsi="Times New Roman"/>
                <w:sz w:val="22"/>
              </w:rPr>
            </w:r>
            <w:r>
              <w:rPr>
                <w:sz w:val="22"/>
              </w:rPr>
              <w:t>Naracoorte</w:t>
            </w:r>
            <w:r>
              <w:rPr>
                <w:spacing w:val="-9"/>
                <w:sz w:val="22"/>
              </w:rPr>
              <w:t> </w:t>
            </w:r>
            <w:r>
              <w:rPr>
                <w:sz w:val="22"/>
              </w:rPr>
              <w:t>Lucindale</w:t>
            </w:r>
            <w:r>
              <w:rPr>
                <w:spacing w:val="-9"/>
                <w:sz w:val="22"/>
              </w:rPr>
              <w:t> </w:t>
            </w:r>
            <w:r>
              <w:rPr>
                <w:spacing w:val="-2"/>
                <w:sz w:val="22"/>
              </w:rPr>
              <w:t>Council</w:t>
            </w:r>
          </w:p>
          <w:p>
            <w:pPr>
              <w:pStyle w:val="TableParagraph"/>
              <w:numPr>
                <w:ilvl w:val="0"/>
                <w:numId w:val="16"/>
              </w:numPr>
              <w:tabs>
                <w:tab w:pos="824" w:val="left" w:leader="none"/>
              </w:tabs>
              <w:spacing w:line="240" w:lineRule="auto" w:before="156" w:after="0"/>
              <w:ind w:left="824" w:right="0" w:hanging="360"/>
              <w:jc w:val="left"/>
              <w:rPr>
                <w:sz w:val="22"/>
              </w:rPr>
            </w:pPr>
            <w:bookmarkStart w:name=" Renmark Paringa Council" w:id="56"/>
            <w:bookmarkEnd w:id="56"/>
            <w:r>
              <w:rPr>
                <w:rFonts w:ascii="Times New Roman" w:hAnsi="Times New Roman"/>
                <w:sz w:val="22"/>
              </w:rPr>
            </w:r>
            <w:r>
              <w:rPr>
                <w:sz w:val="22"/>
              </w:rPr>
              <w:t>Renmark</w:t>
            </w:r>
            <w:r>
              <w:rPr>
                <w:spacing w:val="-8"/>
                <w:sz w:val="22"/>
              </w:rPr>
              <w:t> </w:t>
            </w:r>
            <w:r>
              <w:rPr>
                <w:sz w:val="22"/>
              </w:rPr>
              <w:t>Paringa</w:t>
            </w:r>
            <w:r>
              <w:rPr>
                <w:spacing w:val="-5"/>
                <w:sz w:val="22"/>
              </w:rPr>
              <w:t> </w:t>
            </w:r>
            <w:r>
              <w:rPr>
                <w:spacing w:val="-2"/>
                <w:sz w:val="22"/>
              </w:rPr>
              <w:t>Council</w:t>
            </w:r>
          </w:p>
          <w:p>
            <w:pPr>
              <w:pStyle w:val="TableParagraph"/>
              <w:numPr>
                <w:ilvl w:val="0"/>
                <w:numId w:val="16"/>
              </w:numPr>
              <w:tabs>
                <w:tab w:pos="824" w:val="left" w:leader="none"/>
              </w:tabs>
              <w:spacing w:line="240" w:lineRule="auto" w:before="155" w:after="0"/>
              <w:ind w:left="824" w:right="0" w:hanging="360"/>
              <w:jc w:val="left"/>
              <w:rPr>
                <w:sz w:val="22"/>
              </w:rPr>
            </w:pPr>
            <w:bookmarkStart w:name=" Southern Mallee District Council" w:id="57"/>
            <w:bookmarkEnd w:id="57"/>
            <w:r>
              <w:rPr>
                <w:rFonts w:ascii="Times New Roman" w:hAnsi="Times New Roman"/>
                <w:sz w:val="22"/>
              </w:rPr>
            </w:r>
            <w:r>
              <w:rPr>
                <w:sz w:val="22"/>
              </w:rPr>
              <w:t>Southern</w:t>
            </w:r>
            <w:r>
              <w:rPr>
                <w:spacing w:val="-9"/>
                <w:sz w:val="22"/>
              </w:rPr>
              <w:t> </w:t>
            </w:r>
            <w:r>
              <w:rPr>
                <w:sz w:val="22"/>
              </w:rPr>
              <w:t>Mallee</w:t>
            </w:r>
            <w:r>
              <w:rPr>
                <w:spacing w:val="-6"/>
                <w:sz w:val="22"/>
              </w:rPr>
              <w:t> </w:t>
            </w:r>
            <w:r>
              <w:rPr>
                <w:sz w:val="22"/>
              </w:rPr>
              <w:t>District</w:t>
            </w:r>
            <w:r>
              <w:rPr>
                <w:spacing w:val="-7"/>
                <w:sz w:val="22"/>
              </w:rPr>
              <w:t> </w:t>
            </w:r>
            <w:r>
              <w:rPr>
                <w:spacing w:val="-2"/>
                <w:sz w:val="22"/>
              </w:rPr>
              <w:t>Council</w:t>
            </w:r>
          </w:p>
          <w:p>
            <w:pPr>
              <w:pStyle w:val="TableParagraph"/>
              <w:numPr>
                <w:ilvl w:val="0"/>
                <w:numId w:val="16"/>
              </w:numPr>
              <w:tabs>
                <w:tab w:pos="824" w:val="left" w:leader="none"/>
              </w:tabs>
              <w:spacing w:line="240" w:lineRule="auto" w:before="158" w:after="0"/>
              <w:ind w:left="824" w:right="0" w:hanging="360"/>
              <w:jc w:val="left"/>
              <w:rPr>
                <w:sz w:val="22"/>
              </w:rPr>
            </w:pPr>
            <w:bookmarkStart w:name=" Tatiara District Council" w:id="58"/>
            <w:bookmarkEnd w:id="58"/>
            <w:r>
              <w:rPr>
                <w:rFonts w:ascii="Times New Roman" w:hAnsi="Times New Roman"/>
                <w:sz w:val="22"/>
              </w:rPr>
            </w:r>
            <w:r>
              <w:rPr>
                <w:sz w:val="22"/>
              </w:rPr>
              <w:t>Tatiara</w:t>
            </w:r>
            <w:r>
              <w:rPr>
                <w:spacing w:val="-6"/>
                <w:sz w:val="22"/>
              </w:rPr>
              <w:t> </w:t>
            </w:r>
            <w:r>
              <w:rPr>
                <w:sz w:val="22"/>
              </w:rPr>
              <w:t>District</w:t>
            </w:r>
            <w:r>
              <w:rPr>
                <w:spacing w:val="-6"/>
                <w:sz w:val="22"/>
              </w:rPr>
              <w:t> </w:t>
            </w:r>
            <w:r>
              <w:rPr>
                <w:spacing w:val="-2"/>
                <w:sz w:val="22"/>
              </w:rPr>
              <w:t>Council</w:t>
            </w:r>
          </w:p>
          <w:p>
            <w:pPr>
              <w:pStyle w:val="TableParagraph"/>
              <w:numPr>
                <w:ilvl w:val="0"/>
                <w:numId w:val="16"/>
              </w:numPr>
              <w:tabs>
                <w:tab w:pos="824" w:val="left" w:leader="none"/>
              </w:tabs>
              <w:spacing w:line="240" w:lineRule="auto" w:before="155" w:after="0"/>
              <w:ind w:left="824" w:right="0" w:hanging="360"/>
              <w:jc w:val="left"/>
              <w:rPr>
                <w:sz w:val="22"/>
              </w:rPr>
            </w:pPr>
            <w:bookmarkStart w:name=" Wattle Range Council." w:id="59"/>
            <w:bookmarkEnd w:id="59"/>
            <w:r>
              <w:rPr>
                <w:rFonts w:ascii="Times New Roman" w:hAnsi="Times New Roman"/>
                <w:sz w:val="22"/>
              </w:rPr>
            </w:r>
            <w:r>
              <w:rPr>
                <w:sz w:val="22"/>
              </w:rPr>
              <w:t>Wattle</w:t>
            </w:r>
            <w:r>
              <w:rPr>
                <w:spacing w:val="-5"/>
                <w:sz w:val="22"/>
              </w:rPr>
              <w:t> </w:t>
            </w:r>
            <w:r>
              <w:rPr>
                <w:sz w:val="22"/>
              </w:rPr>
              <w:t>Range</w:t>
            </w:r>
            <w:r>
              <w:rPr>
                <w:spacing w:val="-4"/>
                <w:sz w:val="22"/>
              </w:rPr>
              <w:t> </w:t>
            </w:r>
            <w:r>
              <w:rPr>
                <w:spacing w:val="-2"/>
                <w:sz w:val="22"/>
              </w:rPr>
              <w:t>Council.</w:t>
            </w:r>
          </w:p>
        </w:tc>
      </w:tr>
    </w:tbl>
    <w:p>
      <w:pPr>
        <w:spacing w:after="0" w:line="240" w:lineRule="auto"/>
        <w:jc w:val="left"/>
        <w:rPr>
          <w:sz w:val="22"/>
        </w:rPr>
        <w:sectPr>
          <w:pgSz w:w="11910" w:h="16840"/>
          <w:pgMar w:header="0" w:footer="765" w:top="1900" w:bottom="960" w:left="1320" w:right="620"/>
        </w:sectPr>
      </w:pPr>
    </w:p>
    <w:p>
      <w:pPr>
        <w:pStyle w:val="BodyText"/>
        <w:rPr>
          <w:b/>
          <w:sz w:val="32"/>
        </w:rPr>
      </w:pPr>
    </w:p>
    <w:p>
      <w:pPr>
        <w:pStyle w:val="BodyText"/>
        <w:spacing w:before="45"/>
        <w:rPr>
          <w:b/>
          <w:sz w:val="32"/>
        </w:rPr>
      </w:pPr>
    </w:p>
    <w:p>
      <w:pPr>
        <w:pStyle w:val="ListParagraph"/>
        <w:numPr>
          <w:ilvl w:val="0"/>
          <w:numId w:val="1"/>
        </w:numPr>
        <w:tabs>
          <w:tab w:pos="840" w:val="left" w:leader="none"/>
        </w:tabs>
        <w:spacing w:line="240" w:lineRule="auto" w:before="0" w:after="0"/>
        <w:ind w:left="840" w:right="0" w:hanging="720"/>
        <w:jc w:val="left"/>
        <w:rPr>
          <w:b/>
          <w:sz w:val="32"/>
        </w:rPr>
      </w:pPr>
      <w:bookmarkStart w:name="13. Appendix 2: Definitions" w:id="60"/>
      <w:bookmarkEnd w:id="60"/>
      <w:r>
        <w:rPr/>
      </w:r>
      <w:r>
        <w:rPr>
          <w:b/>
          <w:color w:val="205E99"/>
          <w:sz w:val="32"/>
        </w:rPr>
        <w:t>Appendix</w:t>
      </w:r>
      <w:r>
        <w:rPr>
          <w:b/>
          <w:color w:val="205E99"/>
          <w:spacing w:val="-9"/>
          <w:sz w:val="32"/>
        </w:rPr>
        <w:t> </w:t>
      </w:r>
      <w:r>
        <w:rPr>
          <w:b/>
          <w:color w:val="205E99"/>
          <w:sz w:val="32"/>
        </w:rPr>
        <w:t>2:</w:t>
      </w:r>
      <w:r>
        <w:rPr>
          <w:b/>
          <w:color w:val="205E99"/>
          <w:spacing w:val="-11"/>
          <w:sz w:val="32"/>
        </w:rPr>
        <w:t> </w:t>
      </w:r>
      <w:r>
        <w:rPr>
          <w:b/>
          <w:color w:val="205E99"/>
          <w:spacing w:val="-2"/>
          <w:sz w:val="32"/>
        </w:rPr>
        <w:t>Definitions</w:t>
      </w:r>
    </w:p>
    <w:p>
      <w:pPr>
        <w:pStyle w:val="BodyText"/>
        <w:spacing w:before="195"/>
        <w:rPr>
          <w:b/>
          <w:sz w:val="20"/>
        </w:rPr>
      </w:pPr>
    </w:p>
    <w:tbl>
      <w:tblPr>
        <w:tblW w:w="0" w:type="auto"/>
        <w:jc w:val="left"/>
        <w:tblInd w:w="841"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0" w:type="dxa"/>
          <w:left w:w="0" w:type="dxa"/>
          <w:bottom w:w="0" w:type="dxa"/>
          <w:right w:w="0" w:type="dxa"/>
        </w:tblCellMar>
        <w:tblLook w:val="01E0"/>
      </w:tblPr>
      <w:tblGrid>
        <w:gridCol w:w="2400"/>
        <w:gridCol w:w="6614"/>
      </w:tblGrid>
      <w:tr>
        <w:trPr>
          <w:trHeight w:val="418" w:hRule="atLeast"/>
        </w:trPr>
        <w:tc>
          <w:tcPr>
            <w:tcW w:w="2400" w:type="dxa"/>
            <w:shd w:val="clear" w:color="auto" w:fill="205E99"/>
          </w:tcPr>
          <w:p>
            <w:pPr>
              <w:pStyle w:val="TableParagraph"/>
              <w:spacing w:before="81"/>
              <w:ind w:left="217"/>
              <w:rPr>
                <w:b/>
                <w:sz w:val="21"/>
              </w:rPr>
            </w:pPr>
            <w:r>
              <w:rPr>
                <w:b/>
                <w:color w:val="FFFFFF"/>
                <w:spacing w:val="-4"/>
                <w:sz w:val="21"/>
              </w:rPr>
              <w:t>Term</w:t>
            </w:r>
          </w:p>
        </w:tc>
        <w:tc>
          <w:tcPr>
            <w:tcW w:w="6614" w:type="dxa"/>
            <w:shd w:val="clear" w:color="auto" w:fill="205E99"/>
          </w:tcPr>
          <w:p>
            <w:pPr>
              <w:pStyle w:val="TableParagraph"/>
              <w:spacing w:before="81"/>
              <w:ind w:left="217"/>
              <w:rPr>
                <w:b/>
                <w:sz w:val="21"/>
              </w:rPr>
            </w:pPr>
            <w:r>
              <w:rPr>
                <w:b/>
                <w:color w:val="FFFFFF"/>
                <w:spacing w:val="-2"/>
                <w:sz w:val="21"/>
              </w:rPr>
              <w:t>Definition</w:t>
            </w:r>
          </w:p>
        </w:tc>
      </w:tr>
      <w:tr>
        <w:trPr>
          <w:trHeight w:val="1805" w:hRule="atLeast"/>
        </w:trPr>
        <w:tc>
          <w:tcPr>
            <w:tcW w:w="2400" w:type="dxa"/>
            <w:shd w:val="clear" w:color="auto" w:fill="F1F1F1"/>
          </w:tcPr>
          <w:p>
            <w:pPr>
              <w:pStyle w:val="TableParagraph"/>
              <w:spacing w:line="276" w:lineRule="auto"/>
              <w:ind w:left="217"/>
              <w:rPr>
                <w:sz w:val="21"/>
              </w:rPr>
            </w:pPr>
            <w:r>
              <w:rPr>
                <w:sz w:val="21"/>
              </w:rPr>
              <w:t>CSP</w:t>
            </w:r>
            <w:r>
              <w:rPr>
                <w:spacing w:val="22"/>
                <w:sz w:val="21"/>
              </w:rPr>
              <w:t> </w:t>
            </w:r>
            <w:r>
              <w:rPr>
                <w:sz w:val="21"/>
              </w:rPr>
              <w:t>(Commonwealth Supported Place)</w:t>
            </w:r>
          </w:p>
        </w:tc>
        <w:tc>
          <w:tcPr>
            <w:tcW w:w="6614" w:type="dxa"/>
            <w:shd w:val="clear" w:color="auto" w:fill="F1F1F1"/>
          </w:tcPr>
          <w:p>
            <w:pPr>
              <w:pStyle w:val="TableParagraph"/>
              <w:spacing w:line="276" w:lineRule="auto"/>
              <w:ind w:left="217" w:right="66"/>
              <w:jc w:val="both"/>
              <w:rPr>
                <w:sz w:val="21"/>
              </w:rPr>
            </w:pPr>
            <w:r>
              <w:rPr>
                <w:sz w:val="21"/>
              </w:rPr>
              <w:t>A Commonwealth Supported Place (CSP) is a place at a university or</w:t>
            </w:r>
            <w:r>
              <w:rPr>
                <w:spacing w:val="-10"/>
                <w:sz w:val="21"/>
              </w:rPr>
              <w:t> </w:t>
            </w:r>
            <w:r>
              <w:rPr>
                <w:sz w:val="21"/>
              </w:rPr>
              <w:t>higher</w:t>
            </w:r>
            <w:r>
              <w:rPr>
                <w:spacing w:val="-10"/>
                <w:sz w:val="21"/>
              </w:rPr>
              <w:t> </w:t>
            </w:r>
            <w:r>
              <w:rPr>
                <w:sz w:val="21"/>
              </w:rPr>
              <w:t>education</w:t>
            </w:r>
            <w:r>
              <w:rPr>
                <w:spacing w:val="-9"/>
                <w:sz w:val="21"/>
              </w:rPr>
              <w:t> </w:t>
            </w:r>
            <w:r>
              <w:rPr>
                <w:sz w:val="21"/>
              </w:rPr>
              <w:t>provider</w:t>
            </w:r>
            <w:r>
              <w:rPr>
                <w:spacing w:val="-10"/>
                <w:sz w:val="21"/>
              </w:rPr>
              <w:t> </w:t>
            </w:r>
            <w:r>
              <w:rPr>
                <w:sz w:val="21"/>
              </w:rPr>
              <w:t>where</w:t>
            </w:r>
            <w:r>
              <w:rPr>
                <w:spacing w:val="-9"/>
                <w:sz w:val="21"/>
              </w:rPr>
              <w:t> </w:t>
            </w:r>
            <w:r>
              <w:rPr>
                <w:sz w:val="21"/>
              </w:rPr>
              <w:t>the</w:t>
            </w:r>
            <w:r>
              <w:rPr>
                <w:spacing w:val="-9"/>
                <w:sz w:val="21"/>
              </w:rPr>
              <w:t> </w:t>
            </w:r>
            <w:r>
              <w:rPr>
                <w:sz w:val="21"/>
              </w:rPr>
              <w:t>Commonwealth</w:t>
            </w:r>
            <w:r>
              <w:rPr>
                <w:spacing w:val="-10"/>
                <w:sz w:val="21"/>
              </w:rPr>
              <w:t> </w:t>
            </w:r>
            <w:r>
              <w:rPr>
                <w:sz w:val="21"/>
              </w:rPr>
              <w:t>Government subsidises a student’s tuition fees. This subsidy does not cover the entire cost of study. The remaining portion of the tuition fees which the student is liable for is referred to as the 'student contribution </w:t>
            </w:r>
            <w:r>
              <w:rPr>
                <w:spacing w:val="-2"/>
                <w:sz w:val="21"/>
              </w:rPr>
              <w:t>amount'.</w:t>
            </w:r>
          </w:p>
        </w:tc>
      </w:tr>
      <w:tr>
        <w:trPr>
          <w:trHeight w:val="1806" w:hRule="atLeast"/>
        </w:trPr>
        <w:tc>
          <w:tcPr>
            <w:tcW w:w="2400" w:type="dxa"/>
            <w:shd w:val="clear" w:color="auto" w:fill="F1F1F1"/>
          </w:tcPr>
          <w:p>
            <w:pPr>
              <w:pStyle w:val="TableParagraph"/>
              <w:ind w:left="217"/>
              <w:rPr>
                <w:sz w:val="21"/>
              </w:rPr>
            </w:pPr>
            <w:r>
              <w:rPr>
                <w:spacing w:val="-2"/>
                <w:sz w:val="21"/>
              </w:rPr>
              <w:t>EFTSL</w:t>
            </w:r>
          </w:p>
        </w:tc>
        <w:tc>
          <w:tcPr>
            <w:tcW w:w="6614" w:type="dxa"/>
            <w:shd w:val="clear" w:color="auto" w:fill="F1F1F1"/>
          </w:tcPr>
          <w:p>
            <w:pPr>
              <w:pStyle w:val="TableParagraph"/>
              <w:spacing w:line="276" w:lineRule="auto"/>
              <w:ind w:left="217" w:right="67"/>
              <w:jc w:val="both"/>
              <w:rPr>
                <w:sz w:val="21"/>
              </w:rPr>
            </w:pPr>
            <w:r>
              <w:rPr>
                <w:sz w:val="21"/>
              </w:rPr>
              <w:t>Equivalent</w:t>
            </w:r>
            <w:r>
              <w:rPr>
                <w:spacing w:val="-15"/>
                <w:sz w:val="21"/>
              </w:rPr>
              <w:t> </w:t>
            </w:r>
            <w:r>
              <w:rPr>
                <w:sz w:val="21"/>
              </w:rPr>
              <w:t>Full-time</w:t>
            </w:r>
            <w:r>
              <w:rPr>
                <w:spacing w:val="-15"/>
                <w:sz w:val="21"/>
              </w:rPr>
              <w:t> </w:t>
            </w:r>
            <w:r>
              <w:rPr>
                <w:sz w:val="21"/>
              </w:rPr>
              <w:t>Student</w:t>
            </w:r>
            <w:r>
              <w:rPr>
                <w:spacing w:val="-14"/>
                <w:sz w:val="21"/>
              </w:rPr>
              <w:t> </w:t>
            </w:r>
            <w:r>
              <w:rPr>
                <w:sz w:val="21"/>
              </w:rPr>
              <w:t>Load</w:t>
            </w:r>
            <w:r>
              <w:rPr>
                <w:spacing w:val="-15"/>
                <w:sz w:val="21"/>
              </w:rPr>
              <w:t> </w:t>
            </w:r>
            <w:r>
              <w:rPr>
                <w:sz w:val="21"/>
              </w:rPr>
              <w:t>(EFTSL)</w:t>
            </w:r>
            <w:r>
              <w:rPr>
                <w:spacing w:val="-14"/>
                <w:sz w:val="21"/>
              </w:rPr>
              <w:t> </w:t>
            </w:r>
            <w:r>
              <w:rPr>
                <w:sz w:val="21"/>
              </w:rPr>
              <w:t>is</w:t>
            </w:r>
            <w:r>
              <w:rPr>
                <w:spacing w:val="-15"/>
                <w:sz w:val="21"/>
              </w:rPr>
              <w:t> </w:t>
            </w:r>
            <w:r>
              <w:rPr>
                <w:sz w:val="21"/>
              </w:rPr>
              <w:t>a</w:t>
            </w:r>
            <w:r>
              <w:rPr>
                <w:spacing w:val="-15"/>
                <w:sz w:val="21"/>
              </w:rPr>
              <w:t> </w:t>
            </w:r>
            <w:r>
              <w:rPr>
                <w:sz w:val="21"/>
              </w:rPr>
              <w:t>measure</w:t>
            </w:r>
            <w:r>
              <w:rPr>
                <w:spacing w:val="-14"/>
                <w:sz w:val="21"/>
              </w:rPr>
              <w:t> </w:t>
            </w:r>
            <w:r>
              <w:rPr>
                <w:sz w:val="21"/>
              </w:rPr>
              <w:t>of</w:t>
            </w:r>
            <w:r>
              <w:rPr>
                <w:spacing w:val="-15"/>
                <w:sz w:val="21"/>
              </w:rPr>
              <w:t> </w:t>
            </w:r>
            <w:r>
              <w:rPr>
                <w:sz w:val="21"/>
              </w:rPr>
              <w:t>the</w:t>
            </w:r>
            <w:r>
              <w:rPr>
                <w:spacing w:val="-14"/>
                <w:sz w:val="21"/>
              </w:rPr>
              <w:t> </w:t>
            </w:r>
            <w:r>
              <w:rPr>
                <w:sz w:val="21"/>
              </w:rPr>
              <w:t>study load based on a student undertaking an ITE degree on a full-time basis over an academic year. To be eligible for STS an applicant must be undertaking an eligible ITE degree at a minimum of 50% study</w:t>
            </w:r>
            <w:r>
              <w:rPr>
                <w:spacing w:val="7"/>
                <w:sz w:val="21"/>
              </w:rPr>
              <w:t> </w:t>
            </w:r>
            <w:r>
              <w:rPr>
                <w:sz w:val="21"/>
              </w:rPr>
              <w:t>load</w:t>
            </w:r>
            <w:r>
              <w:rPr>
                <w:spacing w:val="8"/>
                <w:sz w:val="21"/>
              </w:rPr>
              <w:t> </w:t>
            </w:r>
            <w:r>
              <w:rPr>
                <w:sz w:val="21"/>
              </w:rPr>
              <w:t>at</w:t>
            </w:r>
            <w:r>
              <w:rPr>
                <w:spacing w:val="7"/>
                <w:sz w:val="21"/>
              </w:rPr>
              <w:t> </w:t>
            </w:r>
            <w:r>
              <w:rPr>
                <w:sz w:val="21"/>
              </w:rPr>
              <w:t>the</w:t>
            </w:r>
            <w:r>
              <w:rPr>
                <w:spacing w:val="8"/>
                <w:sz w:val="21"/>
              </w:rPr>
              <w:t> </w:t>
            </w:r>
            <w:r>
              <w:rPr>
                <w:sz w:val="21"/>
              </w:rPr>
              <w:t>time</w:t>
            </w:r>
            <w:r>
              <w:rPr>
                <w:spacing w:val="8"/>
                <w:sz w:val="21"/>
              </w:rPr>
              <w:t> </w:t>
            </w:r>
            <w:r>
              <w:rPr>
                <w:sz w:val="21"/>
              </w:rPr>
              <w:t>of</w:t>
            </w:r>
            <w:r>
              <w:rPr>
                <w:spacing w:val="6"/>
                <w:sz w:val="21"/>
              </w:rPr>
              <w:t> </w:t>
            </w:r>
            <w:r>
              <w:rPr>
                <w:sz w:val="21"/>
              </w:rPr>
              <w:t>assessment,</w:t>
            </w:r>
            <w:r>
              <w:rPr>
                <w:spacing w:val="7"/>
                <w:sz w:val="21"/>
              </w:rPr>
              <w:t> </w:t>
            </w:r>
            <w:r>
              <w:rPr>
                <w:sz w:val="21"/>
              </w:rPr>
              <w:t>which</w:t>
            </w:r>
            <w:r>
              <w:rPr>
                <w:spacing w:val="8"/>
                <w:sz w:val="21"/>
              </w:rPr>
              <w:t> </w:t>
            </w:r>
            <w:r>
              <w:rPr>
                <w:sz w:val="21"/>
              </w:rPr>
              <w:t>could</w:t>
            </w:r>
            <w:r>
              <w:rPr>
                <w:spacing w:val="8"/>
                <w:sz w:val="21"/>
              </w:rPr>
              <w:t> </w:t>
            </w:r>
            <w:r>
              <w:rPr>
                <w:sz w:val="21"/>
              </w:rPr>
              <w:t>be</w:t>
            </w:r>
            <w:r>
              <w:rPr>
                <w:spacing w:val="8"/>
                <w:sz w:val="21"/>
              </w:rPr>
              <w:t> </w:t>
            </w:r>
            <w:r>
              <w:rPr>
                <w:sz w:val="21"/>
              </w:rPr>
              <w:t>equivalent</w:t>
            </w:r>
            <w:r>
              <w:rPr>
                <w:spacing w:val="7"/>
                <w:sz w:val="21"/>
              </w:rPr>
              <w:t> </w:t>
            </w:r>
            <w:r>
              <w:rPr>
                <w:spacing w:val="-5"/>
                <w:sz w:val="21"/>
              </w:rPr>
              <w:t>to</w:t>
            </w:r>
          </w:p>
          <w:p>
            <w:pPr>
              <w:pStyle w:val="TableParagraph"/>
              <w:spacing w:before="1"/>
              <w:ind w:left="217"/>
              <w:jc w:val="both"/>
              <w:rPr>
                <w:sz w:val="21"/>
              </w:rPr>
            </w:pPr>
            <w:r>
              <w:rPr>
                <w:sz w:val="21"/>
              </w:rPr>
              <w:t>0.25</w:t>
            </w:r>
            <w:r>
              <w:rPr>
                <w:spacing w:val="-4"/>
                <w:sz w:val="21"/>
              </w:rPr>
              <w:t> </w:t>
            </w:r>
            <w:r>
              <w:rPr>
                <w:sz w:val="21"/>
              </w:rPr>
              <w:t>EFTSL</w:t>
            </w:r>
            <w:r>
              <w:rPr>
                <w:spacing w:val="-3"/>
                <w:sz w:val="21"/>
              </w:rPr>
              <w:t> </w:t>
            </w:r>
            <w:r>
              <w:rPr>
                <w:sz w:val="21"/>
              </w:rPr>
              <w:t>per</w:t>
            </w:r>
            <w:r>
              <w:rPr>
                <w:spacing w:val="-3"/>
                <w:sz w:val="21"/>
              </w:rPr>
              <w:t> </w:t>
            </w:r>
            <w:r>
              <w:rPr>
                <w:spacing w:val="-2"/>
                <w:sz w:val="21"/>
              </w:rPr>
              <w:t>semester</w:t>
            </w:r>
          </w:p>
        </w:tc>
      </w:tr>
      <w:tr>
        <w:trPr>
          <w:trHeight w:val="1527" w:hRule="atLeast"/>
        </w:trPr>
        <w:tc>
          <w:tcPr>
            <w:tcW w:w="2400" w:type="dxa"/>
            <w:shd w:val="clear" w:color="auto" w:fill="F1F1F1"/>
          </w:tcPr>
          <w:p>
            <w:pPr>
              <w:pStyle w:val="TableParagraph"/>
              <w:tabs>
                <w:tab w:pos="1504" w:val="left" w:leader="none"/>
              </w:tabs>
              <w:spacing w:line="276" w:lineRule="auto" w:before="81"/>
              <w:ind w:left="217" w:right="71"/>
              <w:rPr>
                <w:sz w:val="21"/>
              </w:rPr>
            </w:pPr>
            <w:r>
              <w:rPr>
                <w:spacing w:val="-2"/>
                <w:sz w:val="21"/>
              </w:rPr>
              <w:t>Employment-based secondary</w:t>
            </w:r>
            <w:r>
              <w:rPr>
                <w:sz w:val="21"/>
              </w:rPr>
              <w:tab/>
            </w:r>
            <w:r>
              <w:rPr>
                <w:spacing w:val="-2"/>
                <w:sz w:val="21"/>
              </w:rPr>
              <w:t>teaching programs</w:t>
            </w:r>
          </w:p>
        </w:tc>
        <w:tc>
          <w:tcPr>
            <w:tcW w:w="6614" w:type="dxa"/>
            <w:shd w:val="clear" w:color="auto" w:fill="F1F1F1"/>
          </w:tcPr>
          <w:p>
            <w:pPr>
              <w:pStyle w:val="TableParagraph"/>
              <w:spacing w:line="276" w:lineRule="auto" w:before="81"/>
              <w:ind w:left="217" w:right="67"/>
              <w:jc w:val="both"/>
              <w:rPr>
                <w:sz w:val="21"/>
              </w:rPr>
            </w:pPr>
            <w:r>
              <w:rPr>
                <w:sz w:val="21"/>
              </w:rPr>
              <w:t>A teaching degree involving direct employment in a Victorian government</w:t>
            </w:r>
            <w:r>
              <w:rPr>
                <w:spacing w:val="-3"/>
                <w:sz w:val="21"/>
              </w:rPr>
              <w:t> </w:t>
            </w:r>
            <w:r>
              <w:rPr>
                <w:sz w:val="21"/>
              </w:rPr>
              <w:t>school</w:t>
            </w:r>
            <w:r>
              <w:rPr>
                <w:spacing w:val="-3"/>
                <w:sz w:val="21"/>
              </w:rPr>
              <w:t> </w:t>
            </w:r>
            <w:r>
              <w:rPr>
                <w:sz w:val="21"/>
              </w:rPr>
              <w:t>where</w:t>
            </w:r>
            <w:r>
              <w:rPr>
                <w:spacing w:val="-4"/>
                <w:sz w:val="21"/>
              </w:rPr>
              <w:t> </w:t>
            </w:r>
            <w:r>
              <w:rPr>
                <w:sz w:val="21"/>
              </w:rPr>
              <w:t>an</w:t>
            </w:r>
            <w:r>
              <w:rPr>
                <w:spacing w:val="-2"/>
                <w:sz w:val="21"/>
              </w:rPr>
              <w:t> </w:t>
            </w:r>
            <w:r>
              <w:rPr>
                <w:sz w:val="21"/>
              </w:rPr>
              <w:t>employee</w:t>
            </w:r>
            <w:r>
              <w:rPr>
                <w:spacing w:val="-4"/>
                <w:sz w:val="21"/>
              </w:rPr>
              <w:t> </w:t>
            </w:r>
            <w:r>
              <w:rPr>
                <w:sz w:val="21"/>
              </w:rPr>
              <w:t>salary</w:t>
            </w:r>
            <w:r>
              <w:rPr>
                <w:spacing w:val="-4"/>
                <w:sz w:val="21"/>
              </w:rPr>
              <w:t> </w:t>
            </w:r>
            <w:r>
              <w:rPr>
                <w:sz w:val="21"/>
              </w:rPr>
              <w:t>is</w:t>
            </w:r>
            <w:r>
              <w:rPr>
                <w:spacing w:val="-2"/>
                <w:sz w:val="21"/>
              </w:rPr>
              <w:t> </w:t>
            </w:r>
            <w:r>
              <w:rPr>
                <w:sz w:val="21"/>
              </w:rPr>
              <w:t>received.</w:t>
            </w:r>
            <w:r>
              <w:rPr>
                <w:spacing w:val="-3"/>
                <w:sz w:val="21"/>
              </w:rPr>
              <w:t> </w:t>
            </w:r>
            <w:r>
              <w:rPr>
                <w:sz w:val="21"/>
              </w:rPr>
              <w:t>Victorian secondary ITE degrees known as Teach Today and Teach Tomorrow programs, including Teach For Australia and Latrobe Nexus, are examples of employment-based teaching degrees.</w:t>
            </w:r>
          </w:p>
        </w:tc>
      </w:tr>
      <w:tr>
        <w:trPr>
          <w:trHeight w:val="973" w:hRule="atLeast"/>
        </w:trPr>
        <w:tc>
          <w:tcPr>
            <w:tcW w:w="2400" w:type="dxa"/>
            <w:shd w:val="clear" w:color="auto" w:fill="F1F1F1"/>
          </w:tcPr>
          <w:p>
            <w:pPr>
              <w:pStyle w:val="TableParagraph"/>
              <w:spacing w:before="81"/>
              <w:ind w:left="217"/>
              <w:rPr>
                <w:sz w:val="21"/>
              </w:rPr>
            </w:pPr>
            <w:r>
              <w:rPr>
                <w:sz w:val="21"/>
              </w:rPr>
              <w:t>ITE</w:t>
            </w:r>
            <w:r>
              <w:rPr>
                <w:spacing w:val="-4"/>
                <w:sz w:val="21"/>
              </w:rPr>
              <w:t> </w:t>
            </w:r>
            <w:r>
              <w:rPr>
                <w:spacing w:val="-2"/>
                <w:sz w:val="21"/>
              </w:rPr>
              <w:t>degree</w:t>
            </w:r>
          </w:p>
        </w:tc>
        <w:tc>
          <w:tcPr>
            <w:tcW w:w="6614" w:type="dxa"/>
            <w:shd w:val="clear" w:color="auto" w:fill="F1F1F1"/>
          </w:tcPr>
          <w:p>
            <w:pPr>
              <w:pStyle w:val="TableParagraph"/>
              <w:spacing w:line="276" w:lineRule="auto" w:before="81"/>
              <w:ind w:left="217" w:right="67"/>
              <w:jc w:val="both"/>
              <w:rPr>
                <w:sz w:val="21"/>
              </w:rPr>
            </w:pPr>
            <w:r>
              <w:rPr>
                <w:sz w:val="21"/>
              </w:rPr>
              <w:t>An initial teacher education degree accredited by the Victorian Institute of Teaching (VIT) as a relevant and sufficient qualification for entry into the teaching profession.</w:t>
            </w:r>
          </w:p>
        </w:tc>
      </w:tr>
      <w:tr>
        <w:trPr>
          <w:trHeight w:val="1254" w:hRule="atLeast"/>
        </w:trPr>
        <w:tc>
          <w:tcPr>
            <w:tcW w:w="2400" w:type="dxa"/>
            <w:shd w:val="clear" w:color="auto" w:fill="F1F1F1"/>
          </w:tcPr>
          <w:p>
            <w:pPr>
              <w:pStyle w:val="TableParagraph"/>
              <w:spacing w:before="81"/>
              <w:ind w:left="217"/>
              <w:rPr>
                <w:sz w:val="21"/>
              </w:rPr>
            </w:pPr>
            <w:r>
              <w:rPr>
                <w:sz w:val="21"/>
              </w:rPr>
              <w:t>ITE</w:t>
            </w:r>
            <w:r>
              <w:rPr>
                <w:spacing w:val="-4"/>
                <w:sz w:val="21"/>
              </w:rPr>
              <w:t> </w:t>
            </w:r>
            <w:r>
              <w:rPr>
                <w:spacing w:val="-2"/>
                <w:sz w:val="21"/>
              </w:rPr>
              <w:t>provider</w:t>
            </w:r>
          </w:p>
        </w:tc>
        <w:tc>
          <w:tcPr>
            <w:tcW w:w="6614" w:type="dxa"/>
            <w:shd w:val="clear" w:color="auto" w:fill="F1F1F1"/>
          </w:tcPr>
          <w:p>
            <w:pPr>
              <w:pStyle w:val="TableParagraph"/>
              <w:spacing w:line="276" w:lineRule="auto" w:before="81"/>
              <w:ind w:left="217" w:right="66"/>
              <w:jc w:val="both"/>
              <w:rPr>
                <w:sz w:val="21"/>
              </w:rPr>
            </w:pPr>
            <w:r>
              <w:rPr>
                <w:sz w:val="21"/>
              </w:rPr>
              <w:t>A Victorian tertiary education institution that provides a teacher education degree accredited by the Victorian Institute of Teaching (VIT) as a relevant and sufficient qualification for entry into the teaching profession.</w:t>
            </w:r>
          </w:p>
        </w:tc>
      </w:tr>
    </w:tbl>
    <w:p>
      <w:pPr>
        <w:pStyle w:val="BodyText"/>
        <w:rPr>
          <w:b/>
          <w:sz w:val="12"/>
        </w:rPr>
      </w:pPr>
    </w:p>
    <w:p>
      <w:pPr>
        <w:pStyle w:val="BodyText"/>
        <w:rPr>
          <w:b/>
          <w:sz w:val="12"/>
        </w:rPr>
      </w:pPr>
    </w:p>
    <w:p>
      <w:pPr>
        <w:pStyle w:val="BodyText"/>
        <w:rPr>
          <w:b/>
          <w:sz w:val="12"/>
        </w:rPr>
      </w:pPr>
    </w:p>
    <w:p>
      <w:pPr>
        <w:pStyle w:val="BodyText"/>
        <w:rPr>
          <w:b/>
          <w:sz w:val="12"/>
        </w:rPr>
      </w:pPr>
    </w:p>
    <w:p>
      <w:pPr>
        <w:pStyle w:val="BodyText"/>
        <w:rPr>
          <w:b/>
          <w:sz w:val="12"/>
        </w:rPr>
      </w:pPr>
    </w:p>
    <w:p>
      <w:pPr>
        <w:pStyle w:val="BodyText"/>
        <w:spacing w:before="52"/>
        <w:rPr>
          <w:b/>
          <w:sz w:val="12"/>
        </w:rPr>
      </w:pPr>
    </w:p>
    <w:p>
      <w:pPr>
        <w:spacing w:line="278" w:lineRule="auto" w:before="1"/>
        <w:ind w:left="120" w:right="890" w:firstLine="0"/>
        <w:jc w:val="left"/>
        <w:rPr>
          <w:sz w:val="12"/>
        </w:rPr>
      </w:pPr>
      <w:r>
        <w:rPr>
          <w:rFonts w:ascii="Calibri" w:hAnsi="Calibri"/>
          <w:w w:val="105"/>
          <w:sz w:val="12"/>
        </w:rPr>
        <w:t>©</w:t>
      </w:r>
      <w:r>
        <w:rPr>
          <w:rFonts w:ascii="Calibri" w:hAnsi="Calibri"/>
          <w:spacing w:val="-8"/>
          <w:w w:val="105"/>
          <w:sz w:val="12"/>
        </w:rPr>
        <w:t> </w:t>
      </w:r>
      <w:r>
        <w:rPr>
          <w:rFonts w:ascii="Calibri" w:hAnsi="Calibri"/>
          <w:w w:val="105"/>
          <w:sz w:val="12"/>
        </w:rPr>
        <w:t>State</w:t>
      </w:r>
      <w:r>
        <w:rPr>
          <w:rFonts w:ascii="Calibri" w:hAnsi="Calibri"/>
          <w:spacing w:val="-7"/>
          <w:w w:val="105"/>
          <w:sz w:val="12"/>
        </w:rPr>
        <w:t> </w:t>
      </w:r>
      <w:r>
        <w:rPr>
          <w:rFonts w:ascii="Calibri" w:hAnsi="Calibri"/>
          <w:w w:val="105"/>
          <w:sz w:val="12"/>
        </w:rPr>
        <w:t>of</w:t>
      </w:r>
      <w:r>
        <w:rPr>
          <w:rFonts w:ascii="Calibri" w:hAnsi="Calibri"/>
          <w:spacing w:val="-7"/>
          <w:w w:val="105"/>
          <w:sz w:val="12"/>
        </w:rPr>
        <w:t> </w:t>
      </w:r>
      <w:r>
        <w:rPr>
          <w:rFonts w:ascii="Calibri" w:hAnsi="Calibri"/>
          <w:w w:val="105"/>
          <w:sz w:val="12"/>
        </w:rPr>
        <w:t>Victoria</w:t>
      </w:r>
      <w:r>
        <w:rPr>
          <w:rFonts w:ascii="Calibri" w:hAnsi="Calibri"/>
          <w:spacing w:val="-7"/>
          <w:w w:val="105"/>
          <w:sz w:val="12"/>
        </w:rPr>
        <w:t> </w:t>
      </w:r>
      <w:r>
        <w:rPr>
          <w:rFonts w:ascii="Calibri" w:hAnsi="Calibri"/>
          <w:w w:val="105"/>
          <w:sz w:val="12"/>
        </w:rPr>
        <w:t>(Department</w:t>
      </w:r>
      <w:r>
        <w:rPr>
          <w:rFonts w:ascii="Calibri" w:hAnsi="Calibri"/>
          <w:spacing w:val="-7"/>
          <w:w w:val="105"/>
          <w:sz w:val="12"/>
        </w:rPr>
        <w:t> </w:t>
      </w:r>
      <w:r>
        <w:rPr>
          <w:rFonts w:ascii="Calibri" w:hAnsi="Calibri"/>
          <w:w w:val="105"/>
          <w:sz w:val="12"/>
        </w:rPr>
        <w:t>of</w:t>
      </w:r>
      <w:r>
        <w:rPr>
          <w:rFonts w:ascii="Calibri" w:hAnsi="Calibri"/>
          <w:spacing w:val="-7"/>
          <w:w w:val="105"/>
          <w:sz w:val="12"/>
        </w:rPr>
        <w:t> </w:t>
      </w:r>
      <w:r>
        <w:rPr>
          <w:rFonts w:ascii="Calibri" w:hAnsi="Calibri"/>
          <w:w w:val="105"/>
          <w:sz w:val="12"/>
        </w:rPr>
        <w:t>Education)</w:t>
      </w:r>
      <w:r>
        <w:rPr>
          <w:rFonts w:ascii="Calibri" w:hAnsi="Calibri"/>
          <w:spacing w:val="-7"/>
          <w:w w:val="105"/>
          <w:sz w:val="12"/>
        </w:rPr>
        <w:t> </w:t>
      </w:r>
      <w:r>
        <w:rPr>
          <w:rFonts w:ascii="Calibri" w:hAnsi="Calibri"/>
          <w:w w:val="105"/>
          <w:sz w:val="12"/>
        </w:rPr>
        <w:t>2023.</w:t>
      </w:r>
      <w:r>
        <w:rPr>
          <w:rFonts w:ascii="Calibri" w:hAnsi="Calibri"/>
          <w:spacing w:val="-7"/>
          <w:w w:val="105"/>
          <w:sz w:val="12"/>
        </w:rPr>
        <w:t> </w:t>
      </w:r>
      <w:r>
        <w:rPr>
          <w:rFonts w:ascii="Calibri" w:hAnsi="Calibri"/>
          <w:w w:val="105"/>
          <w:sz w:val="12"/>
        </w:rPr>
        <w:t>Except</w:t>
      </w:r>
      <w:r>
        <w:rPr>
          <w:rFonts w:ascii="Calibri" w:hAnsi="Calibri"/>
          <w:spacing w:val="-8"/>
          <w:w w:val="105"/>
          <w:sz w:val="12"/>
        </w:rPr>
        <w:t> </w:t>
      </w:r>
      <w:r>
        <w:rPr>
          <w:rFonts w:ascii="Calibri" w:hAnsi="Calibri"/>
          <w:w w:val="105"/>
          <w:sz w:val="12"/>
        </w:rPr>
        <w:t>where</w:t>
      </w:r>
      <w:r>
        <w:rPr>
          <w:rFonts w:ascii="Calibri" w:hAnsi="Calibri"/>
          <w:spacing w:val="-7"/>
          <w:w w:val="105"/>
          <w:sz w:val="12"/>
        </w:rPr>
        <w:t> </w:t>
      </w:r>
      <w:r>
        <w:rPr>
          <w:rFonts w:ascii="Calibri" w:hAnsi="Calibri"/>
          <w:w w:val="105"/>
          <w:sz w:val="12"/>
        </w:rPr>
        <w:t>otherwise</w:t>
      </w:r>
      <w:r>
        <w:rPr>
          <w:rFonts w:ascii="Calibri" w:hAnsi="Calibri"/>
          <w:spacing w:val="-7"/>
          <w:w w:val="105"/>
          <w:sz w:val="12"/>
        </w:rPr>
        <w:t> </w:t>
      </w:r>
      <w:hyperlink r:id="rId16">
        <w:r>
          <w:rPr>
            <w:color w:val="467885"/>
            <w:w w:val="105"/>
            <w:sz w:val="12"/>
            <w:u w:val="single" w:color="467885"/>
          </w:rPr>
          <w:t>noted,</w:t>
        </w:r>
      </w:hyperlink>
      <w:r>
        <w:rPr>
          <w:color w:val="467885"/>
          <w:spacing w:val="-11"/>
          <w:w w:val="105"/>
          <w:sz w:val="12"/>
          <w:u w:val="none"/>
        </w:rPr>
        <w:t> </w:t>
      </w:r>
      <w:r>
        <w:rPr>
          <w:rFonts w:ascii="Calibri" w:hAnsi="Calibri"/>
          <w:w w:val="105"/>
          <w:sz w:val="12"/>
          <w:u w:val="none"/>
        </w:rPr>
        <w:t>material</w:t>
      </w:r>
      <w:r>
        <w:rPr>
          <w:rFonts w:ascii="Calibri" w:hAnsi="Calibri"/>
          <w:spacing w:val="-8"/>
          <w:w w:val="105"/>
          <w:sz w:val="12"/>
          <w:u w:val="none"/>
        </w:rPr>
        <w:t> </w:t>
      </w:r>
      <w:r>
        <w:rPr>
          <w:rFonts w:ascii="Calibri" w:hAnsi="Calibri"/>
          <w:w w:val="105"/>
          <w:sz w:val="12"/>
          <w:u w:val="none"/>
        </w:rPr>
        <w:t>in</w:t>
      </w:r>
      <w:r>
        <w:rPr>
          <w:rFonts w:ascii="Calibri" w:hAnsi="Calibri"/>
          <w:spacing w:val="-7"/>
          <w:w w:val="105"/>
          <w:sz w:val="12"/>
          <w:u w:val="none"/>
        </w:rPr>
        <w:t> </w:t>
      </w:r>
      <w:r>
        <w:rPr>
          <w:rFonts w:ascii="Calibri" w:hAnsi="Calibri"/>
          <w:w w:val="105"/>
          <w:sz w:val="12"/>
          <w:u w:val="none"/>
        </w:rPr>
        <w:t>this</w:t>
      </w:r>
      <w:r>
        <w:rPr>
          <w:rFonts w:ascii="Calibri" w:hAnsi="Calibri"/>
          <w:spacing w:val="-7"/>
          <w:w w:val="105"/>
          <w:sz w:val="12"/>
          <w:u w:val="none"/>
        </w:rPr>
        <w:t> </w:t>
      </w:r>
      <w:r>
        <w:rPr>
          <w:rFonts w:ascii="Calibri" w:hAnsi="Calibri"/>
          <w:w w:val="105"/>
          <w:sz w:val="12"/>
          <w:u w:val="none"/>
        </w:rPr>
        <w:t>document</w:t>
      </w:r>
      <w:r>
        <w:rPr>
          <w:rFonts w:ascii="Calibri" w:hAnsi="Calibri"/>
          <w:spacing w:val="-7"/>
          <w:w w:val="105"/>
          <w:sz w:val="12"/>
          <w:u w:val="none"/>
        </w:rPr>
        <w:t> </w:t>
      </w:r>
      <w:r>
        <w:rPr>
          <w:rFonts w:ascii="Calibri" w:hAnsi="Calibri"/>
          <w:w w:val="105"/>
          <w:sz w:val="12"/>
          <w:u w:val="none"/>
        </w:rPr>
        <w:t>is</w:t>
      </w:r>
      <w:r>
        <w:rPr>
          <w:rFonts w:ascii="Calibri" w:hAnsi="Calibri"/>
          <w:spacing w:val="-7"/>
          <w:w w:val="105"/>
          <w:sz w:val="12"/>
          <w:u w:val="none"/>
        </w:rPr>
        <w:t> </w:t>
      </w:r>
      <w:r>
        <w:rPr>
          <w:rFonts w:ascii="Calibri" w:hAnsi="Calibri"/>
          <w:w w:val="105"/>
          <w:sz w:val="12"/>
          <w:u w:val="none"/>
        </w:rPr>
        <w:t>provided</w:t>
      </w:r>
      <w:r>
        <w:rPr>
          <w:rFonts w:ascii="Calibri" w:hAnsi="Calibri"/>
          <w:spacing w:val="-7"/>
          <w:w w:val="105"/>
          <w:sz w:val="12"/>
          <w:u w:val="none"/>
        </w:rPr>
        <w:t> </w:t>
      </w:r>
      <w:r>
        <w:rPr>
          <w:rFonts w:ascii="Calibri" w:hAnsi="Calibri"/>
          <w:w w:val="105"/>
          <w:sz w:val="12"/>
          <w:u w:val="none"/>
        </w:rPr>
        <w:t>under</w:t>
      </w:r>
      <w:r>
        <w:rPr>
          <w:rFonts w:ascii="Calibri" w:hAnsi="Calibri"/>
          <w:spacing w:val="-7"/>
          <w:w w:val="105"/>
          <w:sz w:val="12"/>
          <w:u w:val="none"/>
        </w:rPr>
        <w:t> </w:t>
      </w:r>
      <w:r>
        <w:rPr>
          <w:rFonts w:ascii="Calibri" w:hAnsi="Calibri"/>
          <w:w w:val="105"/>
          <w:sz w:val="12"/>
          <w:u w:val="none"/>
        </w:rPr>
        <w:t>a</w:t>
      </w:r>
      <w:r>
        <w:rPr>
          <w:rFonts w:ascii="Calibri" w:hAnsi="Calibri"/>
          <w:spacing w:val="-7"/>
          <w:w w:val="105"/>
          <w:sz w:val="12"/>
          <w:u w:val="none"/>
        </w:rPr>
        <w:t> </w:t>
      </w:r>
      <w:hyperlink r:id="rId17">
        <w:r>
          <w:rPr>
            <w:color w:val="467885"/>
            <w:w w:val="105"/>
            <w:sz w:val="12"/>
            <w:u w:val="single" w:color="467885"/>
          </w:rPr>
          <w:t>Creative</w:t>
        </w:r>
        <w:r>
          <w:rPr>
            <w:color w:val="467885"/>
            <w:spacing w:val="-9"/>
            <w:w w:val="105"/>
            <w:sz w:val="12"/>
            <w:u w:val="single" w:color="467885"/>
          </w:rPr>
          <w:t> </w:t>
        </w:r>
        <w:r>
          <w:rPr>
            <w:color w:val="467885"/>
            <w:w w:val="105"/>
            <w:sz w:val="12"/>
            <w:u w:val="single" w:color="467885"/>
          </w:rPr>
          <w:t>Commons</w:t>
        </w:r>
        <w:r>
          <w:rPr>
            <w:color w:val="467885"/>
            <w:spacing w:val="-9"/>
            <w:w w:val="105"/>
            <w:sz w:val="12"/>
            <w:u w:val="single" w:color="467885"/>
          </w:rPr>
          <w:t> </w:t>
        </w:r>
        <w:r>
          <w:rPr>
            <w:color w:val="467885"/>
            <w:w w:val="105"/>
            <w:sz w:val="12"/>
            <w:u w:val="single" w:color="467885"/>
          </w:rPr>
          <w:t>Attribution</w:t>
        </w:r>
        <w:r>
          <w:rPr>
            <w:color w:val="467885"/>
            <w:spacing w:val="-9"/>
            <w:w w:val="105"/>
            <w:sz w:val="12"/>
            <w:u w:val="single" w:color="467885"/>
          </w:rPr>
          <w:t> </w:t>
        </w:r>
        <w:r>
          <w:rPr>
            <w:color w:val="467885"/>
            <w:w w:val="105"/>
            <w:sz w:val="12"/>
            <w:u w:val="single" w:color="467885"/>
          </w:rPr>
          <w:t>4.0</w:t>
        </w:r>
      </w:hyperlink>
      <w:r>
        <w:rPr>
          <w:color w:val="467885"/>
          <w:spacing w:val="40"/>
          <w:w w:val="105"/>
          <w:sz w:val="12"/>
          <w:u w:val="none"/>
        </w:rPr>
        <w:t> </w:t>
      </w:r>
      <w:hyperlink r:id="rId17">
        <w:r>
          <w:rPr>
            <w:color w:val="467885"/>
            <w:w w:val="105"/>
            <w:sz w:val="12"/>
            <w:u w:val="single" w:color="467885"/>
          </w:rPr>
          <w:t>International</w:t>
        </w:r>
      </w:hyperlink>
      <w:r>
        <w:rPr>
          <w:color w:val="467885"/>
          <w:spacing w:val="-6"/>
          <w:w w:val="105"/>
          <w:sz w:val="12"/>
          <w:u w:val="none"/>
        </w:rPr>
        <w:t> </w:t>
      </w:r>
      <w:r>
        <w:rPr>
          <w:rFonts w:ascii="Calibri" w:hAnsi="Calibri"/>
          <w:w w:val="105"/>
          <w:sz w:val="12"/>
          <w:u w:val="none"/>
        </w:rPr>
        <w:t>Please check the full </w:t>
      </w:r>
      <w:hyperlink r:id="rId16">
        <w:r>
          <w:rPr>
            <w:color w:val="467885"/>
            <w:w w:val="105"/>
            <w:sz w:val="12"/>
            <w:u w:val="single" w:color="467885"/>
          </w:rPr>
          <w:t>copyright notice</w:t>
        </w:r>
      </w:hyperlink>
      <w:r>
        <w:rPr>
          <w:color w:val="467885"/>
          <w:w w:val="105"/>
          <w:sz w:val="12"/>
          <w:u w:val="single" w:color="467885"/>
        </w:rPr>
        <w:t> +</w:t>
      </w:r>
    </w:p>
    <w:sectPr>
      <w:pgSz w:w="11910" w:h="16840"/>
      <w:pgMar w:header="0" w:footer="765" w:top="1900" w:bottom="960" w:left="13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Calibri">
    <w:altName w:val="Calibri"/>
    <w:charset w:val="0"/>
    <w:family w:val="swiss"/>
    <w:pitch w:val="variable"/>
  </w:font>
  <w:font w:name="Dubai">
    <w:altName w:val="Duba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47360">
              <wp:simplePos x="0" y="0"/>
              <wp:positionH relativeFrom="page">
                <wp:posOffset>5761735</wp:posOffset>
              </wp:positionH>
              <wp:positionV relativeFrom="page">
                <wp:posOffset>10067193</wp:posOffset>
              </wp:positionV>
              <wp:extent cx="897255" cy="21145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97255" cy="211454"/>
                      </a:xfrm>
                      <a:prstGeom prst="rect">
                        <a:avLst/>
                      </a:prstGeom>
                    </wps:spPr>
                    <wps:txbx>
                      <w:txbxContent>
                        <w:p>
                          <w:pPr>
                            <w:spacing w:line="333" w:lineRule="exact" w:before="0"/>
                            <w:ind w:left="20" w:right="0" w:firstLine="0"/>
                            <w:jc w:val="left"/>
                            <w:rPr>
                              <w:rFonts w:ascii="Dubai"/>
                              <w:b/>
                              <w:sz w:val="24"/>
                            </w:rPr>
                          </w:pPr>
                          <w:r>
                            <w:rPr>
                              <w:rFonts w:ascii="Calibri"/>
                              <w:w w:val="105"/>
                              <w:sz w:val="24"/>
                            </w:rPr>
                            <w:t>Page</w:t>
                          </w:r>
                          <w:r>
                            <w:rPr>
                              <w:rFonts w:ascii="Calibri"/>
                              <w:spacing w:val="-15"/>
                              <w:w w:val="105"/>
                              <w:sz w:val="24"/>
                            </w:rPr>
                            <w:t> </w:t>
                          </w:r>
                          <w:r>
                            <w:rPr>
                              <w:rFonts w:ascii="Dubai"/>
                              <w:b/>
                              <w:color w:val="2B569A"/>
                              <w:w w:val="105"/>
                              <w:sz w:val="24"/>
                              <w:shd w:fill="E6E6E6" w:color="auto" w:val="clear"/>
                            </w:rPr>
                            <w:fldChar w:fldCharType="begin"/>
                          </w:r>
                          <w:r>
                            <w:rPr>
                              <w:rFonts w:ascii="Dubai"/>
                              <w:b/>
                              <w:color w:val="2B569A"/>
                              <w:w w:val="105"/>
                              <w:sz w:val="24"/>
                              <w:shd w:fill="E6E6E6" w:color="auto" w:val="clear"/>
                            </w:rPr>
                            <w:instrText> PAGE </w:instrText>
                          </w:r>
                          <w:r>
                            <w:rPr>
                              <w:rFonts w:ascii="Dubai"/>
                              <w:b/>
                              <w:color w:val="2B569A"/>
                              <w:w w:val="105"/>
                              <w:sz w:val="24"/>
                              <w:shd w:fill="E6E6E6" w:color="auto" w:val="clear"/>
                            </w:rPr>
                            <w:fldChar w:fldCharType="separate"/>
                          </w:r>
                          <w:r>
                            <w:rPr>
                              <w:rFonts w:ascii="Dubai"/>
                              <w:b/>
                              <w:color w:val="2B569A"/>
                              <w:w w:val="105"/>
                              <w:sz w:val="24"/>
                              <w:shd w:fill="E6E6E6" w:color="auto" w:val="clear"/>
                            </w:rPr>
                            <w:t>10</w:t>
                          </w:r>
                          <w:r>
                            <w:rPr>
                              <w:rFonts w:ascii="Dubai"/>
                              <w:b/>
                              <w:color w:val="2B569A"/>
                              <w:w w:val="105"/>
                              <w:sz w:val="24"/>
                              <w:shd w:fill="E6E6E6" w:color="auto" w:val="clear"/>
                            </w:rPr>
                            <w:fldChar w:fldCharType="end"/>
                          </w:r>
                          <w:r>
                            <w:rPr>
                              <w:rFonts w:ascii="Dubai"/>
                              <w:b/>
                              <w:color w:val="2B569A"/>
                              <w:spacing w:val="-14"/>
                              <w:w w:val="105"/>
                              <w:sz w:val="24"/>
                            </w:rPr>
                            <w:t> </w:t>
                          </w:r>
                          <w:r>
                            <w:rPr>
                              <w:rFonts w:ascii="Calibri"/>
                              <w:color w:val="000000"/>
                              <w:w w:val="105"/>
                              <w:sz w:val="24"/>
                            </w:rPr>
                            <w:t>of</w:t>
                          </w:r>
                          <w:r>
                            <w:rPr>
                              <w:rFonts w:ascii="Calibri"/>
                              <w:color w:val="000000"/>
                              <w:spacing w:val="-14"/>
                              <w:w w:val="105"/>
                              <w:sz w:val="24"/>
                            </w:rPr>
                            <w:t> </w:t>
                          </w:r>
                          <w:r>
                            <w:rPr>
                              <w:rFonts w:ascii="Dubai"/>
                              <w:b/>
                              <w:color w:val="2B569A"/>
                              <w:spacing w:val="-5"/>
                              <w:w w:val="105"/>
                              <w:sz w:val="24"/>
                              <w:shd w:fill="E6E6E6" w:color="auto" w:val="clear"/>
                            </w:rPr>
                            <w:fldChar w:fldCharType="begin"/>
                          </w:r>
                          <w:r>
                            <w:rPr>
                              <w:rFonts w:ascii="Dubai"/>
                              <w:b/>
                              <w:color w:val="2B569A"/>
                              <w:spacing w:val="-5"/>
                              <w:w w:val="105"/>
                              <w:sz w:val="24"/>
                              <w:shd w:fill="E6E6E6" w:color="auto" w:val="clear"/>
                            </w:rPr>
                            <w:instrText> NUMPAGES </w:instrText>
                          </w:r>
                          <w:r>
                            <w:rPr>
                              <w:rFonts w:ascii="Dubai"/>
                              <w:b/>
                              <w:color w:val="2B569A"/>
                              <w:spacing w:val="-5"/>
                              <w:w w:val="105"/>
                              <w:sz w:val="24"/>
                              <w:shd w:fill="E6E6E6" w:color="auto" w:val="clear"/>
                            </w:rPr>
                            <w:fldChar w:fldCharType="separate"/>
                          </w:r>
                          <w:r>
                            <w:rPr>
                              <w:rFonts w:ascii="Dubai"/>
                              <w:b/>
                              <w:color w:val="2B569A"/>
                              <w:spacing w:val="-5"/>
                              <w:w w:val="105"/>
                              <w:sz w:val="24"/>
                              <w:shd w:fill="E6E6E6" w:color="auto" w:val="clear"/>
                            </w:rPr>
                            <w:t>14</w:t>
                          </w:r>
                          <w:r>
                            <w:rPr>
                              <w:rFonts w:ascii="Dubai"/>
                              <w:b/>
                              <w:color w:val="2B569A"/>
                              <w:spacing w:val="-5"/>
                              <w:w w:val="105"/>
                              <w:sz w:val="24"/>
                              <w:shd w:fill="E6E6E6" w:color="auto" w:val="clear"/>
                            </w:rPr>
                            <w:fldChar w:fldCharType="end"/>
                          </w:r>
                        </w:p>
                      </w:txbxContent>
                    </wps:txbx>
                    <wps:bodyPr wrap="square" lIns="0" tIns="0" rIns="0" bIns="0" rtlCol="0">
                      <a:noAutofit/>
                    </wps:bodyPr>
                  </wps:wsp>
                </a:graphicData>
              </a:graphic>
            </wp:anchor>
          </w:drawing>
        </mc:Choice>
        <mc:Fallback>
          <w:pict>
            <v:shape style="position:absolute;margin-left:453.679993pt;margin-top:792.692383pt;width:70.650pt;height:16.650pt;mso-position-horizontal-relative:page;mso-position-vertical-relative:page;z-index:-16069120" type="#_x0000_t202" id="docshape2" filled="false" stroked="false">
              <v:textbox inset="0,0,0,0">
                <w:txbxContent>
                  <w:p>
                    <w:pPr>
                      <w:spacing w:line="333" w:lineRule="exact" w:before="0"/>
                      <w:ind w:left="20" w:right="0" w:firstLine="0"/>
                      <w:jc w:val="left"/>
                      <w:rPr>
                        <w:rFonts w:ascii="Dubai"/>
                        <w:b/>
                        <w:sz w:val="24"/>
                      </w:rPr>
                    </w:pPr>
                    <w:r>
                      <w:rPr>
                        <w:rFonts w:ascii="Calibri"/>
                        <w:w w:val="105"/>
                        <w:sz w:val="24"/>
                      </w:rPr>
                      <w:t>Page</w:t>
                    </w:r>
                    <w:r>
                      <w:rPr>
                        <w:rFonts w:ascii="Calibri"/>
                        <w:spacing w:val="-15"/>
                        <w:w w:val="105"/>
                        <w:sz w:val="24"/>
                      </w:rPr>
                      <w:t> </w:t>
                    </w:r>
                    <w:r>
                      <w:rPr>
                        <w:rFonts w:ascii="Dubai"/>
                        <w:b/>
                        <w:color w:val="2B569A"/>
                        <w:w w:val="105"/>
                        <w:sz w:val="24"/>
                        <w:shd w:fill="E6E6E6" w:color="auto" w:val="clear"/>
                      </w:rPr>
                      <w:fldChar w:fldCharType="begin"/>
                    </w:r>
                    <w:r>
                      <w:rPr>
                        <w:rFonts w:ascii="Dubai"/>
                        <w:b/>
                        <w:color w:val="2B569A"/>
                        <w:w w:val="105"/>
                        <w:sz w:val="24"/>
                        <w:shd w:fill="E6E6E6" w:color="auto" w:val="clear"/>
                      </w:rPr>
                      <w:instrText> PAGE </w:instrText>
                    </w:r>
                    <w:r>
                      <w:rPr>
                        <w:rFonts w:ascii="Dubai"/>
                        <w:b/>
                        <w:color w:val="2B569A"/>
                        <w:w w:val="105"/>
                        <w:sz w:val="24"/>
                        <w:shd w:fill="E6E6E6" w:color="auto" w:val="clear"/>
                      </w:rPr>
                      <w:fldChar w:fldCharType="separate"/>
                    </w:r>
                    <w:r>
                      <w:rPr>
                        <w:rFonts w:ascii="Dubai"/>
                        <w:b/>
                        <w:color w:val="2B569A"/>
                        <w:w w:val="105"/>
                        <w:sz w:val="24"/>
                        <w:shd w:fill="E6E6E6" w:color="auto" w:val="clear"/>
                      </w:rPr>
                      <w:t>10</w:t>
                    </w:r>
                    <w:r>
                      <w:rPr>
                        <w:rFonts w:ascii="Dubai"/>
                        <w:b/>
                        <w:color w:val="2B569A"/>
                        <w:w w:val="105"/>
                        <w:sz w:val="24"/>
                        <w:shd w:fill="E6E6E6" w:color="auto" w:val="clear"/>
                      </w:rPr>
                      <w:fldChar w:fldCharType="end"/>
                    </w:r>
                    <w:r>
                      <w:rPr>
                        <w:rFonts w:ascii="Dubai"/>
                        <w:b/>
                        <w:color w:val="2B569A"/>
                        <w:spacing w:val="-14"/>
                        <w:w w:val="105"/>
                        <w:sz w:val="24"/>
                      </w:rPr>
                      <w:t> </w:t>
                    </w:r>
                    <w:r>
                      <w:rPr>
                        <w:rFonts w:ascii="Calibri"/>
                        <w:color w:val="000000"/>
                        <w:w w:val="105"/>
                        <w:sz w:val="24"/>
                      </w:rPr>
                      <w:t>of</w:t>
                    </w:r>
                    <w:r>
                      <w:rPr>
                        <w:rFonts w:ascii="Calibri"/>
                        <w:color w:val="000000"/>
                        <w:spacing w:val="-14"/>
                        <w:w w:val="105"/>
                        <w:sz w:val="24"/>
                      </w:rPr>
                      <w:t> </w:t>
                    </w:r>
                    <w:r>
                      <w:rPr>
                        <w:rFonts w:ascii="Dubai"/>
                        <w:b/>
                        <w:color w:val="2B569A"/>
                        <w:spacing w:val="-5"/>
                        <w:w w:val="105"/>
                        <w:sz w:val="24"/>
                        <w:shd w:fill="E6E6E6" w:color="auto" w:val="clear"/>
                      </w:rPr>
                      <w:fldChar w:fldCharType="begin"/>
                    </w:r>
                    <w:r>
                      <w:rPr>
                        <w:rFonts w:ascii="Dubai"/>
                        <w:b/>
                        <w:color w:val="2B569A"/>
                        <w:spacing w:val="-5"/>
                        <w:w w:val="105"/>
                        <w:sz w:val="24"/>
                        <w:shd w:fill="E6E6E6" w:color="auto" w:val="clear"/>
                      </w:rPr>
                      <w:instrText> NUMPAGES </w:instrText>
                    </w:r>
                    <w:r>
                      <w:rPr>
                        <w:rFonts w:ascii="Dubai"/>
                        <w:b/>
                        <w:color w:val="2B569A"/>
                        <w:spacing w:val="-5"/>
                        <w:w w:val="105"/>
                        <w:sz w:val="24"/>
                        <w:shd w:fill="E6E6E6" w:color="auto" w:val="clear"/>
                      </w:rPr>
                      <w:fldChar w:fldCharType="separate"/>
                    </w:r>
                    <w:r>
                      <w:rPr>
                        <w:rFonts w:ascii="Dubai"/>
                        <w:b/>
                        <w:color w:val="2B569A"/>
                        <w:spacing w:val="-5"/>
                        <w:w w:val="105"/>
                        <w:sz w:val="24"/>
                        <w:shd w:fill="E6E6E6" w:color="auto" w:val="clear"/>
                      </w:rPr>
                      <w:t>14</w:t>
                    </w:r>
                    <w:r>
                      <w:rPr>
                        <w:rFonts w:ascii="Dubai"/>
                        <w:b/>
                        <w:color w:val="2B569A"/>
                        <w:spacing w:val="-5"/>
                        <w:w w:val="105"/>
                        <w:sz w:val="24"/>
                        <w:shd w:fill="E6E6E6" w:color="auto" w:val="clear"/>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47872">
              <wp:simplePos x="0" y="0"/>
              <wp:positionH relativeFrom="page">
                <wp:posOffset>3423920</wp:posOffset>
              </wp:positionH>
              <wp:positionV relativeFrom="page">
                <wp:posOffset>10287212</wp:posOffset>
              </wp:positionV>
              <wp:extent cx="71247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12470" cy="196215"/>
                      </a:xfrm>
                      <a:prstGeom prst="rect">
                        <a:avLst/>
                      </a:prstGeom>
                    </wps:spPr>
                    <wps:txbx>
                      <w:txbxContent>
                        <w:p>
                          <w:pPr>
                            <w:spacing w:before="12"/>
                            <w:ind w:left="20" w:right="0" w:firstLine="0"/>
                            <w:jc w:val="left"/>
                            <w:rPr>
                              <w:sz w:val="24"/>
                            </w:rPr>
                          </w:pPr>
                          <w:r>
                            <w:rPr>
                              <w:spacing w:val="-2"/>
                              <w:sz w:val="24"/>
                            </w:rPr>
                            <w:t>OFFICIAL</w:t>
                          </w:r>
                        </w:p>
                      </w:txbxContent>
                    </wps:txbx>
                    <wps:bodyPr wrap="square" lIns="0" tIns="0" rIns="0" bIns="0" rtlCol="0">
                      <a:noAutofit/>
                    </wps:bodyPr>
                  </wps:wsp>
                </a:graphicData>
              </a:graphic>
            </wp:anchor>
          </w:drawing>
        </mc:Choice>
        <mc:Fallback>
          <w:pict>
            <v:shape style="position:absolute;margin-left:269.600006pt;margin-top:810.016724pt;width:56.1pt;height:15.45pt;mso-position-horizontal-relative:page;mso-position-vertical-relative:page;z-index:-16068608" type="#_x0000_t202" id="docshape3" filled="false" stroked="false">
              <v:textbox inset="0,0,0,0">
                <w:txbxContent>
                  <w:p>
                    <w:pPr>
                      <w:spacing w:before="12"/>
                      <w:ind w:left="20" w:right="0" w:firstLine="0"/>
                      <w:jc w:val="left"/>
                      <w:rPr>
                        <w:sz w:val="24"/>
                      </w:rPr>
                    </w:pPr>
                    <w:r>
                      <w:rPr>
                        <w:spacing w:val="-2"/>
                        <w:sz w:val="24"/>
                      </w:rPr>
                      <w:t>OFFICIAL</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246336">
          <wp:simplePos x="0" y="0"/>
          <wp:positionH relativeFrom="page">
            <wp:posOffset>0</wp:posOffset>
          </wp:positionH>
          <wp:positionV relativeFrom="page">
            <wp:posOffset>0</wp:posOffset>
          </wp:positionV>
          <wp:extent cx="7550149" cy="10798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50149" cy="1079884"/>
                  </a:xfrm>
                  <a:prstGeom prst="rect">
                    <a:avLst/>
                  </a:prstGeom>
                </pic:spPr>
              </pic:pic>
            </a:graphicData>
          </a:graphic>
        </wp:anchor>
      </w:drawing>
    </w:r>
    <w:r>
      <w:rPr/>
      <mc:AlternateContent>
        <mc:Choice Requires="wps">
          <w:drawing>
            <wp:anchor distT="0" distB="0" distL="0" distR="0" allowOverlap="1" layoutInCell="1" locked="0" behindDoc="1" simplePos="0" relativeHeight="487246848">
              <wp:simplePos x="0" y="0"/>
              <wp:positionH relativeFrom="page">
                <wp:posOffset>3423920</wp:posOffset>
              </wp:positionH>
              <wp:positionV relativeFrom="page">
                <wp:posOffset>186140</wp:posOffset>
              </wp:positionV>
              <wp:extent cx="712470"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12470" cy="196215"/>
                      </a:xfrm>
                      <a:prstGeom prst="rect">
                        <a:avLst/>
                      </a:prstGeom>
                    </wps:spPr>
                    <wps:txbx>
                      <w:txbxContent>
                        <w:p>
                          <w:pPr>
                            <w:spacing w:before="12"/>
                            <w:ind w:left="20" w:right="0" w:firstLine="0"/>
                            <w:jc w:val="left"/>
                            <w:rPr>
                              <w:sz w:val="24"/>
                            </w:rPr>
                          </w:pPr>
                          <w:r>
                            <w:rPr>
                              <w:spacing w:val="-2"/>
                              <w:sz w:val="24"/>
                            </w:rPr>
                            <w:t>OFFICIAL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9.600006pt;margin-top:14.656702pt;width:56.1pt;height:15.45pt;mso-position-horizontal-relative:page;mso-position-vertical-relative:page;z-index:-16069632" type="#_x0000_t202" id="docshape1" filled="false" stroked="false">
              <v:textbox inset="0,0,0,0">
                <w:txbxContent>
                  <w:p>
                    <w:pPr>
                      <w:spacing w:before="12"/>
                      <w:ind w:left="20" w:right="0" w:firstLine="0"/>
                      <w:jc w:val="left"/>
                      <w:rPr>
                        <w:sz w:val="24"/>
                      </w:rPr>
                    </w:pPr>
                    <w:r>
                      <w:rPr>
                        <w:spacing w:val="-2"/>
                        <w:sz w:val="24"/>
                      </w:rPr>
                      <w:t>OFFICIAL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824"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93" w:hanging="361"/>
      </w:pPr>
      <w:rPr>
        <w:rFonts w:hint="default"/>
        <w:lang w:val="en-US" w:eastAsia="en-US" w:bidi="ar-SA"/>
      </w:rPr>
    </w:lvl>
    <w:lvl w:ilvl="2">
      <w:start w:val="0"/>
      <w:numFmt w:val="bullet"/>
      <w:lvlText w:val="•"/>
      <w:lvlJc w:val="left"/>
      <w:pPr>
        <w:ind w:left="1967" w:hanging="361"/>
      </w:pPr>
      <w:rPr>
        <w:rFonts w:hint="default"/>
        <w:lang w:val="en-US" w:eastAsia="en-US" w:bidi="ar-SA"/>
      </w:rPr>
    </w:lvl>
    <w:lvl w:ilvl="3">
      <w:start w:val="0"/>
      <w:numFmt w:val="bullet"/>
      <w:lvlText w:val="•"/>
      <w:lvlJc w:val="left"/>
      <w:pPr>
        <w:ind w:left="2540" w:hanging="361"/>
      </w:pPr>
      <w:rPr>
        <w:rFonts w:hint="default"/>
        <w:lang w:val="en-US" w:eastAsia="en-US" w:bidi="ar-SA"/>
      </w:rPr>
    </w:lvl>
    <w:lvl w:ilvl="4">
      <w:start w:val="0"/>
      <w:numFmt w:val="bullet"/>
      <w:lvlText w:val="•"/>
      <w:lvlJc w:val="left"/>
      <w:pPr>
        <w:ind w:left="3114" w:hanging="361"/>
      </w:pPr>
      <w:rPr>
        <w:rFonts w:hint="default"/>
        <w:lang w:val="en-US" w:eastAsia="en-US" w:bidi="ar-SA"/>
      </w:rPr>
    </w:lvl>
    <w:lvl w:ilvl="5">
      <w:start w:val="0"/>
      <w:numFmt w:val="bullet"/>
      <w:lvlText w:val="•"/>
      <w:lvlJc w:val="left"/>
      <w:pPr>
        <w:ind w:left="3688" w:hanging="361"/>
      </w:pPr>
      <w:rPr>
        <w:rFonts w:hint="default"/>
        <w:lang w:val="en-US" w:eastAsia="en-US" w:bidi="ar-SA"/>
      </w:rPr>
    </w:lvl>
    <w:lvl w:ilvl="6">
      <w:start w:val="0"/>
      <w:numFmt w:val="bullet"/>
      <w:lvlText w:val="•"/>
      <w:lvlJc w:val="left"/>
      <w:pPr>
        <w:ind w:left="4261" w:hanging="361"/>
      </w:pPr>
      <w:rPr>
        <w:rFonts w:hint="default"/>
        <w:lang w:val="en-US" w:eastAsia="en-US" w:bidi="ar-SA"/>
      </w:rPr>
    </w:lvl>
    <w:lvl w:ilvl="7">
      <w:start w:val="0"/>
      <w:numFmt w:val="bullet"/>
      <w:lvlText w:val="•"/>
      <w:lvlJc w:val="left"/>
      <w:pPr>
        <w:ind w:left="4835" w:hanging="361"/>
      </w:pPr>
      <w:rPr>
        <w:rFonts w:hint="default"/>
        <w:lang w:val="en-US" w:eastAsia="en-US" w:bidi="ar-SA"/>
      </w:rPr>
    </w:lvl>
    <w:lvl w:ilvl="8">
      <w:start w:val="0"/>
      <w:numFmt w:val="bullet"/>
      <w:lvlText w:val="•"/>
      <w:lvlJc w:val="left"/>
      <w:pPr>
        <w:ind w:left="5408" w:hanging="361"/>
      </w:pPr>
      <w:rPr>
        <w:rFonts w:hint="default"/>
        <w:lang w:val="en-US" w:eastAsia="en-US" w:bidi="ar-SA"/>
      </w:rPr>
    </w:lvl>
  </w:abstractNum>
  <w:abstractNum w:abstractNumId="14">
    <w:multiLevelType w:val="hybridMultilevel"/>
    <w:lvl w:ilvl="0">
      <w:start w:val="0"/>
      <w:numFmt w:val="bullet"/>
      <w:lvlText w:val=""/>
      <w:lvlJc w:val="left"/>
      <w:pPr>
        <w:ind w:left="824"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393" w:hanging="361"/>
      </w:pPr>
      <w:rPr>
        <w:rFonts w:hint="default"/>
        <w:lang w:val="en-US" w:eastAsia="en-US" w:bidi="ar-SA"/>
      </w:rPr>
    </w:lvl>
    <w:lvl w:ilvl="2">
      <w:start w:val="0"/>
      <w:numFmt w:val="bullet"/>
      <w:lvlText w:val="•"/>
      <w:lvlJc w:val="left"/>
      <w:pPr>
        <w:ind w:left="1967" w:hanging="361"/>
      </w:pPr>
      <w:rPr>
        <w:rFonts w:hint="default"/>
        <w:lang w:val="en-US" w:eastAsia="en-US" w:bidi="ar-SA"/>
      </w:rPr>
    </w:lvl>
    <w:lvl w:ilvl="3">
      <w:start w:val="0"/>
      <w:numFmt w:val="bullet"/>
      <w:lvlText w:val="•"/>
      <w:lvlJc w:val="left"/>
      <w:pPr>
        <w:ind w:left="2540" w:hanging="361"/>
      </w:pPr>
      <w:rPr>
        <w:rFonts w:hint="default"/>
        <w:lang w:val="en-US" w:eastAsia="en-US" w:bidi="ar-SA"/>
      </w:rPr>
    </w:lvl>
    <w:lvl w:ilvl="4">
      <w:start w:val="0"/>
      <w:numFmt w:val="bullet"/>
      <w:lvlText w:val="•"/>
      <w:lvlJc w:val="left"/>
      <w:pPr>
        <w:ind w:left="3114" w:hanging="361"/>
      </w:pPr>
      <w:rPr>
        <w:rFonts w:hint="default"/>
        <w:lang w:val="en-US" w:eastAsia="en-US" w:bidi="ar-SA"/>
      </w:rPr>
    </w:lvl>
    <w:lvl w:ilvl="5">
      <w:start w:val="0"/>
      <w:numFmt w:val="bullet"/>
      <w:lvlText w:val="•"/>
      <w:lvlJc w:val="left"/>
      <w:pPr>
        <w:ind w:left="3688" w:hanging="361"/>
      </w:pPr>
      <w:rPr>
        <w:rFonts w:hint="default"/>
        <w:lang w:val="en-US" w:eastAsia="en-US" w:bidi="ar-SA"/>
      </w:rPr>
    </w:lvl>
    <w:lvl w:ilvl="6">
      <w:start w:val="0"/>
      <w:numFmt w:val="bullet"/>
      <w:lvlText w:val="•"/>
      <w:lvlJc w:val="left"/>
      <w:pPr>
        <w:ind w:left="4261" w:hanging="361"/>
      </w:pPr>
      <w:rPr>
        <w:rFonts w:hint="default"/>
        <w:lang w:val="en-US" w:eastAsia="en-US" w:bidi="ar-SA"/>
      </w:rPr>
    </w:lvl>
    <w:lvl w:ilvl="7">
      <w:start w:val="0"/>
      <w:numFmt w:val="bullet"/>
      <w:lvlText w:val="•"/>
      <w:lvlJc w:val="left"/>
      <w:pPr>
        <w:ind w:left="4835" w:hanging="361"/>
      </w:pPr>
      <w:rPr>
        <w:rFonts w:hint="default"/>
        <w:lang w:val="en-US" w:eastAsia="en-US" w:bidi="ar-SA"/>
      </w:rPr>
    </w:lvl>
    <w:lvl w:ilvl="8">
      <w:start w:val="0"/>
      <w:numFmt w:val="bullet"/>
      <w:lvlText w:val="•"/>
      <w:lvlJc w:val="left"/>
      <w:pPr>
        <w:ind w:left="5408" w:hanging="361"/>
      </w:pPr>
      <w:rPr>
        <w:rFonts w:hint="default"/>
        <w:lang w:val="en-US" w:eastAsia="en-US" w:bidi="ar-SA"/>
      </w:rPr>
    </w:lvl>
  </w:abstractNum>
  <w:abstractNum w:abstractNumId="13">
    <w:multiLevelType w:val="hybridMultilevel"/>
    <w:lvl w:ilvl="0">
      <w:start w:val="10"/>
      <w:numFmt w:val="decimal"/>
      <w:lvlText w:val="%1"/>
      <w:lvlJc w:val="left"/>
      <w:pPr>
        <w:ind w:left="676" w:hanging="574"/>
        <w:jc w:val="left"/>
      </w:pPr>
      <w:rPr>
        <w:rFonts w:hint="default"/>
        <w:lang w:val="en-US" w:eastAsia="en-US" w:bidi="ar-SA"/>
      </w:rPr>
    </w:lvl>
    <w:lvl w:ilvl="1">
      <w:start w:val="1"/>
      <w:numFmt w:val="decimal"/>
      <w:lvlText w:val="%1.%2"/>
      <w:lvlJc w:val="left"/>
      <w:pPr>
        <w:ind w:left="676" w:hanging="574"/>
        <w:jc w:val="left"/>
      </w:pPr>
      <w:rPr>
        <w:rFonts w:hint="default" w:ascii="Arial" w:hAnsi="Arial" w:eastAsia="Arial" w:cs="Arial"/>
        <w:b/>
        <w:bCs/>
        <w:i w:val="0"/>
        <w:iCs w:val="0"/>
        <w:spacing w:val="-1"/>
        <w:w w:val="100"/>
        <w:sz w:val="22"/>
        <w:szCs w:val="22"/>
        <w:lang w:val="en-US" w:eastAsia="en-US" w:bidi="ar-SA"/>
      </w:rPr>
    </w:lvl>
    <w:lvl w:ilvl="2">
      <w:start w:val="0"/>
      <w:numFmt w:val="bullet"/>
      <w:lvlText w:val="•"/>
      <w:lvlJc w:val="left"/>
      <w:pPr>
        <w:ind w:left="2537" w:hanging="574"/>
      </w:pPr>
      <w:rPr>
        <w:rFonts w:hint="default"/>
        <w:lang w:val="en-US" w:eastAsia="en-US" w:bidi="ar-SA"/>
      </w:rPr>
    </w:lvl>
    <w:lvl w:ilvl="3">
      <w:start w:val="0"/>
      <w:numFmt w:val="bullet"/>
      <w:lvlText w:val="•"/>
      <w:lvlJc w:val="left"/>
      <w:pPr>
        <w:ind w:left="3465" w:hanging="574"/>
      </w:pPr>
      <w:rPr>
        <w:rFonts w:hint="default"/>
        <w:lang w:val="en-US" w:eastAsia="en-US" w:bidi="ar-SA"/>
      </w:rPr>
    </w:lvl>
    <w:lvl w:ilvl="4">
      <w:start w:val="0"/>
      <w:numFmt w:val="bullet"/>
      <w:lvlText w:val="•"/>
      <w:lvlJc w:val="left"/>
      <w:pPr>
        <w:ind w:left="4394" w:hanging="574"/>
      </w:pPr>
      <w:rPr>
        <w:rFonts w:hint="default"/>
        <w:lang w:val="en-US" w:eastAsia="en-US" w:bidi="ar-SA"/>
      </w:rPr>
    </w:lvl>
    <w:lvl w:ilvl="5">
      <w:start w:val="0"/>
      <w:numFmt w:val="bullet"/>
      <w:lvlText w:val="•"/>
      <w:lvlJc w:val="left"/>
      <w:pPr>
        <w:ind w:left="5323" w:hanging="574"/>
      </w:pPr>
      <w:rPr>
        <w:rFonts w:hint="default"/>
        <w:lang w:val="en-US" w:eastAsia="en-US" w:bidi="ar-SA"/>
      </w:rPr>
    </w:lvl>
    <w:lvl w:ilvl="6">
      <w:start w:val="0"/>
      <w:numFmt w:val="bullet"/>
      <w:lvlText w:val="•"/>
      <w:lvlJc w:val="left"/>
      <w:pPr>
        <w:ind w:left="6251" w:hanging="574"/>
      </w:pPr>
      <w:rPr>
        <w:rFonts w:hint="default"/>
        <w:lang w:val="en-US" w:eastAsia="en-US" w:bidi="ar-SA"/>
      </w:rPr>
    </w:lvl>
    <w:lvl w:ilvl="7">
      <w:start w:val="0"/>
      <w:numFmt w:val="bullet"/>
      <w:lvlText w:val="•"/>
      <w:lvlJc w:val="left"/>
      <w:pPr>
        <w:ind w:left="7180" w:hanging="574"/>
      </w:pPr>
      <w:rPr>
        <w:rFonts w:hint="default"/>
        <w:lang w:val="en-US" w:eastAsia="en-US" w:bidi="ar-SA"/>
      </w:rPr>
    </w:lvl>
    <w:lvl w:ilvl="8">
      <w:start w:val="0"/>
      <w:numFmt w:val="bullet"/>
      <w:lvlText w:val="•"/>
      <w:lvlJc w:val="left"/>
      <w:pPr>
        <w:ind w:left="8109" w:hanging="574"/>
      </w:pPr>
      <w:rPr>
        <w:rFonts w:hint="default"/>
        <w:lang w:val="en-US" w:eastAsia="en-US" w:bidi="ar-SA"/>
      </w:rPr>
    </w:lvl>
  </w:abstractNum>
  <w:abstractNum w:abstractNumId="12">
    <w:multiLevelType w:val="hybridMultilevel"/>
    <w:lvl w:ilvl="0">
      <w:start w:val="9"/>
      <w:numFmt w:val="decimal"/>
      <w:lvlText w:val="%1"/>
      <w:lvlJc w:val="left"/>
      <w:pPr>
        <w:ind w:left="515" w:hanging="382"/>
        <w:jc w:val="left"/>
      </w:pPr>
      <w:rPr>
        <w:rFonts w:hint="default"/>
        <w:lang w:val="en-US" w:eastAsia="en-US" w:bidi="ar-SA"/>
      </w:rPr>
    </w:lvl>
    <w:lvl w:ilvl="1">
      <w:start w:val="1"/>
      <w:numFmt w:val="decimal"/>
      <w:lvlText w:val="%1.%2"/>
      <w:lvlJc w:val="left"/>
      <w:pPr>
        <w:ind w:left="515" w:hanging="382"/>
        <w:jc w:val="left"/>
      </w:pPr>
      <w:rPr>
        <w:rFonts w:hint="default" w:ascii="Arial" w:hAnsi="Arial" w:eastAsia="Arial" w:cs="Arial"/>
        <w:b/>
        <w:bCs/>
        <w:i w:val="0"/>
        <w:iCs w:val="0"/>
        <w:spacing w:val="-1"/>
        <w:w w:val="100"/>
        <w:sz w:val="22"/>
        <w:szCs w:val="22"/>
        <w:lang w:val="en-US" w:eastAsia="en-US" w:bidi="ar-SA"/>
      </w:rPr>
    </w:lvl>
    <w:lvl w:ilvl="2">
      <w:start w:val="0"/>
      <w:numFmt w:val="bullet"/>
      <w:lvlText w:val="•"/>
      <w:lvlJc w:val="left"/>
      <w:pPr>
        <w:ind w:left="2409" w:hanging="382"/>
      </w:pPr>
      <w:rPr>
        <w:rFonts w:hint="default"/>
        <w:lang w:val="en-US" w:eastAsia="en-US" w:bidi="ar-SA"/>
      </w:rPr>
    </w:lvl>
    <w:lvl w:ilvl="3">
      <w:start w:val="0"/>
      <w:numFmt w:val="bullet"/>
      <w:lvlText w:val="•"/>
      <w:lvlJc w:val="left"/>
      <w:pPr>
        <w:ind w:left="3353" w:hanging="382"/>
      </w:pPr>
      <w:rPr>
        <w:rFonts w:hint="default"/>
        <w:lang w:val="en-US" w:eastAsia="en-US" w:bidi="ar-SA"/>
      </w:rPr>
    </w:lvl>
    <w:lvl w:ilvl="4">
      <w:start w:val="0"/>
      <w:numFmt w:val="bullet"/>
      <w:lvlText w:val="•"/>
      <w:lvlJc w:val="left"/>
      <w:pPr>
        <w:ind w:left="4298" w:hanging="382"/>
      </w:pPr>
      <w:rPr>
        <w:rFonts w:hint="default"/>
        <w:lang w:val="en-US" w:eastAsia="en-US" w:bidi="ar-SA"/>
      </w:rPr>
    </w:lvl>
    <w:lvl w:ilvl="5">
      <w:start w:val="0"/>
      <w:numFmt w:val="bullet"/>
      <w:lvlText w:val="•"/>
      <w:lvlJc w:val="left"/>
      <w:pPr>
        <w:ind w:left="5243" w:hanging="382"/>
      </w:pPr>
      <w:rPr>
        <w:rFonts w:hint="default"/>
        <w:lang w:val="en-US" w:eastAsia="en-US" w:bidi="ar-SA"/>
      </w:rPr>
    </w:lvl>
    <w:lvl w:ilvl="6">
      <w:start w:val="0"/>
      <w:numFmt w:val="bullet"/>
      <w:lvlText w:val="•"/>
      <w:lvlJc w:val="left"/>
      <w:pPr>
        <w:ind w:left="6187" w:hanging="382"/>
      </w:pPr>
      <w:rPr>
        <w:rFonts w:hint="default"/>
        <w:lang w:val="en-US" w:eastAsia="en-US" w:bidi="ar-SA"/>
      </w:rPr>
    </w:lvl>
    <w:lvl w:ilvl="7">
      <w:start w:val="0"/>
      <w:numFmt w:val="bullet"/>
      <w:lvlText w:val="•"/>
      <w:lvlJc w:val="left"/>
      <w:pPr>
        <w:ind w:left="7132" w:hanging="382"/>
      </w:pPr>
      <w:rPr>
        <w:rFonts w:hint="default"/>
        <w:lang w:val="en-US" w:eastAsia="en-US" w:bidi="ar-SA"/>
      </w:rPr>
    </w:lvl>
    <w:lvl w:ilvl="8">
      <w:start w:val="0"/>
      <w:numFmt w:val="bullet"/>
      <w:lvlText w:val="•"/>
      <w:lvlJc w:val="left"/>
      <w:pPr>
        <w:ind w:left="8077" w:hanging="382"/>
      </w:pPr>
      <w:rPr>
        <w:rFonts w:hint="default"/>
        <w:lang w:val="en-US" w:eastAsia="en-US" w:bidi="ar-SA"/>
      </w:rPr>
    </w:lvl>
  </w:abstractNum>
  <w:abstractNum w:abstractNumId="11">
    <w:multiLevelType w:val="hybridMultilevel"/>
    <w:lvl w:ilvl="0">
      <w:start w:val="8"/>
      <w:numFmt w:val="decimal"/>
      <w:lvlText w:val="%1"/>
      <w:lvlJc w:val="left"/>
      <w:pPr>
        <w:ind w:left="515" w:hanging="396"/>
        <w:jc w:val="left"/>
      </w:pPr>
      <w:rPr>
        <w:rFonts w:hint="default"/>
        <w:lang w:val="en-US" w:eastAsia="en-US" w:bidi="ar-SA"/>
      </w:rPr>
    </w:lvl>
    <w:lvl w:ilvl="1">
      <w:start w:val="1"/>
      <w:numFmt w:val="decimal"/>
      <w:lvlText w:val="%1.%2"/>
      <w:lvlJc w:val="left"/>
      <w:pPr>
        <w:ind w:left="515" w:hanging="396"/>
        <w:jc w:val="left"/>
      </w:pPr>
      <w:rPr>
        <w:rFonts w:hint="default" w:ascii="Arial" w:hAnsi="Arial" w:eastAsia="Arial" w:cs="Arial"/>
        <w:b/>
        <w:bCs/>
        <w:i w:val="0"/>
        <w:iCs w:val="0"/>
        <w:spacing w:val="-1"/>
        <w:w w:val="100"/>
        <w:sz w:val="22"/>
        <w:szCs w:val="22"/>
        <w:lang w:val="en-US" w:eastAsia="en-US" w:bidi="ar-SA"/>
      </w:rPr>
    </w:lvl>
    <w:lvl w:ilvl="2">
      <w:start w:val="0"/>
      <w:numFmt w:val="bullet"/>
      <w:lvlText w:val="•"/>
      <w:lvlJc w:val="left"/>
      <w:pPr>
        <w:ind w:left="2409" w:hanging="396"/>
      </w:pPr>
      <w:rPr>
        <w:rFonts w:hint="default"/>
        <w:lang w:val="en-US" w:eastAsia="en-US" w:bidi="ar-SA"/>
      </w:rPr>
    </w:lvl>
    <w:lvl w:ilvl="3">
      <w:start w:val="0"/>
      <w:numFmt w:val="bullet"/>
      <w:lvlText w:val="•"/>
      <w:lvlJc w:val="left"/>
      <w:pPr>
        <w:ind w:left="3353" w:hanging="396"/>
      </w:pPr>
      <w:rPr>
        <w:rFonts w:hint="default"/>
        <w:lang w:val="en-US" w:eastAsia="en-US" w:bidi="ar-SA"/>
      </w:rPr>
    </w:lvl>
    <w:lvl w:ilvl="4">
      <w:start w:val="0"/>
      <w:numFmt w:val="bullet"/>
      <w:lvlText w:val="•"/>
      <w:lvlJc w:val="left"/>
      <w:pPr>
        <w:ind w:left="4298" w:hanging="396"/>
      </w:pPr>
      <w:rPr>
        <w:rFonts w:hint="default"/>
        <w:lang w:val="en-US" w:eastAsia="en-US" w:bidi="ar-SA"/>
      </w:rPr>
    </w:lvl>
    <w:lvl w:ilvl="5">
      <w:start w:val="0"/>
      <w:numFmt w:val="bullet"/>
      <w:lvlText w:val="•"/>
      <w:lvlJc w:val="left"/>
      <w:pPr>
        <w:ind w:left="5243" w:hanging="396"/>
      </w:pPr>
      <w:rPr>
        <w:rFonts w:hint="default"/>
        <w:lang w:val="en-US" w:eastAsia="en-US" w:bidi="ar-SA"/>
      </w:rPr>
    </w:lvl>
    <w:lvl w:ilvl="6">
      <w:start w:val="0"/>
      <w:numFmt w:val="bullet"/>
      <w:lvlText w:val="•"/>
      <w:lvlJc w:val="left"/>
      <w:pPr>
        <w:ind w:left="6187" w:hanging="396"/>
      </w:pPr>
      <w:rPr>
        <w:rFonts w:hint="default"/>
        <w:lang w:val="en-US" w:eastAsia="en-US" w:bidi="ar-SA"/>
      </w:rPr>
    </w:lvl>
    <w:lvl w:ilvl="7">
      <w:start w:val="0"/>
      <w:numFmt w:val="bullet"/>
      <w:lvlText w:val="•"/>
      <w:lvlJc w:val="left"/>
      <w:pPr>
        <w:ind w:left="7132" w:hanging="396"/>
      </w:pPr>
      <w:rPr>
        <w:rFonts w:hint="default"/>
        <w:lang w:val="en-US" w:eastAsia="en-US" w:bidi="ar-SA"/>
      </w:rPr>
    </w:lvl>
    <w:lvl w:ilvl="8">
      <w:start w:val="0"/>
      <w:numFmt w:val="bullet"/>
      <w:lvlText w:val="•"/>
      <w:lvlJc w:val="left"/>
      <w:pPr>
        <w:ind w:left="8077" w:hanging="396"/>
      </w:pPr>
      <w:rPr>
        <w:rFonts w:hint="default"/>
        <w:lang w:val="en-US" w:eastAsia="en-US" w:bidi="ar-SA"/>
      </w:rPr>
    </w:lvl>
  </w:abstractNum>
  <w:abstractNum w:abstractNumId="10">
    <w:multiLevelType w:val="hybridMultilevel"/>
    <w:lvl w:ilvl="0">
      <w:start w:val="7"/>
      <w:numFmt w:val="decimal"/>
      <w:lvlText w:val="%1"/>
      <w:lvlJc w:val="left"/>
      <w:pPr>
        <w:ind w:left="489" w:hanging="370"/>
        <w:jc w:val="left"/>
      </w:pPr>
      <w:rPr>
        <w:rFonts w:hint="default"/>
        <w:lang w:val="en-US" w:eastAsia="en-US" w:bidi="ar-SA"/>
      </w:rPr>
    </w:lvl>
    <w:lvl w:ilvl="1">
      <w:start w:val="1"/>
      <w:numFmt w:val="decimal"/>
      <w:lvlText w:val="%1.%2"/>
      <w:lvlJc w:val="left"/>
      <w:pPr>
        <w:ind w:left="489" w:hanging="370"/>
        <w:jc w:val="left"/>
      </w:pPr>
      <w:rPr>
        <w:rFonts w:hint="default" w:ascii="Arial" w:hAnsi="Arial" w:eastAsia="Arial" w:cs="Arial"/>
        <w:b/>
        <w:bCs/>
        <w:i w:val="0"/>
        <w:iCs w:val="0"/>
        <w:spacing w:val="-1"/>
        <w:w w:val="100"/>
        <w:sz w:val="22"/>
        <w:szCs w:val="22"/>
        <w:lang w:val="en-US" w:eastAsia="en-US" w:bidi="ar-SA"/>
      </w:rPr>
    </w:lvl>
    <w:lvl w:ilvl="2">
      <w:start w:val="0"/>
      <w:numFmt w:val="bullet"/>
      <w:lvlText w:val=""/>
      <w:lvlJc w:val="left"/>
      <w:pPr>
        <w:ind w:left="1200"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3148" w:hanging="361"/>
      </w:pPr>
      <w:rPr>
        <w:rFonts w:hint="default"/>
        <w:lang w:val="en-US" w:eastAsia="en-US" w:bidi="ar-SA"/>
      </w:rPr>
    </w:lvl>
    <w:lvl w:ilvl="4">
      <w:start w:val="0"/>
      <w:numFmt w:val="bullet"/>
      <w:lvlText w:val="•"/>
      <w:lvlJc w:val="left"/>
      <w:pPr>
        <w:ind w:left="4122" w:hanging="361"/>
      </w:pPr>
      <w:rPr>
        <w:rFonts w:hint="default"/>
        <w:lang w:val="en-US" w:eastAsia="en-US" w:bidi="ar-SA"/>
      </w:rPr>
    </w:lvl>
    <w:lvl w:ilvl="5">
      <w:start w:val="0"/>
      <w:numFmt w:val="bullet"/>
      <w:lvlText w:val="•"/>
      <w:lvlJc w:val="left"/>
      <w:pPr>
        <w:ind w:left="5096" w:hanging="361"/>
      </w:pPr>
      <w:rPr>
        <w:rFonts w:hint="default"/>
        <w:lang w:val="en-US" w:eastAsia="en-US" w:bidi="ar-SA"/>
      </w:rPr>
    </w:lvl>
    <w:lvl w:ilvl="6">
      <w:start w:val="0"/>
      <w:numFmt w:val="bullet"/>
      <w:lvlText w:val="•"/>
      <w:lvlJc w:val="left"/>
      <w:pPr>
        <w:ind w:left="6070" w:hanging="361"/>
      </w:pPr>
      <w:rPr>
        <w:rFonts w:hint="default"/>
        <w:lang w:val="en-US" w:eastAsia="en-US" w:bidi="ar-SA"/>
      </w:rPr>
    </w:lvl>
    <w:lvl w:ilvl="7">
      <w:start w:val="0"/>
      <w:numFmt w:val="bullet"/>
      <w:lvlText w:val="•"/>
      <w:lvlJc w:val="left"/>
      <w:pPr>
        <w:ind w:left="7044" w:hanging="361"/>
      </w:pPr>
      <w:rPr>
        <w:rFonts w:hint="default"/>
        <w:lang w:val="en-US" w:eastAsia="en-US" w:bidi="ar-SA"/>
      </w:rPr>
    </w:lvl>
    <w:lvl w:ilvl="8">
      <w:start w:val="0"/>
      <w:numFmt w:val="bullet"/>
      <w:lvlText w:val="•"/>
      <w:lvlJc w:val="left"/>
      <w:pPr>
        <w:ind w:left="8018" w:hanging="361"/>
      </w:pPr>
      <w:rPr>
        <w:rFonts w:hint="default"/>
        <w:lang w:val="en-US" w:eastAsia="en-US" w:bidi="ar-SA"/>
      </w:rPr>
    </w:lvl>
  </w:abstractNum>
  <w:abstractNum w:abstractNumId="9">
    <w:multiLevelType w:val="hybridMultilevel"/>
    <w:lvl w:ilvl="0">
      <w:start w:val="6"/>
      <w:numFmt w:val="decimal"/>
      <w:lvlText w:val="%1"/>
      <w:lvlJc w:val="left"/>
      <w:pPr>
        <w:ind w:left="515" w:hanging="382"/>
        <w:jc w:val="left"/>
      </w:pPr>
      <w:rPr>
        <w:rFonts w:hint="default"/>
        <w:lang w:val="en-US" w:eastAsia="en-US" w:bidi="ar-SA"/>
      </w:rPr>
    </w:lvl>
    <w:lvl w:ilvl="1">
      <w:start w:val="1"/>
      <w:numFmt w:val="decimal"/>
      <w:lvlText w:val="%1.%2"/>
      <w:lvlJc w:val="left"/>
      <w:pPr>
        <w:ind w:left="515" w:hanging="382"/>
        <w:jc w:val="left"/>
      </w:pPr>
      <w:rPr>
        <w:rFonts w:hint="default" w:ascii="Arial" w:hAnsi="Arial" w:eastAsia="Arial" w:cs="Arial"/>
        <w:b/>
        <w:bCs/>
        <w:i w:val="0"/>
        <w:iCs w:val="0"/>
        <w:spacing w:val="-1"/>
        <w:w w:val="100"/>
        <w:sz w:val="22"/>
        <w:szCs w:val="22"/>
        <w:lang w:val="en-US" w:eastAsia="en-US" w:bidi="ar-SA"/>
      </w:rPr>
    </w:lvl>
    <w:lvl w:ilvl="2">
      <w:start w:val="0"/>
      <w:numFmt w:val="bullet"/>
      <w:lvlText w:val="•"/>
      <w:lvlJc w:val="left"/>
      <w:pPr>
        <w:ind w:left="2409" w:hanging="382"/>
      </w:pPr>
      <w:rPr>
        <w:rFonts w:hint="default"/>
        <w:lang w:val="en-US" w:eastAsia="en-US" w:bidi="ar-SA"/>
      </w:rPr>
    </w:lvl>
    <w:lvl w:ilvl="3">
      <w:start w:val="0"/>
      <w:numFmt w:val="bullet"/>
      <w:lvlText w:val="•"/>
      <w:lvlJc w:val="left"/>
      <w:pPr>
        <w:ind w:left="3353" w:hanging="382"/>
      </w:pPr>
      <w:rPr>
        <w:rFonts w:hint="default"/>
        <w:lang w:val="en-US" w:eastAsia="en-US" w:bidi="ar-SA"/>
      </w:rPr>
    </w:lvl>
    <w:lvl w:ilvl="4">
      <w:start w:val="0"/>
      <w:numFmt w:val="bullet"/>
      <w:lvlText w:val="•"/>
      <w:lvlJc w:val="left"/>
      <w:pPr>
        <w:ind w:left="4298" w:hanging="382"/>
      </w:pPr>
      <w:rPr>
        <w:rFonts w:hint="default"/>
        <w:lang w:val="en-US" w:eastAsia="en-US" w:bidi="ar-SA"/>
      </w:rPr>
    </w:lvl>
    <w:lvl w:ilvl="5">
      <w:start w:val="0"/>
      <w:numFmt w:val="bullet"/>
      <w:lvlText w:val="•"/>
      <w:lvlJc w:val="left"/>
      <w:pPr>
        <w:ind w:left="5243" w:hanging="382"/>
      </w:pPr>
      <w:rPr>
        <w:rFonts w:hint="default"/>
        <w:lang w:val="en-US" w:eastAsia="en-US" w:bidi="ar-SA"/>
      </w:rPr>
    </w:lvl>
    <w:lvl w:ilvl="6">
      <w:start w:val="0"/>
      <w:numFmt w:val="bullet"/>
      <w:lvlText w:val="•"/>
      <w:lvlJc w:val="left"/>
      <w:pPr>
        <w:ind w:left="6187" w:hanging="382"/>
      </w:pPr>
      <w:rPr>
        <w:rFonts w:hint="default"/>
        <w:lang w:val="en-US" w:eastAsia="en-US" w:bidi="ar-SA"/>
      </w:rPr>
    </w:lvl>
    <w:lvl w:ilvl="7">
      <w:start w:val="0"/>
      <w:numFmt w:val="bullet"/>
      <w:lvlText w:val="•"/>
      <w:lvlJc w:val="left"/>
      <w:pPr>
        <w:ind w:left="7132" w:hanging="382"/>
      </w:pPr>
      <w:rPr>
        <w:rFonts w:hint="default"/>
        <w:lang w:val="en-US" w:eastAsia="en-US" w:bidi="ar-SA"/>
      </w:rPr>
    </w:lvl>
    <w:lvl w:ilvl="8">
      <w:start w:val="0"/>
      <w:numFmt w:val="bullet"/>
      <w:lvlText w:val="•"/>
      <w:lvlJc w:val="left"/>
      <w:pPr>
        <w:ind w:left="8077" w:hanging="382"/>
      </w:pPr>
      <w:rPr>
        <w:rFonts w:hint="default"/>
        <w:lang w:val="en-US" w:eastAsia="en-US" w:bidi="ar-SA"/>
      </w:rPr>
    </w:lvl>
  </w:abstractNum>
  <w:abstractNum w:abstractNumId="8">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994" w:hanging="361"/>
      </w:pPr>
      <w:rPr>
        <w:rFonts w:hint="default"/>
        <w:lang w:val="en-US" w:eastAsia="en-US" w:bidi="ar-SA"/>
      </w:rPr>
    </w:lvl>
    <w:lvl w:ilvl="2">
      <w:start w:val="0"/>
      <w:numFmt w:val="bullet"/>
      <w:lvlText w:val="•"/>
      <w:lvlJc w:val="left"/>
      <w:pPr>
        <w:ind w:left="1168" w:hanging="361"/>
      </w:pPr>
      <w:rPr>
        <w:rFonts w:hint="default"/>
        <w:lang w:val="en-US" w:eastAsia="en-US" w:bidi="ar-SA"/>
      </w:rPr>
    </w:lvl>
    <w:lvl w:ilvl="3">
      <w:start w:val="0"/>
      <w:numFmt w:val="bullet"/>
      <w:lvlText w:val="•"/>
      <w:lvlJc w:val="left"/>
      <w:pPr>
        <w:ind w:left="1342" w:hanging="361"/>
      </w:pPr>
      <w:rPr>
        <w:rFonts w:hint="default"/>
        <w:lang w:val="en-US" w:eastAsia="en-US" w:bidi="ar-SA"/>
      </w:rPr>
    </w:lvl>
    <w:lvl w:ilvl="4">
      <w:start w:val="0"/>
      <w:numFmt w:val="bullet"/>
      <w:lvlText w:val="•"/>
      <w:lvlJc w:val="left"/>
      <w:pPr>
        <w:ind w:left="1517" w:hanging="361"/>
      </w:pPr>
      <w:rPr>
        <w:rFonts w:hint="default"/>
        <w:lang w:val="en-US" w:eastAsia="en-US" w:bidi="ar-SA"/>
      </w:rPr>
    </w:lvl>
    <w:lvl w:ilvl="5">
      <w:start w:val="0"/>
      <w:numFmt w:val="bullet"/>
      <w:lvlText w:val="•"/>
      <w:lvlJc w:val="left"/>
      <w:pPr>
        <w:ind w:left="1691" w:hanging="361"/>
      </w:pPr>
      <w:rPr>
        <w:rFonts w:hint="default"/>
        <w:lang w:val="en-US" w:eastAsia="en-US" w:bidi="ar-SA"/>
      </w:rPr>
    </w:lvl>
    <w:lvl w:ilvl="6">
      <w:start w:val="0"/>
      <w:numFmt w:val="bullet"/>
      <w:lvlText w:val="•"/>
      <w:lvlJc w:val="left"/>
      <w:pPr>
        <w:ind w:left="1865" w:hanging="361"/>
      </w:pPr>
      <w:rPr>
        <w:rFonts w:hint="default"/>
        <w:lang w:val="en-US" w:eastAsia="en-US" w:bidi="ar-SA"/>
      </w:rPr>
    </w:lvl>
    <w:lvl w:ilvl="7">
      <w:start w:val="0"/>
      <w:numFmt w:val="bullet"/>
      <w:lvlText w:val="•"/>
      <w:lvlJc w:val="left"/>
      <w:pPr>
        <w:ind w:left="2039" w:hanging="361"/>
      </w:pPr>
      <w:rPr>
        <w:rFonts w:hint="default"/>
        <w:lang w:val="en-US" w:eastAsia="en-US" w:bidi="ar-SA"/>
      </w:rPr>
    </w:lvl>
    <w:lvl w:ilvl="8">
      <w:start w:val="0"/>
      <w:numFmt w:val="bullet"/>
      <w:lvlText w:val="•"/>
      <w:lvlJc w:val="left"/>
      <w:pPr>
        <w:ind w:left="2214" w:hanging="361"/>
      </w:pPr>
      <w:rPr>
        <w:rFonts w:hint="default"/>
        <w:lang w:val="en-US" w:eastAsia="en-US" w:bidi="ar-SA"/>
      </w:rPr>
    </w:lvl>
  </w:abstractNum>
  <w:abstractNum w:abstractNumId="7">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994" w:hanging="361"/>
      </w:pPr>
      <w:rPr>
        <w:rFonts w:hint="default"/>
        <w:lang w:val="en-US" w:eastAsia="en-US" w:bidi="ar-SA"/>
      </w:rPr>
    </w:lvl>
    <w:lvl w:ilvl="2">
      <w:start w:val="0"/>
      <w:numFmt w:val="bullet"/>
      <w:lvlText w:val="•"/>
      <w:lvlJc w:val="left"/>
      <w:pPr>
        <w:ind w:left="1168" w:hanging="361"/>
      </w:pPr>
      <w:rPr>
        <w:rFonts w:hint="default"/>
        <w:lang w:val="en-US" w:eastAsia="en-US" w:bidi="ar-SA"/>
      </w:rPr>
    </w:lvl>
    <w:lvl w:ilvl="3">
      <w:start w:val="0"/>
      <w:numFmt w:val="bullet"/>
      <w:lvlText w:val="•"/>
      <w:lvlJc w:val="left"/>
      <w:pPr>
        <w:ind w:left="1342" w:hanging="361"/>
      </w:pPr>
      <w:rPr>
        <w:rFonts w:hint="default"/>
        <w:lang w:val="en-US" w:eastAsia="en-US" w:bidi="ar-SA"/>
      </w:rPr>
    </w:lvl>
    <w:lvl w:ilvl="4">
      <w:start w:val="0"/>
      <w:numFmt w:val="bullet"/>
      <w:lvlText w:val="•"/>
      <w:lvlJc w:val="left"/>
      <w:pPr>
        <w:ind w:left="1517" w:hanging="361"/>
      </w:pPr>
      <w:rPr>
        <w:rFonts w:hint="default"/>
        <w:lang w:val="en-US" w:eastAsia="en-US" w:bidi="ar-SA"/>
      </w:rPr>
    </w:lvl>
    <w:lvl w:ilvl="5">
      <w:start w:val="0"/>
      <w:numFmt w:val="bullet"/>
      <w:lvlText w:val="•"/>
      <w:lvlJc w:val="left"/>
      <w:pPr>
        <w:ind w:left="1691" w:hanging="361"/>
      </w:pPr>
      <w:rPr>
        <w:rFonts w:hint="default"/>
        <w:lang w:val="en-US" w:eastAsia="en-US" w:bidi="ar-SA"/>
      </w:rPr>
    </w:lvl>
    <w:lvl w:ilvl="6">
      <w:start w:val="0"/>
      <w:numFmt w:val="bullet"/>
      <w:lvlText w:val="•"/>
      <w:lvlJc w:val="left"/>
      <w:pPr>
        <w:ind w:left="1865" w:hanging="361"/>
      </w:pPr>
      <w:rPr>
        <w:rFonts w:hint="default"/>
        <w:lang w:val="en-US" w:eastAsia="en-US" w:bidi="ar-SA"/>
      </w:rPr>
    </w:lvl>
    <w:lvl w:ilvl="7">
      <w:start w:val="0"/>
      <w:numFmt w:val="bullet"/>
      <w:lvlText w:val="•"/>
      <w:lvlJc w:val="left"/>
      <w:pPr>
        <w:ind w:left="2039" w:hanging="361"/>
      </w:pPr>
      <w:rPr>
        <w:rFonts w:hint="default"/>
        <w:lang w:val="en-US" w:eastAsia="en-US" w:bidi="ar-SA"/>
      </w:rPr>
    </w:lvl>
    <w:lvl w:ilvl="8">
      <w:start w:val="0"/>
      <w:numFmt w:val="bullet"/>
      <w:lvlText w:val="•"/>
      <w:lvlJc w:val="left"/>
      <w:pPr>
        <w:ind w:left="2214" w:hanging="361"/>
      </w:pPr>
      <w:rPr>
        <w:rFonts w:hint="default"/>
        <w:lang w:val="en-US" w:eastAsia="en-US" w:bidi="ar-SA"/>
      </w:rPr>
    </w:lvl>
  </w:abstractNum>
  <w:abstractNum w:abstractNumId="6">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994" w:hanging="361"/>
      </w:pPr>
      <w:rPr>
        <w:rFonts w:hint="default"/>
        <w:lang w:val="en-US" w:eastAsia="en-US" w:bidi="ar-SA"/>
      </w:rPr>
    </w:lvl>
    <w:lvl w:ilvl="2">
      <w:start w:val="0"/>
      <w:numFmt w:val="bullet"/>
      <w:lvlText w:val="•"/>
      <w:lvlJc w:val="left"/>
      <w:pPr>
        <w:ind w:left="1168" w:hanging="361"/>
      </w:pPr>
      <w:rPr>
        <w:rFonts w:hint="default"/>
        <w:lang w:val="en-US" w:eastAsia="en-US" w:bidi="ar-SA"/>
      </w:rPr>
    </w:lvl>
    <w:lvl w:ilvl="3">
      <w:start w:val="0"/>
      <w:numFmt w:val="bullet"/>
      <w:lvlText w:val="•"/>
      <w:lvlJc w:val="left"/>
      <w:pPr>
        <w:ind w:left="1342" w:hanging="361"/>
      </w:pPr>
      <w:rPr>
        <w:rFonts w:hint="default"/>
        <w:lang w:val="en-US" w:eastAsia="en-US" w:bidi="ar-SA"/>
      </w:rPr>
    </w:lvl>
    <w:lvl w:ilvl="4">
      <w:start w:val="0"/>
      <w:numFmt w:val="bullet"/>
      <w:lvlText w:val="•"/>
      <w:lvlJc w:val="left"/>
      <w:pPr>
        <w:ind w:left="1517" w:hanging="361"/>
      </w:pPr>
      <w:rPr>
        <w:rFonts w:hint="default"/>
        <w:lang w:val="en-US" w:eastAsia="en-US" w:bidi="ar-SA"/>
      </w:rPr>
    </w:lvl>
    <w:lvl w:ilvl="5">
      <w:start w:val="0"/>
      <w:numFmt w:val="bullet"/>
      <w:lvlText w:val="•"/>
      <w:lvlJc w:val="left"/>
      <w:pPr>
        <w:ind w:left="1691" w:hanging="361"/>
      </w:pPr>
      <w:rPr>
        <w:rFonts w:hint="default"/>
        <w:lang w:val="en-US" w:eastAsia="en-US" w:bidi="ar-SA"/>
      </w:rPr>
    </w:lvl>
    <w:lvl w:ilvl="6">
      <w:start w:val="0"/>
      <w:numFmt w:val="bullet"/>
      <w:lvlText w:val="•"/>
      <w:lvlJc w:val="left"/>
      <w:pPr>
        <w:ind w:left="1865" w:hanging="361"/>
      </w:pPr>
      <w:rPr>
        <w:rFonts w:hint="default"/>
        <w:lang w:val="en-US" w:eastAsia="en-US" w:bidi="ar-SA"/>
      </w:rPr>
    </w:lvl>
    <w:lvl w:ilvl="7">
      <w:start w:val="0"/>
      <w:numFmt w:val="bullet"/>
      <w:lvlText w:val="•"/>
      <w:lvlJc w:val="left"/>
      <w:pPr>
        <w:ind w:left="2039" w:hanging="361"/>
      </w:pPr>
      <w:rPr>
        <w:rFonts w:hint="default"/>
        <w:lang w:val="en-US" w:eastAsia="en-US" w:bidi="ar-SA"/>
      </w:rPr>
    </w:lvl>
    <w:lvl w:ilvl="8">
      <w:start w:val="0"/>
      <w:numFmt w:val="bullet"/>
      <w:lvlText w:val="•"/>
      <w:lvlJc w:val="left"/>
      <w:pPr>
        <w:ind w:left="2214" w:hanging="361"/>
      </w:pPr>
      <w:rPr>
        <w:rFonts w:hint="default"/>
        <w:lang w:val="en-US" w:eastAsia="en-US" w:bidi="ar-SA"/>
      </w:rPr>
    </w:lvl>
  </w:abstractNum>
  <w:abstractNum w:abstractNumId="5">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994" w:hanging="361"/>
      </w:pPr>
      <w:rPr>
        <w:rFonts w:hint="default"/>
        <w:lang w:val="en-US" w:eastAsia="en-US" w:bidi="ar-SA"/>
      </w:rPr>
    </w:lvl>
    <w:lvl w:ilvl="2">
      <w:start w:val="0"/>
      <w:numFmt w:val="bullet"/>
      <w:lvlText w:val="•"/>
      <w:lvlJc w:val="left"/>
      <w:pPr>
        <w:ind w:left="1168" w:hanging="361"/>
      </w:pPr>
      <w:rPr>
        <w:rFonts w:hint="default"/>
        <w:lang w:val="en-US" w:eastAsia="en-US" w:bidi="ar-SA"/>
      </w:rPr>
    </w:lvl>
    <w:lvl w:ilvl="3">
      <w:start w:val="0"/>
      <w:numFmt w:val="bullet"/>
      <w:lvlText w:val="•"/>
      <w:lvlJc w:val="left"/>
      <w:pPr>
        <w:ind w:left="1342" w:hanging="361"/>
      </w:pPr>
      <w:rPr>
        <w:rFonts w:hint="default"/>
        <w:lang w:val="en-US" w:eastAsia="en-US" w:bidi="ar-SA"/>
      </w:rPr>
    </w:lvl>
    <w:lvl w:ilvl="4">
      <w:start w:val="0"/>
      <w:numFmt w:val="bullet"/>
      <w:lvlText w:val="•"/>
      <w:lvlJc w:val="left"/>
      <w:pPr>
        <w:ind w:left="1517" w:hanging="361"/>
      </w:pPr>
      <w:rPr>
        <w:rFonts w:hint="default"/>
        <w:lang w:val="en-US" w:eastAsia="en-US" w:bidi="ar-SA"/>
      </w:rPr>
    </w:lvl>
    <w:lvl w:ilvl="5">
      <w:start w:val="0"/>
      <w:numFmt w:val="bullet"/>
      <w:lvlText w:val="•"/>
      <w:lvlJc w:val="left"/>
      <w:pPr>
        <w:ind w:left="1691" w:hanging="361"/>
      </w:pPr>
      <w:rPr>
        <w:rFonts w:hint="default"/>
        <w:lang w:val="en-US" w:eastAsia="en-US" w:bidi="ar-SA"/>
      </w:rPr>
    </w:lvl>
    <w:lvl w:ilvl="6">
      <w:start w:val="0"/>
      <w:numFmt w:val="bullet"/>
      <w:lvlText w:val="•"/>
      <w:lvlJc w:val="left"/>
      <w:pPr>
        <w:ind w:left="1865" w:hanging="361"/>
      </w:pPr>
      <w:rPr>
        <w:rFonts w:hint="default"/>
        <w:lang w:val="en-US" w:eastAsia="en-US" w:bidi="ar-SA"/>
      </w:rPr>
    </w:lvl>
    <w:lvl w:ilvl="7">
      <w:start w:val="0"/>
      <w:numFmt w:val="bullet"/>
      <w:lvlText w:val="•"/>
      <w:lvlJc w:val="left"/>
      <w:pPr>
        <w:ind w:left="2039" w:hanging="361"/>
      </w:pPr>
      <w:rPr>
        <w:rFonts w:hint="default"/>
        <w:lang w:val="en-US" w:eastAsia="en-US" w:bidi="ar-SA"/>
      </w:rPr>
    </w:lvl>
    <w:lvl w:ilvl="8">
      <w:start w:val="0"/>
      <w:numFmt w:val="bullet"/>
      <w:lvlText w:val="•"/>
      <w:lvlJc w:val="left"/>
      <w:pPr>
        <w:ind w:left="2214" w:hanging="361"/>
      </w:pPr>
      <w:rPr>
        <w:rFonts w:hint="default"/>
        <w:lang w:val="en-US" w:eastAsia="en-US" w:bidi="ar-SA"/>
      </w:rPr>
    </w:lvl>
  </w:abstractNum>
  <w:abstractNum w:abstractNumId="4">
    <w:multiLevelType w:val="hybridMultilevel"/>
    <w:lvl w:ilvl="0">
      <w:start w:val="4"/>
      <w:numFmt w:val="decimal"/>
      <w:lvlText w:val="%1"/>
      <w:lvlJc w:val="left"/>
      <w:pPr>
        <w:ind w:left="487" w:hanging="368"/>
        <w:jc w:val="left"/>
      </w:pPr>
      <w:rPr>
        <w:rFonts w:hint="default"/>
        <w:lang w:val="en-US" w:eastAsia="en-US" w:bidi="ar-SA"/>
      </w:rPr>
    </w:lvl>
    <w:lvl w:ilvl="1">
      <w:start w:val="1"/>
      <w:numFmt w:val="decimal"/>
      <w:lvlText w:val="%1.%2"/>
      <w:lvlJc w:val="left"/>
      <w:pPr>
        <w:ind w:left="487" w:hanging="368"/>
        <w:jc w:val="left"/>
      </w:pPr>
      <w:rPr>
        <w:rFonts w:hint="default" w:ascii="Arial" w:hAnsi="Arial" w:eastAsia="Arial" w:cs="Arial"/>
        <w:b/>
        <w:bCs/>
        <w:i w:val="0"/>
        <w:iCs w:val="0"/>
        <w:spacing w:val="-1"/>
        <w:w w:val="100"/>
        <w:sz w:val="22"/>
        <w:szCs w:val="22"/>
        <w:lang w:val="en-US" w:eastAsia="en-US" w:bidi="ar-SA"/>
      </w:rPr>
    </w:lvl>
    <w:lvl w:ilvl="2">
      <w:start w:val="1"/>
      <w:numFmt w:val="decimal"/>
      <w:lvlText w:val="%1.%2.%3"/>
      <w:lvlJc w:val="left"/>
      <w:pPr>
        <w:ind w:left="1396" w:hanging="600"/>
        <w:jc w:val="left"/>
      </w:pPr>
      <w:rPr>
        <w:rFonts w:hint="default" w:ascii="Arial" w:hAnsi="Arial" w:eastAsia="Arial" w:cs="Arial"/>
        <w:b/>
        <w:bCs/>
        <w:i w:val="0"/>
        <w:iCs w:val="0"/>
        <w:spacing w:val="-1"/>
        <w:w w:val="100"/>
        <w:sz w:val="22"/>
        <w:szCs w:val="22"/>
        <w:lang w:val="en-US" w:eastAsia="en-US" w:bidi="ar-SA"/>
      </w:rPr>
    </w:lvl>
    <w:lvl w:ilvl="3">
      <w:start w:val="0"/>
      <w:numFmt w:val="bullet"/>
      <w:lvlText w:val=""/>
      <w:lvlJc w:val="left"/>
      <w:pPr>
        <w:ind w:left="1757" w:hanging="361"/>
      </w:pPr>
      <w:rPr>
        <w:rFonts w:hint="default" w:ascii="Symbol" w:hAnsi="Symbol" w:eastAsia="Symbol" w:cs="Symbol"/>
        <w:b w:val="0"/>
        <w:bCs w:val="0"/>
        <w:i w:val="0"/>
        <w:iCs w:val="0"/>
        <w:spacing w:val="0"/>
        <w:w w:val="100"/>
        <w:sz w:val="22"/>
        <w:szCs w:val="22"/>
        <w:lang w:val="en-US" w:eastAsia="en-US" w:bidi="ar-SA"/>
      </w:rPr>
    </w:lvl>
    <w:lvl w:ilvl="4">
      <w:start w:val="0"/>
      <w:numFmt w:val="bullet"/>
      <w:lvlText w:val="•"/>
      <w:lvlJc w:val="left"/>
      <w:pPr>
        <w:ind w:left="3811" w:hanging="361"/>
      </w:pPr>
      <w:rPr>
        <w:rFonts w:hint="default"/>
        <w:lang w:val="en-US" w:eastAsia="en-US" w:bidi="ar-SA"/>
      </w:rPr>
    </w:lvl>
    <w:lvl w:ilvl="5">
      <w:start w:val="0"/>
      <w:numFmt w:val="bullet"/>
      <w:lvlText w:val="•"/>
      <w:lvlJc w:val="left"/>
      <w:pPr>
        <w:ind w:left="4837" w:hanging="361"/>
      </w:pPr>
      <w:rPr>
        <w:rFonts w:hint="default"/>
        <w:lang w:val="en-US" w:eastAsia="en-US" w:bidi="ar-SA"/>
      </w:rPr>
    </w:lvl>
    <w:lvl w:ilvl="6">
      <w:start w:val="0"/>
      <w:numFmt w:val="bullet"/>
      <w:lvlText w:val="•"/>
      <w:lvlJc w:val="left"/>
      <w:pPr>
        <w:ind w:left="5863" w:hanging="361"/>
      </w:pPr>
      <w:rPr>
        <w:rFonts w:hint="default"/>
        <w:lang w:val="en-US" w:eastAsia="en-US" w:bidi="ar-SA"/>
      </w:rPr>
    </w:lvl>
    <w:lvl w:ilvl="7">
      <w:start w:val="0"/>
      <w:numFmt w:val="bullet"/>
      <w:lvlText w:val="•"/>
      <w:lvlJc w:val="left"/>
      <w:pPr>
        <w:ind w:left="6889" w:hanging="361"/>
      </w:pPr>
      <w:rPr>
        <w:rFonts w:hint="default"/>
        <w:lang w:val="en-US" w:eastAsia="en-US" w:bidi="ar-SA"/>
      </w:rPr>
    </w:lvl>
    <w:lvl w:ilvl="8">
      <w:start w:val="0"/>
      <w:numFmt w:val="bullet"/>
      <w:lvlText w:val="•"/>
      <w:lvlJc w:val="left"/>
      <w:pPr>
        <w:ind w:left="7914" w:hanging="361"/>
      </w:pPr>
      <w:rPr>
        <w:rFonts w:hint="default"/>
        <w:lang w:val="en-US" w:eastAsia="en-US" w:bidi="ar-SA"/>
      </w:rPr>
    </w:lvl>
  </w:abstractNum>
  <w:abstractNum w:abstractNumId="3">
    <w:multiLevelType w:val="hybridMultilevel"/>
    <w:lvl w:ilvl="0">
      <w:start w:val="3"/>
      <w:numFmt w:val="decimal"/>
      <w:lvlText w:val="%1"/>
      <w:lvlJc w:val="left"/>
      <w:pPr>
        <w:ind w:left="1396" w:hanging="569"/>
        <w:jc w:val="left"/>
      </w:pPr>
      <w:rPr>
        <w:rFonts w:hint="default"/>
        <w:lang w:val="en-US" w:eastAsia="en-US" w:bidi="ar-SA"/>
      </w:rPr>
    </w:lvl>
    <w:lvl w:ilvl="1">
      <w:start w:val="1"/>
      <w:numFmt w:val="decimal"/>
      <w:lvlText w:val="%1.%2"/>
      <w:lvlJc w:val="left"/>
      <w:pPr>
        <w:ind w:left="1396" w:hanging="569"/>
        <w:jc w:val="left"/>
      </w:pPr>
      <w:rPr>
        <w:rFonts w:hint="default"/>
        <w:lang w:val="en-US" w:eastAsia="en-US" w:bidi="ar-SA"/>
      </w:rPr>
    </w:lvl>
    <w:lvl w:ilvl="2">
      <w:start w:val="4"/>
      <w:numFmt w:val="decimal"/>
      <w:lvlText w:val="%1.%2.%3"/>
      <w:lvlJc w:val="left"/>
      <w:pPr>
        <w:ind w:left="1396" w:hanging="569"/>
        <w:jc w:val="left"/>
      </w:pPr>
      <w:rPr>
        <w:rFonts w:hint="default" w:ascii="Arial" w:hAnsi="Arial" w:eastAsia="Arial" w:cs="Arial"/>
        <w:b/>
        <w:bCs/>
        <w:i w:val="0"/>
        <w:iCs w:val="0"/>
        <w:spacing w:val="-1"/>
        <w:w w:val="100"/>
        <w:sz w:val="22"/>
        <w:szCs w:val="22"/>
        <w:lang w:val="en-US" w:eastAsia="en-US" w:bidi="ar-SA"/>
      </w:rPr>
    </w:lvl>
    <w:lvl w:ilvl="3">
      <w:start w:val="0"/>
      <w:numFmt w:val="bullet"/>
      <w:lvlText w:val="•"/>
      <w:lvlJc w:val="left"/>
      <w:pPr>
        <w:ind w:left="3969" w:hanging="569"/>
      </w:pPr>
      <w:rPr>
        <w:rFonts w:hint="default"/>
        <w:lang w:val="en-US" w:eastAsia="en-US" w:bidi="ar-SA"/>
      </w:rPr>
    </w:lvl>
    <w:lvl w:ilvl="4">
      <w:start w:val="0"/>
      <w:numFmt w:val="bullet"/>
      <w:lvlText w:val="•"/>
      <w:lvlJc w:val="left"/>
      <w:pPr>
        <w:ind w:left="4826" w:hanging="569"/>
      </w:pPr>
      <w:rPr>
        <w:rFonts w:hint="default"/>
        <w:lang w:val="en-US" w:eastAsia="en-US" w:bidi="ar-SA"/>
      </w:rPr>
    </w:lvl>
    <w:lvl w:ilvl="5">
      <w:start w:val="0"/>
      <w:numFmt w:val="bullet"/>
      <w:lvlText w:val="•"/>
      <w:lvlJc w:val="left"/>
      <w:pPr>
        <w:ind w:left="5683" w:hanging="569"/>
      </w:pPr>
      <w:rPr>
        <w:rFonts w:hint="default"/>
        <w:lang w:val="en-US" w:eastAsia="en-US" w:bidi="ar-SA"/>
      </w:rPr>
    </w:lvl>
    <w:lvl w:ilvl="6">
      <w:start w:val="0"/>
      <w:numFmt w:val="bullet"/>
      <w:lvlText w:val="•"/>
      <w:lvlJc w:val="left"/>
      <w:pPr>
        <w:ind w:left="6539" w:hanging="569"/>
      </w:pPr>
      <w:rPr>
        <w:rFonts w:hint="default"/>
        <w:lang w:val="en-US" w:eastAsia="en-US" w:bidi="ar-SA"/>
      </w:rPr>
    </w:lvl>
    <w:lvl w:ilvl="7">
      <w:start w:val="0"/>
      <w:numFmt w:val="bullet"/>
      <w:lvlText w:val="•"/>
      <w:lvlJc w:val="left"/>
      <w:pPr>
        <w:ind w:left="7396" w:hanging="569"/>
      </w:pPr>
      <w:rPr>
        <w:rFonts w:hint="default"/>
        <w:lang w:val="en-US" w:eastAsia="en-US" w:bidi="ar-SA"/>
      </w:rPr>
    </w:lvl>
    <w:lvl w:ilvl="8">
      <w:start w:val="0"/>
      <w:numFmt w:val="bullet"/>
      <w:lvlText w:val="•"/>
      <w:lvlJc w:val="left"/>
      <w:pPr>
        <w:ind w:left="8253" w:hanging="569"/>
      </w:pPr>
      <w:rPr>
        <w:rFonts w:hint="default"/>
        <w:lang w:val="en-US" w:eastAsia="en-US" w:bidi="ar-SA"/>
      </w:rPr>
    </w:lvl>
  </w:abstractNum>
  <w:abstractNum w:abstractNumId="2">
    <w:multiLevelType w:val="hybridMultilevel"/>
    <w:lvl w:ilvl="0">
      <w:start w:val="3"/>
      <w:numFmt w:val="decimal"/>
      <w:lvlText w:val="%1"/>
      <w:lvlJc w:val="left"/>
      <w:pPr>
        <w:ind w:left="487" w:hanging="368"/>
        <w:jc w:val="left"/>
      </w:pPr>
      <w:rPr>
        <w:rFonts w:hint="default"/>
        <w:lang w:val="en-US" w:eastAsia="en-US" w:bidi="ar-SA"/>
      </w:rPr>
    </w:lvl>
    <w:lvl w:ilvl="1">
      <w:start w:val="1"/>
      <w:numFmt w:val="decimal"/>
      <w:lvlText w:val="%1.%2"/>
      <w:lvlJc w:val="left"/>
      <w:pPr>
        <w:ind w:left="487" w:hanging="368"/>
        <w:jc w:val="left"/>
      </w:pPr>
      <w:rPr>
        <w:rFonts w:hint="default" w:ascii="Arial" w:hAnsi="Arial" w:eastAsia="Arial" w:cs="Arial"/>
        <w:b/>
        <w:bCs/>
        <w:i w:val="0"/>
        <w:iCs w:val="0"/>
        <w:spacing w:val="-1"/>
        <w:w w:val="100"/>
        <w:sz w:val="22"/>
        <w:szCs w:val="22"/>
        <w:lang w:val="en-US" w:eastAsia="en-US" w:bidi="ar-SA"/>
      </w:rPr>
    </w:lvl>
    <w:lvl w:ilvl="2">
      <w:start w:val="1"/>
      <w:numFmt w:val="decimal"/>
      <w:lvlText w:val="%1.%2.%3"/>
      <w:lvlJc w:val="left"/>
      <w:pPr>
        <w:ind w:left="1396" w:hanging="581"/>
        <w:jc w:val="left"/>
      </w:pPr>
      <w:rPr>
        <w:rFonts w:hint="default" w:ascii="Arial" w:hAnsi="Arial" w:eastAsia="Arial" w:cs="Arial"/>
        <w:b/>
        <w:bCs/>
        <w:i w:val="0"/>
        <w:iCs w:val="0"/>
        <w:spacing w:val="-1"/>
        <w:w w:val="100"/>
        <w:sz w:val="22"/>
        <w:szCs w:val="22"/>
        <w:lang w:val="en-US" w:eastAsia="en-US" w:bidi="ar-SA"/>
      </w:rPr>
    </w:lvl>
    <w:lvl w:ilvl="3">
      <w:start w:val="0"/>
      <w:numFmt w:val="bullet"/>
      <w:lvlText w:val="•"/>
      <w:lvlJc w:val="left"/>
      <w:pPr>
        <w:ind w:left="3303" w:hanging="581"/>
      </w:pPr>
      <w:rPr>
        <w:rFonts w:hint="default"/>
        <w:lang w:val="en-US" w:eastAsia="en-US" w:bidi="ar-SA"/>
      </w:rPr>
    </w:lvl>
    <w:lvl w:ilvl="4">
      <w:start w:val="0"/>
      <w:numFmt w:val="bullet"/>
      <w:lvlText w:val="•"/>
      <w:lvlJc w:val="left"/>
      <w:pPr>
        <w:ind w:left="4255" w:hanging="581"/>
      </w:pPr>
      <w:rPr>
        <w:rFonts w:hint="default"/>
        <w:lang w:val="en-US" w:eastAsia="en-US" w:bidi="ar-SA"/>
      </w:rPr>
    </w:lvl>
    <w:lvl w:ilvl="5">
      <w:start w:val="0"/>
      <w:numFmt w:val="bullet"/>
      <w:lvlText w:val="•"/>
      <w:lvlJc w:val="left"/>
      <w:pPr>
        <w:ind w:left="5207" w:hanging="581"/>
      </w:pPr>
      <w:rPr>
        <w:rFonts w:hint="default"/>
        <w:lang w:val="en-US" w:eastAsia="en-US" w:bidi="ar-SA"/>
      </w:rPr>
    </w:lvl>
    <w:lvl w:ilvl="6">
      <w:start w:val="0"/>
      <w:numFmt w:val="bullet"/>
      <w:lvlText w:val="•"/>
      <w:lvlJc w:val="left"/>
      <w:pPr>
        <w:ind w:left="6159" w:hanging="581"/>
      </w:pPr>
      <w:rPr>
        <w:rFonts w:hint="default"/>
        <w:lang w:val="en-US" w:eastAsia="en-US" w:bidi="ar-SA"/>
      </w:rPr>
    </w:lvl>
    <w:lvl w:ilvl="7">
      <w:start w:val="0"/>
      <w:numFmt w:val="bullet"/>
      <w:lvlText w:val="•"/>
      <w:lvlJc w:val="left"/>
      <w:pPr>
        <w:ind w:left="7110" w:hanging="581"/>
      </w:pPr>
      <w:rPr>
        <w:rFonts w:hint="default"/>
        <w:lang w:val="en-US" w:eastAsia="en-US" w:bidi="ar-SA"/>
      </w:rPr>
    </w:lvl>
    <w:lvl w:ilvl="8">
      <w:start w:val="0"/>
      <w:numFmt w:val="bullet"/>
      <w:lvlText w:val="•"/>
      <w:lvlJc w:val="left"/>
      <w:pPr>
        <w:ind w:left="8062" w:hanging="581"/>
      </w:pPr>
      <w:rPr>
        <w:rFonts w:hint="default"/>
        <w:lang w:val="en-US" w:eastAsia="en-US" w:bidi="ar-SA"/>
      </w:rPr>
    </w:lvl>
  </w:abstractNum>
  <w:abstractNum w:abstractNumId="1">
    <w:multiLevelType w:val="hybridMultilevel"/>
    <w:lvl w:ilvl="0">
      <w:start w:val="2"/>
      <w:numFmt w:val="decimal"/>
      <w:lvlText w:val="%1"/>
      <w:lvlJc w:val="left"/>
      <w:pPr>
        <w:ind w:left="487" w:hanging="368"/>
        <w:jc w:val="left"/>
      </w:pPr>
      <w:rPr>
        <w:rFonts w:hint="default"/>
        <w:lang w:val="en-US" w:eastAsia="en-US" w:bidi="ar-SA"/>
      </w:rPr>
    </w:lvl>
    <w:lvl w:ilvl="1">
      <w:start w:val="1"/>
      <w:numFmt w:val="decimal"/>
      <w:lvlText w:val="%1.%2"/>
      <w:lvlJc w:val="left"/>
      <w:pPr>
        <w:ind w:left="487" w:hanging="368"/>
        <w:jc w:val="left"/>
      </w:pPr>
      <w:rPr>
        <w:rFonts w:hint="default" w:ascii="Arial" w:hAnsi="Arial" w:eastAsia="Arial" w:cs="Arial"/>
        <w:b/>
        <w:bCs/>
        <w:i w:val="0"/>
        <w:iCs w:val="0"/>
        <w:spacing w:val="-1"/>
        <w:w w:val="100"/>
        <w:sz w:val="22"/>
        <w:szCs w:val="22"/>
        <w:lang w:val="en-US" w:eastAsia="en-US" w:bidi="ar-SA"/>
      </w:rPr>
    </w:lvl>
    <w:lvl w:ilvl="2">
      <w:start w:val="1"/>
      <w:numFmt w:val="decimal"/>
      <w:lvlText w:val="%1.%2.%3"/>
      <w:lvlJc w:val="left"/>
      <w:pPr>
        <w:ind w:left="1559" w:hanging="552"/>
        <w:jc w:val="left"/>
      </w:pPr>
      <w:rPr>
        <w:rFonts w:hint="default" w:ascii="Arial" w:hAnsi="Arial" w:eastAsia="Arial" w:cs="Arial"/>
        <w:b/>
        <w:bCs/>
        <w:i w:val="0"/>
        <w:iCs w:val="0"/>
        <w:spacing w:val="-1"/>
        <w:w w:val="100"/>
        <w:sz w:val="22"/>
        <w:szCs w:val="22"/>
        <w:lang w:val="en-US" w:eastAsia="en-US" w:bidi="ar-SA"/>
      </w:rPr>
    </w:lvl>
    <w:lvl w:ilvl="3">
      <w:start w:val="0"/>
      <w:numFmt w:val="bullet"/>
      <w:lvlText w:val=""/>
      <w:lvlJc w:val="left"/>
      <w:pPr>
        <w:ind w:left="1560" w:hanging="361"/>
      </w:pPr>
      <w:rPr>
        <w:rFonts w:hint="default" w:ascii="Symbol" w:hAnsi="Symbol" w:eastAsia="Symbol" w:cs="Symbol"/>
        <w:b w:val="0"/>
        <w:bCs w:val="0"/>
        <w:i w:val="0"/>
        <w:iCs w:val="0"/>
        <w:spacing w:val="0"/>
        <w:w w:val="100"/>
        <w:sz w:val="22"/>
        <w:szCs w:val="22"/>
        <w:lang w:val="en-US" w:eastAsia="en-US" w:bidi="ar-SA"/>
      </w:rPr>
    </w:lvl>
    <w:lvl w:ilvl="4">
      <w:start w:val="0"/>
      <w:numFmt w:val="bullet"/>
      <w:lvlText w:val="•"/>
      <w:lvlJc w:val="left"/>
      <w:pPr>
        <w:ind w:left="2760" w:hanging="361"/>
      </w:pPr>
      <w:rPr>
        <w:rFonts w:hint="default"/>
        <w:lang w:val="en-US" w:eastAsia="en-US" w:bidi="ar-SA"/>
      </w:rPr>
    </w:lvl>
    <w:lvl w:ilvl="5">
      <w:start w:val="0"/>
      <w:numFmt w:val="bullet"/>
      <w:lvlText w:val="•"/>
      <w:lvlJc w:val="left"/>
      <w:pPr>
        <w:ind w:left="3961" w:hanging="361"/>
      </w:pPr>
      <w:rPr>
        <w:rFonts w:hint="default"/>
        <w:lang w:val="en-US" w:eastAsia="en-US" w:bidi="ar-SA"/>
      </w:rPr>
    </w:lvl>
    <w:lvl w:ilvl="6">
      <w:start w:val="0"/>
      <w:numFmt w:val="bullet"/>
      <w:lvlText w:val="•"/>
      <w:lvlJc w:val="left"/>
      <w:pPr>
        <w:ind w:left="5162" w:hanging="361"/>
      </w:pPr>
      <w:rPr>
        <w:rFonts w:hint="default"/>
        <w:lang w:val="en-US" w:eastAsia="en-US" w:bidi="ar-SA"/>
      </w:rPr>
    </w:lvl>
    <w:lvl w:ilvl="7">
      <w:start w:val="0"/>
      <w:numFmt w:val="bullet"/>
      <w:lvlText w:val="•"/>
      <w:lvlJc w:val="left"/>
      <w:pPr>
        <w:ind w:left="6363" w:hanging="361"/>
      </w:pPr>
      <w:rPr>
        <w:rFonts w:hint="default"/>
        <w:lang w:val="en-US" w:eastAsia="en-US" w:bidi="ar-SA"/>
      </w:rPr>
    </w:lvl>
    <w:lvl w:ilvl="8">
      <w:start w:val="0"/>
      <w:numFmt w:val="bullet"/>
      <w:lvlText w:val="•"/>
      <w:lvlJc w:val="left"/>
      <w:pPr>
        <w:ind w:left="7564" w:hanging="361"/>
      </w:pPr>
      <w:rPr>
        <w:rFonts w:hint="default"/>
        <w:lang w:val="en-US" w:eastAsia="en-US" w:bidi="ar-SA"/>
      </w:rPr>
    </w:lvl>
  </w:abstractNum>
  <w:abstractNum w:abstractNumId="0">
    <w:multiLevelType w:val="hybridMultilevel"/>
    <w:lvl w:ilvl="0">
      <w:start w:val="1"/>
      <w:numFmt w:val="decimal"/>
      <w:lvlText w:val="%1."/>
      <w:lvlJc w:val="left"/>
      <w:pPr>
        <w:ind w:left="480" w:hanging="361"/>
        <w:jc w:val="left"/>
      </w:pPr>
      <w:rPr>
        <w:rFonts w:hint="default" w:ascii="Arial" w:hAnsi="Arial" w:eastAsia="Arial" w:cs="Arial"/>
        <w:b/>
        <w:bCs/>
        <w:i w:val="0"/>
        <w:iCs w:val="0"/>
        <w:color w:val="205E99"/>
        <w:spacing w:val="0"/>
        <w:w w:val="99"/>
        <w:sz w:val="32"/>
        <w:szCs w:val="32"/>
        <w:lang w:val="en-US" w:eastAsia="en-US" w:bidi="ar-SA"/>
      </w:rPr>
    </w:lvl>
    <w:lvl w:ilvl="1">
      <w:start w:val="1"/>
      <w:numFmt w:val="decimal"/>
      <w:lvlText w:val="%1.%2."/>
      <w:lvlJc w:val="left"/>
      <w:pPr>
        <w:ind w:left="911" w:hanging="432"/>
        <w:jc w:val="left"/>
      </w:pPr>
      <w:rPr>
        <w:rFonts w:hint="default" w:ascii="Arial" w:hAnsi="Arial" w:eastAsia="Arial" w:cs="Arial"/>
        <w:b/>
        <w:bCs/>
        <w:i w:val="0"/>
        <w:iCs w:val="0"/>
        <w:spacing w:val="-1"/>
        <w:w w:val="100"/>
        <w:sz w:val="22"/>
        <w:szCs w:val="22"/>
        <w:lang w:val="en-US" w:eastAsia="en-US" w:bidi="ar-SA"/>
      </w:rPr>
    </w:lvl>
    <w:lvl w:ilvl="2">
      <w:start w:val="0"/>
      <w:numFmt w:val="bullet"/>
      <w:lvlText w:val="•"/>
      <w:lvlJc w:val="left"/>
      <w:pPr>
        <w:ind w:left="1925" w:hanging="432"/>
      </w:pPr>
      <w:rPr>
        <w:rFonts w:hint="default"/>
        <w:lang w:val="en-US" w:eastAsia="en-US" w:bidi="ar-SA"/>
      </w:rPr>
    </w:lvl>
    <w:lvl w:ilvl="3">
      <w:start w:val="0"/>
      <w:numFmt w:val="bullet"/>
      <w:lvlText w:val="•"/>
      <w:lvlJc w:val="left"/>
      <w:pPr>
        <w:ind w:left="2930" w:hanging="432"/>
      </w:pPr>
      <w:rPr>
        <w:rFonts w:hint="default"/>
        <w:lang w:val="en-US" w:eastAsia="en-US" w:bidi="ar-SA"/>
      </w:rPr>
    </w:lvl>
    <w:lvl w:ilvl="4">
      <w:start w:val="0"/>
      <w:numFmt w:val="bullet"/>
      <w:lvlText w:val="•"/>
      <w:lvlJc w:val="left"/>
      <w:pPr>
        <w:ind w:left="3935" w:hanging="432"/>
      </w:pPr>
      <w:rPr>
        <w:rFonts w:hint="default"/>
        <w:lang w:val="en-US" w:eastAsia="en-US" w:bidi="ar-SA"/>
      </w:rPr>
    </w:lvl>
    <w:lvl w:ilvl="5">
      <w:start w:val="0"/>
      <w:numFmt w:val="bullet"/>
      <w:lvlText w:val="•"/>
      <w:lvlJc w:val="left"/>
      <w:pPr>
        <w:ind w:left="4940" w:hanging="432"/>
      </w:pPr>
      <w:rPr>
        <w:rFonts w:hint="default"/>
        <w:lang w:val="en-US" w:eastAsia="en-US" w:bidi="ar-SA"/>
      </w:rPr>
    </w:lvl>
    <w:lvl w:ilvl="6">
      <w:start w:val="0"/>
      <w:numFmt w:val="bullet"/>
      <w:lvlText w:val="•"/>
      <w:lvlJc w:val="left"/>
      <w:pPr>
        <w:ind w:left="5945" w:hanging="432"/>
      </w:pPr>
      <w:rPr>
        <w:rFonts w:hint="default"/>
        <w:lang w:val="en-US" w:eastAsia="en-US" w:bidi="ar-SA"/>
      </w:rPr>
    </w:lvl>
    <w:lvl w:ilvl="7">
      <w:start w:val="0"/>
      <w:numFmt w:val="bullet"/>
      <w:lvlText w:val="•"/>
      <w:lvlJc w:val="left"/>
      <w:pPr>
        <w:ind w:left="6950" w:hanging="432"/>
      </w:pPr>
      <w:rPr>
        <w:rFonts w:hint="default"/>
        <w:lang w:val="en-US" w:eastAsia="en-US" w:bidi="ar-SA"/>
      </w:rPr>
    </w:lvl>
    <w:lvl w:ilvl="8">
      <w:start w:val="0"/>
      <w:numFmt w:val="bullet"/>
      <w:lvlText w:val="•"/>
      <w:lvlJc w:val="left"/>
      <w:pPr>
        <w:ind w:left="7956" w:hanging="432"/>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479" w:hanging="359"/>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63"/>
      <w:ind w:left="486" w:hanging="368"/>
      <w:jc w:val="both"/>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ind w:left="119"/>
      <w:outlineLvl w:val="3"/>
    </w:pPr>
    <w:rPr>
      <w:rFonts w:ascii="Arial" w:hAnsi="Arial" w:eastAsia="Arial" w:cs="Arial"/>
      <w:b/>
      <w:bCs/>
      <w:i/>
      <w:iCs/>
      <w:sz w:val="22"/>
      <w:szCs w:val="22"/>
      <w:lang w:val="en-US" w:eastAsia="en-US" w:bidi="ar-SA"/>
    </w:rPr>
  </w:style>
  <w:style w:styleId="Title" w:type="paragraph">
    <w:name w:val="Title"/>
    <w:basedOn w:val="Normal"/>
    <w:uiPriority w:val="1"/>
    <w:qFormat/>
    <w:pPr>
      <w:spacing w:before="84"/>
      <w:ind w:left="120" w:right="1283"/>
      <w:jc w:val="both"/>
    </w:pPr>
    <w:rPr>
      <w:rFonts w:ascii="Arial" w:hAnsi="Arial" w:eastAsia="Arial" w:cs="Arial"/>
      <w:b/>
      <w:bCs/>
      <w:sz w:val="48"/>
      <w:szCs w:val="48"/>
      <w:lang w:val="en-US" w:eastAsia="en-US" w:bidi="ar-SA"/>
    </w:rPr>
  </w:style>
  <w:style w:styleId="ListParagraph" w:type="paragraph">
    <w:name w:val="List Paragraph"/>
    <w:basedOn w:val="Normal"/>
    <w:uiPriority w:val="1"/>
    <w:qFormat/>
    <w:pPr>
      <w:spacing w:before="119"/>
      <w:ind w:left="515" w:hanging="360"/>
      <w:jc w:val="both"/>
    </w:pPr>
    <w:rPr>
      <w:rFonts w:ascii="Arial" w:hAnsi="Arial" w:eastAsia="Arial" w:cs="Arial"/>
      <w:lang w:val="en-US" w:eastAsia="en-US" w:bidi="ar-SA"/>
    </w:rPr>
  </w:style>
  <w:style w:styleId="TableParagraph" w:type="paragraph">
    <w:name w:val="Table Paragraph"/>
    <w:basedOn w:val="Normal"/>
    <w:uiPriority w:val="1"/>
    <w:qFormat/>
    <w:pPr>
      <w:spacing w:before="78"/>
      <w:ind w:left="824"/>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teach-today-teach-tomorrow-programs/overview" TargetMode="External"/><Relationship Id="rId13" Type="http://schemas.openxmlformats.org/officeDocument/2006/relationships/hyperlink" Target="mailto:privacy@dgs.vic.gov.au" TargetMode="External"/><Relationship Id="rId18" Type="http://schemas.openxmlformats.org/officeDocument/2006/relationships/numbering" Target="numbering.xml"/><Relationship Id="rId3"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hyperlink" Target="https://www.vit.vic.edu.au/providers/new-teacher-ed" TargetMode="External"/><Relationship Id="rId12" Type="http://schemas.openxmlformats.org/officeDocument/2006/relationships/hyperlink" Target="http://www.vic.gov.au/privacy-policy-department-government-services" TargetMode="External"/><Relationship Id="rId17" Type="http://schemas.openxmlformats.org/officeDocument/2006/relationships/hyperlink" Target="https://creativecommons.org/licenses/by/4.0/" TargetMode="External"/><Relationship Id="rId2" Type="http://schemas.openxmlformats.org/officeDocument/2006/relationships/fontTable" Target="fontTable.xml"/><Relationship Id="rId16" Type="http://schemas.openxmlformats.org/officeDocument/2006/relationships/hyperlink" Target="https://www.education.vic.gov.au/Pages/copyright.aspx" TargetMode="Externa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www.usi.gov.au/PSTs/find-your-usi" TargetMode="External"/><Relationship Id="rId5" Type="http://schemas.openxmlformats.org/officeDocument/2006/relationships/header" Target="header1.xml"/><Relationship Id="rId15" Type="http://schemas.openxmlformats.org/officeDocument/2006/relationships/hyperlink" Target="mailto:school.teaching.scholarships@education.vic.gov.au" TargetMode="External"/><Relationship Id="rId10" Type="http://schemas.openxmlformats.org/officeDocument/2006/relationships/hyperlink" Target="https://www.vic.gov.au/scholarships-secondary-teaching-degrees?gclid=EAIaIQobChMI-I_xraOYgwMVf45LBR1rEQWFEAAYASAAEgLfxPD_BwE"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s://www.vic.gov.au/scholarships-secondary-teaching-degrees" TargetMode="External"/><Relationship Id="rId14" Type="http://schemas.openxmlformats.org/officeDocument/2006/relationships/hyperlink" Target="mailto:sts@grants.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594A19A8-FB85-4B04-8373-1E3B2AB7B337}"/>
</file>

<file path=customXml/itemProps2.xml><?xml version="1.0" encoding="utf-8"?>
<ds:datastoreItem xmlns:ds="http://schemas.openxmlformats.org/officeDocument/2006/customXml" ds:itemID="{7333419F-1BEC-479F-8195-6E7227F8B28A}"/>
</file>

<file path=customXml/itemProps3.xml><?xml version="1.0" encoding="utf-8"?>
<ds:datastoreItem xmlns:ds="http://schemas.openxmlformats.org/officeDocument/2006/customXml" ds:itemID="{BFC34DD9-D378-4222-8DB7-543190492E1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Denyse Y Hng (DGS)</dc:creator>
  <dc:description/>
  <dcterms:created xsi:type="dcterms:W3CDTF">2024-05-02T06:23:25Z</dcterms:created>
  <dcterms:modified xsi:type="dcterms:W3CDTF">2024-05-02T06:23:25Z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reated">
    <vt:filetime>2024-05-02T00:00:00Z</vt:filetime>
  </property>
  <property fmtid="{D5CDD505-2E9C-101B-9397-08002B2CF9AE}" pid="4" name="Creator">
    <vt:lpwstr>Acrobat PDFMaker 24 for Word</vt:lpwstr>
  </property>
  <property fmtid="{D5CDD505-2E9C-101B-9397-08002B2CF9AE}" pid="5" name="LastSaved">
    <vt:filetime>2024-05-02T00:00:00Z</vt:filetime>
  </property>
  <property fmtid="{D5CDD505-2E9C-101B-9397-08002B2CF9AE}" pid="6" name="MSIP_Label_d00a4df9-c942-4b09-b23a-6c1023f6de27_ActionId">
    <vt:lpwstr>a9dd24ce-4970-42fa-899c-64b816a75500</vt:lpwstr>
  </property>
  <property fmtid="{D5CDD505-2E9C-101B-9397-08002B2CF9AE}" pid="7" name="MSIP_Label_d00a4df9-c942-4b09-b23a-6c1023f6de27_ContentBits">
    <vt:lpwstr>3</vt:lpwstr>
  </property>
  <property fmtid="{D5CDD505-2E9C-101B-9397-08002B2CF9AE}" pid="8" name="MSIP_Label_d00a4df9-c942-4b09-b23a-6c1023f6de27_Enabled">
    <vt:lpwstr>true</vt:lpwstr>
  </property>
  <property fmtid="{D5CDD505-2E9C-101B-9397-08002B2CF9AE}" pid="9" name="MSIP_Label_d00a4df9-c942-4b09-b23a-6c1023f6de27_Method">
    <vt:lpwstr>Privileged</vt:lpwstr>
  </property>
  <property fmtid="{D5CDD505-2E9C-101B-9397-08002B2CF9AE}" pid="10" name="MSIP_Label_d00a4df9-c942-4b09-b23a-6c1023f6de27_Name">
    <vt:lpwstr>Official (DJPR)</vt:lpwstr>
  </property>
  <property fmtid="{D5CDD505-2E9C-101B-9397-08002B2CF9AE}" pid="11" name="MSIP_Label_d00a4df9-c942-4b09-b23a-6c1023f6de27_SetDate">
    <vt:lpwstr>2024-02-13T05:56:17Z</vt:lpwstr>
  </property>
  <property fmtid="{D5CDD505-2E9C-101B-9397-08002B2CF9AE}" pid="12" name="MSIP_Label_d00a4df9-c942-4b09-b23a-6c1023f6de27_SiteId">
    <vt:lpwstr>722ea0be-3e1c-4b11-ad6f-9401d6856e24</vt:lpwstr>
  </property>
  <property fmtid="{D5CDD505-2E9C-101B-9397-08002B2CF9AE}" pid="13" name="MediaServiceImageTags">
    <vt:lpwstr/>
  </property>
  <property fmtid="{D5CDD505-2E9C-101B-9397-08002B2CF9AE}" pid="14" name="Producer">
    <vt:lpwstr>Adobe PDF Library 24.2.207</vt:lpwstr>
  </property>
  <property fmtid="{D5CDD505-2E9C-101B-9397-08002B2CF9AE}" pid="15" name="SourceModified">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