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D818C" w14:textId="77777777" w:rsidR="007322E0" w:rsidRPr="00DA739C" w:rsidRDefault="007322E0" w:rsidP="00C76A92">
      <w:pPr>
        <w:pStyle w:val="covTitle"/>
      </w:pPr>
    </w:p>
    <w:p w14:paraId="0042EF0B" w14:textId="19AA1621" w:rsidR="00C76A92" w:rsidRPr="00D43728" w:rsidRDefault="008E0ED9" w:rsidP="0F418E1E">
      <w:pPr>
        <w:pStyle w:val="covTitle"/>
        <w:rPr>
          <w:sz w:val="44"/>
          <w:szCs w:val="44"/>
        </w:rPr>
      </w:pPr>
      <w:r w:rsidRPr="00D43728">
        <w:rPr>
          <w:sz w:val="44"/>
          <w:szCs w:val="44"/>
        </w:rPr>
        <w:t>S</w:t>
      </w:r>
      <w:r w:rsidR="001022DE" w:rsidRPr="00D43728">
        <w:rPr>
          <w:sz w:val="44"/>
          <w:szCs w:val="44"/>
        </w:rPr>
        <w:t xml:space="preserve">chool </w:t>
      </w:r>
      <w:r w:rsidRPr="00D43728">
        <w:rPr>
          <w:sz w:val="44"/>
          <w:szCs w:val="44"/>
        </w:rPr>
        <w:t>C</w:t>
      </w:r>
      <w:r w:rsidR="001022DE" w:rsidRPr="00D43728">
        <w:rPr>
          <w:sz w:val="44"/>
          <w:szCs w:val="44"/>
        </w:rPr>
        <w:t xml:space="preserve">ommunity </w:t>
      </w:r>
      <w:r w:rsidRPr="00D43728">
        <w:rPr>
          <w:sz w:val="44"/>
          <w:szCs w:val="44"/>
        </w:rPr>
        <w:t>S</w:t>
      </w:r>
      <w:r w:rsidR="001022DE" w:rsidRPr="00D43728">
        <w:rPr>
          <w:sz w:val="44"/>
          <w:szCs w:val="44"/>
        </w:rPr>
        <w:t xml:space="preserve">afety </w:t>
      </w:r>
      <w:r w:rsidRPr="00D43728">
        <w:rPr>
          <w:sz w:val="44"/>
          <w:szCs w:val="44"/>
        </w:rPr>
        <w:t>O</w:t>
      </w:r>
      <w:r w:rsidR="001022DE" w:rsidRPr="00D43728">
        <w:rPr>
          <w:sz w:val="44"/>
          <w:szCs w:val="44"/>
        </w:rPr>
        <w:t>rder</w:t>
      </w:r>
      <w:r w:rsidRPr="00D43728">
        <w:rPr>
          <w:sz w:val="44"/>
          <w:szCs w:val="44"/>
        </w:rPr>
        <w:t xml:space="preserve"> Scheme Statutory Review</w:t>
      </w:r>
    </w:p>
    <w:p w14:paraId="22D92A3A" w14:textId="77777777" w:rsidR="00C76A92" w:rsidRPr="00D43728" w:rsidRDefault="00C76A92" w:rsidP="0F418E1E">
      <w:pPr>
        <w:pStyle w:val="covBodyText"/>
        <w:rPr>
          <w:sz w:val="32"/>
          <w:szCs w:val="32"/>
        </w:rPr>
      </w:pPr>
    </w:p>
    <w:p w14:paraId="0035B384" w14:textId="722F9458" w:rsidR="00C76A92" w:rsidRPr="00D43728" w:rsidRDefault="008564DA" w:rsidP="0F418E1E">
      <w:pPr>
        <w:pStyle w:val="covBodyText"/>
        <w:rPr>
          <w:sz w:val="32"/>
          <w:szCs w:val="32"/>
        </w:rPr>
      </w:pPr>
      <w:r w:rsidRPr="00D43728">
        <w:rPr>
          <w:sz w:val="32"/>
          <w:szCs w:val="32"/>
        </w:rPr>
        <w:t>Department of Education</w:t>
      </w:r>
    </w:p>
    <w:p w14:paraId="2734728C" w14:textId="77777777" w:rsidR="00C76A92" w:rsidRPr="00D43728" w:rsidRDefault="00C76A92" w:rsidP="0F418E1E">
      <w:pPr>
        <w:pStyle w:val="covBodyText"/>
        <w:rPr>
          <w:sz w:val="32"/>
          <w:szCs w:val="32"/>
        </w:rPr>
      </w:pPr>
    </w:p>
    <w:p w14:paraId="221B230E" w14:textId="77777777" w:rsidR="00C76A92" w:rsidRPr="00D43728" w:rsidRDefault="00C76A92" w:rsidP="0F418E1E">
      <w:pPr>
        <w:pStyle w:val="covBodyText"/>
        <w:rPr>
          <w:sz w:val="32"/>
          <w:szCs w:val="32"/>
        </w:rPr>
      </w:pPr>
    </w:p>
    <w:p w14:paraId="061C88CF" w14:textId="77777777" w:rsidR="00C76A92" w:rsidRPr="00D43728" w:rsidRDefault="00C76A92" w:rsidP="0F418E1E">
      <w:pPr>
        <w:pStyle w:val="covBodyText"/>
        <w:rPr>
          <w:sz w:val="32"/>
          <w:szCs w:val="32"/>
        </w:rPr>
      </w:pPr>
    </w:p>
    <w:p w14:paraId="670E2ADB" w14:textId="77777777" w:rsidR="00CF5701" w:rsidRPr="00D43728" w:rsidRDefault="00CF5701" w:rsidP="0F418E1E">
      <w:pPr>
        <w:pStyle w:val="covBodyText"/>
        <w:rPr>
          <w:b/>
          <w:bCs/>
          <w:sz w:val="32"/>
          <w:szCs w:val="32"/>
        </w:rPr>
      </w:pPr>
    </w:p>
    <w:p w14:paraId="0BF2B7AD" w14:textId="21284D16" w:rsidR="00CF5701" w:rsidRPr="00D43728" w:rsidRDefault="00E0338A" w:rsidP="0F418E1E">
      <w:pPr>
        <w:pStyle w:val="covBodyText"/>
        <w:rPr>
          <w:b/>
          <w:bCs/>
          <w:sz w:val="32"/>
          <w:szCs w:val="32"/>
        </w:rPr>
      </w:pPr>
      <w:r w:rsidRPr="00D43728">
        <w:rPr>
          <w:b/>
          <w:bCs/>
          <w:sz w:val="32"/>
          <w:szCs w:val="32"/>
        </w:rPr>
        <w:t>Fina</w:t>
      </w:r>
      <w:r w:rsidR="00F2367F" w:rsidRPr="00D43728">
        <w:rPr>
          <w:b/>
          <w:bCs/>
          <w:sz w:val="32"/>
          <w:szCs w:val="32"/>
        </w:rPr>
        <w:t>l</w:t>
      </w:r>
      <w:r w:rsidR="00CF5701" w:rsidRPr="00D43728">
        <w:rPr>
          <w:b/>
          <w:bCs/>
          <w:sz w:val="32"/>
          <w:szCs w:val="32"/>
        </w:rPr>
        <w:t xml:space="preserve"> Report </w:t>
      </w:r>
    </w:p>
    <w:p w14:paraId="540F018D" w14:textId="6FDF6131" w:rsidR="008538B8" w:rsidRPr="00D43728" w:rsidRDefault="005D25FB" w:rsidP="0F418E1E">
      <w:pPr>
        <w:pStyle w:val="covBodyText"/>
        <w:rPr>
          <w:b/>
          <w:bCs/>
          <w:sz w:val="32"/>
          <w:szCs w:val="32"/>
        </w:rPr>
      </w:pPr>
      <w:r w:rsidRPr="00D43728">
        <w:rPr>
          <w:b/>
          <w:bCs/>
          <w:sz w:val="32"/>
          <w:szCs w:val="32"/>
        </w:rPr>
        <w:t>9</w:t>
      </w:r>
      <w:r w:rsidR="6611026A" w:rsidRPr="00D43728">
        <w:rPr>
          <w:b/>
          <w:bCs/>
          <w:sz w:val="32"/>
          <w:szCs w:val="32"/>
        </w:rPr>
        <w:t xml:space="preserve"> October</w:t>
      </w:r>
      <w:r w:rsidR="009E536B" w:rsidRPr="00D43728">
        <w:rPr>
          <w:b/>
          <w:bCs/>
          <w:sz w:val="32"/>
          <w:szCs w:val="32"/>
        </w:rPr>
        <w:t xml:space="preserve"> 2025</w:t>
      </w:r>
    </w:p>
    <w:p w14:paraId="3FE09659" w14:textId="77777777" w:rsidR="008538B8" w:rsidRPr="009F622D" w:rsidRDefault="008538B8" w:rsidP="00C76A92">
      <w:pPr>
        <w:pStyle w:val="covBodyText"/>
        <w:rPr>
          <w:b/>
          <w:color w:val="FFFFFF" w:themeColor="background1"/>
        </w:rPr>
      </w:pPr>
    </w:p>
    <w:p w14:paraId="52123B9B" w14:textId="32003EA4" w:rsidR="00C76A92" w:rsidRPr="009F622D" w:rsidRDefault="00C76A92">
      <w:pPr>
        <w:rPr>
          <w:b/>
          <w:color w:val="FFFFFF" w:themeColor="background1"/>
        </w:rPr>
      </w:pPr>
      <w:r w:rsidRPr="009F622D">
        <w:rPr>
          <w:b/>
          <w:color w:val="FFFFFF" w:themeColor="background1"/>
        </w:rPr>
        <w:br w:type="page"/>
      </w:r>
    </w:p>
    <w:p w14:paraId="4E6FF537" w14:textId="2F5C83BD" w:rsidR="008A11D3" w:rsidRPr="00236907" w:rsidRDefault="008A11D3">
      <w:pPr>
        <w:rPr>
          <w:rFonts w:cs="Times New Roman"/>
          <w:b/>
          <w:sz w:val="22"/>
          <w:lang w:eastAsia="en-AU"/>
        </w:rPr>
      </w:pPr>
    </w:p>
    <w:p w14:paraId="0B36B99D" w14:textId="5A5F93B6" w:rsidR="008A11D3" w:rsidRPr="00236907" w:rsidRDefault="008A11D3">
      <w:pPr>
        <w:rPr>
          <w:rFonts w:cs="Times New Roman"/>
          <w:b/>
          <w:sz w:val="22"/>
          <w:lang w:eastAsia="en-AU"/>
        </w:rPr>
      </w:pPr>
    </w:p>
    <w:p w14:paraId="1FB29AF7" w14:textId="6CB161F6" w:rsidR="001169F4" w:rsidRPr="00236907" w:rsidRDefault="001169F4">
      <w:pPr>
        <w:rPr>
          <w:rFonts w:cs="Times New Roman"/>
          <w:b/>
          <w:sz w:val="22"/>
          <w:lang w:eastAsia="en-AU"/>
        </w:rPr>
      </w:pPr>
    </w:p>
    <w:p w14:paraId="6C080A9B" w14:textId="0862F671" w:rsidR="001169F4" w:rsidRPr="00236907" w:rsidRDefault="001169F4">
      <w:pPr>
        <w:rPr>
          <w:rFonts w:cs="Times New Roman"/>
          <w:b/>
          <w:sz w:val="22"/>
          <w:lang w:eastAsia="en-AU"/>
        </w:rPr>
      </w:pPr>
    </w:p>
    <w:p w14:paraId="5794F8A8" w14:textId="1D64F48E" w:rsidR="001169F4" w:rsidRPr="00236907" w:rsidRDefault="001169F4">
      <w:pPr>
        <w:rPr>
          <w:rFonts w:cs="Times New Roman"/>
          <w:b/>
          <w:sz w:val="22"/>
          <w:lang w:eastAsia="en-AU"/>
        </w:rPr>
      </w:pPr>
    </w:p>
    <w:p w14:paraId="4506C08E" w14:textId="2882D471" w:rsidR="001169F4" w:rsidRPr="00236907" w:rsidRDefault="001169F4">
      <w:pPr>
        <w:rPr>
          <w:rFonts w:cs="Times New Roman"/>
          <w:b/>
          <w:sz w:val="22"/>
          <w:lang w:eastAsia="en-AU"/>
        </w:rPr>
      </w:pPr>
    </w:p>
    <w:p w14:paraId="3E1CB4B0" w14:textId="00918C57" w:rsidR="001169F4" w:rsidRPr="00236907" w:rsidRDefault="001169F4">
      <w:pPr>
        <w:rPr>
          <w:rFonts w:cs="Times New Roman"/>
          <w:b/>
          <w:sz w:val="22"/>
          <w:lang w:eastAsia="en-AU"/>
        </w:rPr>
      </w:pPr>
    </w:p>
    <w:p w14:paraId="6AC19F39" w14:textId="47A38B7D" w:rsidR="001169F4" w:rsidRPr="00236907" w:rsidRDefault="001169F4">
      <w:pPr>
        <w:rPr>
          <w:rFonts w:cs="Times New Roman"/>
          <w:b/>
          <w:sz w:val="22"/>
          <w:lang w:eastAsia="en-AU"/>
        </w:rPr>
      </w:pPr>
    </w:p>
    <w:p w14:paraId="682B1ED0" w14:textId="685AD4D0" w:rsidR="001169F4" w:rsidRPr="00236907" w:rsidRDefault="001169F4">
      <w:pPr>
        <w:rPr>
          <w:rFonts w:cs="Times New Roman"/>
          <w:b/>
          <w:sz w:val="22"/>
          <w:lang w:eastAsia="en-AU"/>
        </w:rPr>
      </w:pPr>
    </w:p>
    <w:p w14:paraId="7FA3122A" w14:textId="6B4706C3" w:rsidR="001169F4" w:rsidRPr="00236907" w:rsidRDefault="001169F4">
      <w:pPr>
        <w:rPr>
          <w:rFonts w:cs="Times New Roman"/>
          <w:b/>
          <w:sz w:val="22"/>
          <w:lang w:eastAsia="en-AU"/>
        </w:rPr>
      </w:pPr>
    </w:p>
    <w:p w14:paraId="1EDB5CB4" w14:textId="406D42BA" w:rsidR="001169F4" w:rsidRPr="00236907" w:rsidRDefault="001169F4">
      <w:pPr>
        <w:rPr>
          <w:rFonts w:cs="Times New Roman"/>
          <w:b/>
          <w:sz w:val="22"/>
          <w:lang w:eastAsia="en-AU"/>
        </w:rPr>
      </w:pPr>
    </w:p>
    <w:p w14:paraId="3AA5B176" w14:textId="2DBBBAFD" w:rsidR="001169F4" w:rsidRPr="00236907" w:rsidRDefault="001169F4">
      <w:pPr>
        <w:rPr>
          <w:rFonts w:cs="Times New Roman"/>
          <w:b/>
          <w:sz w:val="22"/>
          <w:lang w:eastAsia="en-AU"/>
        </w:rPr>
      </w:pPr>
    </w:p>
    <w:p w14:paraId="16013D53" w14:textId="1B8C413A" w:rsidR="001169F4" w:rsidRPr="00236907" w:rsidRDefault="001169F4">
      <w:pPr>
        <w:rPr>
          <w:rFonts w:cs="Times New Roman"/>
          <w:b/>
          <w:sz w:val="22"/>
          <w:lang w:eastAsia="en-AU"/>
        </w:rPr>
      </w:pPr>
    </w:p>
    <w:p w14:paraId="6EAF1014" w14:textId="03A68CFA" w:rsidR="001169F4" w:rsidRPr="00236907" w:rsidRDefault="001169F4">
      <w:pPr>
        <w:rPr>
          <w:rFonts w:cs="Times New Roman"/>
          <w:b/>
          <w:sz w:val="22"/>
          <w:lang w:eastAsia="en-AU"/>
        </w:rPr>
      </w:pPr>
    </w:p>
    <w:p w14:paraId="277B0240" w14:textId="0AAAABCC" w:rsidR="001169F4" w:rsidRPr="00236907" w:rsidRDefault="001169F4">
      <w:pPr>
        <w:rPr>
          <w:rFonts w:cs="Times New Roman"/>
          <w:b/>
          <w:sz w:val="22"/>
          <w:lang w:eastAsia="en-AU"/>
        </w:rPr>
      </w:pPr>
    </w:p>
    <w:p w14:paraId="508D6123" w14:textId="6BC2A53F" w:rsidR="001169F4" w:rsidRPr="00236907" w:rsidRDefault="001169F4">
      <w:pPr>
        <w:rPr>
          <w:rFonts w:cs="Times New Roman"/>
          <w:b/>
          <w:sz w:val="22"/>
          <w:lang w:eastAsia="en-AU"/>
        </w:rPr>
      </w:pPr>
    </w:p>
    <w:p w14:paraId="254A4C10" w14:textId="5EE37B0E" w:rsidR="001169F4" w:rsidRPr="00236907" w:rsidRDefault="001169F4">
      <w:pPr>
        <w:rPr>
          <w:rFonts w:cs="Times New Roman"/>
          <w:b/>
          <w:sz w:val="22"/>
          <w:lang w:eastAsia="en-AU"/>
        </w:rPr>
      </w:pPr>
    </w:p>
    <w:p w14:paraId="57F4A153" w14:textId="21FC3177" w:rsidR="001169F4" w:rsidRPr="00236907" w:rsidRDefault="001169F4">
      <w:pPr>
        <w:rPr>
          <w:rFonts w:cs="Times New Roman"/>
          <w:b/>
          <w:sz w:val="22"/>
          <w:lang w:eastAsia="en-AU"/>
        </w:rPr>
      </w:pPr>
    </w:p>
    <w:p w14:paraId="63026417" w14:textId="5EC2E90F" w:rsidR="001169F4" w:rsidRPr="00236907" w:rsidRDefault="001169F4">
      <w:pPr>
        <w:rPr>
          <w:rFonts w:cs="Times New Roman"/>
          <w:b/>
          <w:sz w:val="22"/>
          <w:lang w:eastAsia="en-AU"/>
        </w:rPr>
      </w:pPr>
    </w:p>
    <w:p w14:paraId="7673D6B6" w14:textId="5E1DD468" w:rsidR="001169F4" w:rsidRPr="00236907" w:rsidRDefault="001169F4">
      <w:pPr>
        <w:rPr>
          <w:rFonts w:cs="Times New Roman"/>
          <w:b/>
          <w:sz w:val="22"/>
          <w:lang w:eastAsia="en-AU"/>
        </w:rPr>
      </w:pPr>
    </w:p>
    <w:p w14:paraId="396A830E" w14:textId="1676E09C" w:rsidR="001169F4" w:rsidRPr="00236907" w:rsidRDefault="001169F4">
      <w:pPr>
        <w:rPr>
          <w:rFonts w:cs="Times New Roman"/>
          <w:b/>
          <w:sz w:val="22"/>
          <w:lang w:eastAsia="en-AU"/>
        </w:rPr>
      </w:pPr>
    </w:p>
    <w:p w14:paraId="69938DC5" w14:textId="73D17239" w:rsidR="001169F4" w:rsidRPr="00236907" w:rsidRDefault="001169F4">
      <w:pPr>
        <w:rPr>
          <w:rFonts w:cs="Times New Roman"/>
          <w:b/>
          <w:sz w:val="22"/>
          <w:lang w:eastAsia="en-AU"/>
        </w:rPr>
      </w:pPr>
    </w:p>
    <w:p w14:paraId="4517DF2E" w14:textId="224E07FA" w:rsidR="001169F4" w:rsidRPr="00236907" w:rsidRDefault="001169F4">
      <w:pPr>
        <w:rPr>
          <w:rFonts w:cs="Times New Roman"/>
          <w:b/>
          <w:sz w:val="22"/>
          <w:lang w:eastAsia="en-AU"/>
        </w:rPr>
      </w:pPr>
    </w:p>
    <w:p w14:paraId="1A97525B" w14:textId="62593898" w:rsidR="001169F4" w:rsidRPr="00236907" w:rsidRDefault="001169F4">
      <w:pPr>
        <w:rPr>
          <w:rFonts w:cs="Times New Roman"/>
          <w:b/>
          <w:sz w:val="22"/>
          <w:lang w:eastAsia="en-AU"/>
        </w:rPr>
      </w:pPr>
    </w:p>
    <w:p w14:paraId="13DD0845" w14:textId="7C672FCE" w:rsidR="001169F4" w:rsidRPr="00236907" w:rsidRDefault="001169F4">
      <w:pPr>
        <w:rPr>
          <w:rFonts w:cs="Times New Roman"/>
          <w:b/>
          <w:sz w:val="22"/>
          <w:lang w:eastAsia="en-AU"/>
        </w:rPr>
      </w:pPr>
    </w:p>
    <w:p w14:paraId="1DA1E83A" w14:textId="36559DBC" w:rsidR="001169F4" w:rsidRPr="00236907" w:rsidRDefault="001169F4">
      <w:pPr>
        <w:rPr>
          <w:rFonts w:cs="Times New Roman"/>
          <w:b/>
          <w:sz w:val="22"/>
          <w:lang w:eastAsia="en-AU"/>
        </w:rPr>
      </w:pPr>
    </w:p>
    <w:p w14:paraId="0D910373" w14:textId="2974D847" w:rsidR="001169F4" w:rsidRPr="00236907" w:rsidRDefault="001169F4">
      <w:pPr>
        <w:rPr>
          <w:rFonts w:cs="Times New Roman"/>
          <w:b/>
          <w:sz w:val="22"/>
          <w:lang w:eastAsia="en-AU"/>
        </w:rPr>
      </w:pPr>
    </w:p>
    <w:p w14:paraId="0299DFFB" w14:textId="01704B72" w:rsidR="001169F4" w:rsidRPr="00236907" w:rsidRDefault="001169F4">
      <w:pPr>
        <w:rPr>
          <w:rFonts w:cs="Times New Roman"/>
          <w:b/>
          <w:sz w:val="22"/>
          <w:lang w:eastAsia="en-AU"/>
        </w:rPr>
      </w:pPr>
    </w:p>
    <w:p w14:paraId="4C0B08B7" w14:textId="1B2ED7ED" w:rsidR="001169F4" w:rsidRPr="00236907" w:rsidRDefault="001169F4">
      <w:pPr>
        <w:rPr>
          <w:rFonts w:cs="Times New Roman"/>
          <w:b/>
          <w:sz w:val="22"/>
          <w:lang w:eastAsia="en-AU"/>
        </w:rPr>
      </w:pPr>
    </w:p>
    <w:p w14:paraId="6F1E6D3F" w14:textId="68FA4407" w:rsidR="00157185" w:rsidRPr="00236907" w:rsidRDefault="00157185">
      <w:pPr>
        <w:rPr>
          <w:rFonts w:cs="Times New Roman"/>
          <w:b/>
          <w:sz w:val="22"/>
          <w:lang w:eastAsia="en-AU"/>
        </w:rPr>
      </w:pPr>
    </w:p>
    <w:p w14:paraId="6410ADF0" w14:textId="6EEDB184" w:rsidR="00157185" w:rsidRPr="00236907" w:rsidRDefault="00157185">
      <w:pPr>
        <w:rPr>
          <w:rFonts w:cs="Times New Roman"/>
          <w:b/>
          <w:sz w:val="22"/>
          <w:lang w:eastAsia="en-AU"/>
        </w:rPr>
      </w:pPr>
    </w:p>
    <w:p w14:paraId="2FC01349" w14:textId="76B09495" w:rsidR="00157185" w:rsidRPr="00236907" w:rsidRDefault="00157185">
      <w:pPr>
        <w:rPr>
          <w:rFonts w:cs="Times New Roman"/>
          <w:b/>
          <w:sz w:val="22"/>
          <w:lang w:eastAsia="en-AU"/>
        </w:rPr>
      </w:pPr>
    </w:p>
    <w:p w14:paraId="6F4119C1" w14:textId="2F85E43F" w:rsidR="00157185" w:rsidRPr="00236907" w:rsidRDefault="00157185">
      <w:pPr>
        <w:rPr>
          <w:rFonts w:cs="Times New Roman"/>
          <w:b/>
          <w:sz w:val="22"/>
          <w:lang w:eastAsia="en-AU"/>
        </w:rPr>
      </w:pPr>
    </w:p>
    <w:p w14:paraId="3E92045A" w14:textId="02BDC4C5" w:rsidR="00157185" w:rsidRPr="00236907" w:rsidRDefault="00157185">
      <w:pPr>
        <w:rPr>
          <w:rFonts w:cs="Times New Roman"/>
          <w:b/>
          <w:sz w:val="22"/>
          <w:lang w:eastAsia="en-AU"/>
        </w:rPr>
      </w:pPr>
    </w:p>
    <w:p w14:paraId="45326566" w14:textId="3968DDDD" w:rsidR="00157185" w:rsidRPr="00236907" w:rsidRDefault="00157185">
      <w:pPr>
        <w:rPr>
          <w:rFonts w:cs="Times New Roman"/>
          <w:b/>
          <w:sz w:val="22"/>
          <w:lang w:eastAsia="en-AU"/>
        </w:rPr>
      </w:pPr>
    </w:p>
    <w:p w14:paraId="07142FAB" w14:textId="2C75786E" w:rsidR="00157185" w:rsidRPr="00236907" w:rsidRDefault="00157185">
      <w:pPr>
        <w:rPr>
          <w:rFonts w:cs="Times New Roman"/>
          <w:b/>
          <w:sz w:val="22"/>
          <w:lang w:eastAsia="en-AU"/>
        </w:rPr>
      </w:pPr>
    </w:p>
    <w:p w14:paraId="3199EE7A" w14:textId="795E81FA" w:rsidR="00157185" w:rsidRPr="00236907" w:rsidRDefault="00157185">
      <w:pPr>
        <w:rPr>
          <w:rFonts w:cs="Times New Roman"/>
          <w:b/>
          <w:sz w:val="22"/>
          <w:lang w:eastAsia="en-AU"/>
        </w:rPr>
      </w:pPr>
    </w:p>
    <w:p w14:paraId="39AD54D9" w14:textId="499CDA94" w:rsidR="00157185" w:rsidRPr="00236907" w:rsidRDefault="00157185">
      <w:pPr>
        <w:rPr>
          <w:rFonts w:cs="Times New Roman"/>
          <w:b/>
          <w:sz w:val="22"/>
          <w:lang w:eastAsia="en-AU"/>
        </w:rPr>
      </w:pPr>
    </w:p>
    <w:p w14:paraId="7C999AD2" w14:textId="144B4C24" w:rsidR="00157185" w:rsidRPr="00236907" w:rsidRDefault="00157185" w:rsidP="00157185">
      <w:pPr>
        <w:rPr>
          <w:rFonts w:cs="Times New Roman"/>
          <w:b/>
          <w:sz w:val="22"/>
          <w:lang w:eastAsia="en-AU"/>
        </w:rPr>
      </w:pPr>
    </w:p>
    <w:p w14:paraId="56E6330F" w14:textId="5841B544" w:rsidR="00157185" w:rsidRPr="00236907" w:rsidRDefault="00157185">
      <w:pPr>
        <w:rPr>
          <w:rFonts w:cs="Times New Roman"/>
          <w:b/>
          <w:sz w:val="22"/>
          <w:lang w:eastAsia="en-AU"/>
        </w:rPr>
      </w:pPr>
    </w:p>
    <w:p w14:paraId="6BD3E457" w14:textId="3AEBDA5D" w:rsidR="00157185" w:rsidRPr="00236907" w:rsidRDefault="00157185">
      <w:pPr>
        <w:rPr>
          <w:rFonts w:cs="Times New Roman"/>
          <w:b/>
          <w:sz w:val="22"/>
          <w:lang w:eastAsia="en-AU"/>
        </w:rPr>
      </w:pPr>
    </w:p>
    <w:p w14:paraId="7692032F" w14:textId="27B4AE90" w:rsidR="00157185" w:rsidRPr="00236907" w:rsidRDefault="00157185">
      <w:pPr>
        <w:rPr>
          <w:rFonts w:cs="Times New Roman"/>
          <w:b/>
          <w:sz w:val="22"/>
          <w:lang w:eastAsia="en-AU"/>
        </w:rPr>
      </w:pPr>
    </w:p>
    <w:p w14:paraId="5999879A" w14:textId="77777777" w:rsidR="0062711A" w:rsidRPr="00236907" w:rsidRDefault="0062711A">
      <w:pPr>
        <w:rPr>
          <w:rFonts w:cs="Times New Roman"/>
          <w:b/>
          <w:sz w:val="22"/>
          <w:lang w:eastAsia="en-AU"/>
        </w:rPr>
      </w:pPr>
    </w:p>
    <w:p w14:paraId="08D1FE1A" w14:textId="7B0DD8D9" w:rsidR="00157185" w:rsidRPr="00236907" w:rsidRDefault="00157185">
      <w:pPr>
        <w:rPr>
          <w:rFonts w:cs="Times New Roman"/>
          <w:b/>
          <w:sz w:val="22"/>
          <w:lang w:eastAsia="en-AU"/>
        </w:rPr>
      </w:pPr>
    </w:p>
    <w:p w14:paraId="5D44FFE1" w14:textId="3B194F1A" w:rsidR="00157185" w:rsidRPr="00236907" w:rsidRDefault="00157185">
      <w:pPr>
        <w:rPr>
          <w:rFonts w:cs="Times New Roman"/>
          <w:b/>
          <w:sz w:val="22"/>
          <w:lang w:eastAsia="en-AU"/>
        </w:rPr>
      </w:pPr>
    </w:p>
    <w:p w14:paraId="54FC75A8" w14:textId="743A865E" w:rsidR="00157185" w:rsidRPr="00236907" w:rsidRDefault="00157185">
      <w:pPr>
        <w:rPr>
          <w:rFonts w:cs="Times New Roman"/>
          <w:b/>
          <w:sz w:val="22"/>
          <w:lang w:eastAsia="en-AU"/>
        </w:rPr>
      </w:pPr>
    </w:p>
    <w:p w14:paraId="0441CA46" w14:textId="1578A37F" w:rsidR="00157185" w:rsidRPr="00236907" w:rsidRDefault="00157185">
      <w:pPr>
        <w:rPr>
          <w:rFonts w:cs="Times New Roman"/>
          <w:sz w:val="18"/>
          <w:szCs w:val="18"/>
          <w:lang w:eastAsia="en-AU"/>
        </w:rPr>
      </w:pPr>
      <w:r w:rsidRPr="00236907">
        <w:rPr>
          <w:rFonts w:cs="Times New Roman"/>
          <w:sz w:val="18"/>
          <w:szCs w:val="18"/>
          <w:lang w:eastAsia="en-AU"/>
        </w:rPr>
        <w:t xml:space="preserve">This report was prepared by Maddocks. The views it contains are not necessarily those of </w:t>
      </w:r>
      <w:r w:rsidR="009D1287" w:rsidRPr="00236907">
        <w:rPr>
          <w:rFonts w:cs="Times New Roman"/>
          <w:sz w:val="18"/>
          <w:szCs w:val="18"/>
          <w:lang w:eastAsia="en-AU"/>
        </w:rPr>
        <w:t>the Department of Education</w:t>
      </w:r>
      <w:r w:rsidRPr="00236907">
        <w:rPr>
          <w:rFonts w:cs="Times New Roman"/>
          <w:sz w:val="18"/>
          <w:szCs w:val="18"/>
          <w:lang w:eastAsia="en-AU"/>
        </w:rPr>
        <w:t xml:space="preserve">. While reasonable efforts have been made to ensure that the contents of this report are factually correct, </w:t>
      </w:r>
      <w:r w:rsidR="00B1084A" w:rsidRPr="00236907">
        <w:rPr>
          <w:rFonts w:cs="Times New Roman"/>
          <w:sz w:val="18"/>
          <w:szCs w:val="18"/>
          <w:lang w:eastAsia="en-AU"/>
        </w:rPr>
        <w:t>the Department of Education</w:t>
      </w:r>
      <w:r w:rsidRPr="00236907">
        <w:rPr>
          <w:rFonts w:cs="Times New Roman"/>
          <w:sz w:val="18"/>
          <w:szCs w:val="18"/>
          <w:lang w:eastAsia="en-AU"/>
        </w:rPr>
        <w:t xml:space="preserve"> does not accept responsibility for the accuracy or completeness of the </w:t>
      </w:r>
      <w:proofErr w:type="gramStart"/>
      <w:r w:rsidRPr="00236907">
        <w:rPr>
          <w:rFonts w:cs="Times New Roman"/>
          <w:sz w:val="18"/>
          <w:szCs w:val="18"/>
          <w:lang w:eastAsia="en-AU"/>
        </w:rPr>
        <w:t>contents, and</w:t>
      </w:r>
      <w:proofErr w:type="gramEnd"/>
      <w:r w:rsidRPr="00236907">
        <w:rPr>
          <w:rFonts w:cs="Times New Roman"/>
          <w:sz w:val="18"/>
          <w:szCs w:val="18"/>
          <w:lang w:eastAsia="en-AU"/>
        </w:rPr>
        <w:t xml:space="preserve"> will not be liable for any loss or damage that may be occasioned directly or indirectly </w:t>
      </w:r>
      <w:proofErr w:type="gramStart"/>
      <w:r w:rsidRPr="00236907">
        <w:rPr>
          <w:rFonts w:cs="Times New Roman"/>
          <w:sz w:val="18"/>
          <w:szCs w:val="18"/>
          <w:lang w:eastAsia="en-AU"/>
        </w:rPr>
        <w:t>through the use of</w:t>
      </w:r>
      <w:proofErr w:type="gramEnd"/>
      <w:r w:rsidRPr="00236907">
        <w:rPr>
          <w:rFonts w:cs="Times New Roman"/>
          <w:sz w:val="18"/>
          <w:szCs w:val="18"/>
          <w:lang w:eastAsia="en-AU"/>
        </w:rPr>
        <w:t>, or reliance on, the contents of this report.</w:t>
      </w:r>
      <w:r w:rsidR="00B05D6A">
        <w:rPr>
          <w:rFonts w:cs="Times New Roman"/>
          <w:sz w:val="18"/>
          <w:szCs w:val="18"/>
          <w:lang w:eastAsia="en-AU"/>
        </w:rPr>
        <w:t xml:space="preserve"> </w:t>
      </w:r>
      <w:r w:rsidR="00242758">
        <w:rPr>
          <w:rFonts w:cs="Times New Roman"/>
          <w:sz w:val="18"/>
          <w:szCs w:val="18"/>
          <w:lang w:eastAsia="en-AU"/>
        </w:rPr>
        <w:t>T</w:t>
      </w:r>
      <w:r w:rsidR="00B05D6A">
        <w:rPr>
          <w:rFonts w:cs="Times New Roman"/>
          <w:sz w:val="18"/>
          <w:szCs w:val="18"/>
          <w:lang w:eastAsia="en-AU"/>
        </w:rPr>
        <w:t>his published version of the report has been amended for public release</w:t>
      </w:r>
      <w:r w:rsidR="00242758">
        <w:rPr>
          <w:rFonts w:cs="Times New Roman"/>
          <w:sz w:val="18"/>
          <w:szCs w:val="18"/>
          <w:lang w:eastAsia="en-AU"/>
        </w:rPr>
        <w:t xml:space="preserve"> to protect</w:t>
      </w:r>
      <w:r w:rsidR="00B05D6A">
        <w:rPr>
          <w:rFonts w:cs="Times New Roman"/>
          <w:sz w:val="18"/>
          <w:szCs w:val="18"/>
          <w:lang w:eastAsia="en-AU"/>
        </w:rPr>
        <w:t xml:space="preserve"> confidential and personal information. </w:t>
      </w:r>
    </w:p>
    <w:p w14:paraId="045496A5" w14:textId="77777777" w:rsidR="00157185" w:rsidRPr="00236907" w:rsidRDefault="00157185">
      <w:pPr>
        <w:rPr>
          <w:rFonts w:cs="Times New Roman"/>
          <w:b/>
          <w:sz w:val="22"/>
          <w:lang w:eastAsia="en-AU"/>
        </w:rPr>
      </w:pPr>
    </w:p>
    <w:p w14:paraId="6B309F88" w14:textId="77777777" w:rsidR="001169F4" w:rsidRPr="00236907" w:rsidRDefault="001169F4">
      <w:pPr>
        <w:rPr>
          <w:rFonts w:cs="Times New Roman"/>
          <w:b/>
          <w:sz w:val="22"/>
          <w:lang w:eastAsia="en-AU"/>
        </w:rPr>
      </w:pPr>
    </w:p>
    <w:p w14:paraId="1809519E" w14:textId="0E8BAF2C" w:rsidR="008A11D3" w:rsidRPr="00236907" w:rsidRDefault="008A11D3">
      <w:pPr>
        <w:rPr>
          <w:rFonts w:cs="Times New Roman"/>
          <w:b/>
          <w:sz w:val="22"/>
          <w:lang w:eastAsia="en-AU"/>
        </w:rPr>
      </w:pPr>
    </w:p>
    <w:p w14:paraId="1FCBE0DC" w14:textId="7132F1FA" w:rsidR="001169F4" w:rsidRPr="00236907" w:rsidRDefault="001169F4">
      <w:pPr>
        <w:rPr>
          <w:rFonts w:cs="Times New Roman"/>
          <w:b/>
          <w:sz w:val="22"/>
          <w:lang w:eastAsia="en-AU"/>
        </w:rPr>
      </w:pPr>
      <w:r w:rsidRPr="00236907">
        <w:rPr>
          <w:rFonts w:cs="Times New Roman"/>
          <w:b/>
          <w:sz w:val="22"/>
          <w:lang w:eastAsia="en-AU"/>
        </w:rPr>
        <w:lastRenderedPageBreak/>
        <w:br w:type="page"/>
      </w:r>
    </w:p>
    <w:sdt>
      <w:sdtPr>
        <w:rPr>
          <w:rFonts w:asciiTheme="minorHAnsi" w:eastAsiaTheme="minorEastAsia" w:hAnsiTheme="minorHAnsi"/>
          <w:b w:val="0"/>
          <w:sz w:val="3276"/>
          <w:szCs w:val="3276"/>
        </w:rPr>
        <w:id w:val="891073889"/>
        <w:docPartObj>
          <w:docPartGallery w:val="Table of Contents"/>
          <w:docPartUnique/>
        </w:docPartObj>
      </w:sdtPr>
      <w:sdtEndPr>
        <w:rPr>
          <w:noProof/>
          <w:sz w:val="20"/>
          <w:szCs w:val="20"/>
        </w:rPr>
      </w:sdtEndPr>
      <w:sdtContent>
        <w:p w14:paraId="3E35CCC5" w14:textId="77777777" w:rsidR="00C76A92" w:rsidRPr="00236907" w:rsidRDefault="00C76A92" w:rsidP="00AC4BA7">
          <w:pPr>
            <w:pStyle w:val="mainTitle"/>
          </w:pPr>
          <w:r w:rsidRPr="00236907">
            <w:t>Contents</w:t>
          </w:r>
        </w:p>
        <w:p w14:paraId="30FD6C1F" w14:textId="77777777" w:rsidR="00C76A92" w:rsidRPr="00236907" w:rsidRDefault="00C76A92" w:rsidP="00AC4BA7"/>
        <w:p w14:paraId="4AA4DBAD" w14:textId="348BA888" w:rsidR="00CA1223" w:rsidRDefault="00C76A92">
          <w:pPr>
            <w:pStyle w:val="TOC1"/>
            <w:rPr>
              <w:rFonts w:asciiTheme="minorHAnsi" w:eastAsiaTheme="minorEastAsia" w:hAnsiTheme="minorHAnsi" w:cstheme="minorBidi"/>
              <w:b w:val="0"/>
              <w:noProof/>
              <w:kern w:val="2"/>
              <w:sz w:val="24"/>
              <w:szCs w:val="24"/>
              <w:lang w:eastAsia="en-AU"/>
              <w14:ligatures w14:val="standardContextual"/>
            </w:rPr>
          </w:pPr>
          <w:r w:rsidRPr="00236907">
            <w:rPr>
              <w:noProof/>
            </w:rPr>
            <w:fldChar w:fldCharType="begin"/>
          </w:r>
          <w:r w:rsidRPr="00236907">
            <w:rPr>
              <w:noProof/>
            </w:rPr>
            <w:instrText xml:space="preserve"> TOC \o "1-1" \h \z \t "Heading 2,2,legalSchedule,1,legalScheduleDesc,2,legalPart,3,legalAttachment,1" </w:instrText>
          </w:r>
          <w:r w:rsidRPr="00236907">
            <w:rPr>
              <w:noProof/>
            </w:rPr>
            <w:fldChar w:fldCharType="separate"/>
          </w:r>
          <w:hyperlink w:anchor="_Toc210053602" w:history="1">
            <w:r w:rsidR="00CA1223" w:rsidRPr="00CA1223">
              <w:rPr>
                <w:rStyle w:val="Hyperlink"/>
                <w:noProof/>
                <w:color w:val="auto"/>
              </w:rPr>
              <w:t>Executive Summary</w:t>
            </w:r>
            <w:r w:rsidR="00CA1223">
              <w:rPr>
                <w:noProof/>
                <w:webHidden/>
              </w:rPr>
              <w:tab/>
            </w:r>
            <w:r w:rsidR="00CA1223">
              <w:rPr>
                <w:noProof/>
                <w:webHidden/>
              </w:rPr>
              <w:fldChar w:fldCharType="begin"/>
            </w:r>
            <w:r w:rsidR="00CA1223">
              <w:rPr>
                <w:noProof/>
                <w:webHidden/>
              </w:rPr>
              <w:instrText xml:space="preserve"> PAGEREF _Toc210053602 \h </w:instrText>
            </w:r>
            <w:r w:rsidR="00CA1223">
              <w:rPr>
                <w:noProof/>
                <w:webHidden/>
              </w:rPr>
            </w:r>
            <w:r w:rsidR="00CA1223">
              <w:rPr>
                <w:noProof/>
                <w:webHidden/>
              </w:rPr>
              <w:fldChar w:fldCharType="separate"/>
            </w:r>
            <w:r w:rsidR="00CA1223">
              <w:rPr>
                <w:noProof/>
                <w:webHidden/>
              </w:rPr>
              <w:t>4</w:t>
            </w:r>
            <w:r w:rsidR="00CA1223">
              <w:rPr>
                <w:noProof/>
                <w:webHidden/>
              </w:rPr>
              <w:fldChar w:fldCharType="end"/>
            </w:r>
          </w:hyperlink>
        </w:p>
        <w:p w14:paraId="318C5AC8" w14:textId="1A20B37C" w:rsidR="00CA1223" w:rsidRDefault="00CA1223">
          <w:pPr>
            <w:pStyle w:val="TOC1"/>
            <w:rPr>
              <w:rFonts w:asciiTheme="minorHAnsi" w:eastAsiaTheme="minorEastAsia" w:hAnsiTheme="minorHAnsi" w:cstheme="minorBidi"/>
              <w:b w:val="0"/>
              <w:noProof/>
              <w:kern w:val="2"/>
              <w:sz w:val="24"/>
              <w:szCs w:val="24"/>
              <w:lang w:eastAsia="en-AU"/>
              <w14:ligatures w14:val="standardContextual"/>
            </w:rPr>
          </w:pPr>
          <w:hyperlink w:anchor="_Toc210053603" w:history="1">
            <w:r w:rsidRPr="00CA1223">
              <w:rPr>
                <w:rStyle w:val="Hyperlink"/>
                <w:noProof/>
                <w:color w:val="auto"/>
              </w:rPr>
              <w:t>Summary of Recommendations</w:t>
            </w:r>
            <w:r>
              <w:rPr>
                <w:noProof/>
                <w:webHidden/>
              </w:rPr>
              <w:tab/>
            </w:r>
            <w:r>
              <w:rPr>
                <w:noProof/>
                <w:webHidden/>
              </w:rPr>
              <w:fldChar w:fldCharType="begin"/>
            </w:r>
            <w:r>
              <w:rPr>
                <w:noProof/>
                <w:webHidden/>
              </w:rPr>
              <w:instrText xml:space="preserve"> PAGEREF _Toc210053603 \h </w:instrText>
            </w:r>
            <w:r>
              <w:rPr>
                <w:noProof/>
                <w:webHidden/>
              </w:rPr>
            </w:r>
            <w:r>
              <w:rPr>
                <w:noProof/>
                <w:webHidden/>
              </w:rPr>
              <w:fldChar w:fldCharType="separate"/>
            </w:r>
            <w:r>
              <w:rPr>
                <w:noProof/>
                <w:webHidden/>
              </w:rPr>
              <w:t>4</w:t>
            </w:r>
            <w:r>
              <w:rPr>
                <w:noProof/>
                <w:webHidden/>
              </w:rPr>
              <w:fldChar w:fldCharType="end"/>
            </w:r>
          </w:hyperlink>
        </w:p>
        <w:p w14:paraId="708389D0" w14:textId="4EAB5D3B" w:rsidR="00CA1223" w:rsidRDefault="00CA1223">
          <w:pPr>
            <w:pStyle w:val="TOC1"/>
            <w:rPr>
              <w:rFonts w:asciiTheme="minorHAnsi" w:eastAsiaTheme="minorEastAsia" w:hAnsiTheme="minorHAnsi" w:cstheme="minorBidi"/>
              <w:b w:val="0"/>
              <w:noProof/>
              <w:kern w:val="2"/>
              <w:sz w:val="24"/>
              <w:szCs w:val="24"/>
              <w:lang w:eastAsia="en-AU"/>
              <w14:ligatures w14:val="standardContextual"/>
            </w:rPr>
          </w:pPr>
          <w:hyperlink w:anchor="_Toc210053604" w:history="1">
            <w:r w:rsidRPr="00CA1223">
              <w:rPr>
                <w:rStyle w:val="Hyperlink"/>
                <w:noProof/>
                <w:color w:val="auto"/>
              </w:rPr>
              <w:t>1.</w:t>
            </w:r>
            <w:r>
              <w:rPr>
                <w:rFonts w:asciiTheme="minorHAnsi" w:eastAsiaTheme="minorEastAsia" w:hAnsiTheme="minorHAnsi" w:cstheme="minorBidi"/>
                <w:b w:val="0"/>
                <w:noProof/>
                <w:kern w:val="2"/>
                <w:sz w:val="24"/>
                <w:szCs w:val="24"/>
                <w:lang w:eastAsia="en-AU"/>
                <w14:ligatures w14:val="standardContextual"/>
              </w:rPr>
              <w:tab/>
            </w:r>
            <w:r w:rsidRPr="00CA1223">
              <w:rPr>
                <w:rStyle w:val="Hyperlink"/>
                <w:noProof/>
                <w:color w:val="auto"/>
              </w:rPr>
              <w:t>Introduction</w:t>
            </w:r>
            <w:r>
              <w:rPr>
                <w:noProof/>
                <w:webHidden/>
              </w:rPr>
              <w:tab/>
            </w:r>
            <w:r>
              <w:rPr>
                <w:noProof/>
                <w:webHidden/>
              </w:rPr>
              <w:fldChar w:fldCharType="begin"/>
            </w:r>
            <w:r>
              <w:rPr>
                <w:noProof/>
                <w:webHidden/>
              </w:rPr>
              <w:instrText xml:space="preserve"> PAGEREF _Toc210053604 \h </w:instrText>
            </w:r>
            <w:r>
              <w:rPr>
                <w:noProof/>
                <w:webHidden/>
              </w:rPr>
            </w:r>
            <w:r>
              <w:rPr>
                <w:noProof/>
                <w:webHidden/>
              </w:rPr>
              <w:fldChar w:fldCharType="separate"/>
            </w:r>
            <w:r>
              <w:rPr>
                <w:noProof/>
                <w:webHidden/>
              </w:rPr>
              <w:t>16</w:t>
            </w:r>
            <w:r>
              <w:rPr>
                <w:noProof/>
                <w:webHidden/>
              </w:rPr>
              <w:fldChar w:fldCharType="end"/>
            </w:r>
          </w:hyperlink>
        </w:p>
        <w:p w14:paraId="014AE4A1" w14:textId="56AA1322" w:rsidR="00CA1223" w:rsidRDefault="00CA1223">
          <w:pPr>
            <w:pStyle w:val="TOC2"/>
            <w:rPr>
              <w:rFonts w:asciiTheme="minorHAnsi" w:eastAsiaTheme="minorEastAsia" w:hAnsiTheme="minorHAnsi" w:cstheme="minorBidi"/>
              <w:noProof/>
              <w:kern w:val="2"/>
              <w:sz w:val="24"/>
              <w:szCs w:val="24"/>
              <w:lang w:eastAsia="en-AU"/>
              <w14:ligatures w14:val="standardContextual"/>
            </w:rPr>
          </w:pPr>
          <w:hyperlink w:anchor="_Toc210053605" w:history="1">
            <w:r w:rsidRPr="00CA1223">
              <w:rPr>
                <w:rStyle w:val="Hyperlink"/>
                <w:noProof/>
                <w:color w:val="auto"/>
              </w:rPr>
              <w:t>1.1</w:t>
            </w:r>
            <w:r>
              <w:rPr>
                <w:rFonts w:asciiTheme="minorHAnsi" w:eastAsiaTheme="minorEastAsia" w:hAnsiTheme="minorHAnsi" w:cstheme="minorBidi"/>
                <w:noProof/>
                <w:kern w:val="2"/>
                <w:sz w:val="24"/>
                <w:szCs w:val="24"/>
                <w:lang w:eastAsia="en-AU"/>
                <w14:ligatures w14:val="standardContextual"/>
              </w:rPr>
              <w:tab/>
            </w:r>
            <w:r w:rsidRPr="00CA1223">
              <w:rPr>
                <w:rStyle w:val="Hyperlink"/>
                <w:noProof/>
                <w:color w:val="auto"/>
              </w:rPr>
              <w:t>Background</w:t>
            </w:r>
            <w:r>
              <w:rPr>
                <w:noProof/>
                <w:webHidden/>
              </w:rPr>
              <w:tab/>
            </w:r>
            <w:r>
              <w:rPr>
                <w:noProof/>
                <w:webHidden/>
              </w:rPr>
              <w:fldChar w:fldCharType="begin"/>
            </w:r>
            <w:r>
              <w:rPr>
                <w:noProof/>
                <w:webHidden/>
              </w:rPr>
              <w:instrText xml:space="preserve"> PAGEREF _Toc210053605 \h </w:instrText>
            </w:r>
            <w:r>
              <w:rPr>
                <w:noProof/>
                <w:webHidden/>
              </w:rPr>
            </w:r>
            <w:r>
              <w:rPr>
                <w:noProof/>
                <w:webHidden/>
              </w:rPr>
              <w:fldChar w:fldCharType="separate"/>
            </w:r>
            <w:r>
              <w:rPr>
                <w:noProof/>
                <w:webHidden/>
              </w:rPr>
              <w:t>16</w:t>
            </w:r>
            <w:r>
              <w:rPr>
                <w:noProof/>
                <w:webHidden/>
              </w:rPr>
              <w:fldChar w:fldCharType="end"/>
            </w:r>
          </w:hyperlink>
        </w:p>
        <w:p w14:paraId="3131B5E7" w14:textId="654E24DD" w:rsidR="00CA1223" w:rsidRDefault="00CA1223">
          <w:pPr>
            <w:pStyle w:val="TOC2"/>
            <w:rPr>
              <w:rFonts w:asciiTheme="minorHAnsi" w:eastAsiaTheme="minorEastAsia" w:hAnsiTheme="minorHAnsi" w:cstheme="minorBidi"/>
              <w:noProof/>
              <w:kern w:val="2"/>
              <w:sz w:val="24"/>
              <w:szCs w:val="24"/>
              <w:lang w:eastAsia="en-AU"/>
              <w14:ligatures w14:val="standardContextual"/>
            </w:rPr>
          </w:pPr>
          <w:hyperlink w:anchor="_Toc210053606" w:history="1">
            <w:r w:rsidRPr="00CA1223">
              <w:rPr>
                <w:rStyle w:val="Hyperlink"/>
                <w:noProof/>
                <w:color w:val="auto"/>
              </w:rPr>
              <w:t>1.2</w:t>
            </w:r>
            <w:r>
              <w:rPr>
                <w:rFonts w:asciiTheme="minorHAnsi" w:eastAsiaTheme="minorEastAsia" w:hAnsiTheme="minorHAnsi" w:cstheme="minorBidi"/>
                <w:noProof/>
                <w:kern w:val="2"/>
                <w:sz w:val="24"/>
                <w:szCs w:val="24"/>
                <w:lang w:eastAsia="en-AU"/>
                <w14:ligatures w14:val="standardContextual"/>
              </w:rPr>
              <w:tab/>
            </w:r>
            <w:r w:rsidRPr="00CA1223">
              <w:rPr>
                <w:rStyle w:val="Hyperlink"/>
                <w:noProof/>
                <w:color w:val="auto"/>
              </w:rPr>
              <w:t>Scope of Work</w:t>
            </w:r>
            <w:r>
              <w:rPr>
                <w:noProof/>
                <w:webHidden/>
              </w:rPr>
              <w:tab/>
            </w:r>
            <w:r>
              <w:rPr>
                <w:noProof/>
                <w:webHidden/>
              </w:rPr>
              <w:fldChar w:fldCharType="begin"/>
            </w:r>
            <w:r>
              <w:rPr>
                <w:noProof/>
                <w:webHidden/>
              </w:rPr>
              <w:instrText xml:space="preserve"> PAGEREF _Toc210053606 \h </w:instrText>
            </w:r>
            <w:r>
              <w:rPr>
                <w:noProof/>
                <w:webHidden/>
              </w:rPr>
            </w:r>
            <w:r>
              <w:rPr>
                <w:noProof/>
                <w:webHidden/>
              </w:rPr>
              <w:fldChar w:fldCharType="separate"/>
            </w:r>
            <w:r>
              <w:rPr>
                <w:noProof/>
                <w:webHidden/>
              </w:rPr>
              <w:t>17</w:t>
            </w:r>
            <w:r>
              <w:rPr>
                <w:noProof/>
                <w:webHidden/>
              </w:rPr>
              <w:fldChar w:fldCharType="end"/>
            </w:r>
          </w:hyperlink>
        </w:p>
        <w:p w14:paraId="5B1C2859" w14:textId="68A4C9B4" w:rsidR="00CA1223" w:rsidRDefault="00CA1223">
          <w:pPr>
            <w:pStyle w:val="TOC1"/>
            <w:rPr>
              <w:rFonts w:asciiTheme="minorHAnsi" w:eastAsiaTheme="minorEastAsia" w:hAnsiTheme="minorHAnsi" w:cstheme="minorBidi"/>
              <w:b w:val="0"/>
              <w:noProof/>
              <w:kern w:val="2"/>
              <w:sz w:val="24"/>
              <w:szCs w:val="24"/>
              <w:lang w:eastAsia="en-AU"/>
              <w14:ligatures w14:val="standardContextual"/>
            </w:rPr>
          </w:pPr>
          <w:hyperlink w:anchor="_Toc210053607" w:history="1">
            <w:r w:rsidRPr="00CA1223">
              <w:rPr>
                <w:rStyle w:val="Hyperlink"/>
                <w:noProof/>
                <w:color w:val="auto"/>
              </w:rPr>
              <w:t>2.</w:t>
            </w:r>
            <w:r>
              <w:rPr>
                <w:rFonts w:asciiTheme="minorHAnsi" w:eastAsiaTheme="minorEastAsia" w:hAnsiTheme="minorHAnsi" w:cstheme="minorBidi"/>
                <w:b w:val="0"/>
                <w:noProof/>
                <w:kern w:val="2"/>
                <w:sz w:val="24"/>
                <w:szCs w:val="24"/>
                <w:lang w:eastAsia="en-AU"/>
                <w14:ligatures w14:val="standardContextual"/>
              </w:rPr>
              <w:tab/>
            </w:r>
            <w:r w:rsidRPr="00CA1223">
              <w:rPr>
                <w:rStyle w:val="Hyperlink"/>
                <w:noProof/>
                <w:color w:val="auto"/>
              </w:rPr>
              <w:t>Methodology</w:t>
            </w:r>
            <w:r>
              <w:rPr>
                <w:noProof/>
                <w:webHidden/>
              </w:rPr>
              <w:tab/>
            </w:r>
            <w:r>
              <w:rPr>
                <w:noProof/>
                <w:webHidden/>
              </w:rPr>
              <w:fldChar w:fldCharType="begin"/>
            </w:r>
            <w:r>
              <w:rPr>
                <w:noProof/>
                <w:webHidden/>
              </w:rPr>
              <w:instrText xml:space="preserve"> PAGEREF _Toc210053607 \h </w:instrText>
            </w:r>
            <w:r>
              <w:rPr>
                <w:noProof/>
                <w:webHidden/>
              </w:rPr>
            </w:r>
            <w:r>
              <w:rPr>
                <w:noProof/>
                <w:webHidden/>
              </w:rPr>
              <w:fldChar w:fldCharType="separate"/>
            </w:r>
            <w:r>
              <w:rPr>
                <w:noProof/>
                <w:webHidden/>
              </w:rPr>
              <w:t>17</w:t>
            </w:r>
            <w:r>
              <w:rPr>
                <w:noProof/>
                <w:webHidden/>
              </w:rPr>
              <w:fldChar w:fldCharType="end"/>
            </w:r>
          </w:hyperlink>
        </w:p>
        <w:p w14:paraId="6244C3F8" w14:textId="2D46D9D9" w:rsidR="00CA1223" w:rsidRDefault="00CA1223">
          <w:pPr>
            <w:pStyle w:val="TOC1"/>
            <w:rPr>
              <w:rFonts w:asciiTheme="minorHAnsi" w:eastAsiaTheme="minorEastAsia" w:hAnsiTheme="minorHAnsi" w:cstheme="minorBidi"/>
              <w:b w:val="0"/>
              <w:noProof/>
              <w:kern w:val="2"/>
              <w:sz w:val="24"/>
              <w:szCs w:val="24"/>
              <w:lang w:eastAsia="en-AU"/>
              <w14:ligatures w14:val="standardContextual"/>
            </w:rPr>
          </w:pPr>
          <w:hyperlink w:anchor="_Toc210053608" w:history="1">
            <w:r w:rsidRPr="00CA1223">
              <w:rPr>
                <w:rStyle w:val="Hyperlink"/>
                <w:noProof/>
                <w:color w:val="auto"/>
              </w:rPr>
              <w:t>3.</w:t>
            </w:r>
            <w:r>
              <w:rPr>
                <w:rFonts w:asciiTheme="minorHAnsi" w:eastAsiaTheme="minorEastAsia" w:hAnsiTheme="minorHAnsi" w:cstheme="minorBidi"/>
                <w:b w:val="0"/>
                <w:noProof/>
                <w:kern w:val="2"/>
                <w:sz w:val="24"/>
                <w:szCs w:val="24"/>
                <w:lang w:eastAsia="en-AU"/>
                <w14:ligatures w14:val="standardContextual"/>
              </w:rPr>
              <w:tab/>
            </w:r>
            <w:r w:rsidRPr="00CA1223">
              <w:rPr>
                <w:rStyle w:val="Hyperlink"/>
                <w:noProof/>
                <w:color w:val="auto"/>
              </w:rPr>
              <w:t>The Scheme</w:t>
            </w:r>
            <w:r>
              <w:rPr>
                <w:noProof/>
                <w:webHidden/>
              </w:rPr>
              <w:tab/>
            </w:r>
            <w:r>
              <w:rPr>
                <w:noProof/>
                <w:webHidden/>
              </w:rPr>
              <w:fldChar w:fldCharType="begin"/>
            </w:r>
            <w:r>
              <w:rPr>
                <w:noProof/>
                <w:webHidden/>
              </w:rPr>
              <w:instrText xml:space="preserve"> PAGEREF _Toc210053608 \h </w:instrText>
            </w:r>
            <w:r>
              <w:rPr>
                <w:noProof/>
                <w:webHidden/>
              </w:rPr>
            </w:r>
            <w:r>
              <w:rPr>
                <w:noProof/>
                <w:webHidden/>
              </w:rPr>
              <w:fldChar w:fldCharType="separate"/>
            </w:r>
            <w:r>
              <w:rPr>
                <w:noProof/>
                <w:webHidden/>
              </w:rPr>
              <w:t>18</w:t>
            </w:r>
            <w:r>
              <w:rPr>
                <w:noProof/>
                <w:webHidden/>
              </w:rPr>
              <w:fldChar w:fldCharType="end"/>
            </w:r>
          </w:hyperlink>
        </w:p>
        <w:p w14:paraId="031EFD54" w14:textId="7634D8A1" w:rsidR="00CA1223" w:rsidRDefault="00CA1223">
          <w:pPr>
            <w:pStyle w:val="TOC2"/>
            <w:rPr>
              <w:rFonts w:asciiTheme="minorHAnsi" w:eastAsiaTheme="minorEastAsia" w:hAnsiTheme="minorHAnsi" w:cstheme="minorBidi"/>
              <w:noProof/>
              <w:kern w:val="2"/>
              <w:sz w:val="24"/>
              <w:szCs w:val="24"/>
              <w:lang w:eastAsia="en-AU"/>
              <w14:ligatures w14:val="standardContextual"/>
            </w:rPr>
          </w:pPr>
          <w:hyperlink w:anchor="_Toc210053609" w:history="1">
            <w:r w:rsidRPr="00CA1223">
              <w:rPr>
                <w:rStyle w:val="Hyperlink"/>
                <w:noProof/>
                <w:color w:val="auto"/>
              </w:rPr>
              <w:t>3.1</w:t>
            </w:r>
            <w:r>
              <w:rPr>
                <w:rFonts w:asciiTheme="minorHAnsi" w:eastAsiaTheme="minorEastAsia" w:hAnsiTheme="minorHAnsi" w:cstheme="minorBidi"/>
                <w:noProof/>
                <w:kern w:val="2"/>
                <w:sz w:val="24"/>
                <w:szCs w:val="24"/>
                <w:lang w:eastAsia="en-AU"/>
                <w14:ligatures w14:val="standardContextual"/>
              </w:rPr>
              <w:tab/>
            </w:r>
            <w:r w:rsidRPr="00CA1223">
              <w:rPr>
                <w:rStyle w:val="Hyperlink"/>
                <w:noProof/>
                <w:color w:val="auto"/>
              </w:rPr>
              <w:t>Overview of the scheme</w:t>
            </w:r>
            <w:r>
              <w:rPr>
                <w:noProof/>
                <w:webHidden/>
              </w:rPr>
              <w:tab/>
            </w:r>
            <w:r>
              <w:rPr>
                <w:noProof/>
                <w:webHidden/>
              </w:rPr>
              <w:fldChar w:fldCharType="begin"/>
            </w:r>
            <w:r>
              <w:rPr>
                <w:noProof/>
                <w:webHidden/>
              </w:rPr>
              <w:instrText xml:space="preserve"> PAGEREF _Toc210053609 \h </w:instrText>
            </w:r>
            <w:r>
              <w:rPr>
                <w:noProof/>
                <w:webHidden/>
              </w:rPr>
            </w:r>
            <w:r>
              <w:rPr>
                <w:noProof/>
                <w:webHidden/>
              </w:rPr>
              <w:fldChar w:fldCharType="separate"/>
            </w:r>
            <w:r>
              <w:rPr>
                <w:noProof/>
                <w:webHidden/>
              </w:rPr>
              <w:t>18</w:t>
            </w:r>
            <w:r>
              <w:rPr>
                <w:noProof/>
                <w:webHidden/>
              </w:rPr>
              <w:fldChar w:fldCharType="end"/>
            </w:r>
          </w:hyperlink>
        </w:p>
        <w:p w14:paraId="56E93922" w14:textId="7636E603" w:rsidR="00CA1223" w:rsidRDefault="00CA1223">
          <w:pPr>
            <w:pStyle w:val="TOC2"/>
            <w:rPr>
              <w:rFonts w:asciiTheme="minorHAnsi" w:eastAsiaTheme="minorEastAsia" w:hAnsiTheme="minorHAnsi" w:cstheme="minorBidi"/>
              <w:noProof/>
              <w:kern w:val="2"/>
              <w:sz w:val="24"/>
              <w:szCs w:val="24"/>
              <w:lang w:eastAsia="en-AU"/>
              <w14:ligatures w14:val="standardContextual"/>
            </w:rPr>
          </w:pPr>
          <w:hyperlink w:anchor="_Toc210053610" w:history="1">
            <w:r w:rsidRPr="00CA1223">
              <w:rPr>
                <w:rStyle w:val="Hyperlink"/>
                <w:noProof/>
                <w:color w:val="auto"/>
              </w:rPr>
              <w:t>3.2</w:t>
            </w:r>
            <w:r>
              <w:rPr>
                <w:rFonts w:asciiTheme="minorHAnsi" w:eastAsiaTheme="minorEastAsia" w:hAnsiTheme="minorHAnsi" w:cstheme="minorBidi"/>
                <w:noProof/>
                <w:kern w:val="2"/>
                <w:sz w:val="24"/>
                <w:szCs w:val="24"/>
                <w:lang w:eastAsia="en-AU"/>
                <w14:ligatures w14:val="standardContextual"/>
              </w:rPr>
              <w:tab/>
            </w:r>
            <w:r w:rsidRPr="00CA1223">
              <w:rPr>
                <w:rStyle w:val="Hyperlink"/>
                <w:noProof/>
                <w:color w:val="auto"/>
              </w:rPr>
              <w:t>Authorised persons</w:t>
            </w:r>
            <w:r>
              <w:rPr>
                <w:noProof/>
                <w:webHidden/>
              </w:rPr>
              <w:tab/>
            </w:r>
            <w:r>
              <w:rPr>
                <w:noProof/>
                <w:webHidden/>
              </w:rPr>
              <w:fldChar w:fldCharType="begin"/>
            </w:r>
            <w:r>
              <w:rPr>
                <w:noProof/>
                <w:webHidden/>
              </w:rPr>
              <w:instrText xml:space="preserve"> PAGEREF _Toc210053610 \h </w:instrText>
            </w:r>
            <w:r>
              <w:rPr>
                <w:noProof/>
                <w:webHidden/>
              </w:rPr>
            </w:r>
            <w:r>
              <w:rPr>
                <w:noProof/>
                <w:webHidden/>
              </w:rPr>
              <w:fldChar w:fldCharType="separate"/>
            </w:r>
            <w:r>
              <w:rPr>
                <w:noProof/>
                <w:webHidden/>
              </w:rPr>
              <w:t>18</w:t>
            </w:r>
            <w:r>
              <w:rPr>
                <w:noProof/>
                <w:webHidden/>
              </w:rPr>
              <w:fldChar w:fldCharType="end"/>
            </w:r>
          </w:hyperlink>
        </w:p>
        <w:p w14:paraId="4C41C158" w14:textId="5F549ED2" w:rsidR="00CA1223" w:rsidRDefault="00CA1223">
          <w:pPr>
            <w:pStyle w:val="TOC2"/>
            <w:rPr>
              <w:rFonts w:asciiTheme="minorHAnsi" w:eastAsiaTheme="minorEastAsia" w:hAnsiTheme="minorHAnsi" w:cstheme="minorBidi"/>
              <w:noProof/>
              <w:kern w:val="2"/>
              <w:sz w:val="24"/>
              <w:szCs w:val="24"/>
              <w:lang w:eastAsia="en-AU"/>
              <w14:ligatures w14:val="standardContextual"/>
            </w:rPr>
          </w:pPr>
          <w:hyperlink w:anchor="_Toc210053611" w:history="1">
            <w:r w:rsidRPr="00CA1223">
              <w:rPr>
                <w:rStyle w:val="Hyperlink"/>
                <w:noProof/>
                <w:color w:val="auto"/>
              </w:rPr>
              <w:t>3.3</w:t>
            </w:r>
            <w:r>
              <w:rPr>
                <w:rFonts w:asciiTheme="minorHAnsi" w:eastAsiaTheme="minorEastAsia" w:hAnsiTheme="minorHAnsi" w:cstheme="minorBidi"/>
                <w:noProof/>
                <w:kern w:val="2"/>
                <w:sz w:val="24"/>
                <w:szCs w:val="24"/>
                <w:lang w:eastAsia="en-AU"/>
                <w14:ligatures w14:val="standardContextual"/>
              </w:rPr>
              <w:tab/>
            </w:r>
            <w:r w:rsidRPr="00CA1223">
              <w:rPr>
                <w:rStyle w:val="Hyperlink"/>
                <w:noProof/>
                <w:color w:val="auto"/>
              </w:rPr>
              <w:t>Immediate and ongoing orders</w:t>
            </w:r>
            <w:r>
              <w:rPr>
                <w:noProof/>
                <w:webHidden/>
              </w:rPr>
              <w:tab/>
            </w:r>
            <w:r>
              <w:rPr>
                <w:noProof/>
                <w:webHidden/>
              </w:rPr>
              <w:fldChar w:fldCharType="begin"/>
            </w:r>
            <w:r>
              <w:rPr>
                <w:noProof/>
                <w:webHidden/>
              </w:rPr>
              <w:instrText xml:space="preserve"> PAGEREF _Toc210053611 \h </w:instrText>
            </w:r>
            <w:r>
              <w:rPr>
                <w:noProof/>
                <w:webHidden/>
              </w:rPr>
            </w:r>
            <w:r>
              <w:rPr>
                <w:noProof/>
                <w:webHidden/>
              </w:rPr>
              <w:fldChar w:fldCharType="separate"/>
            </w:r>
            <w:r>
              <w:rPr>
                <w:noProof/>
                <w:webHidden/>
              </w:rPr>
              <w:t>19</w:t>
            </w:r>
            <w:r>
              <w:rPr>
                <w:noProof/>
                <w:webHidden/>
              </w:rPr>
              <w:fldChar w:fldCharType="end"/>
            </w:r>
          </w:hyperlink>
        </w:p>
        <w:p w14:paraId="11A31E58" w14:textId="42034072" w:rsidR="00CA1223" w:rsidRDefault="00CA1223">
          <w:pPr>
            <w:pStyle w:val="TOC2"/>
            <w:rPr>
              <w:rFonts w:asciiTheme="minorHAnsi" w:eastAsiaTheme="minorEastAsia" w:hAnsiTheme="minorHAnsi" w:cstheme="minorBidi"/>
              <w:noProof/>
              <w:kern w:val="2"/>
              <w:sz w:val="24"/>
              <w:szCs w:val="24"/>
              <w:lang w:eastAsia="en-AU"/>
              <w14:ligatures w14:val="standardContextual"/>
            </w:rPr>
          </w:pPr>
          <w:hyperlink w:anchor="_Toc210053612" w:history="1">
            <w:r w:rsidRPr="00CA1223">
              <w:rPr>
                <w:rStyle w:val="Hyperlink"/>
                <w:noProof/>
                <w:color w:val="auto"/>
              </w:rPr>
              <w:t>3.4</w:t>
            </w:r>
            <w:r>
              <w:rPr>
                <w:rFonts w:asciiTheme="minorHAnsi" w:eastAsiaTheme="minorEastAsia" w:hAnsiTheme="minorHAnsi" w:cstheme="minorBidi"/>
                <w:noProof/>
                <w:kern w:val="2"/>
                <w:sz w:val="24"/>
                <w:szCs w:val="24"/>
                <w:lang w:eastAsia="en-AU"/>
                <w14:ligatures w14:val="standardContextual"/>
              </w:rPr>
              <w:tab/>
            </w:r>
            <w:r w:rsidRPr="00CA1223">
              <w:rPr>
                <w:rStyle w:val="Hyperlink"/>
                <w:noProof/>
                <w:color w:val="auto"/>
              </w:rPr>
              <w:t>Grounds for making orders</w:t>
            </w:r>
            <w:r>
              <w:rPr>
                <w:noProof/>
                <w:webHidden/>
              </w:rPr>
              <w:tab/>
            </w:r>
            <w:r>
              <w:rPr>
                <w:noProof/>
                <w:webHidden/>
              </w:rPr>
              <w:fldChar w:fldCharType="begin"/>
            </w:r>
            <w:r>
              <w:rPr>
                <w:noProof/>
                <w:webHidden/>
              </w:rPr>
              <w:instrText xml:space="preserve"> PAGEREF _Toc210053612 \h </w:instrText>
            </w:r>
            <w:r>
              <w:rPr>
                <w:noProof/>
                <w:webHidden/>
              </w:rPr>
            </w:r>
            <w:r>
              <w:rPr>
                <w:noProof/>
                <w:webHidden/>
              </w:rPr>
              <w:fldChar w:fldCharType="separate"/>
            </w:r>
            <w:r>
              <w:rPr>
                <w:noProof/>
                <w:webHidden/>
              </w:rPr>
              <w:t>20</w:t>
            </w:r>
            <w:r>
              <w:rPr>
                <w:noProof/>
                <w:webHidden/>
              </w:rPr>
              <w:fldChar w:fldCharType="end"/>
            </w:r>
          </w:hyperlink>
        </w:p>
        <w:p w14:paraId="39CFD37C" w14:textId="610704BE" w:rsidR="00CA1223" w:rsidRDefault="00CA1223">
          <w:pPr>
            <w:pStyle w:val="TOC2"/>
            <w:rPr>
              <w:rFonts w:asciiTheme="minorHAnsi" w:eastAsiaTheme="minorEastAsia" w:hAnsiTheme="minorHAnsi" w:cstheme="minorBidi"/>
              <w:noProof/>
              <w:kern w:val="2"/>
              <w:sz w:val="24"/>
              <w:szCs w:val="24"/>
              <w:lang w:eastAsia="en-AU"/>
              <w14:ligatures w14:val="standardContextual"/>
            </w:rPr>
          </w:pPr>
          <w:hyperlink w:anchor="_Toc210053613" w:history="1">
            <w:r w:rsidRPr="00CA1223">
              <w:rPr>
                <w:rStyle w:val="Hyperlink"/>
                <w:noProof/>
                <w:color w:val="auto"/>
              </w:rPr>
              <w:t>3.5</w:t>
            </w:r>
            <w:r>
              <w:rPr>
                <w:rFonts w:asciiTheme="minorHAnsi" w:eastAsiaTheme="minorEastAsia" w:hAnsiTheme="minorHAnsi" w:cstheme="minorBidi"/>
                <w:noProof/>
                <w:kern w:val="2"/>
                <w:sz w:val="24"/>
                <w:szCs w:val="24"/>
                <w:lang w:eastAsia="en-AU"/>
                <w14:ligatures w14:val="standardContextual"/>
              </w:rPr>
              <w:tab/>
            </w:r>
            <w:r w:rsidRPr="00CA1223">
              <w:rPr>
                <w:rStyle w:val="Hyperlink"/>
                <w:noProof/>
                <w:color w:val="auto"/>
              </w:rPr>
              <w:t>Mandatory considerations</w:t>
            </w:r>
            <w:r>
              <w:rPr>
                <w:noProof/>
                <w:webHidden/>
              </w:rPr>
              <w:tab/>
            </w:r>
            <w:r>
              <w:rPr>
                <w:noProof/>
                <w:webHidden/>
              </w:rPr>
              <w:fldChar w:fldCharType="begin"/>
            </w:r>
            <w:r>
              <w:rPr>
                <w:noProof/>
                <w:webHidden/>
              </w:rPr>
              <w:instrText xml:space="preserve"> PAGEREF _Toc210053613 \h </w:instrText>
            </w:r>
            <w:r>
              <w:rPr>
                <w:noProof/>
                <w:webHidden/>
              </w:rPr>
            </w:r>
            <w:r>
              <w:rPr>
                <w:noProof/>
                <w:webHidden/>
              </w:rPr>
              <w:fldChar w:fldCharType="separate"/>
            </w:r>
            <w:r>
              <w:rPr>
                <w:noProof/>
                <w:webHidden/>
              </w:rPr>
              <w:t>22</w:t>
            </w:r>
            <w:r>
              <w:rPr>
                <w:noProof/>
                <w:webHidden/>
              </w:rPr>
              <w:fldChar w:fldCharType="end"/>
            </w:r>
          </w:hyperlink>
        </w:p>
        <w:p w14:paraId="74F11AC1" w14:textId="73FDFC04" w:rsidR="00CA1223" w:rsidRDefault="00CA1223">
          <w:pPr>
            <w:pStyle w:val="TOC2"/>
            <w:rPr>
              <w:rFonts w:asciiTheme="minorHAnsi" w:eastAsiaTheme="minorEastAsia" w:hAnsiTheme="minorHAnsi" w:cstheme="minorBidi"/>
              <w:noProof/>
              <w:kern w:val="2"/>
              <w:sz w:val="24"/>
              <w:szCs w:val="24"/>
              <w:lang w:eastAsia="en-AU"/>
              <w14:ligatures w14:val="standardContextual"/>
            </w:rPr>
          </w:pPr>
          <w:hyperlink w:anchor="_Toc210053614" w:history="1">
            <w:r w:rsidRPr="00CA1223">
              <w:rPr>
                <w:rStyle w:val="Hyperlink"/>
                <w:noProof/>
                <w:color w:val="auto"/>
              </w:rPr>
              <w:t>3.6</w:t>
            </w:r>
            <w:r>
              <w:rPr>
                <w:rFonts w:asciiTheme="minorHAnsi" w:eastAsiaTheme="minorEastAsia" w:hAnsiTheme="minorHAnsi" w:cstheme="minorBidi"/>
                <w:noProof/>
                <w:kern w:val="2"/>
                <w:sz w:val="24"/>
                <w:szCs w:val="24"/>
                <w:lang w:eastAsia="en-AU"/>
                <w14:ligatures w14:val="standardContextual"/>
              </w:rPr>
              <w:tab/>
            </w:r>
            <w:r w:rsidRPr="00CA1223">
              <w:rPr>
                <w:rStyle w:val="Hyperlink"/>
                <w:noProof/>
                <w:color w:val="auto"/>
              </w:rPr>
              <w:t>Procedures for making orders</w:t>
            </w:r>
            <w:r>
              <w:rPr>
                <w:noProof/>
                <w:webHidden/>
              </w:rPr>
              <w:tab/>
            </w:r>
            <w:r>
              <w:rPr>
                <w:noProof/>
                <w:webHidden/>
              </w:rPr>
              <w:fldChar w:fldCharType="begin"/>
            </w:r>
            <w:r>
              <w:rPr>
                <w:noProof/>
                <w:webHidden/>
              </w:rPr>
              <w:instrText xml:space="preserve"> PAGEREF _Toc210053614 \h </w:instrText>
            </w:r>
            <w:r>
              <w:rPr>
                <w:noProof/>
                <w:webHidden/>
              </w:rPr>
            </w:r>
            <w:r>
              <w:rPr>
                <w:noProof/>
                <w:webHidden/>
              </w:rPr>
              <w:fldChar w:fldCharType="separate"/>
            </w:r>
            <w:r>
              <w:rPr>
                <w:noProof/>
                <w:webHidden/>
              </w:rPr>
              <w:t>22</w:t>
            </w:r>
            <w:r>
              <w:rPr>
                <w:noProof/>
                <w:webHidden/>
              </w:rPr>
              <w:fldChar w:fldCharType="end"/>
            </w:r>
          </w:hyperlink>
        </w:p>
        <w:p w14:paraId="609C4EBB" w14:textId="09AE78F6" w:rsidR="00CA1223" w:rsidRDefault="00CA1223">
          <w:pPr>
            <w:pStyle w:val="TOC2"/>
            <w:rPr>
              <w:rFonts w:asciiTheme="minorHAnsi" w:eastAsiaTheme="minorEastAsia" w:hAnsiTheme="minorHAnsi" w:cstheme="minorBidi"/>
              <w:noProof/>
              <w:kern w:val="2"/>
              <w:sz w:val="24"/>
              <w:szCs w:val="24"/>
              <w:lang w:eastAsia="en-AU"/>
              <w14:ligatures w14:val="standardContextual"/>
            </w:rPr>
          </w:pPr>
          <w:hyperlink w:anchor="_Toc210053615" w:history="1">
            <w:r w:rsidRPr="00CA1223">
              <w:rPr>
                <w:rStyle w:val="Hyperlink"/>
                <w:noProof/>
                <w:color w:val="auto"/>
              </w:rPr>
              <w:t>3.7</w:t>
            </w:r>
            <w:r>
              <w:rPr>
                <w:rFonts w:asciiTheme="minorHAnsi" w:eastAsiaTheme="minorEastAsia" w:hAnsiTheme="minorHAnsi" w:cstheme="minorBidi"/>
                <w:noProof/>
                <w:kern w:val="2"/>
                <w:sz w:val="24"/>
                <w:szCs w:val="24"/>
                <w:lang w:eastAsia="en-AU"/>
                <w14:ligatures w14:val="standardContextual"/>
              </w:rPr>
              <w:tab/>
            </w:r>
            <w:r w:rsidRPr="00CA1223">
              <w:rPr>
                <w:rStyle w:val="Hyperlink"/>
                <w:noProof/>
                <w:color w:val="auto"/>
              </w:rPr>
              <w:t>Content and effect of orders</w:t>
            </w:r>
            <w:r>
              <w:rPr>
                <w:noProof/>
                <w:webHidden/>
              </w:rPr>
              <w:tab/>
            </w:r>
            <w:r>
              <w:rPr>
                <w:noProof/>
                <w:webHidden/>
              </w:rPr>
              <w:fldChar w:fldCharType="begin"/>
            </w:r>
            <w:r>
              <w:rPr>
                <w:noProof/>
                <w:webHidden/>
              </w:rPr>
              <w:instrText xml:space="preserve"> PAGEREF _Toc210053615 \h </w:instrText>
            </w:r>
            <w:r>
              <w:rPr>
                <w:noProof/>
                <w:webHidden/>
              </w:rPr>
            </w:r>
            <w:r>
              <w:rPr>
                <w:noProof/>
                <w:webHidden/>
              </w:rPr>
              <w:fldChar w:fldCharType="separate"/>
            </w:r>
            <w:r>
              <w:rPr>
                <w:noProof/>
                <w:webHidden/>
              </w:rPr>
              <w:t>23</w:t>
            </w:r>
            <w:r>
              <w:rPr>
                <w:noProof/>
                <w:webHidden/>
              </w:rPr>
              <w:fldChar w:fldCharType="end"/>
            </w:r>
          </w:hyperlink>
        </w:p>
        <w:p w14:paraId="67853612" w14:textId="499E2712" w:rsidR="00CA1223" w:rsidRDefault="00CA1223">
          <w:pPr>
            <w:pStyle w:val="TOC2"/>
            <w:rPr>
              <w:rFonts w:asciiTheme="minorHAnsi" w:eastAsiaTheme="minorEastAsia" w:hAnsiTheme="minorHAnsi" w:cstheme="minorBidi"/>
              <w:noProof/>
              <w:kern w:val="2"/>
              <w:sz w:val="24"/>
              <w:szCs w:val="24"/>
              <w:lang w:eastAsia="en-AU"/>
              <w14:ligatures w14:val="standardContextual"/>
            </w:rPr>
          </w:pPr>
          <w:hyperlink w:anchor="_Toc210053616" w:history="1">
            <w:r w:rsidRPr="00CA1223">
              <w:rPr>
                <w:rStyle w:val="Hyperlink"/>
                <w:noProof/>
                <w:color w:val="auto"/>
              </w:rPr>
              <w:t>3.8</w:t>
            </w:r>
            <w:r>
              <w:rPr>
                <w:rFonts w:asciiTheme="minorHAnsi" w:eastAsiaTheme="minorEastAsia" w:hAnsiTheme="minorHAnsi" w:cstheme="minorBidi"/>
                <w:noProof/>
                <w:kern w:val="2"/>
                <w:sz w:val="24"/>
                <w:szCs w:val="24"/>
                <w:lang w:eastAsia="en-AU"/>
                <w14:ligatures w14:val="standardContextual"/>
              </w:rPr>
              <w:tab/>
            </w:r>
            <w:r w:rsidRPr="00CA1223">
              <w:rPr>
                <w:rStyle w:val="Hyperlink"/>
                <w:noProof/>
                <w:color w:val="auto"/>
              </w:rPr>
              <w:t>Communication and access protocols</w:t>
            </w:r>
            <w:r>
              <w:rPr>
                <w:noProof/>
                <w:webHidden/>
              </w:rPr>
              <w:tab/>
            </w:r>
            <w:r>
              <w:rPr>
                <w:noProof/>
                <w:webHidden/>
              </w:rPr>
              <w:fldChar w:fldCharType="begin"/>
            </w:r>
            <w:r>
              <w:rPr>
                <w:noProof/>
                <w:webHidden/>
              </w:rPr>
              <w:instrText xml:space="preserve"> PAGEREF _Toc210053616 \h </w:instrText>
            </w:r>
            <w:r>
              <w:rPr>
                <w:noProof/>
                <w:webHidden/>
              </w:rPr>
            </w:r>
            <w:r>
              <w:rPr>
                <w:noProof/>
                <w:webHidden/>
              </w:rPr>
              <w:fldChar w:fldCharType="separate"/>
            </w:r>
            <w:r>
              <w:rPr>
                <w:noProof/>
                <w:webHidden/>
              </w:rPr>
              <w:t>24</w:t>
            </w:r>
            <w:r>
              <w:rPr>
                <w:noProof/>
                <w:webHidden/>
              </w:rPr>
              <w:fldChar w:fldCharType="end"/>
            </w:r>
          </w:hyperlink>
        </w:p>
        <w:p w14:paraId="7C783E15" w14:textId="66672295" w:rsidR="00CA1223" w:rsidRDefault="00CA1223">
          <w:pPr>
            <w:pStyle w:val="TOC2"/>
            <w:rPr>
              <w:rFonts w:asciiTheme="minorHAnsi" w:eastAsiaTheme="minorEastAsia" w:hAnsiTheme="minorHAnsi" w:cstheme="minorBidi"/>
              <w:noProof/>
              <w:kern w:val="2"/>
              <w:sz w:val="24"/>
              <w:szCs w:val="24"/>
              <w:lang w:eastAsia="en-AU"/>
              <w14:ligatures w14:val="standardContextual"/>
            </w:rPr>
          </w:pPr>
          <w:hyperlink w:anchor="_Toc210053617" w:history="1">
            <w:r w:rsidRPr="00CA1223">
              <w:rPr>
                <w:rStyle w:val="Hyperlink"/>
                <w:noProof/>
                <w:color w:val="auto"/>
              </w:rPr>
              <w:t>3.9</w:t>
            </w:r>
            <w:r>
              <w:rPr>
                <w:rFonts w:asciiTheme="minorHAnsi" w:eastAsiaTheme="minorEastAsia" w:hAnsiTheme="minorHAnsi" w:cstheme="minorBidi"/>
                <w:noProof/>
                <w:kern w:val="2"/>
                <w:sz w:val="24"/>
                <w:szCs w:val="24"/>
                <w:lang w:eastAsia="en-AU"/>
                <w14:ligatures w14:val="standardContextual"/>
              </w:rPr>
              <w:tab/>
            </w:r>
            <w:r w:rsidRPr="00CA1223">
              <w:rPr>
                <w:rStyle w:val="Hyperlink"/>
                <w:noProof/>
                <w:color w:val="auto"/>
              </w:rPr>
              <w:t>Internal review</w:t>
            </w:r>
            <w:r>
              <w:rPr>
                <w:noProof/>
                <w:webHidden/>
              </w:rPr>
              <w:tab/>
            </w:r>
            <w:r>
              <w:rPr>
                <w:noProof/>
                <w:webHidden/>
              </w:rPr>
              <w:fldChar w:fldCharType="begin"/>
            </w:r>
            <w:r>
              <w:rPr>
                <w:noProof/>
                <w:webHidden/>
              </w:rPr>
              <w:instrText xml:space="preserve"> PAGEREF _Toc210053617 \h </w:instrText>
            </w:r>
            <w:r>
              <w:rPr>
                <w:noProof/>
                <w:webHidden/>
              </w:rPr>
            </w:r>
            <w:r>
              <w:rPr>
                <w:noProof/>
                <w:webHidden/>
              </w:rPr>
              <w:fldChar w:fldCharType="separate"/>
            </w:r>
            <w:r>
              <w:rPr>
                <w:noProof/>
                <w:webHidden/>
              </w:rPr>
              <w:t>24</w:t>
            </w:r>
            <w:r>
              <w:rPr>
                <w:noProof/>
                <w:webHidden/>
              </w:rPr>
              <w:fldChar w:fldCharType="end"/>
            </w:r>
          </w:hyperlink>
        </w:p>
        <w:p w14:paraId="2BF29AE6" w14:textId="1BB1E4A0" w:rsidR="00CA1223" w:rsidRDefault="00CA1223">
          <w:pPr>
            <w:pStyle w:val="TOC2"/>
            <w:rPr>
              <w:rFonts w:asciiTheme="minorHAnsi" w:eastAsiaTheme="minorEastAsia" w:hAnsiTheme="minorHAnsi" w:cstheme="minorBidi"/>
              <w:noProof/>
              <w:kern w:val="2"/>
              <w:sz w:val="24"/>
              <w:szCs w:val="24"/>
              <w:lang w:eastAsia="en-AU"/>
              <w14:ligatures w14:val="standardContextual"/>
            </w:rPr>
          </w:pPr>
          <w:hyperlink w:anchor="_Toc210053618" w:history="1">
            <w:r w:rsidRPr="00CA1223">
              <w:rPr>
                <w:rStyle w:val="Hyperlink"/>
                <w:noProof/>
                <w:color w:val="auto"/>
              </w:rPr>
              <w:t>3.10</w:t>
            </w:r>
            <w:r>
              <w:rPr>
                <w:rFonts w:asciiTheme="minorHAnsi" w:eastAsiaTheme="minorEastAsia" w:hAnsiTheme="minorHAnsi" w:cstheme="minorBidi"/>
                <w:noProof/>
                <w:kern w:val="2"/>
                <w:sz w:val="24"/>
                <w:szCs w:val="24"/>
                <w:lang w:eastAsia="en-AU"/>
                <w14:ligatures w14:val="standardContextual"/>
              </w:rPr>
              <w:tab/>
            </w:r>
            <w:r w:rsidRPr="00CA1223">
              <w:rPr>
                <w:rStyle w:val="Hyperlink"/>
                <w:noProof/>
                <w:color w:val="auto"/>
              </w:rPr>
              <w:t>External review</w:t>
            </w:r>
            <w:r>
              <w:rPr>
                <w:noProof/>
                <w:webHidden/>
              </w:rPr>
              <w:tab/>
            </w:r>
            <w:r>
              <w:rPr>
                <w:noProof/>
                <w:webHidden/>
              </w:rPr>
              <w:fldChar w:fldCharType="begin"/>
            </w:r>
            <w:r>
              <w:rPr>
                <w:noProof/>
                <w:webHidden/>
              </w:rPr>
              <w:instrText xml:space="preserve"> PAGEREF _Toc210053618 \h </w:instrText>
            </w:r>
            <w:r>
              <w:rPr>
                <w:noProof/>
                <w:webHidden/>
              </w:rPr>
            </w:r>
            <w:r>
              <w:rPr>
                <w:noProof/>
                <w:webHidden/>
              </w:rPr>
              <w:fldChar w:fldCharType="separate"/>
            </w:r>
            <w:r>
              <w:rPr>
                <w:noProof/>
                <w:webHidden/>
              </w:rPr>
              <w:t>25</w:t>
            </w:r>
            <w:r>
              <w:rPr>
                <w:noProof/>
                <w:webHidden/>
              </w:rPr>
              <w:fldChar w:fldCharType="end"/>
            </w:r>
          </w:hyperlink>
        </w:p>
        <w:p w14:paraId="152D395B" w14:textId="1CC258FA" w:rsidR="00CA1223" w:rsidRDefault="00CA1223">
          <w:pPr>
            <w:pStyle w:val="TOC2"/>
            <w:rPr>
              <w:rFonts w:asciiTheme="minorHAnsi" w:eastAsiaTheme="minorEastAsia" w:hAnsiTheme="minorHAnsi" w:cstheme="minorBidi"/>
              <w:noProof/>
              <w:kern w:val="2"/>
              <w:sz w:val="24"/>
              <w:szCs w:val="24"/>
              <w:lang w:eastAsia="en-AU"/>
              <w14:ligatures w14:val="standardContextual"/>
            </w:rPr>
          </w:pPr>
          <w:hyperlink w:anchor="_Toc210053619" w:history="1">
            <w:r w:rsidRPr="00CA1223">
              <w:rPr>
                <w:rStyle w:val="Hyperlink"/>
                <w:noProof/>
                <w:color w:val="auto"/>
              </w:rPr>
              <w:t>3.11</w:t>
            </w:r>
            <w:r>
              <w:rPr>
                <w:rFonts w:asciiTheme="minorHAnsi" w:eastAsiaTheme="minorEastAsia" w:hAnsiTheme="minorHAnsi" w:cstheme="minorBidi"/>
                <w:noProof/>
                <w:kern w:val="2"/>
                <w:sz w:val="24"/>
                <w:szCs w:val="24"/>
                <w:lang w:eastAsia="en-AU"/>
                <w14:ligatures w14:val="standardContextual"/>
              </w:rPr>
              <w:tab/>
            </w:r>
            <w:r w:rsidRPr="00CA1223">
              <w:rPr>
                <w:rStyle w:val="Hyperlink"/>
                <w:noProof/>
                <w:color w:val="auto"/>
              </w:rPr>
              <w:t>Monitoring and enforcement</w:t>
            </w:r>
            <w:r>
              <w:rPr>
                <w:noProof/>
                <w:webHidden/>
              </w:rPr>
              <w:tab/>
            </w:r>
            <w:r>
              <w:rPr>
                <w:noProof/>
                <w:webHidden/>
              </w:rPr>
              <w:fldChar w:fldCharType="begin"/>
            </w:r>
            <w:r>
              <w:rPr>
                <w:noProof/>
                <w:webHidden/>
              </w:rPr>
              <w:instrText xml:space="preserve"> PAGEREF _Toc210053619 \h </w:instrText>
            </w:r>
            <w:r>
              <w:rPr>
                <w:noProof/>
                <w:webHidden/>
              </w:rPr>
            </w:r>
            <w:r>
              <w:rPr>
                <w:noProof/>
                <w:webHidden/>
              </w:rPr>
              <w:fldChar w:fldCharType="separate"/>
            </w:r>
            <w:r>
              <w:rPr>
                <w:noProof/>
                <w:webHidden/>
              </w:rPr>
              <w:t>25</w:t>
            </w:r>
            <w:r>
              <w:rPr>
                <w:noProof/>
                <w:webHidden/>
              </w:rPr>
              <w:fldChar w:fldCharType="end"/>
            </w:r>
          </w:hyperlink>
        </w:p>
        <w:p w14:paraId="02FE1CB2" w14:textId="2866F4E7" w:rsidR="00CA1223" w:rsidRDefault="00CA1223">
          <w:pPr>
            <w:pStyle w:val="TOC2"/>
            <w:rPr>
              <w:rFonts w:asciiTheme="minorHAnsi" w:eastAsiaTheme="minorEastAsia" w:hAnsiTheme="minorHAnsi" w:cstheme="minorBidi"/>
              <w:noProof/>
              <w:kern w:val="2"/>
              <w:sz w:val="24"/>
              <w:szCs w:val="24"/>
              <w:lang w:eastAsia="en-AU"/>
              <w14:ligatures w14:val="standardContextual"/>
            </w:rPr>
          </w:pPr>
          <w:hyperlink w:anchor="_Toc210053620" w:history="1">
            <w:r w:rsidRPr="00CA1223">
              <w:rPr>
                <w:rStyle w:val="Hyperlink"/>
                <w:noProof/>
                <w:color w:val="auto"/>
              </w:rPr>
              <w:t>3.12</w:t>
            </w:r>
            <w:r>
              <w:rPr>
                <w:rFonts w:asciiTheme="minorHAnsi" w:eastAsiaTheme="minorEastAsia" w:hAnsiTheme="minorHAnsi" w:cstheme="minorBidi"/>
                <w:noProof/>
                <w:kern w:val="2"/>
                <w:sz w:val="24"/>
                <w:szCs w:val="24"/>
                <w:lang w:eastAsia="en-AU"/>
                <w14:ligatures w14:val="standardContextual"/>
              </w:rPr>
              <w:tab/>
            </w:r>
            <w:r w:rsidRPr="00CA1223">
              <w:rPr>
                <w:rStyle w:val="Hyperlink"/>
                <w:noProof/>
                <w:color w:val="auto"/>
              </w:rPr>
              <w:t>Alternatives to the Scheme</w:t>
            </w:r>
            <w:r>
              <w:rPr>
                <w:noProof/>
                <w:webHidden/>
              </w:rPr>
              <w:tab/>
            </w:r>
            <w:r>
              <w:rPr>
                <w:noProof/>
                <w:webHidden/>
              </w:rPr>
              <w:fldChar w:fldCharType="begin"/>
            </w:r>
            <w:r>
              <w:rPr>
                <w:noProof/>
                <w:webHidden/>
              </w:rPr>
              <w:instrText xml:space="preserve"> PAGEREF _Toc210053620 \h </w:instrText>
            </w:r>
            <w:r>
              <w:rPr>
                <w:noProof/>
                <w:webHidden/>
              </w:rPr>
            </w:r>
            <w:r>
              <w:rPr>
                <w:noProof/>
                <w:webHidden/>
              </w:rPr>
              <w:fldChar w:fldCharType="separate"/>
            </w:r>
            <w:r>
              <w:rPr>
                <w:noProof/>
                <w:webHidden/>
              </w:rPr>
              <w:t>26</w:t>
            </w:r>
            <w:r>
              <w:rPr>
                <w:noProof/>
                <w:webHidden/>
              </w:rPr>
              <w:fldChar w:fldCharType="end"/>
            </w:r>
          </w:hyperlink>
        </w:p>
        <w:p w14:paraId="699F9AD3" w14:textId="48B93073" w:rsidR="00CA1223" w:rsidRDefault="00CA1223">
          <w:pPr>
            <w:pStyle w:val="TOC2"/>
            <w:rPr>
              <w:rFonts w:asciiTheme="minorHAnsi" w:eastAsiaTheme="minorEastAsia" w:hAnsiTheme="minorHAnsi" w:cstheme="minorBidi"/>
              <w:noProof/>
              <w:kern w:val="2"/>
              <w:sz w:val="24"/>
              <w:szCs w:val="24"/>
              <w:lang w:eastAsia="en-AU"/>
              <w14:ligatures w14:val="standardContextual"/>
            </w:rPr>
          </w:pPr>
          <w:hyperlink w:anchor="_Toc210053621" w:history="1">
            <w:r w:rsidRPr="00CA1223">
              <w:rPr>
                <w:rStyle w:val="Hyperlink"/>
                <w:noProof/>
                <w:color w:val="auto"/>
              </w:rPr>
              <w:t>3.13</w:t>
            </w:r>
            <w:r>
              <w:rPr>
                <w:rFonts w:asciiTheme="minorHAnsi" w:eastAsiaTheme="minorEastAsia" w:hAnsiTheme="minorHAnsi" w:cstheme="minorBidi"/>
                <w:noProof/>
                <w:kern w:val="2"/>
                <w:sz w:val="24"/>
                <w:szCs w:val="24"/>
                <w:lang w:eastAsia="en-AU"/>
                <w14:ligatures w14:val="standardContextual"/>
              </w:rPr>
              <w:tab/>
            </w:r>
            <w:r w:rsidRPr="00CA1223">
              <w:rPr>
                <w:rStyle w:val="Hyperlink"/>
                <w:noProof/>
                <w:color w:val="auto"/>
              </w:rPr>
              <w:t>Interstate and overseas comparisons</w:t>
            </w:r>
            <w:r>
              <w:rPr>
                <w:noProof/>
                <w:webHidden/>
              </w:rPr>
              <w:tab/>
            </w:r>
            <w:r>
              <w:rPr>
                <w:noProof/>
                <w:webHidden/>
              </w:rPr>
              <w:fldChar w:fldCharType="begin"/>
            </w:r>
            <w:r>
              <w:rPr>
                <w:noProof/>
                <w:webHidden/>
              </w:rPr>
              <w:instrText xml:space="preserve"> PAGEREF _Toc210053621 \h </w:instrText>
            </w:r>
            <w:r>
              <w:rPr>
                <w:noProof/>
                <w:webHidden/>
              </w:rPr>
            </w:r>
            <w:r>
              <w:rPr>
                <w:noProof/>
                <w:webHidden/>
              </w:rPr>
              <w:fldChar w:fldCharType="separate"/>
            </w:r>
            <w:r>
              <w:rPr>
                <w:noProof/>
                <w:webHidden/>
              </w:rPr>
              <w:t>26</w:t>
            </w:r>
            <w:r>
              <w:rPr>
                <w:noProof/>
                <w:webHidden/>
              </w:rPr>
              <w:fldChar w:fldCharType="end"/>
            </w:r>
          </w:hyperlink>
        </w:p>
        <w:p w14:paraId="2B037968" w14:textId="0D7CD648" w:rsidR="00CA1223" w:rsidRDefault="00CA1223">
          <w:pPr>
            <w:pStyle w:val="TOC1"/>
            <w:rPr>
              <w:rFonts w:asciiTheme="minorHAnsi" w:eastAsiaTheme="minorEastAsia" w:hAnsiTheme="minorHAnsi" w:cstheme="minorBidi"/>
              <w:b w:val="0"/>
              <w:noProof/>
              <w:kern w:val="2"/>
              <w:sz w:val="24"/>
              <w:szCs w:val="24"/>
              <w:lang w:eastAsia="en-AU"/>
              <w14:ligatures w14:val="standardContextual"/>
            </w:rPr>
          </w:pPr>
          <w:hyperlink w:anchor="_Toc210053622" w:history="1">
            <w:r w:rsidRPr="00CA1223">
              <w:rPr>
                <w:rStyle w:val="Hyperlink"/>
                <w:noProof/>
                <w:color w:val="auto"/>
              </w:rPr>
              <w:t>4.</w:t>
            </w:r>
            <w:r>
              <w:rPr>
                <w:rFonts w:asciiTheme="minorHAnsi" w:eastAsiaTheme="minorEastAsia" w:hAnsiTheme="minorHAnsi" w:cstheme="minorBidi"/>
                <w:b w:val="0"/>
                <w:noProof/>
                <w:kern w:val="2"/>
                <w:sz w:val="24"/>
                <w:szCs w:val="24"/>
                <w:lang w:eastAsia="en-AU"/>
                <w14:ligatures w14:val="standardContextual"/>
              </w:rPr>
              <w:tab/>
            </w:r>
            <w:r w:rsidRPr="00CA1223">
              <w:rPr>
                <w:rStyle w:val="Hyperlink"/>
                <w:noProof/>
                <w:color w:val="auto"/>
              </w:rPr>
              <w:t>Findings and Recommendations</w:t>
            </w:r>
            <w:r>
              <w:rPr>
                <w:noProof/>
                <w:webHidden/>
              </w:rPr>
              <w:tab/>
            </w:r>
            <w:r>
              <w:rPr>
                <w:noProof/>
                <w:webHidden/>
              </w:rPr>
              <w:fldChar w:fldCharType="begin"/>
            </w:r>
            <w:r>
              <w:rPr>
                <w:noProof/>
                <w:webHidden/>
              </w:rPr>
              <w:instrText xml:space="preserve"> PAGEREF _Toc210053622 \h </w:instrText>
            </w:r>
            <w:r>
              <w:rPr>
                <w:noProof/>
                <w:webHidden/>
              </w:rPr>
            </w:r>
            <w:r>
              <w:rPr>
                <w:noProof/>
                <w:webHidden/>
              </w:rPr>
              <w:fldChar w:fldCharType="separate"/>
            </w:r>
            <w:r>
              <w:rPr>
                <w:noProof/>
                <w:webHidden/>
              </w:rPr>
              <w:t>28</w:t>
            </w:r>
            <w:r>
              <w:rPr>
                <w:noProof/>
                <w:webHidden/>
              </w:rPr>
              <w:fldChar w:fldCharType="end"/>
            </w:r>
          </w:hyperlink>
        </w:p>
        <w:p w14:paraId="3F5552B6" w14:textId="5B123DF4" w:rsidR="00CA1223" w:rsidRDefault="00CA1223">
          <w:pPr>
            <w:pStyle w:val="TOC2"/>
            <w:rPr>
              <w:rFonts w:asciiTheme="minorHAnsi" w:eastAsiaTheme="minorEastAsia" w:hAnsiTheme="minorHAnsi" w:cstheme="minorBidi"/>
              <w:noProof/>
              <w:kern w:val="2"/>
              <w:sz w:val="24"/>
              <w:szCs w:val="24"/>
              <w:lang w:eastAsia="en-AU"/>
              <w14:ligatures w14:val="standardContextual"/>
            </w:rPr>
          </w:pPr>
          <w:hyperlink w:anchor="_Toc210053623" w:history="1">
            <w:r w:rsidRPr="00CA1223">
              <w:rPr>
                <w:rStyle w:val="Hyperlink"/>
                <w:noProof/>
                <w:color w:val="auto"/>
              </w:rPr>
              <w:t>4.1</w:t>
            </w:r>
            <w:r>
              <w:rPr>
                <w:rFonts w:asciiTheme="minorHAnsi" w:eastAsiaTheme="minorEastAsia" w:hAnsiTheme="minorHAnsi" w:cstheme="minorBidi"/>
                <w:noProof/>
                <w:kern w:val="2"/>
                <w:sz w:val="24"/>
                <w:szCs w:val="24"/>
                <w:lang w:eastAsia="en-AU"/>
                <w14:ligatures w14:val="standardContextual"/>
              </w:rPr>
              <w:tab/>
            </w:r>
            <w:r w:rsidRPr="00CA1223">
              <w:rPr>
                <w:rStyle w:val="Hyperlink"/>
                <w:noProof/>
                <w:color w:val="auto"/>
              </w:rPr>
              <w:t>Summary</w:t>
            </w:r>
            <w:r>
              <w:rPr>
                <w:noProof/>
                <w:webHidden/>
              </w:rPr>
              <w:tab/>
            </w:r>
            <w:r>
              <w:rPr>
                <w:noProof/>
                <w:webHidden/>
              </w:rPr>
              <w:fldChar w:fldCharType="begin"/>
            </w:r>
            <w:r>
              <w:rPr>
                <w:noProof/>
                <w:webHidden/>
              </w:rPr>
              <w:instrText xml:space="preserve"> PAGEREF _Toc210053623 \h </w:instrText>
            </w:r>
            <w:r>
              <w:rPr>
                <w:noProof/>
                <w:webHidden/>
              </w:rPr>
            </w:r>
            <w:r>
              <w:rPr>
                <w:noProof/>
                <w:webHidden/>
              </w:rPr>
              <w:fldChar w:fldCharType="separate"/>
            </w:r>
            <w:r>
              <w:rPr>
                <w:noProof/>
                <w:webHidden/>
              </w:rPr>
              <w:t>28</w:t>
            </w:r>
            <w:r>
              <w:rPr>
                <w:noProof/>
                <w:webHidden/>
              </w:rPr>
              <w:fldChar w:fldCharType="end"/>
            </w:r>
          </w:hyperlink>
        </w:p>
        <w:p w14:paraId="4752F858" w14:textId="4D6324C5" w:rsidR="00CA1223" w:rsidRDefault="00CA1223">
          <w:pPr>
            <w:pStyle w:val="TOC2"/>
            <w:rPr>
              <w:rFonts w:asciiTheme="minorHAnsi" w:eastAsiaTheme="minorEastAsia" w:hAnsiTheme="minorHAnsi" w:cstheme="minorBidi"/>
              <w:noProof/>
              <w:kern w:val="2"/>
              <w:sz w:val="24"/>
              <w:szCs w:val="24"/>
              <w:lang w:eastAsia="en-AU"/>
              <w14:ligatures w14:val="standardContextual"/>
            </w:rPr>
          </w:pPr>
          <w:hyperlink w:anchor="_Toc210053624" w:history="1">
            <w:r w:rsidRPr="00CA1223">
              <w:rPr>
                <w:rStyle w:val="Hyperlink"/>
                <w:noProof/>
                <w:color w:val="auto"/>
              </w:rPr>
              <w:t>4.2</w:t>
            </w:r>
            <w:r>
              <w:rPr>
                <w:rFonts w:asciiTheme="minorHAnsi" w:eastAsiaTheme="minorEastAsia" w:hAnsiTheme="minorHAnsi" w:cstheme="minorBidi"/>
                <w:noProof/>
                <w:kern w:val="2"/>
                <w:sz w:val="24"/>
                <w:szCs w:val="24"/>
                <w:lang w:eastAsia="en-AU"/>
                <w14:ligatures w14:val="standardContextual"/>
              </w:rPr>
              <w:tab/>
            </w:r>
            <w:r w:rsidRPr="00CA1223">
              <w:rPr>
                <w:rStyle w:val="Hyperlink"/>
                <w:noProof/>
                <w:color w:val="auto"/>
              </w:rPr>
              <w:t>Scope of the scheme</w:t>
            </w:r>
            <w:r>
              <w:rPr>
                <w:noProof/>
                <w:webHidden/>
              </w:rPr>
              <w:tab/>
            </w:r>
            <w:r>
              <w:rPr>
                <w:noProof/>
                <w:webHidden/>
              </w:rPr>
              <w:fldChar w:fldCharType="begin"/>
            </w:r>
            <w:r>
              <w:rPr>
                <w:noProof/>
                <w:webHidden/>
              </w:rPr>
              <w:instrText xml:space="preserve"> PAGEREF _Toc210053624 \h </w:instrText>
            </w:r>
            <w:r>
              <w:rPr>
                <w:noProof/>
                <w:webHidden/>
              </w:rPr>
            </w:r>
            <w:r>
              <w:rPr>
                <w:noProof/>
                <w:webHidden/>
              </w:rPr>
              <w:fldChar w:fldCharType="separate"/>
            </w:r>
            <w:r>
              <w:rPr>
                <w:noProof/>
                <w:webHidden/>
              </w:rPr>
              <w:t>31</w:t>
            </w:r>
            <w:r>
              <w:rPr>
                <w:noProof/>
                <w:webHidden/>
              </w:rPr>
              <w:fldChar w:fldCharType="end"/>
            </w:r>
          </w:hyperlink>
        </w:p>
        <w:p w14:paraId="550E14D8" w14:textId="131A7910" w:rsidR="00CA1223" w:rsidRDefault="00CA1223">
          <w:pPr>
            <w:pStyle w:val="TOC2"/>
            <w:rPr>
              <w:rFonts w:asciiTheme="minorHAnsi" w:eastAsiaTheme="minorEastAsia" w:hAnsiTheme="minorHAnsi" w:cstheme="minorBidi"/>
              <w:noProof/>
              <w:kern w:val="2"/>
              <w:sz w:val="24"/>
              <w:szCs w:val="24"/>
              <w:lang w:eastAsia="en-AU"/>
              <w14:ligatures w14:val="standardContextual"/>
            </w:rPr>
          </w:pPr>
          <w:hyperlink w:anchor="_Toc210053625" w:history="1">
            <w:r w:rsidRPr="00CA1223">
              <w:rPr>
                <w:rStyle w:val="Hyperlink"/>
                <w:noProof/>
                <w:color w:val="auto"/>
              </w:rPr>
              <w:t>4.3</w:t>
            </w:r>
            <w:r>
              <w:rPr>
                <w:rFonts w:asciiTheme="minorHAnsi" w:eastAsiaTheme="minorEastAsia" w:hAnsiTheme="minorHAnsi" w:cstheme="minorBidi"/>
                <w:noProof/>
                <w:kern w:val="2"/>
                <w:sz w:val="24"/>
                <w:szCs w:val="24"/>
                <w:lang w:eastAsia="en-AU"/>
                <w14:ligatures w14:val="standardContextual"/>
              </w:rPr>
              <w:tab/>
            </w:r>
            <w:r w:rsidRPr="00CA1223">
              <w:rPr>
                <w:rStyle w:val="Hyperlink"/>
                <w:noProof/>
                <w:color w:val="auto"/>
              </w:rPr>
              <w:t>Function of immediate orders</w:t>
            </w:r>
            <w:r>
              <w:rPr>
                <w:noProof/>
                <w:webHidden/>
              </w:rPr>
              <w:tab/>
            </w:r>
            <w:r>
              <w:rPr>
                <w:noProof/>
                <w:webHidden/>
              </w:rPr>
              <w:fldChar w:fldCharType="begin"/>
            </w:r>
            <w:r>
              <w:rPr>
                <w:noProof/>
                <w:webHidden/>
              </w:rPr>
              <w:instrText xml:space="preserve"> PAGEREF _Toc210053625 \h </w:instrText>
            </w:r>
            <w:r>
              <w:rPr>
                <w:noProof/>
                <w:webHidden/>
              </w:rPr>
            </w:r>
            <w:r>
              <w:rPr>
                <w:noProof/>
                <w:webHidden/>
              </w:rPr>
              <w:fldChar w:fldCharType="separate"/>
            </w:r>
            <w:r>
              <w:rPr>
                <w:noProof/>
                <w:webHidden/>
              </w:rPr>
              <w:t>32</w:t>
            </w:r>
            <w:r>
              <w:rPr>
                <w:noProof/>
                <w:webHidden/>
              </w:rPr>
              <w:fldChar w:fldCharType="end"/>
            </w:r>
          </w:hyperlink>
        </w:p>
        <w:p w14:paraId="18428A3F" w14:textId="7E3D0C00" w:rsidR="00CA1223" w:rsidRDefault="00CA1223">
          <w:pPr>
            <w:pStyle w:val="TOC2"/>
            <w:rPr>
              <w:rFonts w:asciiTheme="minorHAnsi" w:eastAsiaTheme="minorEastAsia" w:hAnsiTheme="minorHAnsi" w:cstheme="minorBidi"/>
              <w:noProof/>
              <w:kern w:val="2"/>
              <w:sz w:val="24"/>
              <w:szCs w:val="24"/>
              <w:lang w:eastAsia="en-AU"/>
              <w14:ligatures w14:val="standardContextual"/>
            </w:rPr>
          </w:pPr>
          <w:hyperlink w:anchor="_Toc210053626" w:history="1">
            <w:r w:rsidRPr="00CA1223">
              <w:rPr>
                <w:rStyle w:val="Hyperlink"/>
                <w:noProof/>
                <w:color w:val="auto"/>
              </w:rPr>
              <w:t>4.4</w:t>
            </w:r>
            <w:r>
              <w:rPr>
                <w:rFonts w:asciiTheme="minorHAnsi" w:eastAsiaTheme="minorEastAsia" w:hAnsiTheme="minorHAnsi" w:cstheme="minorBidi"/>
                <w:noProof/>
                <w:kern w:val="2"/>
                <w:sz w:val="24"/>
                <w:szCs w:val="24"/>
                <w:lang w:eastAsia="en-AU"/>
                <w14:ligatures w14:val="standardContextual"/>
              </w:rPr>
              <w:tab/>
            </w:r>
            <w:r w:rsidRPr="00CA1223">
              <w:rPr>
                <w:rStyle w:val="Hyperlink"/>
                <w:noProof/>
                <w:color w:val="auto"/>
              </w:rPr>
              <w:t>Grounds for making ongoing orders</w:t>
            </w:r>
            <w:r>
              <w:rPr>
                <w:noProof/>
                <w:webHidden/>
              </w:rPr>
              <w:tab/>
            </w:r>
            <w:r>
              <w:rPr>
                <w:noProof/>
                <w:webHidden/>
              </w:rPr>
              <w:fldChar w:fldCharType="begin"/>
            </w:r>
            <w:r>
              <w:rPr>
                <w:noProof/>
                <w:webHidden/>
              </w:rPr>
              <w:instrText xml:space="preserve"> PAGEREF _Toc210053626 \h </w:instrText>
            </w:r>
            <w:r>
              <w:rPr>
                <w:noProof/>
                <w:webHidden/>
              </w:rPr>
            </w:r>
            <w:r>
              <w:rPr>
                <w:noProof/>
                <w:webHidden/>
              </w:rPr>
              <w:fldChar w:fldCharType="separate"/>
            </w:r>
            <w:r>
              <w:rPr>
                <w:noProof/>
                <w:webHidden/>
              </w:rPr>
              <w:t>35</w:t>
            </w:r>
            <w:r>
              <w:rPr>
                <w:noProof/>
                <w:webHidden/>
              </w:rPr>
              <w:fldChar w:fldCharType="end"/>
            </w:r>
          </w:hyperlink>
        </w:p>
        <w:p w14:paraId="4BBE5C51" w14:textId="01897DC7" w:rsidR="00CA1223" w:rsidRDefault="00CA1223">
          <w:pPr>
            <w:pStyle w:val="TOC2"/>
            <w:rPr>
              <w:rFonts w:asciiTheme="minorHAnsi" w:eastAsiaTheme="minorEastAsia" w:hAnsiTheme="minorHAnsi" w:cstheme="minorBidi"/>
              <w:noProof/>
              <w:kern w:val="2"/>
              <w:sz w:val="24"/>
              <w:szCs w:val="24"/>
              <w:lang w:eastAsia="en-AU"/>
              <w14:ligatures w14:val="standardContextual"/>
            </w:rPr>
          </w:pPr>
          <w:hyperlink w:anchor="_Toc210053627" w:history="1">
            <w:r w:rsidRPr="00CA1223">
              <w:rPr>
                <w:rStyle w:val="Hyperlink"/>
                <w:noProof/>
                <w:color w:val="auto"/>
              </w:rPr>
              <w:t>4.5</w:t>
            </w:r>
            <w:r>
              <w:rPr>
                <w:rFonts w:asciiTheme="minorHAnsi" w:eastAsiaTheme="minorEastAsia" w:hAnsiTheme="minorHAnsi" w:cstheme="minorBidi"/>
                <w:noProof/>
                <w:kern w:val="2"/>
                <w:sz w:val="24"/>
                <w:szCs w:val="24"/>
                <w:lang w:eastAsia="en-AU"/>
                <w14:ligatures w14:val="standardContextual"/>
              </w:rPr>
              <w:tab/>
            </w:r>
            <w:r w:rsidRPr="00CA1223">
              <w:rPr>
                <w:rStyle w:val="Hyperlink"/>
                <w:noProof/>
                <w:color w:val="auto"/>
              </w:rPr>
              <w:t>Process for making ongoing orders</w:t>
            </w:r>
            <w:r>
              <w:rPr>
                <w:noProof/>
                <w:webHidden/>
              </w:rPr>
              <w:tab/>
            </w:r>
            <w:r>
              <w:rPr>
                <w:noProof/>
                <w:webHidden/>
              </w:rPr>
              <w:fldChar w:fldCharType="begin"/>
            </w:r>
            <w:r>
              <w:rPr>
                <w:noProof/>
                <w:webHidden/>
              </w:rPr>
              <w:instrText xml:space="preserve"> PAGEREF _Toc210053627 \h </w:instrText>
            </w:r>
            <w:r>
              <w:rPr>
                <w:noProof/>
                <w:webHidden/>
              </w:rPr>
            </w:r>
            <w:r>
              <w:rPr>
                <w:noProof/>
                <w:webHidden/>
              </w:rPr>
              <w:fldChar w:fldCharType="separate"/>
            </w:r>
            <w:r>
              <w:rPr>
                <w:noProof/>
                <w:webHidden/>
              </w:rPr>
              <w:t>36</w:t>
            </w:r>
            <w:r>
              <w:rPr>
                <w:noProof/>
                <w:webHidden/>
              </w:rPr>
              <w:fldChar w:fldCharType="end"/>
            </w:r>
          </w:hyperlink>
        </w:p>
        <w:p w14:paraId="60E86990" w14:textId="436E638A" w:rsidR="00CA1223" w:rsidRDefault="00CA1223">
          <w:pPr>
            <w:pStyle w:val="TOC2"/>
            <w:rPr>
              <w:rFonts w:asciiTheme="minorHAnsi" w:eastAsiaTheme="minorEastAsia" w:hAnsiTheme="minorHAnsi" w:cstheme="minorBidi"/>
              <w:noProof/>
              <w:kern w:val="2"/>
              <w:sz w:val="24"/>
              <w:szCs w:val="24"/>
              <w:lang w:eastAsia="en-AU"/>
              <w14:ligatures w14:val="standardContextual"/>
            </w:rPr>
          </w:pPr>
          <w:hyperlink w:anchor="_Toc210053628" w:history="1">
            <w:r w:rsidRPr="00CA1223">
              <w:rPr>
                <w:rStyle w:val="Hyperlink"/>
                <w:noProof/>
                <w:color w:val="auto"/>
              </w:rPr>
              <w:t>4.6</w:t>
            </w:r>
            <w:r>
              <w:rPr>
                <w:rFonts w:asciiTheme="minorHAnsi" w:eastAsiaTheme="minorEastAsia" w:hAnsiTheme="minorHAnsi" w:cstheme="minorBidi"/>
                <w:noProof/>
                <w:kern w:val="2"/>
                <w:sz w:val="24"/>
                <w:szCs w:val="24"/>
                <w:lang w:eastAsia="en-AU"/>
                <w14:ligatures w14:val="standardContextual"/>
              </w:rPr>
              <w:tab/>
            </w:r>
            <w:r w:rsidRPr="00CA1223">
              <w:rPr>
                <w:rStyle w:val="Hyperlink"/>
                <w:noProof/>
                <w:color w:val="auto"/>
              </w:rPr>
              <w:t>Variation of ongoing orders</w:t>
            </w:r>
            <w:r>
              <w:rPr>
                <w:noProof/>
                <w:webHidden/>
              </w:rPr>
              <w:tab/>
            </w:r>
            <w:r>
              <w:rPr>
                <w:noProof/>
                <w:webHidden/>
              </w:rPr>
              <w:fldChar w:fldCharType="begin"/>
            </w:r>
            <w:r>
              <w:rPr>
                <w:noProof/>
                <w:webHidden/>
              </w:rPr>
              <w:instrText xml:space="preserve"> PAGEREF _Toc210053628 \h </w:instrText>
            </w:r>
            <w:r>
              <w:rPr>
                <w:noProof/>
                <w:webHidden/>
              </w:rPr>
            </w:r>
            <w:r>
              <w:rPr>
                <w:noProof/>
                <w:webHidden/>
              </w:rPr>
              <w:fldChar w:fldCharType="separate"/>
            </w:r>
            <w:r>
              <w:rPr>
                <w:noProof/>
                <w:webHidden/>
              </w:rPr>
              <w:t>39</w:t>
            </w:r>
            <w:r>
              <w:rPr>
                <w:noProof/>
                <w:webHidden/>
              </w:rPr>
              <w:fldChar w:fldCharType="end"/>
            </w:r>
          </w:hyperlink>
        </w:p>
        <w:p w14:paraId="4F26A6DB" w14:textId="3F8188C4" w:rsidR="00CA1223" w:rsidRDefault="00CA1223">
          <w:pPr>
            <w:pStyle w:val="TOC2"/>
            <w:rPr>
              <w:rFonts w:asciiTheme="minorHAnsi" w:eastAsiaTheme="minorEastAsia" w:hAnsiTheme="minorHAnsi" w:cstheme="minorBidi"/>
              <w:noProof/>
              <w:kern w:val="2"/>
              <w:sz w:val="24"/>
              <w:szCs w:val="24"/>
              <w:lang w:eastAsia="en-AU"/>
              <w14:ligatures w14:val="standardContextual"/>
            </w:rPr>
          </w:pPr>
          <w:hyperlink w:anchor="_Toc210053629" w:history="1">
            <w:r w:rsidRPr="00CA1223">
              <w:rPr>
                <w:rStyle w:val="Hyperlink"/>
                <w:noProof/>
                <w:color w:val="auto"/>
              </w:rPr>
              <w:t>4.7</w:t>
            </w:r>
            <w:r>
              <w:rPr>
                <w:rFonts w:asciiTheme="minorHAnsi" w:eastAsiaTheme="minorEastAsia" w:hAnsiTheme="minorHAnsi" w:cstheme="minorBidi"/>
                <w:noProof/>
                <w:kern w:val="2"/>
                <w:sz w:val="24"/>
                <w:szCs w:val="24"/>
                <w:lang w:eastAsia="en-AU"/>
                <w14:ligatures w14:val="standardContextual"/>
              </w:rPr>
              <w:tab/>
            </w:r>
            <w:r w:rsidRPr="00CA1223">
              <w:rPr>
                <w:rStyle w:val="Hyperlink"/>
                <w:noProof/>
                <w:color w:val="auto"/>
              </w:rPr>
              <w:t>Internal review</w:t>
            </w:r>
            <w:r>
              <w:rPr>
                <w:noProof/>
                <w:webHidden/>
              </w:rPr>
              <w:tab/>
            </w:r>
            <w:r>
              <w:rPr>
                <w:noProof/>
                <w:webHidden/>
              </w:rPr>
              <w:fldChar w:fldCharType="begin"/>
            </w:r>
            <w:r>
              <w:rPr>
                <w:noProof/>
                <w:webHidden/>
              </w:rPr>
              <w:instrText xml:space="preserve"> PAGEREF _Toc210053629 \h </w:instrText>
            </w:r>
            <w:r>
              <w:rPr>
                <w:noProof/>
                <w:webHidden/>
              </w:rPr>
            </w:r>
            <w:r>
              <w:rPr>
                <w:noProof/>
                <w:webHidden/>
              </w:rPr>
              <w:fldChar w:fldCharType="separate"/>
            </w:r>
            <w:r>
              <w:rPr>
                <w:noProof/>
                <w:webHidden/>
              </w:rPr>
              <w:t>40</w:t>
            </w:r>
            <w:r>
              <w:rPr>
                <w:noProof/>
                <w:webHidden/>
              </w:rPr>
              <w:fldChar w:fldCharType="end"/>
            </w:r>
          </w:hyperlink>
        </w:p>
        <w:p w14:paraId="18DC0ED4" w14:textId="34F3E94A" w:rsidR="00CA1223" w:rsidRDefault="00CA1223">
          <w:pPr>
            <w:pStyle w:val="TOC2"/>
            <w:rPr>
              <w:rFonts w:asciiTheme="minorHAnsi" w:eastAsiaTheme="minorEastAsia" w:hAnsiTheme="minorHAnsi" w:cstheme="minorBidi"/>
              <w:noProof/>
              <w:kern w:val="2"/>
              <w:sz w:val="24"/>
              <w:szCs w:val="24"/>
              <w:lang w:eastAsia="en-AU"/>
              <w14:ligatures w14:val="standardContextual"/>
            </w:rPr>
          </w:pPr>
          <w:hyperlink w:anchor="_Toc210053630" w:history="1">
            <w:r w:rsidRPr="00CA1223">
              <w:rPr>
                <w:rStyle w:val="Hyperlink"/>
                <w:noProof/>
                <w:color w:val="auto"/>
              </w:rPr>
              <w:t>4.8</w:t>
            </w:r>
            <w:r>
              <w:rPr>
                <w:rFonts w:asciiTheme="minorHAnsi" w:eastAsiaTheme="minorEastAsia" w:hAnsiTheme="minorHAnsi" w:cstheme="minorBidi"/>
                <w:noProof/>
                <w:kern w:val="2"/>
                <w:sz w:val="24"/>
                <w:szCs w:val="24"/>
                <w:lang w:eastAsia="en-AU"/>
                <w14:ligatures w14:val="standardContextual"/>
              </w:rPr>
              <w:tab/>
            </w:r>
            <w:r w:rsidRPr="00CA1223">
              <w:rPr>
                <w:rStyle w:val="Hyperlink"/>
                <w:noProof/>
                <w:color w:val="auto"/>
              </w:rPr>
              <w:t>External review</w:t>
            </w:r>
            <w:r>
              <w:rPr>
                <w:noProof/>
                <w:webHidden/>
              </w:rPr>
              <w:tab/>
            </w:r>
            <w:r>
              <w:rPr>
                <w:noProof/>
                <w:webHidden/>
              </w:rPr>
              <w:fldChar w:fldCharType="begin"/>
            </w:r>
            <w:r>
              <w:rPr>
                <w:noProof/>
                <w:webHidden/>
              </w:rPr>
              <w:instrText xml:space="preserve"> PAGEREF _Toc210053630 \h </w:instrText>
            </w:r>
            <w:r>
              <w:rPr>
                <w:noProof/>
                <w:webHidden/>
              </w:rPr>
            </w:r>
            <w:r>
              <w:rPr>
                <w:noProof/>
                <w:webHidden/>
              </w:rPr>
              <w:fldChar w:fldCharType="separate"/>
            </w:r>
            <w:r>
              <w:rPr>
                <w:noProof/>
                <w:webHidden/>
              </w:rPr>
              <w:t>44</w:t>
            </w:r>
            <w:r>
              <w:rPr>
                <w:noProof/>
                <w:webHidden/>
              </w:rPr>
              <w:fldChar w:fldCharType="end"/>
            </w:r>
          </w:hyperlink>
        </w:p>
        <w:p w14:paraId="4D31AABD" w14:textId="7B558AA8" w:rsidR="00CA1223" w:rsidRDefault="00CA1223">
          <w:pPr>
            <w:pStyle w:val="TOC2"/>
            <w:rPr>
              <w:rFonts w:asciiTheme="minorHAnsi" w:eastAsiaTheme="minorEastAsia" w:hAnsiTheme="minorHAnsi" w:cstheme="minorBidi"/>
              <w:noProof/>
              <w:kern w:val="2"/>
              <w:sz w:val="24"/>
              <w:szCs w:val="24"/>
              <w:lang w:eastAsia="en-AU"/>
              <w14:ligatures w14:val="standardContextual"/>
            </w:rPr>
          </w:pPr>
          <w:hyperlink w:anchor="_Toc210053631" w:history="1">
            <w:r w:rsidRPr="00CA1223">
              <w:rPr>
                <w:rStyle w:val="Hyperlink"/>
                <w:noProof/>
                <w:color w:val="auto"/>
              </w:rPr>
              <w:t>4.9</w:t>
            </w:r>
            <w:r>
              <w:rPr>
                <w:rFonts w:asciiTheme="minorHAnsi" w:eastAsiaTheme="minorEastAsia" w:hAnsiTheme="minorHAnsi" w:cstheme="minorBidi"/>
                <w:noProof/>
                <w:kern w:val="2"/>
                <w:sz w:val="24"/>
                <w:szCs w:val="24"/>
                <w:lang w:eastAsia="en-AU"/>
                <w14:ligatures w14:val="standardContextual"/>
              </w:rPr>
              <w:tab/>
            </w:r>
            <w:r w:rsidRPr="00CA1223">
              <w:rPr>
                <w:rStyle w:val="Hyperlink"/>
                <w:noProof/>
                <w:color w:val="auto"/>
              </w:rPr>
              <w:t>Enforcement</w:t>
            </w:r>
            <w:r>
              <w:rPr>
                <w:noProof/>
                <w:webHidden/>
              </w:rPr>
              <w:tab/>
            </w:r>
            <w:r>
              <w:rPr>
                <w:noProof/>
                <w:webHidden/>
              </w:rPr>
              <w:fldChar w:fldCharType="begin"/>
            </w:r>
            <w:r>
              <w:rPr>
                <w:noProof/>
                <w:webHidden/>
              </w:rPr>
              <w:instrText xml:space="preserve"> PAGEREF _Toc210053631 \h </w:instrText>
            </w:r>
            <w:r>
              <w:rPr>
                <w:noProof/>
                <w:webHidden/>
              </w:rPr>
            </w:r>
            <w:r>
              <w:rPr>
                <w:noProof/>
                <w:webHidden/>
              </w:rPr>
              <w:fldChar w:fldCharType="separate"/>
            </w:r>
            <w:r>
              <w:rPr>
                <w:noProof/>
                <w:webHidden/>
              </w:rPr>
              <w:t>48</w:t>
            </w:r>
            <w:r>
              <w:rPr>
                <w:noProof/>
                <w:webHidden/>
              </w:rPr>
              <w:fldChar w:fldCharType="end"/>
            </w:r>
          </w:hyperlink>
        </w:p>
        <w:p w14:paraId="056FF8B1" w14:textId="131E2008" w:rsidR="00CA1223" w:rsidRDefault="00CA1223">
          <w:pPr>
            <w:pStyle w:val="TOC2"/>
            <w:rPr>
              <w:rFonts w:asciiTheme="minorHAnsi" w:eastAsiaTheme="minorEastAsia" w:hAnsiTheme="minorHAnsi" w:cstheme="minorBidi"/>
              <w:noProof/>
              <w:kern w:val="2"/>
              <w:sz w:val="24"/>
              <w:szCs w:val="24"/>
              <w:lang w:eastAsia="en-AU"/>
              <w14:ligatures w14:val="standardContextual"/>
            </w:rPr>
          </w:pPr>
          <w:hyperlink w:anchor="_Toc210053632" w:history="1">
            <w:r w:rsidRPr="00CA1223">
              <w:rPr>
                <w:rStyle w:val="Hyperlink"/>
                <w:noProof/>
                <w:color w:val="auto"/>
              </w:rPr>
              <w:t>4.10</w:t>
            </w:r>
            <w:r>
              <w:rPr>
                <w:rFonts w:asciiTheme="minorHAnsi" w:eastAsiaTheme="minorEastAsia" w:hAnsiTheme="minorHAnsi" w:cstheme="minorBidi"/>
                <w:noProof/>
                <w:kern w:val="2"/>
                <w:sz w:val="24"/>
                <w:szCs w:val="24"/>
                <w:lang w:eastAsia="en-AU"/>
                <w14:ligatures w14:val="standardContextual"/>
              </w:rPr>
              <w:tab/>
            </w:r>
            <w:r w:rsidRPr="00CA1223">
              <w:rPr>
                <w:rStyle w:val="Hyperlink"/>
                <w:noProof/>
                <w:color w:val="auto"/>
              </w:rPr>
              <w:t>Other matters</w:t>
            </w:r>
            <w:r>
              <w:rPr>
                <w:noProof/>
                <w:webHidden/>
              </w:rPr>
              <w:tab/>
            </w:r>
            <w:r>
              <w:rPr>
                <w:noProof/>
                <w:webHidden/>
              </w:rPr>
              <w:fldChar w:fldCharType="begin"/>
            </w:r>
            <w:r>
              <w:rPr>
                <w:noProof/>
                <w:webHidden/>
              </w:rPr>
              <w:instrText xml:space="preserve"> PAGEREF _Toc210053632 \h </w:instrText>
            </w:r>
            <w:r>
              <w:rPr>
                <w:noProof/>
                <w:webHidden/>
              </w:rPr>
            </w:r>
            <w:r>
              <w:rPr>
                <w:noProof/>
                <w:webHidden/>
              </w:rPr>
              <w:fldChar w:fldCharType="separate"/>
            </w:r>
            <w:r>
              <w:rPr>
                <w:noProof/>
                <w:webHidden/>
              </w:rPr>
              <w:t>50</w:t>
            </w:r>
            <w:r>
              <w:rPr>
                <w:noProof/>
                <w:webHidden/>
              </w:rPr>
              <w:fldChar w:fldCharType="end"/>
            </w:r>
          </w:hyperlink>
        </w:p>
        <w:p w14:paraId="33A46496" w14:textId="2361A36F" w:rsidR="00CA1223" w:rsidRDefault="00CA1223">
          <w:pPr>
            <w:pStyle w:val="TOC1"/>
            <w:rPr>
              <w:rFonts w:asciiTheme="minorHAnsi" w:eastAsiaTheme="minorEastAsia" w:hAnsiTheme="minorHAnsi" w:cstheme="minorBidi"/>
              <w:b w:val="0"/>
              <w:noProof/>
              <w:kern w:val="2"/>
              <w:sz w:val="24"/>
              <w:szCs w:val="24"/>
              <w:lang w:eastAsia="en-AU"/>
              <w14:ligatures w14:val="standardContextual"/>
            </w:rPr>
          </w:pPr>
          <w:hyperlink w:anchor="_Toc210053633" w:history="1">
            <w:r w:rsidRPr="00CA1223">
              <w:rPr>
                <w:rStyle w:val="Hyperlink"/>
                <w:noProof/>
                <w:color w:val="auto"/>
              </w:rPr>
              <w:t>5.</w:t>
            </w:r>
            <w:r>
              <w:rPr>
                <w:rFonts w:asciiTheme="minorHAnsi" w:eastAsiaTheme="minorEastAsia" w:hAnsiTheme="minorHAnsi" w:cstheme="minorBidi"/>
                <w:b w:val="0"/>
                <w:noProof/>
                <w:kern w:val="2"/>
                <w:sz w:val="24"/>
                <w:szCs w:val="24"/>
                <w:lang w:eastAsia="en-AU"/>
                <w14:ligatures w14:val="standardContextual"/>
              </w:rPr>
              <w:tab/>
            </w:r>
            <w:r w:rsidRPr="00CA1223">
              <w:rPr>
                <w:rStyle w:val="Hyperlink"/>
                <w:noProof/>
                <w:color w:val="auto"/>
              </w:rPr>
              <w:t>Glossary</w:t>
            </w:r>
            <w:r>
              <w:rPr>
                <w:noProof/>
                <w:webHidden/>
              </w:rPr>
              <w:tab/>
            </w:r>
            <w:r>
              <w:rPr>
                <w:noProof/>
                <w:webHidden/>
              </w:rPr>
              <w:fldChar w:fldCharType="begin"/>
            </w:r>
            <w:r>
              <w:rPr>
                <w:noProof/>
                <w:webHidden/>
              </w:rPr>
              <w:instrText xml:space="preserve"> PAGEREF _Toc210053633 \h </w:instrText>
            </w:r>
            <w:r>
              <w:rPr>
                <w:noProof/>
                <w:webHidden/>
              </w:rPr>
            </w:r>
            <w:r>
              <w:rPr>
                <w:noProof/>
                <w:webHidden/>
              </w:rPr>
              <w:fldChar w:fldCharType="separate"/>
            </w:r>
            <w:r>
              <w:rPr>
                <w:noProof/>
                <w:webHidden/>
              </w:rPr>
              <w:t>51</w:t>
            </w:r>
            <w:r>
              <w:rPr>
                <w:noProof/>
                <w:webHidden/>
              </w:rPr>
              <w:fldChar w:fldCharType="end"/>
            </w:r>
          </w:hyperlink>
        </w:p>
        <w:p w14:paraId="44B39081" w14:textId="4CBBA040" w:rsidR="00CA1223" w:rsidRDefault="00CA1223">
          <w:pPr>
            <w:pStyle w:val="TOC1"/>
            <w:rPr>
              <w:rFonts w:asciiTheme="minorHAnsi" w:eastAsiaTheme="minorEastAsia" w:hAnsiTheme="minorHAnsi" w:cstheme="minorBidi"/>
              <w:b w:val="0"/>
              <w:noProof/>
              <w:kern w:val="2"/>
              <w:sz w:val="24"/>
              <w:szCs w:val="24"/>
              <w:lang w:eastAsia="en-AU"/>
              <w14:ligatures w14:val="standardContextual"/>
            </w:rPr>
          </w:pPr>
          <w:hyperlink w:anchor="_Toc210053634" w:history="1">
            <w:r w:rsidRPr="00CA1223">
              <w:rPr>
                <w:rStyle w:val="Hyperlink"/>
                <w:noProof/>
                <w:color w:val="auto"/>
              </w:rPr>
              <w:t>Schedule 1 – Detailed Scope of Work</w:t>
            </w:r>
            <w:r>
              <w:rPr>
                <w:noProof/>
                <w:webHidden/>
              </w:rPr>
              <w:tab/>
            </w:r>
            <w:r>
              <w:rPr>
                <w:noProof/>
                <w:webHidden/>
              </w:rPr>
              <w:fldChar w:fldCharType="begin"/>
            </w:r>
            <w:r>
              <w:rPr>
                <w:noProof/>
                <w:webHidden/>
              </w:rPr>
              <w:instrText xml:space="preserve"> PAGEREF _Toc210053634 \h </w:instrText>
            </w:r>
            <w:r>
              <w:rPr>
                <w:noProof/>
                <w:webHidden/>
              </w:rPr>
            </w:r>
            <w:r>
              <w:rPr>
                <w:noProof/>
                <w:webHidden/>
              </w:rPr>
              <w:fldChar w:fldCharType="separate"/>
            </w:r>
            <w:r>
              <w:rPr>
                <w:noProof/>
                <w:webHidden/>
              </w:rPr>
              <w:t>52</w:t>
            </w:r>
            <w:r>
              <w:rPr>
                <w:noProof/>
                <w:webHidden/>
              </w:rPr>
              <w:fldChar w:fldCharType="end"/>
            </w:r>
          </w:hyperlink>
        </w:p>
        <w:p w14:paraId="37BB7FAD" w14:textId="6E64CEE2" w:rsidR="00CA1223" w:rsidRDefault="00CA1223">
          <w:pPr>
            <w:pStyle w:val="TOC1"/>
            <w:rPr>
              <w:rFonts w:asciiTheme="minorHAnsi" w:eastAsiaTheme="minorEastAsia" w:hAnsiTheme="minorHAnsi" w:cstheme="minorBidi"/>
              <w:b w:val="0"/>
              <w:noProof/>
              <w:kern w:val="2"/>
              <w:sz w:val="24"/>
              <w:szCs w:val="24"/>
              <w:lang w:eastAsia="en-AU"/>
              <w14:ligatures w14:val="standardContextual"/>
            </w:rPr>
          </w:pPr>
          <w:hyperlink w:anchor="_Toc210053635" w:history="1">
            <w:r w:rsidRPr="008853F7">
              <w:rPr>
                <w:rStyle w:val="Hyperlink"/>
                <w:noProof/>
                <w:color w:val="auto"/>
              </w:rPr>
              <w:t>Schedule 2 – Persons interviewed</w:t>
            </w:r>
            <w:r>
              <w:rPr>
                <w:noProof/>
                <w:webHidden/>
              </w:rPr>
              <w:tab/>
            </w:r>
            <w:r>
              <w:rPr>
                <w:noProof/>
                <w:webHidden/>
              </w:rPr>
              <w:fldChar w:fldCharType="begin"/>
            </w:r>
            <w:r>
              <w:rPr>
                <w:noProof/>
                <w:webHidden/>
              </w:rPr>
              <w:instrText xml:space="preserve"> PAGEREF _Toc210053635 \h </w:instrText>
            </w:r>
            <w:r>
              <w:rPr>
                <w:noProof/>
                <w:webHidden/>
              </w:rPr>
            </w:r>
            <w:r>
              <w:rPr>
                <w:noProof/>
                <w:webHidden/>
              </w:rPr>
              <w:fldChar w:fldCharType="separate"/>
            </w:r>
            <w:r>
              <w:rPr>
                <w:noProof/>
                <w:webHidden/>
              </w:rPr>
              <w:t>57</w:t>
            </w:r>
            <w:r>
              <w:rPr>
                <w:noProof/>
                <w:webHidden/>
              </w:rPr>
              <w:fldChar w:fldCharType="end"/>
            </w:r>
          </w:hyperlink>
        </w:p>
        <w:p w14:paraId="2F1DEF62" w14:textId="392CBEA8" w:rsidR="00CA1223" w:rsidRDefault="00CA1223">
          <w:pPr>
            <w:pStyle w:val="TOC1"/>
            <w:rPr>
              <w:rFonts w:asciiTheme="minorHAnsi" w:eastAsiaTheme="minorEastAsia" w:hAnsiTheme="minorHAnsi" w:cstheme="minorBidi"/>
              <w:b w:val="0"/>
              <w:noProof/>
              <w:kern w:val="2"/>
              <w:sz w:val="24"/>
              <w:szCs w:val="24"/>
              <w:lang w:eastAsia="en-AU"/>
              <w14:ligatures w14:val="standardContextual"/>
            </w:rPr>
          </w:pPr>
          <w:hyperlink w:anchor="_Toc210053636" w:history="1">
            <w:r w:rsidRPr="008853F7">
              <w:rPr>
                <w:rStyle w:val="Hyperlink"/>
                <w:noProof/>
                <w:color w:val="auto"/>
              </w:rPr>
              <w:t>Schedule 3 – Lists of documents provided</w:t>
            </w:r>
            <w:r>
              <w:rPr>
                <w:noProof/>
                <w:webHidden/>
              </w:rPr>
              <w:tab/>
            </w:r>
            <w:r>
              <w:rPr>
                <w:noProof/>
                <w:webHidden/>
              </w:rPr>
              <w:fldChar w:fldCharType="begin"/>
            </w:r>
            <w:r>
              <w:rPr>
                <w:noProof/>
                <w:webHidden/>
              </w:rPr>
              <w:instrText xml:space="preserve"> PAGEREF _Toc210053636 \h </w:instrText>
            </w:r>
            <w:r>
              <w:rPr>
                <w:noProof/>
                <w:webHidden/>
              </w:rPr>
            </w:r>
            <w:r>
              <w:rPr>
                <w:noProof/>
                <w:webHidden/>
              </w:rPr>
              <w:fldChar w:fldCharType="separate"/>
            </w:r>
            <w:r>
              <w:rPr>
                <w:noProof/>
                <w:webHidden/>
              </w:rPr>
              <w:t>59</w:t>
            </w:r>
            <w:r>
              <w:rPr>
                <w:noProof/>
                <w:webHidden/>
              </w:rPr>
              <w:fldChar w:fldCharType="end"/>
            </w:r>
          </w:hyperlink>
        </w:p>
        <w:p w14:paraId="2A754CC8" w14:textId="48DF947D" w:rsidR="00CA1223" w:rsidRDefault="00CA1223">
          <w:pPr>
            <w:pStyle w:val="TOC1"/>
            <w:rPr>
              <w:rFonts w:asciiTheme="minorHAnsi" w:eastAsiaTheme="minorEastAsia" w:hAnsiTheme="minorHAnsi" w:cstheme="minorBidi"/>
              <w:b w:val="0"/>
              <w:noProof/>
              <w:kern w:val="2"/>
              <w:sz w:val="24"/>
              <w:szCs w:val="24"/>
              <w:lang w:eastAsia="en-AU"/>
              <w14:ligatures w14:val="standardContextual"/>
            </w:rPr>
          </w:pPr>
          <w:hyperlink w:anchor="_Toc210053637" w:history="1">
            <w:r w:rsidRPr="008853F7">
              <w:rPr>
                <w:rStyle w:val="Hyperlink"/>
                <w:noProof/>
                <w:color w:val="auto"/>
              </w:rPr>
              <w:t>Schedule 4 - Summary of Legislative Provisions</w:t>
            </w:r>
            <w:r>
              <w:rPr>
                <w:noProof/>
                <w:webHidden/>
              </w:rPr>
              <w:tab/>
            </w:r>
            <w:r>
              <w:rPr>
                <w:noProof/>
                <w:webHidden/>
              </w:rPr>
              <w:fldChar w:fldCharType="begin"/>
            </w:r>
            <w:r>
              <w:rPr>
                <w:noProof/>
                <w:webHidden/>
              </w:rPr>
              <w:instrText xml:space="preserve"> PAGEREF _Toc210053637 \h </w:instrText>
            </w:r>
            <w:r>
              <w:rPr>
                <w:noProof/>
                <w:webHidden/>
              </w:rPr>
            </w:r>
            <w:r>
              <w:rPr>
                <w:noProof/>
                <w:webHidden/>
              </w:rPr>
              <w:fldChar w:fldCharType="separate"/>
            </w:r>
            <w:r>
              <w:rPr>
                <w:noProof/>
                <w:webHidden/>
              </w:rPr>
              <w:t>61</w:t>
            </w:r>
            <w:r>
              <w:rPr>
                <w:noProof/>
                <w:webHidden/>
              </w:rPr>
              <w:fldChar w:fldCharType="end"/>
            </w:r>
          </w:hyperlink>
        </w:p>
        <w:p w14:paraId="50F0EC2D" w14:textId="710F67C0" w:rsidR="00C76A92" w:rsidRPr="00236907" w:rsidRDefault="00C76A92" w:rsidP="00AC4BA7">
          <w:r w:rsidRPr="00236907">
            <w:rPr>
              <w:b/>
              <w:bCs/>
              <w:noProof/>
            </w:rPr>
            <w:fldChar w:fldCharType="end"/>
          </w:r>
        </w:p>
      </w:sdtContent>
    </w:sdt>
    <w:p w14:paraId="45A16A5E" w14:textId="77777777" w:rsidR="00C76A92" w:rsidRPr="00236907" w:rsidRDefault="00C76A92" w:rsidP="00C76A92">
      <w:pPr>
        <w:pStyle w:val="covBodyText"/>
        <w:rPr>
          <w:b/>
        </w:rPr>
        <w:sectPr w:rsidR="00C76A92" w:rsidRPr="00236907" w:rsidSect="00877597">
          <w:headerReference w:type="even" r:id="rId12"/>
          <w:headerReference w:type="default" r:id="rId13"/>
          <w:footerReference w:type="even" r:id="rId14"/>
          <w:footerReference w:type="default" r:id="rId15"/>
          <w:headerReference w:type="first" r:id="rId16"/>
          <w:footerReference w:type="first" r:id="rId17"/>
          <w:pgSz w:w="11906" w:h="16838" w:code="9"/>
          <w:pgMar w:top="1701" w:right="1418" w:bottom="1418" w:left="1418" w:header="567" w:footer="567" w:gutter="0"/>
          <w:cols w:space="708"/>
          <w:titlePg/>
          <w:docGrid w:linePitch="360"/>
        </w:sectPr>
      </w:pPr>
    </w:p>
    <w:p w14:paraId="4F937285" w14:textId="777A3DDB" w:rsidR="00B44A8B" w:rsidRPr="00236907" w:rsidRDefault="00B44A8B" w:rsidP="001148FF">
      <w:pPr>
        <w:pStyle w:val="Heading1"/>
        <w:numPr>
          <w:ilvl w:val="0"/>
          <w:numId w:val="0"/>
        </w:numPr>
      </w:pPr>
      <w:bookmarkStart w:id="0" w:name="_Toc210053602"/>
      <w:r w:rsidRPr="00236907">
        <w:lastRenderedPageBreak/>
        <w:t>Executive</w:t>
      </w:r>
      <w:r w:rsidRPr="00236907">
        <w:rPr>
          <w:b w:val="0"/>
        </w:rPr>
        <w:t xml:space="preserve"> </w:t>
      </w:r>
      <w:r w:rsidRPr="00236907">
        <w:t>Summary</w:t>
      </w:r>
      <w:bookmarkEnd w:id="0"/>
    </w:p>
    <w:p w14:paraId="1487B7BE" w14:textId="78D422BD" w:rsidR="00304233" w:rsidRPr="00236907" w:rsidRDefault="00041B6B" w:rsidP="0098199E">
      <w:pPr>
        <w:pStyle w:val="BodyIndent1"/>
        <w:ind w:left="0"/>
      </w:pPr>
      <w:r w:rsidRPr="00236907">
        <w:t>T</w:t>
      </w:r>
      <w:r w:rsidR="004326EB" w:rsidRPr="00236907">
        <w:t xml:space="preserve">he Department of Education </w:t>
      </w:r>
      <w:r w:rsidR="007A3C94" w:rsidRPr="00236907">
        <w:t>(</w:t>
      </w:r>
      <w:r w:rsidR="007A3C94" w:rsidRPr="00236907">
        <w:rPr>
          <w:b/>
          <w:bCs/>
        </w:rPr>
        <w:t>the Department</w:t>
      </w:r>
      <w:r w:rsidR="007A3C94" w:rsidRPr="00236907">
        <w:t xml:space="preserve">) </w:t>
      </w:r>
      <w:r w:rsidRPr="00236907">
        <w:t xml:space="preserve">engaged </w:t>
      </w:r>
      <w:r w:rsidR="007A3C94" w:rsidRPr="00236907">
        <w:t xml:space="preserve">Maddocks </w:t>
      </w:r>
      <w:r w:rsidRPr="00236907">
        <w:t xml:space="preserve">to </w:t>
      </w:r>
      <w:r w:rsidR="007A3C94" w:rsidRPr="00236907">
        <w:t>undertake</w:t>
      </w:r>
      <w:r w:rsidRPr="00236907">
        <w:t xml:space="preserve"> </w:t>
      </w:r>
      <w:r w:rsidR="007A3C94" w:rsidRPr="00236907">
        <w:t xml:space="preserve">a </w:t>
      </w:r>
      <w:r w:rsidR="00E77388" w:rsidRPr="00236907">
        <w:t xml:space="preserve">statutory </w:t>
      </w:r>
      <w:r w:rsidR="007A3C94" w:rsidRPr="00236907">
        <w:t xml:space="preserve">review of </w:t>
      </w:r>
      <w:r w:rsidR="00CE3BDB" w:rsidRPr="00236907">
        <w:t xml:space="preserve">operation of the first two years of </w:t>
      </w:r>
      <w:r w:rsidR="007A3C94" w:rsidRPr="00236907">
        <w:t>the School Community Safety Order (</w:t>
      </w:r>
      <w:r w:rsidR="007A3C94" w:rsidRPr="00236907">
        <w:rPr>
          <w:b/>
          <w:bCs/>
        </w:rPr>
        <w:t>SCSO</w:t>
      </w:r>
      <w:r w:rsidR="007A3C94" w:rsidRPr="00236907">
        <w:t>) Scheme</w:t>
      </w:r>
      <w:r w:rsidR="000D15C3" w:rsidRPr="00236907">
        <w:t xml:space="preserve"> (</w:t>
      </w:r>
      <w:r w:rsidR="000D15C3" w:rsidRPr="00236907">
        <w:rPr>
          <w:b/>
          <w:bCs/>
        </w:rPr>
        <w:t>the Scheme</w:t>
      </w:r>
      <w:r w:rsidR="000D15C3" w:rsidRPr="00236907">
        <w:t>)</w:t>
      </w:r>
      <w:r w:rsidR="007A3C94" w:rsidRPr="00236907">
        <w:t xml:space="preserve">. </w:t>
      </w:r>
      <w:r w:rsidRPr="00236907">
        <w:t>In undertaking the review, Maddocks has</w:t>
      </w:r>
      <w:r w:rsidR="00304233" w:rsidRPr="00236907">
        <w:t xml:space="preserve"> </w:t>
      </w:r>
      <w:r w:rsidR="003D6158" w:rsidRPr="00236907">
        <w:t xml:space="preserve">interviewed stakeholders across the Department, schools, and advocacy bodies representing the interests of </w:t>
      </w:r>
      <w:r w:rsidR="4502EC63" w:rsidRPr="00236907">
        <w:t>principals,</w:t>
      </w:r>
      <w:r w:rsidR="18E0C3E0" w:rsidRPr="00236907">
        <w:t xml:space="preserve"> </w:t>
      </w:r>
      <w:r w:rsidR="003D6158" w:rsidRPr="00236907">
        <w:t xml:space="preserve">teachers and parents. </w:t>
      </w:r>
      <w:r w:rsidRPr="00236907">
        <w:t>Maddocks has</w:t>
      </w:r>
      <w:r w:rsidR="00BD10AF" w:rsidRPr="00236907">
        <w:t xml:space="preserve"> considered the Scheme against its </w:t>
      </w:r>
      <w:r w:rsidR="00C45EB0" w:rsidRPr="00236907">
        <w:t xml:space="preserve">purpose </w:t>
      </w:r>
      <w:r w:rsidR="00BD10AF" w:rsidRPr="00236907">
        <w:t xml:space="preserve">of protecting school communities, the Department’s </w:t>
      </w:r>
      <w:r w:rsidR="00337BCD" w:rsidRPr="00236907">
        <w:t xml:space="preserve">and non-government schools’ </w:t>
      </w:r>
      <w:r w:rsidR="00BD10AF" w:rsidRPr="00236907">
        <w:t xml:space="preserve">responsibilities </w:t>
      </w:r>
      <w:r w:rsidR="00670BDB" w:rsidRPr="00236907">
        <w:t xml:space="preserve">for the safety and wellbeing of </w:t>
      </w:r>
      <w:r w:rsidR="00337BCD" w:rsidRPr="00236907">
        <w:t>their</w:t>
      </w:r>
      <w:r w:rsidR="00BD10AF" w:rsidRPr="00236907">
        <w:t xml:space="preserve"> staff, </w:t>
      </w:r>
      <w:r w:rsidR="0042027B" w:rsidRPr="00236907">
        <w:t xml:space="preserve">the Department’s human rights obligations, </w:t>
      </w:r>
      <w:r w:rsidR="00BD10AF" w:rsidRPr="00236907">
        <w:t>and the principles of administrative law.</w:t>
      </w:r>
    </w:p>
    <w:p w14:paraId="3BC11B63" w14:textId="654872DC" w:rsidR="007E52C4" w:rsidRPr="00236907" w:rsidRDefault="00CE3BDB" w:rsidP="0098199E">
      <w:pPr>
        <w:pStyle w:val="BodyIndent1"/>
        <w:ind w:left="0"/>
      </w:pPr>
      <w:r w:rsidRPr="00236907">
        <w:t>Positive feedback was</w:t>
      </w:r>
      <w:r w:rsidR="00331C87" w:rsidRPr="00236907">
        <w:t xml:space="preserve"> received </w:t>
      </w:r>
      <w:r w:rsidR="0026703C" w:rsidRPr="00236907">
        <w:t xml:space="preserve">from </w:t>
      </w:r>
      <w:r w:rsidR="00A427C9" w:rsidRPr="00236907">
        <w:t>stakeholders across the government, independent and Catholic education sectors</w:t>
      </w:r>
      <w:r w:rsidRPr="00236907">
        <w:t>.</w:t>
      </w:r>
      <w:r w:rsidR="00331C87" w:rsidRPr="00236907">
        <w:t xml:space="preserve"> </w:t>
      </w:r>
      <w:proofErr w:type="gramStart"/>
      <w:r w:rsidR="00D17A7B" w:rsidRPr="00236907">
        <w:t xml:space="preserve">The </w:t>
      </w:r>
      <w:r w:rsidR="00DB2CFB" w:rsidRPr="00236907">
        <w:t>majority</w:t>
      </w:r>
      <w:r w:rsidR="00D17A7B" w:rsidRPr="00236907">
        <w:t xml:space="preserve"> of</w:t>
      </w:r>
      <w:proofErr w:type="gramEnd"/>
      <w:r w:rsidR="00D17A7B" w:rsidRPr="00236907">
        <w:t xml:space="preserve"> </w:t>
      </w:r>
      <w:r w:rsidRPr="00236907">
        <w:t>interviewees</w:t>
      </w:r>
      <w:r w:rsidR="00D17A7B" w:rsidRPr="00236907">
        <w:t xml:space="preserve"> </w:t>
      </w:r>
      <w:r w:rsidRPr="00236907">
        <w:t xml:space="preserve">believed </w:t>
      </w:r>
      <w:r w:rsidR="00D17A7B" w:rsidRPr="00236907">
        <w:t xml:space="preserve">the Scheme is an important tool for protecting school communities and should </w:t>
      </w:r>
      <w:r w:rsidRPr="00236907">
        <w:t>remain in place</w:t>
      </w:r>
      <w:r w:rsidR="00D17A7B" w:rsidRPr="00236907">
        <w:t xml:space="preserve">. </w:t>
      </w:r>
    </w:p>
    <w:p w14:paraId="4BD26202" w14:textId="3FD6B5CB" w:rsidR="006B64F2" w:rsidRPr="00236907" w:rsidRDefault="00F34E6F" w:rsidP="0098199E">
      <w:pPr>
        <w:pStyle w:val="BodyIndent1"/>
        <w:ind w:left="0"/>
      </w:pPr>
      <w:r w:rsidRPr="00236907">
        <w:t xml:space="preserve">However, </w:t>
      </w:r>
      <w:r w:rsidR="00CE3BDB" w:rsidRPr="00236907">
        <w:t>there was limited use of the</w:t>
      </w:r>
      <w:r w:rsidRPr="00236907">
        <w:t xml:space="preserve"> Scheme </w:t>
      </w:r>
      <w:r w:rsidR="00CE3BDB" w:rsidRPr="00236907">
        <w:t xml:space="preserve">in its </w:t>
      </w:r>
      <w:r w:rsidRPr="00236907">
        <w:t>first two years</w:t>
      </w:r>
      <w:r w:rsidR="00CE3BDB" w:rsidRPr="00236907">
        <w:t xml:space="preserve"> of operation</w:t>
      </w:r>
      <w:r w:rsidRPr="00236907">
        <w:t xml:space="preserve">. </w:t>
      </w:r>
      <w:r w:rsidR="00793AF6" w:rsidRPr="00236907">
        <w:t xml:space="preserve">A total of </w:t>
      </w:r>
      <w:r w:rsidR="38CDED6B" w:rsidRPr="00236907">
        <w:t>24</w:t>
      </w:r>
      <w:r w:rsidR="00793AF6" w:rsidRPr="00236907">
        <w:t xml:space="preserve"> orders were issued u</w:t>
      </w:r>
      <w:r w:rsidR="00975C82" w:rsidRPr="00236907">
        <w:t xml:space="preserve">p until the end of </w:t>
      </w:r>
      <w:r w:rsidR="0076797B" w:rsidRPr="00236907">
        <w:t>FY 20</w:t>
      </w:r>
      <w:r w:rsidR="00345ECB" w:rsidRPr="00236907">
        <w:t>23-</w:t>
      </w:r>
      <w:r w:rsidR="0076797B" w:rsidRPr="00236907">
        <w:t xml:space="preserve">24 </w:t>
      </w:r>
      <w:r w:rsidR="00182574" w:rsidRPr="00236907">
        <w:t>(</w:t>
      </w:r>
      <w:r w:rsidR="0076797B" w:rsidRPr="00236907">
        <w:t>9 in FY 2022-23 and 1</w:t>
      </w:r>
      <w:r w:rsidR="00E61A0C">
        <w:t>5</w:t>
      </w:r>
      <w:r w:rsidR="0076797B" w:rsidRPr="00236907">
        <w:t xml:space="preserve"> in FY 2023-24</w:t>
      </w:r>
      <w:r w:rsidR="00182574" w:rsidRPr="00236907">
        <w:t>)</w:t>
      </w:r>
      <w:r w:rsidR="0076797B" w:rsidRPr="00236907">
        <w:t>.</w:t>
      </w:r>
      <w:r w:rsidR="0020545E" w:rsidRPr="00236907">
        <w:rPr>
          <w:rStyle w:val="FootnoteReference"/>
        </w:rPr>
        <w:footnoteReference w:id="2"/>
      </w:r>
      <w:r w:rsidR="008B2354" w:rsidRPr="00236907">
        <w:t xml:space="preserve"> </w:t>
      </w:r>
      <w:r w:rsidR="00E67C2B" w:rsidRPr="00236907">
        <w:t xml:space="preserve">While the Scheme was designed as a measure of last resort, it is possible that there are circumstances in which it would be appropriate for a school principal to make an order but they have chosen not to do so. </w:t>
      </w:r>
      <w:r w:rsidR="006B64F2" w:rsidRPr="00236907">
        <w:t xml:space="preserve">Some </w:t>
      </w:r>
      <w:r w:rsidR="00A56FB2">
        <w:t>stakeholders</w:t>
      </w:r>
      <w:r w:rsidR="006B64F2" w:rsidRPr="00236907">
        <w:t xml:space="preserve"> have had a mixed or negative experience with making an order,</w:t>
      </w:r>
      <w:r w:rsidR="007A3F75" w:rsidRPr="00236907">
        <w:t xml:space="preserve"> </w:t>
      </w:r>
      <w:r w:rsidR="00CE3BDB" w:rsidRPr="00236907">
        <w:t xml:space="preserve">and believe that </w:t>
      </w:r>
      <w:r w:rsidR="007A3F75" w:rsidRPr="00236907">
        <w:t xml:space="preserve">the Scheme is too complex, </w:t>
      </w:r>
      <w:r w:rsidR="00CE3BDB" w:rsidRPr="00236907">
        <w:t xml:space="preserve">that </w:t>
      </w:r>
      <w:r w:rsidR="007A3F75" w:rsidRPr="00236907">
        <w:t xml:space="preserve">procedural </w:t>
      </w:r>
      <w:r w:rsidR="00E4351D" w:rsidRPr="00236907">
        <w:t xml:space="preserve">protections </w:t>
      </w:r>
      <w:r w:rsidR="00182574" w:rsidRPr="00236907">
        <w:t xml:space="preserve">are </w:t>
      </w:r>
      <w:r w:rsidR="007A3F75" w:rsidRPr="00236907">
        <w:t xml:space="preserve">weighed too heavily </w:t>
      </w:r>
      <w:r w:rsidR="00CE3BDB" w:rsidRPr="00236907">
        <w:t xml:space="preserve">in favour of </w:t>
      </w:r>
      <w:r w:rsidR="007A3F75" w:rsidRPr="00236907">
        <w:t>person</w:t>
      </w:r>
      <w:r w:rsidR="00CE3BDB" w:rsidRPr="00236907">
        <w:t>s</w:t>
      </w:r>
      <w:r w:rsidR="007A3F75" w:rsidRPr="00236907">
        <w:t xml:space="preserve"> subject to </w:t>
      </w:r>
      <w:r w:rsidR="00CE3BDB" w:rsidRPr="00236907">
        <w:t>SCSOs</w:t>
      </w:r>
      <w:r w:rsidR="00E4351D" w:rsidRPr="00236907">
        <w:t>,</w:t>
      </w:r>
      <w:r w:rsidR="00CE3BDB" w:rsidRPr="00236907">
        <w:t xml:space="preserve"> that</w:t>
      </w:r>
      <w:r w:rsidR="00856BB8" w:rsidRPr="00236907">
        <w:t xml:space="preserve"> the workload involved in making </w:t>
      </w:r>
      <w:r w:rsidR="00BE7A5F" w:rsidRPr="00236907">
        <w:t xml:space="preserve">and maintaining </w:t>
      </w:r>
      <w:r w:rsidR="00856BB8" w:rsidRPr="00236907">
        <w:t>an order is too high,</w:t>
      </w:r>
      <w:r w:rsidR="00E4351D" w:rsidRPr="00236907">
        <w:t xml:space="preserve"> and </w:t>
      </w:r>
      <w:r w:rsidR="00CE3BDB" w:rsidRPr="00236907">
        <w:t xml:space="preserve">that </w:t>
      </w:r>
      <w:r w:rsidR="00E4351D" w:rsidRPr="00236907">
        <w:t xml:space="preserve">the </w:t>
      </w:r>
      <w:r w:rsidR="009B7D88" w:rsidRPr="00236907">
        <w:t>enforcement mechanisms are not effective.</w:t>
      </w:r>
      <w:r w:rsidR="00346837" w:rsidRPr="00236907">
        <w:t xml:space="preserve"> </w:t>
      </w:r>
      <w:r w:rsidR="00E62B2B" w:rsidRPr="00236907">
        <w:t>However, s</w:t>
      </w:r>
      <w:r w:rsidR="00346837" w:rsidRPr="00236907">
        <w:t xml:space="preserve">ome stakeholders suggested that </w:t>
      </w:r>
      <w:r w:rsidR="00E62B2B" w:rsidRPr="00236907">
        <w:t>warning a person that they could issue an order could be enough to stop their problematic behaviour, meaning that the Scheme could be effective even if they never actually issued an order</w:t>
      </w:r>
      <w:r w:rsidR="00346837" w:rsidRPr="00236907">
        <w:t xml:space="preserve">. </w:t>
      </w:r>
      <w:r w:rsidR="0037599F" w:rsidRPr="0037599F">
        <w:t>This feedback is anecdotal and has not been formally tracked or substantiated</w:t>
      </w:r>
      <w:r w:rsidR="0037599F">
        <w:t>.</w:t>
      </w:r>
    </w:p>
    <w:p w14:paraId="31CBF7E9" w14:textId="5ECCA344" w:rsidR="00244D92" w:rsidRPr="00236907" w:rsidRDefault="00244D92" w:rsidP="0098199E">
      <w:pPr>
        <w:pStyle w:val="BodyIndent1"/>
        <w:ind w:left="0"/>
      </w:pPr>
      <w:r w:rsidRPr="00236907">
        <w:t>Concerns were raised by Parents Victoria on behalf of parents who have been subject to an order, who remain concerned about the Scheme.</w:t>
      </w:r>
    </w:p>
    <w:p w14:paraId="4B478DB8" w14:textId="7683BD8E" w:rsidR="00646BCB" w:rsidRPr="00236907" w:rsidRDefault="00CE3BDB" w:rsidP="0098199E">
      <w:pPr>
        <w:pStyle w:val="BodyIndent1"/>
        <w:ind w:left="0"/>
      </w:pPr>
      <w:r w:rsidRPr="00236907">
        <w:t xml:space="preserve">This report provides recommendations </w:t>
      </w:r>
      <w:r w:rsidR="001B6C7E" w:rsidRPr="00236907">
        <w:t xml:space="preserve">to </w:t>
      </w:r>
      <w:r w:rsidR="000B608B" w:rsidRPr="00236907">
        <w:t>simplify the</w:t>
      </w:r>
      <w:r w:rsidR="001A02F9" w:rsidRPr="00236907">
        <w:t xml:space="preserve"> operation of the</w:t>
      </w:r>
      <w:r w:rsidR="000B608B" w:rsidRPr="00236907">
        <w:t xml:space="preserve"> Scheme</w:t>
      </w:r>
      <w:r w:rsidR="001A02F9" w:rsidRPr="00236907">
        <w:t xml:space="preserve"> to make </w:t>
      </w:r>
      <w:r w:rsidRPr="00236907">
        <w:t>SCSOs</w:t>
      </w:r>
      <w:r w:rsidR="001A02F9" w:rsidRPr="00236907">
        <w:t xml:space="preserve"> more accessible</w:t>
      </w:r>
      <w:r w:rsidR="000B608B" w:rsidRPr="00236907">
        <w:t xml:space="preserve"> </w:t>
      </w:r>
      <w:r w:rsidR="00257379" w:rsidRPr="00236907">
        <w:t>and effective</w:t>
      </w:r>
      <w:r w:rsidRPr="00236907">
        <w:t xml:space="preserve"> to utilise,</w:t>
      </w:r>
      <w:r w:rsidR="00257379" w:rsidRPr="00236907">
        <w:t xml:space="preserve"> </w:t>
      </w:r>
      <w:r w:rsidR="000B608B" w:rsidRPr="00236907">
        <w:t xml:space="preserve">while </w:t>
      </w:r>
      <w:r w:rsidRPr="00236907">
        <w:t xml:space="preserve">maintaining </w:t>
      </w:r>
      <w:r w:rsidR="000B608B" w:rsidRPr="00236907">
        <w:t>a</w:t>
      </w:r>
      <w:r w:rsidR="00182574" w:rsidRPr="00236907">
        <w:t xml:space="preserve">n appropriate </w:t>
      </w:r>
      <w:r w:rsidR="000B608B" w:rsidRPr="00236907">
        <w:t xml:space="preserve">standard of procedural fairness </w:t>
      </w:r>
      <w:r w:rsidRPr="00236907">
        <w:t>for persons to be subject to SCSOs.</w:t>
      </w:r>
      <w:r w:rsidR="00DA3935" w:rsidRPr="00236907">
        <w:t xml:space="preserve"> </w:t>
      </w:r>
    </w:p>
    <w:p w14:paraId="13DF4EDC" w14:textId="033C0E4F" w:rsidR="0050049F" w:rsidRPr="00236907" w:rsidRDefault="0050049F" w:rsidP="0098199E">
      <w:pPr>
        <w:pStyle w:val="BodyIndent1"/>
        <w:ind w:left="0"/>
      </w:pPr>
      <w:r w:rsidRPr="00236907">
        <w:t xml:space="preserve">We would like to thank the staff at the Department and other stakeholders across the </w:t>
      </w:r>
      <w:r w:rsidR="00E61A0C">
        <w:t>g</w:t>
      </w:r>
      <w:r w:rsidRPr="00236907">
        <w:t xml:space="preserve">overnment, </w:t>
      </w:r>
      <w:r w:rsidR="00E61A0C">
        <w:t>i</w:t>
      </w:r>
      <w:r w:rsidRPr="00236907">
        <w:t xml:space="preserve">ndependent and Catholic school systems who gave up their time to participate in the review. </w:t>
      </w:r>
      <w:r w:rsidR="006A7811" w:rsidRPr="00236907">
        <w:t xml:space="preserve">With this review, we hope that the Scheme can continue to develop as a tool to protect the safety and wellbeing of all of those who work in schools across Victoria. </w:t>
      </w:r>
    </w:p>
    <w:p w14:paraId="145E41F5" w14:textId="1A4B216E" w:rsidR="00A744B2" w:rsidRPr="00236907" w:rsidRDefault="002B61CF" w:rsidP="00BA2374">
      <w:pPr>
        <w:pStyle w:val="Heading1"/>
        <w:numPr>
          <w:ilvl w:val="0"/>
          <w:numId w:val="0"/>
        </w:numPr>
      </w:pPr>
      <w:bookmarkStart w:id="1" w:name="_Toc210053603"/>
      <w:bookmarkStart w:id="2" w:name="_Hlk189146533"/>
      <w:r w:rsidRPr="00236907">
        <w:t xml:space="preserve">Summary of </w:t>
      </w:r>
      <w:r w:rsidR="00DA6A72" w:rsidRPr="00236907">
        <w:t>R</w:t>
      </w:r>
      <w:r w:rsidR="00572F4A" w:rsidRPr="00236907">
        <w:t>ecommendations</w:t>
      </w:r>
      <w:bookmarkEnd w:id="1"/>
    </w:p>
    <w:p w14:paraId="6DC210B2" w14:textId="63ED6A27" w:rsidR="00AC5E7E" w:rsidRPr="00236907" w:rsidRDefault="00116881" w:rsidP="0096646E">
      <w:pPr>
        <w:pStyle w:val="Bullet10"/>
        <w:numPr>
          <w:ilvl w:val="0"/>
          <w:numId w:val="0"/>
        </w:numPr>
      </w:pPr>
      <w:r w:rsidRPr="00236907">
        <w:t>The below table summarises our recommendations</w:t>
      </w:r>
      <w:r w:rsidR="00AC5E7E" w:rsidRPr="00236907">
        <w:t xml:space="preserve"> by thematic area</w:t>
      </w:r>
      <w:r w:rsidRPr="00236907">
        <w:t>. Refer to Section 4 of the report for detail.</w:t>
      </w:r>
    </w:p>
    <w:p w14:paraId="4E9CE29F" w14:textId="77777777" w:rsidR="000B6303" w:rsidRPr="00236907" w:rsidRDefault="000B6303" w:rsidP="0096646E">
      <w:pPr>
        <w:pStyle w:val="Bullet10"/>
        <w:numPr>
          <w:ilvl w:val="0"/>
          <w:numId w:val="0"/>
        </w:numPr>
      </w:pPr>
    </w:p>
    <w:p w14:paraId="618D235A" w14:textId="77777777" w:rsidR="00A66091" w:rsidRPr="00236907" w:rsidRDefault="00A66091" w:rsidP="0096646E">
      <w:pPr>
        <w:pStyle w:val="Bullet10"/>
        <w:numPr>
          <w:ilvl w:val="0"/>
          <w:numId w:val="0"/>
        </w:numPr>
        <w:sectPr w:rsidR="00A66091" w:rsidRPr="00236907" w:rsidSect="00877597">
          <w:headerReference w:type="even" r:id="rId18"/>
          <w:headerReference w:type="default" r:id="rId19"/>
          <w:footerReference w:type="default" r:id="rId20"/>
          <w:headerReference w:type="first" r:id="rId21"/>
          <w:pgSz w:w="11906" w:h="16838" w:code="9"/>
          <w:pgMar w:top="1701" w:right="1418" w:bottom="1418" w:left="1418" w:header="567" w:footer="567" w:gutter="0"/>
          <w:cols w:space="708"/>
          <w:titlePg/>
          <w:docGrid w:linePitch="360"/>
        </w:sectPr>
      </w:pPr>
    </w:p>
    <w:p w14:paraId="1F9A9FCF" w14:textId="3E127499" w:rsidR="000B6303" w:rsidRPr="00236907" w:rsidRDefault="000B6303" w:rsidP="0096646E">
      <w:pPr>
        <w:pStyle w:val="Bullet10"/>
        <w:numPr>
          <w:ilvl w:val="0"/>
          <w:numId w:val="0"/>
        </w:numPr>
        <w:rPr>
          <w:b/>
          <w:bCs/>
          <w:i/>
          <w:iCs/>
        </w:rPr>
      </w:pPr>
      <w:r w:rsidRPr="00236907">
        <w:rPr>
          <w:b/>
          <w:bCs/>
          <w:i/>
          <w:iCs/>
        </w:rPr>
        <w:lastRenderedPageBreak/>
        <w:t>Summary of recommendations</w:t>
      </w:r>
    </w:p>
    <w:tbl>
      <w:tblPr>
        <w:tblStyle w:val="MadTabPlumShade"/>
        <w:tblW w:w="5000" w:type="pct"/>
        <w:tblLook w:val="0620" w:firstRow="1" w:lastRow="0" w:firstColumn="0" w:lastColumn="0" w:noHBand="1" w:noVBand="1"/>
      </w:tblPr>
      <w:tblGrid>
        <w:gridCol w:w="1439"/>
        <w:gridCol w:w="972"/>
        <w:gridCol w:w="1672"/>
        <w:gridCol w:w="4068"/>
        <w:gridCol w:w="2776"/>
        <w:gridCol w:w="2746"/>
      </w:tblGrid>
      <w:tr w:rsidR="00B73567" w:rsidRPr="00236907" w14:paraId="6AD25145" w14:textId="47AB2897" w:rsidTr="00C95A1F">
        <w:trPr>
          <w:cnfStyle w:val="100000000000" w:firstRow="1" w:lastRow="0" w:firstColumn="0" w:lastColumn="0" w:oddVBand="0" w:evenVBand="0" w:oddHBand="0" w:evenHBand="0" w:firstRowFirstColumn="0" w:firstRowLastColumn="0" w:lastRowFirstColumn="0" w:lastRowLastColumn="0"/>
          <w:tblHeader/>
        </w:trPr>
        <w:tc>
          <w:tcPr>
            <w:tcW w:w="526" w:type="pct"/>
          </w:tcPr>
          <w:p w14:paraId="55420BDC" w14:textId="0BE39B01" w:rsidR="00B73567" w:rsidRDefault="0073416F">
            <w:r>
              <w:t>Name</w:t>
            </w:r>
          </w:p>
        </w:tc>
        <w:tc>
          <w:tcPr>
            <w:tcW w:w="355" w:type="pct"/>
          </w:tcPr>
          <w:p w14:paraId="27AD8FF8" w14:textId="130C2DB4" w:rsidR="00B73567" w:rsidRPr="00236907" w:rsidRDefault="00B73567">
            <w:r>
              <w:t>Number</w:t>
            </w:r>
          </w:p>
        </w:tc>
        <w:tc>
          <w:tcPr>
            <w:tcW w:w="611" w:type="pct"/>
          </w:tcPr>
          <w:p w14:paraId="4878EC25" w14:textId="77777777" w:rsidR="00B73567" w:rsidRPr="00236907" w:rsidRDefault="00B73567">
            <w:r w:rsidRPr="00236907">
              <w:t>Provision</w:t>
            </w:r>
          </w:p>
        </w:tc>
        <w:tc>
          <w:tcPr>
            <w:tcW w:w="1488" w:type="pct"/>
          </w:tcPr>
          <w:p w14:paraId="6208131E" w14:textId="77777777" w:rsidR="00B73567" w:rsidRPr="00236907" w:rsidRDefault="00B73567">
            <w:r w:rsidRPr="00236907">
              <w:t>Recommendation</w:t>
            </w:r>
          </w:p>
        </w:tc>
        <w:tc>
          <w:tcPr>
            <w:tcW w:w="1015" w:type="pct"/>
          </w:tcPr>
          <w:p w14:paraId="569DB8EA" w14:textId="59C706C1" w:rsidR="00B73567" w:rsidRPr="00236907" w:rsidRDefault="00B73567">
            <w:r w:rsidRPr="00236907">
              <w:t>Rationale</w:t>
            </w:r>
          </w:p>
        </w:tc>
        <w:tc>
          <w:tcPr>
            <w:tcW w:w="1004" w:type="pct"/>
          </w:tcPr>
          <w:p w14:paraId="0C40F6B6" w14:textId="72D27D61" w:rsidR="00B73567" w:rsidRPr="00236907" w:rsidRDefault="00B73567">
            <w:r w:rsidRPr="00236907">
              <w:t>Risks and issues</w:t>
            </w:r>
          </w:p>
        </w:tc>
      </w:tr>
      <w:tr w:rsidR="00B73567" w:rsidRPr="00236907" w14:paraId="13B9B0E7" w14:textId="5E9138A2" w:rsidTr="00C95A1F">
        <w:tc>
          <w:tcPr>
            <w:tcW w:w="526" w:type="pct"/>
            <w:vMerge w:val="restart"/>
          </w:tcPr>
          <w:p w14:paraId="03A231FD" w14:textId="093D042A" w:rsidR="00B73567" w:rsidRPr="00236907" w:rsidRDefault="00B73567" w:rsidP="00067C78">
            <w:r w:rsidRPr="00236907">
              <w:rPr>
                <w:b/>
                <w:bCs/>
              </w:rPr>
              <w:t>1. General</w:t>
            </w:r>
          </w:p>
        </w:tc>
        <w:tc>
          <w:tcPr>
            <w:tcW w:w="355" w:type="pct"/>
          </w:tcPr>
          <w:p w14:paraId="45565245" w14:textId="230B4D53" w:rsidR="00B73567" w:rsidRPr="00236907" w:rsidRDefault="00B73567" w:rsidP="00067C78">
            <w:r w:rsidRPr="00236907">
              <w:t>1.1</w:t>
            </w:r>
          </w:p>
        </w:tc>
        <w:tc>
          <w:tcPr>
            <w:tcW w:w="611" w:type="pct"/>
          </w:tcPr>
          <w:p w14:paraId="1B9F0CD1" w14:textId="60DFFF6C" w:rsidR="00B73567" w:rsidRPr="00236907" w:rsidRDefault="00B73567" w:rsidP="00067C78">
            <w:r w:rsidRPr="00236907">
              <w:t>N/A</w:t>
            </w:r>
          </w:p>
        </w:tc>
        <w:tc>
          <w:tcPr>
            <w:tcW w:w="1488" w:type="pct"/>
          </w:tcPr>
          <w:p w14:paraId="3FBB690B" w14:textId="397C065C" w:rsidR="00B73567" w:rsidRPr="00236907" w:rsidRDefault="00B73567" w:rsidP="00067C78">
            <w:r w:rsidRPr="00236907">
              <w:t xml:space="preserve">The Department continues to educate its staff in the Scheme, give policy guidance on the use of orders, and provide direction to regional staff so they are </w:t>
            </w:r>
            <w:proofErr w:type="gramStart"/>
            <w:r w:rsidRPr="00236907">
              <w:t>in a position</w:t>
            </w:r>
            <w:proofErr w:type="gramEnd"/>
            <w:r w:rsidRPr="00236907">
              <w:t xml:space="preserve"> to either make orders or to support school principals who are facing a situation where an order may be necessary.   </w:t>
            </w:r>
          </w:p>
        </w:tc>
        <w:tc>
          <w:tcPr>
            <w:tcW w:w="1015" w:type="pct"/>
          </w:tcPr>
          <w:p w14:paraId="1365ACAF" w14:textId="77777777" w:rsidR="00B73567" w:rsidRPr="00236907" w:rsidRDefault="00B73567" w:rsidP="00346837">
            <w:r w:rsidRPr="00236907">
              <w:t>Stakeholders noted a lack of clarity and confidence among school and regional staff regarding the Scheme’s scope and application.</w:t>
            </w:r>
          </w:p>
          <w:p w14:paraId="2E12D009" w14:textId="77777777" w:rsidR="00B73567" w:rsidRPr="00236907" w:rsidRDefault="00B73567" w:rsidP="00067C78"/>
        </w:tc>
        <w:tc>
          <w:tcPr>
            <w:tcW w:w="1004" w:type="pct"/>
          </w:tcPr>
          <w:p w14:paraId="043684FC" w14:textId="03E45D36" w:rsidR="00B73567" w:rsidRPr="00236907" w:rsidRDefault="00B73567" w:rsidP="00346837">
            <w:r w:rsidRPr="00236907">
              <w:t>No significant specific risks or issues noted</w:t>
            </w:r>
            <w:r w:rsidR="00370059">
              <w:t>.</w:t>
            </w:r>
          </w:p>
        </w:tc>
      </w:tr>
      <w:tr w:rsidR="00B73567" w:rsidRPr="00236907" w14:paraId="58B94D40" w14:textId="3A985AC4" w:rsidTr="00C95A1F">
        <w:tc>
          <w:tcPr>
            <w:tcW w:w="526" w:type="pct"/>
            <w:vMerge/>
          </w:tcPr>
          <w:p w14:paraId="2EE247B1" w14:textId="77777777" w:rsidR="00B73567" w:rsidRPr="00236907" w:rsidRDefault="00B73567" w:rsidP="00067C78"/>
        </w:tc>
        <w:tc>
          <w:tcPr>
            <w:tcW w:w="355" w:type="pct"/>
          </w:tcPr>
          <w:p w14:paraId="17ECDB00" w14:textId="5F5DDC88" w:rsidR="00B73567" w:rsidRPr="00236907" w:rsidRDefault="00B73567" w:rsidP="00067C78">
            <w:r w:rsidRPr="00236907">
              <w:t>1.2</w:t>
            </w:r>
          </w:p>
        </w:tc>
        <w:tc>
          <w:tcPr>
            <w:tcW w:w="611" w:type="pct"/>
          </w:tcPr>
          <w:p w14:paraId="749A40C0" w14:textId="41D47368" w:rsidR="00B73567" w:rsidRPr="00236907" w:rsidRDefault="00B73567" w:rsidP="00067C78">
            <w:r w:rsidRPr="00236907">
              <w:t>N/A</w:t>
            </w:r>
          </w:p>
        </w:tc>
        <w:tc>
          <w:tcPr>
            <w:tcW w:w="1488" w:type="pct"/>
          </w:tcPr>
          <w:p w14:paraId="5CB2F6F7" w14:textId="0E5C4037" w:rsidR="00B73567" w:rsidRPr="00236907" w:rsidRDefault="00B73567" w:rsidP="00067C78">
            <w:r w:rsidRPr="00236907">
              <w:t>Given the length and complexity of the Ministerial Guidelines, the Department ensures that principals have access to guidance material succinctly summarising aspects of the Scheme relevant to them.</w:t>
            </w:r>
          </w:p>
        </w:tc>
        <w:tc>
          <w:tcPr>
            <w:tcW w:w="1015" w:type="pct"/>
          </w:tcPr>
          <w:p w14:paraId="671EE6E6" w14:textId="77777777" w:rsidR="00B73567" w:rsidRPr="00236907" w:rsidRDefault="00B73567" w:rsidP="00346837">
            <w:r w:rsidRPr="00236907">
              <w:t>Stakeholders found the Ministerial Guidelines complex and time-consuming to navigate.</w:t>
            </w:r>
          </w:p>
          <w:p w14:paraId="4635D37D" w14:textId="77777777" w:rsidR="00B73567" w:rsidRPr="00236907" w:rsidRDefault="00B73567" w:rsidP="00067C78"/>
        </w:tc>
        <w:tc>
          <w:tcPr>
            <w:tcW w:w="1004" w:type="pct"/>
          </w:tcPr>
          <w:p w14:paraId="01DED2EB" w14:textId="02FF1E1B" w:rsidR="00B73567" w:rsidRPr="00236907" w:rsidRDefault="00B73567" w:rsidP="00346837">
            <w:r w:rsidRPr="00236907">
              <w:t>No significant specific risks or issues noted</w:t>
            </w:r>
          </w:p>
        </w:tc>
      </w:tr>
      <w:tr w:rsidR="00B73567" w:rsidRPr="00236907" w14:paraId="46EBC34C" w14:textId="07A276C0" w:rsidTr="00C95A1F">
        <w:tc>
          <w:tcPr>
            <w:tcW w:w="526" w:type="pct"/>
            <w:vMerge w:val="restart"/>
          </w:tcPr>
          <w:p w14:paraId="3670093F" w14:textId="366D9894" w:rsidR="00B73567" w:rsidRPr="00236907" w:rsidRDefault="00B73567" w:rsidP="00AD7110">
            <w:r w:rsidRPr="00236907">
              <w:rPr>
                <w:b/>
                <w:bCs/>
              </w:rPr>
              <w:t>2. Scope of the Scheme</w:t>
            </w:r>
          </w:p>
        </w:tc>
        <w:tc>
          <w:tcPr>
            <w:tcW w:w="355" w:type="pct"/>
          </w:tcPr>
          <w:p w14:paraId="44046EE0" w14:textId="289D526E" w:rsidR="00B73567" w:rsidRPr="00236907" w:rsidRDefault="00B73567" w:rsidP="00AD7110">
            <w:r w:rsidRPr="00236907">
              <w:t>2.1</w:t>
            </w:r>
          </w:p>
        </w:tc>
        <w:tc>
          <w:tcPr>
            <w:tcW w:w="611" w:type="pct"/>
          </w:tcPr>
          <w:p w14:paraId="791E6ABA" w14:textId="447F24FC" w:rsidR="00B73567" w:rsidRPr="00236907" w:rsidRDefault="00B73567" w:rsidP="00AD7110">
            <w:r w:rsidRPr="00236907">
              <w:t xml:space="preserve">ETR Act, s </w:t>
            </w:r>
            <w:r w:rsidRPr="00236907">
              <w:rPr>
                <w:rFonts w:asciiTheme="majorHAnsi" w:hAnsiTheme="majorHAnsi" w:cstheme="majorHAnsi"/>
              </w:rPr>
              <w:t xml:space="preserve">2.1A.1 Definitions, </w:t>
            </w:r>
            <w:r w:rsidRPr="00236907">
              <w:t xml:space="preserve">ETR Act </w:t>
            </w:r>
            <w:r>
              <w:t xml:space="preserve">ss </w:t>
            </w:r>
            <w:r w:rsidRPr="00236907">
              <w:rPr>
                <w:rFonts w:asciiTheme="minorHAnsi" w:hAnsiTheme="minorHAnsi" w:cstheme="minorBidi"/>
              </w:rPr>
              <w:t>2.1A.5(1)(a)(ii), 2.1A.17(1)(a)(ii), grounds for making orders</w:t>
            </w:r>
          </w:p>
        </w:tc>
        <w:tc>
          <w:tcPr>
            <w:tcW w:w="1488" w:type="pct"/>
          </w:tcPr>
          <w:p w14:paraId="1EF15C3B" w14:textId="434FABC8" w:rsidR="00B73567" w:rsidRPr="00236907" w:rsidRDefault="00B73567" w:rsidP="00AD7110">
            <w:r w:rsidRPr="00236907">
              <w:t>Consider if there should be any change to the definition of “member of the school community” in the ETRA. Consider also if there should be a distinction between parents, teachers and students on one hand and other people who may be at a school-related place for a school-related reason on the other, and if there should be any amendments to the provisions defining grounds for making immediate and ongoing orders.</w:t>
            </w:r>
          </w:p>
        </w:tc>
        <w:tc>
          <w:tcPr>
            <w:tcW w:w="1015" w:type="pct"/>
          </w:tcPr>
          <w:p w14:paraId="2C6C0440" w14:textId="387B5214" w:rsidR="00B73567" w:rsidRPr="00236907" w:rsidRDefault="00B73567" w:rsidP="00AD7110">
            <w:r w:rsidRPr="00236907">
              <w:t>There is an ambiguity in the drafting of the ETR Act.</w:t>
            </w:r>
          </w:p>
        </w:tc>
        <w:tc>
          <w:tcPr>
            <w:tcW w:w="1004" w:type="pct"/>
          </w:tcPr>
          <w:p w14:paraId="7EB268E8" w14:textId="12C78BC1" w:rsidR="00B73567" w:rsidRPr="00236907" w:rsidRDefault="00B73567" w:rsidP="00AD7110">
            <w:r w:rsidRPr="00236907">
              <w:t xml:space="preserve">There are various potential revisions of these provisions of the ETR Act, with potential to give rise to varying risks and issues. Allowing authorised persons to make orders to protect staff, parents and students from harm away from the school could be a significant expansion of the Scheme. However, there are also strong arguments for using orders to protect teachers from aggressive behaviour in the community away from the school, and some school principals appear to already be using orders for this purpose. This recommendation invites the </w:t>
            </w:r>
            <w:r w:rsidRPr="00236907">
              <w:lastRenderedPageBreak/>
              <w:t xml:space="preserve">Department to </w:t>
            </w:r>
            <w:r w:rsidR="00A56FB2">
              <w:t>clarify its policy position.</w:t>
            </w:r>
          </w:p>
        </w:tc>
      </w:tr>
      <w:tr w:rsidR="00B73567" w:rsidRPr="00236907" w14:paraId="05811A18" w14:textId="1D6F7F39" w:rsidTr="00C95A1F">
        <w:tc>
          <w:tcPr>
            <w:tcW w:w="526" w:type="pct"/>
            <w:vMerge/>
          </w:tcPr>
          <w:p w14:paraId="7BAC9CFE" w14:textId="77777777" w:rsidR="00B73567" w:rsidRPr="00236907" w:rsidRDefault="00B73567" w:rsidP="00B130D8"/>
        </w:tc>
        <w:tc>
          <w:tcPr>
            <w:tcW w:w="355" w:type="pct"/>
          </w:tcPr>
          <w:p w14:paraId="4A8BA0E9" w14:textId="7072B592" w:rsidR="00B73567" w:rsidRPr="00236907" w:rsidRDefault="00B73567" w:rsidP="00B130D8">
            <w:r w:rsidRPr="00236907">
              <w:t>2.2</w:t>
            </w:r>
          </w:p>
        </w:tc>
        <w:tc>
          <w:tcPr>
            <w:tcW w:w="611" w:type="pct"/>
          </w:tcPr>
          <w:p w14:paraId="69A8FA83" w14:textId="15F10E05" w:rsidR="00B73567" w:rsidRPr="00236907" w:rsidRDefault="00B73567" w:rsidP="00B130D8">
            <w:r w:rsidRPr="00236907">
              <w:t xml:space="preserve">Ministerial Guidelines, paragraph 165 </w:t>
            </w:r>
          </w:p>
        </w:tc>
        <w:tc>
          <w:tcPr>
            <w:tcW w:w="1488" w:type="pct"/>
          </w:tcPr>
          <w:p w14:paraId="129F54B3" w14:textId="4261693B" w:rsidR="00B73567" w:rsidRPr="00236907" w:rsidRDefault="00B73567" w:rsidP="00B130D8">
            <w:r w:rsidRPr="00236907">
              <w:t xml:space="preserve">Update the Ministerial Guidelines to provide an explanation and examples of what is meant by a social media platform or channel “established </w:t>
            </w:r>
            <w:r>
              <w:t>i</w:t>
            </w:r>
            <w:r w:rsidRPr="00236907">
              <w:t>n relation to” the relevant school.</w:t>
            </w:r>
          </w:p>
        </w:tc>
        <w:tc>
          <w:tcPr>
            <w:tcW w:w="1015" w:type="pct"/>
          </w:tcPr>
          <w:p w14:paraId="6307BC2D" w14:textId="77777777" w:rsidR="00B73567" w:rsidRPr="00236907" w:rsidRDefault="00B73567" w:rsidP="00D2652F">
            <w:r w:rsidRPr="00236907">
              <w:t>Concerns raised about attacks on school staff via social media and lack of clarity on what platforms are covered.</w:t>
            </w:r>
          </w:p>
          <w:p w14:paraId="28AC4026" w14:textId="77777777" w:rsidR="00B73567" w:rsidRPr="00236907" w:rsidRDefault="00B73567" w:rsidP="00B130D8"/>
        </w:tc>
        <w:tc>
          <w:tcPr>
            <w:tcW w:w="1004" w:type="pct"/>
          </w:tcPr>
          <w:p w14:paraId="597079C2" w14:textId="6346B384" w:rsidR="00B73567" w:rsidRPr="00236907" w:rsidRDefault="00B73567" w:rsidP="00D2652F">
            <w:r w:rsidRPr="00236907">
              <w:t>The Department will need to balance the risk of overreach beyond the legislative power against risks to school staff from aggressive behaviour on social media</w:t>
            </w:r>
            <w:r w:rsidR="00370059">
              <w:t>.</w:t>
            </w:r>
          </w:p>
        </w:tc>
      </w:tr>
      <w:tr w:rsidR="00500781" w:rsidRPr="00236907" w14:paraId="55EEBB3D" w14:textId="68CF9C06" w:rsidTr="00C95A1F">
        <w:tc>
          <w:tcPr>
            <w:tcW w:w="526" w:type="pct"/>
            <w:vMerge w:val="restart"/>
          </w:tcPr>
          <w:p w14:paraId="64CCB4A5" w14:textId="659833BE" w:rsidR="00500781" w:rsidRPr="00236907" w:rsidRDefault="00500781" w:rsidP="00E04C67">
            <w:r w:rsidRPr="00236907">
              <w:rPr>
                <w:b/>
                <w:bCs/>
              </w:rPr>
              <w:t>3. Function of immediate orders</w:t>
            </w:r>
          </w:p>
        </w:tc>
        <w:tc>
          <w:tcPr>
            <w:tcW w:w="355" w:type="pct"/>
          </w:tcPr>
          <w:p w14:paraId="7C99C45A" w14:textId="0F5C58F0" w:rsidR="00500781" w:rsidRPr="00236907" w:rsidRDefault="00500781" w:rsidP="00E04C67">
            <w:r w:rsidRPr="00236907">
              <w:t>3.1</w:t>
            </w:r>
          </w:p>
        </w:tc>
        <w:tc>
          <w:tcPr>
            <w:tcW w:w="611" w:type="pct"/>
          </w:tcPr>
          <w:p w14:paraId="320EB672" w14:textId="4054DFAE" w:rsidR="00500781" w:rsidRPr="00236907" w:rsidRDefault="00500781" w:rsidP="00E04C67">
            <w:r w:rsidRPr="00236907">
              <w:t xml:space="preserve">ETR Act s </w:t>
            </w:r>
            <w:r w:rsidRPr="00236907">
              <w:rPr>
                <w:rFonts w:asciiTheme="majorHAnsi" w:hAnsiTheme="majorHAnsi" w:cstheme="majorHAnsi"/>
              </w:rPr>
              <w:t>2.1A.5 Grounds and other requirements for making immediate order</w:t>
            </w:r>
          </w:p>
        </w:tc>
        <w:tc>
          <w:tcPr>
            <w:tcW w:w="1488" w:type="pct"/>
          </w:tcPr>
          <w:p w14:paraId="7979EFBA" w14:textId="6808F7E3" w:rsidR="00500781" w:rsidRPr="00236907" w:rsidRDefault="00500781" w:rsidP="00E04C67">
            <w:r w:rsidRPr="00236907">
              <w:t xml:space="preserve">Modify s 2.1A.5 of the ETR Act to define </w:t>
            </w:r>
            <w:r>
              <w:t>“</w:t>
            </w:r>
            <w:r w:rsidRPr="00236907">
              <w:t>imminent</w:t>
            </w:r>
            <w:r>
              <w:t>”</w:t>
            </w:r>
            <w:r w:rsidRPr="00236907">
              <w:t xml:space="preserve"> or remove the requirement for imminency and add wording to reflect the Department’s policy goals for immediate orders. </w:t>
            </w:r>
          </w:p>
        </w:tc>
        <w:tc>
          <w:tcPr>
            <w:tcW w:w="1015" w:type="pct"/>
          </w:tcPr>
          <w:p w14:paraId="4C89B023" w14:textId="77777777" w:rsidR="00500781" w:rsidRPr="00236907" w:rsidRDefault="00500781" w:rsidP="00D2652F">
            <w:r w:rsidRPr="00236907">
              <w:t>The current high threshold for "imminence" makes immediate orders difficult to use practically.</w:t>
            </w:r>
          </w:p>
          <w:p w14:paraId="02F17C3E" w14:textId="77777777" w:rsidR="00500781" w:rsidRPr="00236907" w:rsidRDefault="00500781" w:rsidP="00E04C67"/>
        </w:tc>
        <w:tc>
          <w:tcPr>
            <w:tcW w:w="1004" w:type="pct"/>
          </w:tcPr>
          <w:p w14:paraId="7FA18019" w14:textId="6F96F0F3" w:rsidR="00500781" w:rsidRPr="00236907" w:rsidRDefault="00500781" w:rsidP="00D2652F">
            <w:r w:rsidRPr="00236907">
              <w:t xml:space="preserve">The recommendation presents </w:t>
            </w:r>
            <w:proofErr w:type="gramStart"/>
            <w:r w:rsidRPr="00236907">
              <w:t>a number of</w:t>
            </w:r>
            <w:proofErr w:type="gramEnd"/>
            <w:r w:rsidRPr="00236907">
              <w:t xml:space="preserve"> options. A broader definition of “imminent” may provide authorised persons with greater powers to make immediate orders, </w:t>
            </w:r>
            <w:r w:rsidR="00A56FB2">
              <w:t>which are intended for urgent situations and do not include a right to be heard due to their emergency nature</w:t>
            </w:r>
            <w:r w:rsidRPr="00236907">
              <w:t xml:space="preserve">. However, the current high threshold for “imminent” limits the utility of immediate orders. </w:t>
            </w:r>
            <w:r w:rsidR="00A56FB2">
              <w:t xml:space="preserve">The Department may wish to clarify its policy position. </w:t>
            </w:r>
          </w:p>
        </w:tc>
      </w:tr>
      <w:tr w:rsidR="00500781" w:rsidRPr="00236907" w14:paraId="4DE7963C" w14:textId="71BC2AD4" w:rsidTr="00C95A1F">
        <w:tc>
          <w:tcPr>
            <w:tcW w:w="526" w:type="pct"/>
            <w:vMerge/>
          </w:tcPr>
          <w:p w14:paraId="11E16A0D" w14:textId="77777777" w:rsidR="00500781" w:rsidRPr="00236907" w:rsidRDefault="00500781" w:rsidP="00E04C67"/>
        </w:tc>
        <w:tc>
          <w:tcPr>
            <w:tcW w:w="355" w:type="pct"/>
          </w:tcPr>
          <w:p w14:paraId="0AE0FD1F" w14:textId="4EEA6995" w:rsidR="00500781" w:rsidRPr="00236907" w:rsidRDefault="00500781" w:rsidP="00E04C67">
            <w:r w:rsidRPr="00236907">
              <w:t>3.2</w:t>
            </w:r>
          </w:p>
        </w:tc>
        <w:tc>
          <w:tcPr>
            <w:tcW w:w="611" w:type="pct"/>
          </w:tcPr>
          <w:p w14:paraId="745B469B" w14:textId="01BA5D47" w:rsidR="00500781" w:rsidRPr="00236907" w:rsidRDefault="00500781" w:rsidP="00E04C67">
            <w:r w:rsidRPr="00236907">
              <w:t xml:space="preserve">ETR Act s </w:t>
            </w:r>
            <w:r w:rsidRPr="00236907">
              <w:rPr>
                <w:rFonts w:asciiTheme="majorHAnsi" w:hAnsiTheme="majorHAnsi" w:cstheme="majorHAnsi"/>
              </w:rPr>
              <w:t>2.1A.7 Matters which must be stated in an immediate order</w:t>
            </w:r>
          </w:p>
        </w:tc>
        <w:tc>
          <w:tcPr>
            <w:tcW w:w="1488" w:type="pct"/>
          </w:tcPr>
          <w:p w14:paraId="6CB098EC" w14:textId="2F2275FF" w:rsidR="00500781" w:rsidRPr="00236907" w:rsidRDefault="00500781" w:rsidP="00E04C67">
            <w:r w:rsidRPr="00236907">
              <w:t xml:space="preserve">Simplify the requirements in the ETR Act for making an oral order, for example, so that the authorised person only needs to direct the individual to leave and/or not attend the school-related place. Unless the authorised person gives another timeframe, the restriction stands for the duration of the order. </w:t>
            </w:r>
          </w:p>
        </w:tc>
        <w:tc>
          <w:tcPr>
            <w:tcW w:w="1015" w:type="pct"/>
          </w:tcPr>
          <w:p w14:paraId="0A749677" w14:textId="77777777" w:rsidR="00500781" w:rsidRPr="00236907" w:rsidRDefault="00500781" w:rsidP="00D2652F">
            <w:r w:rsidRPr="00236907">
              <w:t>School principals found it difficult to comply with the detailed oral order requirements in high-pressure situations.</w:t>
            </w:r>
          </w:p>
          <w:p w14:paraId="4EE7D613" w14:textId="77777777" w:rsidR="00500781" w:rsidRPr="00236907" w:rsidRDefault="00500781" w:rsidP="00E04C67"/>
        </w:tc>
        <w:tc>
          <w:tcPr>
            <w:tcW w:w="1004" w:type="pct"/>
          </w:tcPr>
          <w:p w14:paraId="5AC3E8A5" w14:textId="575D4C3F" w:rsidR="00500781" w:rsidRPr="00236907" w:rsidRDefault="00500781" w:rsidP="00D2652F">
            <w:r w:rsidRPr="00236907">
              <w:t xml:space="preserve">The risks associated with this recommendation are in our view low. It would not expand the power of authorised persons, nor impose further restrictions </w:t>
            </w:r>
            <w:proofErr w:type="gramStart"/>
            <w:r w:rsidRPr="00236907">
              <w:t>on the subjects of orders</w:t>
            </w:r>
            <w:proofErr w:type="gramEnd"/>
            <w:r w:rsidRPr="00236907">
              <w:t>.</w:t>
            </w:r>
          </w:p>
        </w:tc>
      </w:tr>
      <w:tr w:rsidR="00500781" w:rsidRPr="00236907" w14:paraId="5FA091E1" w14:textId="28C0F5DB" w:rsidTr="00C95A1F">
        <w:tc>
          <w:tcPr>
            <w:tcW w:w="526" w:type="pct"/>
            <w:vMerge/>
          </w:tcPr>
          <w:p w14:paraId="762DF0D0" w14:textId="77777777" w:rsidR="00500781" w:rsidRPr="00236907" w:rsidRDefault="00500781" w:rsidP="00E04C67"/>
        </w:tc>
        <w:tc>
          <w:tcPr>
            <w:tcW w:w="355" w:type="pct"/>
          </w:tcPr>
          <w:p w14:paraId="5D891750" w14:textId="329E18E6" w:rsidR="00500781" w:rsidRPr="00236907" w:rsidRDefault="00500781" w:rsidP="00E04C67">
            <w:r w:rsidRPr="00236907">
              <w:t>3.3</w:t>
            </w:r>
          </w:p>
        </w:tc>
        <w:tc>
          <w:tcPr>
            <w:tcW w:w="611" w:type="pct"/>
          </w:tcPr>
          <w:p w14:paraId="6F504980" w14:textId="659929DC" w:rsidR="00500781" w:rsidRPr="00236907" w:rsidRDefault="00500781" w:rsidP="00E04C67">
            <w:r w:rsidRPr="00236907">
              <w:t xml:space="preserve">ETR Act s </w:t>
            </w:r>
            <w:r w:rsidRPr="00236907">
              <w:rPr>
                <w:rFonts w:asciiTheme="majorHAnsi" w:hAnsiTheme="majorHAnsi" w:cstheme="majorHAnsi"/>
              </w:rPr>
              <w:t>2.1A.9 Duration of immediate orders</w:t>
            </w:r>
          </w:p>
        </w:tc>
        <w:tc>
          <w:tcPr>
            <w:tcW w:w="1488" w:type="pct"/>
          </w:tcPr>
          <w:p w14:paraId="7620B3D9" w14:textId="16445430" w:rsidR="00500781" w:rsidRPr="00236907" w:rsidRDefault="00500781" w:rsidP="00E04C67">
            <w:r w:rsidRPr="00236907">
              <w:t>If the Department does not make changes to shorten the process to make an ongoing order, amend the ETR Act to permit the authorised person to extend an immediate order by a further 7 days beyond the initial 14-day period, provided this is treated as a fresh administrative decision subject to the same justification and proportionality requirements as the original order.</w:t>
            </w:r>
          </w:p>
        </w:tc>
        <w:tc>
          <w:tcPr>
            <w:tcW w:w="1015" w:type="pct"/>
          </w:tcPr>
          <w:p w14:paraId="1F37B62C" w14:textId="77777777" w:rsidR="00500781" w:rsidRPr="00236907" w:rsidRDefault="00500781" w:rsidP="00D2652F">
            <w:r w:rsidRPr="00236907">
              <w:t>The current 14-day period is often insufficient to complete the process for making an ongoing order.</w:t>
            </w:r>
          </w:p>
          <w:p w14:paraId="0C3C33F4" w14:textId="77777777" w:rsidR="00500781" w:rsidRPr="00236907" w:rsidRDefault="00500781" w:rsidP="00E04C67"/>
        </w:tc>
        <w:tc>
          <w:tcPr>
            <w:tcW w:w="1004" w:type="pct"/>
          </w:tcPr>
          <w:p w14:paraId="0DA4AC53" w14:textId="6F2DAAAB" w:rsidR="00500781" w:rsidRPr="00236907" w:rsidRDefault="00500781" w:rsidP="00D2652F">
            <w:r w:rsidRPr="00236907">
              <w:t>The recommendation if adopted would extend immediate orders, which do not include a right to be heard</w:t>
            </w:r>
            <w:r w:rsidR="001C6EA2">
              <w:t xml:space="preserve"> due to their emergency nature</w:t>
            </w:r>
            <w:r w:rsidRPr="00236907">
              <w:t xml:space="preserve">.  </w:t>
            </w:r>
            <w:r w:rsidR="001C6EA2">
              <w:t>The associated risk is considered low, given the limited nature of the proposed extension (only one week)</w:t>
            </w:r>
            <w:r w:rsidRPr="00236907">
              <w:t>.</w:t>
            </w:r>
          </w:p>
        </w:tc>
      </w:tr>
      <w:tr w:rsidR="00500781" w:rsidRPr="00236907" w14:paraId="575C7950" w14:textId="0173B6DC" w:rsidTr="00C95A1F">
        <w:tc>
          <w:tcPr>
            <w:tcW w:w="526" w:type="pct"/>
            <w:vMerge/>
          </w:tcPr>
          <w:p w14:paraId="574A7FE8" w14:textId="77777777" w:rsidR="00500781" w:rsidRPr="00236907" w:rsidRDefault="00500781" w:rsidP="00E04C67"/>
        </w:tc>
        <w:tc>
          <w:tcPr>
            <w:tcW w:w="355" w:type="pct"/>
          </w:tcPr>
          <w:p w14:paraId="1A4ACB68" w14:textId="5CE84FCE" w:rsidR="00500781" w:rsidRPr="00236907" w:rsidRDefault="00500781" w:rsidP="00E04C67">
            <w:r w:rsidRPr="00236907">
              <w:t>3.4</w:t>
            </w:r>
          </w:p>
        </w:tc>
        <w:tc>
          <w:tcPr>
            <w:tcW w:w="611" w:type="pct"/>
          </w:tcPr>
          <w:p w14:paraId="426A1DC3" w14:textId="3791DD0F" w:rsidR="00500781" w:rsidRPr="00236907" w:rsidRDefault="00500781" w:rsidP="00E04C67">
            <w:r w:rsidRPr="00236907">
              <w:t xml:space="preserve">ETR Act s 2.1A.13 </w:t>
            </w:r>
            <w:r w:rsidRPr="00236907">
              <w:rPr>
                <w:rFonts w:asciiTheme="majorHAnsi" w:hAnsiTheme="majorHAnsi" w:cstheme="majorHAnsi"/>
                <w:bCs/>
              </w:rPr>
              <w:t>Communication and access arrangements</w:t>
            </w:r>
          </w:p>
        </w:tc>
        <w:tc>
          <w:tcPr>
            <w:tcW w:w="1488" w:type="pct"/>
          </w:tcPr>
          <w:p w14:paraId="7C049887" w14:textId="565E7CD8" w:rsidR="00500781" w:rsidRPr="00236907" w:rsidRDefault="00500781" w:rsidP="00E04C67">
            <w:r w:rsidRPr="00236907">
              <w:t xml:space="preserve">Clarify the Department’s position on the minimum expectations for communication and access arrangements for immediate </w:t>
            </w:r>
            <w:proofErr w:type="gramStart"/>
            <w:r w:rsidRPr="00236907">
              <w:t>orders, and</w:t>
            </w:r>
            <w:proofErr w:type="gramEnd"/>
            <w:r w:rsidRPr="00236907">
              <w:t xml:space="preserve"> reflect them in the Guidelines and/or in Department policy.</w:t>
            </w:r>
          </w:p>
        </w:tc>
        <w:tc>
          <w:tcPr>
            <w:tcW w:w="1015" w:type="pct"/>
          </w:tcPr>
          <w:p w14:paraId="1B7154E2" w14:textId="04FDFAE6" w:rsidR="00500781" w:rsidRPr="00236907" w:rsidRDefault="00500781" w:rsidP="00E04C67">
            <w:r w:rsidRPr="00236907">
              <w:t>Authorised persons may have the expectation that they need to draft detailed communication and access protocols for an immediate order.</w:t>
            </w:r>
          </w:p>
        </w:tc>
        <w:tc>
          <w:tcPr>
            <w:tcW w:w="1004" w:type="pct"/>
          </w:tcPr>
          <w:p w14:paraId="4F3ACD12" w14:textId="01672A56" w:rsidR="00500781" w:rsidRPr="00236907" w:rsidRDefault="00500781" w:rsidP="00D2652F">
            <w:r w:rsidRPr="00236907">
              <w:t>This recommendation seeks to clarify the Department’s position and communicate it to stakeholders. We consider that the risks and issues are low.</w:t>
            </w:r>
          </w:p>
        </w:tc>
      </w:tr>
      <w:tr w:rsidR="00500781" w:rsidRPr="00236907" w14:paraId="1A7B0086" w14:textId="1DD9F965" w:rsidTr="00C95A1F">
        <w:tc>
          <w:tcPr>
            <w:tcW w:w="526" w:type="pct"/>
            <w:vMerge/>
          </w:tcPr>
          <w:p w14:paraId="572BF790" w14:textId="77777777" w:rsidR="00500781" w:rsidRPr="00236907" w:rsidRDefault="00500781" w:rsidP="002C5034"/>
        </w:tc>
        <w:tc>
          <w:tcPr>
            <w:tcW w:w="355" w:type="pct"/>
          </w:tcPr>
          <w:p w14:paraId="56564B4E" w14:textId="04D414BB" w:rsidR="00500781" w:rsidRPr="00236907" w:rsidRDefault="00500781" w:rsidP="002C5034">
            <w:r w:rsidRPr="00236907">
              <w:t>3.5</w:t>
            </w:r>
          </w:p>
        </w:tc>
        <w:tc>
          <w:tcPr>
            <w:tcW w:w="611" w:type="pct"/>
          </w:tcPr>
          <w:p w14:paraId="4793DA8F" w14:textId="26CC090B" w:rsidR="00500781" w:rsidRPr="00236907" w:rsidRDefault="00500781" w:rsidP="002C5034">
            <w:r w:rsidRPr="00236907">
              <w:t>ETR Act</w:t>
            </w:r>
            <w:r>
              <w:t xml:space="preserve"> s</w:t>
            </w:r>
            <w:r w:rsidRPr="00236907">
              <w:t xml:space="preserve"> 2.1A.12 Review of immediate order, Ministerial Guidelines, paragraphs 207 - 208</w:t>
            </w:r>
          </w:p>
        </w:tc>
        <w:tc>
          <w:tcPr>
            <w:tcW w:w="1488" w:type="pct"/>
          </w:tcPr>
          <w:p w14:paraId="0E347705" w14:textId="39F1AD2E" w:rsidR="00500781" w:rsidRPr="00236907" w:rsidRDefault="00500781" w:rsidP="002C5034">
            <w:r w:rsidRPr="00236907">
              <w:t xml:space="preserve">Add a third option to s 2.1A.12(1) of the ETR Act stating that the immediate order may be left in place until it expires. Clarify in the Ministerial Guidelines (paragraphs 207-208) that an immediate order will expire at the end of the </w:t>
            </w:r>
            <w:proofErr w:type="gramStart"/>
            <w:r w:rsidRPr="00236907">
              <w:t>time period</w:t>
            </w:r>
            <w:proofErr w:type="gramEnd"/>
            <w:r w:rsidRPr="00236907">
              <w:t xml:space="preserve"> if the authorised person takes no further action.</w:t>
            </w:r>
          </w:p>
        </w:tc>
        <w:tc>
          <w:tcPr>
            <w:tcW w:w="1015" w:type="pct"/>
          </w:tcPr>
          <w:p w14:paraId="0DC6B0D8" w14:textId="3F5F2B3B" w:rsidR="00500781" w:rsidRPr="00236907" w:rsidRDefault="00500781" w:rsidP="002C5034">
            <w:r w:rsidRPr="00236907">
              <w:t>Lack of an option to review an immediate order and leave it in place, lack of clarity on whether an immediate order automatically expires without formal revocation.</w:t>
            </w:r>
          </w:p>
        </w:tc>
        <w:tc>
          <w:tcPr>
            <w:tcW w:w="1004" w:type="pct"/>
          </w:tcPr>
          <w:p w14:paraId="4E414C11" w14:textId="4E25B4B5" w:rsidR="00500781" w:rsidRPr="00236907" w:rsidRDefault="00500781" w:rsidP="002C5034">
            <w:r w:rsidRPr="00236907">
              <w:t xml:space="preserve">This recommendation is largely procedural, and we consider </w:t>
            </w:r>
            <w:proofErr w:type="gramStart"/>
            <w:r w:rsidRPr="00236907">
              <w:t>that  the</w:t>
            </w:r>
            <w:proofErr w:type="gramEnd"/>
            <w:r w:rsidRPr="00236907">
              <w:t xml:space="preserve"> risks and issues associated are low.</w:t>
            </w:r>
          </w:p>
        </w:tc>
      </w:tr>
      <w:tr w:rsidR="00500781" w:rsidRPr="00236907" w14:paraId="6C2572A0" w14:textId="3A1000BE" w:rsidTr="00C95A1F">
        <w:tc>
          <w:tcPr>
            <w:tcW w:w="526" w:type="pct"/>
            <w:vMerge/>
          </w:tcPr>
          <w:p w14:paraId="32D1D1A4" w14:textId="77777777" w:rsidR="00500781" w:rsidRPr="00236907" w:rsidRDefault="00500781" w:rsidP="00F35D7C"/>
        </w:tc>
        <w:tc>
          <w:tcPr>
            <w:tcW w:w="355" w:type="pct"/>
          </w:tcPr>
          <w:p w14:paraId="5B529F56" w14:textId="304DC6D6" w:rsidR="00500781" w:rsidRPr="00236907" w:rsidRDefault="00500781" w:rsidP="00F35D7C">
            <w:r w:rsidRPr="00236907">
              <w:t>3.6</w:t>
            </w:r>
          </w:p>
        </w:tc>
        <w:tc>
          <w:tcPr>
            <w:tcW w:w="611" w:type="pct"/>
          </w:tcPr>
          <w:p w14:paraId="0BB78B66" w14:textId="297B08CD" w:rsidR="00500781" w:rsidRPr="00236907" w:rsidRDefault="00500781" w:rsidP="00F35D7C">
            <w:r w:rsidRPr="00236907">
              <w:t xml:space="preserve">ETR Act </w:t>
            </w:r>
            <w:r>
              <w:t xml:space="preserve">s </w:t>
            </w:r>
            <w:r w:rsidRPr="00236907">
              <w:t>2.1A.12 Review of immediate order</w:t>
            </w:r>
          </w:p>
        </w:tc>
        <w:tc>
          <w:tcPr>
            <w:tcW w:w="1488" w:type="pct"/>
          </w:tcPr>
          <w:p w14:paraId="1B6B83C6" w14:textId="6DAAC5D0" w:rsidR="00500781" w:rsidRPr="00236907" w:rsidRDefault="00500781" w:rsidP="00F35D7C">
            <w:r w:rsidRPr="00236907">
              <w:t>Amend s 2.1A.12(3) of the ETR Act to clarify that this provision is referring to whether there are grounds to make an ongoing order, rather than grounds to make the initial immediate order.</w:t>
            </w:r>
          </w:p>
        </w:tc>
        <w:tc>
          <w:tcPr>
            <w:tcW w:w="1015" w:type="pct"/>
          </w:tcPr>
          <w:p w14:paraId="06AB13DB" w14:textId="73E6F7B8" w:rsidR="00500781" w:rsidRPr="00236907" w:rsidRDefault="00500781" w:rsidP="00F35D7C">
            <w:r w:rsidRPr="00236907">
              <w:t>Ambiguity in the original wording.</w:t>
            </w:r>
          </w:p>
        </w:tc>
        <w:tc>
          <w:tcPr>
            <w:tcW w:w="1004" w:type="pct"/>
          </w:tcPr>
          <w:p w14:paraId="12F94754" w14:textId="520DD3FB" w:rsidR="00500781" w:rsidRPr="00236907" w:rsidRDefault="00500781" w:rsidP="00F35D7C">
            <w:r w:rsidRPr="00236907">
              <w:t xml:space="preserve">The risks associated with this recommendation are low. It is intended to address an ambiguity in the original wording. </w:t>
            </w:r>
          </w:p>
        </w:tc>
      </w:tr>
      <w:tr w:rsidR="00B73567" w:rsidRPr="00236907" w14:paraId="66312336" w14:textId="2A0742B2" w:rsidTr="00C95A1F">
        <w:tc>
          <w:tcPr>
            <w:tcW w:w="526" w:type="pct"/>
          </w:tcPr>
          <w:p w14:paraId="0CF02CB7" w14:textId="5B4E4F47" w:rsidR="00B73567" w:rsidRPr="00236907" w:rsidRDefault="00500781" w:rsidP="00267D94">
            <w:r w:rsidRPr="00236907">
              <w:rPr>
                <w:b/>
                <w:bCs/>
              </w:rPr>
              <w:t xml:space="preserve">4. Grounds for making </w:t>
            </w:r>
            <w:r w:rsidRPr="00236907">
              <w:rPr>
                <w:b/>
                <w:bCs/>
              </w:rPr>
              <w:lastRenderedPageBreak/>
              <w:t>ongoing orders</w:t>
            </w:r>
          </w:p>
        </w:tc>
        <w:tc>
          <w:tcPr>
            <w:tcW w:w="355" w:type="pct"/>
          </w:tcPr>
          <w:p w14:paraId="743EED50" w14:textId="5A4E67C7" w:rsidR="00B73567" w:rsidRPr="00236907" w:rsidRDefault="00B73567" w:rsidP="00267D94">
            <w:r w:rsidRPr="00236907">
              <w:lastRenderedPageBreak/>
              <w:t>4.1</w:t>
            </w:r>
          </w:p>
        </w:tc>
        <w:tc>
          <w:tcPr>
            <w:tcW w:w="611" w:type="pct"/>
          </w:tcPr>
          <w:p w14:paraId="2D22F8BF" w14:textId="77E2B276" w:rsidR="00B73567" w:rsidRPr="00236907" w:rsidRDefault="00B73567" w:rsidP="00267D94">
            <w:r w:rsidRPr="00236907">
              <w:rPr>
                <w:rFonts w:asciiTheme="majorHAnsi" w:hAnsiTheme="majorHAnsi" w:cstheme="majorHAnsi"/>
              </w:rPr>
              <w:t xml:space="preserve">Ministerial Guidelines, </w:t>
            </w:r>
            <w:r w:rsidRPr="00236907">
              <w:rPr>
                <w:rFonts w:asciiTheme="majorHAnsi" w:hAnsiTheme="majorHAnsi" w:cstheme="majorHAnsi"/>
              </w:rPr>
              <w:lastRenderedPageBreak/>
              <w:t>paragraphs 82 – 84</w:t>
            </w:r>
          </w:p>
        </w:tc>
        <w:tc>
          <w:tcPr>
            <w:tcW w:w="1488" w:type="pct"/>
          </w:tcPr>
          <w:p w14:paraId="31AD7368" w14:textId="1E8EEB0D" w:rsidR="00B73567" w:rsidRPr="00236907" w:rsidRDefault="00B73567" w:rsidP="00267D94">
            <w:r w:rsidRPr="00236907">
              <w:lastRenderedPageBreak/>
              <w:t xml:space="preserve">Update the Ministerial Guidelines to explain how an authorised person may determine that grounds for making a subsequent order exist where the person is already </w:t>
            </w:r>
            <w:r w:rsidRPr="00236907">
              <w:lastRenderedPageBreak/>
              <w:t xml:space="preserve">subject to an order which is restraining their behaviour. </w:t>
            </w:r>
          </w:p>
        </w:tc>
        <w:tc>
          <w:tcPr>
            <w:tcW w:w="1015" w:type="pct"/>
          </w:tcPr>
          <w:p w14:paraId="49D77015" w14:textId="6BDC0C9D" w:rsidR="00B73567" w:rsidRPr="00236907" w:rsidRDefault="00B73567" w:rsidP="00267D94">
            <w:r w:rsidRPr="00236907">
              <w:rPr>
                <w:rFonts w:asciiTheme="majorHAnsi" w:hAnsiTheme="majorHAnsi" w:cstheme="majorHAnsi"/>
              </w:rPr>
              <w:lastRenderedPageBreak/>
              <w:t xml:space="preserve">There is ambiguity on whether an authorised person has grounds to make </w:t>
            </w:r>
            <w:r w:rsidRPr="00236907">
              <w:rPr>
                <w:rFonts w:asciiTheme="majorHAnsi" w:hAnsiTheme="majorHAnsi" w:cstheme="majorHAnsi"/>
              </w:rPr>
              <w:lastRenderedPageBreak/>
              <w:t>an order in these circumstances.</w:t>
            </w:r>
          </w:p>
        </w:tc>
        <w:tc>
          <w:tcPr>
            <w:tcW w:w="1004" w:type="pct"/>
          </w:tcPr>
          <w:p w14:paraId="73965FAF" w14:textId="76FC96B8" w:rsidR="00B73567" w:rsidRPr="00236907" w:rsidDel="009249B8" w:rsidRDefault="00B73567" w:rsidP="00267D94">
            <w:pPr>
              <w:rPr>
                <w:rFonts w:asciiTheme="majorHAnsi" w:hAnsiTheme="majorHAnsi" w:cstheme="majorHAnsi"/>
              </w:rPr>
            </w:pPr>
            <w:r w:rsidRPr="00236907">
              <w:rPr>
                <w:rFonts w:asciiTheme="majorHAnsi" w:hAnsiTheme="majorHAnsi" w:cstheme="majorHAnsi"/>
              </w:rPr>
              <w:lastRenderedPageBreak/>
              <w:t xml:space="preserve">This recommendation is intended to address a gap or ambiguity in the Scheme in circumstances which are </w:t>
            </w:r>
            <w:r w:rsidRPr="00236907">
              <w:rPr>
                <w:rFonts w:asciiTheme="majorHAnsi" w:hAnsiTheme="majorHAnsi" w:cstheme="majorHAnsi"/>
              </w:rPr>
              <w:lastRenderedPageBreak/>
              <w:t xml:space="preserve">uncommon. As such, we consider the risks and issues associated with this to be low. </w:t>
            </w:r>
          </w:p>
        </w:tc>
      </w:tr>
      <w:tr w:rsidR="00500781" w:rsidRPr="00236907" w14:paraId="5B16F257" w14:textId="7E444D61" w:rsidTr="00C95A1F">
        <w:tc>
          <w:tcPr>
            <w:tcW w:w="526" w:type="pct"/>
            <w:vMerge w:val="restart"/>
          </w:tcPr>
          <w:p w14:paraId="7E48C97C" w14:textId="6EC59890" w:rsidR="00500781" w:rsidRPr="00236907" w:rsidRDefault="00500781" w:rsidP="00DC168D">
            <w:r w:rsidRPr="00236907">
              <w:rPr>
                <w:b/>
                <w:bCs/>
              </w:rPr>
              <w:lastRenderedPageBreak/>
              <w:t>5. Process for making ongoing orders</w:t>
            </w:r>
          </w:p>
        </w:tc>
        <w:tc>
          <w:tcPr>
            <w:tcW w:w="355" w:type="pct"/>
          </w:tcPr>
          <w:p w14:paraId="055B5ADC" w14:textId="7C08F26A" w:rsidR="00500781" w:rsidRPr="00236907" w:rsidRDefault="00500781" w:rsidP="00DC168D">
            <w:r w:rsidRPr="00236907">
              <w:t>5.1</w:t>
            </w:r>
          </w:p>
        </w:tc>
        <w:tc>
          <w:tcPr>
            <w:tcW w:w="611" w:type="pct"/>
          </w:tcPr>
          <w:p w14:paraId="28781BFF" w14:textId="605015B1" w:rsidR="00500781" w:rsidRPr="00236907" w:rsidRDefault="00500781" w:rsidP="00DC168D">
            <w:r w:rsidRPr="00236907">
              <w:rPr>
                <w:rFonts w:asciiTheme="majorHAnsi" w:hAnsiTheme="majorHAnsi" w:cstheme="majorHAnsi"/>
              </w:rPr>
              <w:t>ETR Act s 2.1A.18 Process for giving ongoing order</w:t>
            </w:r>
          </w:p>
          <w:p w14:paraId="1CB94CB1" w14:textId="7B5D234E" w:rsidR="00500781" w:rsidRPr="00236907" w:rsidRDefault="00500781" w:rsidP="00DC168D">
            <w:r w:rsidRPr="00236907">
              <w:rPr>
                <w:rFonts w:asciiTheme="majorHAnsi" w:hAnsiTheme="majorHAnsi" w:cstheme="majorHAnsi"/>
              </w:rPr>
              <w:t xml:space="preserve">ETR Act s </w:t>
            </w:r>
            <w:r w:rsidRPr="00236907">
              <w:t>2.1A.21 Procedure before making ongoing order</w:t>
            </w:r>
          </w:p>
        </w:tc>
        <w:tc>
          <w:tcPr>
            <w:tcW w:w="1488" w:type="pct"/>
          </w:tcPr>
          <w:p w14:paraId="5E192BD3" w14:textId="77777777" w:rsidR="00500781" w:rsidRPr="00236907" w:rsidRDefault="00500781" w:rsidP="003A362C">
            <w:r w:rsidRPr="00236907">
              <w:t>Amend the ETR Act to:</w:t>
            </w:r>
          </w:p>
          <w:p w14:paraId="42AA218E" w14:textId="3B68A5B4" w:rsidR="00500781" w:rsidRPr="00236907" w:rsidRDefault="00500781" w:rsidP="001618CA">
            <w:pPr>
              <w:pStyle w:val="ListParagraph"/>
              <w:numPr>
                <w:ilvl w:val="0"/>
                <w:numId w:val="57"/>
              </w:numPr>
              <w:ind w:left="360"/>
              <w:rPr>
                <w:rFonts w:cs="Times New Roman"/>
                <w:sz w:val="20"/>
                <w:szCs w:val="20"/>
              </w:rPr>
            </w:pPr>
            <w:r w:rsidRPr="00236907">
              <w:rPr>
                <w:rFonts w:cs="Times New Roman"/>
                <w:sz w:val="20"/>
                <w:szCs w:val="20"/>
              </w:rPr>
              <w:t xml:space="preserve">allow an authorised person discretion not to seek submissions only where urgent circumstances </w:t>
            </w:r>
            <w:proofErr w:type="gramStart"/>
            <w:r w:rsidRPr="00236907">
              <w:rPr>
                <w:rFonts w:cs="Times New Roman"/>
                <w:sz w:val="20"/>
                <w:szCs w:val="20"/>
              </w:rPr>
              <w:t>exist, and</w:t>
            </w:r>
            <w:proofErr w:type="gramEnd"/>
            <w:r w:rsidRPr="00236907">
              <w:rPr>
                <w:rFonts w:cs="Times New Roman"/>
                <w:sz w:val="20"/>
                <w:szCs w:val="20"/>
              </w:rPr>
              <w:t xml:space="preserve"> require them to record written reasons justifying this departure from the usual process. Any such discretion must remain consistent with the principles of natural justice and be subject to judicial or external </w:t>
            </w:r>
            <w:proofErr w:type="gramStart"/>
            <w:r w:rsidRPr="00236907">
              <w:rPr>
                <w:rFonts w:cs="Times New Roman"/>
                <w:sz w:val="20"/>
                <w:szCs w:val="20"/>
              </w:rPr>
              <w:t>review;</w:t>
            </w:r>
            <w:proofErr w:type="gramEnd"/>
          </w:p>
          <w:p w14:paraId="23911969" w14:textId="29BC2114" w:rsidR="00500781" w:rsidRPr="00236907" w:rsidRDefault="00500781" w:rsidP="001618CA">
            <w:pPr>
              <w:pStyle w:val="ListParagraph"/>
              <w:numPr>
                <w:ilvl w:val="0"/>
                <w:numId w:val="57"/>
              </w:numPr>
              <w:ind w:left="360"/>
              <w:rPr>
                <w:rFonts w:cs="Times New Roman"/>
                <w:sz w:val="20"/>
                <w:szCs w:val="20"/>
              </w:rPr>
            </w:pPr>
            <w:r w:rsidRPr="00236907">
              <w:rPr>
                <w:rFonts w:cs="Times New Roman"/>
                <w:sz w:val="20"/>
                <w:szCs w:val="20"/>
              </w:rPr>
              <w:t>state that an order is not invalid solely because the authorised person did not seek submissions; and</w:t>
            </w:r>
          </w:p>
          <w:p w14:paraId="0BBFE092" w14:textId="3502CEF7" w:rsidR="00500781" w:rsidRPr="00236907" w:rsidRDefault="00500781" w:rsidP="001618CA">
            <w:pPr>
              <w:pStyle w:val="ListParagraph"/>
              <w:numPr>
                <w:ilvl w:val="0"/>
                <w:numId w:val="57"/>
              </w:numPr>
              <w:ind w:left="360"/>
            </w:pPr>
            <w:r w:rsidRPr="00236907">
              <w:rPr>
                <w:rFonts w:cs="Times New Roman"/>
                <w:sz w:val="20"/>
                <w:szCs w:val="20"/>
              </w:rPr>
              <w:t>require the authorised person to issue a written warning before making an ongoing order</w:t>
            </w:r>
            <w:r w:rsidRPr="00236907">
              <w:rPr>
                <w:rFonts w:cs="Times New Roman"/>
              </w:rPr>
              <w:t>.</w:t>
            </w:r>
          </w:p>
        </w:tc>
        <w:tc>
          <w:tcPr>
            <w:tcW w:w="1015" w:type="pct"/>
          </w:tcPr>
          <w:p w14:paraId="1CACC192" w14:textId="77777777" w:rsidR="00500781" w:rsidRPr="00236907" w:rsidRDefault="00500781" w:rsidP="00D2652F">
            <w:r w:rsidRPr="00236907">
              <w:t>School principals found the requirement to issue a draft order and seek submissions escalates conflict and is procedurally burdensome.</w:t>
            </w:r>
          </w:p>
          <w:p w14:paraId="7EC07104" w14:textId="77777777" w:rsidR="00500781" w:rsidRPr="00236907" w:rsidRDefault="00500781" w:rsidP="003A362C"/>
        </w:tc>
        <w:tc>
          <w:tcPr>
            <w:tcW w:w="1004" w:type="pct"/>
          </w:tcPr>
          <w:p w14:paraId="1D598358" w14:textId="335EFAD6" w:rsidR="00500781" w:rsidRPr="00236907" w:rsidRDefault="00500781" w:rsidP="00D2652F">
            <w:r w:rsidRPr="00236907">
              <w:t xml:space="preserve">This recommendation addresses one of the largest challenges identified in evidence that is faced by authorised persons in making orders, but at the same time, presents the most significant risk from an administrative law and reputational perspective as it </w:t>
            </w:r>
            <w:r w:rsidR="001C6EA2">
              <w:t xml:space="preserve">may </w:t>
            </w:r>
            <w:r w:rsidRPr="00236907">
              <w:t xml:space="preserve">limit the </w:t>
            </w:r>
            <w:r w:rsidR="001C6EA2">
              <w:t>opportunity</w:t>
            </w:r>
            <w:r w:rsidR="001C6EA2" w:rsidRPr="00236907">
              <w:t xml:space="preserve"> </w:t>
            </w:r>
            <w:r w:rsidR="001C6EA2">
              <w:t>for</w:t>
            </w:r>
            <w:r w:rsidR="001C6EA2" w:rsidRPr="00236907">
              <w:t xml:space="preserve"> </w:t>
            </w:r>
            <w:r w:rsidRPr="00236907">
              <w:t xml:space="preserve">a person subject to restrictions </w:t>
            </w:r>
            <w:r w:rsidR="001C6EA2">
              <w:t xml:space="preserve">to be heard, which is a key consideration in administrative law. </w:t>
            </w:r>
            <w:r w:rsidRPr="00236907">
              <w:t xml:space="preserve">We have discussed these issues at length in the relevant section of the report. </w:t>
            </w:r>
          </w:p>
        </w:tc>
      </w:tr>
      <w:tr w:rsidR="00500781" w:rsidRPr="00236907" w14:paraId="4D806177" w14:textId="0E107940" w:rsidTr="00C95A1F">
        <w:tc>
          <w:tcPr>
            <w:tcW w:w="526" w:type="pct"/>
            <w:vMerge/>
          </w:tcPr>
          <w:p w14:paraId="5722E64F" w14:textId="77777777" w:rsidR="00500781" w:rsidRPr="00236907" w:rsidRDefault="00500781" w:rsidP="00DC168D"/>
        </w:tc>
        <w:tc>
          <w:tcPr>
            <w:tcW w:w="355" w:type="pct"/>
          </w:tcPr>
          <w:p w14:paraId="2CBAA4C4" w14:textId="61BAD24E" w:rsidR="00500781" w:rsidRPr="00236907" w:rsidRDefault="00500781" w:rsidP="00DC168D">
            <w:r w:rsidRPr="00236907">
              <w:t>5.2</w:t>
            </w:r>
          </w:p>
        </w:tc>
        <w:tc>
          <w:tcPr>
            <w:tcW w:w="611" w:type="pct"/>
          </w:tcPr>
          <w:p w14:paraId="0F4FAEED" w14:textId="6141DAFA" w:rsidR="00500781" w:rsidRPr="00236907" w:rsidRDefault="00500781" w:rsidP="00DC168D">
            <w:r w:rsidRPr="00236907">
              <w:rPr>
                <w:rFonts w:asciiTheme="majorHAnsi" w:hAnsiTheme="majorHAnsi" w:cstheme="majorHAnsi"/>
              </w:rPr>
              <w:t>Ministerial Guidelines, paragraphs 16, 223</w:t>
            </w:r>
          </w:p>
        </w:tc>
        <w:tc>
          <w:tcPr>
            <w:tcW w:w="1488" w:type="pct"/>
          </w:tcPr>
          <w:p w14:paraId="7EF664A7" w14:textId="1990C9EB" w:rsidR="00500781" w:rsidRPr="00236907" w:rsidRDefault="00500781" w:rsidP="00DC168D">
            <w:r w:rsidRPr="00236907">
              <w:t xml:space="preserve">Amend the Ministerial Guidelines to confirm that that communication and access arrangements may be stated in either the order or a separate document. </w:t>
            </w:r>
          </w:p>
        </w:tc>
        <w:tc>
          <w:tcPr>
            <w:tcW w:w="1015" w:type="pct"/>
          </w:tcPr>
          <w:p w14:paraId="70A9754A" w14:textId="77777777" w:rsidR="00500781" w:rsidRPr="00236907" w:rsidRDefault="00500781" w:rsidP="00D2652F">
            <w:r w:rsidRPr="00236907">
              <w:t>Stakeholders noted that a separate document adds unnecessary complexity.</w:t>
            </w:r>
          </w:p>
          <w:p w14:paraId="583EB036" w14:textId="77777777" w:rsidR="00500781" w:rsidRPr="00236907" w:rsidRDefault="00500781" w:rsidP="00DC168D"/>
        </w:tc>
        <w:tc>
          <w:tcPr>
            <w:tcW w:w="1004" w:type="pct"/>
          </w:tcPr>
          <w:p w14:paraId="29083B28" w14:textId="50EDCBFD" w:rsidR="00500781" w:rsidRPr="00236907" w:rsidRDefault="00500781" w:rsidP="00D2652F">
            <w:r w:rsidRPr="00236907">
              <w:t>We consider that the risks associated with this recommendation are low. The recommendation is intended to clarify the existing law and policy for authorised persons.</w:t>
            </w:r>
          </w:p>
        </w:tc>
      </w:tr>
      <w:tr w:rsidR="00A809ED" w:rsidRPr="00236907" w14:paraId="40B58DFA" w14:textId="0A3EADDE" w:rsidTr="00C95A1F">
        <w:tc>
          <w:tcPr>
            <w:tcW w:w="526" w:type="pct"/>
            <w:vMerge w:val="restart"/>
          </w:tcPr>
          <w:p w14:paraId="01F99AB7" w14:textId="66F5CC02" w:rsidR="00A809ED" w:rsidRPr="00236907" w:rsidRDefault="00A809ED" w:rsidP="00C97BE3">
            <w:r w:rsidRPr="00236907">
              <w:rPr>
                <w:b/>
                <w:bCs/>
              </w:rPr>
              <w:t>6. Variation of ongoing orders</w:t>
            </w:r>
          </w:p>
        </w:tc>
        <w:tc>
          <w:tcPr>
            <w:tcW w:w="355" w:type="pct"/>
          </w:tcPr>
          <w:p w14:paraId="40B0C083" w14:textId="06F862F9" w:rsidR="00A809ED" w:rsidRPr="00236907" w:rsidRDefault="00A809ED" w:rsidP="00C97BE3">
            <w:r w:rsidRPr="00236907">
              <w:t>6.1</w:t>
            </w:r>
          </w:p>
        </w:tc>
        <w:tc>
          <w:tcPr>
            <w:tcW w:w="611" w:type="pct"/>
          </w:tcPr>
          <w:p w14:paraId="57D63E5A" w14:textId="195B34A6" w:rsidR="00A809ED" w:rsidRPr="00236907" w:rsidRDefault="00A809ED" w:rsidP="00C97BE3">
            <w:r w:rsidRPr="00236907">
              <w:rPr>
                <w:rFonts w:asciiTheme="majorHAnsi" w:hAnsiTheme="majorHAnsi" w:cstheme="majorHAnsi"/>
                <w:iCs/>
              </w:rPr>
              <w:t xml:space="preserve">ETR Act s 2.1A.26(1)(b) </w:t>
            </w:r>
            <w:r w:rsidRPr="00236907">
              <w:rPr>
                <w:rFonts w:asciiTheme="majorHAnsi" w:hAnsiTheme="majorHAnsi" w:cstheme="majorHAnsi"/>
                <w:bCs/>
              </w:rPr>
              <w:t>Variation of ongoing orders</w:t>
            </w:r>
          </w:p>
        </w:tc>
        <w:tc>
          <w:tcPr>
            <w:tcW w:w="1488" w:type="pct"/>
          </w:tcPr>
          <w:p w14:paraId="5122D797" w14:textId="1A06F2C4" w:rsidR="00A809ED" w:rsidRPr="00236907" w:rsidRDefault="00A809ED" w:rsidP="00C97BE3">
            <w:r w:rsidRPr="00236907">
              <w:t>Remove the provision in s 2.1A.26(1)(b) of the ETR Act that states that an ongoing order may be varied on the application of the person subject to the order.</w:t>
            </w:r>
          </w:p>
        </w:tc>
        <w:tc>
          <w:tcPr>
            <w:tcW w:w="1015" w:type="pct"/>
          </w:tcPr>
          <w:p w14:paraId="78C5B97C" w14:textId="179BFC28" w:rsidR="00A809ED" w:rsidRPr="00236907" w:rsidRDefault="00A809ED" w:rsidP="00C97BE3">
            <w:r w:rsidRPr="00236907">
              <w:t>The additional step is unnecessary and creates ambiguity.</w:t>
            </w:r>
          </w:p>
        </w:tc>
        <w:tc>
          <w:tcPr>
            <w:tcW w:w="1004" w:type="pct"/>
          </w:tcPr>
          <w:p w14:paraId="21A0DA0B" w14:textId="4F190717" w:rsidR="00A809ED" w:rsidRPr="00236907" w:rsidRDefault="00A809ED" w:rsidP="00C97BE3">
            <w:r w:rsidRPr="00236907">
              <w:t xml:space="preserve">The risks associated with this recommendation are low. It does not remove any right of the person subject to </w:t>
            </w:r>
            <w:r w:rsidRPr="00236907">
              <w:lastRenderedPageBreak/>
              <w:t>the order to appeal for a variation.</w:t>
            </w:r>
          </w:p>
        </w:tc>
      </w:tr>
      <w:tr w:rsidR="00A809ED" w:rsidRPr="00236907" w14:paraId="0B48424F" w14:textId="77777777" w:rsidTr="00C95A1F">
        <w:tc>
          <w:tcPr>
            <w:tcW w:w="526" w:type="pct"/>
            <w:vMerge/>
          </w:tcPr>
          <w:p w14:paraId="2F77B340" w14:textId="77777777" w:rsidR="00A809ED" w:rsidRPr="00236907" w:rsidRDefault="00A809ED" w:rsidP="00440260"/>
        </w:tc>
        <w:tc>
          <w:tcPr>
            <w:tcW w:w="355" w:type="pct"/>
          </w:tcPr>
          <w:p w14:paraId="287AA1E9" w14:textId="359BA78E" w:rsidR="00A809ED" w:rsidRPr="00236907" w:rsidRDefault="00A809ED" w:rsidP="00440260">
            <w:r w:rsidRPr="00236907">
              <w:t>6.2</w:t>
            </w:r>
          </w:p>
        </w:tc>
        <w:tc>
          <w:tcPr>
            <w:tcW w:w="611" w:type="pct"/>
          </w:tcPr>
          <w:p w14:paraId="03A21F18" w14:textId="54DBD165" w:rsidR="00A809ED" w:rsidRPr="00236907" w:rsidRDefault="00A809ED" w:rsidP="00440260">
            <w:pPr>
              <w:rPr>
                <w:rFonts w:asciiTheme="majorHAnsi" w:hAnsiTheme="majorHAnsi" w:cstheme="majorHAnsi"/>
                <w:iCs/>
              </w:rPr>
            </w:pPr>
            <w:r w:rsidRPr="00236907">
              <w:rPr>
                <w:rFonts w:asciiTheme="majorHAnsi" w:hAnsiTheme="majorHAnsi" w:cstheme="majorHAnsi"/>
                <w:iCs/>
              </w:rPr>
              <w:t xml:space="preserve">ETR Act s 2.1A.26(1)(b) </w:t>
            </w:r>
            <w:r w:rsidRPr="00236907">
              <w:rPr>
                <w:rFonts w:asciiTheme="majorHAnsi" w:hAnsiTheme="majorHAnsi" w:cstheme="majorHAnsi"/>
                <w:bCs/>
              </w:rPr>
              <w:t>Variation of ongoing orders</w:t>
            </w:r>
          </w:p>
        </w:tc>
        <w:tc>
          <w:tcPr>
            <w:tcW w:w="1488" w:type="pct"/>
          </w:tcPr>
          <w:p w14:paraId="7D8F9F13" w14:textId="0FFCE88F" w:rsidR="00A809ED" w:rsidRPr="00236907" w:rsidRDefault="00A809ED" w:rsidP="00440260">
            <w:r w:rsidRPr="00236907">
              <w:t>Amend the provision to allow an order to be varied either by the original person who made the order or a different authorised person.</w:t>
            </w:r>
          </w:p>
        </w:tc>
        <w:tc>
          <w:tcPr>
            <w:tcW w:w="1015" w:type="pct"/>
          </w:tcPr>
          <w:p w14:paraId="09D6A76C" w14:textId="5DEEBDC3" w:rsidR="00A809ED" w:rsidRPr="00236907" w:rsidRDefault="00A809ED" w:rsidP="00440260">
            <w:r w:rsidRPr="00236907">
              <w:t>Achieves administrative efficiency where the original person who made the order is unavailable.</w:t>
            </w:r>
          </w:p>
        </w:tc>
        <w:tc>
          <w:tcPr>
            <w:tcW w:w="1004" w:type="pct"/>
          </w:tcPr>
          <w:p w14:paraId="0AE1961B" w14:textId="1961AC48" w:rsidR="00A809ED" w:rsidRPr="00236907" w:rsidRDefault="00A809ED" w:rsidP="00440260">
            <w:r w:rsidRPr="00236907">
              <w:t xml:space="preserve">This recommendation has potential to create administrative risks in internal and external review, as it may be unclear whose decision is </w:t>
            </w:r>
            <w:proofErr w:type="gramStart"/>
            <w:r w:rsidRPr="00236907">
              <w:t>actually being</w:t>
            </w:r>
            <w:proofErr w:type="gramEnd"/>
            <w:r w:rsidRPr="00236907">
              <w:t xml:space="preserve"> reviewed.</w:t>
            </w:r>
          </w:p>
        </w:tc>
      </w:tr>
      <w:tr w:rsidR="00416F27" w:rsidRPr="00236907" w14:paraId="3127F534" w14:textId="77777777" w:rsidTr="00C95A1F">
        <w:tc>
          <w:tcPr>
            <w:tcW w:w="526" w:type="pct"/>
            <w:vMerge w:val="restart"/>
          </w:tcPr>
          <w:p w14:paraId="27D5B0E8" w14:textId="67A9DCC9" w:rsidR="00416F27" w:rsidRPr="00236907" w:rsidRDefault="00416F27" w:rsidP="00384AA8">
            <w:pPr>
              <w:keepNext/>
              <w:keepLines/>
            </w:pPr>
            <w:r w:rsidRPr="00236907">
              <w:rPr>
                <w:b/>
                <w:bCs/>
              </w:rPr>
              <w:t>7. Internal review</w:t>
            </w:r>
          </w:p>
        </w:tc>
        <w:tc>
          <w:tcPr>
            <w:tcW w:w="355" w:type="pct"/>
          </w:tcPr>
          <w:p w14:paraId="4E015C14" w14:textId="5DC69F2F" w:rsidR="00416F27" w:rsidRPr="00236907" w:rsidRDefault="00416F27" w:rsidP="00384AA8">
            <w:pPr>
              <w:keepNext/>
              <w:keepLines/>
            </w:pPr>
            <w:r w:rsidRPr="00236907">
              <w:t>7.1</w:t>
            </w:r>
          </w:p>
        </w:tc>
        <w:tc>
          <w:tcPr>
            <w:tcW w:w="611" w:type="pct"/>
          </w:tcPr>
          <w:p w14:paraId="2536584A" w14:textId="1B6BC76E" w:rsidR="00416F27" w:rsidRPr="00236907" w:rsidRDefault="00416F27" w:rsidP="00384AA8">
            <w:pPr>
              <w:keepNext/>
              <w:keepLines/>
            </w:pPr>
            <w:r w:rsidRPr="00236907">
              <w:t xml:space="preserve">ETR Act </w:t>
            </w:r>
            <w:r w:rsidRPr="00236907">
              <w:rPr>
                <w:rFonts w:asciiTheme="minorHAnsi" w:hAnsiTheme="minorHAnsi" w:cstheme="minorHAnsi"/>
              </w:rPr>
              <w:t>s</w:t>
            </w:r>
            <w:r w:rsidRPr="00236907">
              <w:t>s. 2.1A.29(2) and (3).</w:t>
            </w:r>
          </w:p>
        </w:tc>
        <w:tc>
          <w:tcPr>
            <w:tcW w:w="1488" w:type="pct"/>
          </w:tcPr>
          <w:p w14:paraId="30E5CD60" w14:textId="10CE9111" w:rsidR="00416F27" w:rsidRPr="00236907" w:rsidRDefault="00416F27" w:rsidP="00384AA8">
            <w:pPr>
              <w:keepNext/>
              <w:keepLines/>
            </w:pPr>
            <w:r w:rsidRPr="00236907">
              <w:t>Amend the ETR Act to state that an application for internal review may be made to a school or a reviewer directly, retaining the requirement that a school must pass on any application for review to a reviewer as soon as is practicable.</w:t>
            </w:r>
          </w:p>
        </w:tc>
        <w:tc>
          <w:tcPr>
            <w:tcW w:w="1015" w:type="pct"/>
          </w:tcPr>
          <w:p w14:paraId="7B04A214" w14:textId="6C94C5EA" w:rsidR="00416F27" w:rsidRPr="00236907" w:rsidRDefault="00416F27" w:rsidP="00384AA8">
            <w:pPr>
              <w:keepNext/>
              <w:keepLines/>
            </w:pPr>
            <w:r w:rsidRPr="00236907">
              <w:t>Removes the need for double handling of applications.</w:t>
            </w:r>
          </w:p>
        </w:tc>
        <w:tc>
          <w:tcPr>
            <w:tcW w:w="1004" w:type="pct"/>
          </w:tcPr>
          <w:p w14:paraId="7BCAE108" w14:textId="6F985126" w:rsidR="00416F27" w:rsidRPr="00236907" w:rsidRDefault="00416F27" w:rsidP="00384AA8">
            <w:pPr>
              <w:keepNext/>
              <w:keepLines/>
            </w:pPr>
            <w:r w:rsidRPr="00236907">
              <w:t>The risks associated with this recommendation are in our view low. It brings the process in the legislation in-line with actual practice.</w:t>
            </w:r>
          </w:p>
        </w:tc>
      </w:tr>
      <w:tr w:rsidR="00416F27" w:rsidRPr="00236907" w14:paraId="1940D90D" w14:textId="078B995C" w:rsidTr="00C95A1F">
        <w:tc>
          <w:tcPr>
            <w:tcW w:w="526" w:type="pct"/>
            <w:vMerge/>
          </w:tcPr>
          <w:p w14:paraId="19F67F05" w14:textId="77777777" w:rsidR="00416F27" w:rsidRPr="00236907" w:rsidRDefault="00416F27" w:rsidP="00384C7A"/>
        </w:tc>
        <w:tc>
          <w:tcPr>
            <w:tcW w:w="355" w:type="pct"/>
          </w:tcPr>
          <w:p w14:paraId="7D68AFA0" w14:textId="722BEB80" w:rsidR="00416F27" w:rsidRPr="00236907" w:rsidRDefault="00416F27" w:rsidP="00384C7A">
            <w:r w:rsidRPr="00236907">
              <w:t>7.2</w:t>
            </w:r>
          </w:p>
        </w:tc>
        <w:tc>
          <w:tcPr>
            <w:tcW w:w="611" w:type="pct"/>
          </w:tcPr>
          <w:p w14:paraId="34268576" w14:textId="73DC8F03" w:rsidR="00416F27" w:rsidRPr="00236907" w:rsidRDefault="00416F27" w:rsidP="00384C7A">
            <w:r w:rsidRPr="00236907">
              <w:t>Ministerial Guidelines, paragraph 262</w:t>
            </w:r>
          </w:p>
        </w:tc>
        <w:tc>
          <w:tcPr>
            <w:tcW w:w="1488" w:type="pct"/>
          </w:tcPr>
          <w:p w14:paraId="44DACEEB" w14:textId="4202652A" w:rsidR="00416F27" w:rsidRPr="00236907" w:rsidRDefault="00416F27" w:rsidP="00384C7A">
            <w:r w:rsidRPr="00236907">
              <w:t>Confirm in the Ministerial Guidelines that the internal reviewer should conduct a merits review and does not need to assess the procedural correctness of the decision to impose the order.</w:t>
            </w:r>
          </w:p>
        </w:tc>
        <w:tc>
          <w:tcPr>
            <w:tcW w:w="1015" w:type="pct"/>
          </w:tcPr>
          <w:p w14:paraId="684AAE82" w14:textId="77777777" w:rsidR="00416F27" w:rsidRPr="00236907" w:rsidRDefault="00416F27" w:rsidP="00D2652F">
            <w:r w:rsidRPr="00236907">
              <w:t>Reduces unnecessary procedural focus, allowing review to focus on the merits of the order.</w:t>
            </w:r>
          </w:p>
          <w:p w14:paraId="0683A14F" w14:textId="77777777" w:rsidR="00416F27" w:rsidRPr="00236907" w:rsidRDefault="00416F27" w:rsidP="00384C7A"/>
        </w:tc>
        <w:tc>
          <w:tcPr>
            <w:tcW w:w="1004" w:type="pct"/>
          </w:tcPr>
          <w:p w14:paraId="118706BD" w14:textId="5DC9C4C6" w:rsidR="00416F27" w:rsidRPr="00236907" w:rsidRDefault="00416F27" w:rsidP="00D2652F">
            <w:r w:rsidRPr="00236907">
              <w:t>The risks associated with this recommendation are low. The recommendation is intended to clarify the existing law and policy for internal reviewers.</w:t>
            </w:r>
          </w:p>
        </w:tc>
      </w:tr>
      <w:tr w:rsidR="00416F27" w:rsidRPr="00236907" w14:paraId="63780D67" w14:textId="041A2980" w:rsidTr="00C95A1F">
        <w:tc>
          <w:tcPr>
            <w:tcW w:w="526" w:type="pct"/>
            <w:vMerge/>
          </w:tcPr>
          <w:p w14:paraId="6648D687" w14:textId="77777777" w:rsidR="00416F27" w:rsidRPr="00236907" w:rsidRDefault="00416F27" w:rsidP="00A71714"/>
        </w:tc>
        <w:tc>
          <w:tcPr>
            <w:tcW w:w="355" w:type="pct"/>
          </w:tcPr>
          <w:p w14:paraId="7E718265" w14:textId="19E7A244" w:rsidR="00416F27" w:rsidRPr="00236907" w:rsidRDefault="00416F27" w:rsidP="00A71714">
            <w:r w:rsidRPr="00236907">
              <w:t>7.3</w:t>
            </w:r>
          </w:p>
        </w:tc>
        <w:tc>
          <w:tcPr>
            <w:tcW w:w="611" w:type="pct"/>
          </w:tcPr>
          <w:p w14:paraId="63A46103" w14:textId="7F3BDA35" w:rsidR="00416F27" w:rsidRPr="00236907" w:rsidRDefault="00416F27" w:rsidP="00A71714">
            <w:r w:rsidRPr="00236907">
              <w:t xml:space="preserve">Ministerial Guidelines, paragraph 274-279 </w:t>
            </w:r>
          </w:p>
        </w:tc>
        <w:tc>
          <w:tcPr>
            <w:tcW w:w="1488" w:type="pct"/>
          </w:tcPr>
          <w:p w14:paraId="342AA7E7" w14:textId="75175332" w:rsidR="00416F27" w:rsidRPr="00236907" w:rsidRDefault="00416F27" w:rsidP="00A71714">
            <w:r w:rsidRPr="00236907">
              <w:t xml:space="preserve">Consider whether the process for completing the evidence matrix can be simplified so that the authorised person will record enough information to justify the decision to make the order in the most efficient way </w:t>
            </w:r>
            <w:proofErr w:type="gramStart"/>
            <w:r w:rsidRPr="00236907">
              <w:t>possible, and</w:t>
            </w:r>
            <w:proofErr w:type="gramEnd"/>
            <w:r w:rsidRPr="00236907">
              <w:t xml:space="preserve"> reflect this position in the Ministerial Guidelines</w:t>
            </w:r>
            <w:r>
              <w:t>.</w:t>
            </w:r>
          </w:p>
        </w:tc>
        <w:tc>
          <w:tcPr>
            <w:tcW w:w="1015" w:type="pct"/>
          </w:tcPr>
          <w:p w14:paraId="44EBFC69" w14:textId="22B55589" w:rsidR="00416F27" w:rsidRPr="00236907" w:rsidRDefault="00416F27" w:rsidP="00D2652F">
            <w:r w:rsidRPr="00236907">
              <w:t>Reduces administrative burden on the authorised decision-maker in the internal review process by ensuring relevant information is captured at the time of decision-making.</w:t>
            </w:r>
          </w:p>
          <w:p w14:paraId="7FD0109D" w14:textId="77777777" w:rsidR="00416F27" w:rsidRPr="00236907" w:rsidRDefault="00416F27" w:rsidP="00A71714"/>
        </w:tc>
        <w:tc>
          <w:tcPr>
            <w:tcW w:w="1004" w:type="pct"/>
          </w:tcPr>
          <w:p w14:paraId="7AB6C6BF" w14:textId="57EB5F6E" w:rsidR="00416F27" w:rsidRPr="00236907" w:rsidRDefault="00416F27" w:rsidP="00D2652F">
            <w:r w:rsidRPr="00236907">
              <w:t xml:space="preserve">As this recommendation deals with internal procedural matters, it is </w:t>
            </w:r>
            <w:proofErr w:type="gramStart"/>
            <w:r w:rsidRPr="00236907">
              <w:t>low-risk</w:t>
            </w:r>
            <w:proofErr w:type="gramEnd"/>
            <w:r w:rsidRPr="00236907">
              <w:t xml:space="preserve"> from an administrative law and reputational perspective. It has the potential to reduce the burden on the authorised person during the review </w:t>
            </w:r>
            <w:proofErr w:type="gramStart"/>
            <w:r w:rsidRPr="00236907">
              <w:t>process, but</w:t>
            </w:r>
            <w:proofErr w:type="gramEnd"/>
            <w:r w:rsidRPr="00236907">
              <w:t xml:space="preserve"> also has the potential to increase the work required when making the order in the first place.</w:t>
            </w:r>
          </w:p>
        </w:tc>
      </w:tr>
      <w:tr w:rsidR="00416F27" w:rsidRPr="00236907" w14:paraId="43D3B4BB" w14:textId="50F396E1" w:rsidTr="00C95A1F">
        <w:tc>
          <w:tcPr>
            <w:tcW w:w="526" w:type="pct"/>
            <w:vMerge/>
          </w:tcPr>
          <w:p w14:paraId="7D2D7F2C" w14:textId="77777777" w:rsidR="00416F27" w:rsidRPr="00236907" w:rsidRDefault="00416F27" w:rsidP="00A71714"/>
        </w:tc>
        <w:tc>
          <w:tcPr>
            <w:tcW w:w="355" w:type="pct"/>
          </w:tcPr>
          <w:p w14:paraId="4584EEEC" w14:textId="41F8B466" w:rsidR="00416F27" w:rsidRPr="00236907" w:rsidRDefault="00416F27" w:rsidP="00A71714">
            <w:r w:rsidRPr="00236907">
              <w:t>7.4</w:t>
            </w:r>
          </w:p>
        </w:tc>
        <w:tc>
          <w:tcPr>
            <w:tcW w:w="611" w:type="pct"/>
          </w:tcPr>
          <w:p w14:paraId="17CEAD47" w14:textId="1C9281B4" w:rsidR="00416F27" w:rsidRPr="00236907" w:rsidRDefault="00416F27" w:rsidP="00A71714">
            <w:r w:rsidRPr="00236907">
              <w:t>Ministerial Guidelines, paragraph 270</w:t>
            </w:r>
          </w:p>
        </w:tc>
        <w:tc>
          <w:tcPr>
            <w:tcW w:w="1488" w:type="pct"/>
          </w:tcPr>
          <w:p w14:paraId="6EDA3297" w14:textId="3B1AAF1C" w:rsidR="00416F27" w:rsidRPr="00236907" w:rsidRDefault="00416F27" w:rsidP="00A71714">
            <w:r w:rsidRPr="00F635DE">
              <w:t xml:space="preserve">Amend the Ministerial Guidelines to add that the civil standard of proof may be applied in internal </w:t>
            </w:r>
            <w:proofErr w:type="gramStart"/>
            <w:r w:rsidRPr="00F635DE">
              <w:t>review, and</w:t>
            </w:r>
            <w:proofErr w:type="gramEnd"/>
            <w:r w:rsidRPr="00F635DE">
              <w:t xml:space="preserve"> provide guidance on the meaning of the balance of probabilities.</w:t>
            </w:r>
          </w:p>
        </w:tc>
        <w:tc>
          <w:tcPr>
            <w:tcW w:w="1015" w:type="pct"/>
          </w:tcPr>
          <w:p w14:paraId="02538D2E" w14:textId="77777777" w:rsidR="00416F27" w:rsidRPr="00236907" w:rsidRDefault="00416F27" w:rsidP="00D2652F">
            <w:r w:rsidRPr="00236907">
              <w:t>Ensures a consistent standard for decision-making in internal reviews.</w:t>
            </w:r>
          </w:p>
          <w:p w14:paraId="49274CB2" w14:textId="77777777" w:rsidR="00416F27" w:rsidRPr="00236907" w:rsidRDefault="00416F27" w:rsidP="00A71714"/>
        </w:tc>
        <w:tc>
          <w:tcPr>
            <w:tcW w:w="1004" w:type="pct"/>
          </w:tcPr>
          <w:p w14:paraId="2BF01B91" w14:textId="41DFCC47" w:rsidR="00416F27" w:rsidRPr="00236907" w:rsidRDefault="00416F27" w:rsidP="00D2652F">
            <w:r w:rsidRPr="00236907">
              <w:t>The risks associated with this recommendation are in our view low. The recommendation is intended to clarify the existing law and policy for internal reviewers.</w:t>
            </w:r>
          </w:p>
        </w:tc>
      </w:tr>
      <w:tr w:rsidR="00416F27" w:rsidRPr="00236907" w14:paraId="4F4EEBB5" w14:textId="355E5DBF" w:rsidTr="00C95A1F">
        <w:tc>
          <w:tcPr>
            <w:tcW w:w="526" w:type="pct"/>
            <w:vMerge/>
          </w:tcPr>
          <w:p w14:paraId="2E7555B1" w14:textId="77777777" w:rsidR="00416F27" w:rsidRPr="00236907" w:rsidRDefault="00416F27" w:rsidP="00384AA8">
            <w:pPr>
              <w:keepNext/>
            </w:pPr>
          </w:p>
        </w:tc>
        <w:tc>
          <w:tcPr>
            <w:tcW w:w="355" w:type="pct"/>
          </w:tcPr>
          <w:p w14:paraId="5461BB2F" w14:textId="7081610E" w:rsidR="00416F27" w:rsidRPr="00236907" w:rsidRDefault="00416F27" w:rsidP="00384AA8">
            <w:pPr>
              <w:keepNext/>
            </w:pPr>
            <w:r w:rsidRPr="00236907">
              <w:t>7.5</w:t>
            </w:r>
          </w:p>
        </w:tc>
        <w:tc>
          <w:tcPr>
            <w:tcW w:w="611" w:type="pct"/>
          </w:tcPr>
          <w:p w14:paraId="4456EB24" w14:textId="70294ED3" w:rsidR="00416F27" w:rsidRPr="00236907" w:rsidRDefault="00416F27" w:rsidP="00384AA8">
            <w:pPr>
              <w:keepNext/>
            </w:pPr>
            <w:r w:rsidRPr="00236907">
              <w:t>ETR Act s 2.1A.30(1)</w:t>
            </w:r>
            <w:r>
              <w:t xml:space="preserve"> Timelines for internal review</w:t>
            </w:r>
          </w:p>
        </w:tc>
        <w:tc>
          <w:tcPr>
            <w:tcW w:w="1488" w:type="pct"/>
          </w:tcPr>
          <w:p w14:paraId="5587A196" w14:textId="3CFDC2DB" w:rsidR="00416F27" w:rsidRPr="00236907" w:rsidRDefault="00416F27" w:rsidP="00384AA8">
            <w:pPr>
              <w:keepNext/>
            </w:pPr>
            <w:r w:rsidRPr="00236907">
              <w:t>Amend the ETR Act to explicitly state that an internal reviewer may accept an application for internal review beyond 28 days if they are satisfied that there are exceptional circumstances.</w:t>
            </w:r>
          </w:p>
        </w:tc>
        <w:tc>
          <w:tcPr>
            <w:tcW w:w="1015" w:type="pct"/>
          </w:tcPr>
          <w:p w14:paraId="6BA20BBC" w14:textId="5468C097" w:rsidR="00416F27" w:rsidRPr="00236907" w:rsidRDefault="00416F27" w:rsidP="00384AA8">
            <w:pPr>
              <w:keepNext/>
            </w:pPr>
            <w:r w:rsidRPr="00236907">
              <w:t>Allows reviewers to provide greater natural justice to applicants.</w:t>
            </w:r>
          </w:p>
          <w:p w14:paraId="7CD2467B" w14:textId="77777777" w:rsidR="00416F27" w:rsidRPr="00236907" w:rsidRDefault="00416F27" w:rsidP="00384AA8">
            <w:pPr>
              <w:keepNext/>
            </w:pPr>
          </w:p>
        </w:tc>
        <w:tc>
          <w:tcPr>
            <w:tcW w:w="1004" w:type="pct"/>
          </w:tcPr>
          <w:p w14:paraId="003F3A96" w14:textId="3659484C" w:rsidR="00416F27" w:rsidRPr="00236907" w:rsidDel="00676A28" w:rsidRDefault="00416F27" w:rsidP="00384AA8">
            <w:pPr>
              <w:keepNext/>
            </w:pPr>
            <w:r w:rsidRPr="00236907">
              <w:t>The risks associated with this recommendation are low. Applicants generally lodge within time, and the change is in favour of applicants.</w:t>
            </w:r>
          </w:p>
        </w:tc>
      </w:tr>
      <w:tr w:rsidR="00416F27" w:rsidRPr="00236907" w14:paraId="2B0E67AE" w14:textId="14B749F0" w:rsidTr="00C95A1F">
        <w:tc>
          <w:tcPr>
            <w:tcW w:w="526" w:type="pct"/>
            <w:vMerge/>
          </w:tcPr>
          <w:p w14:paraId="705D1C5C" w14:textId="77777777" w:rsidR="00416F27" w:rsidRPr="00236907" w:rsidRDefault="00416F27" w:rsidP="00F22D9A"/>
        </w:tc>
        <w:tc>
          <w:tcPr>
            <w:tcW w:w="355" w:type="pct"/>
          </w:tcPr>
          <w:p w14:paraId="002E89FC" w14:textId="54C3A350" w:rsidR="00416F27" w:rsidRPr="00236907" w:rsidRDefault="00416F27" w:rsidP="00F22D9A">
            <w:r w:rsidRPr="00236907">
              <w:t>7.6</w:t>
            </w:r>
          </w:p>
        </w:tc>
        <w:tc>
          <w:tcPr>
            <w:tcW w:w="611" w:type="pct"/>
          </w:tcPr>
          <w:p w14:paraId="14702BC4" w14:textId="7A8B3065" w:rsidR="00416F27" w:rsidRPr="00236907" w:rsidRDefault="00416F27" w:rsidP="00F22D9A">
            <w:r w:rsidRPr="00236907">
              <w:t>ETR Act s 2.1A.30(2)</w:t>
            </w:r>
            <w:r>
              <w:t xml:space="preserve"> Timelines for internal review</w:t>
            </w:r>
          </w:p>
        </w:tc>
        <w:tc>
          <w:tcPr>
            <w:tcW w:w="1488" w:type="pct"/>
          </w:tcPr>
          <w:p w14:paraId="2E4BBFEB" w14:textId="7DF4E993" w:rsidR="00416F27" w:rsidRPr="00236907" w:rsidRDefault="00416F27" w:rsidP="00F22D9A">
            <w:r w:rsidRPr="00236907">
              <w:t xml:space="preserve">Extend the timeframe afforded in s 2.1A.30(2) of the ETR Act for internal review beyond 28 days, to either 6 or 8 weeks. </w:t>
            </w:r>
          </w:p>
        </w:tc>
        <w:tc>
          <w:tcPr>
            <w:tcW w:w="1015" w:type="pct"/>
          </w:tcPr>
          <w:p w14:paraId="184D46DF" w14:textId="76300733" w:rsidR="00416F27" w:rsidRPr="00236907" w:rsidRDefault="00416F27" w:rsidP="00F22D9A">
            <w:r w:rsidRPr="00236907">
              <w:t>The current 28-day period is insufficient in complex cases requiring additional information.</w:t>
            </w:r>
          </w:p>
        </w:tc>
        <w:tc>
          <w:tcPr>
            <w:tcW w:w="1004" w:type="pct"/>
          </w:tcPr>
          <w:p w14:paraId="569C2D91" w14:textId="09838679" w:rsidR="00416F27" w:rsidRPr="00236907" w:rsidRDefault="00416F27" w:rsidP="00F22D9A">
            <w:r w:rsidRPr="00236907">
              <w:t>This recommendation lengthens the internal review process, which has an impact on the applicant. However, the proposed extension is modest.</w:t>
            </w:r>
          </w:p>
        </w:tc>
      </w:tr>
      <w:tr w:rsidR="00416F27" w:rsidRPr="00236907" w14:paraId="4DC3D67C" w14:textId="408CF06B" w:rsidTr="00C95A1F">
        <w:tc>
          <w:tcPr>
            <w:tcW w:w="526" w:type="pct"/>
            <w:vMerge/>
          </w:tcPr>
          <w:p w14:paraId="12CD6166" w14:textId="77777777" w:rsidR="00416F27" w:rsidRPr="00236907" w:rsidRDefault="00416F27" w:rsidP="009A2D6F"/>
        </w:tc>
        <w:tc>
          <w:tcPr>
            <w:tcW w:w="355" w:type="pct"/>
          </w:tcPr>
          <w:p w14:paraId="55E1485E" w14:textId="00CB501F" w:rsidR="00416F27" w:rsidRPr="00236907" w:rsidRDefault="00416F27" w:rsidP="009A2D6F">
            <w:r w:rsidRPr="00236907">
              <w:t>7.7</w:t>
            </w:r>
          </w:p>
        </w:tc>
        <w:tc>
          <w:tcPr>
            <w:tcW w:w="611" w:type="pct"/>
          </w:tcPr>
          <w:p w14:paraId="3EA232BD" w14:textId="6F738A40" w:rsidR="00416F27" w:rsidRPr="00236907" w:rsidRDefault="00416F27" w:rsidP="009A2D6F">
            <w:r w:rsidRPr="00236907">
              <w:t>ETR Act s 2.1A.29 Internal review, Ministerial Guidelines, paragraph 259</w:t>
            </w:r>
          </w:p>
        </w:tc>
        <w:tc>
          <w:tcPr>
            <w:tcW w:w="1488" w:type="pct"/>
          </w:tcPr>
          <w:p w14:paraId="6F814869" w14:textId="1933804C" w:rsidR="00416F27" w:rsidRPr="00236907" w:rsidRDefault="00416F27" w:rsidP="009A2D6F">
            <w:r w:rsidRPr="00236907">
              <w:t>Amend the ETR Act and Ministerial Guidelines to clarify that a decision to affirm or vary an order by an internal reviewer is not reviewable in internal review.</w:t>
            </w:r>
          </w:p>
        </w:tc>
        <w:tc>
          <w:tcPr>
            <w:tcW w:w="1015" w:type="pct"/>
          </w:tcPr>
          <w:p w14:paraId="70241B6D" w14:textId="367A1DEB" w:rsidR="00416F27" w:rsidRPr="00236907" w:rsidRDefault="00416F27" w:rsidP="00D2652F">
            <w:r w:rsidRPr="00236907">
              <w:t>Reduces the risk of unnecessary and repetitive review processes.</w:t>
            </w:r>
          </w:p>
          <w:p w14:paraId="2EE506A0" w14:textId="77777777" w:rsidR="00416F27" w:rsidRPr="00236907" w:rsidRDefault="00416F27" w:rsidP="009A2D6F"/>
        </w:tc>
        <w:tc>
          <w:tcPr>
            <w:tcW w:w="1004" w:type="pct"/>
          </w:tcPr>
          <w:p w14:paraId="79F015A1" w14:textId="57F09BAE" w:rsidR="00416F27" w:rsidRPr="00236907" w:rsidRDefault="00416F27" w:rsidP="00D2652F">
            <w:r w:rsidRPr="00236907">
              <w:t>The risks associated with this recommendation are low. Applicants will still have access to an internal review process.</w:t>
            </w:r>
          </w:p>
        </w:tc>
      </w:tr>
      <w:tr w:rsidR="00416F27" w:rsidRPr="00236907" w14:paraId="64514DEE" w14:textId="0A7ABCC0" w:rsidTr="00C95A1F">
        <w:tc>
          <w:tcPr>
            <w:tcW w:w="526" w:type="pct"/>
            <w:vMerge/>
          </w:tcPr>
          <w:p w14:paraId="62F537DC" w14:textId="77777777" w:rsidR="00416F27" w:rsidRPr="00236907" w:rsidRDefault="00416F27" w:rsidP="009A2D6F"/>
        </w:tc>
        <w:tc>
          <w:tcPr>
            <w:tcW w:w="355" w:type="pct"/>
          </w:tcPr>
          <w:p w14:paraId="726C060C" w14:textId="1C4D77AF" w:rsidR="00416F27" w:rsidRPr="00236907" w:rsidRDefault="00416F27" w:rsidP="009A2D6F">
            <w:r w:rsidRPr="00236907">
              <w:t>7.8</w:t>
            </w:r>
          </w:p>
        </w:tc>
        <w:tc>
          <w:tcPr>
            <w:tcW w:w="611" w:type="pct"/>
          </w:tcPr>
          <w:p w14:paraId="3530F65E" w14:textId="242ACA37" w:rsidR="00416F27" w:rsidRPr="00236907" w:rsidRDefault="00416F27" w:rsidP="009A2D6F">
            <w:r w:rsidRPr="00236907">
              <w:t>Ministerial Guidelines, paragraphs 274-279</w:t>
            </w:r>
          </w:p>
        </w:tc>
        <w:tc>
          <w:tcPr>
            <w:tcW w:w="1488" w:type="pct"/>
          </w:tcPr>
          <w:p w14:paraId="32683F4D" w14:textId="189C7613" w:rsidR="00416F27" w:rsidRPr="00236907" w:rsidRDefault="00416F27" w:rsidP="009A2D6F">
            <w:r w:rsidRPr="00236907">
              <w:t xml:space="preserve">Amend the Ministerial Guidelines to add that, if an applicant does not respond to a request for information, the reviewer </w:t>
            </w:r>
            <w:proofErr w:type="gramStart"/>
            <w:r w:rsidRPr="00236907">
              <w:t>makes a decision</w:t>
            </w:r>
            <w:proofErr w:type="gramEnd"/>
            <w:r w:rsidRPr="00236907">
              <w:t xml:space="preserve"> on the information available.</w:t>
            </w:r>
          </w:p>
        </w:tc>
        <w:tc>
          <w:tcPr>
            <w:tcW w:w="1015" w:type="pct"/>
          </w:tcPr>
          <w:p w14:paraId="74C4D0ED" w14:textId="77777777" w:rsidR="00416F27" w:rsidRPr="00236907" w:rsidRDefault="00416F27" w:rsidP="00D2652F">
            <w:r w:rsidRPr="00236907">
              <w:t>Ensures review decisions are not delayed indefinitely due to non-responsiveness.</w:t>
            </w:r>
          </w:p>
          <w:p w14:paraId="416AC7F3" w14:textId="77777777" w:rsidR="00416F27" w:rsidRPr="00236907" w:rsidRDefault="00416F27" w:rsidP="009A2D6F"/>
        </w:tc>
        <w:tc>
          <w:tcPr>
            <w:tcW w:w="1004" w:type="pct"/>
          </w:tcPr>
          <w:p w14:paraId="21A7BD96" w14:textId="1772D401" w:rsidR="00416F27" w:rsidRPr="00236907" w:rsidRDefault="00416F27" w:rsidP="00D2652F">
            <w:r w:rsidRPr="00236907">
              <w:t xml:space="preserve">The risks associated with this recommendation are low. Applicants who engage with the process will not be disadvantaged, and those who do not respond will still have the order reviewed on </w:t>
            </w:r>
            <w:r w:rsidRPr="00236907">
              <w:lastRenderedPageBreak/>
              <w:t>its merits on the information available.</w:t>
            </w:r>
          </w:p>
        </w:tc>
      </w:tr>
      <w:tr w:rsidR="00416F27" w:rsidRPr="00236907" w14:paraId="3F98681C" w14:textId="3B20E0EF" w:rsidTr="00C95A1F">
        <w:tc>
          <w:tcPr>
            <w:tcW w:w="526" w:type="pct"/>
            <w:vMerge/>
          </w:tcPr>
          <w:p w14:paraId="4448BF2B" w14:textId="77777777" w:rsidR="00416F27" w:rsidRPr="00236907" w:rsidRDefault="00416F27" w:rsidP="009A2D6F"/>
        </w:tc>
        <w:tc>
          <w:tcPr>
            <w:tcW w:w="355" w:type="pct"/>
          </w:tcPr>
          <w:p w14:paraId="71DCBAA3" w14:textId="22DE46A4" w:rsidR="00416F27" w:rsidRPr="00236907" w:rsidRDefault="00416F27" w:rsidP="009A2D6F">
            <w:r w:rsidRPr="00236907">
              <w:t>7.9</w:t>
            </w:r>
          </w:p>
        </w:tc>
        <w:tc>
          <w:tcPr>
            <w:tcW w:w="611" w:type="pct"/>
          </w:tcPr>
          <w:p w14:paraId="3BF0F78D" w14:textId="228D8E3A" w:rsidR="00416F27" w:rsidRPr="00236907" w:rsidRDefault="00416F27" w:rsidP="009A2D6F">
            <w:r w:rsidRPr="00236907">
              <w:t>Ministerial Guidelines, paragraphs 51, 64</w:t>
            </w:r>
          </w:p>
        </w:tc>
        <w:tc>
          <w:tcPr>
            <w:tcW w:w="1488" w:type="pct"/>
          </w:tcPr>
          <w:p w14:paraId="2655AB46" w14:textId="3E4EA9C1" w:rsidR="00416F27" w:rsidRPr="00236907" w:rsidRDefault="00416F27" w:rsidP="009A2D6F">
            <w:proofErr w:type="gramStart"/>
            <w:r w:rsidRPr="00236907">
              <w:t xml:space="preserve">Replace </w:t>
            </w:r>
            <w:r>
              <w:t>”</w:t>
            </w:r>
            <w:r w:rsidRPr="00236907">
              <w:t>invalidated</w:t>
            </w:r>
            <w:proofErr w:type="gramEnd"/>
            <w:r>
              <w:t>”</w:t>
            </w:r>
            <w:r w:rsidRPr="00236907">
              <w:t xml:space="preserve"> with </w:t>
            </w:r>
            <w:r>
              <w:t>“</w:t>
            </w:r>
            <w:r w:rsidRPr="00236907">
              <w:t>revoked</w:t>
            </w:r>
            <w:r>
              <w:t>”</w:t>
            </w:r>
            <w:r w:rsidRPr="00236907">
              <w:t xml:space="preserve"> to align the Ministerial Guidelines to the ETR Act. </w:t>
            </w:r>
          </w:p>
        </w:tc>
        <w:tc>
          <w:tcPr>
            <w:tcW w:w="1015" w:type="pct"/>
          </w:tcPr>
          <w:p w14:paraId="47D0B83F" w14:textId="77777777" w:rsidR="00416F27" w:rsidRPr="00236907" w:rsidRDefault="00416F27" w:rsidP="00D2652F">
            <w:r w:rsidRPr="00236907">
              <w:t>Ensures consistency in terminology between the Guidelines and the Act.</w:t>
            </w:r>
          </w:p>
          <w:p w14:paraId="7776FC11" w14:textId="77777777" w:rsidR="00416F27" w:rsidRPr="00236907" w:rsidRDefault="00416F27" w:rsidP="009A2D6F"/>
        </w:tc>
        <w:tc>
          <w:tcPr>
            <w:tcW w:w="1004" w:type="pct"/>
          </w:tcPr>
          <w:p w14:paraId="77620890" w14:textId="7E262545" w:rsidR="00416F27" w:rsidRPr="00236907" w:rsidRDefault="00416F27" w:rsidP="00D2652F">
            <w:r w:rsidRPr="00236907">
              <w:t xml:space="preserve">No risks or issues noted. The change is solely in wording for consistency. </w:t>
            </w:r>
          </w:p>
        </w:tc>
      </w:tr>
      <w:tr w:rsidR="005B1F5F" w:rsidRPr="00236907" w14:paraId="0342C45A" w14:textId="29373AFC" w:rsidTr="00C95A1F">
        <w:tc>
          <w:tcPr>
            <w:tcW w:w="526" w:type="pct"/>
            <w:vMerge w:val="restart"/>
          </w:tcPr>
          <w:p w14:paraId="3563A0F0" w14:textId="2A2C5EFE" w:rsidR="005B1F5F" w:rsidRPr="00236907" w:rsidRDefault="005B1F5F" w:rsidP="00384AA8">
            <w:pPr>
              <w:keepNext/>
            </w:pPr>
            <w:r w:rsidRPr="00236907">
              <w:rPr>
                <w:b/>
                <w:bCs/>
              </w:rPr>
              <w:t>8. External review</w:t>
            </w:r>
          </w:p>
        </w:tc>
        <w:tc>
          <w:tcPr>
            <w:tcW w:w="355" w:type="pct"/>
          </w:tcPr>
          <w:p w14:paraId="58461EAE" w14:textId="3E0A8A2C" w:rsidR="005B1F5F" w:rsidRPr="00236907" w:rsidRDefault="005B1F5F" w:rsidP="00384AA8">
            <w:pPr>
              <w:keepNext/>
            </w:pPr>
            <w:r w:rsidRPr="00236907">
              <w:t>8.1</w:t>
            </w:r>
          </w:p>
        </w:tc>
        <w:tc>
          <w:tcPr>
            <w:tcW w:w="611" w:type="pct"/>
          </w:tcPr>
          <w:p w14:paraId="1513DEAB" w14:textId="7B67A614" w:rsidR="005B1F5F" w:rsidRPr="00236907" w:rsidRDefault="005B1F5F" w:rsidP="00384AA8">
            <w:pPr>
              <w:keepNext/>
            </w:pPr>
            <w:r w:rsidRPr="00236907">
              <w:t>New</w:t>
            </w:r>
          </w:p>
        </w:tc>
        <w:tc>
          <w:tcPr>
            <w:tcW w:w="1488" w:type="pct"/>
          </w:tcPr>
          <w:p w14:paraId="365202D0" w14:textId="79CAECAC" w:rsidR="005B1F5F" w:rsidRPr="00236907" w:rsidRDefault="005B1F5F" w:rsidP="00384AA8">
            <w:pPr>
              <w:keepNext/>
            </w:pPr>
            <w:r w:rsidRPr="00236907">
              <w:t xml:space="preserve">Introduce a provision allowing an ongoing order to be extended once for a further period not exceeding 12 months, provided the authorised person is satisfied that the grounds for the order continue to exist, and the extension is subject to the same procedural safeguards (including rights of review) as the original order. Consider limiting the power of renewal/continuation/extension so that it may only be exercised once or twice. </w:t>
            </w:r>
          </w:p>
        </w:tc>
        <w:tc>
          <w:tcPr>
            <w:tcW w:w="1015" w:type="pct"/>
          </w:tcPr>
          <w:p w14:paraId="137EC074" w14:textId="77777777" w:rsidR="005B1F5F" w:rsidRPr="00236907" w:rsidRDefault="005B1F5F" w:rsidP="00384AA8">
            <w:pPr>
              <w:keepNext/>
            </w:pPr>
            <w:r w:rsidRPr="00236907">
              <w:t>Ensures that review applications in VCAT are not rendered moot due to order expiry.</w:t>
            </w:r>
          </w:p>
          <w:p w14:paraId="7FF10E3D" w14:textId="77777777" w:rsidR="005B1F5F" w:rsidRPr="00236907" w:rsidRDefault="005B1F5F" w:rsidP="00384AA8">
            <w:pPr>
              <w:keepNext/>
            </w:pPr>
          </w:p>
        </w:tc>
        <w:tc>
          <w:tcPr>
            <w:tcW w:w="1004" w:type="pct"/>
          </w:tcPr>
          <w:p w14:paraId="46DEAEF0" w14:textId="4B5D0091" w:rsidR="005B1F5F" w:rsidRPr="00236907" w:rsidRDefault="005B1F5F" w:rsidP="00384AA8">
            <w:pPr>
              <w:keepNext/>
            </w:pPr>
            <w:r w:rsidRPr="00236907">
              <w:t xml:space="preserve">There are some risks with this recommendation. For example, it increases the likelihood that an applicant will have their application heard by </w:t>
            </w:r>
            <w:proofErr w:type="gramStart"/>
            <w:r w:rsidRPr="00236907">
              <w:t>VCAT, and</w:t>
            </w:r>
            <w:proofErr w:type="gramEnd"/>
            <w:r w:rsidRPr="00236907">
              <w:t xml:space="preserve"> reduce the administrative burden on the authorised person by allowing them to extend an existing order rather than make an entirely new one. It is important as a risk mitigation measure that a decision to extend an order is subject to identical considerations as the decision to make a new one to ensure that the change does not allow an authorised person to impose restrictions they would not be permitted to under the Scheme as it exists now. </w:t>
            </w:r>
          </w:p>
        </w:tc>
      </w:tr>
      <w:tr w:rsidR="005B1F5F" w:rsidRPr="00236907" w14:paraId="5B35E303" w14:textId="67E9FB69" w:rsidTr="00C95A1F">
        <w:tc>
          <w:tcPr>
            <w:tcW w:w="526" w:type="pct"/>
            <w:vMerge/>
          </w:tcPr>
          <w:p w14:paraId="7AED1C88" w14:textId="77777777" w:rsidR="005B1F5F" w:rsidRPr="00236907" w:rsidRDefault="005B1F5F" w:rsidP="00181A3C"/>
        </w:tc>
        <w:tc>
          <w:tcPr>
            <w:tcW w:w="355" w:type="pct"/>
          </w:tcPr>
          <w:p w14:paraId="4955CF7E" w14:textId="28AFCA35" w:rsidR="005B1F5F" w:rsidRPr="00236907" w:rsidRDefault="005B1F5F" w:rsidP="00181A3C">
            <w:r w:rsidRPr="00236907">
              <w:t>8.2</w:t>
            </w:r>
          </w:p>
        </w:tc>
        <w:tc>
          <w:tcPr>
            <w:tcW w:w="611" w:type="pct"/>
          </w:tcPr>
          <w:p w14:paraId="7C05EAA3" w14:textId="16B00332" w:rsidR="005B1F5F" w:rsidRPr="00236907" w:rsidRDefault="005B1F5F" w:rsidP="00181A3C">
            <w:r w:rsidRPr="00236907">
              <w:t>N/A</w:t>
            </w:r>
          </w:p>
        </w:tc>
        <w:tc>
          <w:tcPr>
            <w:tcW w:w="1488" w:type="pct"/>
          </w:tcPr>
          <w:p w14:paraId="0A077591" w14:textId="2B6E4500" w:rsidR="005B1F5F" w:rsidRPr="00236907" w:rsidRDefault="005B1F5F" w:rsidP="00181A3C">
            <w:r w:rsidRPr="00236907">
              <w:t xml:space="preserve">Take a minimalist approach to redactions for s 49 materials. Only redact private information that is not within the applicant’s knowledge, nor reasonably able to be deduced from the content of the s 49 </w:t>
            </w:r>
            <w:r w:rsidRPr="00236907">
              <w:lastRenderedPageBreak/>
              <w:t xml:space="preserve">materials and statement. Do not redact critical relevant information, or in such a way that will unreasonably impair comprehensibility of the materials. Annotate all redactions.  </w:t>
            </w:r>
          </w:p>
        </w:tc>
        <w:tc>
          <w:tcPr>
            <w:tcW w:w="1015" w:type="pct"/>
          </w:tcPr>
          <w:p w14:paraId="39DA0523" w14:textId="77777777" w:rsidR="005B1F5F" w:rsidRPr="00236907" w:rsidRDefault="005B1F5F" w:rsidP="00D2652F">
            <w:r w:rsidRPr="00236907">
              <w:lastRenderedPageBreak/>
              <w:t>Ensures transparency while protecting privacy in external reviews.</w:t>
            </w:r>
          </w:p>
          <w:p w14:paraId="193D31C7" w14:textId="77777777" w:rsidR="005B1F5F" w:rsidRPr="00236907" w:rsidRDefault="005B1F5F" w:rsidP="00181A3C"/>
        </w:tc>
        <w:tc>
          <w:tcPr>
            <w:tcW w:w="1004" w:type="pct"/>
          </w:tcPr>
          <w:p w14:paraId="165EDD43" w14:textId="129B5801" w:rsidR="005B1F5F" w:rsidRPr="00236907" w:rsidRDefault="005B1F5F" w:rsidP="00D2652F">
            <w:r w:rsidRPr="00236907">
              <w:t xml:space="preserve">This recommendation imposes some limitations on the information available to the applicant. However, it can be managed so that the </w:t>
            </w:r>
            <w:r w:rsidRPr="00236907">
              <w:lastRenderedPageBreak/>
              <w:t>redactions are appropriate to protect the privacy of Department staff without denying the applicant any information relevant to their application.</w:t>
            </w:r>
          </w:p>
        </w:tc>
      </w:tr>
      <w:tr w:rsidR="005B1F5F" w:rsidRPr="00236907" w14:paraId="566F7D1E" w14:textId="505B1F51" w:rsidTr="00C95A1F">
        <w:tc>
          <w:tcPr>
            <w:tcW w:w="526" w:type="pct"/>
            <w:vMerge/>
          </w:tcPr>
          <w:p w14:paraId="0D8A2482" w14:textId="77777777" w:rsidR="005B1F5F" w:rsidRPr="00236907" w:rsidRDefault="005B1F5F" w:rsidP="00384AA8">
            <w:pPr>
              <w:keepNext/>
            </w:pPr>
          </w:p>
        </w:tc>
        <w:tc>
          <w:tcPr>
            <w:tcW w:w="355" w:type="pct"/>
          </w:tcPr>
          <w:p w14:paraId="21354AB6" w14:textId="79F38033" w:rsidR="005B1F5F" w:rsidRPr="00236907" w:rsidRDefault="005B1F5F" w:rsidP="00384AA8">
            <w:pPr>
              <w:keepNext/>
            </w:pPr>
            <w:r w:rsidRPr="00236907">
              <w:t>8.3</w:t>
            </w:r>
          </w:p>
        </w:tc>
        <w:tc>
          <w:tcPr>
            <w:tcW w:w="611" w:type="pct"/>
          </w:tcPr>
          <w:p w14:paraId="147FEEDA" w14:textId="72B15026" w:rsidR="005B1F5F" w:rsidRPr="00236907" w:rsidRDefault="005B1F5F" w:rsidP="00384AA8">
            <w:pPr>
              <w:keepNext/>
            </w:pPr>
            <w:r w:rsidRPr="00236907">
              <w:t>N/A</w:t>
            </w:r>
          </w:p>
        </w:tc>
        <w:tc>
          <w:tcPr>
            <w:tcW w:w="1488" w:type="pct"/>
          </w:tcPr>
          <w:p w14:paraId="0AFAE6A8" w14:textId="4059DB2E" w:rsidR="005B1F5F" w:rsidRPr="00236907" w:rsidRDefault="005B1F5F" w:rsidP="00384AA8">
            <w:pPr>
              <w:keepNext/>
            </w:pPr>
            <w:r w:rsidRPr="00236907">
              <w:t>If necessary, seek restricted file orders under s 146(4)(b) when filing s 49 materials with VCAT.</w:t>
            </w:r>
          </w:p>
        </w:tc>
        <w:tc>
          <w:tcPr>
            <w:tcW w:w="1015" w:type="pct"/>
          </w:tcPr>
          <w:p w14:paraId="035A587B" w14:textId="77777777" w:rsidR="005B1F5F" w:rsidRPr="00236907" w:rsidRDefault="005B1F5F" w:rsidP="00384AA8">
            <w:pPr>
              <w:keepNext/>
            </w:pPr>
            <w:r w:rsidRPr="00236907">
              <w:t>Ensures sensitive information remains protected in legal proceedings.</w:t>
            </w:r>
          </w:p>
          <w:p w14:paraId="59FA1A0D" w14:textId="77777777" w:rsidR="005B1F5F" w:rsidRPr="00236907" w:rsidRDefault="005B1F5F" w:rsidP="00384AA8">
            <w:pPr>
              <w:keepNext/>
            </w:pPr>
          </w:p>
        </w:tc>
        <w:tc>
          <w:tcPr>
            <w:tcW w:w="1004" w:type="pct"/>
          </w:tcPr>
          <w:p w14:paraId="52CD474F" w14:textId="1E7164D6" w:rsidR="005B1F5F" w:rsidRPr="00236907" w:rsidRDefault="005B1F5F" w:rsidP="00384AA8">
            <w:pPr>
              <w:keepNext/>
            </w:pPr>
            <w:r w:rsidRPr="00236907">
              <w:t>As above.</w:t>
            </w:r>
          </w:p>
        </w:tc>
      </w:tr>
      <w:tr w:rsidR="005B1F5F" w:rsidRPr="00236907" w14:paraId="288D052D" w14:textId="28357638" w:rsidTr="00C95A1F">
        <w:tc>
          <w:tcPr>
            <w:tcW w:w="526" w:type="pct"/>
            <w:vMerge/>
          </w:tcPr>
          <w:p w14:paraId="2BE10243" w14:textId="77777777" w:rsidR="005B1F5F" w:rsidRPr="00236907" w:rsidRDefault="005B1F5F" w:rsidP="00384AA8">
            <w:pPr>
              <w:keepNext/>
            </w:pPr>
          </w:p>
        </w:tc>
        <w:tc>
          <w:tcPr>
            <w:tcW w:w="355" w:type="pct"/>
          </w:tcPr>
          <w:p w14:paraId="0C0A4F68" w14:textId="06CE1AA6" w:rsidR="005B1F5F" w:rsidRPr="00236907" w:rsidRDefault="005B1F5F" w:rsidP="00384AA8">
            <w:pPr>
              <w:keepNext/>
            </w:pPr>
            <w:r w:rsidRPr="00236907">
              <w:t>8.4</w:t>
            </w:r>
          </w:p>
        </w:tc>
        <w:tc>
          <w:tcPr>
            <w:tcW w:w="611" w:type="pct"/>
          </w:tcPr>
          <w:p w14:paraId="0295107E" w14:textId="5B83245F" w:rsidR="005B1F5F" w:rsidRPr="00236907" w:rsidRDefault="005B1F5F" w:rsidP="00384AA8">
            <w:pPr>
              <w:keepNext/>
            </w:pPr>
            <w:r w:rsidRPr="00236907">
              <w:t>N/A</w:t>
            </w:r>
          </w:p>
        </w:tc>
        <w:tc>
          <w:tcPr>
            <w:tcW w:w="1488" w:type="pct"/>
          </w:tcPr>
          <w:p w14:paraId="2BA65EBB" w14:textId="603F636D" w:rsidR="005B1F5F" w:rsidRPr="00236907" w:rsidRDefault="005B1F5F" w:rsidP="00384AA8">
            <w:pPr>
              <w:keepNext/>
            </w:pPr>
            <w:r w:rsidRPr="00236907">
              <w:t xml:space="preserve">Where necessary to address concerns, inform witnesses that unredacted information contained within s 49 materials </w:t>
            </w:r>
            <w:proofErr w:type="gramStart"/>
            <w:r w:rsidRPr="00236907">
              <w:t>is</w:t>
            </w:r>
            <w:proofErr w:type="gramEnd"/>
            <w:r w:rsidRPr="00236907">
              <w:t xml:space="preserve"> still protected by the </w:t>
            </w:r>
            <w:r w:rsidRPr="00236907">
              <w:rPr>
                <w:i/>
                <w:iCs/>
              </w:rPr>
              <w:t>Harman</w:t>
            </w:r>
            <w:r w:rsidRPr="00236907">
              <w:t xml:space="preserve"> undertaking and may be protected by a restricted file order.</w:t>
            </w:r>
          </w:p>
        </w:tc>
        <w:tc>
          <w:tcPr>
            <w:tcW w:w="1015" w:type="pct"/>
          </w:tcPr>
          <w:p w14:paraId="042C75AE" w14:textId="77777777" w:rsidR="005B1F5F" w:rsidRPr="00236907" w:rsidRDefault="005B1F5F" w:rsidP="00384AA8">
            <w:pPr>
              <w:keepNext/>
            </w:pPr>
            <w:r w:rsidRPr="00236907">
              <w:t>Provides clarity to affected parties about confidentiality protections.</w:t>
            </w:r>
          </w:p>
          <w:p w14:paraId="54E1AEE3" w14:textId="77777777" w:rsidR="005B1F5F" w:rsidRPr="00236907" w:rsidRDefault="005B1F5F" w:rsidP="00384AA8">
            <w:pPr>
              <w:keepNext/>
            </w:pPr>
          </w:p>
        </w:tc>
        <w:tc>
          <w:tcPr>
            <w:tcW w:w="1004" w:type="pct"/>
          </w:tcPr>
          <w:p w14:paraId="260517FD" w14:textId="43DE73C7" w:rsidR="005B1F5F" w:rsidRPr="00236907" w:rsidRDefault="005B1F5F" w:rsidP="00384AA8">
            <w:pPr>
              <w:keepNext/>
            </w:pPr>
            <w:r w:rsidRPr="00236907">
              <w:t xml:space="preserve">The risks associated with this recommendation are in our view low. It involves clarifying the policy position on confidentiality. </w:t>
            </w:r>
          </w:p>
        </w:tc>
      </w:tr>
      <w:tr w:rsidR="00C95A1F" w:rsidRPr="00236907" w14:paraId="3B16091B" w14:textId="4856F52A" w:rsidTr="00C95A1F">
        <w:tc>
          <w:tcPr>
            <w:tcW w:w="526" w:type="pct"/>
            <w:vMerge w:val="restart"/>
          </w:tcPr>
          <w:p w14:paraId="35B67C85" w14:textId="4E196221" w:rsidR="00C95A1F" w:rsidRPr="00236907" w:rsidRDefault="00C95A1F" w:rsidP="004B3315">
            <w:r w:rsidRPr="00236907">
              <w:rPr>
                <w:b/>
                <w:bCs/>
              </w:rPr>
              <w:t>9. Enforcement</w:t>
            </w:r>
          </w:p>
        </w:tc>
        <w:tc>
          <w:tcPr>
            <w:tcW w:w="355" w:type="pct"/>
          </w:tcPr>
          <w:p w14:paraId="7D01E814" w14:textId="158F4E2B" w:rsidR="00C95A1F" w:rsidRPr="00236907" w:rsidRDefault="00C95A1F" w:rsidP="004B3315">
            <w:r w:rsidRPr="00236907">
              <w:t>9.1</w:t>
            </w:r>
          </w:p>
        </w:tc>
        <w:tc>
          <w:tcPr>
            <w:tcW w:w="611" w:type="pct"/>
          </w:tcPr>
          <w:p w14:paraId="4D313E8D" w14:textId="2A4A4C58" w:rsidR="00C95A1F" w:rsidRPr="00236907" w:rsidRDefault="00C95A1F" w:rsidP="004B3315">
            <w:r w:rsidRPr="00236907">
              <w:t>Ministerial Guidelines, paragraphs 308 – 321</w:t>
            </w:r>
          </w:p>
        </w:tc>
        <w:tc>
          <w:tcPr>
            <w:tcW w:w="1488" w:type="pct"/>
          </w:tcPr>
          <w:p w14:paraId="753987A7" w14:textId="3D55F583" w:rsidR="00C95A1F" w:rsidRPr="00236907" w:rsidRDefault="00C95A1F" w:rsidP="004B3315">
            <w:r w:rsidRPr="00236907">
              <w:t>In consultation with Victoria Police, clarify the position on involving Police when there has been a breach of an order. Confirm that breach of an order under the Scheme is not, in and of itself, a criminal offence. However, where conduct also constitutes independent criminal behaviour (e.g., assault, threats), police involvement is appropriate. The Guidelines should clearly distinguish civil enforcement options from criminal referral pathways. It may also be appropriate in some circumstances for a school principal who has made an order to notify Police of the order, and to advise the person subject to the order that the Police have been notified.</w:t>
            </w:r>
          </w:p>
        </w:tc>
        <w:tc>
          <w:tcPr>
            <w:tcW w:w="1015" w:type="pct"/>
          </w:tcPr>
          <w:p w14:paraId="369648E6" w14:textId="0F727F07" w:rsidR="00C95A1F" w:rsidRPr="00236907" w:rsidRDefault="00C95A1F" w:rsidP="00407F39">
            <w:r w:rsidRPr="00236907">
              <w:t>Inconsistent Police responses to breaches have created uncertainty.</w:t>
            </w:r>
          </w:p>
          <w:p w14:paraId="07E87E37" w14:textId="77777777" w:rsidR="00C95A1F" w:rsidRPr="00236907" w:rsidRDefault="00C95A1F" w:rsidP="004B3315"/>
        </w:tc>
        <w:tc>
          <w:tcPr>
            <w:tcW w:w="1004" w:type="pct"/>
          </w:tcPr>
          <w:p w14:paraId="4B081D68" w14:textId="006C1633" w:rsidR="00C95A1F" w:rsidRPr="00236907" w:rsidRDefault="00C95A1F" w:rsidP="00407F39">
            <w:r w:rsidRPr="00236907">
              <w:t xml:space="preserve">This is a sensitive topic within the operation of the Scheme, but the actual risks in clarifying the position are in our view low given that it involves describing the law as it operates in practice now. </w:t>
            </w:r>
          </w:p>
        </w:tc>
      </w:tr>
      <w:tr w:rsidR="00C95A1F" w:rsidRPr="00236907" w14:paraId="1B2AAD65" w14:textId="115CEDC2" w:rsidTr="00C95A1F">
        <w:tc>
          <w:tcPr>
            <w:tcW w:w="526" w:type="pct"/>
            <w:vMerge/>
          </w:tcPr>
          <w:p w14:paraId="2B65D91F" w14:textId="77777777" w:rsidR="00C95A1F" w:rsidRPr="00236907" w:rsidRDefault="00C95A1F" w:rsidP="004B3315"/>
        </w:tc>
        <w:tc>
          <w:tcPr>
            <w:tcW w:w="355" w:type="pct"/>
          </w:tcPr>
          <w:p w14:paraId="1D11008D" w14:textId="532E1EF1" w:rsidR="00C95A1F" w:rsidRPr="00236907" w:rsidRDefault="00C95A1F" w:rsidP="004B3315">
            <w:r w:rsidRPr="00236907">
              <w:t>9.2</w:t>
            </w:r>
          </w:p>
        </w:tc>
        <w:tc>
          <w:tcPr>
            <w:tcW w:w="611" w:type="pct"/>
          </w:tcPr>
          <w:p w14:paraId="304EE1BD" w14:textId="1D0B83F1" w:rsidR="00C95A1F" w:rsidRPr="00236907" w:rsidRDefault="00C95A1F" w:rsidP="004B3315">
            <w:r w:rsidRPr="00236907">
              <w:t>Ministerial Guidelines, paragraphs 308 – 321</w:t>
            </w:r>
          </w:p>
        </w:tc>
        <w:tc>
          <w:tcPr>
            <w:tcW w:w="1488" w:type="pct"/>
          </w:tcPr>
          <w:p w14:paraId="5D36D232" w14:textId="5DCCA549" w:rsidR="00C95A1F" w:rsidRPr="00236907" w:rsidRDefault="00C95A1F" w:rsidP="004B3315">
            <w:r w:rsidRPr="00236907">
              <w:t>Consider if the threshold for enforcement should be lowered, so that there is an expectation that deliberate breaches of orders will lead to enforcement action and authorised persons are not expected to engage in dialogue with individuals who deliberately breach an order.</w:t>
            </w:r>
          </w:p>
        </w:tc>
        <w:tc>
          <w:tcPr>
            <w:tcW w:w="1015" w:type="pct"/>
          </w:tcPr>
          <w:p w14:paraId="0297C731" w14:textId="77777777" w:rsidR="00C95A1F" w:rsidRPr="00236907" w:rsidRDefault="00C95A1F" w:rsidP="00407F39">
            <w:r w:rsidRPr="00236907">
              <w:t>School principals perceive the Scheme as “toothless” due to weak enforcement.</w:t>
            </w:r>
          </w:p>
          <w:p w14:paraId="694D5DF8" w14:textId="77777777" w:rsidR="00C95A1F" w:rsidRPr="00236907" w:rsidRDefault="00C95A1F" w:rsidP="004B3315"/>
        </w:tc>
        <w:tc>
          <w:tcPr>
            <w:tcW w:w="1004" w:type="pct"/>
          </w:tcPr>
          <w:p w14:paraId="3519F030" w14:textId="0018676A" w:rsidR="00C95A1F" w:rsidRPr="00236907" w:rsidRDefault="00C95A1F" w:rsidP="00407F39">
            <w:r w:rsidRPr="00236907">
              <w:t xml:space="preserve">There are risks and issues in any enforcement process which will require careful consideration. A low threshold for enforcement will mean that the Scheme becomes more punitive and </w:t>
            </w:r>
            <w:r w:rsidR="0037599F">
              <w:t>will require more</w:t>
            </w:r>
            <w:r w:rsidRPr="00236907">
              <w:t xml:space="preserve"> resources to take enforcement action. Conversely, </w:t>
            </w:r>
            <w:r w:rsidR="0037599F">
              <w:t xml:space="preserve">a </w:t>
            </w:r>
            <w:r w:rsidRPr="00236907">
              <w:t xml:space="preserve">high threshold will leave the </w:t>
            </w:r>
            <w:r w:rsidR="0037599F">
              <w:t>administrative requirement</w:t>
            </w:r>
            <w:r w:rsidR="0037599F" w:rsidRPr="00236907">
              <w:t xml:space="preserve"> </w:t>
            </w:r>
            <w:r w:rsidRPr="00236907">
              <w:t xml:space="preserve">of dealing with individuals who breach an order to school principals and regional </w:t>
            </w:r>
            <w:proofErr w:type="gramStart"/>
            <w:r w:rsidRPr="00236907">
              <w:t>staff, and</w:t>
            </w:r>
            <w:proofErr w:type="gramEnd"/>
            <w:r w:rsidRPr="00236907">
              <w:t xml:space="preserve"> may mean that the Scheme is not effective for these individuals.</w:t>
            </w:r>
          </w:p>
        </w:tc>
      </w:tr>
      <w:tr w:rsidR="00C95A1F" w:rsidRPr="00236907" w14:paraId="72AC5258" w14:textId="77777777" w:rsidTr="00C95A1F">
        <w:tc>
          <w:tcPr>
            <w:tcW w:w="526" w:type="pct"/>
            <w:vMerge/>
          </w:tcPr>
          <w:p w14:paraId="4F41554E" w14:textId="77777777" w:rsidR="00C95A1F" w:rsidRPr="00236907" w:rsidRDefault="00C95A1F" w:rsidP="00815E3B"/>
        </w:tc>
        <w:tc>
          <w:tcPr>
            <w:tcW w:w="355" w:type="pct"/>
          </w:tcPr>
          <w:p w14:paraId="3E2DC7C1" w14:textId="318ED2FF" w:rsidR="00C95A1F" w:rsidRPr="00236907" w:rsidRDefault="00C95A1F" w:rsidP="00815E3B">
            <w:r w:rsidRPr="00236907">
              <w:t>9.3</w:t>
            </w:r>
          </w:p>
        </w:tc>
        <w:tc>
          <w:tcPr>
            <w:tcW w:w="611" w:type="pct"/>
          </w:tcPr>
          <w:p w14:paraId="7D5514EC" w14:textId="7282F23A" w:rsidR="00C95A1F" w:rsidRPr="00236907" w:rsidRDefault="00C95A1F" w:rsidP="00815E3B">
            <w:r w:rsidRPr="00236907">
              <w:t>Ministerial Guidelines, paragraph 314</w:t>
            </w:r>
          </w:p>
        </w:tc>
        <w:tc>
          <w:tcPr>
            <w:tcW w:w="1488" w:type="pct"/>
          </w:tcPr>
          <w:p w14:paraId="44108B75" w14:textId="4C32A778" w:rsidR="00C95A1F" w:rsidRPr="00236907" w:rsidRDefault="00C95A1F" w:rsidP="00815E3B">
            <w:r w:rsidRPr="00236907">
              <w:t>Remove the requirement for consultation with a person if there has been a suspected breach.</w:t>
            </w:r>
          </w:p>
        </w:tc>
        <w:tc>
          <w:tcPr>
            <w:tcW w:w="1015" w:type="pct"/>
          </w:tcPr>
          <w:p w14:paraId="49C2ECBB" w14:textId="34232C8B" w:rsidR="00C95A1F" w:rsidRPr="00236907" w:rsidRDefault="00C95A1F" w:rsidP="00815E3B">
            <w:r w:rsidRPr="00236907">
              <w:t>The requirement does not appear to add any practical benefit and is administratively burdensome.</w:t>
            </w:r>
          </w:p>
        </w:tc>
        <w:tc>
          <w:tcPr>
            <w:tcW w:w="1004" w:type="pct"/>
          </w:tcPr>
          <w:p w14:paraId="5600AAFB" w14:textId="7AD635A5" w:rsidR="00C95A1F" w:rsidRPr="00236907" w:rsidRDefault="00C95A1F" w:rsidP="00815E3B">
            <w:r w:rsidRPr="00236907">
              <w:t xml:space="preserve">There are few risks with this change, as it appears that few orders will proceed to enforcement under the Scheme as it operates now.  It is unclear if this requirement may add any practical benefit. Any changes to the enforcement provisions will need to be considered collectively.  </w:t>
            </w:r>
          </w:p>
        </w:tc>
      </w:tr>
      <w:tr w:rsidR="00C95A1F" w:rsidRPr="00236907" w14:paraId="38DD6072" w14:textId="3F202A91" w:rsidTr="00C95A1F">
        <w:tc>
          <w:tcPr>
            <w:tcW w:w="526" w:type="pct"/>
            <w:vMerge/>
          </w:tcPr>
          <w:p w14:paraId="52FC35EA" w14:textId="77777777" w:rsidR="00C95A1F" w:rsidRPr="00236907" w:rsidRDefault="00C95A1F" w:rsidP="004B3315"/>
        </w:tc>
        <w:tc>
          <w:tcPr>
            <w:tcW w:w="355" w:type="pct"/>
          </w:tcPr>
          <w:p w14:paraId="75ACF1BE" w14:textId="581FB1FE" w:rsidR="00C95A1F" w:rsidRPr="00236907" w:rsidRDefault="00C95A1F" w:rsidP="004B3315">
            <w:r w:rsidRPr="00236907">
              <w:t>9.3</w:t>
            </w:r>
          </w:p>
        </w:tc>
        <w:tc>
          <w:tcPr>
            <w:tcW w:w="611" w:type="pct"/>
          </w:tcPr>
          <w:p w14:paraId="06C2FB11" w14:textId="54A082E8" w:rsidR="00C95A1F" w:rsidRPr="00236907" w:rsidRDefault="00C95A1F" w:rsidP="004B3315">
            <w:r w:rsidRPr="00236907">
              <w:t>N/A</w:t>
            </w:r>
          </w:p>
        </w:tc>
        <w:tc>
          <w:tcPr>
            <w:tcW w:w="1488" w:type="pct"/>
          </w:tcPr>
          <w:p w14:paraId="2CCAE8FB" w14:textId="77777777" w:rsidR="00C95A1F" w:rsidRPr="00236907" w:rsidRDefault="00C95A1F" w:rsidP="004B3315">
            <w:r w:rsidRPr="00236907">
              <w:t>Within the Department, clarify the policy position on:</w:t>
            </w:r>
          </w:p>
          <w:p w14:paraId="13103234" w14:textId="77777777" w:rsidR="00C95A1F" w:rsidRPr="00236907" w:rsidRDefault="00C95A1F" w:rsidP="00DC79EE">
            <w:pPr>
              <w:pStyle w:val="ListParagraph"/>
              <w:numPr>
                <w:ilvl w:val="0"/>
                <w:numId w:val="43"/>
              </w:numPr>
              <w:rPr>
                <w:rFonts w:cs="Times New Roman"/>
                <w:sz w:val="20"/>
                <w:szCs w:val="20"/>
              </w:rPr>
            </w:pPr>
            <w:r w:rsidRPr="00236907">
              <w:rPr>
                <w:rFonts w:cs="Times New Roman"/>
                <w:sz w:val="20"/>
                <w:szCs w:val="20"/>
              </w:rPr>
              <w:t>when the Department will commence an action in the Magistrates’ Court; and</w:t>
            </w:r>
          </w:p>
          <w:p w14:paraId="0126642A" w14:textId="1108A0DE" w:rsidR="00C95A1F" w:rsidRPr="00236907" w:rsidRDefault="00C95A1F" w:rsidP="00DC79EE">
            <w:pPr>
              <w:pStyle w:val="ListParagraph"/>
              <w:numPr>
                <w:ilvl w:val="0"/>
                <w:numId w:val="43"/>
              </w:numPr>
              <w:rPr>
                <w:rFonts w:cs="Times New Roman"/>
                <w:sz w:val="20"/>
                <w:szCs w:val="20"/>
              </w:rPr>
            </w:pPr>
            <w:r w:rsidRPr="00236907">
              <w:rPr>
                <w:rFonts w:cs="Times New Roman"/>
                <w:sz w:val="20"/>
                <w:szCs w:val="20"/>
              </w:rPr>
              <w:lastRenderedPageBreak/>
              <w:t>what action the Department will take in response to a breach where it does not commence proceedings.</w:t>
            </w:r>
          </w:p>
        </w:tc>
        <w:tc>
          <w:tcPr>
            <w:tcW w:w="1015" w:type="pct"/>
          </w:tcPr>
          <w:p w14:paraId="21C5E2C2" w14:textId="21ED7CA0" w:rsidR="00C95A1F" w:rsidRPr="00236907" w:rsidRDefault="00C95A1F" w:rsidP="00407F39">
            <w:r w:rsidRPr="00236907">
              <w:lastRenderedPageBreak/>
              <w:t>Lack of clarity on enforcement process within the Department.</w:t>
            </w:r>
          </w:p>
          <w:p w14:paraId="18E9AAD7" w14:textId="77777777" w:rsidR="00C95A1F" w:rsidRPr="00236907" w:rsidRDefault="00C95A1F" w:rsidP="004B3315"/>
        </w:tc>
        <w:tc>
          <w:tcPr>
            <w:tcW w:w="1004" w:type="pct"/>
          </w:tcPr>
          <w:p w14:paraId="500DE14E" w14:textId="0B0C2E6D" w:rsidR="00C95A1F" w:rsidRPr="00236907" w:rsidRDefault="00C95A1F" w:rsidP="00407F39">
            <w:r w:rsidRPr="00236907">
              <w:t xml:space="preserve">As above, there are risks and issues with a more and less active approach to enforcement which the </w:t>
            </w:r>
            <w:r w:rsidRPr="00236907">
              <w:lastRenderedPageBreak/>
              <w:t xml:space="preserve">Department will need to consider. </w:t>
            </w:r>
          </w:p>
        </w:tc>
      </w:tr>
      <w:tr w:rsidR="00224E46" w:rsidRPr="00236907" w14:paraId="120097D1" w14:textId="0FC2A961" w:rsidTr="00C95A1F">
        <w:tc>
          <w:tcPr>
            <w:tcW w:w="526" w:type="pct"/>
            <w:vMerge w:val="restart"/>
          </w:tcPr>
          <w:p w14:paraId="137088E6" w14:textId="550AACFE" w:rsidR="00224E46" w:rsidRPr="00236907" w:rsidRDefault="00224E46" w:rsidP="004B3315">
            <w:r w:rsidRPr="00236907">
              <w:rPr>
                <w:b/>
                <w:bCs/>
              </w:rPr>
              <w:lastRenderedPageBreak/>
              <w:t>10. Other matters</w:t>
            </w:r>
          </w:p>
        </w:tc>
        <w:tc>
          <w:tcPr>
            <w:tcW w:w="355" w:type="pct"/>
          </w:tcPr>
          <w:p w14:paraId="73312FA6" w14:textId="0027D705" w:rsidR="00224E46" w:rsidRPr="00236907" w:rsidRDefault="00224E46" w:rsidP="004B3315">
            <w:r w:rsidRPr="00236907">
              <w:t>10.1</w:t>
            </w:r>
          </w:p>
        </w:tc>
        <w:tc>
          <w:tcPr>
            <w:tcW w:w="611" w:type="pct"/>
          </w:tcPr>
          <w:p w14:paraId="40FDF382" w14:textId="64AF7D17" w:rsidR="00224E46" w:rsidRPr="00236907" w:rsidRDefault="00224E46" w:rsidP="004B3315">
            <w:r w:rsidRPr="00236907">
              <w:t>Ministerial Guidelines, paragraphs 297-307</w:t>
            </w:r>
          </w:p>
        </w:tc>
        <w:tc>
          <w:tcPr>
            <w:tcW w:w="1488" w:type="pct"/>
          </w:tcPr>
          <w:p w14:paraId="697393F9" w14:textId="21DB4140" w:rsidR="00224E46" w:rsidRPr="00236907" w:rsidRDefault="0037599F" w:rsidP="004B3315">
            <w:r>
              <w:t xml:space="preserve">The Department understands </w:t>
            </w:r>
            <w:r w:rsidR="00224E46" w:rsidRPr="00236907">
              <w:t xml:space="preserve">that </w:t>
            </w:r>
            <w:r>
              <w:t xml:space="preserve">some </w:t>
            </w:r>
            <w:r w:rsidR="00224E46" w:rsidRPr="00236907">
              <w:t>school principals have found the requirements for monitoring compliance with orders in the Ministerial Guidelines to be lengthy and complex. The Department may wish to consider what the minimum expectations are and clarify them.</w:t>
            </w:r>
          </w:p>
        </w:tc>
        <w:tc>
          <w:tcPr>
            <w:tcW w:w="1015" w:type="pct"/>
          </w:tcPr>
          <w:p w14:paraId="2D4DE10E" w14:textId="77777777" w:rsidR="00224E46" w:rsidRPr="00236907" w:rsidRDefault="00224E46" w:rsidP="00407F39">
            <w:r w:rsidRPr="00236907">
              <w:t>School principals found compliance monitoring requirements to be overly complex.</w:t>
            </w:r>
          </w:p>
          <w:p w14:paraId="12D4EC0C" w14:textId="77777777" w:rsidR="00224E46" w:rsidRPr="00236907" w:rsidRDefault="00224E46" w:rsidP="004B3315"/>
        </w:tc>
        <w:tc>
          <w:tcPr>
            <w:tcW w:w="1004" w:type="pct"/>
          </w:tcPr>
          <w:p w14:paraId="39E8B199" w14:textId="1170E337" w:rsidR="00224E46" w:rsidRPr="00236907" w:rsidRDefault="00224E46" w:rsidP="00407F39">
            <w:r w:rsidRPr="00236907">
              <w:t>The risks associated with this recommendation are in our view low. It involves clarifying the Department’s policy.</w:t>
            </w:r>
          </w:p>
        </w:tc>
      </w:tr>
      <w:tr w:rsidR="00224E46" w:rsidRPr="00236907" w14:paraId="40FFF3DB" w14:textId="2EF21FBD" w:rsidTr="00C95A1F">
        <w:tc>
          <w:tcPr>
            <w:tcW w:w="526" w:type="pct"/>
            <w:vMerge/>
          </w:tcPr>
          <w:p w14:paraId="7B5A9CDC" w14:textId="77777777" w:rsidR="00224E46" w:rsidRPr="00236907" w:rsidRDefault="00224E46" w:rsidP="004B3315"/>
        </w:tc>
        <w:tc>
          <w:tcPr>
            <w:tcW w:w="355" w:type="pct"/>
          </w:tcPr>
          <w:p w14:paraId="72C53B9E" w14:textId="070C3BB1" w:rsidR="00224E46" w:rsidRPr="00236907" w:rsidRDefault="00224E46" w:rsidP="004B3315">
            <w:r w:rsidRPr="00236907">
              <w:t>10.2</w:t>
            </w:r>
          </w:p>
        </w:tc>
        <w:tc>
          <w:tcPr>
            <w:tcW w:w="611" w:type="pct"/>
          </w:tcPr>
          <w:p w14:paraId="138D0800" w14:textId="4C426587" w:rsidR="00224E46" w:rsidRPr="00236907" w:rsidRDefault="00224E46" w:rsidP="004B3315">
            <w:r w:rsidRPr="00236907">
              <w:t>Ministerial Guidelines, paragraph 264</w:t>
            </w:r>
          </w:p>
        </w:tc>
        <w:tc>
          <w:tcPr>
            <w:tcW w:w="1488" w:type="pct"/>
          </w:tcPr>
          <w:p w14:paraId="2478952F" w14:textId="7DFC08D7" w:rsidR="00224E46" w:rsidRPr="00236907" w:rsidRDefault="00224E46" w:rsidP="004B3315">
            <w:r w:rsidRPr="00236907">
              <w:t>Independent schools may struggle to find an internal reviewer who is “</w:t>
            </w:r>
            <w:r w:rsidRPr="00236907">
              <w:rPr>
                <w:lang w:val="en-US"/>
              </w:rPr>
              <w:t xml:space="preserve">unbiased and sufficiently independent of the original decision maker who made the order” where the members of the school board have a close working relationship with the </w:t>
            </w:r>
            <w:proofErr w:type="gramStart"/>
            <w:r w:rsidRPr="00236907">
              <w:rPr>
                <w:lang w:val="en-US"/>
              </w:rPr>
              <w:t>principal, and</w:t>
            </w:r>
            <w:proofErr w:type="gramEnd"/>
            <w:r w:rsidRPr="00236907">
              <w:rPr>
                <w:lang w:val="en-US"/>
              </w:rPr>
              <w:t xml:space="preserve"> could benefit from guidance on how to manage this situation.</w:t>
            </w:r>
          </w:p>
        </w:tc>
        <w:tc>
          <w:tcPr>
            <w:tcW w:w="1015" w:type="pct"/>
          </w:tcPr>
          <w:p w14:paraId="40F3CB2E" w14:textId="77777777" w:rsidR="00224E46" w:rsidRPr="00236907" w:rsidRDefault="00224E46" w:rsidP="00407F39">
            <w:r w:rsidRPr="00236907">
              <w:t>Ensures independent internal review in smaller independent schools.</w:t>
            </w:r>
          </w:p>
          <w:p w14:paraId="292F6A53" w14:textId="77777777" w:rsidR="00224E46" w:rsidRPr="00236907" w:rsidRDefault="00224E46" w:rsidP="004B3315"/>
        </w:tc>
        <w:tc>
          <w:tcPr>
            <w:tcW w:w="1004" w:type="pct"/>
          </w:tcPr>
          <w:p w14:paraId="19B85161" w14:textId="11B8DEB8" w:rsidR="00224E46" w:rsidRPr="00236907" w:rsidRDefault="00224E46" w:rsidP="00407F39">
            <w:r w:rsidRPr="00236907">
              <w:t>The risks associated with this recommendation are in our view low. It involves clarifying the Department’s policy.</w:t>
            </w:r>
          </w:p>
        </w:tc>
      </w:tr>
      <w:tr w:rsidR="00224E46" w:rsidRPr="00236907" w14:paraId="16738115" w14:textId="4F16C729" w:rsidTr="00C95A1F">
        <w:tc>
          <w:tcPr>
            <w:tcW w:w="526" w:type="pct"/>
            <w:vMerge/>
          </w:tcPr>
          <w:p w14:paraId="4400D088" w14:textId="77777777" w:rsidR="00224E46" w:rsidRPr="00236907" w:rsidRDefault="00224E46" w:rsidP="004B3315"/>
        </w:tc>
        <w:tc>
          <w:tcPr>
            <w:tcW w:w="355" w:type="pct"/>
          </w:tcPr>
          <w:p w14:paraId="3D70D89A" w14:textId="76700F1D" w:rsidR="00224E46" w:rsidRPr="00236907" w:rsidRDefault="00224E46" w:rsidP="004B3315">
            <w:r w:rsidRPr="00236907">
              <w:t>10.3</w:t>
            </w:r>
          </w:p>
        </w:tc>
        <w:tc>
          <w:tcPr>
            <w:tcW w:w="611" w:type="pct"/>
          </w:tcPr>
          <w:p w14:paraId="2D327136" w14:textId="55826870" w:rsidR="00224E46" w:rsidRPr="00236907" w:rsidRDefault="00224E46" w:rsidP="004B3315">
            <w:r w:rsidRPr="00236907">
              <w:t>N/A</w:t>
            </w:r>
          </w:p>
        </w:tc>
        <w:tc>
          <w:tcPr>
            <w:tcW w:w="1488" w:type="pct"/>
          </w:tcPr>
          <w:p w14:paraId="032DFDF0" w14:textId="24008334" w:rsidR="00224E46" w:rsidRPr="00236907" w:rsidRDefault="00224E46" w:rsidP="004B3315">
            <w:r w:rsidRPr="00236907">
              <w:t>The Department should consider expanding delegations, provided that any reviewer (e.g., a regional director) is not materially involved in the original decision and is demonstrably independent. Reviewers must be able to exercise discretion free from actual or perceived conflict of interest, in accordance with public law principles. For example, individual campus principals of multi-campus schools could issue ongoing orders, and regional directors could review orders issued by principals.</w:t>
            </w:r>
          </w:p>
        </w:tc>
        <w:tc>
          <w:tcPr>
            <w:tcW w:w="1015" w:type="pct"/>
          </w:tcPr>
          <w:p w14:paraId="6515B12F" w14:textId="77777777" w:rsidR="00224E46" w:rsidRPr="00236907" w:rsidRDefault="00224E46" w:rsidP="00407F39">
            <w:r w:rsidRPr="00236907">
              <w:t>Expanding delegation could improve access to the Scheme.</w:t>
            </w:r>
          </w:p>
          <w:p w14:paraId="1FE8B5A4" w14:textId="77777777" w:rsidR="00224E46" w:rsidRPr="00236907" w:rsidRDefault="00224E46" w:rsidP="004B3315"/>
        </w:tc>
        <w:tc>
          <w:tcPr>
            <w:tcW w:w="1004" w:type="pct"/>
          </w:tcPr>
          <w:p w14:paraId="37E35054" w14:textId="00ECC13A" w:rsidR="00224E46" w:rsidRPr="00236907" w:rsidRDefault="00224E46" w:rsidP="00407F39">
            <w:r w:rsidRPr="00236907">
              <w:t>There is some risk associated with this recommendation, as expanding the number of individuals empowered to review orders increases the risk that reviewers will not be objective. For example, a regional director may have been closely involved in making the original order. Authorised reviewers would need to exercise some discretion to ensure objectivity (e.g.</w:t>
            </w:r>
            <w:r>
              <w:t>,</w:t>
            </w:r>
            <w:r w:rsidRPr="00236907">
              <w:t xml:space="preserve"> referring a case to another reviewer). </w:t>
            </w:r>
          </w:p>
        </w:tc>
      </w:tr>
      <w:tr w:rsidR="00224E46" w:rsidRPr="00236907" w14:paraId="250F28F9" w14:textId="268D7797" w:rsidTr="00C95A1F">
        <w:tc>
          <w:tcPr>
            <w:tcW w:w="526" w:type="pct"/>
            <w:vMerge/>
          </w:tcPr>
          <w:p w14:paraId="309B968F" w14:textId="77777777" w:rsidR="00224E46" w:rsidRPr="00236907" w:rsidRDefault="00224E46" w:rsidP="004B3315"/>
        </w:tc>
        <w:tc>
          <w:tcPr>
            <w:tcW w:w="355" w:type="pct"/>
          </w:tcPr>
          <w:p w14:paraId="5C19E64C" w14:textId="537E554F" w:rsidR="00224E46" w:rsidRPr="00236907" w:rsidRDefault="00224E46" w:rsidP="004B3315">
            <w:r w:rsidRPr="00236907">
              <w:t>10.4</w:t>
            </w:r>
          </w:p>
        </w:tc>
        <w:tc>
          <w:tcPr>
            <w:tcW w:w="611" w:type="pct"/>
          </w:tcPr>
          <w:p w14:paraId="68A4DAA8" w14:textId="4A869152" w:rsidR="00224E46" w:rsidRPr="00236907" w:rsidRDefault="00224E46" w:rsidP="004B3315">
            <w:r w:rsidRPr="00236907">
              <w:t>N/A</w:t>
            </w:r>
          </w:p>
        </w:tc>
        <w:tc>
          <w:tcPr>
            <w:tcW w:w="1488" w:type="pct"/>
          </w:tcPr>
          <w:p w14:paraId="17655233" w14:textId="0FEECE91" w:rsidR="00224E46" w:rsidRPr="00236907" w:rsidRDefault="00224E46" w:rsidP="004B3315">
            <w:r w:rsidRPr="00236907">
              <w:t>Principals may find it easier to make an order if they could work through the evidence matrix or equivalent document in a meeting or Teams call with the Department rather than through back-and-forth emails.</w:t>
            </w:r>
          </w:p>
        </w:tc>
        <w:tc>
          <w:tcPr>
            <w:tcW w:w="1015" w:type="pct"/>
          </w:tcPr>
          <w:p w14:paraId="69156B11" w14:textId="77777777" w:rsidR="00224E46" w:rsidRPr="00236907" w:rsidRDefault="00224E46" w:rsidP="00407F39">
            <w:r w:rsidRPr="00236907">
              <w:t>Streamlining the decision-making process for principals.</w:t>
            </w:r>
          </w:p>
          <w:p w14:paraId="677D871E" w14:textId="77777777" w:rsidR="00224E46" w:rsidRPr="00236907" w:rsidRDefault="00224E46" w:rsidP="004B3315"/>
        </w:tc>
        <w:tc>
          <w:tcPr>
            <w:tcW w:w="1004" w:type="pct"/>
          </w:tcPr>
          <w:p w14:paraId="1C31A3DD" w14:textId="6F6962EF" w:rsidR="00224E46" w:rsidRPr="00236907" w:rsidRDefault="00224E46" w:rsidP="00407F39">
            <w:r w:rsidRPr="00236907">
              <w:t xml:space="preserve">The risks associated with this recommendation are in our view low. It is aimed at achieving administrative efficiency. </w:t>
            </w:r>
          </w:p>
        </w:tc>
      </w:tr>
      <w:bookmarkEnd w:id="2"/>
    </w:tbl>
    <w:p w14:paraId="79F92188" w14:textId="4A4DD9E9" w:rsidR="0096646E" w:rsidRPr="00236907" w:rsidRDefault="0096646E" w:rsidP="0096646E">
      <w:pPr>
        <w:pStyle w:val="Bullet10"/>
        <w:numPr>
          <w:ilvl w:val="0"/>
          <w:numId w:val="0"/>
        </w:numPr>
      </w:pPr>
    </w:p>
    <w:p w14:paraId="7068AE35" w14:textId="77777777" w:rsidR="000073E0" w:rsidRPr="00236907" w:rsidRDefault="000073E0" w:rsidP="00C76A92">
      <w:pPr>
        <w:pStyle w:val="Heading1"/>
      </w:pPr>
      <w:r w:rsidRPr="00236907">
        <w:br w:type="page"/>
      </w:r>
    </w:p>
    <w:p w14:paraId="7AF0214F" w14:textId="77777777" w:rsidR="000073E0" w:rsidRPr="00236907" w:rsidRDefault="000073E0" w:rsidP="00C76A92">
      <w:pPr>
        <w:pStyle w:val="Heading1"/>
        <w:sectPr w:rsidR="000073E0" w:rsidRPr="00236907" w:rsidSect="00877597">
          <w:pgSz w:w="16838" w:h="11906" w:orient="landscape" w:code="9"/>
          <w:pgMar w:top="1418" w:right="1701" w:bottom="1418" w:left="1418" w:header="567" w:footer="567" w:gutter="0"/>
          <w:cols w:space="708"/>
          <w:titlePg/>
          <w:docGrid w:linePitch="360"/>
        </w:sectPr>
      </w:pPr>
    </w:p>
    <w:p w14:paraId="5C7A60D4" w14:textId="2123AB20" w:rsidR="00C76A92" w:rsidRPr="00236907" w:rsidRDefault="001F5356" w:rsidP="003B7366">
      <w:pPr>
        <w:pStyle w:val="Heading1"/>
        <w:numPr>
          <w:ilvl w:val="0"/>
          <w:numId w:val="66"/>
        </w:numPr>
      </w:pPr>
      <w:bookmarkStart w:id="3" w:name="_Toc210053604"/>
      <w:r w:rsidRPr="00236907">
        <w:lastRenderedPageBreak/>
        <w:t>Introduction</w:t>
      </w:r>
      <w:bookmarkEnd w:id="3"/>
    </w:p>
    <w:p w14:paraId="62932616" w14:textId="5B5193B2" w:rsidR="00257F77" w:rsidRPr="00236907" w:rsidRDefault="00DC5715" w:rsidP="00257F77">
      <w:pPr>
        <w:pStyle w:val="Heading2"/>
      </w:pPr>
      <w:bookmarkStart w:id="4" w:name="_Toc210053605"/>
      <w:r w:rsidRPr="00236907">
        <w:t>Background</w:t>
      </w:r>
      <w:bookmarkEnd w:id="4"/>
    </w:p>
    <w:p w14:paraId="03BBA579" w14:textId="3ED9E9AE" w:rsidR="00801BD6" w:rsidRPr="00236907" w:rsidRDefault="00383EFF" w:rsidP="00801BD6">
      <w:pPr>
        <w:pStyle w:val="BodyIndent1"/>
      </w:pPr>
      <w:r w:rsidRPr="00236907">
        <w:t xml:space="preserve">Teachers </w:t>
      </w:r>
      <w:r w:rsidR="00607B08" w:rsidRPr="00236907">
        <w:t>are at significant risk of violence and aggression in the workplace.</w:t>
      </w:r>
      <w:r w:rsidR="00D525AF" w:rsidRPr="00236907">
        <w:t xml:space="preserve"> </w:t>
      </w:r>
      <w:r w:rsidR="00312E06" w:rsidRPr="00236907">
        <w:t xml:space="preserve">Of the 5,497 Australian teachers who responded to the </w:t>
      </w:r>
      <w:r w:rsidR="00D525AF" w:rsidRPr="00236907">
        <w:t>2022 Monash University Teachers’ Perception of their Work Survey</w:t>
      </w:r>
      <w:r w:rsidR="009E396C" w:rsidRPr="00236907">
        <w:t xml:space="preserve">, </w:t>
      </w:r>
      <w:r w:rsidR="00422264" w:rsidRPr="00236907">
        <w:t>24.5%</w:t>
      </w:r>
      <w:r w:rsidR="009E396C" w:rsidRPr="00236907">
        <w:t xml:space="preserve"> reported feeling unsafe at work</w:t>
      </w:r>
      <w:r w:rsidR="00F5243E" w:rsidRPr="00236907">
        <w:t>, up from 18.9% in the 2019 survey</w:t>
      </w:r>
      <w:r w:rsidR="001534C3" w:rsidRPr="00236907">
        <w:t>.</w:t>
      </w:r>
      <w:r w:rsidR="00D00CE7" w:rsidRPr="00236907">
        <w:rPr>
          <w:rStyle w:val="FootnoteReference"/>
        </w:rPr>
        <w:footnoteReference w:id="3"/>
      </w:r>
      <w:r w:rsidR="00D00CE7" w:rsidRPr="00236907">
        <w:t xml:space="preserve"> Parent</w:t>
      </w:r>
      <w:r w:rsidR="00140FD5">
        <w:t>al behaviour was identified as a contributing factor, with the survey noting that</w:t>
      </w:r>
      <w:r w:rsidR="00D42631" w:rsidRPr="00236907">
        <w:t xml:space="preserve"> “i</w:t>
      </w:r>
      <w:r w:rsidR="003C2F41" w:rsidRPr="00236907">
        <w:t xml:space="preserve">ssues that related to parents and families were noted in approximately a quarter of the comments, with these teachers mentioning issues including </w:t>
      </w:r>
      <w:r w:rsidR="00A458A7" w:rsidRPr="00236907">
        <w:t>‘</w:t>
      </w:r>
      <w:r w:rsidR="003C2F41" w:rsidRPr="00236907">
        <w:t>verbal abuse</w:t>
      </w:r>
      <w:r w:rsidR="00A458A7" w:rsidRPr="00236907">
        <w:t>’</w:t>
      </w:r>
      <w:r w:rsidR="003C2F41" w:rsidRPr="00236907">
        <w:t xml:space="preserve">, </w:t>
      </w:r>
      <w:r w:rsidR="00A458A7" w:rsidRPr="00236907">
        <w:t>‘</w:t>
      </w:r>
      <w:r w:rsidR="003C2F41" w:rsidRPr="00236907">
        <w:t>hostility</w:t>
      </w:r>
      <w:r w:rsidR="00A458A7" w:rsidRPr="00236907">
        <w:t>’</w:t>
      </w:r>
      <w:r w:rsidR="003C2F41" w:rsidRPr="00236907">
        <w:t xml:space="preserve">, </w:t>
      </w:r>
      <w:r w:rsidR="00A458A7" w:rsidRPr="00236907">
        <w:t>‘</w:t>
      </w:r>
      <w:r w:rsidR="003C2F41" w:rsidRPr="00236907">
        <w:t>threatening behaviour</w:t>
      </w:r>
      <w:r w:rsidR="00A458A7" w:rsidRPr="00236907">
        <w:t>’</w:t>
      </w:r>
      <w:r w:rsidR="003C2F41" w:rsidRPr="00236907">
        <w:t xml:space="preserve"> and </w:t>
      </w:r>
      <w:r w:rsidR="00A458A7" w:rsidRPr="00236907">
        <w:t>‘</w:t>
      </w:r>
      <w:r w:rsidR="003C2F41" w:rsidRPr="00236907">
        <w:t>aggression</w:t>
      </w:r>
      <w:r w:rsidR="00A458A7" w:rsidRPr="00236907">
        <w:t>’</w:t>
      </w:r>
      <w:r w:rsidR="003C2F41" w:rsidRPr="00236907">
        <w:t>”.</w:t>
      </w:r>
      <w:r w:rsidR="008B2331" w:rsidRPr="00236907">
        <w:t xml:space="preserve"> </w:t>
      </w:r>
    </w:p>
    <w:p w14:paraId="3B4B706D" w14:textId="2AB80EA4" w:rsidR="00D200D9" w:rsidRPr="00236907" w:rsidRDefault="00F56E04" w:rsidP="00A87501">
      <w:pPr>
        <w:pStyle w:val="BodyIndent1"/>
      </w:pPr>
      <w:r w:rsidRPr="00236907">
        <w:t xml:space="preserve">The SCSO </w:t>
      </w:r>
      <w:r w:rsidR="00487442" w:rsidRPr="00236907">
        <w:t>S</w:t>
      </w:r>
      <w:r w:rsidR="00047168" w:rsidRPr="00236907">
        <w:t xml:space="preserve">cheme is designed to protect </w:t>
      </w:r>
      <w:r w:rsidR="003A2FDA" w:rsidRPr="00236907">
        <w:t>school staff and other members of the school community from harmful, threatening, abusive or disruptive behaviour</w:t>
      </w:r>
      <w:r w:rsidR="004F222A" w:rsidRPr="00236907">
        <w:t xml:space="preserve"> by adults</w:t>
      </w:r>
      <w:r w:rsidR="00FD2B68" w:rsidRPr="00236907">
        <w:t xml:space="preserve"> who are not</w:t>
      </w:r>
      <w:r w:rsidR="00BD708D" w:rsidRPr="00236907">
        <w:t xml:space="preserve"> staff or</w:t>
      </w:r>
      <w:r w:rsidR="00FD2B68" w:rsidRPr="00236907">
        <w:t xml:space="preserve"> students at the school</w:t>
      </w:r>
      <w:r w:rsidR="003A2FDA" w:rsidRPr="00236907">
        <w:t>.</w:t>
      </w:r>
      <w:r w:rsidR="005F3B32" w:rsidRPr="00236907">
        <w:t xml:space="preserve"> </w:t>
      </w:r>
      <w:r w:rsidR="00A87501" w:rsidRPr="00236907">
        <w:t>Under the Scheme, an authorised person may create an order restricting an adult who is not a student or staff member from attending the school or a school-related place or</w:t>
      </w:r>
      <w:r w:rsidR="000B243D" w:rsidRPr="00236907">
        <w:t xml:space="preserve"> from</w:t>
      </w:r>
      <w:r w:rsidR="00A87501" w:rsidRPr="00236907">
        <w:t xml:space="preserve"> contacting school staff. </w:t>
      </w:r>
      <w:r w:rsidR="00DF4CE7" w:rsidRPr="00236907">
        <w:t>The Scheme</w:t>
      </w:r>
      <w:r w:rsidR="000154CE" w:rsidRPr="00236907">
        <w:t xml:space="preserve"> </w:t>
      </w:r>
      <w:r w:rsidR="00DF4CE7" w:rsidRPr="00236907">
        <w:t>was</w:t>
      </w:r>
      <w:r w:rsidR="000154CE" w:rsidRPr="00236907">
        <w:t xml:space="preserve"> established by Part 2.1A of the </w:t>
      </w:r>
      <w:r w:rsidR="00D200D9" w:rsidRPr="00236907">
        <w:rPr>
          <w:i/>
          <w:iCs/>
        </w:rPr>
        <w:t>Education and Training Reform Act 2006</w:t>
      </w:r>
      <w:r w:rsidR="000D3027" w:rsidRPr="00236907">
        <w:t xml:space="preserve"> (Vic)</w:t>
      </w:r>
      <w:r w:rsidR="00D200D9" w:rsidRPr="00236907">
        <w:t xml:space="preserve"> (</w:t>
      </w:r>
      <w:r w:rsidR="00D200D9" w:rsidRPr="00236907">
        <w:rPr>
          <w:b/>
          <w:bCs/>
        </w:rPr>
        <w:t>ETR Act</w:t>
      </w:r>
      <w:r w:rsidR="00D200D9" w:rsidRPr="00236907">
        <w:t>)</w:t>
      </w:r>
      <w:r w:rsidR="00587C4B" w:rsidRPr="00236907">
        <w:t xml:space="preserve">, </w:t>
      </w:r>
      <w:r w:rsidR="000B2637" w:rsidRPr="00236907">
        <w:t xml:space="preserve">which was introduced by the </w:t>
      </w:r>
      <w:r w:rsidR="000B2637" w:rsidRPr="00236907">
        <w:rPr>
          <w:i/>
          <w:iCs/>
        </w:rPr>
        <w:t>Education and Training Reform Amendment (Protection of School Communities) Act 2021</w:t>
      </w:r>
      <w:r w:rsidR="0014045E" w:rsidRPr="00236907">
        <w:t xml:space="preserve"> (Vic)</w:t>
      </w:r>
      <w:r w:rsidR="00DB3557" w:rsidRPr="00236907">
        <w:t>, and applies to all government and non-government schools in Victoria</w:t>
      </w:r>
      <w:r w:rsidR="000B2637" w:rsidRPr="00236907">
        <w:t>.</w:t>
      </w:r>
      <w:r w:rsidR="001501F5" w:rsidRPr="00236907">
        <w:t xml:space="preserve"> </w:t>
      </w:r>
      <w:r w:rsidR="00FF2A1C" w:rsidRPr="00236907">
        <w:t xml:space="preserve">In addition to the ETR Act, </w:t>
      </w:r>
      <w:r w:rsidR="002A0EB5" w:rsidRPr="00236907">
        <w:t>further provisions for the Scheme are found in:</w:t>
      </w:r>
    </w:p>
    <w:p w14:paraId="56E75914" w14:textId="2B045F58" w:rsidR="00487442" w:rsidRPr="00236907" w:rsidRDefault="00F02EF9" w:rsidP="008A071C">
      <w:pPr>
        <w:pStyle w:val="BodyIndent1"/>
        <w:numPr>
          <w:ilvl w:val="1"/>
          <w:numId w:val="21"/>
        </w:numPr>
        <w:ind w:left="1134" w:hanging="283"/>
      </w:pPr>
      <w:r>
        <w:t>t</w:t>
      </w:r>
      <w:r w:rsidR="002A0EB5" w:rsidRPr="00236907">
        <w:t xml:space="preserve">he </w:t>
      </w:r>
      <w:r w:rsidR="00487442" w:rsidRPr="00236907">
        <w:rPr>
          <w:i/>
          <w:iCs/>
        </w:rPr>
        <w:t xml:space="preserve">Education and Training Reform Regulations 2017 </w:t>
      </w:r>
      <w:r w:rsidR="00487442" w:rsidRPr="00236907">
        <w:t xml:space="preserve">(Vic) </w:t>
      </w:r>
      <w:r w:rsidR="002A0EB5" w:rsidRPr="00236907">
        <w:t>(</w:t>
      </w:r>
      <w:r w:rsidR="002A0EB5" w:rsidRPr="00236907">
        <w:rPr>
          <w:b/>
          <w:bCs/>
        </w:rPr>
        <w:t>ETR Regulations</w:t>
      </w:r>
      <w:r w:rsidR="002A0EB5" w:rsidRPr="00236907">
        <w:t>)</w:t>
      </w:r>
      <w:r w:rsidR="004C0910" w:rsidRPr="00236907">
        <w:t>; and</w:t>
      </w:r>
      <w:r w:rsidR="00487442" w:rsidRPr="00236907">
        <w:t xml:space="preserve"> </w:t>
      </w:r>
    </w:p>
    <w:p w14:paraId="5354AA09" w14:textId="2A804823" w:rsidR="003606B5" w:rsidRPr="00236907" w:rsidRDefault="003606B5" w:rsidP="008A071C">
      <w:pPr>
        <w:pStyle w:val="BodyIndent1"/>
        <w:numPr>
          <w:ilvl w:val="1"/>
          <w:numId w:val="21"/>
        </w:numPr>
        <w:ind w:left="1134" w:hanging="283"/>
      </w:pPr>
      <w:r w:rsidRPr="00236907">
        <w:t>School Community Safety Order Scheme Ministerial Guidelines (</w:t>
      </w:r>
      <w:r w:rsidRPr="00236907">
        <w:rPr>
          <w:b/>
          <w:bCs/>
        </w:rPr>
        <w:t>Ministerial Guidelines</w:t>
      </w:r>
      <w:r w:rsidRPr="00236907">
        <w:t>)</w:t>
      </w:r>
      <w:r w:rsidR="00165D81" w:rsidRPr="00236907">
        <w:t xml:space="preserve"> made under s </w:t>
      </w:r>
      <w:r w:rsidR="00733136" w:rsidRPr="00236907">
        <w:t>2.1A.37 of the ETR Act</w:t>
      </w:r>
      <w:r w:rsidR="00CA328C" w:rsidRPr="00236907">
        <w:t>.</w:t>
      </w:r>
      <w:r w:rsidR="00733136" w:rsidRPr="00236907">
        <w:t xml:space="preserve"> </w:t>
      </w:r>
    </w:p>
    <w:p w14:paraId="48DA747B" w14:textId="63497C13" w:rsidR="00AC017D" w:rsidRPr="00236907" w:rsidRDefault="00F732FB" w:rsidP="00C61BD4">
      <w:pPr>
        <w:pStyle w:val="BodyIndent1"/>
      </w:pPr>
      <w:r w:rsidRPr="00236907">
        <w:t xml:space="preserve">In developing the SCSO Scheme, the Government needed to balance </w:t>
      </w:r>
      <w:r w:rsidR="005A1872" w:rsidRPr="00236907">
        <w:t xml:space="preserve">a range of policy objectives. </w:t>
      </w:r>
      <w:r w:rsidR="00E27E47" w:rsidRPr="00236907">
        <w:t xml:space="preserve">On one hand, unreasonable, abusive or aggressive behaviour from parents and carers, while rare, </w:t>
      </w:r>
      <w:r w:rsidR="005318B2" w:rsidRPr="00236907">
        <w:t xml:space="preserve">can be extremely disruptive for schools, </w:t>
      </w:r>
      <w:r w:rsidR="0000392C" w:rsidRPr="00236907">
        <w:t xml:space="preserve">divert the time of </w:t>
      </w:r>
      <w:r w:rsidR="00DF2C94" w:rsidRPr="00236907">
        <w:t>teachers</w:t>
      </w:r>
      <w:r w:rsidR="0000392C" w:rsidRPr="00236907">
        <w:t xml:space="preserve"> away from teaching, and present a </w:t>
      </w:r>
      <w:r w:rsidR="005229B7" w:rsidRPr="00236907">
        <w:t xml:space="preserve">risk to the safety and wellbeing of school staff. </w:t>
      </w:r>
      <w:r w:rsidR="00FE5DDD" w:rsidRPr="00236907">
        <w:t>On the other</w:t>
      </w:r>
      <w:r w:rsidR="00F02EF9">
        <w:t xml:space="preserve"> hand</w:t>
      </w:r>
      <w:r w:rsidR="00FE5DDD" w:rsidRPr="00236907">
        <w:t xml:space="preserve">, </w:t>
      </w:r>
      <w:r w:rsidR="008A42FA" w:rsidRPr="00236907">
        <w:t>parents</w:t>
      </w:r>
      <w:r w:rsidR="00CC0618" w:rsidRPr="00236907">
        <w:t xml:space="preserve"> and guardians</w:t>
      </w:r>
      <w:r w:rsidR="008A42FA" w:rsidRPr="00236907">
        <w:t xml:space="preserve"> need to communicate</w:t>
      </w:r>
      <w:r w:rsidR="00CC0618" w:rsidRPr="00236907">
        <w:t xml:space="preserve"> with the school their child is attending</w:t>
      </w:r>
      <w:r w:rsidR="008A42FA" w:rsidRPr="00236907">
        <w:t xml:space="preserve">, </w:t>
      </w:r>
      <w:r w:rsidR="0070764F" w:rsidRPr="00236907">
        <w:t>some</w:t>
      </w:r>
      <w:r w:rsidR="00B612EC" w:rsidRPr="00236907">
        <w:t xml:space="preserve"> people who exhibit </w:t>
      </w:r>
      <w:r w:rsidR="0070764F" w:rsidRPr="00236907">
        <w:t xml:space="preserve">challenging behaviour </w:t>
      </w:r>
      <w:r w:rsidR="00B612EC" w:rsidRPr="00236907">
        <w:t>are vulnerable and have</w:t>
      </w:r>
      <w:r w:rsidR="0070764F" w:rsidRPr="00236907">
        <w:t xml:space="preserve"> complex needs, </w:t>
      </w:r>
      <w:r w:rsidR="009D1E26" w:rsidRPr="00236907">
        <w:t xml:space="preserve">and </w:t>
      </w:r>
      <w:r w:rsidR="00635E91" w:rsidRPr="00236907">
        <w:t>any restrictions on human rights need to be carefully considered and managed. In developing the Scheme, the Department received extensive feedback from a range of stakeholders on how to balance the</w:t>
      </w:r>
      <w:r w:rsidR="00D16259" w:rsidRPr="00236907">
        <w:t xml:space="preserve">se objectives. </w:t>
      </w:r>
      <w:r w:rsidR="009D1E26" w:rsidRPr="00236907">
        <w:t xml:space="preserve"> </w:t>
      </w:r>
      <w:r w:rsidR="005659AA" w:rsidRPr="00236907">
        <w:t xml:space="preserve"> </w:t>
      </w:r>
    </w:p>
    <w:p w14:paraId="0737CE8F" w14:textId="1153C048" w:rsidR="00C61BD4" w:rsidRPr="00236907" w:rsidRDefault="00C61BD4" w:rsidP="00C61BD4">
      <w:pPr>
        <w:pStyle w:val="BodyIndent1"/>
      </w:pPr>
      <w:r w:rsidRPr="00236907">
        <w:t xml:space="preserve">The </w:t>
      </w:r>
      <w:r w:rsidR="00043218" w:rsidRPr="00236907">
        <w:t>Scheme</w:t>
      </w:r>
      <w:r w:rsidRPr="00236907">
        <w:t xml:space="preserve"> commenced on 28 June 2022</w:t>
      </w:r>
      <w:r w:rsidR="00110B36" w:rsidRPr="00236907">
        <w:t xml:space="preserve">. </w:t>
      </w:r>
      <w:r w:rsidR="00A8541F" w:rsidRPr="00236907">
        <w:t>U</w:t>
      </w:r>
      <w:r w:rsidR="00B77136" w:rsidRPr="00236907">
        <w:t xml:space="preserve">nder </w:t>
      </w:r>
      <w:r w:rsidR="00B067F8" w:rsidRPr="00236907">
        <w:t xml:space="preserve">s 2.1A.44 of the ETR Act, </w:t>
      </w:r>
      <w:r w:rsidR="00A8541F" w:rsidRPr="00236907">
        <w:t xml:space="preserve">a review of the operation of the Scheme </w:t>
      </w:r>
      <w:r w:rsidR="00FD7405" w:rsidRPr="00236907">
        <w:t xml:space="preserve">must </w:t>
      </w:r>
      <w:r w:rsidR="00F47C3C" w:rsidRPr="00236907">
        <w:t>begin</w:t>
      </w:r>
      <w:r w:rsidR="00B03A12" w:rsidRPr="00236907">
        <w:t xml:space="preserve"> within two years</w:t>
      </w:r>
      <w:r w:rsidR="00F47C3C" w:rsidRPr="00236907">
        <w:t xml:space="preserve"> of </w:t>
      </w:r>
      <w:r w:rsidR="00AD72A9" w:rsidRPr="00236907">
        <w:t xml:space="preserve">the </w:t>
      </w:r>
      <w:proofErr w:type="gramStart"/>
      <w:r w:rsidR="00AD72A9" w:rsidRPr="00236907">
        <w:t xml:space="preserve">Scheme’s </w:t>
      </w:r>
      <w:r w:rsidR="00F47C3C" w:rsidRPr="00236907">
        <w:t xml:space="preserve"> commencement</w:t>
      </w:r>
      <w:proofErr w:type="gramEnd"/>
      <w:r w:rsidR="00F47C3C" w:rsidRPr="00236907">
        <w:t xml:space="preserve">. </w:t>
      </w:r>
      <w:r w:rsidR="005323A2" w:rsidRPr="00236907">
        <w:t xml:space="preserve">The Minister for Education formally commenced the review in April 2024. </w:t>
      </w:r>
      <w:r w:rsidR="00235D7E" w:rsidRPr="00236907">
        <w:t xml:space="preserve"> </w:t>
      </w:r>
      <w:r w:rsidR="00B03A12" w:rsidRPr="00236907">
        <w:t xml:space="preserve"> </w:t>
      </w:r>
      <w:r w:rsidR="00B469B3" w:rsidRPr="00236907">
        <w:t xml:space="preserve"> </w:t>
      </w:r>
    </w:p>
    <w:p w14:paraId="07079A8F" w14:textId="4F0A9CD0" w:rsidR="00D8077D" w:rsidRPr="00236907" w:rsidRDefault="00D06269" w:rsidP="00C61BD4">
      <w:pPr>
        <w:pStyle w:val="BodyIndent1"/>
      </w:pPr>
      <w:r w:rsidRPr="00236907">
        <w:t xml:space="preserve">The Scheme was developed </w:t>
      </w:r>
      <w:r w:rsidR="002074B1" w:rsidRPr="00236907">
        <w:t xml:space="preserve">over 2020 and 2021, during which the </w:t>
      </w:r>
      <w:r w:rsidR="00890049" w:rsidRPr="00236907">
        <w:t xml:space="preserve">Victorian </w:t>
      </w:r>
      <w:r w:rsidR="002074B1" w:rsidRPr="00236907">
        <w:t xml:space="preserve">education system </w:t>
      </w:r>
      <w:r w:rsidR="00FA37F3" w:rsidRPr="00236907">
        <w:t xml:space="preserve">was undergoing </w:t>
      </w:r>
      <w:r w:rsidR="00890049" w:rsidRPr="00236907">
        <w:t xml:space="preserve">significant </w:t>
      </w:r>
      <w:r w:rsidR="00FA37F3" w:rsidRPr="00236907">
        <w:t>changes to</w:t>
      </w:r>
      <w:r w:rsidR="00890049" w:rsidRPr="00236907">
        <w:t xml:space="preserve"> </w:t>
      </w:r>
      <w:r w:rsidR="00913C9A" w:rsidRPr="00236907">
        <w:t>accommodate</w:t>
      </w:r>
      <w:r w:rsidR="00FA37F3" w:rsidRPr="00236907">
        <w:t xml:space="preserve"> remote learning during the COVID-19 pandemic. </w:t>
      </w:r>
      <w:r w:rsidR="00F06ED4" w:rsidRPr="00236907">
        <w:t xml:space="preserve">While Victorian students are back in the classroom, the school environment is different to the one </w:t>
      </w:r>
      <w:r w:rsidR="00890049" w:rsidRPr="00236907">
        <w:t xml:space="preserve">prior to </w:t>
      </w:r>
      <w:r w:rsidR="00F06ED4" w:rsidRPr="00236907">
        <w:t>which the Scheme was developed</w:t>
      </w:r>
      <w:r w:rsidR="007216AD" w:rsidRPr="00236907">
        <w:t xml:space="preserve">. </w:t>
      </w:r>
      <w:r w:rsidR="00DA7142" w:rsidRPr="00236907">
        <w:t xml:space="preserve">In undertaking this review, we have taken these changes into account when considering the Scheme and any potential </w:t>
      </w:r>
      <w:r w:rsidR="001B2D11" w:rsidRPr="00236907">
        <w:t xml:space="preserve">amendments. </w:t>
      </w:r>
    </w:p>
    <w:p w14:paraId="10594B71" w14:textId="77777777" w:rsidR="000F21A8" w:rsidRDefault="000F21A8">
      <w:pPr>
        <w:rPr>
          <w:b/>
        </w:rPr>
      </w:pPr>
      <w:r>
        <w:br w:type="page"/>
      </w:r>
    </w:p>
    <w:p w14:paraId="3FD12313" w14:textId="6551DB5C" w:rsidR="00401C46" w:rsidRPr="00236907" w:rsidRDefault="00C71619" w:rsidP="00E0359B">
      <w:pPr>
        <w:pStyle w:val="Heading2"/>
      </w:pPr>
      <w:bookmarkStart w:id="5" w:name="_Toc210053606"/>
      <w:r w:rsidRPr="00236907">
        <w:lastRenderedPageBreak/>
        <w:t>Scope of Work</w:t>
      </w:r>
      <w:bookmarkEnd w:id="5"/>
    </w:p>
    <w:p w14:paraId="506D2BE2" w14:textId="7AB0642D" w:rsidR="007C62E2" w:rsidRPr="00236907" w:rsidRDefault="007C62E2" w:rsidP="007C62E2">
      <w:pPr>
        <w:pStyle w:val="BodyIndent1"/>
      </w:pPr>
      <w:r w:rsidRPr="00236907">
        <w:t>The Department</w:t>
      </w:r>
      <w:r w:rsidR="007175AC" w:rsidRPr="00236907">
        <w:t xml:space="preserve"> </w:t>
      </w:r>
      <w:r w:rsidRPr="00236907">
        <w:t xml:space="preserve">engaged Maddocks to undertake </w:t>
      </w:r>
      <w:r w:rsidR="007175AC" w:rsidRPr="00236907">
        <w:t>the</w:t>
      </w:r>
      <w:r w:rsidRPr="00236907">
        <w:t xml:space="preserve"> statutory review of the operation of Part 2.1A – Protection of </w:t>
      </w:r>
      <w:r w:rsidR="00913C9A" w:rsidRPr="00236907">
        <w:t>S</w:t>
      </w:r>
      <w:r w:rsidRPr="00236907">
        <w:t xml:space="preserve">chool </w:t>
      </w:r>
      <w:r w:rsidR="00913C9A" w:rsidRPr="00236907">
        <w:t>C</w:t>
      </w:r>
      <w:r w:rsidRPr="00236907">
        <w:t>ommunities under the</w:t>
      </w:r>
      <w:r w:rsidR="00D200D9" w:rsidRPr="00236907">
        <w:t xml:space="preserve"> ETR Act. </w:t>
      </w:r>
    </w:p>
    <w:p w14:paraId="3D8FAFCF" w14:textId="5E6EE774" w:rsidR="007C62E2" w:rsidRPr="00236907" w:rsidRDefault="007C62E2" w:rsidP="007C62E2">
      <w:pPr>
        <w:pStyle w:val="BodyIndent1"/>
      </w:pPr>
      <w:r w:rsidRPr="00236907">
        <w:t xml:space="preserve">The objective of the statutory review </w:t>
      </w:r>
      <w:r w:rsidR="00C61BD4" w:rsidRPr="00236907">
        <w:t>wa</w:t>
      </w:r>
      <w:r w:rsidRPr="00236907">
        <w:t>s to identify whether any legislative amendments are required to Part 2.1A of the ETR Act or to the Ministerial Guidelines to improve the operation of the Scheme.</w:t>
      </w:r>
    </w:p>
    <w:p w14:paraId="4C587748" w14:textId="379CDC56" w:rsidR="007C62E2" w:rsidRPr="00236907" w:rsidRDefault="007C62E2" w:rsidP="007C62E2">
      <w:pPr>
        <w:pStyle w:val="BodyIndent1"/>
      </w:pPr>
      <w:r w:rsidRPr="00236907">
        <w:t xml:space="preserve">The review </w:t>
      </w:r>
      <w:r w:rsidR="00A63DF3" w:rsidRPr="00236907">
        <w:t>considered</w:t>
      </w:r>
      <w:r w:rsidRPr="00236907">
        <w:t xml:space="preserve"> whether the scheme is meeting its intended purpose by examining the operation of Part 2.1A (including the Ministerial Guidelines) in Victorian government and non-government schools.</w:t>
      </w:r>
    </w:p>
    <w:p w14:paraId="6D011FC0" w14:textId="082ADB1A" w:rsidR="00974A75" w:rsidRPr="00236907" w:rsidRDefault="007C62E2" w:rsidP="007C62E2">
      <w:pPr>
        <w:pStyle w:val="BodyIndent1"/>
      </w:pPr>
      <w:r w:rsidRPr="00236907">
        <w:t xml:space="preserve">Refer to </w:t>
      </w:r>
      <w:r w:rsidR="00423CB7" w:rsidRPr="00236907">
        <w:rPr>
          <w:b/>
          <w:bCs/>
        </w:rPr>
        <w:fldChar w:fldCharType="begin"/>
      </w:r>
      <w:r w:rsidR="00423CB7" w:rsidRPr="00236907">
        <w:rPr>
          <w:b/>
          <w:bCs/>
        </w:rPr>
        <w:instrText xml:space="preserve"> REF _Ref174701910 \r \h </w:instrText>
      </w:r>
      <w:r w:rsidR="0075159E" w:rsidRPr="00236907">
        <w:rPr>
          <w:b/>
          <w:bCs/>
        </w:rPr>
        <w:instrText xml:space="preserve"> \* MERGEFORMAT </w:instrText>
      </w:r>
      <w:r w:rsidR="00423CB7" w:rsidRPr="00236907">
        <w:rPr>
          <w:b/>
          <w:bCs/>
        </w:rPr>
      </w:r>
      <w:r w:rsidR="00423CB7" w:rsidRPr="00236907">
        <w:rPr>
          <w:b/>
          <w:bCs/>
        </w:rPr>
        <w:fldChar w:fldCharType="separate"/>
      </w:r>
      <w:r w:rsidR="002A754C">
        <w:rPr>
          <w:b/>
          <w:bCs/>
        </w:rPr>
        <w:t>Schedule 1</w:t>
      </w:r>
      <w:r w:rsidR="00423CB7" w:rsidRPr="00236907">
        <w:rPr>
          <w:b/>
          <w:bCs/>
        </w:rPr>
        <w:fldChar w:fldCharType="end"/>
      </w:r>
      <w:r w:rsidRPr="00236907">
        <w:t xml:space="preserve"> for </w:t>
      </w:r>
      <w:r w:rsidR="009B1F6B" w:rsidRPr="00236907">
        <w:t>the detailed scope of work</w:t>
      </w:r>
      <w:r w:rsidRPr="00236907">
        <w:t xml:space="preserve">.           </w:t>
      </w:r>
    </w:p>
    <w:p w14:paraId="17CDA036" w14:textId="77777777" w:rsidR="00A455CF" w:rsidRPr="00236907" w:rsidRDefault="00A455CF" w:rsidP="00A455CF">
      <w:pPr>
        <w:pStyle w:val="Heading1"/>
      </w:pPr>
      <w:bookmarkStart w:id="6" w:name="_Toc210053607"/>
      <w:r w:rsidRPr="00236907">
        <w:t>Methodology</w:t>
      </w:r>
      <w:bookmarkEnd w:id="6"/>
    </w:p>
    <w:p w14:paraId="49823FB7" w14:textId="1524AB7F" w:rsidR="00A2023E" w:rsidRPr="00236907" w:rsidRDefault="00A2023E" w:rsidP="00BD4AE8">
      <w:pPr>
        <w:pStyle w:val="BodyIndent1"/>
      </w:pPr>
      <w:r w:rsidRPr="00236907">
        <w:t xml:space="preserve">In </w:t>
      </w:r>
      <w:r w:rsidR="002E5D2F" w:rsidRPr="00236907">
        <w:t xml:space="preserve">undertaking this </w:t>
      </w:r>
      <w:r w:rsidR="00D93294" w:rsidRPr="00236907">
        <w:t>r</w:t>
      </w:r>
      <w:r w:rsidR="002E5D2F" w:rsidRPr="00236907">
        <w:t>eview</w:t>
      </w:r>
      <w:r w:rsidR="00110AF1" w:rsidRPr="00236907">
        <w:t xml:space="preserve">, </w:t>
      </w:r>
      <w:r w:rsidR="002E5D2F" w:rsidRPr="00236907">
        <w:t xml:space="preserve">Maddocks </w:t>
      </w:r>
      <w:r w:rsidR="00110AF1" w:rsidRPr="00236907">
        <w:t>has:</w:t>
      </w:r>
    </w:p>
    <w:p w14:paraId="1B2DA1EC" w14:textId="1E1EBB91" w:rsidR="00842FD7" w:rsidRPr="00236907" w:rsidRDefault="00B9676A" w:rsidP="008A071C">
      <w:pPr>
        <w:pStyle w:val="Heading3"/>
        <w:numPr>
          <w:ilvl w:val="2"/>
          <w:numId w:val="31"/>
        </w:numPr>
      </w:pPr>
      <w:r w:rsidRPr="00236907">
        <w:t>h</w:t>
      </w:r>
      <w:r w:rsidR="00F30BA9" w:rsidRPr="00236907">
        <w:t xml:space="preserve">eld a preliminary meeting with Department stakeholders to finalise the scope, methodology and focus of the </w:t>
      </w:r>
      <w:proofErr w:type="gramStart"/>
      <w:r w:rsidR="00F30BA9" w:rsidRPr="00236907">
        <w:t>review;</w:t>
      </w:r>
      <w:proofErr w:type="gramEnd"/>
    </w:p>
    <w:p w14:paraId="48AC6234" w14:textId="003ED23E" w:rsidR="00E91FA6" w:rsidRPr="00236907" w:rsidRDefault="005B781C" w:rsidP="008A071C">
      <w:pPr>
        <w:pStyle w:val="Heading3"/>
        <w:numPr>
          <w:ilvl w:val="2"/>
          <w:numId w:val="31"/>
        </w:numPr>
      </w:pPr>
      <w:r w:rsidRPr="00236907">
        <w:t>r</w:t>
      </w:r>
      <w:r w:rsidR="00E91FA6" w:rsidRPr="00236907">
        <w:t>eviewed the</w:t>
      </w:r>
      <w:r w:rsidRPr="00236907">
        <w:t xml:space="preserve"> ETR Act, ETR Regulations, and Ministerial </w:t>
      </w:r>
      <w:proofErr w:type="gramStart"/>
      <w:r w:rsidRPr="00236907">
        <w:t>Guidelines;</w:t>
      </w:r>
      <w:proofErr w:type="gramEnd"/>
      <w:r w:rsidR="00E91FA6" w:rsidRPr="00236907">
        <w:t xml:space="preserve"> </w:t>
      </w:r>
    </w:p>
    <w:p w14:paraId="25F320D9" w14:textId="6E23F252" w:rsidR="00C137F6" w:rsidRPr="00236907" w:rsidRDefault="00D50CFA" w:rsidP="00176FE0">
      <w:pPr>
        <w:pStyle w:val="Heading3"/>
        <w:numPr>
          <w:ilvl w:val="2"/>
          <w:numId w:val="31"/>
        </w:numPr>
      </w:pPr>
      <w:r w:rsidRPr="00236907">
        <w:t>i</w:t>
      </w:r>
      <w:r w:rsidR="001C62B3" w:rsidRPr="00236907">
        <w:t>nterviewed</w:t>
      </w:r>
      <w:r w:rsidR="00A40464" w:rsidRPr="00236907">
        <w:t xml:space="preserve"> </w:t>
      </w:r>
      <w:r w:rsidR="00630960" w:rsidRPr="00236907">
        <w:t>stakeholders from the Department and from a range of organisations representing</w:t>
      </w:r>
      <w:r w:rsidR="005C43FE" w:rsidRPr="00236907">
        <w:t xml:space="preserve"> </w:t>
      </w:r>
      <w:r w:rsidR="006328ED" w:rsidRPr="00236907">
        <w:t>teachers and principals</w:t>
      </w:r>
      <w:r w:rsidR="00C4701D" w:rsidRPr="00236907">
        <w:t xml:space="preserve"> at government</w:t>
      </w:r>
      <w:r w:rsidR="006328ED" w:rsidRPr="00236907">
        <w:t>,</w:t>
      </w:r>
      <w:r w:rsidR="00630960" w:rsidRPr="00236907">
        <w:t xml:space="preserve"> independent </w:t>
      </w:r>
      <w:r w:rsidR="006328ED" w:rsidRPr="00236907">
        <w:t xml:space="preserve">and </w:t>
      </w:r>
      <w:r w:rsidR="00125A83" w:rsidRPr="00236907">
        <w:t>C</w:t>
      </w:r>
      <w:r w:rsidR="006328ED" w:rsidRPr="00236907">
        <w:t xml:space="preserve">atholic </w:t>
      </w:r>
      <w:r w:rsidR="00630960" w:rsidRPr="00236907">
        <w:t>schools, parents, and members of the community</w:t>
      </w:r>
      <w:r w:rsidR="00B910DE" w:rsidRPr="00236907">
        <w:t xml:space="preserve">. </w:t>
      </w:r>
      <w:r w:rsidR="00C137F6" w:rsidRPr="00236907">
        <w:t>These included:</w:t>
      </w:r>
    </w:p>
    <w:p w14:paraId="7C9BCEBB" w14:textId="2EC504E0" w:rsidR="00713AF0" w:rsidRPr="00236907" w:rsidRDefault="00713AF0" w:rsidP="00713AF0">
      <w:pPr>
        <w:pStyle w:val="Heading4"/>
      </w:pPr>
      <w:r w:rsidRPr="00236907">
        <w:t>school</w:t>
      </w:r>
      <w:r w:rsidRPr="00236907">
        <w:rPr>
          <w:iCs/>
        </w:rPr>
        <w:t xml:space="preserve"> principals </w:t>
      </w:r>
      <w:r>
        <w:rPr>
          <w:iCs/>
        </w:rPr>
        <w:t xml:space="preserve">who have used </w:t>
      </w:r>
      <w:r w:rsidRPr="00236907">
        <w:rPr>
          <w:iCs/>
        </w:rPr>
        <w:t xml:space="preserve">the </w:t>
      </w:r>
      <w:proofErr w:type="gramStart"/>
      <w:r w:rsidRPr="00236907">
        <w:rPr>
          <w:iCs/>
        </w:rPr>
        <w:t>Scheme;</w:t>
      </w:r>
      <w:proofErr w:type="gramEnd"/>
    </w:p>
    <w:p w14:paraId="24023642" w14:textId="7458C30F" w:rsidR="00555E7B" w:rsidRDefault="0069413A" w:rsidP="001618CA">
      <w:pPr>
        <w:pStyle w:val="Heading4"/>
      </w:pPr>
      <w:r>
        <w:t xml:space="preserve">Legal </w:t>
      </w:r>
      <w:proofErr w:type="gramStart"/>
      <w:r>
        <w:t>Division</w:t>
      </w:r>
      <w:r w:rsidR="00D642F7">
        <w:t>;</w:t>
      </w:r>
      <w:proofErr w:type="gramEnd"/>
    </w:p>
    <w:p w14:paraId="1A974065" w14:textId="67DF08F3" w:rsidR="0069413A" w:rsidRPr="00236907" w:rsidRDefault="0069413A" w:rsidP="001618CA">
      <w:pPr>
        <w:pStyle w:val="Heading4"/>
      </w:pPr>
      <w:r>
        <w:t>Employee Safety Wellbeing and Inclusion Division</w:t>
      </w:r>
      <w:r w:rsidR="00CB6F9E">
        <w:t xml:space="preserve"> (ESWID</w:t>
      </w:r>
      <w:proofErr w:type="gramStart"/>
      <w:r w:rsidR="00CB6F9E">
        <w:t>)</w:t>
      </w:r>
      <w:r w:rsidR="00D642F7">
        <w:t>;</w:t>
      </w:r>
      <w:proofErr w:type="gramEnd"/>
      <w:r>
        <w:t xml:space="preserve"> </w:t>
      </w:r>
    </w:p>
    <w:p w14:paraId="4AD32E0C" w14:textId="7414230E" w:rsidR="00232FBA" w:rsidRPr="00236907" w:rsidRDefault="00B9676A" w:rsidP="001618CA">
      <w:pPr>
        <w:pStyle w:val="Heading4"/>
      </w:pPr>
      <w:r w:rsidRPr="00236907">
        <w:t>s</w:t>
      </w:r>
      <w:r w:rsidR="7E91D077" w:rsidRPr="00236907">
        <w:t xml:space="preserve">enior </w:t>
      </w:r>
      <w:r w:rsidR="19FB499C" w:rsidRPr="00236907">
        <w:t>d</w:t>
      </w:r>
      <w:r w:rsidR="00232FBA" w:rsidRPr="00236907">
        <w:t>epartment</w:t>
      </w:r>
      <w:r w:rsidR="00232FBA" w:rsidRPr="00236907">
        <w:rPr>
          <w:iCs/>
        </w:rPr>
        <w:t xml:space="preserve"> staff responsible for </w:t>
      </w:r>
      <w:r w:rsidR="12BF21ED" w:rsidRPr="00236907">
        <w:t>deciding the outcome of</w:t>
      </w:r>
      <w:r w:rsidR="00232FBA" w:rsidRPr="00236907">
        <w:t xml:space="preserve"> </w:t>
      </w:r>
      <w:r w:rsidR="00232FBA" w:rsidRPr="00236907">
        <w:rPr>
          <w:iCs/>
        </w:rPr>
        <w:t xml:space="preserve">internal </w:t>
      </w:r>
      <w:proofErr w:type="gramStart"/>
      <w:r w:rsidR="00232FBA" w:rsidRPr="00236907">
        <w:rPr>
          <w:iCs/>
        </w:rPr>
        <w:t>reviews;</w:t>
      </w:r>
      <w:proofErr w:type="gramEnd"/>
    </w:p>
    <w:p w14:paraId="789772AA" w14:textId="4391C63F" w:rsidR="00232FBA" w:rsidRPr="00236907" w:rsidRDefault="00B9676A" w:rsidP="001618CA">
      <w:pPr>
        <w:pStyle w:val="Heading4"/>
      </w:pPr>
      <w:r w:rsidRPr="00236907">
        <w:t>r</w:t>
      </w:r>
      <w:r w:rsidR="00232FBA" w:rsidRPr="00236907">
        <w:t>epresentatives of Independent Schools Victoria (ISV) and the Victorian Catholic Education Authority (VC</w:t>
      </w:r>
      <w:r w:rsidR="00AB3BDC" w:rsidRPr="00236907">
        <w:t>E</w:t>
      </w:r>
      <w:r w:rsidR="00232FBA" w:rsidRPr="00236907">
        <w:t>A</w:t>
      </w:r>
      <w:proofErr w:type="gramStart"/>
      <w:r w:rsidR="00232FBA" w:rsidRPr="00236907">
        <w:t>);</w:t>
      </w:r>
      <w:proofErr w:type="gramEnd"/>
    </w:p>
    <w:p w14:paraId="1EE23C40" w14:textId="4A6F49F5" w:rsidR="000D6FE3" w:rsidRPr="00236907" w:rsidRDefault="00B9676A" w:rsidP="001618CA">
      <w:pPr>
        <w:pStyle w:val="Heading4"/>
      </w:pPr>
      <w:r w:rsidRPr="00236907">
        <w:t>r</w:t>
      </w:r>
      <w:r w:rsidR="00F95CF5" w:rsidRPr="00236907">
        <w:t xml:space="preserve">epresentatives of </w:t>
      </w:r>
      <w:r w:rsidR="00500FEA" w:rsidRPr="00236907">
        <w:t>professional associations</w:t>
      </w:r>
      <w:r w:rsidR="000D6FE3" w:rsidRPr="00236907">
        <w:t xml:space="preserve"> representing school teachers and principals</w:t>
      </w:r>
      <w:r w:rsidR="00500FEA" w:rsidRPr="00236907">
        <w:t xml:space="preserve"> -</w:t>
      </w:r>
      <w:r w:rsidR="000D6FE3" w:rsidRPr="00236907">
        <w:t xml:space="preserve"> Australian Education Union (AEU), </w:t>
      </w:r>
      <w:r w:rsidR="005A0444" w:rsidRPr="00236907">
        <w:t>Victorian Principals Association (VPA), Victorian Association of State Secondary Principals</w:t>
      </w:r>
      <w:r w:rsidR="00500FEA" w:rsidRPr="00236907">
        <w:t xml:space="preserve"> (VASSP)</w:t>
      </w:r>
      <w:r w:rsidR="00F95CF5" w:rsidRPr="00236907">
        <w:t>, and Australian Principals Federation</w:t>
      </w:r>
      <w:r w:rsidR="00AB3BDC" w:rsidRPr="00236907">
        <w:t xml:space="preserve"> (APF)</w:t>
      </w:r>
      <w:r w:rsidR="00F95CF5" w:rsidRPr="00236907">
        <w:t>; and</w:t>
      </w:r>
    </w:p>
    <w:p w14:paraId="1B72C4D8" w14:textId="2A752B80" w:rsidR="00F95CF5" w:rsidRPr="00236907" w:rsidRDefault="00B9676A" w:rsidP="001618CA">
      <w:pPr>
        <w:pStyle w:val="Heading4"/>
      </w:pPr>
      <w:r w:rsidRPr="00236907">
        <w:t>r</w:t>
      </w:r>
      <w:r w:rsidR="00F95CF5" w:rsidRPr="00236907">
        <w:t xml:space="preserve">epresentatives of Parents </w:t>
      </w:r>
      <w:proofErr w:type="gramStart"/>
      <w:r w:rsidR="00F95CF5" w:rsidRPr="00236907">
        <w:t>Victoria</w:t>
      </w:r>
      <w:r w:rsidR="008373F4" w:rsidRPr="00236907">
        <w:t>;</w:t>
      </w:r>
      <w:proofErr w:type="gramEnd"/>
    </w:p>
    <w:p w14:paraId="780B253F" w14:textId="59C8D2A5" w:rsidR="001C62B3" w:rsidRPr="00236907" w:rsidRDefault="00CF1C50" w:rsidP="001078B4">
      <w:pPr>
        <w:pStyle w:val="Heading3"/>
        <w:numPr>
          <w:ilvl w:val="0"/>
          <w:numId w:val="0"/>
        </w:numPr>
        <w:ind w:left="1211"/>
      </w:pPr>
      <w:r w:rsidRPr="00236907">
        <w:t>(</w:t>
      </w:r>
      <w:r w:rsidR="00B910DE" w:rsidRPr="00236907">
        <w:t>Interviewees are</w:t>
      </w:r>
      <w:r w:rsidR="001C62B3" w:rsidRPr="00236907">
        <w:t xml:space="preserve"> listed at </w:t>
      </w:r>
      <w:r w:rsidR="001C62B3" w:rsidRPr="00236907">
        <w:rPr>
          <w:b/>
        </w:rPr>
        <w:fldChar w:fldCharType="begin"/>
      </w:r>
      <w:r w:rsidR="001C62B3" w:rsidRPr="00236907">
        <w:rPr>
          <w:b/>
        </w:rPr>
        <w:instrText xml:space="preserve"> REF _Ref528597241 \r \h  \* MERGEFORMAT </w:instrText>
      </w:r>
      <w:r w:rsidR="001C62B3" w:rsidRPr="00236907">
        <w:rPr>
          <w:b/>
        </w:rPr>
      </w:r>
      <w:r w:rsidR="001C62B3" w:rsidRPr="00236907">
        <w:rPr>
          <w:b/>
        </w:rPr>
        <w:fldChar w:fldCharType="separate"/>
      </w:r>
      <w:r w:rsidR="002A754C">
        <w:rPr>
          <w:b/>
        </w:rPr>
        <w:t>Schedule 2</w:t>
      </w:r>
      <w:r w:rsidR="001C62B3" w:rsidRPr="00236907">
        <w:rPr>
          <w:b/>
        </w:rPr>
        <w:fldChar w:fldCharType="end"/>
      </w:r>
      <w:r w:rsidRPr="00236907">
        <w:rPr>
          <w:b/>
        </w:rPr>
        <w:t>)</w:t>
      </w:r>
    </w:p>
    <w:p w14:paraId="50B036A4" w14:textId="22FE7D86" w:rsidR="00C939FC" w:rsidRPr="00236907" w:rsidRDefault="001C62B3" w:rsidP="008A071C">
      <w:pPr>
        <w:pStyle w:val="Heading3"/>
        <w:numPr>
          <w:ilvl w:val="2"/>
          <w:numId w:val="31"/>
        </w:numPr>
      </w:pPr>
      <w:r w:rsidRPr="00236907">
        <w:t xml:space="preserve">reviewed the documentation provided by the </w:t>
      </w:r>
      <w:r w:rsidR="00682F2D" w:rsidRPr="00236907">
        <w:t>Department</w:t>
      </w:r>
      <w:r w:rsidR="00EB7D36" w:rsidRPr="00236907">
        <w:t>, in particular</w:t>
      </w:r>
      <w:r w:rsidR="00C939FC" w:rsidRPr="00236907">
        <w:t>:</w:t>
      </w:r>
    </w:p>
    <w:p w14:paraId="0E7549E6" w14:textId="2942AF84" w:rsidR="00110F79" w:rsidRPr="00236907" w:rsidRDefault="00140FD5" w:rsidP="008A071C">
      <w:pPr>
        <w:pStyle w:val="Heading3"/>
        <w:numPr>
          <w:ilvl w:val="3"/>
          <w:numId w:val="31"/>
        </w:numPr>
      </w:pPr>
      <w:r>
        <w:t>policy informing the original</w:t>
      </w:r>
      <w:r w:rsidR="00356355">
        <w:t xml:space="preserve"> </w:t>
      </w:r>
      <w:proofErr w:type="gramStart"/>
      <w:r w:rsidR="00356355">
        <w:t>bill</w:t>
      </w:r>
      <w:r w:rsidR="00430909" w:rsidRPr="00236907">
        <w:t>;</w:t>
      </w:r>
      <w:proofErr w:type="gramEnd"/>
    </w:p>
    <w:p w14:paraId="606EBBBB" w14:textId="5095AEA5" w:rsidR="00430909" w:rsidRPr="00236907" w:rsidRDefault="00430909" w:rsidP="008A071C">
      <w:pPr>
        <w:pStyle w:val="Heading3"/>
        <w:numPr>
          <w:ilvl w:val="3"/>
          <w:numId w:val="31"/>
        </w:numPr>
      </w:pPr>
      <w:r w:rsidRPr="00236907">
        <w:t xml:space="preserve">the outcomes of stakeholder consultation on the </w:t>
      </w:r>
      <w:r w:rsidR="00242758">
        <w:t xml:space="preserve">development of the </w:t>
      </w:r>
      <w:proofErr w:type="gramStart"/>
      <w:r w:rsidR="00242758">
        <w:t>Scheme</w:t>
      </w:r>
      <w:r w:rsidR="006C182B" w:rsidRPr="00236907">
        <w:t>;</w:t>
      </w:r>
      <w:proofErr w:type="gramEnd"/>
    </w:p>
    <w:p w14:paraId="1CB4F7CC" w14:textId="0C5059D0" w:rsidR="0086274C" w:rsidRPr="00236907" w:rsidRDefault="00331F7C" w:rsidP="008A071C">
      <w:pPr>
        <w:pStyle w:val="Heading3"/>
        <w:numPr>
          <w:ilvl w:val="3"/>
          <w:numId w:val="31"/>
        </w:numPr>
      </w:pPr>
      <w:r w:rsidRPr="00236907">
        <w:lastRenderedPageBreak/>
        <w:t xml:space="preserve">data from the EduSafe plus system on orders and internal </w:t>
      </w:r>
      <w:proofErr w:type="gramStart"/>
      <w:r w:rsidRPr="00236907">
        <w:t>reviews;</w:t>
      </w:r>
      <w:proofErr w:type="gramEnd"/>
    </w:p>
    <w:p w14:paraId="643EAEA2" w14:textId="44D8EC6F" w:rsidR="00331F7C" w:rsidRPr="00236907" w:rsidRDefault="00331F7C" w:rsidP="008A071C">
      <w:pPr>
        <w:pStyle w:val="Heading3"/>
        <w:numPr>
          <w:ilvl w:val="3"/>
          <w:numId w:val="31"/>
        </w:numPr>
      </w:pPr>
      <w:r w:rsidRPr="00236907">
        <w:t xml:space="preserve">data from the Australian principal occupational health and wellbeing survey 2023 relating to the use of the scheme and attitudes towards the </w:t>
      </w:r>
      <w:r w:rsidR="000C4F82" w:rsidRPr="00236907">
        <w:t>S</w:t>
      </w:r>
      <w:r w:rsidRPr="00236907">
        <w:t>cheme; and</w:t>
      </w:r>
    </w:p>
    <w:p w14:paraId="4B0E0AD9" w14:textId="39F034BB" w:rsidR="00331F7C" w:rsidRPr="00236907" w:rsidRDefault="00331F7C" w:rsidP="008A071C">
      <w:pPr>
        <w:pStyle w:val="Heading3"/>
        <w:numPr>
          <w:ilvl w:val="3"/>
          <w:numId w:val="31"/>
        </w:numPr>
      </w:pPr>
      <w:r w:rsidRPr="00236907">
        <w:t xml:space="preserve">the 2022/23 and 2023/24 annual reports on the operation of the </w:t>
      </w:r>
      <w:proofErr w:type="gramStart"/>
      <w:r w:rsidRPr="00236907">
        <w:t>Scheme</w:t>
      </w:r>
      <w:r w:rsidR="008373F4" w:rsidRPr="00236907">
        <w:t>;</w:t>
      </w:r>
      <w:proofErr w:type="gramEnd"/>
    </w:p>
    <w:p w14:paraId="7454A9C6" w14:textId="7E7EEF1D" w:rsidR="00EB7D36" w:rsidRPr="00236907" w:rsidRDefault="00CF1C50" w:rsidP="00110F79">
      <w:pPr>
        <w:pStyle w:val="Heading3"/>
        <w:numPr>
          <w:ilvl w:val="0"/>
          <w:numId w:val="0"/>
        </w:numPr>
        <w:ind w:left="2061" w:hanging="850"/>
      </w:pPr>
      <w:r w:rsidRPr="00236907">
        <w:t>(</w:t>
      </w:r>
      <w:r w:rsidR="00B910DE" w:rsidRPr="00236907">
        <w:t xml:space="preserve">The </w:t>
      </w:r>
      <w:r w:rsidR="00C939FC" w:rsidRPr="00236907">
        <w:t xml:space="preserve">full </w:t>
      </w:r>
      <w:r w:rsidR="00B910DE" w:rsidRPr="00236907">
        <w:t xml:space="preserve">list of documents reviewed </w:t>
      </w:r>
      <w:r w:rsidR="007B39EA" w:rsidRPr="00236907">
        <w:t>is</w:t>
      </w:r>
      <w:r w:rsidR="00B910DE" w:rsidRPr="00236907">
        <w:t xml:space="preserve"> set out in </w:t>
      </w:r>
      <w:r w:rsidR="00B910DE" w:rsidRPr="00236907">
        <w:rPr>
          <w:b/>
        </w:rPr>
        <w:fldChar w:fldCharType="begin"/>
      </w:r>
      <w:r w:rsidR="00B910DE" w:rsidRPr="00236907">
        <w:rPr>
          <w:b/>
        </w:rPr>
        <w:instrText xml:space="preserve"> REF _Ref528597130 \r \h  \* MERGEFORMAT </w:instrText>
      </w:r>
      <w:r w:rsidR="00B910DE" w:rsidRPr="00236907">
        <w:rPr>
          <w:b/>
        </w:rPr>
      </w:r>
      <w:r w:rsidR="00B910DE" w:rsidRPr="00236907">
        <w:rPr>
          <w:b/>
        </w:rPr>
        <w:fldChar w:fldCharType="separate"/>
      </w:r>
      <w:r w:rsidR="002A754C">
        <w:rPr>
          <w:b/>
        </w:rPr>
        <w:t>Schedule 3</w:t>
      </w:r>
      <w:r w:rsidR="00B910DE" w:rsidRPr="00236907">
        <w:rPr>
          <w:b/>
        </w:rPr>
        <w:fldChar w:fldCharType="end"/>
      </w:r>
      <w:r w:rsidRPr="00236907">
        <w:t>)</w:t>
      </w:r>
    </w:p>
    <w:p w14:paraId="6364A823" w14:textId="21DEF02E" w:rsidR="008373F4" w:rsidRPr="00236907" w:rsidRDefault="008373F4" w:rsidP="008A071C">
      <w:pPr>
        <w:pStyle w:val="Heading3"/>
        <w:numPr>
          <w:ilvl w:val="2"/>
          <w:numId w:val="32"/>
        </w:numPr>
      </w:pPr>
      <w:r w:rsidRPr="00236907">
        <w:t xml:space="preserve">considered learnings from external review proceedings on foot at the time of </w:t>
      </w:r>
      <w:proofErr w:type="gramStart"/>
      <w:r w:rsidRPr="00236907">
        <w:t>drafting;</w:t>
      </w:r>
      <w:proofErr w:type="gramEnd"/>
      <w:r w:rsidRPr="00236907">
        <w:t xml:space="preserve"> </w:t>
      </w:r>
    </w:p>
    <w:p w14:paraId="4C16484B" w14:textId="65DEA505" w:rsidR="00492A62" w:rsidRPr="00236907" w:rsidRDefault="004E6081" w:rsidP="00B7399A">
      <w:pPr>
        <w:pStyle w:val="Heading3"/>
        <w:numPr>
          <w:ilvl w:val="2"/>
          <w:numId w:val="32"/>
        </w:numPr>
      </w:pPr>
      <w:r w:rsidRPr="00236907">
        <w:t>d</w:t>
      </w:r>
      <w:r w:rsidR="008E36FA" w:rsidRPr="00236907">
        <w:t xml:space="preserve">iscussed </w:t>
      </w:r>
      <w:r w:rsidR="6ACA75A1" w:rsidRPr="00236907">
        <w:t xml:space="preserve">emerging themes </w:t>
      </w:r>
      <w:r w:rsidR="007142CA" w:rsidRPr="00236907">
        <w:t>with Department stakeholders; and</w:t>
      </w:r>
    </w:p>
    <w:p w14:paraId="7D1F9687" w14:textId="697C5809" w:rsidR="007142CA" w:rsidRDefault="004E6081" w:rsidP="008A071C">
      <w:pPr>
        <w:pStyle w:val="Heading3"/>
        <w:numPr>
          <w:ilvl w:val="2"/>
          <w:numId w:val="32"/>
        </w:numPr>
      </w:pPr>
      <w:r w:rsidRPr="00236907">
        <w:t>p</w:t>
      </w:r>
      <w:r w:rsidR="007142CA" w:rsidRPr="00236907">
        <w:t>repared a draft report for review and consultation.</w:t>
      </w:r>
    </w:p>
    <w:p w14:paraId="2115CC17" w14:textId="4956B5D8" w:rsidR="00140FD5" w:rsidRPr="00236907" w:rsidRDefault="00140FD5" w:rsidP="00140FD5">
      <w:pPr>
        <w:pStyle w:val="Heading3"/>
        <w:numPr>
          <w:ilvl w:val="0"/>
          <w:numId w:val="0"/>
        </w:numPr>
        <w:ind w:left="851"/>
      </w:pPr>
      <w:r>
        <w:t>We note that stakeholder feedback</w:t>
      </w:r>
      <w:r w:rsidR="00242758">
        <w:t xml:space="preserve"> and individual names</w:t>
      </w:r>
      <w:r>
        <w:t xml:space="preserve"> </w:t>
      </w:r>
      <w:r w:rsidR="00242758">
        <w:t xml:space="preserve">of interviewees </w:t>
      </w:r>
      <w:r>
        <w:t>ha</w:t>
      </w:r>
      <w:r w:rsidR="00242758">
        <w:t>s</w:t>
      </w:r>
      <w:r>
        <w:t xml:space="preserve"> been anonymised in this report, and where possible, presented in aggregate to protect the privacy of participants. </w:t>
      </w:r>
    </w:p>
    <w:p w14:paraId="7F25AD9D" w14:textId="5C8B1419" w:rsidR="00BA7A23" w:rsidRPr="00236907" w:rsidRDefault="0030303C" w:rsidP="0010349A">
      <w:pPr>
        <w:pStyle w:val="Heading1"/>
      </w:pPr>
      <w:bookmarkStart w:id="7" w:name="_Toc210053608"/>
      <w:r w:rsidRPr="00236907">
        <w:t>The Scheme</w:t>
      </w:r>
      <w:bookmarkEnd w:id="7"/>
    </w:p>
    <w:p w14:paraId="1B0AABE8" w14:textId="3179AB41" w:rsidR="004E2914" w:rsidRPr="00236907" w:rsidRDefault="001206B9" w:rsidP="004E2914">
      <w:pPr>
        <w:pStyle w:val="Heading2"/>
      </w:pPr>
      <w:bookmarkStart w:id="8" w:name="_Toc210053609"/>
      <w:r w:rsidRPr="00236907">
        <w:t>Overview of the scheme</w:t>
      </w:r>
      <w:bookmarkEnd w:id="8"/>
    </w:p>
    <w:p w14:paraId="7D780B68" w14:textId="37FFDB91" w:rsidR="00FE1329" w:rsidRPr="00236907" w:rsidRDefault="00971DA4" w:rsidP="00FE1329">
      <w:pPr>
        <w:pStyle w:val="BodyIndent1"/>
      </w:pPr>
      <w:r w:rsidRPr="00236907">
        <w:t>The Scheme allow</w:t>
      </w:r>
      <w:r w:rsidR="00913C9A" w:rsidRPr="00236907">
        <w:t xml:space="preserve">s an </w:t>
      </w:r>
      <w:r w:rsidRPr="00236907">
        <w:t>authorised person</w:t>
      </w:r>
      <w:r w:rsidR="00913C9A" w:rsidRPr="00236907">
        <w:t xml:space="preserve"> </w:t>
      </w:r>
      <w:r w:rsidRPr="00236907">
        <w:t>to issue an order to prohibit or restrict a person from attending or approaching a school or a school-related place or from contacting or communicating with school staff.</w:t>
      </w:r>
      <w:r w:rsidR="00145D3F" w:rsidRPr="00236907">
        <w:t xml:space="preserve"> </w:t>
      </w:r>
      <w:r w:rsidR="00FE1329" w:rsidRPr="00236907">
        <w:t>Only an adult who is not a staff member or student at the school may be the subject of an order.</w:t>
      </w:r>
      <w:r w:rsidR="00FE1329" w:rsidRPr="00236907">
        <w:rPr>
          <w:rStyle w:val="FootnoteReference"/>
        </w:rPr>
        <w:footnoteReference w:id="4"/>
      </w:r>
      <w:r w:rsidR="00FE1329" w:rsidRPr="00236907">
        <w:t xml:space="preserve"> </w:t>
      </w:r>
    </w:p>
    <w:p w14:paraId="4D3F7A4A" w14:textId="296D96B8" w:rsidR="001206B9" w:rsidRPr="00236907" w:rsidRDefault="001206B9" w:rsidP="001206B9">
      <w:pPr>
        <w:pStyle w:val="BodyIndent1"/>
      </w:pPr>
      <w:r w:rsidRPr="00236907">
        <w:t>The Ministerial Guidelines explain the process for making an order in terms of good administrative decision-making. They describe the principles of procedural fairness,</w:t>
      </w:r>
      <w:r w:rsidR="00D92F95" w:rsidRPr="00236907">
        <w:t xml:space="preserve"> which must be afforded to people to be subject to an SCSO,</w:t>
      </w:r>
      <w:r w:rsidRPr="00236907">
        <w:t xml:space="preserve"> and the obligation on decision-makers to consider all relevant </w:t>
      </w:r>
      <w:r w:rsidR="008E5086" w:rsidRPr="00236907">
        <w:t xml:space="preserve">considerations </w:t>
      </w:r>
      <w:r w:rsidRPr="00236907">
        <w:t>and disregard irrelevant considerations.</w:t>
      </w:r>
      <w:r w:rsidRPr="00236907">
        <w:rPr>
          <w:rStyle w:val="FootnoteReference"/>
        </w:rPr>
        <w:footnoteReference w:id="5"/>
      </w:r>
      <w:r w:rsidRPr="00236907">
        <w:t xml:space="preserve">  </w:t>
      </w:r>
    </w:p>
    <w:p w14:paraId="4AA20B31" w14:textId="2D2B663D" w:rsidR="001206B9" w:rsidRPr="00236907" w:rsidRDefault="001206B9" w:rsidP="00580E75">
      <w:pPr>
        <w:pStyle w:val="Heading2"/>
      </w:pPr>
      <w:bookmarkStart w:id="9" w:name="_Toc210053610"/>
      <w:r w:rsidRPr="00236907">
        <w:t>Authorised persons</w:t>
      </w:r>
      <w:bookmarkEnd w:id="9"/>
    </w:p>
    <w:p w14:paraId="554A287C" w14:textId="6860A879" w:rsidR="000D0E4C" w:rsidRPr="00236907" w:rsidRDefault="00EE3F44" w:rsidP="00D42F62">
      <w:pPr>
        <w:pStyle w:val="BodyIndent1"/>
      </w:pPr>
      <w:r w:rsidRPr="00236907">
        <w:t xml:space="preserve">Authorised persons include school principals, the Secretary </w:t>
      </w:r>
      <w:r w:rsidR="00607CCE" w:rsidRPr="00236907">
        <w:t xml:space="preserve">of </w:t>
      </w:r>
      <w:r w:rsidRPr="00236907">
        <w:t>the Department (</w:t>
      </w:r>
      <w:r w:rsidRPr="00236907">
        <w:rPr>
          <w:b/>
          <w:bCs/>
        </w:rPr>
        <w:t>the</w:t>
      </w:r>
      <w:r w:rsidRPr="00236907">
        <w:t xml:space="preserve"> </w:t>
      </w:r>
      <w:r w:rsidRPr="00236907">
        <w:rPr>
          <w:b/>
          <w:bCs/>
        </w:rPr>
        <w:t>Secretary</w:t>
      </w:r>
      <w:r w:rsidRPr="00236907">
        <w:t xml:space="preserve">) for a government school, </w:t>
      </w:r>
      <w:r w:rsidR="002613C3" w:rsidRPr="00236907">
        <w:t xml:space="preserve">a person authorised by the Secretary, </w:t>
      </w:r>
      <w:r w:rsidRPr="00236907">
        <w:t>or the proprietor of a non-government school.</w:t>
      </w:r>
      <w:r w:rsidRPr="00236907">
        <w:rPr>
          <w:rStyle w:val="FootnoteReference"/>
        </w:rPr>
        <w:footnoteReference w:id="6"/>
      </w:r>
      <w:r w:rsidR="002613C3" w:rsidRPr="00236907">
        <w:t xml:space="preserve"> </w:t>
      </w:r>
      <w:r w:rsidR="007B5961" w:rsidRPr="00236907">
        <w:t xml:space="preserve">Under Instrument </w:t>
      </w:r>
      <w:r w:rsidR="006665F2" w:rsidRPr="00236907">
        <w:t xml:space="preserve">of </w:t>
      </w:r>
      <w:r w:rsidR="003043BA" w:rsidRPr="00236907">
        <w:t>A</w:t>
      </w:r>
      <w:r w:rsidR="006665F2" w:rsidRPr="00236907">
        <w:t xml:space="preserve">uthorisation No. 2024/A17, the Secretary </w:t>
      </w:r>
      <w:r w:rsidR="002613C3" w:rsidRPr="00236907">
        <w:t>has</w:t>
      </w:r>
      <w:r w:rsidR="000D0E4C" w:rsidRPr="00236907">
        <w:t xml:space="preserve"> authorised the following individuals to make orders:</w:t>
      </w:r>
    </w:p>
    <w:p w14:paraId="3C44FBE0" w14:textId="220A6927" w:rsidR="00910ABE" w:rsidRPr="00236907" w:rsidRDefault="00B9676A" w:rsidP="008A071C">
      <w:pPr>
        <w:pStyle w:val="BodyIndent1"/>
        <w:numPr>
          <w:ilvl w:val="0"/>
          <w:numId w:val="36"/>
        </w:numPr>
      </w:pPr>
      <w:r w:rsidRPr="00236907">
        <w:t>t</w:t>
      </w:r>
      <w:r w:rsidR="008627EC" w:rsidRPr="00236907">
        <w:t xml:space="preserve">he </w:t>
      </w:r>
      <w:r w:rsidR="000D0E4C" w:rsidRPr="00236907">
        <w:t xml:space="preserve">Deputy Secretary, Schools and Regional </w:t>
      </w:r>
      <w:proofErr w:type="gramStart"/>
      <w:r w:rsidR="000D0E4C" w:rsidRPr="00236907">
        <w:t>Services</w:t>
      </w:r>
      <w:r w:rsidR="00E358F3" w:rsidRPr="00236907">
        <w:t>;</w:t>
      </w:r>
      <w:proofErr w:type="gramEnd"/>
    </w:p>
    <w:p w14:paraId="581025ED" w14:textId="025399AD" w:rsidR="00910ABE" w:rsidRPr="00236907" w:rsidRDefault="00910ABE" w:rsidP="008A071C">
      <w:pPr>
        <w:pStyle w:val="BodyIndent1"/>
        <w:numPr>
          <w:ilvl w:val="0"/>
          <w:numId w:val="36"/>
        </w:numPr>
      </w:pPr>
      <w:r w:rsidRPr="00236907">
        <w:t xml:space="preserve">Regional </w:t>
      </w:r>
      <w:proofErr w:type="gramStart"/>
      <w:r w:rsidRPr="00236907">
        <w:t>directors</w:t>
      </w:r>
      <w:r w:rsidR="00E358F3" w:rsidRPr="00236907">
        <w:t>;</w:t>
      </w:r>
      <w:proofErr w:type="gramEnd"/>
    </w:p>
    <w:p w14:paraId="087C1017" w14:textId="0470CE9E" w:rsidR="008627EC" w:rsidRPr="00236907" w:rsidRDefault="00B9676A" w:rsidP="008A071C">
      <w:pPr>
        <w:pStyle w:val="BodyIndent1"/>
        <w:numPr>
          <w:ilvl w:val="0"/>
          <w:numId w:val="36"/>
        </w:numPr>
      </w:pPr>
      <w:r w:rsidRPr="00236907">
        <w:t>c</w:t>
      </w:r>
      <w:r w:rsidR="008627EC" w:rsidRPr="00236907">
        <w:t>ampus principals of multi-campus schools (immediate orders only</w:t>
      </w:r>
      <w:proofErr w:type="gramStart"/>
      <w:r w:rsidR="008627EC" w:rsidRPr="00236907">
        <w:t>)</w:t>
      </w:r>
      <w:r w:rsidR="00E358F3" w:rsidRPr="00236907">
        <w:t>;</w:t>
      </w:r>
      <w:proofErr w:type="gramEnd"/>
    </w:p>
    <w:p w14:paraId="3E8BCF7E" w14:textId="76B347E1" w:rsidR="008627EC" w:rsidRPr="00236907" w:rsidRDefault="00B9676A" w:rsidP="008A071C">
      <w:pPr>
        <w:pStyle w:val="BodyIndent1"/>
        <w:numPr>
          <w:ilvl w:val="0"/>
          <w:numId w:val="36"/>
        </w:numPr>
      </w:pPr>
      <w:r w:rsidRPr="00236907">
        <w:t>c</w:t>
      </w:r>
      <w:r w:rsidR="00CD3657" w:rsidRPr="00236907">
        <w:t xml:space="preserve">ertain senior employees for </w:t>
      </w:r>
      <w:r w:rsidR="00C45DD9" w:rsidRPr="00236907">
        <w:t>some</w:t>
      </w:r>
      <w:r w:rsidR="00CD3657" w:rsidRPr="00236907">
        <w:t xml:space="preserve"> Catholic </w:t>
      </w:r>
      <w:r w:rsidR="00FA7FEE" w:rsidRPr="00236907">
        <w:t>diocesan</w:t>
      </w:r>
      <w:r w:rsidR="008D1E64" w:rsidRPr="00236907">
        <w:t xml:space="preserve"> education corporation</w:t>
      </w:r>
      <w:r w:rsidR="00C45DD9" w:rsidRPr="00236907">
        <w:t>s</w:t>
      </w:r>
      <w:r w:rsidR="009124DF" w:rsidRPr="00236907">
        <w:t>; and</w:t>
      </w:r>
    </w:p>
    <w:p w14:paraId="5286A3BD" w14:textId="56D983B0" w:rsidR="00CD3657" w:rsidRPr="00236907" w:rsidRDefault="00B9676A" w:rsidP="008A071C">
      <w:pPr>
        <w:pStyle w:val="BodyIndent1"/>
        <w:numPr>
          <w:ilvl w:val="0"/>
          <w:numId w:val="36"/>
        </w:numPr>
      </w:pPr>
      <w:r w:rsidRPr="00236907">
        <w:t>h</w:t>
      </w:r>
      <w:r w:rsidR="0055441C" w:rsidRPr="00236907">
        <w:t xml:space="preserve">eads of campus for </w:t>
      </w:r>
      <w:r w:rsidR="007C7B9B" w:rsidRPr="00236907">
        <w:t>the</w:t>
      </w:r>
      <w:r w:rsidR="0055441C" w:rsidRPr="00236907">
        <w:t xml:space="preserve"> </w:t>
      </w:r>
      <w:r w:rsidR="007C7B9B" w:rsidRPr="00236907">
        <w:t>three</w:t>
      </w:r>
      <w:r w:rsidR="0055441C" w:rsidRPr="00236907">
        <w:t xml:space="preserve"> Wesley College campuses</w:t>
      </w:r>
      <w:r w:rsidR="00FC5C3C" w:rsidRPr="00236907">
        <w:t xml:space="preserve"> (immediate orders only)</w:t>
      </w:r>
      <w:r w:rsidR="00E358F3" w:rsidRPr="00236907">
        <w:t>.</w:t>
      </w:r>
    </w:p>
    <w:p w14:paraId="2E9B26E6" w14:textId="337EF263" w:rsidR="00506D4D" w:rsidRPr="00236907" w:rsidRDefault="00104AB0" w:rsidP="00D42F62">
      <w:pPr>
        <w:pStyle w:val="BodyIndent1"/>
      </w:pPr>
      <w:r w:rsidRPr="00236907">
        <w:lastRenderedPageBreak/>
        <w:t xml:space="preserve">In Instrument of Delegation 2024/D10, the Secretary delegated their powers to authorise a person to make an order to the Deputy Secretary, Schools and Regional Services. </w:t>
      </w:r>
    </w:p>
    <w:p w14:paraId="3A9A90B7" w14:textId="62402E80" w:rsidR="00CA35E7" w:rsidRPr="00236907" w:rsidRDefault="00CA35E7" w:rsidP="00CA35E7">
      <w:pPr>
        <w:pStyle w:val="Heading2"/>
      </w:pPr>
      <w:bookmarkStart w:id="10" w:name="_Toc210053611"/>
      <w:r w:rsidRPr="00236907">
        <w:t>Immediate and ongoing orders</w:t>
      </w:r>
      <w:bookmarkEnd w:id="10"/>
    </w:p>
    <w:p w14:paraId="4BA19B56" w14:textId="28258C05" w:rsidR="00EE3F44" w:rsidRPr="00236907" w:rsidRDefault="00EE3F44" w:rsidP="00506D4D">
      <w:pPr>
        <w:pStyle w:val="Numpara1"/>
        <w:numPr>
          <w:ilvl w:val="0"/>
          <w:numId w:val="0"/>
        </w:numPr>
        <w:ind w:left="851"/>
      </w:pPr>
      <w:r w:rsidRPr="00236907">
        <w:t xml:space="preserve">An authorised person may make one of two types of </w:t>
      </w:r>
      <w:r w:rsidR="00692730" w:rsidRPr="00236907">
        <w:t>SCSOs</w:t>
      </w:r>
      <w:r w:rsidRPr="00236907">
        <w:t xml:space="preserve">: </w:t>
      </w:r>
    </w:p>
    <w:p w14:paraId="11D111A1" w14:textId="4AA49469" w:rsidR="00EE3F44" w:rsidRPr="00236907" w:rsidRDefault="00EE3F44" w:rsidP="008A071C">
      <w:pPr>
        <w:pStyle w:val="Numpara1"/>
        <w:numPr>
          <w:ilvl w:val="0"/>
          <w:numId w:val="24"/>
        </w:numPr>
      </w:pPr>
      <w:r w:rsidRPr="00236907">
        <w:t>An immediate school community safety order (</w:t>
      </w:r>
      <w:r w:rsidRPr="00236907">
        <w:rPr>
          <w:b/>
          <w:bCs/>
        </w:rPr>
        <w:t>immediate order</w:t>
      </w:r>
      <w:r w:rsidRPr="00236907">
        <w:t>), where a person poses an “unacceptable and imminent risk of harm”.</w:t>
      </w:r>
      <w:r w:rsidR="00B77A03" w:rsidRPr="00236907">
        <w:rPr>
          <w:rStyle w:val="FootnoteReference"/>
        </w:rPr>
        <w:footnoteReference w:id="7"/>
      </w:r>
      <w:r w:rsidRPr="00236907">
        <w:t xml:space="preserve"> The order can be made for a maximum of 14 days, and the authorised person must review the order as soon as is practicable and either revoke it or make an ongoing order.</w:t>
      </w:r>
      <w:r w:rsidRPr="00236907">
        <w:rPr>
          <w:rStyle w:val="FootnoteReference"/>
        </w:rPr>
        <w:footnoteReference w:id="8"/>
      </w:r>
      <w:r w:rsidR="004B6062" w:rsidRPr="00236907">
        <w:t xml:space="preserve"> </w:t>
      </w:r>
    </w:p>
    <w:p w14:paraId="1C9E09BC" w14:textId="57446EB4" w:rsidR="00EE3F44" w:rsidRPr="00236907" w:rsidRDefault="00EE3F44" w:rsidP="008A071C">
      <w:pPr>
        <w:pStyle w:val="Numpara1"/>
        <w:numPr>
          <w:ilvl w:val="0"/>
          <w:numId w:val="24"/>
        </w:numPr>
      </w:pPr>
      <w:r w:rsidRPr="00236907">
        <w:t>An ongoing school community safety order (</w:t>
      </w:r>
      <w:r w:rsidRPr="00236907">
        <w:rPr>
          <w:b/>
          <w:bCs/>
        </w:rPr>
        <w:t>ongoing order</w:t>
      </w:r>
      <w:r w:rsidRPr="00236907">
        <w:t>), which is for a defined period of not more than 12 months.</w:t>
      </w:r>
      <w:r w:rsidRPr="00236907">
        <w:rPr>
          <w:rStyle w:val="FootnoteReference"/>
        </w:rPr>
        <w:footnoteReference w:id="9"/>
      </w:r>
      <w:r w:rsidRPr="00236907">
        <w:t xml:space="preserve"> The authorised person must notify the person that they intend to make the order and give them the opportunity to respond.</w:t>
      </w:r>
      <w:r w:rsidRPr="00236907">
        <w:rPr>
          <w:rStyle w:val="FootnoteReference"/>
        </w:rPr>
        <w:footnoteReference w:id="10"/>
      </w:r>
      <w:r w:rsidRPr="00236907">
        <w:t xml:space="preserve"> </w:t>
      </w:r>
      <w:r w:rsidR="00C86211" w:rsidRPr="00236907">
        <w:t>Ongoing orders may be made to address a wider range of behaviours than immediate orders, and may impose a wider range of restrictions on the person.</w:t>
      </w:r>
    </w:p>
    <w:p w14:paraId="55262043" w14:textId="0013D077" w:rsidR="004B6062" w:rsidRPr="00236907" w:rsidRDefault="00FE6DEE" w:rsidP="00755EE1">
      <w:pPr>
        <w:pStyle w:val="BodyIndent1"/>
      </w:pPr>
      <w:r w:rsidRPr="00236907">
        <w:t xml:space="preserve">The two types of orders allow the Scheme to meet two policy objectives. As </w:t>
      </w:r>
      <w:r w:rsidR="00DD06C9">
        <w:t xml:space="preserve">a </w:t>
      </w:r>
      <w:r w:rsidRPr="00236907">
        <w:t>princip</w:t>
      </w:r>
      <w:r w:rsidR="00692730" w:rsidRPr="00236907">
        <w:t>le</w:t>
      </w:r>
      <w:r w:rsidRPr="00236907">
        <w:t xml:space="preserve"> of administrative law, a person should be </w:t>
      </w:r>
      <w:r w:rsidR="00692730" w:rsidRPr="00236907">
        <w:t>put on notice and given an opportunity to be heard in relation to a decision that will adversely impact them.</w:t>
      </w:r>
      <w:r w:rsidR="00692730" w:rsidRPr="00236907" w:rsidDel="00692730">
        <w:t xml:space="preserve"> </w:t>
      </w:r>
      <w:r w:rsidRPr="00236907">
        <w:t xml:space="preserve">However, </w:t>
      </w:r>
      <w:r w:rsidR="00692730" w:rsidRPr="00236907">
        <w:t>circumstances may justify more responsive action</w:t>
      </w:r>
      <w:r w:rsidR="00A64465" w:rsidRPr="00236907">
        <w:t xml:space="preserve">. </w:t>
      </w:r>
      <w:r w:rsidR="005A31FC" w:rsidRPr="00236907">
        <w:t xml:space="preserve">As </w:t>
      </w:r>
      <w:r w:rsidR="004B0382" w:rsidRPr="00236907">
        <w:t xml:space="preserve">the Hon. Tim Pallas stated in the </w:t>
      </w:r>
      <w:r w:rsidR="00385899" w:rsidRPr="00236907">
        <w:t>second reading speech</w:t>
      </w:r>
      <w:r w:rsidR="0069159E" w:rsidRPr="00236907">
        <w:t xml:space="preserve"> for the Education and Training Reform Amendment (Protection of School Communities) Bill 2021</w:t>
      </w:r>
      <w:r w:rsidR="00385899" w:rsidRPr="00236907">
        <w:t>:</w:t>
      </w:r>
    </w:p>
    <w:p w14:paraId="1F83CC00" w14:textId="57193A33" w:rsidR="00385899" w:rsidRPr="00236907" w:rsidRDefault="00385899" w:rsidP="00385899">
      <w:pPr>
        <w:pStyle w:val="BodyIndent1"/>
        <w:ind w:left="1702"/>
        <w:rPr>
          <w:i/>
          <w:iCs/>
        </w:rPr>
      </w:pPr>
      <w:r w:rsidRPr="00236907">
        <w:rPr>
          <w:i/>
          <w:iCs/>
        </w:rPr>
        <w:t>The provisions for an Immediate School Community Safety Order allows schools to take swift and immediate action to remove a person from school grounds or places where school activities are taking place. For example, because the person is threatening harm towards a teacher, and where there may not be adequate time for the school to undertake the show cause and procedural fairness procedures required before a School Community Safety Order is issued.</w:t>
      </w:r>
      <w:r w:rsidR="00555E24" w:rsidRPr="00236907">
        <w:rPr>
          <w:rStyle w:val="FootnoteReference"/>
        </w:rPr>
        <w:footnoteReference w:id="11"/>
      </w:r>
    </w:p>
    <w:p w14:paraId="4522986D" w14:textId="7F7CC65A" w:rsidR="003F19FB" w:rsidRPr="00236907" w:rsidRDefault="00B2660F" w:rsidP="00F1004D">
      <w:pPr>
        <w:pStyle w:val="BodyIndent1"/>
      </w:pPr>
      <w:r w:rsidRPr="00236907">
        <w:t>The definition of “imminent</w:t>
      </w:r>
      <w:r w:rsidR="00E22120" w:rsidRPr="00236907">
        <w:t xml:space="preserve"> risk</w:t>
      </w:r>
      <w:r w:rsidRPr="00236907">
        <w:t>”</w:t>
      </w:r>
      <w:r w:rsidR="00692730" w:rsidRPr="00236907">
        <w:t xml:space="preserve"> for the purpose of an immediate order</w:t>
      </w:r>
      <w:r w:rsidR="00692730" w:rsidRPr="00236907" w:rsidDel="00692730">
        <w:t xml:space="preserve"> </w:t>
      </w:r>
      <w:r w:rsidRPr="00236907">
        <w:t>has been the subject of discussion with the Department.</w:t>
      </w:r>
      <w:r w:rsidR="00DD5914" w:rsidRPr="00236907">
        <w:t xml:space="preserve"> </w:t>
      </w:r>
      <w:r w:rsidR="00D038A1" w:rsidRPr="00236907">
        <w:t>S</w:t>
      </w:r>
      <w:r w:rsidR="00DD5914" w:rsidRPr="00236907">
        <w:t xml:space="preserve">chool principals and </w:t>
      </w:r>
      <w:r w:rsidR="00AF3EC1" w:rsidRPr="00236907">
        <w:t xml:space="preserve">the Department </w:t>
      </w:r>
      <w:r w:rsidR="00D038A1" w:rsidRPr="00236907">
        <w:t>initially</w:t>
      </w:r>
      <w:r w:rsidR="00AF3EC1" w:rsidRPr="00236907">
        <w:t xml:space="preserve"> took a broad view of when</w:t>
      </w:r>
      <w:r w:rsidR="00036E79" w:rsidRPr="00236907">
        <w:t xml:space="preserve"> the risk of</w:t>
      </w:r>
      <w:r w:rsidR="00AF3EC1" w:rsidRPr="00236907">
        <w:t xml:space="preserve"> harm was imminent</w:t>
      </w:r>
      <w:r w:rsidR="00692730" w:rsidRPr="00236907">
        <w:t>. I</w:t>
      </w:r>
      <w:r w:rsidR="00D038A1" w:rsidRPr="00236907">
        <w:t xml:space="preserve">n 2022-23, </w:t>
      </w:r>
      <w:r w:rsidR="00A21C6A" w:rsidRPr="00236907">
        <w:t>seven of the ten orders issued were immediate orders.</w:t>
      </w:r>
      <w:r w:rsidR="00FB3800" w:rsidRPr="00236907">
        <w:rPr>
          <w:rStyle w:val="FootnoteReference"/>
        </w:rPr>
        <w:footnoteReference w:id="12"/>
      </w:r>
      <w:r w:rsidR="00FB3800" w:rsidRPr="00236907">
        <w:t xml:space="preserve"> </w:t>
      </w:r>
    </w:p>
    <w:p w14:paraId="09ACF0F5" w14:textId="761BED46" w:rsidR="00B77A03" w:rsidRPr="00236907" w:rsidRDefault="00FE2F8E" w:rsidP="00F1004D">
      <w:pPr>
        <w:pStyle w:val="BodyIndent1"/>
      </w:pPr>
      <w:r>
        <w:t>In April 2023, the</w:t>
      </w:r>
      <w:r w:rsidR="00692730">
        <w:t xml:space="preserve"> </w:t>
      </w:r>
      <w:r w:rsidR="005321EC">
        <w:t>Department adjusted its policy, taking the position</w:t>
      </w:r>
      <w:r w:rsidR="00692730">
        <w:t xml:space="preserve"> </w:t>
      </w:r>
      <w:r w:rsidR="00F221FF">
        <w:t xml:space="preserve">that the risk of harm must be urgent, immediate, and capable of materialising at any moment. </w:t>
      </w:r>
      <w:r w:rsidR="00692730">
        <w:t>A</w:t>
      </w:r>
      <w:r w:rsidR="002C3666">
        <w:t xml:space="preserve">uthorised persons now only issue immediate orders in </w:t>
      </w:r>
      <w:r w:rsidR="0039784B">
        <w:t>limited</w:t>
      </w:r>
      <w:r w:rsidR="002C3666">
        <w:t xml:space="preserve"> circumstances. </w:t>
      </w:r>
      <w:r w:rsidR="00606726">
        <w:t xml:space="preserve">Of the orders issued in 2023-24, </w:t>
      </w:r>
      <w:r w:rsidR="00692730">
        <w:t>three</w:t>
      </w:r>
      <w:r w:rsidR="00606726">
        <w:t xml:space="preserve"> were immediate and </w:t>
      </w:r>
      <w:r w:rsidR="00606726" w:rsidRPr="00EE0830">
        <w:t>1</w:t>
      </w:r>
      <w:r w:rsidR="34FAE845" w:rsidRPr="00EE0830">
        <w:t>2</w:t>
      </w:r>
      <w:r w:rsidR="00606726" w:rsidRPr="00EE0830">
        <w:t xml:space="preserve"> were ongoing</w:t>
      </w:r>
      <w:r w:rsidR="0039784B">
        <w:t>.</w:t>
      </w:r>
      <w:r w:rsidR="00686A2D">
        <w:t xml:space="preserve"> While the change in the interpretation of “imminent risk” is unlikely to have been the only cause in the decline in the number of immediate orders issued, it appears to have been a significant factor. </w:t>
      </w:r>
    </w:p>
    <w:p w14:paraId="56D1895A" w14:textId="463C5DB9" w:rsidR="00BD2752" w:rsidRPr="00236907" w:rsidRDefault="00BD2752" w:rsidP="00973532">
      <w:pPr>
        <w:pStyle w:val="Heading2"/>
      </w:pPr>
      <w:bookmarkStart w:id="11" w:name="_Toc210053612"/>
      <w:r w:rsidRPr="00236907">
        <w:t>Grounds for making orders</w:t>
      </w:r>
      <w:bookmarkEnd w:id="11"/>
    </w:p>
    <w:p w14:paraId="5C99DCC3" w14:textId="1461CB90" w:rsidR="00C43EBB" w:rsidRPr="00236907" w:rsidRDefault="00947D9C" w:rsidP="00C05673">
      <w:pPr>
        <w:pStyle w:val="BodyIndent1"/>
      </w:pPr>
      <w:r w:rsidRPr="00236907">
        <w:t>An authorised person may make either an immediate or ongoing order if they reasonably believe that one or more grounds for making the order exist</w:t>
      </w:r>
      <w:r w:rsidR="00726C04" w:rsidRPr="00236907">
        <w:t>. The grounds are listed in s</w:t>
      </w:r>
      <w:r w:rsidR="003043BA" w:rsidRPr="00236907">
        <w:t> </w:t>
      </w:r>
      <w:r w:rsidR="00726C04" w:rsidRPr="00236907">
        <w:t>2.1A.5 (for immediate orders) and s 2.1A.17 (for ongoing orders)</w:t>
      </w:r>
      <w:r w:rsidRPr="00236907">
        <w:t xml:space="preserve">. </w:t>
      </w:r>
      <w:r w:rsidR="00FA5F60" w:rsidRPr="00236907">
        <w:t>The first three grounds are</w:t>
      </w:r>
      <w:r w:rsidR="00277066" w:rsidRPr="00236907">
        <w:t xml:space="preserve"> that the person poses an unacceptable risk of</w:t>
      </w:r>
      <w:r w:rsidR="00C43EBB" w:rsidRPr="00236907">
        <w:t>:</w:t>
      </w:r>
    </w:p>
    <w:p w14:paraId="510FEA5B" w14:textId="37676B38" w:rsidR="00E82661" w:rsidRPr="00236907" w:rsidRDefault="00277066" w:rsidP="00C05673">
      <w:pPr>
        <w:pStyle w:val="BodyIndent1"/>
        <w:numPr>
          <w:ilvl w:val="0"/>
          <w:numId w:val="25"/>
        </w:numPr>
        <w:ind w:left="1276"/>
      </w:pPr>
      <w:r w:rsidRPr="00236907">
        <w:lastRenderedPageBreak/>
        <w:t xml:space="preserve">harm </w:t>
      </w:r>
      <w:r w:rsidR="00BD7D84" w:rsidRPr="00236907">
        <w:t xml:space="preserve">to </w:t>
      </w:r>
      <w:r w:rsidR="00784DB9" w:rsidRPr="00236907">
        <w:t xml:space="preserve">members of the school community and </w:t>
      </w:r>
      <w:r w:rsidR="007622CA" w:rsidRPr="00236907">
        <w:t xml:space="preserve">other </w:t>
      </w:r>
      <w:r w:rsidR="00BD7D84" w:rsidRPr="00236907">
        <w:t xml:space="preserve">persons at </w:t>
      </w:r>
      <w:r w:rsidR="00367D9D" w:rsidRPr="00236907">
        <w:t xml:space="preserve">certain </w:t>
      </w:r>
      <w:r w:rsidR="00BD7D84" w:rsidRPr="00236907">
        <w:t xml:space="preserve">school-related </w:t>
      </w:r>
      <w:proofErr w:type="gramStart"/>
      <w:r w:rsidR="00BD7D84" w:rsidRPr="00236907">
        <w:t>places</w:t>
      </w:r>
      <w:r w:rsidR="00E82661" w:rsidRPr="00236907">
        <w:t>;</w:t>
      </w:r>
      <w:proofErr w:type="gramEnd"/>
    </w:p>
    <w:p w14:paraId="3D358F20" w14:textId="31FED07B" w:rsidR="00973532" w:rsidRPr="00236907" w:rsidRDefault="00EB6466" w:rsidP="00C05673">
      <w:pPr>
        <w:pStyle w:val="BodyIndent1"/>
        <w:numPr>
          <w:ilvl w:val="0"/>
          <w:numId w:val="25"/>
        </w:numPr>
        <w:ind w:left="1276"/>
      </w:pPr>
      <w:r w:rsidRPr="00236907">
        <w:t xml:space="preserve">causing </w:t>
      </w:r>
      <w:r w:rsidR="009D57A2" w:rsidRPr="00236907">
        <w:t xml:space="preserve">significant </w:t>
      </w:r>
      <w:r w:rsidR="00C43EBB" w:rsidRPr="00236907">
        <w:t xml:space="preserve">disruption to </w:t>
      </w:r>
      <w:r w:rsidR="009D57A2" w:rsidRPr="00236907">
        <w:t xml:space="preserve">the </w:t>
      </w:r>
      <w:r w:rsidR="00C43EBB" w:rsidRPr="00236907">
        <w:t xml:space="preserve">school </w:t>
      </w:r>
      <w:r w:rsidR="009D57A2" w:rsidRPr="00236907">
        <w:t xml:space="preserve">or </w:t>
      </w:r>
      <w:r w:rsidR="00C43EBB" w:rsidRPr="00236907">
        <w:t>school activities</w:t>
      </w:r>
      <w:r w:rsidR="001955DF" w:rsidRPr="00236907">
        <w:t>; or</w:t>
      </w:r>
    </w:p>
    <w:p w14:paraId="315E6FA0" w14:textId="1BC0A4BA" w:rsidR="001955DF" w:rsidRPr="00236907" w:rsidRDefault="00E143AF" w:rsidP="00C05673">
      <w:pPr>
        <w:pStyle w:val="BodyIndent1"/>
        <w:numPr>
          <w:ilvl w:val="0"/>
          <w:numId w:val="25"/>
        </w:numPr>
        <w:ind w:left="1276"/>
      </w:pPr>
      <w:r w:rsidRPr="00236907">
        <w:t>interfering with the wellbeing, safety or educational opportunities of students.</w:t>
      </w:r>
    </w:p>
    <w:p w14:paraId="0FCEB757" w14:textId="1959D758" w:rsidR="0092391A" w:rsidRPr="00236907" w:rsidRDefault="000F4428" w:rsidP="00C05673">
      <w:pPr>
        <w:pStyle w:val="BodyIndent1"/>
      </w:pPr>
      <w:r w:rsidRPr="00236907">
        <w:t>The ETR Act defines harm to mean “harm of any kind, including physical or mental harm</w:t>
      </w:r>
      <w:r w:rsidR="00B53CF4" w:rsidRPr="00236907">
        <w:t>”.</w:t>
      </w:r>
      <w:r w:rsidR="007055F5">
        <w:rPr>
          <w:rStyle w:val="FootnoteReference"/>
        </w:rPr>
        <w:footnoteReference w:id="13"/>
      </w:r>
      <w:r w:rsidR="006463F8" w:rsidRPr="00236907">
        <w:t xml:space="preserve"> </w:t>
      </w:r>
      <w:r w:rsidR="00657D4A" w:rsidRPr="00236907">
        <w:t xml:space="preserve">The grounds are the same for immediate and ongoing orders, </w:t>
      </w:r>
      <w:r w:rsidR="00EE0830">
        <w:t>except</w:t>
      </w:r>
      <w:r w:rsidR="00657D4A" w:rsidRPr="00236907">
        <w:t xml:space="preserve"> for immediate orders the risk must </w:t>
      </w:r>
      <w:r w:rsidR="00DD06C9">
        <w:t xml:space="preserve">be </w:t>
      </w:r>
      <w:r w:rsidR="00657D4A" w:rsidRPr="00236907">
        <w:t>imminent as well as unacceptable.</w:t>
      </w:r>
      <w:r w:rsidR="0092391A" w:rsidRPr="00236907">
        <w:t xml:space="preserve"> There are also two additional grounds which only apply to ongoing orders</w:t>
      </w:r>
      <w:r w:rsidR="009709A7" w:rsidRPr="00236907">
        <w:t>, being</w:t>
      </w:r>
      <w:r w:rsidR="0092391A" w:rsidRPr="00236907">
        <w:t xml:space="preserve"> that the person:</w:t>
      </w:r>
    </w:p>
    <w:p w14:paraId="4292521F" w14:textId="54E33921" w:rsidR="0092391A" w:rsidRPr="00236907" w:rsidRDefault="005D7D55" w:rsidP="00C05673">
      <w:pPr>
        <w:pStyle w:val="BodyIndent1"/>
        <w:numPr>
          <w:ilvl w:val="0"/>
          <w:numId w:val="25"/>
        </w:numPr>
        <w:ind w:left="1276"/>
      </w:pPr>
      <w:r w:rsidRPr="00236907">
        <w:t>has behaved and is likely to behave in a disorderly, offensive, intimidating or threatening manner to members of the school community at certain school-related places; or</w:t>
      </w:r>
    </w:p>
    <w:p w14:paraId="55BA3FCE" w14:textId="2F32CFC7" w:rsidR="005D7D55" w:rsidRPr="00236907" w:rsidRDefault="005D7D55" w:rsidP="00C05673">
      <w:pPr>
        <w:pStyle w:val="BodyIndent1"/>
        <w:numPr>
          <w:ilvl w:val="0"/>
          <w:numId w:val="25"/>
        </w:numPr>
        <w:ind w:left="1276"/>
      </w:pPr>
      <w:r w:rsidRPr="00236907">
        <w:t>has engaged in and is likely to engage in vexatious communications with, or regarding, a staff member at the relevant school.</w:t>
      </w:r>
    </w:p>
    <w:p w14:paraId="7ABA7E09" w14:textId="436CA686" w:rsidR="005D7D55" w:rsidRPr="00236907" w:rsidRDefault="00954A09" w:rsidP="00C05673">
      <w:pPr>
        <w:pStyle w:val="BodyIndent1"/>
      </w:pPr>
      <w:r w:rsidRPr="00236907">
        <w:t xml:space="preserve">These two grounds both use </w:t>
      </w:r>
      <w:r w:rsidR="00DD06C9">
        <w:t xml:space="preserve">the </w:t>
      </w:r>
      <w:r w:rsidRPr="00236907">
        <w:t xml:space="preserve">wording </w:t>
      </w:r>
      <w:r w:rsidR="00762615" w:rsidRPr="00236907">
        <w:t>“has…and is likely to”, meaning that the person must have engaged in the conduct in the past and given the authorised person reasonable grounds to believe that they will do so in future.</w:t>
      </w:r>
    </w:p>
    <w:p w14:paraId="7530EFA4" w14:textId="39203EE7" w:rsidR="001375A3" w:rsidRPr="00236907" w:rsidRDefault="00CD13E2" w:rsidP="00C05673">
      <w:pPr>
        <w:pStyle w:val="BodyIndent1"/>
      </w:pPr>
      <w:r w:rsidRPr="00236907">
        <w:t xml:space="preserve">Grounds (a) and (d) </w:t>
      </w:r>
      <w:r w:rsidR="009F2341" w:rsidRPr="00236907">
        <w:t xml:space="preserve">are flexible. </w:t>
      </w:r>
      <w:r w:rsidR="006115B8" w:rsidRPr="00236907">
        <w:t>The specific wording for each</w:t>
      </w:r>
      <w:r w:rsidR="00580D64" w:rsidRPr="00236907">
        <w:t xml:space="preserve"> </w:t>
      </w:r>
      <w:proofErr w:type="spellStart"/>
      <w:r w:rsidR="006115B8" w:rsidRPr="00236907">
        <w:t>in s</w:t>
      </w:r>
      <w:proofErr w:type="spellEnd"/>
      <w:r w:rsidR="006115B8" w:rsidRPr="00236907">
        <w:t xml:space="preserve"> 2.1A.17 of the Act</w:t>
      </w:r>
      <w:r w:rsidR="001D0781" w:rsidRPr="00236907">
        <w:t>, which lists the grounds for ongoing orders,</w:t>
      </w:r>
      <w:r w:rsidR="006115B8" w:rsidRPr="00236907">
        <w:t xml:space="preserve"> is</w:t>
      </w:r>
      <w:r w:rsidR="001375A3" w:rsidRPr="00236907">
        <w:t xml:space="preserve"> that the person:</w:t>
      </w:r>
    </w:p>
    <w:p w14:paraId="66C61603" w14:textId="41202F59" w:rsidR="004E44E8" w:rsidRPr="00236907" w:rsidRDefault="004E44E8" w:rsidP="00580D64">
      <w:pPr>
        <w:pStyle w:val="BodyIndent1"/>
        <w:ind w:left="1560" w:hanging="283"/>
        <w:rPr>
          <w:i/>
          <w:iCs/>
        </w:rPr>
      </w:pPr>
      <w:r w:rsidRPr="00236907">
        <w:rPr>
          <w:i/>
          <w:iCs/>
        </w:rPr>
        <w:t xml:space="preserve">(a) poses an unacceptable risk of harm— </w:t>
      </w:r>
    </w:p>
    <w:p w14:paraId="58476F31" w14:textId="4EE7E70D" w:rsidR="004E44E8" w:rsidRPr="00236907" w:rsidRDefault="004E44E8" w:rsidP="00580D64">
      <w:pPr>
        <w:pStyle w:val="BodyIndent1"/>
        <w:ind w:left="1843" w:hanging="283"/>
        <w:rPr>
          <w:i/>
          <w:iCs/>
        </w:rPr>
      </w:pPr>
      <w:r w:rsidRPr="00236907">
        <w:rPr>
          <w:i/>
          <w:iCs/>
        </w:rPr>
        <w:t xml:space="preserve">(i) to anybody at any school-related place of the relevant school to which paragraph (a) of the definition of school-related place applies; or </w:t>
      </w:r>
    </w:p>
    <w:p w14:paraId="5F6A7ED6" w14:textId="064F3438" w:rsidR="009709A7" w:rsidRPr="00236907" w:rsidRDefault="004E44E8" w:rsidP="00580D64">
      <w:pPr>
        <w:pStyle w:val="BodyIndent1"/>
        <w:ind w:left="1843" w:hanging="283"/>
        <w:rPr>
          <w:i/>
          <w:iCs/>
        </w:rPr>
      </w:pPr>
      <w:r w:rsidRPr="00236907">
        <w:rPr>
          <w:i/>
          <w:iCs/>
        </w:rPr>
        <w:t xml:space="preserve">(ii) to a member of the school community at any school-related place of the relevant school to which paragraph (b), (c) or (d) of the definition of school-related place applies, if the member of the school community is at that place for a reason that </w:t>
      </w:r>
      <w:proofErr w:type="gramStart"/>
      <w:r w:rsidRPr="00236907">
        <w:rPr>
          <w:i/>
          <w:iCs/>
        </w:rPr>
        <w:t>is connected with</w:t>
      </w:r>
      <w:proofErr w:type="gramEnd"/>
      <w:r w:rsidRPr="00236907">
        <w:rPr>
          <w:i/>
          <w:iCs/>
        </w:rPr>
        <w:t xml:space="preserve"> the school</w:t>
      </w:r>
      <w:r w:rsidR="007A51B3" w:rsidRPr="00236907">
        <w:rPr>
          <w:i/>
          <w:iCs/>
        </w:rPr>
        <w:t>.</w:t>
      </w:r>
    </w:p>
    <w:p w14:paraId="67C606FD" w14:textId="5ADB1715" w:rsidR="007A51B3" w:rsidRPr="00236907" w:rsidRDefault="00C9585E" w:rsidP="00580D64">
      <w:pPr>
        <w:pStyle w:val="BodyIndent1"/>
      </w:pPr>
      <w:r w:rsidRPr="00236907">
        <w:t>As mentioned above, the wording in s 2.1A.5, listing the grounds for making immediate orders, is identical except that the risk of harm is both “unacceptable and imminent”</w:t>
      </w:r>
      <w:r w:rsidR="00486E7C">
        <w:t>:</w:t>
      </w:r>
    </w:p>
    <w:p w14:paraId="0EA15376" w14:textId="00F3AFFA" w:rsidR="004228D1" w:rsidRPr="00236907" w:rsidRDefault="007A51B3" w:rsidP="00580D64">
      <w:pPr>
        <w:pStyle w:val="BodyIndent1"/>
        <w:ind w:left="1560" w:hanging="283"/>
        <w:rPr>
          <w:i/>
          <w:iCs/>
        </w:rPr>
      </w:pPr>
      <w:r w:rsidRPr="00236907">
        <w:rPr>
          <w:i/>
          <w:iCs/>
        </w:rPr>
        <w:t>(d)</w:t>
      </w:r>
      <w:r w:rsidR="007874A7" w:rsidRPr="00236907">
        <w:rPr>
          <w:i/>
          <w:iCs/>
        </w:rPr>
        <w:t xml:space="preserve"> </w:t>
      </w:r>
      <w:r w:rsidR="004228D1" w:rsidRPr="00236907">
        <w:rPr>
          <w:i/>
          <w:iCs/>
        </w:rPr>
        <w:t xml:space="preserve">has behaved and is likely to behave in a disorderly, offensive, intimidating or threatening manner to a member of the school community of the relevant school— </w:t>
      </w:r>
    </w:p>
    <w:p w14:paraId="7B3F0B09" w14:textId="298A61F6" w:rsidR="004228D1" w:rsidRPr="00236907" w:rsidRDefault="004228D1" w:rsidP="00580D64">
      <w:pPr>
        <w:pStyle w:val="BodyIndent1"/>
        <w:ind w:left="1985" w:hanging="283"/>
        <w:rPr>
          <w:i/>
          <w:iCs/>
        </w:rPr>
      </w:pPr>
      <w:r w:rsidRPr="00236907">
        <w:rPr>
          <w:i/>
          <w:iCs/>
        </w:rPr>
        <w:t xml:space="preserve">(i) at any school-related place of the relevant school to which paragraph (a) of the definition of school-related place applies; or </w:t>
      </w:r>
    </w:p>
    <w:p w14:paraId="11446EBB" w14:textId="25BB29D0" w:rsidR="007A51B3" w:rsidRPr="00236907" w:rsidRDefault="004228D1" w:rsidP="00580D64">
      <w:pPr>
        <w:pStyle w:val="BodyIndent1"/>
        <w:ind w:left="1985" w:hanging="283"/>
        <w:rPr>
          <w:i/>
          <w:iCs/>
        </w:rPr>
      </w:pPr>
      <w:r w:rsidRPr="00236907">
        <w:rPr>
          <w:i/>
          <w:iCs/>
        </w:rPr>
        <w:t xml:space="preserve">(ii) at any school-related place of the relevant school to which paragraph (b), (c) or (d) of the definition of school-related place applies, if the member of the school community is at that place for a reason that </w:t>
      </w:r>
      <w:proofErr w:type="gramStart"/>
      <w:r w:rsidRPr="00236907">
        <w:rPr>
          <w:i/>
          <w:iCs/>
        </w:rPr>
        <w:t>is connected with</w:t>
      </w:r>
      <w:proofErr w:type="gramEnd"/>
      <w:r w:rsidRPr="00236907">
        <w:rPr>
          <w:i/>
          <w:iCs/>
        </w:rPr>
        <w:t xml:space="preserve"> the school.</w:t>
      </w:r>
    </w:p>
    <w:p w14:paraId="78A9BEB9" w14:textId="72E0995C" w:rsidR="001E394E" w:rsidRPr="00236907" w:rsidRDefault="001E394E" w:rsidP="00C05673">
      <w:pPr>
        <w:pStyle w:val="BodyIndent1"/>
      </w:pPr>
      <w:r w:rsidRPr="00236907">
        <w:t>There is no equivalent wording for s 2.1A.5, as this ground is only available for making ongoing orders.</w:t>
      </w:r>
    </w:p>
    <w:p w14:paraId="2000A8BA" w14:textId="10E4E6F5" w:rsidR="00FD3D76" w:rsidRPr="00236907" w:rsidRDefault="008339B5" w:rsidP="00FD3D76">
      <w:pPr>
        <w:pStyle w:val="BodyIndent1"/>
      </w:pPr>
      <w:proofErr w:type="gramStart"/>
      <w:r w:rsidRPr="00236907">
        <w:t>For the purpose of</w:t>
      </w:r>
      <w:proofErr w:type="gramEnd"/>
      <w:r w:rsidRPr="00236907">
        <w:t xml:space="preserve"> these grounds,</w:t>
      </w:r>
      <w:r w:rsidR="007127E4" w:rsidRPr="00236907">
        <w:t xml:space="preserve"> </w:t>
      </w:r>
      <w:r w:rsidRPr="00236907">
        <w:t>t</w:t>
      </w:r>
      <w:r w:rsidR="00F36F6D" w:rsidRPr="00236907">
        <w:t xml:space="preserve">he definition of </w:t>
      </w:r>
      <w:r w:rsidR="00AE5DC5">
        <w:t>“</w:t>
      </w:r>
      <w:r w:rsidR="00F36F6D" w:rsidRPr="00236907">
        <w:t>school-related place</w:t>
      </w:r>
      <w:r w:rsidR="00AE5DC5">
        <w:t>”</w:t>
      </w:r>
      <w:r w:rsidR="007127E4" w:rsidRPr="00236907">
        <w:t xml:space="preserve"> is</w:t>
      </w:r>
      <w:r w:rsidR="00FD3D76" w:rsidRPr="00236907">
        <w:t>:</w:t>
      </w:r>
    </w:p>
    <w:p w14:paraId="65794CF9" w14:textId="4E5DC597" w:rsidR="00FD3D76" w:rsidRPr="00236907" w:rsidRDefault="00FD3D76" w:rsidP="001618CA">
      <w:pPr>
        <w:pStyle w:val="BodyIndent1"/>
        <w:numPr>
          <w:ilvl w:val="0"/>
          <w:numId w:val="58"/>
        </w:numPr>
      </w:pPr>
      <w:r w:rsidRPr="00236907">
        <w:t xml:space="preserve">any premises of the school and an area that is within 25 metres of the boundary of those </w:t>
      </w:r>
      <w:proofErr w:type="gramStart"/>
      <w:r w:rsidRPr="00236907">
        <w:t>premises;</w:t>
      </w:r>
      <w:proofErr w:type="gramEnd"/>
    </w:p>
    <w:p w14:paraId="798ACB77" w14:textId="6C73FE24" w:rsidR="00FD3D76" w:rsidRPr="00236907" w:rsidRDefault="00FD3D76" w:rsidP="001618CA">
      <w:pPr>
        <w:pStyle w:val="BodyIndent1"/>
        <w:numPr>
          <w:ilvl w:val="0"/>
          <w:numId w:val="58"/>
        </w:numPr>
      </w:pPr>
      <w:r w:rsidRPr="00236907">
        <w:lastRenderedPageBreak/>
        <w:t>any premises (other than a premises described in paragraph (a)</w:t>
      </w:r>
      <w:r w:rsidR="00DD06C9">
        <w:t>)</w:t>
      </w:r>
      <w:r w:rsidRPr="00236907">
        <w:t xml:space="preserve"> on which there is an activity conducted by or in connection with the school and an area that is within 25 metres of the boundary of those </w:t>
      </w:r>
      <w:proofErr w:type="gramStart"/>
      <w:r w:rsidRPr="00236907">
        <w:t>premises;</w:t>
      </w:r>
      <w:proofErr w:type="gramEnd"/>
    </w:p>
    <w:p w14:paraId="21049A48" w14:textId="40A5CA10" w:rsidR="00934A27" w:rsidRPr="00236907" w:rsidRDefault="00FD3D76" w:rsidP="001618CA">
      <w:pPr>
        <w:pStyle w:val="BodyIndent1"/>
        <w:numPr>
          <w:ilvl w:val="0"/>
          <w:numId w:val="58"/>
        </w:numPr>
      </w:pPr>
      <w:r w:rsidRPr="00236907">
        <w:t xml:space="preserve">for an activity conducted by or in connection with a school, if the activity or part of the activity is not conducted at a place described in paragraph (a) or (b), any place where the activity is conducted and an area that is within 25 metres of the boundary of that </w:t>
      </w:r>
      <w:proofErr w:type="gramStart"/>
      <w:r w:rsidRPr="00236907">
        <w:t>place;</w:t>
      </w:r>
      <w:proofErr w:type="gramEnd"/>
    </w:p>
    <w:p w14:paraId="6B71AE56" w14:textId="12C1850C" w:rsidR="00FD3D76" w:rsidRPr="00236907" w:rsidRDefault="00FD3D76" w:rsidP="001618CA">
      <w:pPr>
        <w:pStyle w:val="BodyIndent1"/>
        <w:numPr>
          <w:ilvl w:val="0"/>
          <w:numId w:val="58"/>
        </w:numPr>
        <w:rPr>
          <w:lang w:val="en-US"/>
        </w:rPr>
      </w:pPr>
      <w:r w:rsidRPr="00236907">
        <w:rPr>
          <w:lang w:val="en-US"/>
        </w:rPr>
        <w:t>any prescribed place.</w:t>
      </w:r>
      <w:r w:rsidR="007127E4" w:rsidRPr="00236907">
        <w:rPr>
          <w:rStyle w:val="FootnoteReference"/>
          <w:lang w:val="en-US"/>
        </w:rPr>
        <w:footnoteReference w:id="14"/>
      </w:r>
    </w:p>
    <w:p w14:paraId="43E6F6FF" w14:textId="2C24A611" w:rsidR="002C53BC" w:rsidRPr="00236907" w:rsidRDefault="002C53BC" w:rsidP="00FD3D76">
      <w:pPr>
        <w:pStyle w:val="BodyIndent1"/>
      </w:pPr>
      <w:r w:rsidRPr="00236907">
        <w:t xml:space="preserve">The definition of </w:t>
      </w:r>
      <w:r w:rsidR="004F5A70">
        <w:t>“</w:t>
      </w:r>
      <w:r w:rsidRPr="00236907">
        <w:t>member of the school</w:t>
      </w:r>
      <w:r w:rsidR="00450484" w:rsidRPr="00236907">
        <w:t xml:space="preserve"> community</w:t>
      </w:r>
      <w:r w:rsidR="004F5A70">
        <w:t>”</w:t>
      </w:r>
      <w:r w:rsidR="007127E4" w:rsidRPr="00236907">
        <w:t xml:space="preserve"> </w:t>
      </w:r>
      <w:r w:rsidR="000A4C6F" w:rsidRPr="00236907">
        <w:t>is:</w:t>
      </w:r>
    </w:p>
    <w:p w14:paraId="67450891" w14:textId="73C17987" w:rsidR="002C53BC" w:rsidRPr="00236907" w:rsidRDefault="002C53BC" w:rsidP="001618CA">
      <w:pPr>
        <w:pStyle w:val="BodyIndent1"/>
        <w:numPr>
          <w:ilvl w:val="0"/>
          <w:numId w:val="59"/>
        </w:numPr>
      </w:pPr>
      <w:r w:rsidRPr="00236907">
        <w:t xml:space="preserve">a student enrolled at the </w:t>
      </w:r>
      <w:proofErr w:type="gramStart"/>
      <w:r w:rsidRPr="00236907">
        <w:t>school;</w:t>
      </w:r>
      <w:proofErr w:type="gramEnd"/>
      <w:r w:rsidRPr="00236907">
        <w:t xml:space="preserve"> </w:t>
      </w:r>
    </w:p>
    <w:p w14:paraId="1D75DD9C" w14:textId="64F3F4F6" w:rsidR="002C53BC" w:rsidRPr="00236907" w:rsidRDefault="002C53BC" w:rsidP="001618CA">
      <w:pPr>
        <w:pStyle w:val="BodyIndent1"/>
        <w:numPr>
          <w:ilvl w:val="0"/>
          <w:numId w:val="59"/>
        </w:numPr>
      </w:pPr>
      <w:r w:rsidRPr="00236907">
        <w:t xml:space="preserve">a parent of a student enrolled at the </w:t>
      </w:r>
      <w:proofErr w:type="gramStart"/>
      <w:r w:rsidRPr="00236907">
        <w:t>school;</w:t>
      </w:r>
      <w:proofErr w:type="gramEnd"/>
      <w:r w:rsidRPr="00236907">
        <w:t xml:space="preserve"> </w:t>
      </w:r>
    </w:p>
    <w:p w14:paraId="5CBC36C0" w14:textId="48952B12" w:rsidR="002C53BC" w:rsidRPr="00236907" w:rsidRDefault="002C53BC" w:rsidP="001618CA">
      <w:pPr>
        <w:pStyle w:val="BodyIndent1"/>
        <w:numPr>
          <w:ilvl w:val="0"/>
          <w:numId w:val="59"/>
        </w:numPr>
      </w:pPr>
      <w:r w:rsidRPr="00236907">
        <w:t xml:space="preserve">a staff member of the </w:t>
      </w:r>
      <w:proofErr w:type="gramStart"/>
      <w:r w:rsidRPr="00236907">
        <w:t>school;</w:t>
      </w:r>
      <w:proofErr w:type="gramEnd"/>
      <w:r w:rsidRPr="00236907">
        <w:t xml:space="preserve"> </w:t>
      </w:r>
    </w:p>
    <w:p w14:paraId="1D94BBE2" w14:textId="731BE640" w:rsidR="002C53BC" w:rsidRPr="00236907" w:rsidRDefault="002C53BC" w:rsidP="001618CA">
      <w:pPr>
        <w:pStyle w:val="BodyIndent1"/>
        <w:numPr>
          <w:ilvl w:val="0"/>
          <w:numId w:val="59"/>
        </w:numPr>
      </w:pPr>
      <w:r w:rsidRPr="00236907">
        <w:t>a person other than a person referred to in paragraphs (a), (b) or (c) who is present at a school-related place of the school for a reason connected with the school</w:t>
      </w:r>
      <w:r w:rsidR="00575D86" w:rsidRPr="00236907">
        <w:t>.</w:t>
      </w:r>
    </w:p>
    <w:p w14:paraId="4C0FB4FB" w14:textId="77777777" w:rsidR="00A91590" w:rsidRPr="00236907" w:rsidRDefault="0086197F" w:rsidP="00FD3D76">
      <w:pPr>
        <w:pStyle w:val="BodyIndent1"/>
      </w:pPr>
      <w:r w:rsidRPr="00236907">
        <w:t xml:space="preserve">The Ministerial Guidelines provide more guidance to </w:t>
      </w:r>
      <w:r w:rsidR="00FA20B8" w:rsidRPr="00236907">
        <w:t xml:space="preserve">authorised persons, </w:t>
      </w:r>
      <w:r w:rsidR="00806408" w:rsidRPr="00236907">
        <w:t>explaining that</w:t>
      </w:r>
      <w:r w:rsidR="00A91590" w:rsidRPr="00236907">
        <w:t>:</w:t>
      </w:r>
    </w:p>
    <w:p w14:paraId="14EEF62F" w14:textId="734D811D" w:rsidR="00FB1807" w:rsidRPr="00236907" w:rsidRDefault="007127E4" w:rsidP="008A071C">
      <w:pPr>
        <w:pStyle w:val="BodyIndent1"/>
        <w:numPr>
          <w:ilvl w:val="0"/>
          <w:numId w:val="28"/>
        </w:numPr>
      </w:pPr>
      <w:r w:rsidRPr="00236907">
        <w:t>‘</w:t>
      </w:r>
      <w:r w:rsidR="00806408" w:rsidRPr="00236907">
        <w:t>harm</w:t>
      </w:r>
      <w:r w:rsidRPr="00236907">
        <w:t>'</w:t>
      </w:r>
      <w:r w:rsidR="00806408" w:rsidRPr="00236907">
        <w:t xml:space="preserve"> is </w:t>
      </w:r>
      <w:r w:rsidR="003043BA" w:rsidRPr="00236907">
        <w:t>defi</w:t>
      </w:r>
      <w:r w:rsidR="00806408" w:rsidRPr="00236907">
        <w:t>ned broadly</w:t>
      </w:r>
      <w:r w:rsidR="00FB1807" w:rsidRPr="00236907">
        <w:t xml:space="preserve"> to include harm from verbal abuse, threats and vexatious communications causing stress (meaning that </w:t>
      </w:r>
      <w:r w:rsidR="00614474">
        <w:t>a single incident may sometimes meet more than one ground for an order</w:t>
      </w:r>
      <w:proofErr w:type="gramStart"/>
      <w:r w:rsidR="00FB1807" w:rsidRPr="00236907">
        <w:t>);</w:t>
      </w:r>
      <w:proofErr w:type="gramEnd"/>
    </w:p>
    <w:p w14:paraId="6D78A9BE" w14:textId="564CB998" w:rsidR="0086197F" w:rsidRPr="00236907" w:rsidRDefault="00FB1807" w:rsidP="008A071C">
      <w:pPr>
        <w:pStyle w:val="BodyIndent1"/>
        <w:numPr>
          <w:ilvl w:val="0"/>
          <w:numId w:val="28"/>
        </w:numPr>
      </w:pPr>
      <w:r w:rsidRPr="00236907">
        <w:t>harm is to be defined</w:t>
      </w:r>
      <w:r w:rsidR="00A34C90" w:rsidRPr="00236907">
        <w:t xml:space="preserve"> with consideration to the circumstances and vulnerabilities </w:t>
      </w:r>
      <w:r w:rsidR="0003105E" w:rsidRPr="00236907">
        <w:t>of the person who is subject to the behaviour</w:t>
      </w:r>
      <w:r w:rsidR="00675C61" w:rsidRPr="00236907">
        <w:t>; and</w:t>
      </w:r>
    </w:p>
    <w:p w14:paraId="2E70F25B" w14:textId="1D90C7BD" w:rsidR="00675C61" w:rsidRPr="00236907" w:rsidRDefault="00675C61" w:rsidP="008A071C">
      <w:pPr>
        <w:pStyle w:val="BodyIndent1"/>
        <w:numPr>
          <w:ilvl w:val="0"/>
          <w:numId w:val="28"/>
        </w:numPr>
      </w:pPr>
      <w:r w:rsidRPr="00236907">
        <w:t>when deciding if the risk of harm is unacceptable, the authorised person is to consider likelihood and consequence.</w:t>
      </w:r>
      <w:r w:rsidR="007F1662" w:rsidRPr="00236907">
        <w:rPr>
          <w:rStyle w:val="FootnoteReference"/>
        </w:rPr>
        <w:footnoteReference w:id="15"/>
      </w:r>
    </w:p>
    <w:p w14:paraId="44C750B7" w14:textId="0E10DC8B" w:rsidR="00983933" w:rsidRPr="00236907" w:rsidRDefault="00BB003F" w:rsidP="00FD3D76">
      <w:pPr>
        <w:pStyle w:val="BodyIndent1"/>
      </w:pPr>
      <w:r w:rsidRPr="00236907">
        <w:t>The grounds were drafted in this way to fill a gap in the existing legislative regimes available to school principals to address threatening or disruptive behaviour.</w:t>
      </w:r>
      <w:r w:rsidR="006B7597" w:rsidRPr="00236907">
        <w:rPr>
          <w:rStyle w:val="FootnoteReference"/>
        </w:rPr>
        <w:footnoteReference w:id="16"/>
      </w:r>
      <w:r w:rsidRPr="00236907">
        <w:t xml:space="preserve"> </w:t>
      </w:r>
      <w:r w:rsidR="00983933" w:rsidRPr="00236907">
        <w:t xml:space="preserve">These </w:t>
      </w:r>
      <w:r w:rsidR="003B08B6" w:rsidRPr="00236907">
        <w:t>are</w:t>
      </w:r>
      <w:r w:rsidR="00983933" w:rsidRPr="00236907">
        <w:t>:</w:t>
      </w:r>
    </w:p>
    <w:p w14:paraId="705EFA4F" w14:textId="26BDC28F" w:rsidR="00BB003F" w:rsidRPr="00236907" w:rsidRDefault="00CD6906" w:rsidP="008A071C">
      <w:pPr>
        <w:pStyle w:val="BodyIndent1"/>
        <w:numPr>
          <w:ilvl w:val="0"/>
          <w:numId w:val="26"/>
        </w:numPr>
      </w:pPr>
      <w:r w:rsidRPr="00236907">
        <w:t>t</w:t>
      </w:r>
      <w:r w:rsidR="00983933" w:rsidRPr="00236907">
        <w:t xml:space="preserve">he </w:t>
      </w:r>
      <w:r w:rsidR="00007838" w:rsidRPr="00236907">
        <w:t>T</w:t>
      </w:r>
      <w:r w:rsidR="00983933" w:rsidRPr="00236907">
        <w:t xml:space="preserve">respass </w:t>
      </w:r>
      <w:r w:rsidR="00007838" w:rsidRPr="00236907">
        <w:t>W</w:t>
      </w:r>
      <w:r w:rsidR="00983933" w:rsidRPr="00236907">
        <w:t xml:space="preserve">arning </w:t>
      </w:r>
      <w:r w:rsidR="00007838" w:rsidRPr="00236907">
        <w:t>N</w:t>
      </w:r>
      <w:r w:rsidR="00983933" w:rsidRPr="00236907">
        <w:t>otice</w:t>
      </w:r>
      <w:r w:rsidR="00007838" w:rsidRPr="00236907">
        <w:t xml:space="preserve"> (</w:t>
      </w:r>
      <w:r w:rsidR="00007838" w:rsidRPr="00236907">
        <w:rPr>
          <w:b/>
          <w:bCs/>
        </w:rPr>
        <w:t>TWN</w:t>
      </w:r>
      <w:r w:rsidR="00007838" w:rsidRPr="00236907">
        <w:t>)</w:t>
      </w:r>
      <w:r w:rsidR="00983933" w:rsidRPr="00236907">
        <w:t xml:space="preserve"> scheme </w:t>
      </w:r>
      <w:bookmarkStart w:id="12" w:name="_Hlk179290694"/>
      <w:r w:rsidR="00983933" w:rsidRPr="00236907">
        <w:t>u</w:t>
      </w:r>
      <w:r w:rsidR="0022186C" w:rsidRPr="00236907">
        <w:t xml:space="preserve">nder the </w:t>
      </w:r>
      <w:r w:rsidR="0022186C" w:rsidRPr="00236907">
        <w:rPr>
          <w:i/>
          <w:iCs/>
        </w:rPr>
        <w:t>Summary Offences Act 1966</w:t>
      </w:r>
      <w:r w:rsidR="00983933" w:rsidRPr="00236907">
        <w:t xml:space="preserve"> (Vic)</w:t>
      </w:r>
      <w:bookmarkEnd w:id="12"/>
      <w:r w:rsidR="00983933" w:rsidRPr="00236907">
        <w:t xml:space="preserve">, which </w:t>
      </w:r>
      <w:r w:rsidR="00E33A1E" w:rsidRPr="00236907">
        <w:t xml:space="preserve">allows </w:t>
      </w:r>
      <w:r w:rsidR="00983933" w:rsidRPr="00236907">
        <w:t xml:space="preserve">principals to ban individuals from school premises but </w:t>
      </w:r>
      <w:r w:rsidR="00B930C2" w:rsidRPr="00236907">
        <w:t xml:space="preserve">gives </w:t>
      </w:r>
      <w:r w:rsidR="00983933" w:rsidRPr="00236907">
        <w:t>them no</w:t>
      </w:r>
      <w:r w:rsidR="00421A85" w:rsidRPr="00236907">
        <w:t xml:space="preserve"> power to address conduct taking place away from the school</w:t>
      </w:r>
      <w:r w:rsidR="00A412EA" w:rsidRPr="00236907">
        <w:t>, nor deal with conduct or harm that occurs through inappropriate and vexatious communications</w:t>
      </w:r>
      <w:r w:rsidR="00421A85" w:rsidRPr="00236907">
        <w:t>; and</w:t>
      </w:r>
    </w:p>
    <w:p w14:paraId="3D925CE7" w14:textId="4E6608A8" w:rsidR="00421A85" w:rsidRPr="00236907" w:rsidRDefault="00421A85" w:rsidP="008A071C">
      <w:pPr>
        <w:pStyle w:val="BodyIndent1"/>
        <w:numPr>
          <w:ilvl w:val="0"/>
          <w:numId w:val="26"/>
        </w:numPr>
      </w:pPr>
      <w:r w:rsidRPr="00236907">
        <w:t>the Personal Safety Intervention Order (</w:t>
      </w:r>
      <w:r w:rsidRPr="00236907">
        <w:rPr>
          <w:b/>
          <w:bCs/>
        </w:rPr>
        <w:t>PSIO</w:t>
      </w:r>
      <w:r w:rsidRPr="00236907">
        <w:t xml:space="preserve">) regime under </w:t>
      </w:r>
      <w:r w:rsidR="00B266CD" w:rsidRPr="00236907">
        <w:t xml:space="preserve">the </w:t>
      </w:r>
      <w:r w:rsidR="00B266CD" w:rsidRPr="00236907">
        <w:rPr>
          <w:i/>
          <w:iCs/>
        </w:rPr>
        <w:t>Personal Safety Intervention Order</w:t>
      </w:r>
      <w:r w:rsidR="00DD06C9">
        <w:rPr>
          <w:i/>
          <w:iCs/>
        </w:rPr>
        <w:t>s</w:t>
      </w:r>
      <w:r w:rsidR="00B266CD" w:rsidRPr="00236907">
        <w:rPr>
          <w:i/>
          <w:iCs/>
        </w:rPr>
        <w:t xml:space="preserve"> Act 2010 </w:t>
      </w:r>
      <w:r w:rsidR="00B266CD" w:rsidRPr="00236907">
        <w:t xml:space="preserve">(Vic), which </w:t>
      </w:r>
      <w:r w:rsidR="003D395A" w:rsidRPr="00236907">
        <w:t xml:space="preserve">allows </w:t>
      </w:r>
      <w:r w:rsidR="007B5903" w:rsidRPr="00236907">
        <w:t>school staff to apply fo</w:t>
      </w:r>
      <w:r w:rsidR="00020F0A" w:rsidRPr="00236907">
        <w:t xml:space="preserve">r </w:t>
      </w:r>
      <w:r w:rsidR="00E625DA" w:rsidRPr="00236907">
        <w:t>a</w:t>
      </w:r>
      <w:r w:rsidR="00DE37E5" w:rsidRPr="00236907">
        <w:t xml:space="preserve"> PSIO </w:t>
      </w:r>
      <w:r w:rsidR="00D15ADC" w:rsidRPr="00236907">
        <w:t xml:space="preserve">for protection </w:t>
      </w:r>
      <w:r w:rsidR="00DE37E5" w:rsidRPr="00236907">
        <w:t xml:space="preserve">against individuals engaging in threatening or violent </w:t>
      </w:r>
      <w:proofErr w:type="gramStart"/>
      <w:r w:rsidR="00DE37E5" w:rsidRPr="00236907">
        <w:t>behaviour</w:t>
      </w:r>
      <w:r w:rsidR="006C5D26" w:rsidRPr="00236907">
        <w:t>, but</w:t>
      </w:r>
      <w:proofErr w:type="gramEnd"/>
      <w:r w:rsidR="006C5D26" w:rsidRPr="00236907">
        <w:t xml:space="preserve"> </w:t>
      </w:r>
      <w:r w:rsidR="00394910" w:rsidRPr="00236907">
        <w:t xml:space="preserve">gives </w:t>
      </w:r>
      <w:r w:rsidR="006C5D26" w:rsidRPr="00236907">
        <w:t xml:space="preserve">them no ability to manage serious but lower-level conduct such as constant vexatious communications and abusive language. </w:t>
      </w:r>
    </w:p>
    <w:p w14:paraId="64888309" w14:textId="111314A4" w:rsidR="00C81850" w:rsidRPr="00236907" w:rsidRDefault="009807B8" w:rsidP="00FD3D76">
      <w:pPr>
        <w:pStyle w:val="BodyIndent1"/>
      </w:pPr>
      <w:r w:rsidRPr="00236907">
        <w:t>O</w:t>
      </w:r>
      <w:r w:rsidR="00AC5CA5" w:rsidRPr="00236907">
        <w:t>rders may be</w:t>
      </w:r>
      <w:r w:rsidR="006A2595" w:rsidRPr="00236907">
        <w:t>, and commonly are,</w:t>
      </w:r>
      <w:r w:rsidR="00AC5CA5" w:rsidRPr="00236907">
        <w:t xml:space="preserve"> issued on multiple grounds. According to the </w:t>
      </w:r>
      <w:r w:rsidR="00B60BE2" w:rsidRPr="00236907">
        <w:t xml:space="preserve">department’s </w:t>
      </w:r>
      <w:r w:rsidR="0058724C" w:rsidRPr="00236907">
        <w:t>internal data</w:t>
      </w:r>
      <w:r w:rsidR="00AC5CA5" w:rsidRPr="00236907">
        <w:t xml:space="preserve">, </w:t>
      </w:r>
      <w:r w:rsidR="00477B13" w:rsidRPr="00236907">
        <w:t>1</w:t>
      </w:r>
      <w:r w:rsidR="00EA01B9" w:rsidRPr="00236907">
        <w:t>5</w:t>
      </w:r>
      <w:r w:rsidR="00477B13" w:rsidRPr="00236907">
        <w:t xml:space="preserve"> </w:t>
      </w:r>
      <w:r w:rsidR="007667DA" w:rsidRPr="00236907">
        <w:t>orders were issued</w:t>
      </w:r>
      <w:r w:rsidR="00477B13" w:rsidRPr="00236907">
        <w:t xml:space="preserve"> in 2023-24</w:t>
      </w:r>
      <w:r w:rsidR="007667DA" w:rsidRPr="00236907">
        <w:t xml:space="preserve"> on </w:t>
      </w:r>
      <w:r w:rsidR="007127E4" w:rsidRPr="00236907">
        <w:t xml:space="preserve">the following </w:t>
      </w:r>
      <w:r w:rsidR="007667DA" w:rsidRPr="00236907">
        <w:t>grounds:</w:t>
      </w:r>
    </w:p>
    <w:p w14:paraId="46979699" w14:textId="4575DF21" w:rsidR="007667DA" w:rsidRPr="00236907" w:rsidRDefault="005F08FD" w:rsidP="008A071C">
      <w:pPr>
        <w:pStyle w:val="BodyIndent1"/>
        <w:numPr>
          <w:ilvl w:val="0"/>
          <w:numId w:val="27"/>
        </w:numPr>
      </w:pPr>
      <w:r w:rsidRPr="00236907">
        <w:t>Harm to another person on school premises (1</w:t>
      </w:r>
      <w:r w:rsidR="0058724C" w:rsidRPr="00236907">
        <w:t>1</w:t>
      </w:r>
      <w:r w:rsidRPr="00236907">
        <w:t>)</w:t>
      </w:r>
    </w:p>
    <w:p w14:paraId="5701761E" w14:textId="55FDD9D7" w:rsidR="005F08FD" w:rsidRPr="00236907" w:rsidRDefault="00607B1F" w:rsidP="008A071C">
      <w:pPr>
        <w:pStyle w:val="BodyIndent1"/>
        <w:numPr>
          <w:ilvl w:val="0"/>
          <w:numId w:val="27"/>
        </w:numPr>
      </w:pPr>
      <w:r w:rsidRPr="00236907">
        <w:lastRenderedPageBreak/>
        <w:t>Significant disruption to the school or its activities (</w:t>
      </w:r>
      <w:r w:rsidR="0058724C" w:rsidRPr="00236907">
        <w:t>8</w:t>
      </w:r>
      <w:r w:rsidRPr="00236907">
        <w:t>)</w:t>
      </w:r>
    </w:p>
    <w:p w14:paraId="2891A95E" w14:textId="16364423" w:rsidR="00607B1F" w:rsidRPr="00236907" w:rsidRDefault="00607B1F" w:rsidP="008A071C">
      <w:pPr>
        <w:pStyle w:val="BodyIndent1"/>
        <w:numPr>
          <w:ilvl w:val="0"/>
          <w:numId w:val="27"/>
        </w:numPr>
      </w:pPr>
      <w:r w:rsidRPr="00236907">
        <w:t>Disorderly, offensive, intimidating or threatening conduct (</w:t>
      </w:r>
      <w:r w:rsidR="0058724C" w:rsidRPr="00236907">
        <w:t>7</w:t>
      </w:r>
      <w:r w:rsidRPr="00236907">
        <w:t>)</w:t>
      </w:r>
    </w:p>
    <w:p w14:paraId="1EB8E58E" w14:textId="1C3398E6" w:rsidR="00607B1F" w:rsidRPr="00236907" w:rsidRDefault="00607B1F" w:rsidP="008A071C">
      <w:pPr>
        <w:pStyle w:val="BodyIndent1"/>
        <w:numPr>
          <w:ilvl w:val="0"/>
          <w:numId w:val="27"/>
        </w:numPr>
      </w:pPr>
      <w:r w:rsidRPr="00236907">
        <w:t>Interference with the wellbeing, safety or educational opportunities of students (</w:t>
      </w:r>
      <w:r w:rsidR="0058724C" w:rsidRPr="00236907">
        <w:t>4</w:t>
      </w:r>
      <w:r w:rsidRPr="00236907">
        <w:t>)</w:t>
      </w:r>
    </w:p>
    <w:p w14:paraId="687E2193" w14:textId="0B4180BC" w:rsidR="00607B1F" w:rsidRPr="00236907" w:rsidRDefault="00607B1F" w:rsidP="008A071C">
      <w:pPr>
        <w:pStyle w:val="BodyIndent1"/>
        <w:numPr>
          <w:ilvl w:val="0"/>
          <w:numId w:val="27"/>
        </w:numPr>
      </w:pPr>
      <w:r w:rsidRPr="00236907">
        <w:t>Harm to a member of the school community at a school-related place (5)</w:t>
      </w:r>
    </w:p>
    <w:p w14:paraId="029A0756" w14:textId="34DB3C8C" w:rsidR="00CB79AA" w:rsidRPr="00236907" w:rsidRDefault="00607B1F" w:rsidP="008A071C">
      <w:pPr>
        <w:pStyle w:val="BodyIndent1"/>
        <w:numPr>
          <w:ilvl w:val="0"/>
          <w:numId w:val="27"/>
        </w:numPr>
      </w:pPr>
      <w:r w:rsidRPr="00236907">
        <w:t>Vexatious communications (5)</w:t>
      </w:r>
    </w:p>
    <w:p w14:paraId="58C03289" w14:textId="0F5B658E" w:rsidR="00954C57" w:rsidRPr="00236907" w:rsidRDefault="001923DE" w:rsidP="00C40964">
      <w:pPr>
        <w:pStyle w:val="Heading2"/>
      </w:pPr>
      <w:bookmarkStart w:id="13" w:name="_Toc210053613"/>
      <w:r w:rsidRPr="00236907">
        <w:t>Mandatory considerations</w:t>
      </w:r>
      <w:bookmarkEnd w:id="13"/>
    </w:p>
    <w:p w14:paraId="51157829" w14:textId="47135C9F" w:rsidR="003E2F34" w:rsidRPr="00236907" w:rsidRDefault="001923DE" w:rsidP="00973532">
      <w:pPr>
        <w:pStyle w:val="BodyIndent1"/>
      </w:pPr>
      <w:r w:rsidRPr="00236907">
        <w:t xml:space="preserve">For both immediate and ongoing orders, </w:t>
      </w:r>
      <w:r w:rsidR="007127E4" w:rsidRPr="00236907">
        <w:t xml:space="preserve">in addition to being satisfied of grounds for making the order, </w:t>
      </w:r>
      <w:r w:rsidRPr="00236907">
        <w:t xml:space="preserve">the authorised person must </w:t>
      </w:r>
      <w:r w:rsidR="007127E4" w:rsidRPr="00236907">
        <w:t xml:space="preserve">turn their mind to </w:t>
      </w:r>
      <w:r w:rsidRPr="00236907">
        <w:t>mandatory considerations before they can make the order</w:t>
      </w:r>
      <w:r w:rsidR="00DD06C9">
        <w:t>, which include</w:t>
      </w:r>
      <w:r w:rsidR="007127E4" w:rsidRPr="00236907">
        <w:t>:</w:t>
      </w:r>
      <w:r w:rsidR="007127E4" w:rsidRPr="00236907">
        <w:rPr>
          <w:rStyle w:val="FootnoteReference"/>
        </w:rPr>
        <w:footnoteReference w:id="17"/>
      </w:r>
    </w:p>
    <w:p w14:paraId="08ADBAD3" w14:textId="4879CC71" w:rsidR="00B154BF" w:rsidRPr="00236907" w:rsidRDefault="000602EB" w:rsidP="008A071C">
      <w:pPr>
        <w:pStyle w:val="BodyIndent1"/>
        <w:numPr>
          <w:ilvl w:val="0"/>
          <w:numId w:val="29"/>
        </w:numPr>
      </w:pPr>
      <w:r w:rsidRPr="00236907">
        <w:t xml:space="preserve">any vulnerability of the other person of which the authorised person is </w:t>
      </w:r>
      <w:proofErr w:type="gramStart"/>
      <w:r w:rsidRPr="00236907">
        <w:t>aware</w:t>
      </w:r>
      <w:r w:rsidR="00D17192" w:rsidRPr="00236907">
        <w:t>;</w:t>
      </w:r>
      <w:proofErr w:type="gramEnd"/>
    </w:p>
    <w:p w14:paraId="2852BB90" w14:textId="3B250822" w:rsidR="000602EB" w:rsidRPr="00236907" w:rsidRDefault="000602EB" w:rsidP="008A071C">
      <w:pPr>
        <w:pStyle w:val="BodyIndent1"/>
        <w:numPr>
          <w:ilvl w:val="0"/>
          <w:numId w:val="29"/>
        </w:numPr>
      </w:pPr>
      <w:r w:rsidRPr="00236907">
        <w:t>whether the order is the least restrictive means available to address the grounds on which the order is proposed to be made; and</w:t>
      </w:r>
    </w:p>
    <w:p w14:paraId="5B520685" w14:textId="4F1A3377" w:rsidR="000602EB" w:rsidRPr="00236907" w:rsidRDefault="00DD06C9" w:rsidP="008A071C">
      <w:pPr>
        <w:pStyle w:val="BodyIndent1"/>
        <w:numPr>
          <w:ilvl w:val="0"/>
          <w:numId w:val="29"/>
        </w:numPr>
      </w:pPr>
      <w:r>
        <w:t xml:space="preserve">whether </w:t>
      </w:r>
      <w:r w:rsidR="00256314" w:rsidRPr="00236907">
        <w:t>the order is reasonably necessary to address the grounds on which the order is proposed to be made.</w:t>
      </w:r>
    </w:p>
    <w:p w14:paraId="523237BF" w14:textId="0FA3C752" w:rsidR="00F97C31" w:rsidRPr="00236907" w:rsidRDefault="00F27BFD" w:rsidP="00F97C31">
      <w:pPr>
        <w:pStyle w:val="BodyIndent1"/>
      </w:pPr>
      <w:r w:rsidRPr="00236907">
        <w:t>These mandatory considerations are built into the Scheme as safeguards.</w:t>
      </w:r>
      <w:r w:rsidR="00784EF3" w:rsidRPr="00236907">
        <w:t xml:space="preserve"> </w:t>
      </w:r>
      <w:r w:rsidR="00E17259" w:rsidRPr="00236907">
        <w:t xml:space="preserve">As the Minister </w:t>
      </w:r>
      <w:r w:rsidR="00FE05C1" w:rsidRPr="00236907">
        <w:t>stated</w:t>
      </w:r>
      <w:r w:rsidR="00EC4D67" w:rsidRPr="00236907">
        <w:t xml:space="preserve"> in the second reading speech, </w:t>
      </w:r>
      <w:r w:rsidR="00F97C31" w:rsidRPr="00236907">
        <w:t>“the Bill properly balances the need to provide protection to school staff and other members of the school community from risks of harm with the need to acknowledge any relevant circumstances that may have caused or contributed to the behaviour or conduct causing the harm.”</w:t>
      </w:r>
      <w:r w:rsidR="00EC4D67" w:rsidRPr="00236907">
        <w:rPr>
          <w:rStyle w:val="FootnoteReference"/>
        </w:rPr>
        <w:footnoteReference w:id="18"/>
      </w:r>
      <w:r w:rsidR="00EC4D67" w:rsidRPr="00236907">
        <w:t xml:space="preserve"> </w:t>
      </w:r>
      <w:r w:rsidR="00FE05C1" w:rsidRPr="00236907">
        <w:t xml:space="preserve">These safeguards, the Minister noted, are not available in other mechanisms, such as </w:t>
      </w:r>
      <w:r w:rsidR="00DD06C9">
        <w:t>TWNs</w:t>
      </w:r>
      <w:r w:rsidR="00FE05C1" w:rsidRPr="00236907">
        <w:t xml:space="preserve"> and PSIOs.</w:t>
      </w:r>
      <w:r w:rsidR="008237C6" w:rsidRPr="00236907">
        <w:t xml:space="preserve"> </w:t>
      </w:r>
    </w:p>
    <w:p w14:paraId="449B0B9D" w14:textId="404DE2CE" w:rsidR="008237C6" w:rsidRPr="00236907" w:rsidRDefault="008237C6" w:rsidP="00F97C31">
      <w:pPr>
        <w:pStyle w:val="BodyIndent1"/>
      </w:pPr>
      <w:r w:rsidRPr="00236907">
        <w:t xml:space="preserve">The Ministerial Guidelines detail relevant vulnerabilities and how they should be considered, provide examples of alternative less-restrictive means of managing behaviour, </w:t>
      </w:r>
      <w:r w:rsidR="00EA5E30" w:rsidRPr="00236907">
        <w:t>and outline the standard for reasonable necessity.</w:t>
      </w:r>
      <w:r w:rsidR="00846E21" w:rsidRPr="00236907">
        <w:rPr>
          <w:rStyle w:val="FootnoteReference"/>
        </w:rPr>
        <w:footnoteReference w:id="19"/>
      </w:r>
    </w:p>
    <w:p w14:paraId="38DA8785" w14:textId="4EFFC54A" w:rsidR="00A956B3" w:rsidRPr="00236907" w:rsidRDefault="00A956B3" w:rsidP="00902CE5">
      <w:pPr>
        <w:pStyle w:val="Heading2"/>
      </w:pPr>
      <w:bookmarkStart w:id="14" w:name="_Toc210053614"/>
      <w:r w:rsidRPr="00236907">
        <w:t>Procedures for making orders</w:t>
      </w:r>
      <w:bookmarkEnd w:id="14"/>
    </w:p>
    <w:p w14:paraId="11A897E3" w14:textId="07EE48C3" w:rsidR="00902CE5" w:rsidRPr="00236907" w:rsidRDefault="009D41DD" w:rsidP="00F97C31">
      <w:pPr>
        <w:pStyle w:val="BodyIndent1"/>
      </w:pPr>
      <w:r w:rsidRPr="00236907">
        <w:t xml:space="preserve">An authorised person can make an immediate order either orally </w:t>
      </w:r>
      <w:r w:rsidR="003C331C" w:rsidRPr="00236907">
        <w:t xml:space="preserve">or </w:t>
      </w:r>
      <w:r w:rsidRPr="00236907">
        <w:t xml:space="preserve">in writing. </w:t>
      </w:r>
      <w:r w:rsidR="00F109F2" w:rsidRPr="00236907">
        <w:t xml:space="preserve">If they make an oral order, they must give </w:t>
      </w:r>
      <w:r w:rsidR="00853F5B" w:rsidRPr="00236907">
        <w:t>the person to whom the order applies</w:t>
      </w:r>
      <w:r w:rsidR="00F109F2" w:rsidRPr="00236907">
        <w:t xml:space="preserve"> written notice of the order as soon as is practicable</w:t>
      </w:r>
      <w:r w:rsidR="00953519" w:rsidRPr="00236907">
        <w:t>, if possible</w:t>
      </w:r>
      <w:r w:rsidR="00F109F2" w:rsidRPr="00236907">
        <w:t>.</w:t>
      </w:r>
      <w:r w:rsidR="00832AB6" w:rsidRPr="00236907">
        <w:rPr>
          <w:rStyle w:val="FootnoteReference"/>
        </w:rPr>
        <w:footnoteReference w:id="20"/>
      </w:r>
      <w:r w:rsidR="00F109F2" w:rsidRPr="00236907">
        <w:t xml:space="preserve">  </w:t>
      </w:r>
    </w:p>
    <w:p w14:paraId="163EDDCA" w14:textId="17C5533D" w:rsidR="000D4F11" w:rsidRPr="00236907" w:rsidRDefault="00933309" w:rsidP="00F97C31">
      <w:pPr>
        <w:pStyle w:val="BodyIndent1"/>
      </w:pPr>
      <w:r w:rsidRPr="00236907">
        <w:t>Before making an ongoing order, an authorised person must give notice to the person</w:t>
      </w:r>
      <w:r w:rsidR="007127E4" w:rsidRPr="00236907">
        <w:t xml:space="preserve"> to whom </w:t>
      </w:r>
      <w:r w:rsidRPr="00236907">
        <w:t xml:space="preserve">they intend to make the order and provide 7 days in which </w:t>
      </w:r>
      <w:r w:rsidR="0074720D" w:rsidRPr="00236907">
        <w:t xml:space="preserve">the person </w:t>
      </w:r>
      <w:r w:rsidR="00BB26A7" w:rsidRPr="00236907">
        <w:t xml:space="preserve">may </w:t>
      </w:r>
      <w:r w:rsidRPr="00236907">
        <w:t>make submissions</w:t>
      </w:r>
      <w:r w:rsidR="003143F9" w:rsidRPr="00236907">
        <w:t xml:space="preserve"> in response</w:t>
      </w:r>
      <w:r w:rsidRPr="00236907">
        <w:t>.</w:t>
      </w:r>
      <w:r w:rsidR="005A7D9A" w:rsidRPr="00236907">
        <w:rPr>
          <w:rStyle w:val="FootnoteReference"/>
        </w:rPr>
        <w:footnoteReference w:id="21"/>
      </w:r>
      <w:r w:rsidR="003143F9" w:rsidRPr="00236907">
        <w:t xml:space="preserve"> These submissions may be in writing or, if the authorised person approves, </w:t>
      </w:r>
      <w:r w:rsidR="00EE20F9" w:rsidRPr="00236907">
        <w:t xml:space="preserve">may be </w:t>
      </w:r>
      <w:r w:rsidR="003143F9" w:rsidRPr="00236907">
        <w:t>verbal.</w:t>
      </w:r>
      <w:r w:rsidR="005F2BB7" w:rsidRPr="00236907">
        <w:t xml:space="preserve"> With the permission of the authorised person, the</w:t>
      </w:r>
      <w:r w:rsidR="00901017" w:rsidRPr="00236907">
        <w:t xml:space="preserve"> person</w:t>
      </w:r>
      <w:r w:rsidR="00351130" w:rsidRPr="00236907">
        <w:t xml:space="preserve"> who would be subject to the order</w:t>
      </w:r>
      <w:r w:rsidR="005F2BB7" w:rsidRPr="00236907">
        <w:t xml:space="preserve"> may also nominate someone else to make submissions on their behalf. </w:t>
      </w:r>
      <w:r w:rsidR="000D4F11" w:rsidRPr="00236907">
        <w:t>The authorised person must consider the submissions in making their decision.</w:t>
      </w:r>
      <w:r w:rsidR="00C74CC5" w:rsidRPr="00236907">
        <w:t xml:space="preserve"> The order must be served in writing, and the Ministerial Guidelines provide guidance on service.</w:t>
      </w:r>
      <w:r w:rsidR="00C74CC5" w:rsidRPr="00236907">
        <w:rPr>
          <w:rStyle w:val="FootnoteReference"/>
        </w:rPr>
        <w:footnoteReference w:id="22"/>
      </w:r>
    </w:p>
    <w:p w14:paraId="47051ECD" w14:textId="6D0A256A" w:rsidR="00F470EF" w:rsidRPr="00236907" w:rsidRDefault="00F470EF" w:rsidP="00F97C31">
      <w:pPr>
        <w:pStyle w:val="BodyIndent1"/>
      </w:pPr>
      <w:r w:rsidRPr="00236907">
        <w:lastRenderedPageBreak/>
        <w:t>The ET</w:t>
      </w:r>
      <w:r w:rsidR="002E4B11" w:rsidRPr="00236907">
        <w:t>R</w:t>
      </w:r>
      <w:r w:rsidRPr="00236907">
        <w:t xml:space="preserve"> Act is not explicit on whether the person has the right to make one set of submissions within the 7-day period or multiple sets of submissions over the 7-day period. </w:t>
      </w:r>
      <w:r w:rsidR="0099465A" w:rsidRPr="00236907">
        <w:t>In the examples we have reviewed</w:t>
      </w:r>
      <w:r w:rsidRPr="00236907">
        <w:t>, people subject to orders have provided a single response, although it is possible that a person could respond with multiple letters or emails objecting to the order, all of which the authorised person would need to consider.</w:t>
      </w:r>
    </w:p>
    <w:p w14:paraId="55F2E53C" w14:textId="515CDF6C" w:rsidR="00A5716A" w:rsidRPr="00236907" w:rsidRDefault="000A1531" w:rsidP="007F093F">
      <w:pPr>
        <w:pStyle w:val="BodyIndent1"/>
      </w:pPr>
      <w:r w:rsidRPr="00236907">
        <w:t>This procedure applies both when an authorised person is making an ongoing order where there is no order already in place, and when they have already issued an immediate order and are reviewing it to decide whether to issue an ongoing order in its place.</w:t>
      </w:r>
      <w:r w:rsidR="00933309" w:rsidRPr="00236907">
        <w:t xml:space="preserve"> </w:t>
      </w:r>
      <w:r w:rsidR="00A5716A" w:rsidRPr="00236907">
        <w:t xml:space="preserve">The Act </w:t>
      </w:r>
      <w:r w:rsidR="00876AA8" w:rsidRPr="00236907">
        <w:t xml:space="preserve">includes </w:t>
      </w:r>
      <w:r w:rsidR="00A5716A" w:rsidRPr="00236907">
        <w:t>a procedure for ongoing orders to be varied</w:t>
      </w:r>
      <w:r w:rsidR="00876AA8" w:rsidRPr="00236907">
        <w:t>.</w:t>
      </w:r>
      <w:r w:rsidR="00095F1D" w:rsidRPr="00236907">
        <w:rPr>
          <w:rStyle w:val="FootnoteReference"/>
        </w:rPr>
        <w:footnoteReference w:id="23"/>
      </w:r>
      <w:r w:rsidR="00A5716A" w:rsidRPr="00236907">
        <w:t xml:space="preserve"> </w:t>
      </w:r>
    </w:p>
    <w:p w14:paraId="514ACACB" w14:textId="63BB03A9" w:rsidR="008943D4" w:rsidRPr="00236907" w:rsidRDefault="008943D4" w:rsidP="00910AB4">
      <w:pPr>
        <w:pStyle w:val="Heading2"/>
      </w:pPr>
      <w:bookmarkStart w:id="15" w:name="_Toc210053615"/>
      <w:r w:rsidRPr="00236907">
        <w:t>Content and effect of orders</w:t>
      </w:r>
      <w:bookmarkEnd w:id="15"/>
    </w:p>
    <w:p w14:paraId="48163B45" w14:textId="0A6784B2" w:rsidR="004202CB" w:rsidRPr="00236907" w:rsidRDefault="00910AB4" w:rsidP="00910AB4">
      <w:pPr>
        <w:pStyle w:val="BodyIndent1"/>
      </w:pPr>
      <w:r w:rsidRPr="00236907">
        <w:t>The Act and Regulations list the matters which must be stated in both immediate and ongoing orders</w:t>
      </w:r>
      <w:r w:rsidR="00C5037C" w:rsidRPr="00236907">
        <w:t>, including the reasons for the order, what the order restricts the person from doing, any conditions attached, and</w:t>
      </w:r>
      <w:r w:rsidR="00C358FB" w:rsidRPr="00236907">
        <w:t>, for ongoing orders,</w:t>
      </w:r>
      <w:r w:rsidR="00C5037C" w:rsidRPr="00236907">
        <w:t xml:space="preserve"> how the person may have the order reviewed</w:t>
      </w:r>
      <w:r w:rsidRPr="00236907">
        <w:t>.</w:t>
      </w:r>
      <w:r w:rsidRPr="00236907">
        <w:rPr>
          <w:rStyle w:val="FootnoteReference"/>
        </w:rPr>
        <w:footnoteReference w:id="24"/>
      </w:r>
      <w:r w:rsidR="009B3E34" w:rsidRPr="00236907">
        <w:t xml:space="preserve"> </w:t>
      </w:r>
    </w:p>
    <w:p w14:paraId="79AA7ABF" w14:textId="39CBF3E4" w:rsidR="00C5037C" w:rsidRPr="00236907" w:rsidRDefault="004202CB" w:rsidP="00910AB4">
      <w:pPr>
        <w:pStyle w:val="BodyIndent1"/>
      </w:pPr>
      <w:r w:rsidRPr="00236907">
        <w:t>An immediate order may</w:t>
      </w:r>
      <w:r w:rsidR="00174BE8" w:rsidRPr="00236907">
        <w:t xml:space="preserve"> only</w:t>
      </w:r>
      <w:r w:rsidRPr="00236907">
        <w:t xml:space="preserve"> </w:t>
      </w:r>
      <w:r w:rsidR="006627C7" w:rsidRPr="00236907">
        <w:t>prohibit the person from entering or remaining on any school-related place of the relevant school specified in the order.</w:t>
      </w:r>
      <w:r w:rsidR="000E7FA1" w:rsidRPr="00236907">
        <w:rPr>
          <w:rStyle w:val="FootnoteReference"/>
        </w:rPr>
        <w:footnoteReference w:id="25"/>
      </w:r>
      <w:r w:rsidR="006627C7" w:rsidRPr="00236907">
        <w:t xml:space="preserve"> In practice, this means the order prohibits the person from coming within 25 metres of the school. </w:t>
      </w:r>
      <w:r w:rsidR="004F0FCB" w:rsidRPr="00236907">
        <w:t>An ongoing order may also prohibit the person from:</w:t>
      </w:r>
    </w:p>
    <w:p w14:paraId="2A5DD48E" w14:textId="202C0A79" w:rsidR="004F0FCB" w:rsidRPr="00236907" w:rsidRDefault="0013798D" w:rsidP="008A071C">
      <w:pPr>
        <w:pStyle w:val="BodyIndent1"/>
        <w:numPr>
          <w:ilvl w:val="0"/>
          <w:numId w:val="30"/>
        </w:numPr>
      </w:pPr>
      <w:r w:rsidRPr="00236907">
        <w:t>a</w:t>
      </w:r>
      <w:r w:rsidR="004F0FCB" w:rsidRPr="00236907">
        <w:t xml:space="preserve">pproaching a staff member or class of staff members, </w:t>
      </w:r>
      <w:proofErr w:type="gramStart"/>
      <w:r w:rsidR="004F0FCB" w:rsidRPr="00236907">
        <w:t>whether or not</w:t>
      </w:r>
      <w:proofErr w:type="gramEnd"/>
      <w:r w:rsidR="004F0FCB" w:rsidRPr="00236907">
        <w:t xml:space="preserve"> they are at a school-related place, or causing a third party to do </w:t>
      </w:r>
      <w:proofErr w:type="gramStart"/>
      <w:r w:rsidR="004F0FCB" w:rsidRPr="00236907">
        <w:t>so;</w:t>
      </w:r>
      <w:proofErr w:type="gramEnd"/>
    </w:p>
    <w:p w14:paraId="18B36E8B" w14:textId="482C093C" w:rsidR="004F0FCB" w:rsidRPr="00236907" w:rsidRDefault="0013798D" w:rsidP="008A071C">
      <w:pPr>
        <w:pStyle w:val="BodyIndent1"/>
        <w:numPr>
          <w:ilvl w:val="0"/>
          <w:numId w:val="30"/>
        </w:numPr>
      </w:pPr>
      <w:r w:rsidRPr="00236907">
        <w:t>c</w:t>
      </w:r>
      <w:r w:rsidR="004F0FCB" w:rsidRPr="00236907">
        <w:t>ontacting a staff member; or</w:t>
      </w:r>
    </w:p>
    <w:p w14:paraId="43564C7D" w14:textId="1208C3FB" w:rsidR="004F0FCB" w:rsidRPr="00236907" w:rsidRDefault="0013798D" w:rsidP="008A071C">
      <w:pPr>
        <w:pStyle w:val="BodyIndent1"/>
        <w:numPr>
          <w:ilvl w:val="0"/>
          <w:numId w:val="30"/>
        </w:numPr>
      </w:pPr>
      <w:r w:rsidRPr="00236907">
        <w:t>u</w:t>
      </w:r>
      <w:r w:rsidR="004F0FCB" w:rsidRPr="00236907">
        <w:t>sing a school communication platform or channel.</w:t>
      </w:r>
    </w:p>
    <w:p w14:paraId="2DD91A35" w14:textId="63DFF717" w:rsidR="00174BE8" w:rsidRPr="00236907" w:rsidRDefault="00174BE8" w:rsidP="00910AB4">
      <w:pPr>
        <w:pStyle w:val="BodyIndent1"/>
      </w:pPr>
      <w:r w:rsidRPr="00236907">
        <w:t xml:space="preserve">This approach is consistent with the policy behind having two types of orders, where immediate orders are designed only to address behaviours imposing an immediate risk. </w:t>
      </w:r>
    </w:p>
    <w:p w14:paraId="25636966" w14:textId="057A0238" w:rsidR="001679A6" w:rsidRPr="00236907" w:rsidRDefault="00910AB4" w:rsidP="00910AB4">
      <w:pPr>
        <w:pStyle w:val="BodyIndent1"/>
      </w:pPr>
      <w:r w:rsidRPr="00236907">
        <w:t>Both immediate an</w:t>
      </w:r>
      <w:r w:rsidR="005109A7" w:rsidRPr="00236907">
        <w:t>d</w:t>
      </w:r>
      <w:r w:rsidRPr="00236907">
        <w:t xml:space="preserve"> ongoing orders may include conditions, for example, only permitting a person to attend the school at certain times and places</w:t>
      </w:r>
      <w:r w:rsidR="005A7FCF" w:rsidRPr="00236907">
        <w:t xml:space="preserve">. They may also include </w:t>
      </w:r>
      <w:r w:rsidRPr="00236907">
        <w:t xml:space="preserve">conditions </w:t>
      </w:r>
      <w:r w:rsidR="005A7FCF" w:rsidRPr="00236907">
        <w:t>which the person can meet to have the order</w:t>
      </w:r>
      <w:r w:rsidRPr="00236907">
        <w:t xml:space="preserve"> revoked.</w:t>
      </w:r>
      <w:r w:rsidRPr="00236907">
        <w:rPr>
          <w:rStyle w:val="FootnoteReference"/>
        </w:rPr>
        <w:footnoteReference w:id="26"/>
      </w:r>
    </w:p>
    <w:p w14:paraId="1CF5E146" w14:textId="2457110B" w:rsidR="00D23CF8" w:rsidRPr="00236907" w:rsidRDefault="003C2659" w:rsidP="00D23CF8">
      <w:pPr>
        <w:pStyle w:val="BodyIndent1"/>
      </w:pPr>
      <w:r w:rsidRPr="00236907">
        <w:t xml:space="preserve">When determining </w:t>
      </w:r>
      <w:r w:rsidR="00294978" w:rsidRPr="00236907">
        <w:t xml:space="preserve">the conditions and restrictions of an order, the </w:t>
      </w:r>
      <w:r w:rsidR="000F7362" w:rsidRPr="00236907">
        <w:t xml:space="preserve">authorised person must continue to </w:t>
      </w:r>
      <w:r w:rsidR="0044626B" w:rsidRPr="00236907">
        <w:t>consider reasonable necessity, vulnerability, and less-restrictive alternatives. As the Ministerial Guidelines explain</w:t>
      </w:r>
      <w:r w:rsidR="006F12F0" w:rsidRPr="00236907">
        <w:t>, “while ongoing orders</w:t>
      </w:r>
      <w:r w:rsidR="006F12F0" w:rsidRPr="00236907">
        <w:rPr>
          <w:rFonts w:eastAsia="Arial"/>
        </w:rPr>
        <w:t xml:space="preserve"> </w:t>
      </w:r>
      <w:r w:rsidR="006F12F0" w:rsidRPr="00236907">
        <w:t>can prohibit a person from engaging in a wide range of behaviours, the content and effect of an</w:t>
      </w:r>
      <w:r w:rsidR="006F12F0" w:rsidRPr="00236907">
        <w:rPr>
          <w:rFonts w:eastAsia="Arial"/>
        </w:rPr>
        <w:t xml:space="preserve"> </w:t>
      </w:r>
      <w:r w:rsidR="006F12F0" w:rsidRPr="00236907">
        <w:t>order must be proportionate to the behaviour the order seeks to address”, and “</w:t>
      </w:r>
      <w:r w:rsidR="005B0C02" w:rsidRPr="00236907">
        <w:t>[w]</w:t>
      </w:r>
      <w:r w:rsidR="00D23CF8" w:rsidRPr="00236907">
        <w:t>hen deciding whether to impose conditions on an order, and what those conditions may be,</w:t>
      </w:r>
      <w:r w:rsidR="005B0C02" w:rsidRPr="00236907">
        <w:t xml:space="preserve"> </w:t>
      </w:r>
      <w:r w:rsidR="00D23CF8" w:rsidRPr="00236907">
        <w:t>authorised persons must ensure these are the least restrictive conditions possible to address</w:t>
      </w:r>
      <w:r w:rsidR="005B0C02" w:rsidRPr="00236907">
        <w:t xml:space="preserve"> </w:t>
      </w:r>
      <w:r w:rsidR="00D23CF8" w:rsidRPr="00236907">
        <w:t>the grounds of the order, for example, by restricting the scope of an order to the staff members</w:t>
      </w:r>
      <w:r w:rsidR="005B0C02" w:rsidRPr="00236907">
        <w:t xml:space="preserve"> </w:t>
      </w:r>
      <w:r w:rsidR="00D23CF8" w:rsidRPr="00236907">
        <w:t>or parts of the school that are likely to be impacted by the harm or disruption that the order is</w:t>
      </w:r>
      <w:r w:rsidR="005B0C02" w:rsidRPr="00236907">
        <w:t xml:space="preserve"> </w:t>
      </w:r>
      <w:r w:rsidR="00D23CF8" w:rsidRPr="00236907">
        <w:t>seeking to address</w:t>
      </w:r>
      <w:r w:rsidR="005B0C02" w:rsidRPr="00236907">
        <w:t>”</w:t>
      </w:r>
      <w:r w:rsidR="00D23CF8" w:rsidRPr="00236907">
        <w:t>.</w:t>
      </w:r>
      <w:r w:rsidR="005B0C02" w:rsidRPr="00236907">
        <w:rPr>
          <w:rStyle w:val="FootnoteReference"/>
        </w:rPr>
        <w:footnoteReference w:id="27"/>
      </w:r>
    </w:p>
    <w:p w14:paraId="10750343" w14:textId="24548B0D" w:rsidR="00DF3B42" w:rsidRPr="00236907" w:rsidRDefault="00DF3B42" w:rsidP="00011DD0">
      <w:pPr>
        <w:pStyle w:val="Heading2"/>
      </w:pPr>
      <w:bookmarkStart w:id="16" w:name="_Toc210053616"/>
      <w:r w:rsidRPr="00236907">
        <w:t>Communication and access p</w:t>
      </w:r>
      <w:r w:rsidR="000F4FCA" w:rsidRPr="00236907">
        <w:t>rotocols</w:t>
      </w:r>
      <w:bookmarkEnd w:id="16"/>
    </w:p>
    <w:p w14:paraId="5F97F44E" w14:textId="257B3B9F" w:rsidR="00795D98" w:rsidRPr="00236907" w:rsidRDefault="001600E8" w:rsidP="00795D98">
      <w:pPr>
        <w:pStyle w:val="BodyIndent1"/>
      </w:pPr>
      <w:r w:rsidRPr="00236907">
        <w:t xml:space="preserve">In many cases, an authorised person will need to make an order to manage behaviour from the parent of a child at the school. This presents significant challenges, as the Scheme </w:t>
      </w:r>
      <w:r w:rsidRPr="00236907">
        <w:lastRenderedPageBreak/>
        <w:t>needs to protect the school community w</w:t>
      </w:r>
      <w:r w:rsidR="0089062A" w:rsidRPr="00236907">
        <w:t>hile having as little impact as possible on the child’s education.</w:t>
      </w:r>
    </w:p>
    <w:p w14:paraId="223EA6CF" w14:textId="660A3C56" w:rsidR="0051288D" w:rsidRPr="00236907" w:rsidRDefault="00504A17" w:rsidP="001A310D">
      <w:pPr>
        <w:pStyle w:val="BodyIndent1"/>
      </w:pPr>
      <w:r w:rsidRPr="00236907">
        <w:t xml:space="preserve">To address this, the ETR Act requires an authorised person to prepare a communication and access protocol when they </w:t>
      </w:r>
      <w:r w:rsidR="002062EE" w:rsidRPr="00236907">
        <w:t>make either an immediate or ongoing order</w:t>
      </w:r>
      <w:r w:rsidR="00E5072F" w:rsidRPr="00236907">
        <w:t xml:space="preserve"> to the parent of a child at the school</w:t>
      </w:r>
      <w:r w:rsidR="002062EE" w:rsidRPr="00236907">
        <w:t>.</w:t>
      </w:r>
      <w:r w:rsidR="002062EE" w:rsidRPr="00236907">
        <w:rPr>
          <w:rStyle w:val="FootnoteReference"/>
        </w:rPr>
        <w:footnoteReference w:id="28"/>
      </w:r>
      <w:r w:rsidR="00E1097E" w:rsidRPr="00236907">
        <w:t xml:space="preserve"> The protocols must set out arrangements for the parent to continue to communicate with the school about their child’s education, and arrangements to ensure that their child continues to have safe access to the school and school activities.</w:t>
      </w:r>
      <w:r w:rsidR="00BC571F" w:rsidRPr="00236907">
        <w:t xml:space="preserve"> </w:t>
      </w:r>
      <w:r w:rsidR="001A310D" w:rsidRPr="00236907">
        <w:t>In the second reading speech, the Minister noted that the protocol was designed “</w:t>
      </w:r>
      <w:r w:rsidR="0051288D" w:rsidRPr="00236907">
        <w:t>to ensure that the parent can continue to be informed of and participate in their child’s education</w:t>
      </w:r>
      <w:r w:rsidR="00B13F83" w:rsidRPr="00236907">
        <w:t>”.</w:t>
      </w:r>
      <w:r w:rsidR="00384422" w:rsidRPr="00236907">
        <w:rPr>
          <w:rStyle w:val="FootnoteReference"/>
        </w:rPr>
        <w:footnoteReference w:id="29"/>
      </w:r>
      <w:r w:rsidR="005F5B4E" w:rsidRPr="00236907">
        <w:t xml:space="preserve"> The Ministerial Guidelines provide examples of these protocols, such as allowing a parent to attend a specific event, or allowing a parent to communicate with the school through online channels.</w:t>
      </w:r>
      <w:r w:rsidR="008B7A44" w:rsidRPr="00236907">
        <w:rPr>
          <w:rStyle w:val="FootnoteReference"/>
        </w:rPr>
        <w:footnoteReference w:id="30"/>
      </w:r>
    </w:p>
    <w:p w14:paraId="3A431AAF" w14:textId="145EB5E6" w:rsidR="008D0C47" w:rsidRPr="00236907" w:rsidRDefault="00B729CE" w:rsidP="00011DD0">
      <w:pPr>
        <w:pStyle w:val="Heading2"/>
      </w:pPr>
      <w:bookmarkStart w:id="17" w:name="_Toc210053617"/>
      <w:r w:rsidRPr="00236907">
        <w:t>Internal review</w:t>
      </w:r>
      <w:bookmarkEnd w:id="17"/>
    </w:p>
    <w:p w14:paraId="61FA39D0" w14:textId="0BDAB81D" w:rsidR="00FB27A1" w:rsidRPr="00236907" w:rsidRDefault="00E9679E">
      <w:pPr>
        <w:pStyle w:val="Numpara1"/>
        <w:numPr>
          <w:ilvl w:val="0"/>
          <w:numId w:val="0"/>
        </w:numPr>
        <w:ind w:left="851"/>
      </w:pPr>
      <w:r w:rsidRPr="00236907">
        <w:t>A person who is subject to an order may apply to the school in writing for an internal review of the decision to make, vary, refuse to vary, or refuse to revoke an order, and the school must refer this application to a reviewer as soon as practicable.</w:t>
      </w:r>
      <w:r w:rsidRPr="00236907">
        <w:rPr>
          <w:rStyle w:val="FootnoteReference"/>
        </w:rPr>
        <w:footnoteReference w:id="31"/>
      </w:r>
      <w:r w:rsidRPr="00236907">
        <w:t xml:space="preserve"> For a </w:t>
      </w:r>
      <w:r w:rsidR="00E61A0C">
        <w:t>g</w:t>
      </w:r>
      <w:r w:rsidRPr="00236907">
        <w:t>overnment school, the reviewer is the Secretary, and for a non-government school, it is a person nominated by the principal or the proprietor of the school.</w:t>
      </w:r>
      <w:r w:rsidRPr="00236907">
        <w:rPr>
          <w:rStyle w:val="FootnoteReference"/>
        </w:rPr>
        <w:footnoteReference w:id="32"/>
      </w:r>
      <w:r w:rsidRPr="00236907">
        <w:t xml:space="preserve"> </w:t>
      </w:r>
      <w:r w:rsidR="00FB27A1" w:rsidRPr="00236907">
        <w:t xml:space="preserve">In Instrument of Delegation 2024/D10, the Secretary delegated </w:t>
      </w:r>
      <w:r w:rsidR="00833E06" w:rsidRPr="00236907">
        <w:t>their review powers to the Deputy Secretary, Schools and Regional Services and Assistant Deputy Secretary, Schools and Regional Services.</w:t>
      </w:r>
    </w:p>
    <w:p w14:paraId="2C865129" w14:textId="2AB91210" w:rsidR="006B0EE4" w:rsidRPr="00236907" w:rsidRDefault="00E9679E" w:rsidP="00032390">
      <w:pPr>
        <w:pStyle w:val="Numpara1"/>
        <w:numPr>
          <w:ilvl w:val="0"/>
          <w:numId w:val="0"/>
        </w:numPr>
        <w:ind w:left="851"/>
      </w:pPr>
      <w:r w:rsidRPr="00236907">
        <w:t xml:space="preserve">The reviewer must </w:t>
      </w:r>
      <w:proofErr w:type="gramStart"/>
      <w:r w:rsidRPr="00236907">
        <w:t>make a decision</w:t>
      </w:r>
      <w:proofErr w:type="gramEnd"/>
      <w:r w:rsidRPr="00236907">
        <w:t xml:space="preserve"> within 28 days of the original application.</w:t>
      </w:r>
      <w:r w:rsidRPr="00236907">
        <w:rPr>
          <w:rStyle w:val="FootnoteReference"/>
        </w:rPr>
        <w:footnoteReference w:id="33"/>
      </w:r>
      <w:r w:rsidRPr="00236907">
        <w:t xml:space="preserve"> If the reviewer does not </w:t>
      </w:r>
      <w:proofErr w:type="gramStart"/>
      <w:r w:rsidRPr="00236907">
        <w:t>make a decision</w:t>
      </w:r>
      <w:proofErr w:type="gramEnd"/>
      <w:r w:rsidRPr="00236907">
        <w:t xml:space="preserve"> in 28 days, the order is revoked.</w:t>
      </w:r>
      <w:r w:rsidRPr="00236907">
        <w:rPr>
          <w:rStyle w:val="FootnoteReference"/>
        </w:rPr>
        <w:footnoteReference w:id="34"/>
      </w:r>
      <w:r w:rsidR="00D24A75" w:rsidRPr="00236907">
        <w:t xml:space="preserve"> </w:t>
      </w:r>
      <w:r w:rsidR="006B0EE4" w:rsidRPr="00236907">
        <w:t>The Ministerial Guidelines make it clear that the review is a merits review</w:t>
      </w:r>
      <w:r w:rsidR="005D4005" w:rsidRPr="00236907">
        <w:t>:</w:t>
      </w:r>
    </w:p>
    <w:p w14:paraId="7D46542A" w14:textId="0AC23E1C" w:rsidR="006B0EE4" w:rsidRPr="00236907" w:rsidRDefault="006B0EE4" w:rsidP="005A6EFE">
      <w:pPr>
        <w:pStyle w:val="Numpara1"/>
        <w:numPr>
          <w:ilvl w:val="0"/>
          <w:numId w:val="0"/>
        </w:numPr>
        <w:ind w:left="1702"/>
      </w:pPr>
      <w:r w:rsidRPr="00236907">
        <w:rPr>
          <w:i/>
          <w:iCs/>
        </w:rPr>
        <w:t>The internal review of a decision in relation to an ongoing order is a ‘merits review’, which means the reviewer must reconsider the relevant facts and law (and any additional material, such as submissions made or further information that the reviewer requests be provided by the person seeking the review or other persons) to determine the correct and preferable decision.</w:t>
      </w:r>
      <w:r w:rsidR="00FE420F" w:rsidRPr="00236907">
        <w:rPr>
          <w:rStyle w:val="FootnoteReference"/>
        </w:rPr>
        <w:footnoteReference w:id="35"/>
      </w:r>
    </w:p>
    <w:p w14:paraId="335B66DB" w14:textId="3B1FA0C6" w:rsidR="00F9194B" w:rsidRPr="00236907" w:rsidRDefault="00F9194B" w:rsidP="00F9194B">
      <w:pPr>
        <w:pStyle w:val="Numpara1"/>
        <w:numPr>
          <w:ilvl w:val="0"/>
          <w:numId w:val="0"/>
        </w:numPr>
        <w:ind w:left="851"/>
      </w:pPr>
      <w:r w:rsidRPr="00236907">
        <w:t>The reviewer</w:t>
      </w:r>
      <w:r w:rsidR="003414EF" w:rsidRPr="00236907">
        <w:t xml:space="preserve"> therefore needs to consider the same matters as the original</w:t>
      </w:r>
      <w:r w:rsidR="000E45D9">
        <w:t xml:space="preserve"> </w:t>
      </w:r>
      <w:r w:rsidR="003414EF" w:rsidRPr="00236907">
        <w:t xml:space="preserve">decision-maker, including whether there are grounds for making the order, whether the order is reasonably necessary, and whether there are less-restrictive options available, </w:t>
      </w:r>
      <w:proofErr w:type="gramStart"/>
      <w:r w:rsidR="003414EF" w:rsidRPr="00236907">
        <w:t>taking into account</w:t>
      </w:r>
      <w:proofErr w:type="gramEnd"/>
      <w:r w:rsidR="003414EF" w:rsidRPr="00236907">
        <w:t xml:space="preserve"> any vulnerability which the person may have</w:t>
      </w:r>
      <w:r w:rsidR="009A2D1E" w:rsidRPr="00236907">
        <w:t>:</w:t>
      </w:r>
    </w:p>
    <w:p w14:paraId="600A6AAD" w14:textId="4E22D54E" w:rsidR="003E674C" w:rsidRPr="00236907" w:rsidRDefault="006B0EE4" w:rsidP="009A2D1E">
      <w:pPr>
        <w:pStyle w:val="Numpara1"/>
        <w:numPr>
          <w:ilvl w:val="0"/>
          <w:numId w:val="0"/>
        </w:numPr>
        <w:ind w:left="1702"/>
        <w:rPr>
          <w:i/>
          <w:iCs/>
        </w:rPr>
      </w:pPr>
      <w:r w:rsidRPr="00236907">
        <w:rPr>
          <w:i/>
          <w:iCs/>
        </w:rPr>
        <w:t>…the same grounds, mandatory considerations, and requirement of reasonable necessity, discussed in detail in these Guidelines, apply to a decision by a reviewer in the same way as they apply to a decision by an authorised person. A reviewer must also consider all relevant considerations and must disregard any irrelevant considerations.</w:t>
      </w:r>
      <w:r w:rsidR="00F15EA9" w:rsidRPr="00236907">
        <w:rPr>
          <w:rStyle w:val="FootnoteReference"/>
        </w:rPr>
        <w:footnoteReference w:id="36"/>
      </w:r>
    </w:p>
    <w:p w14:paraId="03010732" w14:textId="3184A68C" w:rsidR="007D6EA5" w:rsidRPr="00236907" w:rsidRDefault="00537A34" w:rsidP="007D6EA5">
      <w:pPr>
        <w:pStyle w:val="BodyIndent1"/>
      </w:pPr>
      <w:r w:rsidRPr="00236907">
        <w:t>The person must have the opportunity to make submissions, and may be represented</w:t>
      </w:r>
      <w:r w:rsidR="005364F8" w:rsidRPr="00236907">
        <w:t>, accompanied or assisted</w:t>
      </w:r>
      <w:r w:rsidRPr="00236907">
        <w:t xml:space="preserve"> through the process by another person. </w:t>
      </w:r>
      <w:r w:rsidR="00AF47A3" w:rsidRPr="00236907">
        <w:t xml:space="preserve">The Ministerial Guidelines </w:t>
      </w:r>
      <w:r w:rsidR="00AF47A3" w:rsidRPr="00236907">
        <w:lastRenderedPageBreak/>
        <w:t xml:space="preserve">require the reviewer to adhere to the same principles of procedural fairness as </w:t>
      </w:r>
      <w:r w:rsidR="00EF5A47" w:rsidRPr="00236907">
        <w:t xml:space="preserve">they require of </w:t>
      </w:r>
      <w:r w:rsidR="00AF47A3" w:rsidRPr="00236907">
        <w:t>the original decision-maker.</w:t>
      </w:r>
      <w:r w:rsidR="00E432EF" w:rsidRPr="00236907">
        <w:rPr>
          <w:rStyle w:val="FootnoteReference"/>
        </w:rPr>
        <w:footnoteReference w:id="37"/>
      </w:r>
    </w:p>
    <w:p w14:paraId="3B7AD8AB" w14:textId="2C11216A" w:rsidR="0035795D" w:rsidRPr="00236907" w:rsidRDefault="002703E6" w:rsidP="00AD3CC5">
      <w:pPr>
        <w:pStyle w:val="BodyIndent1"/>
      </w:pPr>
      <w:r w:rsidRPr="00236907">
        <w:t>In 2023-24, six applications were lodged for internal review</w:t>
      </w:r>
      <w:r w:rsidR="00AD3CC5" w:rsidRPr="00236907">
        <w:t>, leading to four orders being affirmed</w:t>
      </w:r>
      <w:r w:rsidR="003213FE" w:rsidRPr="00236907">
        <w:t xml:space="preserve">, </w:t>
      </w:r>
      <w:r w:rsidR="00FE6E2F" w:rsidRPr="00236907">
        <w:t xml:space="preserve">including </w:t>
      </w:r>
      <w:r w:rsidR="00AD3CC5" w:rsidRPr="00236907">
        <w:t>two with minor variations to clarify the requirements.</w:t>
      </w:r>
      <w:r w:rsidR="00AD3CC5" w:rsidRPr="00236907">
        <w:rPr>
          <w:rStyle w:val="FootnoteReference"/>
        </w:rPr>
        <w:footnoteReference w:id="38"/>
      </w:r>
      <w:r w:rsidR="00AD3CC5" w:rsidRPr="00236907">
        <w:t xml:space="preserve"> </w:t>
      </w:r>
      <w:r w:rsidR="00606079" w:rsidRPr="00236907">
        <w:t xml:space="preserve">One application was withdrawn, and one was unresolved before the commencement of this review. </w:t>
      </w:r>
      <w:r w:rsidR="00AD3CC5" w:rsidRPr="00236907">
        <w:t xml:space="preserve">In 2022-23, one application was lodged, but the internal review did not proceed as </w:t>
      </w:r>
      <w:r w:rsidR="00803105" w:rsidRPr="00236907">
        <w:t>the order was revoked due to procedural issues.</w:t>
      </w:r>
      <w:r w:rsidR="00B16EBB" w:rsidRPr="00236907">
        <w:rPr>
          <w:rStyle w:val="FootnoteReference"/>
        </w:rPr>
        <w:footnoteReference w:id="39"/>
      </w:r>
    </w:p>
    <w:p w14:paraId="20FFD929" w14:textId="1B1AA916" w:rsidR="00610B41" w:rsidRPr="00236907" w:rsidRDefault="006158D9" w:rsidP="00AD3CC5">
      <w:pPr>
        <w:pStyle w:val="BodyIndent1"/>
      </w:pPr>
      <w:r w:rsidRPr="00236907">
        <w:t xml:space="preserve">At the time of this review, the Department is considering </w:t>
      </w:r>
      <w:r w:rsidR="006B35FE" w:rsidRPr="00236907">
        <w:t>options to simplify the review process with</w:t>
      </w:r>
      <w:r w:rsidR="00E61A0C">
        <w:t>out</w:t>
      </w:r>
      <w:r w:rsidR="006B35FE" w:rsidRPr="00236907">
        <w:t xml:space="preserve"> compromising compliance with the ETRA, Guidelines, and principles of good administrative decision-making and natural justice</w:t>
      </w:r>
      <w:r w:rsidR="00844B59" w:rsidRPr="00236907">
        <w:t>,</w:t>
      </w:r>
      <w:r w:rsidR="00FA79E5" w:rsidRPr="00236907">
        <w:t xml:space="preserve"> and making changes to its process</w:t>
      </w:r>
      <w:r w:rsidRPr="00236907">
        <w:t>.</w:t>
      </w:r>
      <w:r w:rsidR="003A0F43" w:rsidRPr="00236907">
        <w:t xml:space="preserve"> It is important to note that much of the feedback on the internal review process will relate to the earlier and unmodified process. </w:t>
      </w:r>
    </w:p>
    <w:p w14:paraId="66A3DAA2" w14:textId="25C73B1A" w:rsidR="003B2AA0" w:rsidRPr="00236907" w:rsidRDefault="003B2AA0" w:rsidP="003B2AA0">
      <w:pPr>
        <w:pStyle w:val="Heading2"/>
      </w:pPr>
      <w:bookmarkStart w:id="18" w:name="_Toc210053618"/>
      <w:r w:rsidRPr="00236907">
        <w:t xml:space="preserve">External </w:t>
      </w:r>
      <w:r w:rsidR="004D5A8B" w:rsidRPr="00236907">
        <w:t>r</w:t>
      </w:r>
      <w:r w:rsidRPr="00236907">
        <w:t>eview</w:t>
      </w:r>
      <w:bookmarkEnd w:id="18"/>
    </w:p>
    <w:p w14:paraId="6A6959B8" w14:textId="7903A0E9" w:rsidR="003B2AA0" w:rsidRPr="00236907" w:rsidRDefault="00032390" w:rsidP="003B2AA0">
      <w:pPr>
        <w:pStyle w:val="BodyIndent1"/>
      </w:pPr>
      <w:r w:rsidRPr="00236907">
        <w:t>Following internal review, there is an avenue of external review to VCAT.</w:t>
      </w:r>
      <w:r w:rsidRPr="00236907">
        <w:rPr>
          <w:rStyle w:val="FootnoteReference"/>
        </w:rPr>
        <w:footnoteReference w:id="40"/>
      </w:r>
      <w:r w:rsidR="00100BF0" w:rsidRPr="00236907">
        <w:t xml:space="preserve"> In the event that an application proceeds to </w:t>
      </w:r>
      <w:r w:rsidR="000E45D9">
        <w:t>external</w:t>
      </w:r>
      <w:r w:rsidR="000E45D9" w:rsidRPr="00236907">
        <w:t xml:space="preserve"> </w:t>
      </w:r>
      <w:r w:rsidR="00100BF0" w:rsidRPr="00236907">
        <w:t xml:space="preserve">review, the Ministerial Guidelines </w:t>
      </w:r>
      <w:r w:rsidR="005D4005" w:rsidRPr="00236907">
        <w:t xml:space="preserve">confirm that </w:t>
      </w:r>
      <w:r w:rsidR="00100BF0" w:rsidRPr="00236907">
        <w:t xml:space="preserve">the Department </w:t>
      </w:r>
      <w:r w:rsidR="005D4005" w:rsidRPr="00236907">
        <w:t>must</w:t>
      </w:r>
      <w:r w:rsidR="00100BF0" w:rsidRPr="00236907">
        <w:t xml:space="preserve"> follow the Model Litigant Guidelines.</w:t>
      </w:r>
      <w:r w:rsidR="00BF6D3B" w:rsidRPr="00236907">
        <w:rPr>
          <w:rStyle w:val="FootnoteReference"/>
        </w:rPr>
        <w:footnoteReference w:id="41"/>
      </w:r>
      <w:r w:rsidR="00312156" w:rsidRPr="00236907">
        <w:t xml:space="preserve"> At the time of writing, </w:t>
      </w:r>
      <w:r w:rsidR="005D4005" w:rsidRPr="00236907">
        <w:t>two orders have</w:t>
      </w:r>
      <w:r w:rsidR="00780A2A" w:rsidRPr="00236907">
        <w:t xml:space="preserve"> progressed to external review</w:t>
      </w:r>
      <w:r w:rsidR="005D4005" w:rsidRPr="00236907">
        <w:t>, both of which have not yet been heard</w:t>
      </w:r>
      <w:r w:rsidR="00A178AF" w:rsidRPr="00236907">
        <w:t>.</w:t>
      </w:r>
    </w:p>
    <w:p w14:paraId="1EA54BF7" w14:textId="2D02CC0D" w:rsidR="006D47DE" w:rsidRPr="00236907" w:rsidRDefault="000D16CA" w:rsidP="006D47DE">
      <w:pPr>
        <w:pStyle w:val="Heading2"/>
      </w:pPr>
      <w:bookmarkStart w:id="19" w:name="_Toc210053619"/>
      <w:r w:rsidRPr="00236907">
        <w:t xml:space="preserve">Monitoring and </w:t>
      </w:r>
      <w:r w:rsidR="004D5A8B" w:rsidRPr="00236907">
        <w:t>e</w:t>
      </w:r>
      <w:r w:rsidR="0054615F" w:rsidRPr="00236907">
        <w:t>nforcement</w:t>
      </w:r>
      <w:bookmarkEnd w:id="19"/>
    </w:p>
    <w:p w14:paraId="466012D4" w14:textId="51C1E3F1" w:rsidR="006D47DE" w:rsidRPr="00236907" w:rsidRDefault="00BF5665" w:rsidP="006D47DE">
      <w:pPr>
        <w:pStyle w:val="BodyIndent1"/>
      </w:pPr>
      <w:r w:rsidRPr="00236907">
        <w:t>The Ministerial Guidelines require schools to actively monitor compliance with the order, for example, by informing relevant staff and directing them to contact the principal if they become aware of a breach.</w:t>
      </w:r>
      <w:r w:rsidR="00CC7EFB" w:rsidRPr="00236907">
        <w:rPr>
          <w:rStyle w:val="FootnoteReference"/>
        </w:rPr>
        <w:footnoteReference w:id="42"/>
      </w:r>
      <w:r w:rsidR="001C2085" w:rsidRPr="00236907">
        <w:t xml:space="preserve"> If the person does breach the order, then the Secretary, school nominee or school proprietor may apply to the Magistrates’ Court to enforce the order.</w:t>
      </w:r>
      <w:r w:rsidR="00D87DBC" w:rsidRPr="00236907">
        <w:rPr>
          <w:rStyle w:val="FootnoteReference"/>
        </w:rPr>
        <w:footnoteReference w:id="43"/>
      </w:r>
      <w:r w:rsidR="001C2085" w:rsidRPr="00236907">
        <w:t xml:space="preserve"> The Court may order the person to pay a civil penalty of up to 60 penalty units, or may make an order to compel the person to comply with the order, an order </w:t>
      </w:r>
      <w:r w:rsidR="00B60888" w:rsidRPr="00236907">
        <w:t xml:space="preserve">to </w:t>
      </w:r>
      <w:r w:rsidR="001C2085" w:rsidRPr="00236907">
        <w:t>compel the person to take specified action to comply with the order, or any other orders the Court considers appropriate.</w:t>
      </w:r>
      <w:r w:rsidR="00844ED7" w:rsidRPr="00236907">
        <w:rPr>
          <w:rStyle w:val="FootnoteReference"/>
        </w:rPr>
        <w:footnoteReference w:id="44"/>
      </w:r>
    </w:p>
    <w:p w14:paraId="3C366856" w14:textId="7F5F2134" w:rsidR="006E2C7E" w:rsidRPr="00236907" w:rsidRDefault="006E2C7E" w:rsidP="006D47DE">
      <w:pPr>
        <w:pStyle w:val="BodyIndent1"/>
      </w:pPr>
      <w:r w:rsidRPr="00236907">
        <w:t xml:space="preserve">The Scheme is deliberately designed </w:t>
      </w:r>
      <w:r w:rsidR="009E15C5" w:rsidRPr="00236907">
        <w:t xml:space="preserve">such that </w:t>
      </w:r>
      <w:r w:rsidR="0081197C" w:rsidRPr="00236907">
        <w:t>only</w:t>
      </w:r>
      <w:r w:rsidRPr="00236907">
        <w:t xml:space="preserve"> civil </w:t>
      </w:r>
      <w:r w:rsidR="0081197C" w:rsidRPr="00236907">
        <w:t>penalties can be incurred</w:t>
      </w:r>
      <w:r w:rsidR="00FE4CE0" w:rsidRPr="00236907">
        <w:t xml:space="preserve"> </w:t>
      </w:r>
      <w:r w:rsidR="006C57A9" w:rsidRPr="00236907">
        <w:t xml:space="preserve">in response to a breach of an order. </w:t>
      </w:r>
      <w:r w:rsidRPr="00236907">
        <w:t xml:space="preserve">As </w:t>
      </w:r>
      <w:r w:rsidR="000325AA" w:rsidRPr="00236907">
        <w:t xml:space="preserve">the Minister </w:t>
      </w:r>
      <w:r w:rsidRPr="00236907">
        <w:t>said in the second reading speech, the civil penalty mechanism “ensures that School Community Safety Orders are not enforced through the criminal justice system, which is not considered appropriate in the circumstances</w:t>
      </w:r>
      <w:r w:rsidR="008D5E72" w:rsidRPr="00236907">
        <w:t>”.</w:t>
      </w:r>
      <w:r w:rsidR="00B03382" w:rsidRPr="00236907">
        <w:rPr>
          <w:rStyle w:val="FootnoteReference"/>
        </w:rPr>
        <w:footnoteReference w:id="45"/>
      </w:r>
      <w:r w:rsidR="00B03382" w:rsidRPr="00236907">
        <w:t xml:space="preserve"> Given the broad powers available under the </w:t>
      </w:r>
      <w:r w:rsidR="005D4005" w:rsidRPr="00236907">
        <w:t>S</w:t>
      </w:r>
      <w:r w:rsidR="00B03382" w:rsidRPr="00236907">
        <w:t>cheme, having criminal penalties would allow school principals to criminalise an extremely wide range of conduct</w:t>
      </w:r>
      <w:r w:rsidR="00F54D1E" w:rsidRPr="00236907">
        <w:t>, beyond what is covered by TWNs and PSIOs which are already available to principals in certain circumstances</w:t>
      </w:r>
      <w:r w:rsidR="00B03382" w:rsidRPr="00236907">
        <w:t xml:space="preserve">. </w:t>
      </w:r>
      <w:r w:rsidR="008D5E72" w:rsidRPr="00236907">
        <w:t xml:space="preserve"> </w:t>
      </w:r>
    </w:p>
    <w:p w14:paraId="7C0B4D25" w14:textId="3D4FFF05" w:rsidR="00C07E11" w:rsidRPr="00236907" w:rsidRDefault="00C07E11" w:rsidP="006D47DE">
      <w:pPr>
        <w:pStyle w:val="BodyIndent1"/>
      </w:pPr>
      <w:r w:rsidRPr="00236907">
        <w:t xml:space="preserve">The Ministerial Guidelines do not envision that the Department or school proprietors would seek an enforcement order for </w:t>
      </w:r>
      <w:r w:rsidR="00AA20A2" w:rsidRPr="00236907">
        <w:t>all</w:t>
      </w:r>
      <w:r w:rsidRPr="00236907">
        <w:t xml:space="preserve"> breach</w:t>
      </w:r>
      <w:r w:rsidR="00AA20A2" w:rsidRPr="00236907">
        <w:t>es of an order</w:t>
      </w:r>
      <w:r w:rsidRPr="00236907">
        <w:t xml:space="preserve">. </w:t>
      </w:r>
      <w:r w:rsidR="00CA5F10" w:rsidRPr="00236907">
        <w:t>Rather, the Guidelines envision enforcement order</w:t>
      </w:r>
      <w:r w:rsidR="00C95BC6" w:rsidRPr="00236907">
        <w:t>s</w:t>
      </w:r>
      <w:r w:rsidR="00CA5F10" w:rsidRPr="00236907">
        <w:t xml:space="preserve"> </w:t>
      </w:r>
      <w:r w:rsidR="00C95BC6" w:rsidRPr="00236907">
        <w:t>are</w:t>
      </w:r>
      <w:r w:rsidR="00534B70" w:rsidRPr="00236907">
        <w:t xml:space="preserve"> sought as a last resort</w:t>
      </w:r>
      <w:r w:rsidR="00C95BC6" w:rsidRPr="00236907">
        <w:t xml:space="preserve">, </w:t>
      </w:r>
      <w:r w:rsidR="007C0148" w:rsidRPr="00236907">
        <w:t>direct</w:t>
      </w:r>
      <w:r w:rsidR="00C95BC6" w:rsidRPr="00236907">
        <w:t>ing the Department or school proprietors</w:t>
      </w:r>
      <w:r w:rsidR="007C0148" w:rsidRPr="00236907">
        <w:t xml:space="preserve"> to consider the number and severity of breaches and any available alternatives, such as reminding the person of the </w:t>
      </w:r>
      <w:r w:rsidR="00E06EA0" w:rsidRPr="00236907">
        <w:t xml:space="preserve">terms of their </w:t>
      </w:r>
      <w:r w:rsidR="007C0148" w:rsidRPr="00236907">
        <w:t>order.</w:t>
      </w:r>
      <w:r w:rsidR="00CA70D9" w:rsidRPr="00236907">
        <w:rPr>
          <w:rStyle w:val="FootnoteReference"/>
        </w:rPr>
        <w:footnoteReference w:id="46"/>
      </w:r>
    </w:p>
    <w:p w14:paraId="2C96563D" w14:textId="4DFF4A04" w:rsidR="009F4350" w:rsidRPr="00236907" w:rsidRDefault="009F4350" w:rsidP="006D47DE">
      <w:pPr>
        <w:pStyle w:val="BodyIndent1"/>
      </w:pPr>
      <w:r w:rsidRPr="00236907">
        <w:lastRenderedPageBreak/>
        <w:t>At the time of writing, the Department is yet to take enforcement action in the Magistrat</w:t>
      </w:r>
      <w:r w:rsidR="005D4005" w:rsidRPr="00236907">
        <w:t>e</w:t>
      </w:r>
      <w:r w:rsidRPr="00236907">
        <w:t>s</w:t>
      </w:r>
      <w:r w:rsidR="005D4005" w:rsidRPr="00236907">
        <w:t>’</w:t>
      </w:r>
      <w:r w:rsidRPr="00236907">
        <w:t xml:space="preserve"> Court for the breach of an order. </w:t>
      </w:r>
      <w:r w:rsidR="005B42D5" w:rsidRPr="00236907">
        <w:t>In 2023-24, there were three separate recorded breaches, and the Department issued warning letters. However, in each case, it decided that the breach was not serious enough to warrant enforcement action.</w:t>
      </w:r>
      <w:r w:rsidR="00A32A2F" w:rsidRPr="00236907">
        <w:rPr>
          <w:rStyle w:val="FootnoteReference"/>
        </w:rPr>
        <w:footnoteReference w:id="47"/>
      </w:r>
    </w:p>
    <w:p w14:paraId="449D6D77" w14:textId="773AE3D8" w:rsidR="00301F60" w:rsidRPr="00236907" w:rsidRDefault="00301F60" w:rsidP="001078D7">
      <w:pPr>
        <w:pStyle w:val="Heading2"/>
      </w:pPr>
      <w:bookmarkStart w:id="20" w:name="_Toc210053620"/>
      <w:r w:rsidRPr="00236907">
        <w:t>Alternatives to the Scheme</w:t>
      </w:r>
      <w:bookmarkEnd w:id="20"/>
    </w:p>
    <w:p w14:paraId="581071C2" w14:textId="5C4DC256" w:rsidR="0009287B" w:rsidRPr="00236907" w:rsidRDefault="001078D7" w:rsidP="0009287B">
      <w:pPr>
        <w:pStyle w:val="BodyIndent1"/>
      </w:pPr>
      <w:r w:rsidRPr="00236907">
        <w:t xml:space="preserve">As noted </w:t>
      </w:r>
      <w:r w:rsidR="005D4005" w:rsidRPr="00236907">
        <w:t xml:space="preserve">at </w:t>
      </w:r>
      <w:r w:rsidR="002C39B5" w:rsidRPr="00236907">
        <w:t xml:space="preserve">3.4, the Scheme was developed to fill a gap which was not covered by the existing legal mechanisms available to school principals, the </w:t>
      </w:r>
      <w:r w:rsidR="009C2403" w:rsidRPr="00236907">
        <w:t xml:space="preserve">TWN and PSIO regimes. </w:t>
      </w:r>
      <w:r w:rsidR="004F4AFD" w:rsidRPr="00236907">
        <w:t>However, the TWN and PSIO schemes are still available, and the Ministerial Guidelines outline circumstances in which a school principal, a school proprietor or the Department may prefer to use one of these measures in the place of or in addition to an</w:t>
      </w:r>
      <w:r w:rsidR="00E943C6" w:rsidRPr="00236907">
        <w:t xml:space="preserve"> order</w:t>
      </w:r>
      <w:r w:rsidR="00AB7B66" w:rsidRPr="00236907">
        <w:t xml:space="preserve"> under the Scheme</w:t>
      </w:r>
      <w:r w:rsidR="00E943C6" w:rsidRPr="00236907">
        <w:t>.</w:t>
      </w:r>
      <w:r w:rsidR="003676AF" w:rsidRPr="00236907">
        <w:rPr>
          <w:rStyle w:val="FootnoteReference"/>
        </w:rPr>
        <w:footnoteReference w:id="48"/>
      </w:r>
      <w:r w:rsidR="00E943C6" w:rsidRPr="00236907">
        <w:t xml:space="preserve"> </w:t>
      </w:r>
      <w:r w:rsidR="0009287B" w:rsidRPr="00236907">
        <w:t>For example:</w:t>
      </w:r>
    </w:p>
    <w:p w14:paraId="2A3E6439" w14:textId="0B6ABD13" w:rsidR="0009287B" w:rsidRPr="00236907" w:rsidRDefault="0009287B" w:rsidP="008A071C">
      <w:pPr>
        <w:pStyle w:val="BodyIndent1"/>
        <w:numPr>
          <w:ilvl w:val="0"/>
          <w:numId w:val="33"/>
        </w:numPr>
      </w:pPr>
      <w:r w:rsidRPr="00236907">
        <w:t xml:space="preserve">Where a school principal or teacher has been subjected to criminal behaviour, such as assault, then it may be necessary </w:t>
      </w:r>
      <w:r w:rsidR="00014D5A" w:rsidRPr="00236907">
        <w:t>for the principal</w:t>
      </w:r>
      <w:r w:rsidR="00FF1939" w:rsidRPr="00236907">
        <w:t xml:space="preserve"> to apply for a PSIO </w:t>
      </w:r>
      <w:proofErr w:type="gramStart"/>
      <w:r w:rsidR="00FF1939" w:rsidRPr="00236907">
        <w:t>and also</w:t>
      </w:r>
      <w:proofErr w:type="gramEnd"/>
      <w:r w:rsidR="00FF1939" w:rsidRPr="00236907">
        <w:t xml:space="preserve"> issue an</w:t>
      </w:r>
      <w:r w:rsidRPr="00236907">
        <w:t xml:space="preserve"> order under the Scheme.</w:t>
      </w:r>
      <w:r w:rsidR="00A62B0A" w:rsidRPr="00236907">
        <w:t xml:space="preserve"> A PSIO allows the Police to become involved to protect the person who is the subject of the behaviour, and a breach</w:t>
      </w:r>
      <w:r w:rsidR="001272C4" w:rsidRPr="00236907">
        <w:t xml:space="preserve"> of the PSIO</w:t>
      </w:r>
      <w:r w:rsidR="00A62B0A" w:rsidRPr="00236907">
        <w:t xml:space="preserve"> attracts criminal penalties.</w:t>
      </w:r>
    </w:p>
    <w:p w14:paraId="23488E13" w14:textId="0DBC2ED9" w:rsidR="001D2080" w:rsidRPr="00236907" w:rsidRDefault="00FC1368" w:rsidP="008A071C">
      <w:pPr>
        <w:pStyle w:val="BodyIndent1"/>
        <w:numPr>
          <w:ilvl w:val="0"/>
          <w:numId w:val="33"/>
        </w:numPr>
      </w:pPr>
      <w:r w:rsidRPr="00236907">
        <w:t xml:space="preserve">Where a person who is not in any way connected to the school </w:t>
      </w:r>
      <w:r w:rsidR="00FD1418" w:rsidRPr="00236907">
        <w:t xml:space="preserve">continues </w:t>
      </w:r>
      <w:r w:rsidR="0088370B" w:rsidRPr="00236907">
        <w:t>to</w:t>
      </w:r>
      <w:r w:rsidR="00FD1418" w:rsidRPr="00236907">
        <w:t xml:space="preserve"> </w:t>
      </w:r>
      <w:r w:rsidRPr="00236907">
        <w:t>com</w:t>
      </w:r>
      <w:r w:rsidR="00AF4CAA" w:rsidRPr="00236907">
        <w:t>e</w:t>
      </w:r>
      <w:r w:rsidRPr="00236907">
        <w:t xml:space="preserve"> onto school premises but does not cause any disruption, then there are no grounds to make an order under the Scheme. However, a school principal may still wish to issue a TWN to prevent the person from trespassing. </w:t>
      </w:r>
    </w:p>
    <w:p w14:paraId="43223885" w14:textId="24991EE8" w:rsidR="00A62B0A" w:rsidRPr="00236907" w:rsidRDefault="001D2080" w:rsidP="00F3377A">
      <w:pPr>
        <w:pStyle w:val="BodyIndent1"/>
      </w:pPr>
      <w:r w:rsidRPr="00236907">
        <w:t xml:space="preserve">The Ministerial Guidelines also note that the Scheme may overlap with </w:t>
      </w:r>
      <w:r w:rsidR="003341A1" w:rsidRPr="00236907">
        <w:t>F</w:t>
      </w:r>
      <w:r w:rsidR="00F3377A" w:rsidRPr="00236907">
        <w:t xml:space="preserve">amily </w:t>
      </w:r>
      <w:r w:rsidR="003341A1" w:rsidRPr="00236907">
        <w:t>V</w:t>
      </w:r>
      <w:r w:rsidR="00F3377A" w:rsidRPr="00236907">
        <w:t xml:space="preserve">iolence </w:t>
      </w:r>
      <w:r w:rsidR="003341A1" w:rsidRPr="00236907">
        <w:t>I</w:t>
      </w:r>
      <w:r w:rsidR="00F3377A" w:rsidRPr="00236907">
        <w:t xml:space="preserve">ntervention </w:t>
      </w:r>
      <w:r w:rsidR="003341A1" w:rsidRPr="00236907">
        <w:t>O</w:t>
      </w:r>
      <w:r w:rsidR="00F3377A" w:rsidRPr="00236907">
        <w:t>rders (</w:t>
      </w:r>
      <w:r w:rsidR="00F3377A" w:rsidRPr="00236907">
        <w:rPr>
          <w:b/>
          <w:bCs/>
        </w:rPr>
        <w:t>FVIOs</w:t>
      </w:r>
      <w:r w:rsidR="00F3377A" w:rsidRPr="00236907">
        <w:t>)</w:t>
      </w:r>
      <w:r w:rsidR="000E18E1" w:rsidRPr="00236907">
        <w:t xml:space="preserve"> made u</w:t>
      </w:r>
      <w:r w:rsidR="00F3377A" w:rsidRPr="00236907">
        <w:t xml:space="preserve">nder the </w:t>
      </w:r>
      <w:r w:rsidR="00F3377A" w:rsidRPr="00236907">
        <w:rPr>
          <w:i/>
          <w:iCs/>
        </w:rPr>
        <w:t>Family Violence Protection Act 2008</w:t>
      </w:r>
      <w:r w:rsidR="000E18E1" w:rsidRPr="00236907">
        <w:t xml:space="preserve"> </w:t>
      </w:r>
      <w:r w:rsidR="00395F9D" w:rsidRPr="00236907">
        <w:t>(Vic)</w:t>
      </w:r>
      <w:r w:rsidR="009C7964" w:rsidRPr="00236907">
        <w:t xml:space="preserve"> and the Reportable Conduct Scheme and Child Safe Standards made under the </w:t>
      </w:r>
      <w:r w:rsidR="009C7964" w:rsidRPr="00236907">
        <w:rPr>
          <w:i/>
          <w:iCs/>
        </w:rPr>
        <w:t>Child Wellbeing and Safety Act 2005</w:t>
      </w:r>
      <w:r w:rsidR="009C7964" w:rsidRPr="00236907">
        <w:t xml:space="preserve"> (Vic).</w:t>
      </w:r>
      <w:r w:rsidR="000A017A" w:rsidRPr="00236907">
        <w:rPr>
          <w:rStyle w:val="FootnoteReference"/>
        </w:rPr>
        <w:footnoteReference w:id="49"/>
      </w:r>
      <w:r w:rsidR="009C7964" w:rsidRPr="00236907">
        <w:t xml:space="preserve"> </w:t>
      </w:r>
      <w:r w:rsidR="00D1195A" w:rsidRPr="00236907">
        <w:t>FVIOs did not come up in this review</w:t>
      </w:r>
      <w:r w:rsidR="00644CBB" w:rsidRPr="00236907">
        <w:t>.</w:t>
      </w:r>
    </w:p>
    <w:p w14:paraId="0117E1B4" w14:textId="7D26AB57" w:rsidR="009C6DB6" w:rsidRPr="00236907" w:rsidRDefault="009C6DB6" w:rsidP="007859D1">
      <w:pPr>
        <w:pStyle w:val="Heading2"/>
      </w:pPr>
      <w:bookmarkStart w:id="21" w:name="_Toc210053621"/>
      <w:r w:rsidRPr="00236907">
        <w:t xml:space="preserve">Interstate </w:t>
      </w:r>
      <w:r w:rsidR="00917229" w:rsidRPr="00236907">
        <w:t xml:space="preserve">and overseas </w:t>
      </w:r>
      <w:r w:rsidRPr="00236907">
        <w:t>comparisons</w:t>
      </w:r>
      <w:bookmarkEnd w:id="21"/>
    </w:p>
    <w:p w14:paraId="5C12A9D9" w14:textId="77777777" w:rsidR="008E3341" w:rsidRPr="00236907" w:rsidRDefault="008E3341" w:rsidP="008E3341">
      <w:pPr>
        <w:pStyle w:val="BodyIndent1"/>
        <w:spacing w:line="276" w:lineRule="auto"/>
      </w:pPr>
      <w:proofErr w:type="gramStart"/>
      <w:r w:rsidRPr="00236907">
        <w:t>In the course of</w:t>
      </w:r>
      <w:proofErr w:type="gramEnd"/>
      <w:r w:rsidRPr="00236907">
        <w:t xml:space="preserve"> the review, we considered if there are any equivalent regimes to the Scheme in other Australian jurisdictions, New Zealand, the United Kingdom, and Canada. In general, school principals in these jurisdictions will rely either on specific legislative provisions in their local education acts to allow them to ban a person from school premises, or trespass notices under local trespass acts. We do not believe that there are significant lessons from these jurisdictions, but we have summarised the results of our research below.</w:t>
      </w:r>
    </w:p>
    <w:p w14:paraId="530AE3AA" w14:textId="77777777" w:rsidR="008E3341" w:rsidRPr="00236907" w:rsidRDefault="008E3341" w:rsidP="008E3341">
      <w:pPr>
        <w:pStyle w:val="Heading3"/>
        <w:spacing w:line="276" w:lineRule="auto"/>
        <w:rPr>
          <w:b/>
          <w:bCs/>
          <w:i/>
          <w:iCs/>
        </w:rPr>
      </w:pPr>
      <w:r w:rsidRPr="00236907">
        <w:rPr>
          <w:b/>
          <w:bCs/>
          <w:i/>
          <w:iCs/>
        </w:rPr>
        <w:t>Other Australian jurisdictions</w:t>
      </w:r>
    </w:p>
    <w:p w14:paraId="63CCD7EF" w14:textId="77777777" w:rsidR="008E3341" w:rsidRPr="00236907" w:rsidRDefault="008E3341" w:rsidP="008E3341">
      <w:pPr>
        <w:pStyle w:val="BodyIndent1"/>
        <w:spacing w:line="276" w:lineRule="auto"/>
      </w:pPr>
      <w:r w:rsidRPr="00236907">
        <w:t>The Victorian Scheme gives school principals broader powers to manage challenging behaviour from parents than their interstate counterparts. In other Australian states and territories, school principals have the power to order people to leave school premises and ban them from returning, either under school-specific legislation or general trespass laws. However, no regime gives them the power to make orders banning people from communicating with the school in certain ways or approaching school staff away from the school grounds. However, in other states, disobeying an order to leave or not enter the school grounds may be a criminal offence. The below table summarises the interstate regimes.</w:t>
      </w:r>
    </w:p>
    <w:p w14:paraId="68A27CEB" w14:textId="77777777" w:rsidR="001F33CB" w:rsidRPr="00236907" w:rsidRDefault="001F33CB" w:rsidP="001F33CB">
      <w:pPr>
        <w:pStyle w:val="BodyIndent1"/>
        <w:ind w:left="0"/>
        <w:rPr>
          <w:b/>
          <w:bCs/>
          <w:i/>
          <w:iCs/>
        </w:rPr>
      </w:pPr>
    </w:p>
    <w:tbl>
      <w:tblPr>
        <w:tblStyle w:val="MadTabPlumGrid"/>
        <w:tblW w:w="4531" w:type="pct"/>
        <w:tblInd w:w="851" w:type="dxa"/>
        <w:tblLook w:val="0620" w:firstRow="1" w:lastRow="0" w:firstColumn="0" w:lastColumn="0" w:noHBand="1" w:noVBand="1"/>
      </w:tblPr>
      <w:tblGrid>
        <w:gridCol w:w="1350"/>
        <w:gridCol w:w="5278"/>
        <w:gridCol w:w="1591"/>
      </w:tblGrid>
      <w:tr w:rsidR="00797FB4" w:rsidRPr="00236907" w14:paraId="21B0C892" w14:textId="77777777" w:rsidTr="001F33CB">
        <w:trPr>
          <w:cnfStyle w:val="100000000000" w:firstRow="1" w:lastRow="0" w:firstColumn="0" w:lastColumn="0" w:oddVBand="0" w:evenVBand="0" w:oddHBand="0" w:evenHBand="0" w:firstRowFirstColumn="0" w:firstRowLastColumn="0" w:lastRowFirstColumn="0" w:lastRowLastColumn="0"/>
          <w:tblHeader/>
        </w:trPr>
        <w:tc>
          <w:tcPr>
            <w:tcW w:w="821" w:type="pct"/>
          </w:tcPr>
          <w:p w14:paraId="56824E81" w14:textId="77777777" w:rsidR="00797FB4" w:rsidRPr="00236907" w:rsidRDefault="00797FB4">
            <w:r w:rsidRPr="00236907">
              <w:lastRenderedPageBreak/>
              <w:t>Jurisdiction</w:t>
            </w:r>
          </w:p>
        </w:tc>
        <w:tc>
          <w:tcPr>
            <w:tcW w:w="3210" w:type="pct"/>
          </w:tcPr>
          <w:p w14:paraId="600A8F6A" w14:textId="77777777" w:rsidR="00797FB4" w:rsidRPr="00236907" w:rsidRDefault="00797FB4">
            <w:r w:rsidRPr="00236907">
              <w:t>Mechanism</w:t>
            </w:r>
          </w:p>
        </w:tc>
        <w:tc>
          <w:tcPr>
            <w:tcW w:w="968" w:type="pct"/>
          </w:tcPr>
          <w:p w14:paraId="102CCC92" w14:textId="77777777" w:rsidR="00797FB4" w:rsidRPr="00236907" w:rsidRDefault="00797FB4">
            <w:r w:rsidRPr="00236907">
              <w:t>Legislative basis</w:t>
            </w:r>
          </w:p>
        </w:tc>
      </w:tr>
      <w:tr w:rsidR="00797FB4" w:rsidRPr="00236907" w14:paraId="3AC793E9" w14:textId="77777777" w:rsidTr="00062297">
        <w:tc>
          <w:tcPr>
            <w:tcW w:w="821" w:type="pct"/>
          </w:tcPr>
          <w:p w14:paraId="160B401D" w14:textId="77777777" w:rsidR="00797FB4" w:rsidRPr="00236907" w:rsidRDefault="00797FB4">
            <w:r w:rsidRPr="00236907">
              <w:t>NSW</w:t>
            </w:r>
          </w:p>
        </w:tc>
        <w:tc>
          <w:tcPr>
            <w:tcW w:w="3210" w:type="pct"/>
          </w:tcPr>
          <w:p w14:paraId="48A75F6B" w14:textId="77777777" w:rsidR="00797FB4" w:rsidRPr="00236907" w:rsidRDefault="00797FB4">
            <w:pPr>
              <w:rPr>
                <w:rFonts w:asciiTheme="majorHAnsi" w:hAnsiTheme="majorHAnsi" w:cstheme="majorHAnsi"/>
              </w:rPr>
            </w:pPr>
            <w:r w:rsidRPr="00236907">
              <w:t>General trespass provisions. Failing to comply attracts criminal penalties.</w:t>
            </w:r>
          </w:p>
        </w:tc>
        <w:tc>
          <w:tcPr>
            <w:tcW w:w="968" w:type="pct"/>
          </w:tcPr>
          <w:p w14:paraId="58045F44" w14:textId="490363DF" w:rsidR="00797FB4" w:rsidRPr="00236907" w:rsidRDefault="00797FB4">
            <w:proofErr w:type="spellStart"/>
            <w:r w:rsidRPr="00236907">
              <w:rPr>
                <w:rFonts w:asciiTheme="majorHAnsi" w:hAnsiTheme="majorHAnsi" w:cstheme="majorHAnsi"/>
                <w:i/>
                <w:iCs/>
              </w:rPr>
              <w:t>Inclosed</w:t>
            </w:r>
            <w:proofErr w:type="spellEnd"/>
            <w:r w:rsidRPr="00236907">
              <w:rPr>
                <w:rFonts w:asciiTheme="majorHAnsi" w:hAnsiTheme="majorHAnsi" w:cstheme="majorHAnsi"/>
                <w:i/>
                <w:iCs/>
              </w:rPr>
              <w:t xml:space="preserve"> Lands Protection Act 1901 </w:t>
            </w:r>
            <w:r w:rsidRPr="00236907">
              <w:rPr>
                <w:rFonts w:asciiTheme="majorHAnsi" w:hAnsiTheme="majorHAnsi" w:cstheme="majorHAnsi"/>
              </w:rPr>
              <w:t>(NSW)</w:t>
            </w:r>
            <w:r w:rsidR="00E60558" w:rsidRPr="00236907">
              <w:rPr>
                <w:rFonts w:asciiTheme="majorHAnsi" w:hAnsiTheme="majorHAnsi" w:cstheme="majorHAnsi"/>
              </w:rPr>
              <w:t>.</w:t>
            </w:r>
          </w:p>
        </w:tc>
      </w:tr>
      <w:tr w:rsidR="00797FB4" w:rsidRPr="00236907" w14:paraId="66235DA8" w14:textId="77777777" w:rsidTr="00062297">
        <w:tc>
          <w:tcPr>
            <w:tcW w:w="821" w:type="pct"/>
          </w:tcPr>
          <w:p w14:paraId="1582342E" w14:textId="77777777" w:rsidR="00797FB4" w:rsidRPr="00236907" w:rsidRDefault="00797FB4">
            <w:r w:rsidRPr="00236907">
              <w:t>QLD</w:t>
            </w:r>
          </w:p>
        </w:tc>
        <w:tc>
          <w:tcPr>
            <w:tcW w:w="3210" w:type="pct"/>
          </w:tcPr>
          <w:p w14:paraId="3F1876B8" w14:textId="7DF5E49F" w:rsidR="00797FB4" w:rsidRPr="00236907" w:rsidRDefault="00797FB4">
            <w:r w:rsidRPr="00236907">
              <w:t xml:space="preserve">If a person is disruptive, abusive, insulting, threatening, or violent, or does not have a lawful reason to be on the school grounds, then </w:t>
            </w:r>
            <w:r w:rsidR="00326D3B">
              <w:t xml:space="preserve">the </w:t>
            </w:r>
            <w:r w:rsidRPr="00236907">
              <w:t>principal may direct them to leave and not re-enter the premises. There are three types of orders:</w:t>
            </w:r>
          </w:p>
          <w:p w14:paraId="288F388D" w14:textId="77777777" w:rsidR="00797FB4" w:rsidRPr="00236907" w:rsidRDefault="00797FB4" w:rsidP="008A071C">
            <w:pPr>
              <w:pStyle w:val="ListParagraph"/>
              <w:numPr>
                <w:ilvl w:val="0"/>
                <w:numId w:val="34"/>
              </w:numPr>
              <w:rPr>
                <w:rFonts w:cs="Times New Roman"/>
                <w:sz w:val="20"/>
                <w:szCs w:val="20"/>
              </w:rPr>
            </w:pPr>
            <w:r w:rsidRPr="00236907">
              <w:rPr>
                <w:rFonts w:cs="Times New Roman"/>
                <w:sz w:val="20"/>
                <w:szCs w:val="20"/>
              </w:rPr>
              <w:t>An order to leave may be given verbally by a principal.</w:t>
            </w:r>
          </w:p>
          <w:p w14:paraId="19794C8C" w14:textId="77777777" w:rsidR="00797FB4" w:rsidRPr="00236907" w:rsidRDefault="00797FB4" w:rsidP="008A071C">
            <w:pPr>
              <w:pStyle w:val="ListParagraph"/>
              <w:numPr>
                <w:ilvl w:val="0"/>
                <w:numId w:val="34"/>
              </w:numPr>
              <w:rPr>
                <w:rFonts w:cs="Times New Roman"/>
                <w:sz w:val="20"/>
                <w:szCs w:val="20"/>
              </w:rPr>
            </w:pPr>
            <w:r w:rsidRPr="00236907">
              <w:rPr>
                <w:rFonts w:cs="Times New Roman"/>
                <w:sz w:val="20"/>
                <w:szCs w:val="20"/>
              </w:rPr>
              <w:t xml:space="preserve">An order to stay away from the school for up to 60 days may be given by the principal in </w:t>
            </w:r>
            <w:proofErr w:type="gramStart"/>
            <w:r w:rsidRPr="00236907">
              <w:rPr>
                <w:rFonts w:cs="Times New Roman"/>
                <w:sz w:val="20"/>
                <w:szCs w:val="20"/>
              </w:rPr>
              <w:t>writing, and</w:t>
            </w:r>
            <w:proofErr w:type="gramEnd"/>
            <w:r w:rsidRPr="00236907">
              <w:rPr>
                <w:rFonts w:cs="Times New Roman"/>
                <w:sz w:val="20"/>
                <w:szCs w:val="20"/>
              </w:rPr>
              <w:t xml:space="preserve"> has certain safeguards and review mechanisms.</w:t>
            </w:r>
          </w:p>
          <w:p w14:paraId="5D7A49BC" w14:textId="75743A2D" w:rsidR="00797FB4" w:rsidRPr="00236907" w:rsidRDefault="00797FB4" w:rsidP="008A071C">
            <w:pPr>
              <w:pStyle w:val="ListParagraph"/>
              <w:numPr>
                <w:ilvl w:val="0"/>
                <w:numId w:val="34"/>
              </w:numPr>
              <w:rPr>
                <w:rFonts w:cs="Times New Roman"/>
                <w:sz w:val="20"/>
                <w:szCs w:val="20"/>
              </w:rPr>
            </w:pPr>
            <w:r w:rsidRPr="00236907">
              <w:rPr>
                <w:rFonts w:cs="Times New Roman"/>
                <w:sz w:val="20"/>
                <w:szCs w:val="20"/>
              </w:rPr>
              <w:t xml:space="preserve">An order to stay away from the school for up to one year may be given </w:t>
            </w:r>
            <w:r w:rsidR="008C6701" w:rsidRPr="00236907">
              <w:rPr>
                <w:rFonts w:cs="Times New Roman"/>
                <w:sz w:val="20"/>
                <w:szCs w:val="20"/>
              </w:rPr>
              <w:t xml:space="preserve">by </w:t>
            </w:r>
            <w:r w:rsidRPr="00236907">
              <w:rPr>
                <w:rFonts w:cs="Times New Roman"/>
                <w:sz w:val="20"/>
                <w:szCs w:val="20"/>
              </w:rPr>
              <w:t xml:space="preserve">the </w:t>
            </w:r>
            <w:proofErr w:type="gramStart"/>
            <w:r w:rsidRPr="00236907">
              <w:rPr>
                <w:rFonts w:cs="Times New Roman"/>
                <w:sz w:val="20"/>
                <w:szCs w:val="20"/>
              </w:rPr>
              <w:t>Department, and</w:t>
            </w:r>
            <w:proofErr w:type="gramEnd"/>
            <w:r w:rsidRPr="00236907">
              <w:rPr>
                <w:rFonts w:cs="Times New Roman"/>
                <w:sz w:val="20"/>
                <w:szCs w:val="20"/>
              </w:rPr>
              <w:t xml:space="preserve"> also has certain safeguards and review mechanisms.</w:t>
            </w:r>
          </w:p>
          <w:p w14:paraId="376B97F3" w14:textId="77777777" w:rsidR="00797FB4" w:rsidRPr="00236907" w:rsidRDefault="00797FB4">
            <w:r w:rsidRPr="00236907">
              <w:t>Failing to comply with the orders without a reasonable excuse attracts criminal penalties of 20 to 40 penalty units.</w:t>
            </w:r>
          </w:p>
        </w:tc>
        <w:tc>
          <w:tcPr>
            <w:tcW w:w="968" w:type="pct"/>
          </w:tcPr>
          <w:p w14:paraId="35B11946" w14:textId="1BF55D15" w:rsidR="00797FB4" w:rsidRPr="00236907" w:rsidRDefault="00797FB4">
            <w:r w:rsidRPr="00236907">
              <w:rPr>
                <w:rFonts w:asciiTheme="majorHAnsi" w:hAnsiTheme="majorHAnsi" w:cstheme="majorHAnsi"/>
                <w:i/>
                <w:iCs/>
              </w:rPr>
              <w:t xml:space="preserve">Education (General Provisions) Act 2006 </w:t>
            </w:r>
            <w:r w:rsidRPr="00236907">
              <w:rPr>
                <w:rFonts w:asciiTheme="majorHAnsi" w:hAnsiTheme="majorHAnsi" w:cstheme="majorHAnsi"/>
              </w:rPr>
              <w:t>(QLD), ss 337-341.</w:t>
            </w:r>
          </w:p>
        </w:tc>
      </w:tr>
      <w:tr w:rsidR="00797FB4" w:rsidRPr="00236907" w14:paraId="5A7128D1" w14:textId="77777777" w:rsidTr="00062297">
        <w:tc>
          <w:tcPr>
            <w:tcW w:w="821" w:type="pct"/>
          </w:tcPr>
          <w:p w14:paraId="75CCDDF4" w14:textId="77777777" w:rsidR="00797FB4" w:rsidRPr="00236907" w:rsidRDefault="00797FB4">
            <w:r w:rsidRPr="00236907">
              <w:t>WA</w:t>
            </w:r>
          </w:p>
        </w:tc>
        <w:tc>
          <w:tcPr>
            <w:tcW w:w="3210" w:type="pct"/>
          </w:tcPr>
          <w:p w14:paraId="4F6BD75F" w14:textId="1BE80AE2" w:rsidR="00797FB4" w:rsidRPr="00236907" w:rsidRDefault="00797FB4">
            <w:r w:rsidRPr="00236907">
              <w:t xml:space="preserve">If a person is disruptive, or uses abusive, threatening or insulting language towards a teacher, an authorised </w:t>
            </w:r>
            <w:r w:rsidR="009F76A4" w:rsidRPr="00236907">
              <w:t xml:space="preserve">person </w:t>
            </w:r>
            <w:r w:rsidRPr="00236907">
              <w:t xml:space="preserve">can direct them to state their name and address and leave the school. Failing to comply attracts a $5,000 fine. </w:t>
            </w:r>
          </w:p>
        </w:tc>
        <w:tc>
          <w:tcPr>
            <w:tcW w:w="968" w:type="pct"/>
          </w:tcPr>
          <w:p w14:paraId="7732298E" w14:textId="6A3A73AC" w:rsidR="00797FB4" w:rsidRPr="00236907" w:rsidRDefault="00797FB4">
            <w:r w:rsidRPr="00236907">
              <w:rPr>
                <w:rFonts w:asciiTheme="majorHAnsi" w:hAnsiTheme="majorHAnsi" w:cstheme="majorHAnsi"/>
                <w:i/>
                <w:iCs/>
              </w:rPr>
              <w:t xml:space="preserve">School Education Act 1999 </w:t>
            </w:r>
            <w:r w:rsidRPr="00236907">
              <w:rPr>
                <w:rFonts w:asciiTheme="majorHAnsi" w:hAnsiTheme="majorHAnsi" w:cstheme="majorHAnsi"/>
              </w:rPr>
              <w:t>(WA),</w:t>
            </w:r>
            <w:r w:rsidR="00515D7A" w:rsidRPr="00236907">
              <w:rPr>
                <w:rFonts w:asciiTheme="majorHAnsi" w:hAnsiTheme="majorHAnsi" w:cstheme="majorHAnsi"/>
              </w:rPr>
              <w:t xml:space="preserve"> s </w:t>
            </w:r>
            <w:r w:rsidRPr="00236907">
              <w:rPr>
                <w:rFonts w:asciiTheme="majorHAnsi" w:hAnsiTheme="majorHAnsi" w:cstheme="majorHAnsi"/>
              </w:rPr>
              <w:t>120.</w:t>
            </w:r>
          </w:p>
        </w:tc>
      </w:tr>
      <w:tr w:rsidR="00797FB4" w:rsidRPr="00236907" w14:paraId="154B2F8A" w14:textId="77777777" w:rsidTr="00062297">
        <w:tc>
          <w:tcPr>
            <w:tcW w:w="821" w:type="pct"/>
          </w:tcPr>
          <w:p w14:paraId="4237BA0F" w14:textId="77777777" w:rsidR="00797FB4" w:rsidRPr="00236907" w:rsidRDefault="00797FB4">
            <w:r w:rsidRPr="00236907">
              <w:t>SA</w:t>
            </w:r>
          </w:p>
        </w:tc>
        <w:tc>
          <w:tcPr>
            <w:tcW w:w="3210" w:type="pct"/>
          </w:tcPr>
          <w:p w14:paraId="6EE9AD02" w14:textId="48F6A6EE" w:rsidR="00797FB4" w:rsidRPr="00236907" w:rsidRDefault="00797FB4">
            <w:r w:rsidRPr="00236907">
              <w:t xml:space="preserve">A designated person may issue a barring notice prohibiting a person from a school if they </w:t>
            </w:r>
            <w:r w:rsidR="000E77BA" w:rsidRPr="00236907">
              <w:t xml:space="preserve">are </w:t>
            </w:r>
            <w:r w:rsidRPr="00236907">
              <w:t>abusive, threatening, or insulting, trespassed on the school grounds, or committed or threatened to commit an offence at the school. If the order is for more than two weeks, the person may apply to the Department for a review. There are additional provisions dealing with directing people to leave school premises. The maximum penalty for failing to comply is a $2,500 fine.</w:t>
            </w:r>
          </w:p>
        </w:tc>
        <w:tc>
          <w:tcPr>
            <w:tcW w:w="968" w:type="pct"/>
          </w:tcPr>
          <w:p w14:paraId="159F2495" w14:textId="5F74709D" w:rsidR="00797FB4" w:rsidRPr="00236907" w:rsidRDefault="00797FB4">
            <w:r w:rsidRPr="00236907">
              <w:rPr>
                <w:rFonts w:asciiTheme="majorHAnsi" w:hAnsiTheme="majorHAnsi" w:cstheme="majorHAnsi"/>
                <w:i/>
                <w:iCs/>
              </w:rPr>
              <w:t>Education and Children's Services Act 2019</w:t>
            </w:r>
            <w:r w:rsidRPr="00236907">
              <w:rPr>
                <w:rFonts w:asciiTheme="majorHAnsi" w:hAnsiTheme="majorHAnsi" w:cstheme="majorHAnsi"/>
              </w:rPr>
              <w:t xml:space="preserve"> (SA), ss 93-95.</w:t>
            </w:r>
          </w:p>
        </w:tc>
      </w:tr>
      <w:tr w:rsidR="00797FB4" w:rsidRPr="00236907" w14:paraId="66C108DB" w14:textId="77777777" w:rsidTr="00062297">
        <w:tc>
          <w:tcPr>
            <w:tcW w:w="821" w:type="pct"/>
          </w:tcPr>
          <w:p w14:paraId="006B7895" w14:textId="77777777" w:rsidR="00797FB4" w:rsidRPr="00236907" w:rsidRDefault="00797FB4">
            <w:r w:rsidRPr="00236907">
              <w:t>TAS</w:t>
            </w:r>
          </w:p>
        </w:tc>
        <w:tc>
          <w:tcPr>
            <w:tcW w:w="3210" w:type="pct"/>
          </w:tcPr>
          <w:p w14:paraId="35FDAF7E" w14:textId="77777777" w:rsidR="00797FB4" w:rsidRPr="00236907" w:rsidRDefault="00797FB4">
            <w:r w:rsidRPr="00236907">
              <w:t xml:space="preserve">If an adult person </w:t>
            </w:r>
            <w:r w:rsidRPr="00236907">
              <w:rPr>
                <w:rFonts w:asciiTheme="majorHAnsi" w:hAnsiTheme="majorHAnsi" w:cstheme="majorHAnsi"/>
              </w:rPr>
              <w:t xml:space="preserve">is behaving unacceptably within the meaning of the behaviour management policy, a school principal may direct them to leave and not re-enter. The principal may then take whatever action is necessary to remove the person from the </w:t>
            </w:r>
            <w:proofErr w:type="gramStart"/>
            <w:r w:rsidRPr="00236907">
              <w:rPr>
                <w:rFonts w:asciiTheme="majorHAnsi" w:hAnsiTheme="majorHAnsi" w:cstheme="majorHAnsi"/>
              </w:rPr>
              <w:t>premises, and</w:t>
            </w:r>
            <w:proofErr w:type="gramEnd"/>
            <w:r w:rsidRPr="00236907">
              <w:rPr>
                <w:rFonts w:asciiTheme="majorHAnsi" w:hAnsiTheme="majorHAnsi" w:cstheme="majorHAnsi"/>
              </w:rPr>
              <w:t xml:space="preserve"> must provide them with an order in writing confirming that they may not return to the school. Failing to comply attracts a penalty of 10 penalty units.</w:t>
            </w:r>
          </w:p>
        </w:tc>
        <w:tc>
          <w:tcPr>
            <w:tcW w:w="968" w:type="pct"/>
          </w:tcPr>
          <w:p w14:paraId="60423390" w14:textId="11111CCA" w:rsidR="00797FB4" w:rsidRPr="00236907" w:rsidRDefault="00797FB4">
            <w:pPr>
              <w:rPr>
                <w:rFonts w:asciiTheme="majorHAnsi" w:hAnsiTheme="majorHAnsi" w:cstheme="majorHAnsi"/>
              </w:rPr>
            </w:pPr>
            <w:r w:rsidRPr="00236907">
              <w:rPr>
                <w:rFonts w:asciiTheme="majorHAnsi" w:hAnsiTheme="majorHAnsi" w:cstheme="majorHAnsi"/>
                <w:i/>
                <w:iCs/>
              </w:rPr>
              <w:t xml:space="preserve">Education Act 2016 </w:t>
            </w:r>
            <w:r w:rsidRPr="00236907">
              <w:rPr>
                <w:rFonts w:asciiTheme="majorHAnsi" w:hAnsiTheme="majorHAnsi" w:cstheme="majorHAnsi"/>
              </w:rPr>
              <w:t>(TAS),</w:t>
            </w:r>
            <w:r w:rsidR="00515D7A" w:rsidRPr="00236907">
              <w:rPr>
                <w:rFonts w:asciiTheme="majorHAnsi" w:hAnsiTheme="majorHAnsi" w:cstheme="majorHAnsi"/>
              </w:rPr>
              <w:t xml:space="preserve"> s </w:t>
            </w:r>
            <w:r w:rsidRPr="00236907">
              <w:rPr>
                <w:rFonts w:asciiTheme="majorHAnsi" w:hAnsiTheme="majorHAnsi" w:cstheme="majorHAnsi"/>
              </w:rPr>
              <w:t>136.</w:t>
            </w:r>
          </w:p>
        </w:tc>
      </w:tr>
      <w:tr w:rsidR="00797FB4" w:rsidRPr="00236907" w14:paraId="561C66A8" w14:textId="77777777" w:rsidTr="00062297">
        <w:tc>
          <w:tcPr>
            <w:tcW w:w="821" w:type="pct"/>
          </w:tcPr>
          <w:p w14:paraId="167DA8D4" w14:textId="77777777" w:rsidR="00797FB4" w:rsidRPr="00236907" w:rsidRDefault="00797FB4">
            <w:r w:rsidRPr="00236907">
              <w:t>NT</w:t>
            </w:r>
          </w:p>
        </w:tc>
        <w:tc>
          <w:tcPr>
            <w:tcW w:w="3210" w:type="pct"/>
          </w:tcPr>
          <w:p w14:paraId="6DC29CBD" w14:textId="77777777" w:rsidR="00797FB4" w:rsidRPr="00236907" w:rsidRDefault="00797FB4">
            <w:r w:rsidRPr="00236907">
              <w:t>General trespass provisions. Failing to comply attracts criminal penalties.</w:t>
            </w:r>
          </w:p>
        </w:tc>
        <w:tc>
          <w:tcPr>
            <w:tcW w:w="968" w:type="pct"/>
          </w:tcPr>
          <w:p w14:paraId="5E03E2B0" w14:textId="77777777" w:rsidR="00797FB4" w:rsidRPr="00236907" w:rsidRDefault="00797FB4">
            <w:r w:rsidRPr="00236907">
              <w:rPr>
                <w:i/>
                <w:iCs/>
              </w:rPr>
              <w:t>Trespass Act 2023</w:t>
            </w:r>
            <w:r w:rsidRPr="00236907">
              <w:t xml:space="preserve"> (NT).</w:t>
            </w:r>
          </w:p>
        </w:tc>
      </w:tr>
      <w:tr w:rsidR="00797FB4" w:rsidRPr="00236907" w14:paraId="5DDDC626" w14:textId="77777777" w:rsidTr="00062297">
        <w:tc>
          <w:tcPr>
            <w:tcW w:w="821" w:type="pct"/>
          </w:tcPr>
          <w:p w14:paraId="1A9B2A61" w14:textId="77777777" w:rsidR="00797FB4" w:rsidRPr="00236907" w:rsidRDefault="00797FB4">
            <w:r w:rsidRPr="00236907">
              <w:t>ACT</w:t>
            </w:r>
          </w:p>
        </w:tc>
        <w:tc>
          <w:tcPr>
            <w:tcW w:w="3210" w:type="pct"/>
          </w:tcPr>
          <w:p w14:paraId="4DB57B91" w14:textId="15039C0A" w:rsidR="00797FB4" w:rsidRPr="00236907" w:rsidRDefault="00797FB4">
            <w:r w:rsidRPr="00236907">
              <w:t>It is an offen</w:t>
            </w:r>
            <w:r w:rsidR="00326D3B">
              <w:t>c</w:t>
            </w:r>
            <w:r w:rsidRPr="00236907">
              <w:t xml:space="preserve">e to trespass on school premises, act in an offensive or disorderly way on school </w:t>
            </w:r>
            <w:proofErr w:type="gramStart"/>
            <w:r w:rsidRPr="00236907">
              <w:t>premises, or</w:t>
            </w:r>
            <w:proofErr w:type="gramEnd"/>
            <w:r w:rsidRPr="00236907">
              <w:t xml:space="preserve"> refuse to leave school premises if directed to leave by a police officer, school principal, or person authorised by the principal. Failing to comply attracts a penalty of between 5 and 10 penalty units. </w:t>
            </w:r>
          </w:p>
        </w:tc>
        <w:tc>
          <w:tcPr>
            <w:tcW w:w="968" w:type="pct"/>
          </w:tcPr>
          <w:p w14:paraId="46524995" w14:textId="588A3E7C" w:rsidR="00797FB4" w:rsidRPr="00236907" w:rsidRDefault="00797FB4">
            <w:pPr>
              <w:rPr>
                <w:rFonts w:asciiTheme="majorHAnsi" w:hAnsiTheme="majorHAnsi" w:cstheme="majorHAnsi"/>
              </w:rPr>
            </w:pPr>
            <w:r w:rsidRPr="00236907">
              <w:rPr>
                <w:rFonts w:asciiTheme="majorHAnsi" w:hAnsiTheme="majorHAnsi" w:cstheme="majorHAnsi"/>
                <w:i/>
                <w:iCs/>
              </w:rPr>
              <w:t xml:space="preserve">Education Act 2004 </w:t>
            </w:r>
            <w:r w:rsidRPr="00236907">
              <w:rPr>
                <w:rFonts w:asciiTheme="majorHAnsi" w:hAnsiTheme="majorHAnsi" w:cstheme="majorHAnsi"/>
              </w:rPr>
              <w:t>(ACT),</w:t>
            </w:r>
            <w:r w:rsidR="00515D7A" w:rsidRPr="00236907">
              <w:rPr>
                <w:rFonts w:asciiTheme="majorHAnsi" w:hAnsiTheme="majorHAnsi" w:cstheme="majorHAnsi"/>
              </w:rPr>
              <w:t xml:space="preserve"> s</w:t>
            </w:r>
            <w:r w:rsidR="005D4005" w:rsidRPr="00236907">
              <w:rPr>
                <w:rFonts w:asciiTheme="majorHAnsi" w:hAnsiTheme="majorHAnsi" w:cstheme="majorHAnsi"/>
              </w:rPr>
              <w:t> </w:t>
            </w:r>
            <w:r w:rsidRPr="00236907">
              <w:rPr>
                <w:rFonts w:asciiTheme="majorHAnsi" w:hAnsiTheme="majorHAnsi" w:cstheme="majorHAnsi"/>
              </w:rPr>
              <w:t>147.</w:t>
            </w:r>
          </w:p>
        </w:tc>
      </w:tr>
    </w:tbl>
    <w:p w14:paraId="0BD70393" w14:textId="3C252F10" w:rsidR="00EC577A" w:rsidRPr="00236907" w:rsidRDefault="00EC577A" w:rsidP="00EC577A">
      <w:pPr>
        <w:pStyle w:val="BodyIndent1"/>
        <w:spacing w:line="276" w:lineRule="auto"/>
      </w:pPr>
      <w:r w:rsidRPr="00236907">
        <w:lastRenderedPageBreak/>
        <w:t xml:space="preserve">Since we began this review, South Australia has begun undertaking significant amendments to the barring notice scheme through the </w:t>
      </w:r>
      <w:r w:rsidR="00285C98" w:rsidRPr="00236907">
        <w:rPr>
          <w:i/>
          <w:iCs/>
        </w:rPr>
        <w:t>Education and Children's Services (Barring Notices and Other Protections) Amendment Bill 2024</w:t>
      </w:r>
      <w:r w:rsidR="00285C98" w:rsidRPr="00236907">
        <w:t>.</w:t>
      </w:r>
      <w:r w:rsidR="00C736AA" w:rsidRPr="00236907">
        <w:t xml:space="preserve"> The changes, if passed, will add more detail to the legislation, extend the notice area to 25 metres beyond the boundary of the school, increase the maximum period of the notice from 3 to 6 months, increase the maximum penalty from $2,500 to $7,500, a</w:t>
      </w:r>
      <w:r w:rsidR="00F54B54" w:rsidRPr="00236907">
        <w:t xml:space="preserve">nd add additional defences. The process of legislative change is ongoing at the time of delivering this report. </w:t>
      </w:r>
    </w:p>
    <w:p w14:paraId="4570204D" w14:textId="052231A4" w:rsidR="00062297" w:rsidRPr="00236907" w:rsidRDefault="00062297" w:rsidP="008A071C">
      <w:pPr>
        <w:pStyle w:val="Heading3"/>
        <w:numPr>
          <w:ilvl w:val="2"/>
          <w:numId w:val="35"/>
        </w:numPr>
        <w:spacing w:line="276" w:lineRule="auto"/>
        <w:rPr>
          <w:b/>
          <w:bCs/>
          <w:i/>
          <w:iCs/>
        </w:rPr>
      </w:pPr>
      <w:r w:rsidRPr="00236907">
        <w:rPr>
          <w:b/>
          <w:bCs/>
          <w:i/>
          <w:iCs/>
        </w:rPr>
        <w:t>New Zealand</w:t>
      </w:r>
    </w:p>
    <w:p w14:paraId="7994048F" w14:textId="77777777" w:rsidR="00062297" w:rsidRPr="00236907" w:rsidRDefault="00062297" w:rsidP="00062297">
      <w:pPr>
        <w:pStyle w:val="BodyIndent1"/>
        <w:spacing w:line="276" w:lineRule="auto"/>
      </w:pPr>
      <w:r w:rsidRPr="00236907">
        <w:t xml:space="preserve">School principals may issue a trespass notice under the </w:t>
      </w:r>
      <w:r w:rsidRPr="00236907">
        <w:rPr>
          <w:i/>
          <w:iCs/>
        </w:rPr>
        <w:t>Trespass Act 1980</w:t>
      </w:r>
      <w:r w:rsidRPr="00236907">
        <w:t xml:space="preserve"> (NZ) to direct a person to leave the school grounds if they are disruptive, dangerous, or have no reason to be there. A person may be charged with an offence if they do not comply with the notice. As a school principal issuing the notice is making a public law decision, their decision may be reviewed by the Ombudsman or challenged in court.</w:t>
      </w:r>
    </w:p>
    <w:p w14:paraId="3E7FD2F1" w14:textId="77777777" w:rsidR="00062297" w:rsidRPr="00236907" w:rsidRDefault="00062297" w:rsidP="00062297">
      <w:pPr>
        <w:pStyle w:val="Heading3"/>
        <w:spacing w:line="276" w:lineRule="auto"/>
        <w:rPr>
          <w:b/>
          <w:bCs/>
          <w:i/>
          <w:iCs/>
        </w:rPr>
      </w:pPr>
      <w:r w:rsidRPr="00236907">
        <w:rPr>
          <w:b/>
          <w:bCs/>
          <w:i/>
          <w:iCs/>
        </w:rPr>
        <w:t>United Kingdom</w:t>
      </w:r>
    </w:p>
    <w:p w14:paraId="48CC3E18" w14:textId="77777777" w:rsidR="00062297" w:rsidRPr="00236907" w:rsidRDefault="00062297" w:rsidP="00062297">
      <w:pPr>
        <w:pStyle w:val="BodyIndent1"/>
        <w:spacing w:line="276" w:lineRule="auto"/>
      </w:pPr>
      <w:r w:rsidRPr="00236907">
        <w:t xml:space="preserve">Education in the United Kingdom is devolved, with the national government responsible for English schools, and the governments of Scotland, Wales and Northern Ireland responsible for schools in those countries. Schools are managed by local authorities under national legislative frameworks. Section 547 of the </w:t>
      </w:r>
      <w:r w:rsidRPr="00236907">
        <w:rPr>
          <w:i/>
          <w:iCs/>
        </w:rPr>
        <w:t>Education Act 1996</w:t>
      </w:r>
      <w:r w:rsidRPr="00236907">
        <w:t xml:space="preserve"> (UK) makes it an offence for a person to cause a nuisance or disturbance on school grounds and allows the police or an authorised person to remove them. Individual local school authorities commonly use the section as a basis to establish policies allowing schools to issue either warning letters or banning letters to disruptive parents, which withdraw their implied legal right to attend the school. </w:t>
      </w:r>
    </w:p>
    <w:p w14:paraId="5E76F0B0" w14:textId="77777777" w:rsidR="00062297" w:rsidRPr="00236907" w:rsidRDefault="00062297" w:rsidP="00062297">
      <w:pPr>
        <w:pStyle w:val="Heading3"/>
        <w:spacing w:line="276" w:lineRule="auto"/>
        <w:rPr>
          <w:b/>
          <w:bCs/>
          <w:i/>
          <w:iCs/>
        </w:rPr>
      </w:pPr>
      <w:r w:rsidRPr="00236907">
        <w:rPr>
          <w:b/>
          <w:bCs/>
          <w:i/>
          <w:iCs/>
        </w:rPr>
        <w:t>Canada</w:t>
      </w:r>
    </w:p>
    <w:p w14:paraId="13FC8534" w14:textId="4A8BF15D" w:rsidR="00062297" w:rsidRPr="00236907" w:rsidRDefault="00062297" w:rsidP="00062297">
      <w:pPr>
        <w:pStyle w:val="BodyIndent1"/>
        <w:spacing w:line="276" w:lineRule="auto"/>
      </w:pPr>
      <w:r w:rsidRPr="00236907">
        <w:t>Similarly to Australia, public schools in Canada are the responsibility of provincial and territorial governments. However, unlike in Australia, they are managed by local school boards. Canadian school principals have a range of options for banning a disruptive or threatening person from school grounds based on provincial or territorial law and the policies of their own school district. For example, Ontario Education Regulation 474,</w:t>
      </w:r>
      <w:r w:rsidR="00515D7A" w:rsidRPr="00236907">
        <w:t xml:space="preserve"> s </w:t>
      </w:r>
      <w:r w:rsidRPr="00236907">
        <w:t xml:space="preserve">3(1), allows for a principal or another person authorised by the school board to direct a person to leave: “A person is not permitted to remain on school premises if his or her presence is detrimental to the safety or well–being of a person on the premises, in the judgment of the principal, a vice–principal or another person authorised by the board to make such a determination”, and individual school boards may make policies around the use of this power. In other provinces and territories, principals will use trespass laws, potentially supported by school board policy. </w:t>
      </w:r>
    </w:p>
    <w:p w14:paraId="034A89F7" w14:textId="51A45DBB" w:rsidR="00A23995" w:rsidRPr="00236907" w:rsidRDefault="00B22909" w:rsidP="00A23995">
      <w:pPr>
        <w:pStyle w:val="Heading1"/>
      </w:pPr>
      <w:bookmarkStart w:id="22" w:name="_Toc210053622"/>
      <w:r w:rsidRPr="00236907">
        <w:t>Findings</w:t>
      </w:r>
      <w:r w:rsidR="00A50388" w:rsidRPr="00236907">
        <w:t xml:space="preserve"> and Recommendations</w:t>
      </w:r>
      <w:bookmarkEnd w:id="22"/>
    </w:p>
    <w:p w14:paraId="70A73A0C" w14:textId="50FDB9B4" w:rsidR="006A64F5" w:rsidRPr="00236907" w:rsidRDefault="004068BD" w:rsidP="00BE67DA">
      <w:pPr>
        <w:pStyle w:val="Heading2"/>
      </w:pPr>
      <w:bookmarkStart w:id="23" w:name="_Toc210053623"/>
      <w:r w:rsidRPr="00236907">
        <w:t>Summary</w:t>
      </w:r>
      <w:bookmarkEnd w:id="23"/>
    </w:p>
    <w:p w14:paraId="219F8E13" w14:textId="4447E4CE" w:rsidR="007D077D" w:rsidRPr="00236907" w:rsidRDefault="007D077D" w:rsidP="007550FA">
      <w:pPr>
        <w:pStyle w:val="Heading3"/>
        <w:spacing w:line="276" w:lineRule="auto"/>
        <w:rPr>
          <w:b/>
          <w:bCs/>
          <w:i/>
          <w:iCs/>
        </w:rPr>
      </w:pPr>
      <w:r w:rsidRPr="00236907">
        <w:rPr>
          <w:b/>
          <w:bCs/>
          <w:i/>
          <w:iCs/>
        </w:rPr>
        <w:t>Strengths of the Scheme</w:t>
      </w:r>
    </w:p>
    <w:p w14:paraId="537971A0" w14:textId="75AB08CE" w:rsidR="002E5688" w:rsidRPr="00236907" w:rsidRDefault="00A14E20" w:rsidP="00A75DAD">
      <w:pPr>
        <w:pStyle w:val="BodyIndent1"/>
        <w:ind w:right="-2"/>
      </w:pPr>
      <w:r w:rsidRPr="00236907">
        <w:t xml:space="preserve">Department </w:t>
      </w:r>
      <w:r w:rsidR="001958CD" w:rsidRPr="00236907">
        <w:t>staff,</w:t>
      </w:r>
      <w:r w:rsidR="00D135FB" w:rsidRPr="00236907">
        <w:t xml:space="preserve"> school principals</w:t>
      </w:r>
      <w:r w:rsidR="001958CD" w:rsidRPr="00236907">
        <w:t xml:space="preserve"> and external stakeholders</w:t>
      </w:r>
      <w:r w:rsidR="00D135FB" w:rsidRPr="00236907">
        <w:t xml:space="preserve"> </w:t>
      </w:r>
      <w:r w:rsidR="00D41895" w:rsidRPr="00236907">
        <w:t>provided consistent feedback on the key strengths of the Scheme. These include:</w:t>
      </w:r>
    </w:p>
    <w:p w14:paraId="42045599" w14:textId="25389415" w:rsidR="000D4422" w:rsidRPr="00236907" w:rsidRDefault="000D4422" w:rsidP="008A071C">
      <w:pPr>
        <w:pStyle w:val="BodyIndent1"/>
        <w:numPr>
          <w:ilvl w:val="0"/>
          <w:numId w:val="37"/>
        </w:numPr>
      </w:pPr>
      <w:r w:rsidRPr="00236907">
        <w:lastRenderedPageBreak/>
        <w:t xml:space="preserve">The Scheme sets a clear expectation </w:t>
      </w:r>
      <w:r w:rsidR="00B67400" w:rsidRPr="00236907">
        <w:t xml:space="preserve">around </w:t>
      </w:r>
      <w:proofErr w:type="gramStart"/>
      <w:r w:rsidR="00B67400" w:rsidRPr="00236907">
        <w:t>behaviour</w:t>
      </w:r>
      <w:r w:rsidR="00CF07D1" w:rsidRPr="00236907">
        <w:t>, and</w:t>
      </w:r>
      <w:proofErr w:type="gramEnd"/>
      <w:r w:rsidR="00CF07D1" w:rsidRPr="00236907">
        <w:t xml:space="preserve"> can provide a deterrent to aggressive or threatening behaviour even when not </w:t>
      </w:r>
      <w:r w:rsidR="001D7A97" w:rsidRPr="00236907">
        <w:t xml:space="preserve">actually </w:t>
      </w:r>
      <w:r w:rsidR="00CF07D1" w:rsidRPr="00236907">
        <w:t>used</w:t>
      </w:r>
      <w:r w:rsidR="00B67400" w:rsidRPr="00236907">
        <w:t>. As one principal wrote in the response to the A</w:t>
      </w:r>
      <w:r w:rsidR="00362BAC">
        <w:t xml:space="preserve">ustralian </w:t>
      </w:r>
      <w:r w:rsidR="00B67400" w:rsidRPr="00236907">
        <w:t>C</w:t>
      </w:r>
      <w:r w:rsidR="00362BAC">
        <w:t xml:space="preserve">atholic </w:t>
      </w:r>
      <w:r w:rsidR="00B67400" w:rsidRPr="00236907">
        <w:t>U</w:t>
      </w:r>
      <w:r w:rsidR="00362BAC">
        <w:t>niversity (ACU)</w:t>
      </w:r>
      <w:r w:rsidR="00B67400" w:rsidRPr="00236907">
        <w:t xml:space="preserve"> survey:</w:t>
      </w:r>
    </w:p>
    <w:p w14:paraId="6CFF6AE4" w14:textId="17E21CC6" w:rsidR="004C5C7E" w:rsidRPr="00236907" w:rsidRDefault="004C5C7E" w:rsidP="001A1A5E">
      <w:pPr>
        <w:pStyle w:val="BodyIndent1"/>
        <w:ind w:left="1702"/>
        <w:rPr>
          <w:i/>
          <w:iCs/>
        </w:rPr>
      </w:pPr>
      <w:r w:rsidRPr="00236907">
        <w:rPr>
          <w:i/>
          <w:iCs/>
        </w:rPr>
        <w:t>It</w:t>
      </w:r>
      <w:r w:rsidR="00A15B15" w:rsidRPr="00236907">
        <w:rPr>
          <w:i/>
          <w:iCs/>
        </w:rPr>
        <w:t xml:space="preserve"> [the Scheme]</w:t>
      </w:r>
      <w:r w:rsidRPr="00236907">
        <w:rPr>
          <w:i/>
          <w:iCs/>
        </w:rPr>
        <w:t xml:space="preserve"> clearly outlines to anyone that aggressive </w:t>
      </w:r>
      <w:r w:rsidR="003B537F" w:rsidRPr="00236907">
        <w:rPr>
          <w:i/>
          <w:iCs/>
        </w:rPr>
        <w:t>behaviour</w:t>
      </w:r>
      <w:r w:rsidRPr="00236907">
        <w:rPr>
          <w:i/>
          <w:iCs/>
        </w:rPr>
        <w:t xml:space="preserve"> will not be tolerated. It supported the parent issue that I was experiencing last year and the threat of it being issued was enough for them to back down.</w:t>
      </w:r>
    </w:p>
    <w:p w14:paraId="763580DB" w14:textId="7A4B16F2" w:rsidR="008818D0" w:rsidRPr="00236907" w:rsidRDefault="008818D0" w:rsidP="008A071C">
      <w:pPr>
        <w:pStyle w:val="BodyIndent1"/>
        <w:numPr>
          <w:ilvl w:val="0"/>
          <w:numId w:val="37"/>
        </w:numPr>
      </w:pPr>
      <w:r w:rsidRPr="00236907">
        <w:t xml:space="preserve">The Scheme does allow principals to </w:t>
      </w:r>
      <w:r w:rsidR="00D13621" w:rsidRPr="00236907">
        <w:t xml:space="preserve">manage behaviour which could not be addressed through a PSIO or TWN, such </w:t>
      </w:r>
      <w:r w:rsidR="005E3385" w:rsidRPr="00236907">
        <w:t>as an unreasonably high</w:t>
      </w:r>
      <w:r w:rsidR="00D13621" w:rsidRPr="00236907">
        <w:t xml:space="preserve"> volume of communications</w:t>
      </w:r>
      <w:r w:rsidR="00AC7D09" w:rsidRPr="00236907">
        <w:t>,</w:t>
      </w:r>
      <w:r w:rsidR="005E1A2B" w:rsidRPr="00236907">
        <w:t xml:space="preserve"> </w:t>
      </w:r>
      <w:r w:rsidR="00AC7D09" w:rsidRPr="00236907">
        <w:t xml:space="preserve">aggressive behaviour at off-site events such as graduations, </w:t>
      </w:r>
      <w:r w:rsidR="0006798F" w:rsidRPr="00236907">
        <w:t xml:space="preserve">aggression directed at staff or students from a person just outside the school fence, </w:t>
      </w:r>
      <w:r w:rsidR="00AC7D09" w:rsidRPr="00236907">
        <w:t>and aggressive behaviour directed at staff outside of school</w:t>
      </w:r>
      <w:r w:rsidR="00D13621" w:rsidRPr="00236907">
        <w:t>.</w:t>
      </w:r>
      <w:r w:rsidR="00AC7D09" w:rsidRPr="00236907">
        <w:t xml:space="preserve"> This</w:t>
      </w:r>
      <w:r w:rsidR="005E3385" w:rsidRPr="00236907">
        <w:t xml:space="preserve"> final </w:t>
      </w:r>
      <w:r w:rsidR="00EB4567" w:rsidRPr="00236907">
        <w:t>power</w:t>
      </w:r>
      <w:r w:rsidR="00AC7D09" w:rsidRPr="00236907">
        <w:t xml:space="preserve"> has been useful in small towns, where parents and staff commonly interact </w:t>
      </w:r>
      <w:r w:rsidR="00D453E3" w:rsidRPr="00236907">
        <w:t xml:space="preserve">in the community. </w:t>
      </w:r>
      <w:r w:rsidR="00D13621" w:rsidRPr="00236907">
        <w:t xml:space="preserve"> </w:t>
      </w:r>
    </w:p>
    <w:p w14:paraId="64688553" w14:textId="79CB2B3B" w:rsidR="00CD4AB3" w:rsidRPr="00236907" w:rsidRDefault="006B201D" w:rsidP="008A071C">
      <w:pPr>
        <w:pStyle w:val="BodyIndent1"/>
        <w:numPr>
          <w:ilvl w:val="0"/>
          <w:numId w:val="37"/>
        </w:numPr>
      </w:pPr>
      <w:r w:rsidRPr="00236907">
        <w:t>Immediate o</w:t>
      </w:r>
      <w:r w:rsidR="00B65200" w:rsidRPr="00236907">
        <w:t xml:space="preserve">rders can provide a “circuit breaker”, </w:t>
      </w:r>
      <w:r w:rsidR="000D6D36" w:rsidRPr="00236907">
        <w:t>removing an aggressive or threatening</w:t>
      </w:r>
      <w:r w:rsidR="0032119C" w:rsidRPr="00236907">
        <w:t xml:space="preserve"> person </w:t>
      </w:r>
      <w:r w:rsidR="000D6D36" w:rsidRPr="00236907">
        <w:t xml:space="preserve">from the school and giving the principal time to seek advice and consider their options. </w:t>
      </w:r>
      <w:r w:rsidR="00844DDE" w:rsidRPr="00236907">
        <w:t>As one principal wrote in the ACU survey, an order is “</w:t>
      </w:r>
      <w:r w:rsidR="00CD4AB3" w:rsidRPr="00236907">
        <w:t>a good way to provide some space and time quickly to assist in ensuring a safe environment</w:t>
      </w:r>
      <w:r w:rsidR="00E97C2C" w:rsidRPr="00236907">
        <w:t>”</w:t>
      </w:r>
      <w:r w:rsidR="00CD4AB3" w:rsidRPr="00236907">
        <w:t>.</w:t>
      </w:r>
    </w:p>
    <w:p w14:paraId="5AB9F874" w14:textId="3C056E1B" w:rsidR="00264CA2" w:rsidRPr="00236907" w:rsidRDefault="00264CA2" w:rsidP="008A071C">
      <w:pPr>
        <w:pStyle w:val="BodyIndent1"/>
        <w:numPr>
          <w:ilvl w:val="0"/>
          <w:numId w:val="37"/>
        </w:numPr>
      </w:pPr>
      <w:r w:rsidRPr="00236907">
        <w:t>Allowing regional directors to issue orders means that regional staff can take over the management of very challenging individuals, easing some of the pressure on school principals</w:t>
      </w:r>
      <w:r w:rsidR="00B038DB" w:rsidRPr="00236907">
        <w:t xml:space="preserve"> and allowing the school principal to focus on maintaining or rebuilding the relationship with the parent.</w:t>
      </w:r>
      <w:r w:rsidR="00EF10E4" w:rsidRPr="00236907">
        <w:t xml:space="preserve"> </w:t>
      </w:r>
      <w:r w:rsidR="001E2B2B" w:rsidRPr="00236907">
        <w:t xml:space="preserve">While some of the school principals we spoke to </w:t>
      </w:r>
      <w:proofErr w:type="gramStart"/>
      <w:r w:rsidR="001E2B2B" w:rsidRPr="00236907">
        <w:t>emphasised</w:t>
      </w:r>
      <w:proofErr w:type="gramEnd"/>
      <w:r w:rsidR="001E2B2B" w:rsidRPr="00236907">
        <w:t xml:space="preserve"> the importance of having the authority to issue an order themselves, all principals and </w:t>
      </w:r>
      <w:r w:rsidR="00DD02F0" w:rsidRPr="00236907">
        <w:t xml:space="preserve">school staff </w:t>
      </w:r>
      <w:r w:rsidR="001E2B2B" w:rsidRPr="00236907">
        <w:t>representative bodies agreed that allowing regional directors to issue an order was an important part of the Scheme.</w:t>
      </w:r>
    </w:p>
    <w:p w14:paraId="55C38AFC" w14:textId="79253A13" w:rsidR="001F73BA" w:rsidRPr="00236907" w:rsidRDefault="004F2CFB" w:rsidP="008A071C">
      <w:pPr>
        <w:pStyle w:val="BodyIndent1"/>
        <w:numPr>
          <w:ilvl w:val="0"/>
          <w:numId w:val="37"/>
        </w:numPr>
      </w:pPr>
      <w:r>
        <w:t>T</w:t>
      </w:r>
      <w:r w:rsidR="00AD1152">
        <w:t>hat</w:t>
      </w:r>
      <w:r w:rsidR="00264CA2" w:rsidRPr="00236907">
        <w:t xml:space="preserve"> </w:t>
      </w:r>
      <w:proofErr w:type="gramStart"/>
      <w:r w:rsidR="00AD1152">
        <w:t xml:space="preserve">the </w:t>
      </w:r>
      <w:r w:rsidR="00264CA2" w:rsidRPr="00236907">
        <w:t>majority of</w:t>
      </w:r>
      <w:proofErr w:type="gramEnd"/>
      <w:r w:rsidR="00264CA2" w:rsidRPr="00236907">
        <w:t xml:space="preserve"> school principals who issue an order require</w:t>
      </w:r>
      <w:r w:rsidR="00830D84" w:rsidRPr="00236907">
        <w:t>d</w:t>
      </w:r>
      <w:r w:rsidR="00264CA2" w:rsidRPr="00236907">
        <w:t xml:space="preserve"> no further </w:t>
      </w:r>
      <w:r w:rsidR="00AD1152">
        <w:t xml:space="preserve">departmental </w:t>
      </w:r>
      <w:r w:rsidR="00264CA2" w:rsidRPr="00236907">
        <w:t>support</w:t>
      </w:r>
      <w:r w:rsidR="00AD1152">
        <w:t xml:space="preserve"> including in enforcement.</w:t>
      </w:r>
      <w:r w:rsidR="001F73BA" w:rsidRPr="00236907">
        <w:t xml:space="preserve"> </w:t>
      </w:r>
    </w:p>
    <w:p w14:paraId="456C9181" w14:textId="359B3D47" w:rsidR="00881CCC" w:rsidRPr="00236907" w:rsidRDefault="000C278D" w:rsidP="008A071C">
      <w:pPr>
        <w:pStyle w:val="BodyIndent1"/>
        <w:numPr>
          <w:ilvl w:val="0"/>
          <w:numId w:val="37"/>
        </w:numPr>
      </w:pPr>
      <w:r w:rsidRPr="00236907">
        <w:t xml:space="preserve">Some stakeholders </w:t>
      </w:r>
      <w:r w:rsidR="00E7197D" w:rsidRPr="00236907">
        <w:t xml:space="preserve">from </w:t>
      </w:r>
      <w:r w:rsidRPr="00236907">
        <w:t>the independent and Catholic education sectors</w:t>
      </w:r>
      <w:r w:rsidR="00881CCC" w:rsidRPr="00236907">
        <w:t xml:space="preserve"> noted that the Scheme provide</w:t>
      </w:r>
      <w:r w:rsidR="00986E07" w:rsidRPr="00236907">
        <w:t>s</w:t>
      </w:r>
      <w:r w:rsidR="00881CCC" w:rsidRPr="00236907">
        <w:t xml:space="preserve"> a means to manage troubling parent behaviour without terminating the student’s enrolment.</w:t>
      </w:r>
    </w:p>
    <w:p w14:paraId="5B8FD88F" w14:textId="080BF18B" w:rsidR="003C7C6A" w:rsidRPr="00236907" w:rsidRDefault="003C7C6A" w:rsidP="008A071C">
      <w:pPr>
        <w:pStyle w:val="BodyIndent1"/>
        <w:numPr>
          <w:ilvl w:val="0"/>
          <w:numId w:val="37"/>
        </w:numPr>
      </w:pPr>
      <w:r w:rsidRPr="00236907">
        <w:t>Non-government schools appreciated having the templates and documents relating to the Scheme available on the Department’s external website.</w:t>
      </w:r>
    </w:p>
    <w:p w14:paraId="584A1A28" w14:textId="193FDC5B" w:rsidR="00A75DAD" w:rsidRPr="00236907" w:rsidRDefault="00A75DAD" w:rsidP="00A75DAD">
      <w:pPr>
        <w:pStyle w:val="BodyIndent1"/>
      </w:pPr>
      <w:r w:rsidRPr="00236907">
        <w:t>School staff generally supported the Scheme and wanted it to continue. As one principal who made an order reported in stakeholder consultation, “I hope the Scheme is here to stay, it has real value.”</w:t>
      </w:r>
    </w:p>
    <w:p w14:paraId="79D68438" w14:textId="6CB72212" w:rsidR="00EC5B59" w:rsidRPr="00236907" w:rsidRDefault="00C2294B" w:rsidP="007550FA">
      <w:pPr>
        <w:pStyle w:val="Heading3"/>
        <w:spacing w:line="276" w:lineRule="auto"/>
        <w:rPr>
          <w:b/>
          <w:bCs/>
          <w:i/>
          <w:iCs/>
        </w:rPr>
      </w:pPr>
      <w:r w:rsidRPr="00236907">
        <w:rPr>
          <w:b/>
          <w:bCs/>
          <w:i/>
          <w:iCs/>
        </w:rPr>
        <w:t>Opportunities for improvement</w:t>
      </w:r>
    </w:p>
    <w:p w14:paraId="7D63683F" w14:textId="2C6C53A5" w:rsidR="003F0514" w:rsidRPr="00236907" w:rsidRDefault="00EA6509" w:rsidP="009A0DE7">
      <w:pPr>
        <w:pStyle w:val="BodyIndent1"/>
      </w:pPr>
      <w:r w:rsidRPr="00236907">
        <w:t>Stakeholders proposed a range of opportunities to improve</w:t>
      </w:r>
      <w:r w:rsidR="00C33796" w:rsidRPr="00236907">
        <w:t xml:space="preserve"> the Scheme. Some of these were consistent across a wide number of stakeholders, some specific to one.</w:t>
      </w:r>
      <w:r w:rsidR="00DA04F5" w:rsidRPr="00236907">
        <w:t xml:space="preserve"> The Department noted that the Scheme has not </w:t>
      </w:r>
      <w:r w:rsidR="00220674" w:rsidRPr="00236907">
        <w:t xml:space="preserve">been </w:t>
      </w:r>
      <w:r w:rsidR="00DA04F5" w:rsidRPr="00236907">
        <w:t>widely</w:t>
      </w:r>
      <w:r w:rsidR="00220674" w:rsidRPr="00236907">
        <w:t xml:space="preserve"> </w:t>
      </w:r>
      <w:r w:rsidR="00DA04F5" w:rsidRPr="00236907">
        <w:t>used in its first two years of operation, with 2</w:t>
      </w:r>
      <w:r w:rsidR="514DE8A9" w:rsidRPr="00236907">
        <w:t>4</w:t>
      </w:r>
      <w:r w:rsidR="00DA04F5" w:rsidRPr="00236907">
        <w:t xml:space="preserve"> orders issued</w:t>
      </w:r>
      <w:r w:rsidR="00BE313E" w:rsidRPr="00236907">
        <w:t xml:space="preserve"> up to the end of FY 2024</w:t>
      </w:r>
      <w:r w:rsidR="00DA04F5" w:rsidRPr="00236907">
        <w:t xml:space="preserve">, </w:t>
      </w:r>
      <w:r w:rsidR="003F0514" w:rsidRPr="00236907">
        <w:t>9</w:t>
      </w:r>
      <w:r w:rsidR="00BE313E" w:rsidRPr="00236907">
        <w:t xml:space="preserve"> of these</w:t>
      </w:r>
      <w:r w:rsidR="003F0514" w:rsidRPr="00236907">
        <w:t xml:space="preserve"> in FY 2022-23 and 1</w:t>
      </w:r>
      <w:r w:rsidR="00676225" w:rsidRPr="00236907">
        <w:t>5</w:t>
      </w:r>
      <w:r w:rsidR="003F0514" w:rsidRPr="00236907">
        <w:t xml:space="preserve"> in FY 2023-24.</w:t>
      </w:r>
      <w:r w:rsidR="003F0514" w:rsidRPr="00236907">
        <w:rPr>
          <w:rStyle w:val="FootnoteReference"/>
        </w:rPr>
        <w:footnoteReference w:id="50"/>
      </w:r>
      <w:r w:rsidR="00D04DA0" w:rsidRPr="00236907">
        <w:t xml:space="preserve"> </w:t>
      </w:r>
      <w:r w:rsidR="00C04107" w:rsidRPr="00236907">
        <w:t>The Department wishes to understand if there are any barriers to the use of the Scheme that may be contributing to the limited number of orders being issued in its first two years of operation.</w:t>
      </w:r>
    </w:p>
    <w:p w14:paraId="22FF7F44" w14:textId="1FFDD7C3" w:rsidR="00A6213E" w:rsidRPr="00236907" w:rsidRDefault="00A6213E" w:rsidP="004E7945">
      <w:pPr>
        <w:pStyle w:val="BodyIndent1"/>
      </w:pPr>
      <w:r w:rsidRPr="00236907">
        <w:t xml:space="preserve">The Scheme provides </w:t>
      </w:r>
      <w:r w:rsidR="00D038A5" w:rsidRPr="00236907">
        <w:t>school principals and other Department staff with</w:t>
      </w:r>
      <w:r w:rsidRPr="00236907">
        <w:t xml:space="preserve"> powers to manage </w:t>
      </w:r>
      <w:r w:rsidR="00AA7693" w:rsidRPr="00236907">
        <w:t>behaviours which go beyo</w:t>
      </w:r>
      <w:r w:rsidR="00B20151" w:rsidRPr="00236907">
        <w:t xml:space="preserve">nd the school </w:t>
      </w:r>
      <w:r w:rsidR="0096798A" w:rsidRPr="00236907">
        <w:t>premises</w:t>
      </w:r>
      <w:r w:rsidR="00B20151" w:rsidRPr="00236907">
        <w:t xml:space="preserve"> and fall below the threshold for a PSIO. </w:t>
      </w:r>
      <w:r w:rsidR="00B20151" w:rsidRPr="00236907">
        <w:lastRenderedPageBreak/>
        <w:t xml:space="preserve">These are </w:t>
      </w:r>
      <w:r w:rsidR="00835428" w:rsidRPr="00236907">
        <w:t>broader powers than are</w:t>
      </w:r>
      <w:r w:rsidR="00222C0B" w:rsidRPr="00236907">
        <w:t xml:space="preserve"> currently</w:t>
      </w:r>
      <w:r w:rsidR="00835428" w:rsidRPr="00236907">
        <w:t xml:space="preserve"> available to school principals in other Australian states and many comparable overseas jurisdictions, and they accordingly come with significant procedural safeguards.</w:t>
      </w:r>
    </w:p>
    <w:p w14:paraId="44A1661C" w14:textId="2D51282C" w:rsidR="007544D0" w:rsidRPr="00236907" w:rsidRDefault="00EC5411" w:rsidP="004E7945">
      <w:pPr>
        <w:pStyle w:val="BodyIndent1"/>
      </w:pPr>
      <w:r w:rsidRPr="00236907">
        <w:t>School principals and Department staff generally appreciated the range of powers available, and some suggested that the Scheme could be further expanded to include restrictions on posting on personal social media.</w:t>
      </w:r>
      <w:r w:rsidR="005368F1" w:rsidRPr="00236907">
        <w:t xml:space="preserve"> We have considered expanding the scope of the Scheme against the risks of legislative overreach. </w:t>
      </w:r>
    </w:p>
    <w:p w14:paraId="58CB52D6" w14:textId="0250A2A8" w:rsidR="00F15CB8" w:rsidRPr="00236907" w:rsidRDefault="00EC5411" w:rsidP="00AD5049">
      <w:pPr>
        <w:pStyle w:val="BodyIndent1"/>
      </w:pPr>
      <w:r w:rsidRPr="00236907">
        <w:t>T</w:t>
      </w:r>
      <w:r w:rsidR="000065E4" w:rsidRPr="00236907">
        <w:t xml:space="preserve">he most consistent theme in the feedback from stakeholders who make orders themselves or advise school principals and Department staff </w:t>
      </w:r>
      <w:r w:rsidR="00B37B3D" w:rsidRPr="00236907">
        <w:t>on making orders is that the safeguards are excessively</w:t>
      </w:r>
      <w:r w:rsidR="00D664D3" w:rsidRPr="00236907">
        <w:t xml:space="preserve"> </w:t>
      </w:r>
      <w:proofErr w:type="gramStart"/>
      <w:r w:rsidR="00B37B3D" w:rsidRPr="00236907">
        <w:t>restrictive</w:t>
      </w:r>
      <w:r w:rsidR="0082406F" w:rsidRPr="00236907">
        <w:t>, and</w:t>
      </w:r>
      <w:proofErr w:type="gramEnd"/>
      <w:r w:rsidR="0082406F" w:rsidRPr="00236907">
        <w:t xml:space="preserve"> are a barrier to making orders.</w:t>
      </w:r>
      <w:r w:rsidR="005D2583" w:rsidRPr="00236907">
        <w:t xml:space="preserve"> Many reported a preference for issuing TWNs, even where they had grounds for making an order</w:t>
      </w:r>
      <w:r w:rsidR="00435CA6" w:rsidRPr="00236907">
        <w:t>, as there are fewer procedural steps</w:t>
      </w:r>
      <w:r w:rsidR="00AE1592" w:rsidRPr="00236907">
        <w:t xml:space="preserve"> in a TWN</w:t>
      </w:r>
      <w:r w:rsidR="00966F9A" w:rsidRPr="00236907">
        <w:t>.</w:t>
      </w:r>
      <w:r w:rsidR="0082406F" w:rsidRPr="00236907">
        <w:t xml:space="preserve"> These stakeholders pointed to the low number of orders made as evidence that making an order was often not worth the time and effort. We have broken this feedback down in detail in this section of this </w:t>
      </w:r>
      <w:proofErr w:type="gramStart"/>
      <w:r w:rsidR="0082406F" w:rsidRPr="00236907">
        <w:t>report, and</w:t>
      </w:r>
      <w:proofErr w:type="gramEnd"/>
      <w:r w:rsidR="0082406F" w:rsidRPr="00236907">
        <w:t xml:space="preserve"> considered the benefits and risks with simplifying different parts of the Scheme and removing certain provisions in the ETR Act. </w:t>
      </w:r>
    </w:p>
    <w:p w14:paraId="437C4312" w14:textId="261E866F" w:rsidR="00CF0B6E" w:rsidRPr="00236907" w:rsidRDefault="00CF0B6E" w:rsidP="008617C5">
      <w:pPr>
        <w:pStyle w:val="BodyIndent1"/>
      </w:pPr>
      <w:r w:rsidRPr="00236907">
        <w:t xml:space="preserve">Parents Victoria provided the perspective of parents who may be the subject of an order. In some cases, their feedback was </w:t>
      </w:r>
      <w:proofErr w:type="gramStart"/>
      <w:r w:rsidRPr="00236907">
        <w:t>similar to</w:t>
      </w:r>
      <w:proofErr w:type="gramEnd"/>
      <w:r w:rsidRPr="00236907">
        <w:t xml:space="preserve"> </w:t>
      </w:r>
      <w:r w:rsidR="00C0690B" w:rsidRPr="00236907">
        <w:t xml:space="preserve">school staff. For example, they also raised concerns about the complexity of the process to make and appeal an </w:t>
      </w:r>
      <w:proofErr w:type="gramStart"/>
      <w:r w:rsidR="00C0690B" w:rsidRPr="00236907">
        <w:t>order, and</w:t>
      </w:r>
      <w:proofErr w:type="gramEnd"/>
      <w:r w:rsidR="00C0690B" w:rsidRPr="00236907">
        <w:t xml:space="preserve"> reported that parents subject to an order could feel that they were being </w:t>
      </w:r>
      <w:r w:rsidR="001D5A70" w:rsidRPr="00236907">
        <w:t xml:space="preserve">subjected to a form of prosecution. </w:t>
      </w:r>
      <w:r w:rsidR="0055151D" w:rsidRPr="00236907">
        <w:t>However, they continued to have concerns about the Scheme overall</w:t>
      </w:r>
      <w:r w:rsidR="002D3611" w:rsidRPr="00236907">
        <w:t>, as well as</w:t>
      </w:r>
      <w:r w:rsidR="0055151D" w:rsidRPr="00236907">
        <w:t xml:space="preserve"> other </w:t>
      </w:r>
      <w:r w:rsidR="00302A6D" w:rsidRPr="00236907">
        <w:t>restrictive</w:t>
      </w:r>
      <w:r w:rsidR="0055151D" w:rsidRPr="00236907">
        <w:t xml:space="preserve"> measures which schools </w:t>
      </w:r>
      <w:r w:rsidR="00302A6D" w:rsidRPr="00236907">
        <w:t xml:space="preserve">may impose on parents, including TWNs and PSIOs. </w:t>
      </w:r>
      <w:r w:rsidR="000A4964" w:rsidRPr="00236907">
        <w:t xml:space="preserve">We have acknowledged their criticism of the </w:t>
      </w:r>
      <w:proofErr w:type="gramStart"/>
      <w:r w:rsidR="000A4964" w:rsidRPr="00236907">
        <w:t>Scheme, but</w:t>
      </w:r>
      <w:proofErr w:type="gramEnd"/>
      <w:r w:rsidR="000A4964" w:rsidRPr="00236907">
        <w:t xml:space="preserve"> also balanced this</w:t>
      </w:r>
      <w:r w:rsidR="003B2799" w:rsidRPr="00236907">
        <w:t xml:space="preserve"> with the demands faced by school staff who </w:t>
      </w:r>
      <w:r w:rsidR="00672918" w:rsidRPr="00236907">
        <w:t>experience</w:t>
      </w:r>
      <w:r w:rsidR="003B2799" w:rsidRPr="00236907">
        <w:t xml:space="preserve"> demanding, aggressive or threatening behaviour from parents</w:t>
      </w:r>
      <w:r w:rsidR="0031710E" w:rsidRPr="00236907">
        <w:t xml:space="preserve"> and other members of the school community.</w:t>
      </w:r>
      <w:r w:rsidR="007D623A" w:rsidRPr="00236907">
        <w:t xml:space="preserve"> </w:t>
      </w:r>
      <w:r w:rsidR="000A4964" w:rsidRPr="00236907">
        <w:t xml:space="preserve"> </w:t>
      </w:r>
    </w:p>
    <w:p w14:paraId="26D0D6C7" w14:textId="2431F586" w:rsidR="005368F1" w:rsidRPr="00236907" w:rsidRDefault="00B50B9F" w:rsidP="004E7945">
      <w:pPr>
        <w:pStyle w:val="BodyIndent1"/>
      </w:pPr>
      <w:r w:rsidRPr="00236907">
        <w:t xml:space="preserve">The role and function of immediate orders, the internal review process, and the Scheme’s enforcement mechanisms were the subjects of particular </w:t>
      </w:r>
      <w:r w:rsidR="005C36FB" w:rsidRPr="00236907">
        <w:t xml:space="preserve">focus. </w:t>
      </w:r>
      <w:r w:rsidR="00D248EB" w:rsidRPr="00236907">
        <w:t xml:space="preserve">We have described this feedback and options for amending these below. </w:t>
      </w:r>
      <w:r w:rsidR="00493FE4" w:rsidRPr="00236907">
        <w:t xml:space="preserve">In some cases, </w:t>
      </w:r>
      <w:r w:rsidR="00614474">
        <w:t>the Department will need to clarify its policy position between different options</w:t>
      </w:r>
      <w:r w:rsidR="00493FE4" w:rsidRPr="00236907">
        <w:t>.</w:t>
      </w:r>
    </w:p>
    <w:p w14:paraId="22E8B04B" w14:textId="444A4B21" w:rsidR="007F48ED" w:rsidRPr="00236907" w:rsidRDefault="00401BA2" w:rsidP="007D623A">
      <w:pPr>
        <w:pStyle w:val="BodyIndent1"/>
      </w:pPr>
      <w:r w:rsidRPr="00236907">
        <w:t>Additionally, we identified through both our desktop review and from stakeholder feedback s</w:t>
      </w:r>
      <w:r w:rsidR="00695B9C" w:rsidRPr="00236907">
        <w:t xml:space="preserve">traightforward enhancements to the </w:t>
      </w:r>
      <w:r w:rsidR="00FB5192" w:rsidRPr="00236907">
        <w:t>E</w:t>
      </w:r>
      <w:r w:rsidR="00EC3EED" w:rsidRPr="00236907">
        <w:t>TR Act</w:t>
      </w:r>
      <w:r w:rsidR="00FB5192" w:rsidRPr="00236907">
        <w:t xml:space="preserve"> and Ministerial Guidelines to improve aspects of the Scheme which are already working well</w:t>
      </w:r>
      <w:r w:rsidR="005315F8" w:rsidRPr="00236907">
        <w:t>. We have listed these recommendations</w:t>
      </w:r>
      <w:r w:rsidR="00FA5794" w:rsidRPr="00236907">
        <w:t xml:space="preserve"> as appropriate.</w:t>
      </w:r>
    </w:p>
    <w:p w14:paraId="00359BFE" w14:textId="586DBCD5" w:rsidR="0042784D" w:rsidRPr="00236907" w:rsidRDefault="00301041" w:rsidP="007D623A">
      <w:pPr>
        <w:pStyle w:val="BodyIndent1"/>
      </w:pPr>
      <w:r w:rsidRPr="00236907">
        <w:t xml:space="preserve">The effectiveness of the Scheme goes beyond the ETR Act and Ministerial </w:t>
      </w:r>
      <w:proofErr w:type="gramStart"/>
      <w:r w:rsidRPr="00236907">
        <w:t>Guidelines</w:t>
      </w:r>
      <w:r w:rsidR="002A094D" w:rsidRPr="00236907">
        <w:t>, and</w:t>
      </w:r>
      <w:proofErr w:type="gramEnd"/>
      <w:r w:rsidR="002A094D" w:rsidRPr="00236907">
        <w:t xml:space="preserve"> also depends on school and regional staff having knowledge of the Scheme and confidence to make orders. Given that the Scheme is new, both knowledge and confidence</w:t>
      </w:r>
      <w:r w:rsidR="00333DC4" w:rsidRPr="00236907">
        <w:t xml:space="preserve"> in the Scheme</w:t>
      </w:r>
      <w:r w:rsidR="002A094D" w:rsidRPr="00236907">
        <w:t xml:space="preserve"> are still growing.</w:t>
      </w:r>
      <w:r w:rsidR="00187FA8" w:rsidRPr="00236907">
        <w:t xml:space="preserve"> However, it will be important for the Scheme to be effective that school and regional staff are clear on the Scheme’s scope and purpose, and regional staff give a consistent and positive message to school principals who come to them for advice on making orders.</w:t>
      </w:r>
      <w:r w:rsidR="002A094D" w:rsidRPr="00236907">
        <w:t xml:space="preserve"> </w:t>
      </w:r>
    </w:p>
    <w:p w14:paraId="367E7B69" w14:textId="77777777" w:rsidR="00E80585" w:rsidRPr="00236907" w:rsidRDefault="00E80585" w:rsidP="007D623A">
      <w:pPr>
        <w:pStyle w:val="BodyIndent1"/>
      </w:pPr>
    </w:p>
    <w:tbl>
      <w:tblPr>
        <w:tblStyle w:val="MadTabPlumShade"/>
        <w:tblW w:w="5000" w:type="pct"/>
        <w:tblLook w:val="0620" w:firstRow="1" w:lastRow="0" w:firstColumn="0" w:lastColumn="0" w:noHBand="1" w:noVBand="1"/>
      </w:tblPr>
      <w:tblGrid>
        <w:gridCol w:w="686"/>
        <w:gridCol w:w="2126"/>
        <w:gridCol w:w="6212"/>
      </w:tblGrid>
      <w:tr w:rsidR="004503C2" w:rsidRPr="00236907" w14:paraId="293E9B96" w14:textId="77777777" w:rsidTr="004503C2">
        <w:trPr>
          <w:cnfStyle w:val="100000000000" w:firstRow="1" w:lastRow="0" w:firstColumn="0" w:lastColumn="0" w:oddVBand="0" w:evenVBand="0" w:oddHBand="0" w:evenHBand="0" w:firstRowFirstColumn="0" w:firstRowLastColumn="0" w:lastRowFirstColumn="0" w:lastRowLastColumn="0"/>
        </w:trPr>
        <w:tc>
          <w:tcPr>
            <w:tcW w:w="380" w:type="pct"/>
          </w:tcPr>
          <w:p w14:paraId="43C8B515" w14:textId="53EAC3E5" w:rsidR="00482B00" w:rsidRPr="00236907" w:rsidRDefault="00E80585">
            <w:r w:rsidRPr="00236907">
              <w:t>#</w:t>
            </w:r>
          </w:p>
        </w:tc>
        <w:tc>
          <w:tcPr>
            <w:tcW w:w="1178" w:type="pct"/>
          </w:tcPr>
          <w:p w14:paraId="05D7AFB0" w14:textId="77777777" w:rsidR="00482B00" w:rsidRPr="00236907" w:rsidRDefault="00482B00">
            <w:r w:rsidRPr="00236907">
              <w:t>Provision</w:t>
            </w:r>
          </w:p>
        </w:tc>
        <w:tc>
          <w:tcPr>
            <w:tcW w:w="3442" w:type="pct"/>
          </w:tcPr>
          <w:p w14:paraId="3E7BAA3C" w14:textId="77777777" w:rsidR="00482B00" w:rsidRPr="00236907" w:rsidRDefault="00482B00">
            <w:r w:rsidRPr="00236907">
              <w:t>Recommendation</w:t>
            </w:r>
          </w:p>
        </w:tc>
      </w:tr>
      <w:tr w:rsidR="004503C2" w:rsidRPr="00236907" w14:paraId="76763183" w14:textId="77777777" w:rsidTr="004503C2">
        <w:tc>
          <w:tcPr>
            <w:tcW w:w="380" w:type="pct"/>
          </w:tcPr>
          <w:p w14:paraId="61E39086" w14:textId="37A2CC1F" w:rsidR="00482B00" w:rsidRPr="00236907" w:rsidRDefault="00E80585">
            <w:r w:rsidRPr="00236907">
              <w:t>1.1</w:t>
            </w:r>
          </w:p>
        </w:tc>
        <w:tc>
          <w:tcPr>
            <w:tcW w:w="1178" w:type="pct"/>
          </w:tcPr>
          <w:p w14:paraId="722C4602" w14:textId="2BF246ED" w:rsidR="00482B00" w:rsidRPr="00236907" w:rsidRDefault="004C5AC4">
            <w:r w:rsidRPr="00236907">
              <w:t>N/A</w:t>
            </w:r>
          </w:p>
        </w:tc>
        <w:tc>
          <w:tcPr>
            <w:tcW w:w="3442" w:type="pct"/>
          </w:tcPr>
          <w:p w14:paraId="2786B90F" w14:textId="147DF2EC" w:rsidR="00482B00" w:rsidRPr="00236907" w:rsidRDefault="00B73137">
            <w:r w:rsidRPr="00236907">
              <w:t xml:space="preserve">The Department continues to educate its staff in the Scheme, give policy guidance on the use of orders, and </w:t>
            </w:r>
            <w:r w:rsidR="00192FEE" w:rsidRPr="00236907">
              <w:t>provide direction to</w:t>
            </w:r>
            <w:r w:rsidRPr="00236907">
              <w:t xml:space="preserve"> regional staff </w:t>
            </w:r>
            <w:r w:rsidR="00192FEE" w:rsidRPr="00236907">
              <w:t xml:space="preserve">so they are </w:t>
            </w:r>
            <w:proofErr w:type="gramStart"/>
            <w:r w:rsidR="00192FEE" w:rsidRPr="00236907">
              <w:t>in a position</w:t>
            </w:r>
            <w:proofErr w:type="gramEnd"/>
            <w:r w:rsidR="00192FEE" w:rsidRPr="00236907">
              <w:t xml:space="preserve"> to </w:t>
            </w:r>
            <w:r w:rsidR="00551074" w:rsidRPr="00236907">
              <w:t xml:space="preserve">either </w:t>
            </w:r>
            <w:r w:rsidR="00192FEE" w:rsidRPr="00236907">
              <w:t>make orders or to support school principals who are facing a situation where an order may be necessary</w:t>
            </w:r>
            <w:r w:rsidRPr="00236907">
              <w:t xml:space="preserve">.   </w:t>
            </w:r>
          </w:p>
        </w:tc>
      </w:tr>
      <w:tr w:rsidR="003512C9" w:rsidRPr="00236907" w14:paraId="6C08FA9B" w14:textId="77777777" w:rsidTr="004503C2">
        <w:tc>
          <w:tcPr>
            <w:tcW w:w="380" w:type="pct"/>
          </w:tcPr>
          <w:p w14:paraId="0E242537" w14:textId="1424C5CF" w:rsidR="003512C9" w:rsidRPr="00236907" w:rsidRDefault="003512C9">
            <w:r w:rsidRPr="00236907">
              <w:t>1.2</w:t>
            </w:r>
          </w:p>
        </w:tc>
        <w:tc>
          <w:tcPr>
            <w:tcW w:w="1178" w:type="pct"/>
          </w:tcPr>
          <w:p w14:paraId="1BB45845" w14:textId="50E96DC7" w:rsidR="003512C9" w:rsidRPr="00236907" w:rsidRDefault="003512C9">
            <w:r w:rsidRPr="00236907">
              <w:t>N/A</w:t>
            </w:r>
          </w:p>
        </w:tc>
        <w:tc>
          <w:tcPr>
            <w:tcW w:w="3442" w:type="pct"/>
          </w:tcPr>
          <w:p w14:paraId="70AB05C3" w14:textId="7D409590" w:rsidR="003512C9" w:rsidRPr="00236907" w:rsidRDefault="003512C9">
            <w:r w:rsidRPr="00236907">
              <w:t xml:space="preserve">Given the length and complexity of the Ministerial Guidelines, the Department ensures that principals have access to guidance </w:t>
            </w:r>
            <w:r w:rsidRPr="00236907">
              <w:lastRenderedPageBreak/>
              <w:t>material succinctly summarising aspects of the Scheme relevant to them.</w:t>
            </w:r>
          </w:p>
        </w:tc>
      </w:tr>
    </w:tbl>
    <w:p w14:paraId="1C3CCF16" w14:textId="54F3B33C" w:rsidR="00C247BE" w:rsidRPr="00236907" w:rsidRDefault="00C247BE" w:rsidP="00E75533">
      <w:pPr>
        <w:pStyle w:val="BodyIndent1"/>
      </w:pPr>
    </w:p>
    <w:p w14:paraId="353B013B" w14:textId="0B92DD34" w:rsidR="00F94AB5" w:rsidRPr="00236907" w:rsidRDefault="00331871" w:rsidP="00331871">
      <w:pPr>
        <w:pStyle w:val="Heading2"/>
      </w:pPr>
      <w:bookmarkStart w:id="24" w:name="_Toc210053624"/>
      <w:r w:rsidRPr="00236907">
        <w:t>Scope of the scheme</w:t>
      </w:r>
      <w:bookmarkEnd w:id="24"/>
    </w:p>
    <w:p w14:paraId="1EC37E7C" w14:textId="569BE46D" w:rsidR="004004F6" w:rsidRPr="00236907" w:rsidRDefault="004004F6" w:rsidP="008C0B3E">
      <w:pPr>
        <w:pStyle w:val="Heading3"/>
        <w:spacing w:line="276" w:lineRule="auto"/>
        <w:rPr>
          <w:b/>
          <w:bCs/>
          <w:i/>
          <w:iCs/>
        </w:rPr>
      </w:pPr>
      <w:r w:rsidRPr="00236907">
        <w:rPr>
          <w:b/>
          <w:bCs/>
          <w:i/>
          <w:iCs/>
        </w:rPr>
        <w:t>Members of the school community</w:t>
      </w:r>
    </w:p>
    <w:p w14:paraId="11EBC83E" w14:textId="28FF5922" w:rsidR="000F4FDE" w:rsidRPr="00236907" w:rsidRDefault="00C522E7" w:rsidP="000F4FDE">
      <w:pPr>
        <w:pStyle w:val="BodyIndent1"/>
      </w:pPr>
      <w:r w:rsidRPr="00236907">
        <w:t>Some school staff who had a favourable view of the Scheme wanted to see it expanded to pro</w:t>
      </w:r>
      <w:r w:rsidR="004F7D32" w:rsidRPr="00236907">
        <w:t xml:space="preserve">vide a broader range of protections to a broader range of people. </w:t>
      </w:r>
      <w:r w:rsidR="006A1A16" w:rsidRPr="00236907">
        <w:t>For example, o</w:t>
      </w:r>
      <w:r w:rsidR="004D52FA" w:rsidRPr="00236907">
        <w:t xml:space="preserve">ne primary school had been dealing with challenging behaviour directed by a member of the community towards school staff </w:t>
      </w:r>
      <w:proofErr w:type="gramStart"/>
      <w:r w:rsidR="004D52FA" w:rsidRPr="00236907">
        <w:t>and also</w:t>
      </w:r>
      <w:proofErr w:type="gramEnd"/>
      <w:r w:rsidR="004D52FA" w:rsidRPr="00236907">
        <w:t xml:space="preserve"> members of the school council. </w:t>
      </w:r>
      <w:r w:rsidR="000F4FDE" w:rsidRPr="00236907">
        <w:t xml:space="preserve">It is straightforward to expand the </w:t>
      </w:r>
      <w:r w:rsidR="00F9556D" w:rsidRPr="00236907">
        <w:t xml:space="preserve">protections of the </w:t>
      </w:r>
      <w:r w:rsidR="000F4FDE" w:rsidRPr="00236907">
        <w:t xml:space="preserve">Scheme to include school councillors, </w:t>
      </w:r>
      <w:r w:rsidR="003E4126" w:rsidRPr="00236907">
        <w:t xml:space="preserve">members of any other school governing </w:t>
      </w:r>
      <w:r w:rsidR="00FA403E" w:rsidRPr="00236907">
        <w:t xml:space="preserve">body </w:t>
      </w:r>
      <w:r w:rsidR="00A77534" w:rsidRPr="00236907">
        <w:t>as applicable to independent schools</w:t>
      </w:r>
      <w:r w:rsidR="003E4126" w:rsidRPr="00236907">
        <w:t xml:space="preserve">, </w:t>
      </w:r>
      <w:r w:rsidR="000F4FDE" w:rsidRPr="00236907">
        <w:t>and potentially other members of the community supporting schools in a volunteer</w:t>
      </w:r>
      <w:r w:rsidR="009F5FFC" w:rsidRPr="00236907">
        <w:t xml:space="preserve"> capacity</w:t>
      </w:r>
      <w:r w:rsidR="000F4FDE" w:rsidRPr="00236907">
        <w:t>.</w:t>
      </w:r>
    </w:p>
    <w:p w14:paraId="266A2999" w14:textId="3404D481" w:rsidR="004B1CB4" w:rsidRPr="00236907" w:rsidRDefault="004B1CB4" w:rsidP="004F222A">
      <w:pPr>
        <w:pStyle w:val="BodyIndent1"/>
      </w:pPr>
      <w:r w:rsidRPr="00236907">
        <w:t xml:space="preserve">However, it is unclear what affect this change would have in practice. </w:t>
      </w:r>
      <w:r w:rsidR="00EC0CD8" w:rsidRPr="00236907">
        <w:t>An authorised person may only make an order to protect a member of the school community from unacceptable risk of harm if they are at a school-related place.</w:t>
      </w:r>
      <w:r w:rsidR="002A232A" w:rsidRPr="00236907">
        <w:rPr>
          <w:rStyle w:val="FootnoteReference"/>
        </w:rPr>
        <w:footnoteReference w:id="51"/>
      </w:r>
      <w:r w:rsidR="00EC0CD8" w:rsidRPr="00236907">
        <w:t xml:space="preserve"> </w:t>
      </w:r>
      <w:r w:rsidR="007B03E1" w:rsidRPr="00236907">
        <w:t>The legislation appears to be drafted to draw a distinction between teachers, students and parents on one hand and other people who may be at a school-related place for a school-related reason on the other, but this distinction does not seem to have practical effect</w:t>
      </w:r>
      <w:r w:rsidR="000B16E3" w:rsidRPr="00236907">
        <w:t xml:space="preserve"> with regards to the grounds for making orders</w:t>
      </w:r>
      <w:r w:rsidR="007B03E1" w:rsidRPr="00236907">
        <w:t xml:space="preserve">. </w:t>
      </w:r>
    </w:p>
    <w:p w14:paraId="3B47959E" w14:textId="77777777" w:rsidR="00C23785" w:rsidRPr="00236907" w:rsidRDefault="00C23785" w:rsidP="004F222A">
      <w:pPr>
        <w:pStyle w:val="BodyIndent1"/>
      </w:pPr>
    </w:p>
    <w:tbl>
      <w:tblPr>
        <w:tblStyle w:val="MadTabPlumShade"/>
        <w:tblW w:w="5000" w:type="pct"/>
        <w:tblLook w:val="0620" w:firstRow="1" w:lastRow="0" w:firstColumn="0" w:lastColumn="0" w:noHBand="1" w:noVBand="1"/>
      </w:tblPr>
      <w:tblGrid>
        <w:gridCol w:w="686"/>
        <w:gridCol w:w="2126"/>
        <w:gridCol w:w="6212"/>
      </w:tblGrid>
      <w:tr w:rsidR="003B25DC" w:rsidRPr="00236907" w14:paraId="1D64B332" w14:textId="77777777" w:rsidTr="00006133">
        <w:trPr>
          <w:cnfStyle w:val="100000000000" w:firstRow="1" w:lastRow="0" w:firstColumn="0" w:lastColumn="0" w:oddVBand="0" w:evenVBand="0" w:oddHBand="0" w:evenHBand="0" w:firstRowFirstColumn="0" w:firstRowLastColumn="0" w:lastRowFirstColumn="0" w:lastRowLastColumn="0"/>
        </w:trPr>
        <w:tc>
          <w:tcPr>
            <w:tcW w:w="380" w:type="pct"/>
          </w:tcPr>
          <w:p w14:paraId="0EDFF398" w14:textId="77777777" w:rsidR="003B25DC" w:rsidRPr="00236907" w:rsidRDefault="003B25DC" w:rsidP="00006133">
            <w:r w:rsidRPr="00236907">
              <w:t>#</w:t>
            </w:r>
          </w:p>
        </w:tc>
        <w:tc>
          <w:tcPr>
            <w:tcW w:w="1178" w:type="pct"/>
          </w:tcPr>
          <w:p w14:paraId="4090C1FF" w14:textId="77777777" w:rsidR="003B25DC" w:rsidRPr="00236907" w:rsidRDefault="003B25DC" w:rsidP="00006133">
            <w:r w:rsidRPr="00236907">
              <w:t>Provision</w:t>
            </w:r>
          </w:p>
        </w:tc>
        <w:tc>
          <w:tcPr>
            <w:tcW w:w="3442" w:type="pct"/>
          </w:tcPr>
          <w:p w14:paraId="0C6F1AD2" w14:textId="77777777" w:rsidR="003B25DC" w:rsidRPr="00236907" w:rsidRDefault="003B25DC" w:rsidP="00006133">
            <w:r w:rsidRPr="00236907">
              <w:t>Recommendation</w:t>
            </w:r>
          </w:p>
        </w:tc>
      </w:tr>
      <w:tr w:rsidR="003B25DC" w:rsidRPr="00236907" w14:paraId="7D239365" w14:textId="77777777" w:rsidTr="00006133">
        <w:tc>
          <w:tcPr>
            <w:tcW w:w="380" w:type="pct"/>
          </w:tcPr>
          <w:p w14:paraId="3B3B54E3" w14:textId="77777777" w:rsidR="003B25DC" w:rsidRPr="00236907" w:rsidRDefault="003B25DC" w:rsidP="00006133">
            <w:r w:rsidRPr="00236907">
              <w:t>2.1</w:t>
            </w:r>
          </w:p>
        </w:tc>
        <w:tc>
          <w:tcPr>
            <w:tcW w:w="1178" w:type="pct"/>
          </w:tcPr>
          <w:p w14:paraId="6E346C7E" w14:textId="5F0B5377" w:rsidR="003B25DC" w:rsidRPr="00236907" w:rsidRDefault="003B25DC" w:rsidP="00006133">
            <w:r w:rsidRPr="00236907">
              <w:t xml:space="preserve">ETR Act, s </w:t>
            </w:r>
            <w:r w:rsidRPr="00236907">
              <w:rPr>
                <w:rFonts w:asciiTheme="majorHAnsi" w:hAnsiTheme="majorHAnsi" w:cstheme="majorHAnsi"/>
              </w:rPr>
              <w:t>2.1A.1 Definitions</w:t>
            </w:r>
            <w:r w:rsidR="00844B59" w:rsidRPr="00236907">
              <w:rPr>
                <w:rFonts w:asciiTheme="majorHAnsi" w:hAnsiTheme="majorHAnsi" w:cstheme="majorHAnsi"/>
              </w:rPr>
              <w:t xml:space="preserve">, </w:t>
            </w:r>
            <w:r w:rsidR="00844B59" w:rsidRPr="00236907">
              <w:t xml:space="preserve">ETR Act, </w:t>
            </w:r>
            <w:r w:rsidR="00844B59" w:rsidRPr="00236907">
              <w:rPr>
                <w:rFonts w:asciiTheme="minorHAnsi" w:hAnsiTheme="minorHAnsi" w:cstheme="minorBidi"/>
              </w:rPr>
              <w:t>2.1A.5(1)(a)(ii), 2.1A.17(1)(a)(ii), grounds for making orders</w:t>
            </w:r>
          </w:p>
        </w:tc>
        <w:tc>
          <w:tcPr>
            <w:tcW w:w="3442" w:type="pct"/>
          </w:tcPr>
          <w:p w14:paraId="6C330A6B" w14:textId="0972964D" w:rsidR="003B25DC" w:rsidRPr="00236907" w:rsidRDefault="00771B0D" w:rsidP="00006133">
            <w:r w:rsidRPr="00236907">
              <w:t>Consider if there</w:t>
            </w:r>
            <w:r w:rsidR="001A2BFC" w:rsidRPr="00236907">
              <w:t xml:space="preserve"> is a policy basis upon which there </w:t>
            </w:r>
            <w:r w:rsidRPr="00236907">
              <w:t>should be a change to the definition of “member of the school community” in the ETRA. Consider also if there should be a distinction between parents, teachers and students on one hand and other people who may be at a school-related place for a school-related reason on the other</w:t>
            </w:r>
            <w:r w:rsidR="00AD7110" w:rsidRPr="00236907">
              <w:t>, and if there should be any amendments to the provisions defining grounds for making immediate and ongoing orders.</w:t>
            </w:r>
          </w:p>
        </w:tc>
      </w:tr>
    </w:tbl>
    <w:p w14:paraId="12287341" w14:textId="658FAF90" w:rsidR="006B14B9" w:rsidRPr="00236907" w:rsidRDefault="006B14B9" w:rsidP="003B25DC">
      <w:pPr>
        <w:pStyle w:val="Heading3"/>
        <w:spacing w:line="276" w:lineRule="auto"/>
        <w:rPr>
          <w:b/>
          <w:bCs/>
          <w:i/>
          <w:iCs/>
        </w:rPr>
      </w:pPr>
      <w:r w:rsidRPr="00236907">
        <w:rPr>
          <w:b/>
          <w:bCs/>
          <w:i/>
          <w:iCs/>
        </w:rPr>
        <w:t>Social media</w:t>
      </w:r>
    </w:p>
    <w:p w14:paraId="4236AA6A" w14:textId="25A6FC44" w:rsidR="004F222A" w:rsidRPr="00236907" w:rsidRDefault="004C0E49" w:rsidP="004F222A">
      <w:pPr>
        <w:pStyle w:val="BodyIndent1"/>
      </w:pPr>
      <w:r w:rsidRPr="00236907">
        <w:t xml:space="preserve">Several interviewees raised concerns about attacks being made against school staff on social media. </w:t>
      </w:r>
      <w:r w:rsidR="004F222A" w:rsidRPr="00236907">
        <w:t xml:space="preserve">It is important for there to be clarity around how an SCSO may apply to a social media platform. </w:t>
      </w:r>
    </w:p>
    <w:p w14:paraId="6DFE3432" w14:textId="0DE1A7C7" w:rsidR="00B12641" w:rsidRPr="00236907" w:rsidRDefault="004F222A" w:rsidP="004F222A">
      <w:pPr>
        <w:pStyle w:val="BodyIndent1"/>
      </w:pPr>
      <w:r w:rsidRPr="00236907">
        <w:t>T</w:t>
      </w:r>
      <w:r w:rsidR="004C0E49" w:rsidRPr="00236907">
        <w:t xml:space="preserve">he </w:t>
      </w:r>
      <w:r w:rsidR="00532B16" w:rsidRPr="00236907">
        <w:t xml:space="preserve">Scheme allows </w:t>
      </w:r>
      <w:r w:rsidR="00B17709" w:rsidRPr="00236907">
        <w:t xml:space="preserve">an authorised person to make an ongoing order to restrict </w:t>
      </w:r>
      <w:r w:rsidR="00F05D13" w:rsidRPr="00236907">
        <w:t>a person from using or communicating on a communication platform or channel specified in the order that is owned or controlled by, or established in relation to, the relevant school specified in the order</w:t>
      </w:r>
      <w:r w:rsidR="005F275E" w:rsidRPr="00236907">
        <w:t>.</w:t>
      </w:r>
      <w:r w:rsidR="005F275E" w:rsidRPr="00236907">
        <w:rPr>
          <w:rStyle w:val="FootnoteReference"/>
        </w:rPr>
        <w:footnoteReference w:id="52"/>
      </w:r>
      <w:r w:rsidR="005F275E" w:rsidRPr="00236907">
        <w:t xml:space="preserve"> </w:t>
      </w:r>
    </w:p>
    <w:p w14:paraId="4FBF038B" w14:textId="1C9B7B01" w:rsidR="00CC729D" w:rsidRPr="00236907" w:rsidRDefault="005F275E" w:rsidP="000F4FDE">
      <w:pPr>
        <w:pStyle w:val="BodyIndent1"/>
      </w:pPr>
      <w:r w:rsidRPr="00236907">
        <w:t>This would appear to contemplate social media pages or app</w:t>
      </w:r>
      <w:r w:rsidR="00B12641" w:rsidRPr="00236907">
        <w:t>lication</w:t>
      </w:r>
      <w:r w:rsidRPr="00236907">
        <w:t xml:space="preserve">s </w:t>
      </w:r>
      <w:r w:rsidR="00B12641" w:rsidRPr="00236907">
        <w:t>used</w:t>
      </w:r>
      <w:r w:rsidRPr="00236907">
        <w:t xml:space="preserve"> for the </w:t>
      </w:r>
      <w:r w:rsidR="000F02A1" w:rsidRPr="00236907">
        <w:t>s</w:t>
      </w:r>
      <w:r w:rsidRPr="00236907">
        <w:t>chool and parents to communicate.</w:t>
      </w:r>
      <w:r w:rsidR="00B12641" w:rsidRPr="00236907">
        <w:t xml:space="preserve"> </w:t>
      </w:r>
      <w:r w:rsidR="004F222A" w:rsidRPr="00236907">
        <w:t xml:space="preserve">Arguably, however, the breadth of the words </w:t>
      </w:r>
      <w:r w:rsidR="00326D3B">
        <w:t>“</w:t>
      </w:r>
      <w:r w:rsidR="004F222A" w:rsidRPr="00236907">
        <w:t>established in relation to</w:t>
      </w:r>
      <w:r w:rsidR="00326D3B">
        <w:t>”</w:t>
      </w:r>
      <w:r w:rsidR="004F222A" w:rsidRPr="00236907">
        <w:t xml:space="preserve"> could refer to </w:t>
      </w:r>
      <w:proofErr w:type="gramStart"/>
      <w:r w:rsidR="004F222A" w:rsidRPr="00236907">
        <w:t>privately-established</w:t>
      </w:r>
      <w:proofErr w:type="gramEnd"/>
      <w:r w:rsidR="004F222A" w:rsidRPr="00236907">
        <w:t xml:space="preserve"> social media pages, or ‘group chats’ of parents.</w:t>
      </w:r>
      <w:r w:rsidR="0069001D" w:rsidRPr="00236907">
        <w:t xml:space="preserve"> It could potentially extend to Google reviews </w:t>
      </w:r>
      <w:r w:rsidR="00523011" w:rsidRPr="00236907">
        <w:t>and community Facebook pages where the local school is a significant topic of conversation.</w:t>
      </w:r>
      <w:r w:rsidR="004F222A" w:rsidRPr="00236907">
        <w:t xml:space="preserve"> We </w:t>
      </w:r>
      <w:r w:rsidR="00B12641" w:rsidRPr="00236907">
        <w:t>consider</w:t>
      </w:r>
      <w:r w:rsidR="004F222A" w:rsidRPr="00236907">
        <w:t xml:space="preserve"> there would be complexity and risk in seeking to extend an SCSO to prohibit communications on private channels.</w:t>
      </w:r>
      <w:r w:rsidR="00B12641" w:rsidRPr="00236907">
        <w:t xml:space="preserve"> </w:t>
      </w:r>
      <w:r w:rsidR="003C4E0C" w:rsidRPr="00236907">
        <w:t>These issues include</w:t>
      </w:r>
      <w:r w:rsidR="00CC729D" w:rsidRPr="00236907">
        <w:t>:</w:t>
      </w:r>
    </w:p>
    <w:p w14:paraId="5C53F67B" w14:textId="0CD812F2" w:rsidR="00B80DAA" w:rsidRPr="00236907" w:rsidRDefault="003C4E0C" w:rsidP="00280F50">
      <w:pPr>
        <w:pStyle w:val="BodyIndent1"/>
        <w:numPr>
          <w:ilvl w:val="0"/>
          <w:numId w:val="62"/>
        </w:numPr>
      </w:pPr>
      <w:r w:rsidRPr="00236907">
        <w:lastRenderedPageBreak/>
        <w:t>ensuring that any infringement on the right to freedom of expression</w:t>
      </w:r>
      <w:r w:rsidR="00E61A0C">
        <w:t xml:space="preserve"> in the Victorian Charter of Human Rights and Responsibilities (</w:t>
      </w:r>
      <w:r w:rsidR="00E61A0C">
        <w:rPr>
          <w:b/>
          <w:bCs/>
        </w:rPr>
        <w:t>Charter</w:t>
      </w:r>
      <w:r w:rsidR="00E61A0C">
        <w:t>)</w:t>
      </w:r>
      <w:r w:rsidR="00B80DAA" w:rsidRPr="00236907">
        <w:t xml:space="preserve"> is not </w:t>
      </w:r>
      <w:proofErr w:type="gramStart"/>
      <w:r w:rsidR="00280F50" w:rsidRPr="00236907">
        <w:t>disproportionate</w:t>
      </w:r>
      <w:r w:rsidR="00B80DAA" w:rsidRPr="00236907">
        <w:t>;</w:t>
      </w:r>
      <w:proofErr w:type="gramEnd"/>
    </w:p>
    <w:p w14:paraId="516619BB" w14:textId="723BFCBB" w:rsidR="0060589F" w:rsidRPr="00236907" w:rsidRDefault="00B80DAA" w:rsidP="00280F50">
      <w:pPr>
        <w:pStyle w:val="BodyIndent1"/>
        <w:numPr>
          <w:ilvl w:val="0"/>
          <w:numId w:val="62"/>
        </w:numPr>
      </w:pPr>
      <w:r w:rsidRPr="00236907">
        <w:t>ensuring that powers provided for in the ETR</w:t>
      </w:r>
      <w:r w:rsidR="009E00C4" w:rsidRPr="00236907">
        <w:t xml:space="preserve"> </w:t>
      </w:r>
      <w:r w:rsidRPr="00236907">
        <w:t>A</w:t>
      </w:r>
      <w:r w:rsidR="009E00C4" w:rsidRPr="00236907">
        <w:t>ct</w:t>
      </w:r>
      <w:r w:rsidRPr="00236907">
        <w:t xml:space="preserve"> are used for the purposes of </w:t>
      </w:r>
      <w:r w:rsidR="00061FB7" w:rsidRPr="00236907">
        <w:t xml:space="preserve">that Act, </w:t>
      </w:r>
      <w:proofErr w:type="gramStart"/>
      <w:r w:rsidR="00061FB7" w:rsidRPr="00236907">
        <w:t>namely</w:t>
      </w:r>
      <w:proofErr w:type="gramEnd"/>
      <w:r w:rsidR="00061FB7" w:rsidRPr="00236907">
        <w:t xml:space="preserve"> to </w:t>
      </w:r>
      <w:r w:rsidR="000C02EB" w:rsidRPr="00236907">
        <w:t xml:space="preserve">reform the law relating to education and training in Victoria by providing for a high standard of education and training for all Victorians, rather than for a broader purpose of regulating offensive conduct on social </w:t>
      </w:r>
      <w:proofErr w:type="gramStart"/>
      <w:r w:rsidR="000C02EB" w:rsidRPr="00236907">
        <w:t>media;</w:t>
      </w:r>
      <w:proofErr w:type="gramEnd"/>
      <w:r w:rsidR="00FC6DE6" w:rsidRPr="00236907">
        <w:t xml:space="preserve"> </w:t>
      </w:r>
    </w:p>
    <w:p w14:paraId="6FBB12DD" w14:textId="0C0D6925" w:rsidR="00B80DAA" w:rsidRPr="00236907" w:rsidRDefault="0060589F" w:rsidP="00280F50">
      <w:pPr>
        <w:pStyle w:val="BodyIndent1"/>
        <w:numPr>
          <w:ilvl w:val="0"/>
          <w:numId w:val="62"/>
        </w:numPr>
      </w:pPr>
      <w:r w:rsidRPr="00236907">
        <w:t xml:space="preserve">ensuring that there is consistency between </w:t>
      </w:r>
      <w:r w:rsidR="003E7CAC" w:rsidRPr="00236907">
        <w:t>the restrictions imposed on members of the public</w:t>
      </w:r>
      <w:r w:rsidRPr="00236907">
        <w:t xml:space="preserve"> to protect teachers and measures to protect other essential workers exposed to abuse, for example, healthcare workers and social </w:t>
      </w:r>
      <w:proofErr w:type="gramStart"/>
      <w:r w:rsidRPr="00236907">
        <w:t>workers;</w:t>
      </w:r>
      <w:proofErr w:type="gramEnd"/>
    </w:p>
    <w:p w14:paraId="16837437" w14:textId="09049E3C" w:rsidR="000C02EB" w:rsidRPr="00236907" w:rsidRDefault="00FC6DE6" w:rsidP="00280F50">
      <w:pPr>
        <w:pStyle w:val="BodyIndent1"/>
        <w:numPr>
          <w:ilvl w:val="0"/>
          <w:numId w:val="62"/>
        </w:numPr>
      </w:pPr>
      <w:r w:rsidRPr="00236907">
        <w:t>drawing a boundary between social media platforms captured by the SCSO Scheme and those which are purely private</w:t>
      </w:r>
      <w:r w:rsidR="00FA49F9" w:rsidRPr="00236907">
        <w:t>; and</w:t>
      </w:r>
    </w:p>
    <w:p w14:paraId="0AF96F79" w14:textId="0336FBE7" w:rsidR="00FA49F9" w:rsidRPr="00236907" w:rsidRDefault="00FA49F9" w:rsidP="00280F50">
      <w:pPr>
        <w:pStyle w:val="BodyIndent1"/>
        <w:numPr>
          <w:ilvl w:val="0"/>
          <w:numId w:val="62"/>
        </w:numPr>
      </w:pPr>
      <w:r w:rsidRPr="00236907">
        <w:t>at a very high level, raising Constitutional issues, noting that the power to regulate social media in general is exercised by the Commonwealth under the Telecommunications Power in s 51(v) of the Constitution.</w:t>
      </w:r>
    </w:p>
    <w:p w14:paraId="1A07F19F" w14:textId="17ADC595" w:rsidR="00B12641" w:rsidRPr="00236907" w:rsidRDefault="00B12641" w:rsidP="000F4FDE">
      <w:pPr>
        <w:pStyle w:val="BodyIndent1"/>
      </w:pPr>
      <w:r w:rsidRPr="00236907">
        <w:t xml:space="preserve">An SCSO </w:t>
      </w:r>
      <w:r w:rsidR="004F222A" w:rsidRPr="00236907">
        <w:t>should</w:t>
      </w:r>
      <w:r w:rsidRPr="00236907">
        <w:t xml:space="preserve"> only prohibit use of a communication platform or channel that is sufficiently public in </w:t>
      </w:r>
      <w:r w:rsidR="004528AF" w:rsidRPr="00236907">
        <w:t>nature and</w:t>
      </w:r>
      <w:r w:rsidRPr="00236907">
        <w:t xml:space="preserve"> connected with the </w:t>
      </w:r>
      <w:proofErr w:type="gramStart"/>
      <w:r w:rsidRPr="00236907">
        <w:t>School</w:t>
      </w:r>
      <w:proofErr w:type="gramEnd"/>
      <w:r w:rsidRPr="00236907">
        <w:t>.</w:t>
      </w:r>
      <w:r w:rsidR="00114F02" w:rsidRPr="00236907">
        <w:t xml:space="preserve"> We note that there may be ambiguity in this </w:t>
      </w:r>
      <w:r w:rsidR="00A63FD9" w:rsidRPr="00236907">
        <w:t>scope.</w:t>
      </w:r>
    </w:p>
    <w:p w14:paraId="5DFC16F8" w14:textId="3615DE1F" w:rsidR="00B12641" w:rsidRPr="00236907" w:rsidRDefault="00B12641" w:rsidP="000F4FDE">
      <w:pPr>
        <w:pStyle w:val="BodyIndent1"/>
      </w:pPr>
      <w:r w:rsidRPr="00236907">
        <w:t>The Ministerial Guidelines could be updated to improve clarity in relation to this aspect of the Scheme, by elaborating on what types of communication platform or channel is contemplated.</w:t>
      </w:r>
    </w:p>
    <w:p w14:paraId="2D34BFC5" w14:textId="36E37FF3" w:rsidR="004C2DDE" w:rsidRPr="00236907" w:rsidRDefault="004C2DDE" w:rsidP="00695B9C">
      <w:pPr>
        <w:pStyle w:val="BodyIndent1"/>
      </w:pPr>
    </w:p>
    <w:tbl>
      <w:tblPr>
        <w:tblStyle w:val="MadTabPlumShade"/>
        <w:tblW w:w="5000" w:type="pct"/>
        <w:tblLook w:val="0620" w:firstRow="1" w:lastRow="0" w:firstColumn="0" w:lastColumn="0" w:noHBand="1" w:noVBand="1"/>
      </w:tblPr>
      <w:tblGrid>
        <w:gridCol w:w="686"/>
        <w:gridCol w:w="2126"/>
        <w:gridCol w:w="6212"/>
      </w:tblGrid>
      <w:tr w:rsidR="00C23785" w:rsidRPr="00236907" w14:paraId="6FFBE350" w14:textId="77777777" w:rsidTr="640D7DB9">
        <w:trPr>
          <w:cnfStyle w:val="100000000000" w:firstRow="1" w:lastRow="0" w:firstColumn="0" w:lastColumn="0" w:oddVBand="0" w:evenVBand="0" w:oddHBand="0" w:evenHBand="0" w:firstRowFirstColumn="0" w:firstRowLastColumn="0" w:lastRowFirstColumn="0" w:lastRowLastColumn="0"/>
        </w:trPr>
        <w:tc>
          <w:tcPr>
            <w:tcW w:w="380" w:type="pct"/>
          </w:tcPr>
          <w:p w14:paraId="78678FED" w14:textId="4F793FC4" w:rsidR="00C23785" w:rsidRPr="00236907" w:rsidRDefault="00C23785" w:rsidP="00C23785">
            <w:r w:rsidRPr="00236907">
              <w:t>#</w:t>
            </w:r>
          </w:p>
        </w:tc>
        <w:tc>
          <w:tcPr>
            <w:tcW w:w="1178" w:type="pct"/>
          </w:tcPr>
          <w:p w14:paraId="38095FEC" w14:textId="799030B8" w:rsidR="00C23785" w:rsidRPr="00236907" w:rsidRDefault="00C23785" w:rsidP="00C23785">
            <w:r w:rsidRPr="00236907">
              <w:t>Provision</w:t>
            </w:r>
          </w:p>
        </w:tc>
        <w:tc>
          <w:tcPr>
            <w:tcW w:w="3442" w:type="pct"/>
          </w:tcPr>
          <w:p w14:paraId="5AB1BF11" w14:textId="2BA9FFFA" w:rsidR="00C23785" w:rsidRPr="00236907" w:rsidRDefault="00C23785" w:rsidP="00C23785">
            <w:r w:rsidRPr="00236907">
              <w:t>Recommendation</w:t>
            </w:r>
          </w:p>
        </w:tc>
      </w:tr>
      <w:tr w:rsidR="00D06988" w:rsidRPr="00236907" w14:paraId="130AAE18" w14:textId="77777777" w:rsidTr="640D7DB9">
        <w:tc>
          <w:tcPr>
            <w:tcW w:w="380" w:type="pct"/>
          </w:tcPr>
          <w:p w14:paraId="30B68644" w14:textId="49EF3A3D" w:rsidR="00D06988" w:rsidRPr="00236907" w:rsidRDefault="00D06988">
            <w:r w:rsidRPr="00236907">
              <w:t>2.</w:t>
            </w:r>
            <w:r w:rsidR="00AD7110" w:rsidRPr="00236907">
              <w:t>2</w:t>
            </w:r>
          </w:p>
        </w:tc>
        <w:tc>
          <w:tcPr>
            <w:tcW w:w="1178" w:type="pct"/>
          </w:tcPr>
          <w:p w14:paraId="6549BBE9" w14:textId="1E117A5A" w:rsidR="00D06988" w:rsidRPr="00236907" w:rsidRDefault="00D06988" w:rsidP="00A86E08">
            <w:r w:rsidRPr="00236907">
              <w:t>Ministerial Guidelines, para</w:t>
            </w:r>
            <w:r w:rsidR="00C247BE" w:rsidRPr="00236907">
              <w:t>graph</w:t>
            </w:r>
            <w:r w:rsidRPr="00236907">
              <w:t xml:space="preserve"> 165 </w:t>
            </w:r>
          </w:p>
        </w:tc>
        <w:tc>
          <w:tcPr>
            <w:tcW w:w="3442" w:type="pct"/>
          </w:tcPr>
          <w:p w14:paraId="58BAD859" w14:textId="774CC8B5" w:rsidR="00D06988" w:rsidRPr="00236907" w:rsidRDefault="00CA0BF8" w:rsidP="00A86E08">
            <w:r w:rsidRPr="00236907">
              <w:t xml:space="preserve">Update the Ministerial Guidelines to provide an explanation and examples of what is meant by a social media platform or channel “established </w:t>
            </w:r>
            <w:r>
              <w:t>i</w:t>
            </w:r>
            <w:r w:rsidRPr="00236907">
              <w:t>n relation to” the relevant school.</w:t>
            </w:r>
          </w:p>
        </w:tc>
      </w:tr>
    </w:tbl>
    <w:p w14:paraId="0A5BC071" w14:textId="5CF29413" w:rsidR="008E1948" w:rsidRPr="00236907" w:rsidRDefault="008E1948" w:rsidP="008B68CE">
      <w:pPr>
        <w:pStyle w:val="BodyIndent1"/>
      </w:pPr>
    </w:p>
    <w:p w14:paraId="5AB9A8EE" w14:textId="0CAE00A7" w:rsidR="002328E2" w:rsidRPr="00236907" w:rsidRDefault="005062E3" w:rsidP="002328E2">
      <w:pPr>
        <w:pStyle w:val="Heading2"/>
      </w:pPr>
      <w:bookmarkStart w:id="25" w:name="_Toc210053625"/>
      <w:r w:rsidRPr="00236907">
        <w:t>Function of i</w:t>
      </w:r>
      <w:r w:rsidR="002F6D46" w:rsidRPr="00236907">
        <w:t>mmediate orders</w:t>
      </w:r>
      <w:bookmarkEnd w:id="25"/>
    </w:p>
    <w:p w14:paraId="024F3FD2" w14:textId="16FB235D" w:rsidR="00261DA5" w:rsidRPr="00236907" w:rsidRDefault="00710F20" w:rsidP="00844B59">
      <w:pPr>
        <w:pStyle w:val="BodyIndent1"/>
      </w:pPr>
      <w:r w:rsidRPr="00236907">
        <w:t xml:space="preserve">An authorised person may make an immediate order if a person </w:t>
      </w:r>
      <w:r w:rsidR="002E160E" w:rsidRPr="00236907">
        <w:t xml:space="preserve">poses an </w:t>
      </w:r>
      <w:r w:rsidR="00BB43E7" w:rsidRPr="00236907">
        <w:t>“unacceptable and imminent risk of harm</w:t>
      </w:r>
      <w:r w:rsidR="00916F3B" w:rsidRPr="00236907">
        <w:t>”.</w:t>
      </w:r>
      <w:r w:rsidR="005F1BA9" w:rsidRPr="00236907">
        <w:t xml:space="preserve"> The word</w:t>
      </w:r>
      <w:r w:rsidR="00F72210" w:rsidRPr="00236907">
        <w:t xml:space="preserve"> </w:t>
      </w:r>
      <w:r w:rsidR="00930DA1" w:rsidRPr="00236907">
        <w:t>“</w:t>
      </w:r>
      <w:r w:rsidR="00F72210" w:rsidRPr="00236907">
        <w:t>imminent</w:t>
      </w:r>
      <w:r w:rsidR="00930DA1" w:rsidRPr="00236907">
        <w:t>”</w:t>
      </w:r>
      <w:r w:rsidR="00F72210" w:rsidRPr="00236907">
        <w:t xml:space="preserve"> distinguishes </w:t>
      </w:r>
      <w:r w:rsidR="00607455" w:rsidRPr="00236907">
        <w:t xml:space="preserve">the grounds for making </w:t>
      </w:r>
      <w:r w:rsidR="00E05197" w:rsidRPr="00236907">
        <w:t xml:space="preserve">an immediate order </w:t>
      </w:r>
      <w:r w:rsidR="00534C79" w:rsidRPr="00236907">
        <w:t>from</w:t>
      </w:r>
      <w:r w:rsidR="00607455" w:rsidRPr="00236907">
        <w:t xml:space="preserve"> the grounds for making</w:t>
      </w:r>
      <w:r w:rsidR="00534C79" w:rsidRPr="00236907">
        <w:t xml:space="preserve"> an ongoing order. </w:t>
      </w:r>
    </w:p>
    <w:p w14:paraId="5922EED7" w14:textId="3F6AE13A" w:rsidR="00D353F0" w:rsidRPr="00236907" w:rsidRDefault="000A4490" w:rsidP="00261DA5">
      <w:pPr>
        <w:pStyle w:val="BodyIndent1"/>
      </w:pPr>
      <w:r w:rsidRPr="00236907">
        <w:t xml:space="preserve">The definition of “harm” in the ETR Act extends beyond physical harm, so an authorised person may make an immediate order where an individual poses an imminent risk of causing </w:t>
      </w:r>
      <w:r w:rsidR="004D7C6F" w:rsidRPr="00236907">
        <w:t xml:space="preserve">either or </w:t>
      </w:r>
      <w:r w:rsidR="00C07D2D" w:rsidRPr="00236907">
        <w:t>both p</w:t>
      </w:r>
      <w:r w:rsidR="00F22DE2" w:rsidRPr="00236907">
        <w:t xml:space="preserve">hysical and </w:t>
      </w:r>
      <w:r w:rsidRPr="00236907">
        <w:t xml:space="preserve">psychological harm. </w:t>
      </w:r>
    </w:p>
    <w:p w14:paraId="60036F6C" w14:textId="2BA4CAA8" w:rsidR="00C121B8" w:rsidRPr="00236907" w:rsidRDefault="002925F7" w:rsidP="004E7945">
      <w:pPr>
        <w:pStyle w:val="BodyIndent1"/>
      </w:pPr>
      <w:r w:rsidRPr="00236907">
        <w:t>Several interviewees from schools and from the Department found this threshold to be too high</w:t>
      </w:r>
      <w:r w:rsidR="00D1091A" w:rsidRPr="00236907">
        <w:t xml:space="preserve"> to be practical.</w:t>
      </w:r>
      <w:r w:rsidR="00DD4185" w:rsidRPr="00236907">
        <w:t xml:space="preserve"> Stakeholders from both </w:t>
      </w:r>
      <w:r w:rsidR="00BF060F">
        <w:t>ESWID</w:t>
      </w:r>
      <w:r w:rsidR="00BF060F" w:rsidRPr="00236907">
        <w:t xml:space="preserve"> </w:t>
      </w:r>
      <w:r w:rsidR="00DD4185" w:rsidRPr="00236907">
        <w:t xml:space="preserve">and </w:t>
      </w:r>
      <w:r w:rsidR="00353E6F" w:rsidRPr="00236907">
        <w:t>Legal Division</w:t>
      </w:r>
      <w:r w:rsidR="00DD4185" w:rsidRPr="00236907">
        <w:t xml:space="preserve"> pointed out that if a person poses a risk of harm which is capable of materialising at any moment</w:t>
      </w:r>
      <w:r w:rsidR="00323783" w:rsidRPr="00236907">
        <w:t xml:space="preserve"> and may constitute criminal conduct</w:t>
      </w:r>
      <w:r w:rsidR="00DD4185" w:rsidRPr="00236907">
        <w:t xml:space="preserve">, then the school staff would be expected to call the Police. The person would either leave the school </w:t>
      </w:r>
      <w:r w:rsidR="00C121B8" w:rsidRPr="00236907">
        <w:t xml:space="preserve">of their own accord </w:t>
      </w:r>
      <w:r w:rsidR="00DD4185" w:rsidRPr="00236907">
        <w:t>or be taken into custody.</w:t>
      </w:r>
      <w:r w:rsidR="00C121B8" w:rsidRPr="00236907">
        <w:t xml:space="preserve"> In either case, they would no longer pose a risk of harm capable of materialising at any moment and so </w:t>
      </w:r>
      <w:r w:rsidR="004C6B1B" w:rsidRPr="00236907">
        <w:t>there would be no grounds for making an immediate order</w:t>
      </w:r>
      <w:r w:rsidR="00C121B8" w:rsidRPr="00236907">
        <w:t>.</w:t>
      </w:r>
      <w:r w:rsidR="003C2843" w:rsidRPr="00236907">
        <w:t xml:space="preserve"> </w:t>
      </w:r>
      <w:r w:rsidR="0034268F" w:rsidRPr="00236907">
        <w:t>There are</w:t>
      </w:r>
      <w:r w:rsidR="00047997" w:rsidRPr="00236907">
        <w:t xml:space="preserve"> </w:t>
      </w:r>
      <w:r w:rsidR="0034268F" w:rsidRPr="00236907">
        <w:t xml:space="preserve">circumstances where an immediate order could still </w:t>
      </w:r>
      <w:r w:rsidR="00047997" w:rsidRPr="00236907">
        <w:t>have a function</w:t>
      </w:r>
      <w:r w:rsidR="0034268F" w:rsidRPr="00236907">
        <w:t xml:space="preserve"> when police are involved. For example, this may be the case in a regional area where police may take a while to arrive, or when a person cannot be taken into custody immediately. In such cases, an immediate order may still be needed in the interim until the there is no longer an unacceptable and imminent risk of </w:t>
      </w:r>
      <w:r w:rsidR="0034268F" w:rsidRPr="00236907">
        <w:lastRenderedPageBreak/>
        <w:t>harm.</w:t>
      </w:r>
      <w:r w:rsidR="00047997" w:rsidRPr="00236907">
        <w:t xml:space="preserve"> However, if a person does not leave the school if threatened with police involvement and arrest, they may not comply with an immediate order.</w:t>
      </w:r>
    </w:p>
    <w:p w14:paraId="5E7F589B" w14:textId="77777777" w:rsidR="00DC7061" w:rsidRPr="00236907" w:rsidRDefault="00DC7061" w:rsidP="00DC7061">
      <w:pPr>
        <w:pStyle w:val="BodyIndent1"/>
      </w:pPr>
      <w:r w:rsidRPr="00236907">
        <w:t xml:space="preserve">The declining use of immediate orders does not necessarily present a problem for the Department, as school principals </w:t>
      </w:r>
      <w:proofErr w:type="gramStart"/>
      <w:r w:rsidRPr="00236907">
        <w:t>have the ability to</w:t>
      </w:r>
      <w:proofErr w:type="gramEnd"/>
      <w:r w:rsidRPr="00236907">
        <w:t xml:space="preserve"> make TWNs and involve the Police to deal with individuals posing an immediate threat to the school. It is ultimately a policy matter for the Department how it would like immediate orders used. Options to modify the requirement of immediacy include:</w:t>
      </w:r>
    </w:p>
    <w:p w14:paraId="567711C4" w14:textId="77777777" w:rsidR="00DC7061" w:rsidRPr="00236907" w:rsidRDefault="00DC7061" w:rsidP="00DC79EE">
      <w:pPr>
        <w:pStyle w:val="BodyIndent1"/>
        <w:numPr>
          <w:ilvl w:val="0"/>
          <w:numId w:val="46"/>
        </w:numPr>
      </w:pPr>
      <w:r w:rsidRPr="00236907">
        <w:t xml:space="preserve">adding a definition of “imminent” in the ETR Act to confirm that the risk of harm is imminent if there is significant time </w:t>
      </w:r>
      <w:proofErr w:type="gramStart"/>
      <w:r w:rsidRPr="00236907">
        <w:t>pressure</w:t>
      </w:r>
      <w:proofErr w:type="gramEnd"/>
      <w:r w:rsidRPr="00236907">
        <w:t xml:space="preserve"> but the risk of harm does not need to be capable of manifesting at any </w:t>
      </w:r>
      <w:proofErr w:type="gramStart"/>
      <w:r w:rsidRPr="00236907">
        <w:t>moment;</w:t>
      </w:r>
      <w:proofErr w:type="gramEnd"/>
    </w:p>
    <w:p w14:paraId="30F175C7" w14:textId="77777777" w:rsidR="00DC7061" w:rsidRPr="00236907" w:rsidRDefault="00DC7061" w:rsidP="00DC79EE">
      <w:pPr>
        <w:pStyle w:val="BodyIndent1"/>
        <w:numPr>
          <w:ilvl w:val="0"/>
          <w:numId w:val="46"/>
        </w:numPr>
      </w:pPr>
      <w:r w:rsidRPr="00236907">
        <w:t>removing the word “imminent” from the provision but adding that the risk of harm can only be managed by putting an order in place as quickly as practicable; or</w:t>
      </w:r>
    </w:p>
    <w:p w14:paraId="1F1FF151" w14:textId="5C193278" w:rsidR="00DC7061" w:rsidRPr="00236907" w:rsidRDefault="00DC7061" w:rsidP="00DC79EE">
      <w:pPr>
        <w:pStyle w:val="BodyIndent1"/>
        <w:numPr>
          <w:ilvl w:val="0"/>
          <w:numId w:val="46"/>
        </w:numPr>
      </w:pPr>
      <w:r w:rsidRPr="00236907">
        <w:t>removing the word “imminent” from the provision but adding wording to state that it must not be practical in the circumstances to make an ongoing order.</w:t>
      </w:r>
    </w:p>
    <w:p w14:paraId="0541845F" w14:textId="3D71F8E8" w:rsidR="006C2E4C" w:rsidRPr="00236907" w:rsidRDefault="006C2E4C" w:rsidP="004E7945">
      <w:pPr>
        <w:pStyle w:val="BodyIndent1"/>
      </w:pPr>
      <w:r w:rsidRPr="00236907">
        <w:t xml:space="preserve">Removing the word “imminent” means that the grounds for making an immediate order will be less certain and open to a wider range of interpretations. </w:t>
      </w:r>
      <w:r w:rsidR="00B55E99" w:rsidRPr="00236907">
        <w:t xml:space="preserve">For example, if the provision was amended to state that </w:t>
      </w:r>
      <w:r w:rsidR="00C54064" w:rsidRPr="00236907">
        <w:t xml:space="preserve">an immediate order can be made where it is impractical to make an ongoing order, two school principals could come to very different conclusions on whether making an </w:t>
      </w:r>
      <w:r w:rsidR="000417D9" w:rsidRPr="00236907">
        <w:t>ongoing order is practical.</w:t>
      </w:r>
      <w:r w:rsidR="0063728D" w:rsidRPr="00236907">
        <w:t xml:space="preserve"> This raises the risk that the power to make immediate orders </w:t>
      </w:r>
      <w:r w:rsidR="00087F92" w:rsidRPr="00236907">
        <w:t>c</w:t>
      </w:r>
      <w:r w:rsidR="0063728D" w:rsidRPr="00236907">
        <w:t xml:space="preserve">ould be used inconsistently. </w:t>
      </w:r>
    </w:p>
    <w:p w14:paraId="6A2F312B" w14:textId="4259ACA8" w:rsidR="00FC0231" w:rsidRPr="00236907" w:rsidRDefault="00FC0231" w:rsidP="004E7945">
      <w:pPr>
        <w:pStyle w:val="BodyIndent1"/>
      </w:pPr>
      <w:r w:rsidRPr="00236907">
        <w:t>Interviewees gave additional reasons why they found immediate orders to be impractical:</w:t>
      </w:r>
    </w:p>
    <w:p w14:paraId="206E254E" w14:textId="4C2E9035" w:rsidR="00986BCA" w:rsidRPr="00236907" w:rsidRDefault="00AA705A" w:rsidP="008A071C">
      <w:pPr>
        <w:pStyle w:val="BodyIndent1"/>
        <w:numPr>
          <w:ilvl w:val="0"/>
          <w:numId w:val="40"/>
        </w:numPr>
      </w:pPr>
      <w:r w:rsidRPr="00236907">
        <w:t>A</w:t>
      </w:r>
      <w:r w:rsidR="003B19C5" w:rsidRPr="00236907">
        <w:t xml:space="preserve"> person who makes an immediate order </w:t>
      </w:r>
      <w:r w:rsidR="00E97CF7" w:rsidRPr="00236907">
        <w:t>orally</w:t>
      </w:r>
      <w:r w:rsidR="003B19C5" w:rsidRPr="00236907">
        <w:t xml:space="preserve"> must state</w:t>
      </w:r>
      <w:r w:rsidR="000657E8" w:rsidRPr="00236907">
        <w:t xml:space="preserve"> </w:t>
      </w:r>
      <w:r w:rsidR="002F784E" w:rsidRPr="00236907">
        <w:t>t</w:t>
      </w:r>
      <w:r w:rsidR="003B19C5" w:rsidRPr="00236907">
        <w:t>he school in respect to which the order is made</w:t>
      </w:r>
      <w:r w:rsidR="000657E8" w:rsidRPr="00236907">
        <w:t xml:space="preserve">, </w:t>
      </w:r>
      <w:r w:rsidR="002F784E" w:rsidRPr="00236907">
        <w:t>t</w:t>
      </w:r>
      <w:r w:rsidR="003B19C5" w:rsidRPr="00236907">
        <w:t>he grounds on which the order is made</w:t>
      </w:r>
      <w:r w:rsidR="000657E8" w:rsidRPr="00236907">
        <w:t xml:space="preserve">, </w:t>
      </w:r>
      <w:r w:rsidR="00937F36">
        <w:t xml:space="preserve">and </w:t>
      </w:r>
      <w:r w:rsidR="002F784E" w:rsidRPr="00236907">
        <w:t>t</w:t>
      </w:r>
      <w:r w:rsidR="003B19C5" w:rsidRPr="00236907">
        <w:t>he period for which the order remains in force.</w:t>
      </w:r>
      <w:r w:rsidR="00FB19DE" w:rsidRPr="00236907">
        <w:rPr>
          <w:rStyle w:val="FootnoteReference"/>
        </w:rPr>
        <w:footnoteReference w:id="53"/>
      </w:r>
      <w:r w:rsidR="000657E8" w:rsidRPr="00236907">
        <w:t xml:space="preserve"> </w:t>
      </w:r>
      <w:r w:rsidR="00031BE5" w:rsidRPr="00236907">
        <w:t>Interviewees advised us that school principals could struggle to remember these requirements in high-pressure situations</w:t>
      </w:r>
      <w:r w:rsidR="000657E8" w:rsidRPr="00236907">
        <w:t>.</w:t>
      </w:r>
      <w:r w:rsidR="00FB19DE" w:rsidRPr="00236907">
        <w:t xml:space="preserve"> </w:t>
      </w:r>
    </w:p>
    <w:p w14:paraId="333EF4A3" w14:textId="79BED5C3" w:rsidR="002C7C21" w:rsidRPr="00236907" w:rsidRDefault="00AD42A6" w:rsidP="008A071C">
      <w:pPr>
        <w:pStyle w:val="BodyIndent1"/>
        <w:numPr>
          <w:ilvl w:val="0"/>
          <w:numId w:val="40"/>
        </w:numPr>
      </w:pPr>
      <w:r w:rsidRPr="00236907">
        <w:t>A</w:t>
      </w:r>
      <w:r w:rsidR="00DC2DD4" w:rsidRPr="00236907">
        <w:t>n immediate order must be reviewed within 14 days</w:t>
      </w:r>
      <w:r w:rsidR="000A4490" w:rsidRPr="00236907">
        <w:t>, after which time it must be removed or replaced with an ongoing order.</w:t>
      </w:r>
      <w:r w:rsidR="00496447" w:rsidRPr="00236907">
        <w:rPr>
          <w:rStyle w:val="FootnoteReference"/>
        </w:rPr>
        <w:footnoteReference w:id="54"/>
      </w:r>
      <w:r w:rsidR="0040422E" w:rsidRPr="00236907">
        <w:t xml:space="preserve"> </w:t>
      </w:r>
      <w:r w:rsidR="00862C4F" w:rsidRPr="00236907">
        <w:t xml:space="preserve">This may not </w:t>
      </w:r>
      <w:r w:rsidR="000A4490" w:rsidRPr="00236907">
        <w:t xml:space="preserve">provide sufficient </w:t>
      </w:r>
      <w:r w:rsidR="00862C4F" w:rsidRPr="00236907">
        <w:t>time to complete the process to make an ongoing order.</w:t>
      </w:r>
      <w:r w:rsidR="00633149" w:rsidRPr="00236907">
        <w:t xml:space="preserve"> The legislation could be amended to either extend this time automatically or give the authorised person </w:t>
      </w:r>
      <w:r w:rsidR="00EE4DB7" w:rsidRPr="00236907">
        <w:t xml:space="preserve">the power to extend the time by another week. </w:t>
      </w:r>
      <w:r w:rsidR="00FA640B" w:rsidRPr="00236907">
        <w:t>While this increases the power of an authorised decision-maker to impose restrictions on a person without providing them with the opportunity for a hearing, in our view, extending the timeframe by a week would not be disproportionate to the goal of providing authorised persons with sufficient time to follow the process to make an ongoing order.</w:t>
      </w:r>
      <w:r w:rsidR="0056290D" w:rsidRPr="00236907">
        <w:t xml:space="preserve"> </w:t>
      </w:r>
    </w:p>
    <w:p w14:paraId="2FEB9317" w14:textId="00AE112C" w:rsidR="008C586B" w:rsidRPr="00236907" w:rsidRDefault="007F6148" w:rsidP="008C586B">
      <w:pPr>
        <w:pStyle w:val="BodyIndent1"/>
        <w:numPr>
          <w:ilvl w:val="0"/>
          <w:numId w:val="40"/>
        </w:numPr>
      </w:pPr>
      <w:r w:rsidRPr="00236907">
        <w:t>A</w:t>
      </w:r>
      <w:r w:rsidR="00DC2DD4" w:rsidRPr="00236907">
        <w:t xml:space="preserve">n authorised person who makes an immediate order must </w:t>
      </w:r>
      <w:r w:rsidR="001D4145" w:rsidRPr="00236907">
        <w:t>establish communications and access arrangements</w:t>
      </w:r>
      <w:r w:rsidR="00DC2DD4" w:rsidRPr="00236907">
        <w:t xml:space="preserve"> </w:t>
      </w:r>
      <w:r w:rsidR="00C850C0" w:rsidRPr="00236907">
        <w:t>for the duration of the order.</w:t>
      </w:r>
      <w:r w:rsidR="006C51C6" w:rsidRPr="00236907">
        <w:rPr>
          <w:rStyle w:val="FootnoteReference"/>
        </w:rPr>
        <w:footnoteReference w:id="55"/>
      </w:r>
      <w:r w:rsidR="002A4185" w:rsidRPr="00236907">
        <w:t xml:space="preserve"> This is less</w:t>
      </w:r>
      <w:r w:rsidR="000A4490" w:rsidRPr="00236907">
        <w:t xml:space="preserve"> </w:t>
      </w:r>
      <w:r w:rsidR="002A4185" w:rsidRPr="00236907">
        <w:t>relevant for an immediate than an ongoing order, as</w:t>
      </w:r>
      <w:r w:rsidR="000A4490" w:rsidRPr="00236907">
        <w:t xml:space="preserve"> an</w:t>
      </w:r>
      <w:r w:rsidR="002A4185" w:rsidRPr="00236907">
        <w:t xml:space="preserve"> immediate order</w:t>
      </w:r>
      <w:r w:rsidR="000A4490" w:rsidRPr="00236907">
        <w:t xml:space="preserve"> may </w:t>
      </w:r>
      <w:r w:rsidR="002A4185" w:rsidRPr="00236907">
        <w:t>only restrict a person from physically attending a school-related place</w:t>
      </w:r>
      <w:r w:rsidR="00980490" w:rsidRPr="00236907">
        <w:t xml:space="preserve"> rather than impose restrictions on their communication with the school as an ongoing order may do. </w:t>
      </w:r>
      <w:r w:rsidR="0083195D" w:rsidRPr="00236907">
        <w:t>The person making the order would still need to ensure that a parent or guardian can drop off or pick up their child from the school for the duration of the order, and this should be considered in the specific restrictions and conditions in the order</w:t>
      </w:r>
      <w:r w:rsidR="00937F36">
        <w:t>.</w:t>
      </w:r>
      <w:r w:rsidR="001510C6" w:rsidRPr="00236907">
        <w:t xml:space="preserve"> We note that communication and access arrangements can be dealt with briefly in the order itself, so the reservations of authorised persons on this point may be addressed with clearer direction on what is expected for communication and access arrangements for an immediate order. </w:t>
      </w:r>
    </w:p>
    <w:p w14:paraId="276F47BD" w14:textId="290A2EF1" w:rsidR="008C586B" w:rsidRPr="00236907" w:rsidRDefault="008C586B" w:rsidP="008C586B">
      <w:pPr>
        <w:pStyle w:val="BodyIndent1"/>
        <w:numPr>
          <w:ilvl w:val="0"/>
          <w:numId w:val="46"/>
        </w:numPr>
      </w:pPr>
      <w:r w:rsidRPr="00236907">
        <w:lastRenderedPageBreak/>
        <w:t xml:space="preserve">The ETR Act states that, at the end of the 14 days, the authorised person </w:t>
      </w:r>
      <w:proofErr w:type="gramStart"/>
      <w:r w:rsidRPr="00236907">
        <w:t>review</w:t>
      </w:r>
      <w:proofErr w:type="gramEnd"/>
      <w:r w:rsidRPr="00236907">
        <w:t xml:space="preserve"> the order and either make an ongoing order or revoke the immediate order. Some stakeholders were not clear if the immediate order will simply lapse if it is not revoked, and so revoking the order is an extra step for the principal.</w:t>
      </w:r>
      <w:r w:rsidR="00FD7711" w:rsidRPr="00236907">
        <w:t xml:space="preserve"> </w:t>
      </w:r>
      <w:r w:rsidR="006B099F" w:rsidRPr="00236907">
        <w:t>Section</w:t>
      </w:r>
      <w:r w:rsidR="008428A0" w:rsidRPr="00236907">
        <w:t xml:space="preserve"> 2.1A.12(1) </w:t>
      </w:r>
      <w:r w:rsidR="006B099F" w:rsidRPr="00236907">
        <w:t>provides for only two outcomes for the review of an immediate order</w:t>
      </w:r>
      <w:r w:rsidR="008428A0" w:rsidRPr="00236907">
        <w:t xml:space="preserve"> – make an ongoing order or revoke the immediate order. This means that, if a</w:t>
      </w:r>
      <w:r w:rsidR="009B7CDD" w:rsidRPr="00236907">
        <w:t xml:space="preserve">n authorised person completes a review of an immediate order and decides </w:t>
      </w:r>
      <w:r w:rsidR="002F6A5B" w:rsidRPr="00236907">
        <w:t xml:space="preserve">not to make an ongoing order, the legislation directs them to revoke the immediate order. In some cases, they may choose not to make an ongoing order (for example, they are in dialogue with the person on ways to manage their problematic behaviour) </w:t>
      </w:r>
      <w:r w:rsidR="00A25118" w:rsidRPr="00236907">
        <w:t xml:space="preserve">but would like the immediate order to remain in place for its full duration while they complete this process. </w:t>
      </w:r>
      <w:r w:rsidR="007C05A0" w:rsidRPr="00236907">
        <w:t xml:space="preserve">It would be ideal to </w:t>
      </w:r>
      <w:r w:rsidR="00503075" w:rsidRPr="00236907">
        <w:t>have a third option, to allow the immediate order to continue if it expires.</w:t>
      </w:r>
      <w:r w:rsidR="008428A0" w:rsidRPr="00236907">
        <w:t xml:space="preserve"> </w:t>
      </w:r>
      <w:r w:rsidR="00B047B2" w:rsidRPr="00236907">
        <w:t xml:space="preserve">It is important to consider the policy rationale for requiring an authorised person to </w:t>
      </w:r>
      <w:r w:rsidR="00693773" w:rsidRPr="00236907">
        <w:t>review the order as soon as possible to ensure that an order is not left in place for longer than it needs to be,</w:t>
      </w:r>
      <w:r w:rsidR="00157972" w:rsidRPr="00236907">
        <w:t xml:space="preserve"> and so the Department may also consider updating the Ministerial Guidelines to ensure that authorised </w:t>
      </w:r>
      <w:r w:rsidR="00C44B76" w:rsidRPr="00236907">
        <w:t>persons</w:t>
      </w:r>
      <w:r w:rsidR="00157972" w:rsidRPr="00236907">
        <w:t xml:space="preserve"> do not see allowing an immediate order to lapse as the default option.</w:t>
      </w:r>
    </w:p>
    <w:p w14:paraId="74D862D1" w14:textId="77777777" w:rsidR="000342A8" w:rsidRPr="00236907" w:rsidRDefault="000342A8" w:rsidP="004E7945">
      <w:pPr>
        <w:pStyle w:val="BodyIndent1"/>
      </w:pPr>
    </w:p>
    <w:tbl>
      <w:tblPr>
        <w:tblStyle w:val="MadTabPlumShade"/>
        <w:tblW w:w="5000" w:type="pct"/>
        <w:tblLook w:val="0620" w:firstRow="1" w:lastRow="0" w:firstColumn="0" w:lastColumn="0" w:noHBand="1" w:noVBand="1"/>
      </w:tblPr>
      <w:tblGrid>
        <w:gridCol w:w="686"/>
        <w:gridCol w:w="2978"/>
        <w:gridCol w:w="5360"/>
      </w:tblGrid>
      <w:tr w:rsidR="000342A8" w:rsidRPr="00236907" w14:paraId="3DC37858" w14:textId="77777777" w:rsidTr="640D7DB9">
        <w:trPr>
          <w:cnfStyle w:val="100000000000" w:firstRow="1" w:lastRow="0" w:firstColumn="0" w:lastColumn="0" w:oddVBand="0" w:evenVBand="0" w:oddHBand="0" w:evenHBand="0" w:firstRowFirstColumn="0" w:firstRowLastColumn="0" w:lastRowFirstColumn="0" w:lastRowLastColumn="0"/>
          <w:tblHeader/>
        </w:trPr>
        <w:tc>
          <w:tcPr>
            <w:tcW w:w="380" w:type="pct"/>
          </w:tcPr>
          <w:p w14:paraId="644C766D" w14:textId="77777777" w:rsidR="000342A8" w:rsidRPr="00236907" w:rsidRDefault="000342A8">
            <w:r w:rsidRPr="00236907">
              <w:t>#</w:t>
            </w:r>
          </w:p>
        </w:tc>
        <w:tc>
          <w:tcPr>
            <w:tcW w:w="1650" w:type="pct"/>
          </w:tcPr>
          <w:p w14:paraId="6468112E" w14:textId="77777777" w:rsidR="000342A8" w:rsidRPr="00236907" w:rsidRDefault="000342A8">
            <w:r w:rsidRPr="00236907">
              <w:t>Provision</w:t>
            </w:r>
          </w:p>
        </w:tc>
        <w:tc>
          <w:tcPr>
            <w:tcW w:w="2970" w:type="pct"/>
          </w:tcPr>
          <w:p w14:paraId="07680CE6" w14:textId="77777777" w:rsidR="000342A8" w:rsidRPr="00236907" w:rsidRDefault="487F2797">
            <w:r w:rsidRPr="00236907">
              <w:t>Recommendation</w:t>
            </w:r>
          </w:p>
        </w:tc>
      </w:tr>
      <w:tr w:rsidR="000342A8" w:rsidRPr="00236907" w14:paraId="4A24DFE8" w14:textId="77777777" w:rsidTr="640D7DB9">
        <w:tc>
          <w:tcPr>
            <w:tcW w:w="380" w:type="pct"/>
          </w:tcPr>
          <w:p w14:paraId="0EECA8EE" w14:textId="6D2C8816" w:rsidR="000342A8" w:rsidRPr="00236907" w:rsidRDefault="007C4717">
            <w:r w:rsidRPr="00236907">
              <w:t>3.1</w:t>
            </w:r>
          </w:p>
        </w:tc>
        <w:tc>
          <w:tcPr>
            <w:tcW w:w="1650" w:type="pct"/>
          </w:tcPr>
          <w:p w14:paraId="28196796" w14:textId="73ABCF08" w:rsidR="000342A8" w:rsidRPr="00236907" w:rsidRDefault="003E58B1">
            <w:pPr>
              <w:rPr>
                <w:rFonts w:asciiTheme="majorHAnsi" w:hAnsiTheme="majorHAnsi" w:cstheme="majorHAnsi"/>
              </w:rPr>
            </w:pPr>
            <w:r w:rsidRPr="00236907">
              <w:t>ETR Act</w:t>
            </w:r>
            <w:r w:rsidR="00515D7A" w:rsidRPr="00236907">
              <w:t xml:space="preserve"> s </w:t>
            </w:r>
            <w:r w:rsidR="00A113E1" w:rsidRPr="00236907">
              <w:rPr>
                <w:rFonts w:asciiTheme="majorHAnsi" w:hAnsiTheme="majorHAnsi" w:cstheme="majorHAnsi"/>
              </w:rPr>
              <w:t>2.1A.5 Grounds and other requirements for making immediate order</w:t>
            </w:r>
          </w:p>
        </w:tc>
        <w:tc>
          <w:tcPr>
            <w:tcW w:w="2970" w:type="pct"/>
          </w:tcPr>
          <w:p w14:paraId="71A7B703" w14:textId="0B996278" w:rsidR="000342A8" w:rsidRPr="00236907" w:rsidRDefault="00CF5701">
            <w:r w:rsidRPr="00236907">
              <w:t>Modify s 2.1A.5 of the ETR Act to</w:t>
            </w:r>
            <w:r w:rsidR="006715FC" w:rsidRPr="00236907">
              <w:t xml:space="preserve"> define </w:t>
            </w:r>
            <w:r w:rsidR="0094335B">
              <w:t>“</w:t>
            </w:r>
            <w:r w:rsidR="006715FC" w:rsidRPr="00236907">
              <w:t>imminent</w:t>
            </w:r>
            <w:r w:rsidR="0094335B">
              <w:t>”</w:t>
            </w:r>
            <w:r w:rsidR="006715FC" w:rsidRPr="00236907">
              <w:t xml:space="preserve"> or</w:t>
            </w:r>
            <w:r w:rsidRPr="00236907">
              <w:t xml:space="preserve"> remove the requirement for imminency and add wording to reflect the Department’s policy goals for immediate orders.</w:t>
            </w:r>
          </w:p>
        </w:tc>
      </w:tr>
      <w:tr w:rsidR="000342A8" w:rsidRPr="00236907" w14:paraId="05E5D04A" w14:textId="77777777" w:rsidTr="640D7DB9">
        <w:tc>
          <w:tcPr>
            <w:tcW w:w="380" w:type="pct"/>
          </w:tcPr>
          <w:p w14:paraId="03AE9DD4" w14:textId="57F2892A" w:rsidR="000342A8" w:rsidRPr="00236907" w:rsidRDefault="007C4717">
            <w:r w:rsidRPr="00236907">
              <w:t>3.2</w:t>
            </w:r>
          </w:p>
        </w:tc>
        <w:tc>
          <w:tcPr>
            <w:tcW w:w="1650" w:type="pct"/>
          </w:tcPr>
          <w:p w14:paraId="5CE9799F" w14:textId="478C7D7A" w:rsidR="000342A8" w:rsidRPr="00236907" w:rsidRDefault="003E58B1">
            <w:pPr>
              <w:rPr>
                <w:rFonts w:asciiTheme="majorHAnsi" w:hAnsiTheme="majorHAnsi" w:cstheme="majorHAnsi"/>
              </w:rPr>
            </w:pPr>
            <w:r w:rsidRPr="00236907">
              <w:t>ETR Act</w:t>
            </w:r>
            <w:r w:rsidR="00515D7A" w:rsidRPr="00236907">
              <w:t xml:space="preserve"> s </w:t>
            </w:r>
            <w:r w:rsidR="00FA6C11" w:rsidRPr="00236907">
              <w:rPr>
                <w:rFonts w:asciiTheme="majorHAnsi" w:hAnsiTheme="majorHAnsi" w:cstheme="majorHAnsi"/>
              </w:rPr>
              <w:t>2.1A.7 Matters which must be stated in an immediate order</w:t>
            </w:r>
          </w:p>
        </w:tc>
        <w:tc>
          <w:tcPr>
            <w:tcW w:w="2970" w:type="pct"/>
          </w:tcPr>
          <w:p w14:paraId="03EBBE07" w14:textId="1A8A694E" w:rsidR="000342A8" w:rsidRPr="00236907" w:rsidRDefault="00D67B1A">
            <w:r w:rsidRPr="00236907">
              <w:t xml:space="preserve">Simplify the requirements </w:t>
            </w:r>
            <w:r w:rsidR="00CF5701" w:rsidRPr="00236907">
              <w:t xml:space="preserve">in the ETR Act </w:t>
            </w:r>
            <w:r w:rsidRPr="00236907">
              <w:t>for making an oral order</w:t>
            </w:r>
            <w:r w:rsidR="00C44B76" w:rsidRPr="00236907">
              <w:t>, for example,</w:t>
            </w:r>
            <w:r w:rsidRPr="00236907">
              <w:t xml:space="preserve"> so that the </w:t>
            </w:r>
            <w:r w:rsidR="00AE7435" w:rsidRPr="00236907">
              <w:t>authorised person</w:t>
            </w:r>
            <w:r w:rsidR="00B92032" w:rsidRPr="00236907">
              <w:t xml:space="preserve"> </w:t>
            </w:r>
            <w:r w:rsidR="00F04361" w:rsidRPr="00236907">
              <w:t>only</w:t>
            </w:r>
            <w:r w:rsidRPr="00236907">
              <w:t xml:space="preserve"> needs to direct the individual to leave </w:t>
            </w:r>
            <w:r w:rsidR="001A29EB" w:rsidRPr="00236907">
              <w:t>and/</w:t>
            </w:r>
            <w:r w:rsidRPr="00236907">
              <w:t xml:space="preserve">or not </w:t>
            </w:r>
            <w:r w:rsidR="00954A41" w:rsidRPr="00236907">
              <w:t>attend</w:t>
            </w:r>
            <w:r w:rsidRPr="00236907">
              <w:t xml:space="preserve"> the school-related place. </w:t>
            </w:r>
            <w:r w:rsidR="00871BC0" w:rsidRPr="00236907">
              <w:t xml:space="preserve">Unless the authorised person gives another timeframe, </w:t>
            </w:r>
            <w:r w:rsidR="00F17187" w:rsidRPr="00236907">
              <w:t xml:space="preserve">the restriction stands for the duration of the order. </w:t>
            </w:r>
          </w:p>
        </w:tc>
      </w:tr>
      <w:tr w:rsidR="00110B08" w:rsidRPr="00236907" w14:paraId="1D6B39C8" w14:textId="77777777" w:rsidTr="640D7DB9">
        <w:tc>
          <w:tcPr>
            <w:tcW w:w="380" w:type="pct"/>
          </w:tcPr>
          <w:p w14:paraId="0BE48BEF" w14:textId="67F6D59A" w:rsidR="00110B08" w:rsidRPr="00236907" w:rsidRDefault="00110B08">
            <w:r w:rsidRPr="00236907">
              <w:t>3.3</w:t>
            </w:r>
          </w:p>
        </w:tc>
        <w:tc>
          <w:tcPr>
            <w:tcW w:w="1650" w:type="pct"/>
          </w:tcPr>
          <w:p w14:paraId="59D9162E" w14:textId="73B67B6C" w:rsidR="00110B08" w:rsidRPr="00236907" w:rsidRDefault="003E58B1">
            <w:r w:rsidRPr="00236907">
              <w:t>ETR Act</w:t>
            </w:r>
            <w:r w:rsidR="00515D7A" w:rsidRPr="00236907">
              <w:t xml:space="preserve"> s </w:t>
            </w:r>
            <w:r w:rsidR="00900A89" w:rsidRPr="00236907">
              <w:rPr>
                <w:rFonts w:asciiTheme="majorHAnsi" w:hAnsiTheme="majorHAnsi" w:cstheme="majorHAnsi"/>
              </w:rPr>
              <w:t>2.1A.9 Duration of immediate orders</w:t>
            </w:r>
          </w:p>
        </w:tc>
        <w:tc>
          <w:tcPr>
            <w:tcW w:w="2970" w:type="pct"/>
          </w:tcPr>
          <w:p w14:paraId="7834D20D" w14:textId="6DDE6A43" w:rsidR="00110B08" w:rsidRPr="00236907" w:rsidRDefault="002B3877">
            <w:r w:rsidRPr="00236907">
              <w:t xml:space="preserve">If the Department does not make changes to shorten the process to make an ongoing order, </w:t>
            </w:r>
            <w:r w:rsidR="00F8130E" w:rsidRPr="00236907">
              <w:t>amend the ETR Act to permit the authorised person to extend an immediate order by a further 7 days beyond the initial 14-day period, provided this is treated as a fresh administrative decision subject to the same justification and proportionality requirements as the original order.</w:t>
            </w:r>
          </w:p>
        </w:tc>
      </w:tr>
      <w:tr w:rsidR="00A1501C" w:rsidRPr="00236907" w14:paraId="5D4D38C2" w14:textId="77777777" w:rsidTr="640D7DB9">
        <w:tc>
          <w:tcPr>
            <w:tcW w:w="380" w:type="pct"/>
          </w:tcPr>
          <w:p w14:paraId="1FBD99E6" w14:textId="04AE7FFA" w:rsidR="00A1501C" w:rsidRPr="00236907" w:rsidRDefault="00E82278">
            <w:r w:rsidRPr="00236907">
              <w:t>3.</w:t>
            </w:r>
            <w:r w:rsidR="00E460AB" w:rsidRPr="00236907">
              <w:t>4</w:t>
            </w:r>
          </w:p>
        </w:tc>
        <w:tc>
          <w:tcPr>
            <w:tcW w:w="1650" w:type="pct"/>
          </w:tcPr>
          <w:p w14:paraId="47C5D4DC" w14:textId="1FB93807" w:rsidR="00A1501C" w:rsidRPr="00236907" w:rsidRDefault="003E58B1">
            <w:pPr>
              <w:rPr>
                <w:rFonts w:asciiTheme="majorHAnsi" w:hAnsiTheme="majorHAnsi" w:cstheme="majorHAnsi"/>
              </w:rPr>
            </w:pPr>
            <w:r w:rsidRPr="00236907">
              <w:t>ETR Act</w:t>
            </w:r>
            <w:r w:rsidR="00515D7A" w:rsidRPr="00236907">
              <w:t xml:space="preserve"> s </w:t>
            </w:r>
            <w:r w:rsidR="00E25D48" w:rsidRPr="00236907">
              <w:t xml:space="preserve">2.1A.13 </w:t>
            </w:r>
            <w:r w:rsidR="00E25D48" w:rsidRPr="00236907">
              <w:rPr>
                <w:rFonts w:asciiTheme="majorHAnsi" w:hAnsiTheme="majorHAnsi" w:cstheme="majorHAnsi"/>
                <w:bCs/>
              </w:rPr>
              <w:t>Communication and access arrangements</w:t>
            </w:r>
          </w:p>
        </w:tc>
        <w:tc>
          <w:tcPr>
            <w:tcW w:w="2970" w:type="pct"/>
          </w:tcPr>
          <w:p w14:paraId="0B83E0A1" w14:textId="7C878E49" w:rsidR="00A1501C" w:rsidRPr="00236907" w:rsidRDefault="001510C6">
            <w:r w:rsidRPr="00236907">
              <w:t xml:space="preserve">Clarify the Department’s position on the minimum expectations for communication and access arrangements for immediate </w:t>
            </w:r>
            <w:proofErr w:type="gramStart"/>
            <w:r w:rsidRPr="00236907">
              <w:t>orders, and</w:t>
            </w:r>
            <w:proofErr w:type="gramEnd"/>
            <w:r w:rsidRPr="00236907">
              <w:t xml:space="preserve"> reflect them in the Guidelines and/or in Department policy.</w:t>
            </w:r>
          </w:p>
        </w:tc>
      </w:tr>
      <w:tr w:rsidR="00B71CC0" w:rsidRPr="00236907" w14:paraId="79176788" w14:textId="77777777" w:rsidTr="640D7DB9">
        <w:tc>
          <w:tcPr>
            <w:tcW w:w="380" w:type="pct"/>
          </w:tcPr>
          <w:p w14:paraId="1FD2C4E3" w14:textId="2EDE9218" w:rsidR="00E460AB" w:rsidRPr="00236907" w:rsidRDefault="00E460AB" w:rsidP="00E460AB">
            <w:r w:rsidRPr="00236907">
              <w:t>3.5</w:t>
            </w:r>
          </w:p>
        </w:tc>
        <w:tc>
          <w:tcPr>
            <w:tcW w:w="1650" w:type="pct"/>
          </w:tcPr>
          <w:p w14:paraId="73D7F1DB" w14:textId="091451D5" w:rsidR="00E460AB" w:rsidRPr="00236907" w:rsidRDefault="001073F0" w:rsidP="00E460AB">
            <w:r w:rsidRPr="00236907">
              <w:t xml:space="preserve">ETR Act 2.1A.12 Review of immediate order, </w:t>
            </w:r>
            <w:r w:rsidR="00612284" w:rsidRPr="00236907">
              <w:t>Ministerial Guidelines, paragraphs 207 - 208</w:t>
            </w:r>
          </w:p>
        </w:tc>
        <w:tc>
          <w:tcPr>
            <w:tcW w:w="2970" w:type="pct"/>
          </w:tcPr>
          <w:p w14:paraId="3E666402" w14:textId="160ECA59" w:rsidR="00E460AB" w:rsidRPr="00236907" w:rsidRDefault="00497C11" w:rsidP="00E460AB">
            <w:r w:rsidRPr="00236907">
              <w:t xml:space="preserve">Add a third option to s 2.1A.12(1) of the ETR Act stating that the immediate order may be left in place until it expires. </w:t>
            </w:r>
            <w:r w:rsidR="00E460AB" w:rsidRPr="00236907">
              <w:t xml:space="preserve">Clarify </w:t>
            </w:r>
            <w:r w:rsidR="00CF5701" w:rsidRPr="00236907">
              <w:t xml:space="preserve">in the Ministerial Guidelines (paragraphs 207-208) </w:t>
            </w:r>
            <w:r w:rsidR="00E460AB" w:rsidRPr="00236907">
              <w:t xml:space="preserve">that an immediate order will expire at the end of the </w:t>
            </w:r>
            <w:proofErr w:type="gramStart"/>
            <w:r w:rsidR="00E460AB" w:rsidRPr="00236907">
              <w:t>time period</w:t>
            </w:r>
            <w:proofErr w:type="gramEnd"/>
            <w:r w:rsidR="00E460AB" w:rsidRPr="00236907">
              <w:t xml:space="preserve"> if the authorised person takes no further action.</w:t>
            </w:r>
          </w:p>
        </w:tc>
      </w:tr>
      <w:tr w:rsidR="00CC1F5A" w:rsidRPr="00236907" w14:paraId="242680D8" w14:textId="77777777" w:rsidTr="640D7DB9">
        <w:tc>
          <w:tcPr>
            <w:tcW w:w="380" w:type="pct"/>
          </w:tcPr>
          <w:p w14:paraId="54E332B2" w14:textId="4D8B8ADF" w:rsidR="00CC1F5A" w:rsidRPr="00236907" w:rsidRDefault="00CC1F5A" w:rsidP="00E460AB">
            <w:r w:rsidRPr="00236907">
              <w:t>3.6</w:t>
            </w:r>
          </w:p>
        </w:tc>
        <w:tc>
          <w:tcPr>
            <w:tcW w:w="1650" w:type="pct"/>
          </w:tcPr>
          <w:p w14:paraId="2B1CC3E9" w14:textId="4EC8DA7E" w:rsidR="00CC1F5A" w:rsidRPr="00236907" w:rsidRDefault="00CC1F5A" w:rsidP="00E460AB">
            <w:r w:rsidRPr="00236907">
              <w:t>ETR Act 2.1A.12 Review of immediate order</w:t>
            </w:r>
          </w:p>
        </w:tc>
        <w:tc>
          <w:tcPr>
            <w:tcW w:w="2970" w:type="pct"/>
          </w:tcPr>
          <w:p w14:paraId="0994950B" w14:textId="7E8F92C4" w:rsidR="00CC1F5A" w:rsidRPr="00236907" w:rsidRDefault="00CC1F5A" w:rsidP="00E460AB">
            <w:r w:rsidRPr="00236907">
              <w:t xml:space="preserve">Amend </w:t>
            </w:r>
            <w:r w:rsidR="00721C32" w:rsidRPr="00236907">
              <w:t>s 2.1A.12(3) of the ETR Act to</w:t>
            </w:r>
            <w:r w:rsidR="003662AD" w:rsidRPr="00236907">
              <w:t xml:space="preserve"> </w:t>
            </w:r>
            <w:r w:rsidR="00F35D7C" w:rsidRPr="00236907">
              <w:t>clarify that this provision is referring to whether there are grounds to make an ongoing order, rather than grounds to make the initial immediate order.</w:t>
            </w:r>
          </w:p>
        </w:tc>
      </w:tr>
    </w:tbl>
    <w:p w14:paraId="6BD74883" w14:textId="77777777" w:rsidR="000342A8" w:rsidRPr="00236907" w:rsidRDefault="000342A8" w:rsidP="004E7945">
      <w:pPr>
        <w:pStyle w:val="BodyIndent1"/>
      </w:pPr>
    </w:p>
    <w:p w14:paraId="482807BA" w14:textId="6503510A" w:rsidR="00390FCA" w:rsidRPr="00236907" w:rsidRDefault="00390FCA" w:rsidP="00DF0DFF">
      <w:pPr>
        <w:pStyle w:val="Heading2"/>
      </w:pPr>
      <w:bookmarkStart w:id="26" w:name="_Ref196208784"/>
      <w:bookmarkStart w:id="27" w:name="_Toc210053626"/>
      <w:r w:rsidRPr="00236907">
        <w:lastRenderedPageBreak/>
        <w:t xml:space="preserve">Grounds for making </w:t>
      </w:r>
      <w:r w:rsidR="00B54DA8" w:rsidRPr="00236907">
        <w:t xml:space="preserve">ongoing </w:t>
      </w:r>
      <w:r w:rsidRPr="00236907">
        <w:t>orders</w:t>
      </w:r>
      <w:bookmarkEnd w:id="26"/>
      <w:bookmarkEnd w:id="27"/>
    </w:p>
    <w:p w14:paraId="1AF51818" w14:textId="171F985E" w:rsidR="00EB7506" w:rsidRPr="00236907" w:rsidRDefault="00EB7506" w:rsidP="00390FCA">
      <w:pPr>
        <w:pStyle w:val="BodyIndent1"/>
      </w:pPr>
      <w:r w:rsidRPr="00236907">
        <w:t xml:space="preserve">In some circumstances, </w:t>
      </w:r>
      <w:r w:rsidR="00580CCE" w:rsidRPr="00236907">
        <w:t xml:space="preserve">an order </w:t>
      </w:r>
      <w:r w:rsidR="003E7461" w:rsidRPr="00236907">
        <w:t xml:space="preserve">may </w:t>
      </w:r>
      <w:r w:rsidR="00580CCE" w:rsidRPr="00236907">
        <w:t>be effective in restraining a person’s problematic behaviour, but the authorised person who made the order will have reasons to believe that the person will resume their behaviour once the order expires. For example, the person loiters</w:t>
      </w:r>
      <w:r w:rsidR="00BA458B" w:rsidRPr="00236907">
        <w:t xml:space="preserve"> near the school</w:t>
      </w:r>
      <w:r w:rsidR="00580CCE" w:rsidRPr="00236907">
        <w:t xml:space="preserve"> outside of the 25-metre boundary</w:t>
      </w:r>
      <w:r w:rsidR="00BA458B" w:rsidRPr="00236907">
        <w:t xml:space="preserve">. In this case, the authorised person will likely form the view that a new </w:t>
      </w:r>
      <w:r w:rsidR="00E827BB" w:rsidRPr="00236907">
        <w:t xml:space="preserve">ongoing </w:t>
      </w:r>
      <w:r w:rsidR="00BA458B" w:rsidRPr="00236907">
        <w:t xml:space="preserve">order is needed, but they may not have the confidence that the grounds exist. </w:t>
      </w:r>
    </w:p>
    <w:p w14:paraId="0D1D4788" w14:textId="6BE7E2BD" w:rsidR="00390FCA" w:rsidRPr="00236907" w:rsidRDefault="00390FCA" w:rsidP="00390FCA">
      <w:pPr>
        <w:pStyle w:val="BodyIndent1"/>
      </w:pPr>
      <w:r w:rsidRPr="00236907">
        <w:t xml:space="preserve">The </w:t>
      </w:r>
      <w:r w:rsidR="003D376E" w:rsidRPr="00236907">
        <w:t>ETR</w:t>
      </w:r>
      <w:r w:rsidRPr="00236907">
        <w:t xml:space="preserve"> </w:t>
      </w:r>
      <w:r w:rsidR="00955DD1" w:rsidRPr="00236907">
        <w:t xml:space="preserve">Act </w:t>
      </w:r>
      <w:r w:rsidRPr="00236907">
        <w:t>states, relevantly, and with emphasis added:</w:t>
      </w:r>
    </w:p>
    <w:p w14:paraId="374DE5CD" w14:textId="77777777" w:rsidR="00390FCA" w:rsidRPr="00236907" w:rsidRDefault="00390FCA" w:rsidP="00A5462B">
      <w:pPr>
        <w:pStyle w:val="BodyIndent1"/>
        <w:ind w:left="1702"/>
        <w:rPr>
          <w:b/>
          <w:bCs/>
          <w:i/>
          <w:iCs/>
        </w:rPr>
      </w:pPr>
      <w:r w:rsidRPr="00236907">
        <w:rPr>
          <w:b/>
          <w:bCs/>
          <w:i/>
          <w:iCs/>
        </w:rPr>
        <w:t xml:space="preserve">2.1A.17 Grounds and other requirements for making ongoing orders </w:t>
      </w:r>
    </w:p>
    <w:p w14:paraId="4275C88F" w14:textId="77777777" w:rsidR="00390FCA" w:rsidRPr="00236907" w:rsidRDefault="00390FCA" w:rsidP="00B90583">
      <w:pPr>
        <w:pStyle w:val="BodyIndent1"/>
        <w:ind w:left="1985" w:hanging="283"/>
        <w:rPr>
          <w:i/>
          <w:iCs/>
        </w:rPr>
      </w:pPr>
      <w:r w:rsidRPr="00236907">
        <w:rPr>
          <w:i/>
          <w:iCs/>
        </w:rPr>
        <w:t xml:space="preserve">(1) An authorised person may make an ongoing school community safety order in respect of another person if the authorised person reasonably believes that the other person— </w:t>
      </w:r>
    </w:p>
    <w:p w14:paraId="3B9BDCAF" w14:textId="77777777" w:rsidR="00390FCA" w:rsidRPr="00236907" w:rsidRDefault="00390FCA" w:rsidP="00B90583">
      <w:pPr>
        <w:pStyle w:val="BodyIndent1"/>
        <w:ind w:left="2268" w:hanging="283"/>
        <w:rPr>
          <w:i/>
          <w:iCs/>
        </w:rPr>
      </w:pPr>
      <w:r w:rsidRPr="00236907">
        <w:rPr>
          <w:i/>
          <w:iCs/>
        </w:rPr>
        <w:t xml:space="preserve">(a) </w:t>
      </w:r>
      <w:r w:rsidRPr="00236907">
        <w:rPr>
          <w:b/>
          <w:bCs/>
          <w:i/>
          <w:iCs/>
        </w:rPr>
        <w:t>poses</w:t>
      </w:r>
      <w:r w:rsidRPr="00236907">
        <w:rPr>
          <w:i/>
          <w:iCs/>
        </w:rPr>
        <w:t xml:space="preserve"> </w:t>
      </w:r>
      <w:r w:rsidRPr="00236907">
        <w:rPr>
          <w:b/>
          <w:bCs/>
          <w:i/>
          <w:iCs/>
        </w:rPr>
        <w:t>an unacceptable</w:t>
      </w:r>
      <w:r w:rsidRPr="00236907">
        <w:rPr>
          <w:i/>
          <w:iCs/>
        </w:rPr>
        <w:t xml:space="preserve"> </w:t>
      </w:r>
      <w:r w:rsidRPr="00236907">
        <w:rPr>
          <w:b/>
          <w:bCs/>
          <w:i/>
          <w:iCs/>
        </w:rPr>
        <w:t>risk</w:t>
      </w:r>
      <w:r w:rsidRPr="00236907">
        <w:rPr>
          <w:i/>
          <w:iCs/>
        </w:rPr>
        <w:t xml:space="preserve"> of harm…</w:t>
      </w:r>
    </w:p>
    <w:p w14:paraId="656DEB08" w14:textId="77777777" w:rsidR="00390FCA" w:rsidRPr="00236907" w:rsidRDefault="00390FCA" w:rsidP="00B90583">
      <w:pPr>
        <w:pStyle w:val="BodyIndent1"/>
        <w:ind w:left="2268" w:hanging="283"/>
        <w:rPr>
          <w:i/>
          <w:iCs/>
        </w:rPr>
      </w:pPr>
      <w:r w:rsidRPr="00236907">
        <w:rPr>
          <w:i/>
          <w:iCs/>
        </w:rPr>
        <w:t xml:space="preserve">(b) </w:t>
      </w:r>
      <w:r w:rsidRPr="00236907">
        <w:rPr>
          <w:b/>
          <w:bCs/>
          <w:i/>
          <w:iCs/>
        </w:rPr>
        <w:t>poses an unacceptable risk</w:t>
      </w:r>
      <w:r w:rsidRPr="00236907">
        <w:rPr>
          <w:i/>
          <w:iCs/>
        </w:rPr>
        <w:t xml:space="preserve"> of causing significant disruption…</w:t>
      </w:r>
    </w:p>
    <w:p w14:paraId="182653BB" w14:textId="27C77AA2" w:rsidR="00A73B61" w:rsidRPr="00236907" w:rsidRDefault="00390FCA" w:rsidP="00B90583">
      <w:pPr>
        <w:pStyle w:val="BodyIndent1"/>
        <w:ind w:left="2268" w:hanging="283"/>
        <w:rPr>
          <w:i/>
          <w:iCs/>
        </w:rPr>
      </w:pPr>
      <w:r w:rsidRPr="00236907">
        <w:rPr>
          <w:i/>
          <w:iCs/>
        </w:rPr>
        <w:t xml:space="preserve">(c) </w:t>
      </w:r>
      <w:r w:rsidRPr="00236907">
        <w:rPr>
          <w:b/>
          <w:bCs/>
          <w:i/>
          <w:iCs/>
        </w:rPr>
        <w:t>poses an unacceptable risk</w:t>
      </w:r>
      <w:r w:rsidRPr="00236907">
        <w:rPr>
          <w:i/>
          <w:iCs/>
        </w:rPr>
        <w:t xml:space="preserve"> of interfering with the wellbeing, safety or educational opportunities of students</w:t>
      </w:r>
      <w:r w:rsidR="00A73B61" w:rsidRPr="00236907">
        <w:rPr>
          <w:i/>
          <w:iCs/>
        </w:rPr>
        <w:t>…</w:t>
      </w:r>
      <w:r w:rsidRPr="00236907">
        <w:rPr>
          <w:i/>
          <w:iCs/>
        </w:rPr>
        <w:t xml:space="preserve"> </w:t>
      </w:r>
    </w:p>
    <w:p w14:paraId="77D8E422" w14:textId="77777777" w:rsidR="00A73B61" w:rsidRPr="00236907" w:rsidRDefault="00390FCA" w:rsidP="00B90583">
      <w:pPr>
        <w:pStyle w:val="BodyIndent1"/>
        <w:ind w:left="2268" w:hanging="283"/>
        <w:rPr>
          <w:i/>
          <w:iCs/>
        </w:rPr>
      </w:pPr>
      <w:r w:rsidRPr="00236907">
        <w:rPr>
          <w:i/>
          <w:iCs/>
        </w:rPr>
        <w:t xml:space="preserve">(d) </w:t>
      </w:r>
      <w:r w:rsidRPr="00236907">
        <w:rPr>
          <w:b/>
          <w:bCs/>
          <w:i/>
          <w:iCs/>
        </w:rPr>
        <w:t>has behaved and is likely to behave</w:t>
      </w:r>
      <w:r w:rsidRPr="00236907">
        <w:rPr>
          <w:i/>
          <w:iCs/>
        </w:rPr>
        <w:t xml:space="preserve"> in a disorderly, offensive, intimidating or threatening manner</w:t>
      </w:r>
      <w:r w:rsidR="00A73B61" w:rsidRPr="00236907">
        <w:rPr>
          <w:i/>
          <w:iCs/>
        </w:rPr>
        <w:t>…</w:t>
      </w:r>
    </w:p>
    <w:p w14:paraId="44DE7A5B" w14:textId="0A8E17BF" w:rsidR="00390FCA" w:rsidRPr="00236907" w:rsidRDefault="00390FCA" w:rsidP="00B90583">
      <w:pPr>
        <w:pStyle w:val="BodyIndent1"/>
        <w:ind w:left="2268" w:hanging="283"/>
        <w:rPr>
          <w:i/>
          <w:iCs/>
        </w:rPr>
      </w:pPr>
      <w:r w:rsidRPr="00236907">
        <w:rPr>
          <w:i/>
          <w:iCs/>
        </w:rPr>
        <w:t xml:space="preserve">(e) </w:t>
      </w:r>
      <w:r w:rsidRPr="00236907">
        <w:rPr>
          <w:b/>
          <w:bCs/>
          <w:i/>
          <w:iCs/>
        </w:rPr>
        <w:t>has engaged in and is likely to engage</w:t>
      </w:r>
      <w:r w:rsidRPr="00236907">
        <w:rPr>
          <w:i/>
          <w:iCs/>
        </w:rPr>
        <w:t xml:space="preserve"> in vexatious communications</w:t>
      </w:r>
      <w:r w:rsidR="00CE0415" w:rsidRPr="00236907">
        <w:rPr>
          <w:i/>
          <w:iCs/>
        </w:rPr>
        <w:t>…</w:t>
      </w:r>
    </w:p>
    <w:p w14:paraId="57914CE5" w14:textId="654BE6AB" w:rsidR="006F6573" w:rsidRPr="00236907" w:rsidRDefault="00944171" w:rsidP="006F6573">
      <w:pPr>
        <w:pStyle w:val="BodyIndent1"/>
      </w:pPr>
      <w:r w:rsidRPr="00236907">
        <w:t>On a literal reading of the legislation, g</w:t>
      </w:r>
      <w:r w:rsidR="00EC6872" w:rsidRPr="00236907">
        <w:t>rounds (a)</w:t>
      </w:r>
      <w:r w:rsidR="00ED6A8A" w:rsidRPr="00236907">
        <w:t>,</w:t>
      </w:r>
      <w:r w:rsidR="00EC6872" w:rsidRPr="00236907">
        <w:t xml:space="preserve"> (b)</w:t>
      </w:r>
      <w:r w:rsidR="00ED6A8A" w:rsidRPr="00236907">
        <w:t xml:space="preserve"> and (c)</w:t>
      </w:r>
      <w:r w:rsidR="00EC6872" w:rsidRPr="00236907">
        <w:t xml:space="preserve"> </w:t>
      </w:r>
      <w:r w:rsidR="003212D6" w:rsidRPr="00236907">
        <w:t>require</w:t>
      </w:r>
      <w:r w:rsidR="00EC6872" w:rsidRPr="00236907">
        <w:t xml:space="preserve"> the authorised person to make an assessment based on the present</w:t>
      </w:r>
      <w:r w:rsidR="006C655A" w:rsidRPr="00236907">
        <w:t xml:space="preserve"> situation. </w:t>
      </w:r>
      <w:r w:rsidR="00ED6A8A" w:rsidRPr="00236907">
        <w:t xml:space="preserve">Grounds (d) and (e), by contrast, </w:t>
      </w:r>
      <w:r w:rsidR="003212D6" w:rsidRPr="00236907">
        <w:t>require the authorised person to consider the person’s past and likely future behaviour.</w:t>
      </w:r>
      <w:r w:rsidR="00F969F4" w:rsidRPr="00236907">
        <w:t xml:space="preserve"> In practice, when deciding if a person poses an unacceptable risk, the Department’s position is that the authorised person should consider their past and future behaviour.</w:t>
      </w:r>
      <w:r w:rsidR="007533AD" w:rsidRPr="00236907">
        <w:rPr>
          <w:rStyle w:val="FootnoteReference"/>
        </w:rPr>
        <w:footnoteReference w:id="56"/>
      </w:r>
      <w:r w:rsidR="008B40D9" w:rsidRPr="00236907">
        <w:t xml:space="preserve"> </w:t>
      </w:r>
      <w:r w:rsidR="00F969F4" w:rsidRPr="00236907">
        <w:t>And i</w:t>
      </w:r>
      <w:r w:rsidR="00B50C82" w:rsidRPr="00236907">
        <w:t>n all cases, the authorised person would still have grounds to make an order if they reasonably came to the view that the person’s behaviour was only restrained by the order</w:t>
      </w:r>
      <w:r w:rsidR="003D489C" w:rsidRPr="00236907">
        <w:t xml:space="preserve">, as in the absence of an order, they would pose an unacceptable risk as per grounds (a), (b) and (c), and would have engaged in the conduct described in grounds (d) and </w:t>
      </w:r>
      <w:r w:rsidR="00AB735C" w:rsidRPr="00236907">
        <w:t>(e)</w:t>
      </w:r>
      <w:r w:rsidR="003D489C" w:rsidRPr="00236907">
        <w:t xml:space="preserve"> and would be likely to do so again</w:t>
      </w:r>
      <w:r w:rsidR="00B50C82" w:rsidRPr="00236907">
        <w:t xml:space="preserve">. </w:t>
      </w:r>
      <w:r w:rsidR="0066638E" w:rsidRPr="00236907">
        <w:t>T</w:t>
      </w:r>
      <w:r w:rsidR="0074184B" w:rsidRPr="00236907">
        <w:t xml:space="preserve">his could be explained in the Ministerial Guidelines. </w:t>
      </w:r>
    </w:p>
    <w:p w14:paraId="787DBDC0" w14:textId="77777777" w:rsidR="00477436" w:rsidRPr="00236907" w:rsidRDefault="00477436" w:rsidP="00390FCA">
      <w:pPr>
        <w:pStyle w:val="BodyIndent1"/>
      </w:pPr>
    </w:p>
    <w:tbl>
      <w:tblPr>
        <w:tblStyle w:val="MadTabPlumShade"/>
        <w:tblW w:w="5000" w:type="pct"/>
        <w:tblLook w:val="0620" w:firstRow="1" w:lastRow="0" w:firstColumn="0" w:lastColumn="0" w:noHBand="1" w:noVBand="1"/>
      </w:tblPr>
      <w:tblGrid>
        <w:gridCol w:w="686"/>
        <w:gridCol w:w="2978"/>
        <w:gridCol w:w="5360"/>
      </w:tblGrid>
      <w:tr w:rsidR="002318A4" w:rsidRPr="00236907" w14:paraId="020D9AFF" w14:textId="77777777">
        <w:trPr>
          <w:cnfStyle w:val="100000000000" w:firstRow="1" w:lastRow="0" w:firstColumn="0" w:lastColumn="0" w:oddVBand="0" w:evenVBand="0" w:oddHBand="0" w:evenHBand="0" w:firstRowFirstColumn="0" w:firstRowLastColumn="0" w:lastRowFirstColumn="0" w:lastRowLastColumn="0"/>
        </w:trPr>
        <w:tc>
          <w:tcPr>
            <w:tcW w:w="380" w:type="pct"/>
          </w:tcPr>
          <w:p w14:paraId="731A895C" w14:textId="77777777" w:rsidR="002318A4" w:rsidRPr="00236907" w:rsidRDefault="002318A4">
            <w:r w:rsidRPr="00236907">
              <w:t>#</w:t>
            </w:r>
          </w:p>
        </w:tc>
        <w:tc>
          <w:tcPr>
            <w:tcW w:w="1650" w:type="pct"/>
          </w:tcPr>
          <w:p w14:paraId="5C148CD3" w14:textId="77777777" w:rsidR="002318A4" w:rsidRPr="00236907" w:rsidRDefault="002318A4">
            <w:r w:rsidRPr="00236907">
              <w:t>Provision</w:t>
            </w:r>
          </w:p>
        </w:tc>
        <w:tc>
          <w:tcPr>
            <w:tcW w:w="2970" w:type="pct"/>
          </w:tcPr>
          <w:p w14:paraId="1B6B64FA" w14:textId="77777777" w:rsidR="002318A4" w:rsidRPr="00236907" w:rsidRDefault="002318A4">
            <w:r w:rsidRPr="00236907">
              <w:t>Recommendation</w:t>
            </w:r>
          </w:p>
        </w:tc>
      </w:tr>
      <w:tr w:rsidR="002318A4" w:rsidRPr="00236907" w14:paraId="38BDAD5E" w14:textId="77777777">
        <w:tc>
          <w:tcPr>
            <w:tcW w:w="380" w:type="pct"/>
          </w:tcPr>
          <w:p w14:paraId="5EFFE9BF" w14:textId="4371FA72" w:rsidR="002318A4" w:rsidRPr="00236907" w:rsidRDefault="00731814">
            <w:r w:rsidRPr="00236907">
              <w:t>4.1</w:t>
            </w:r>
          </w:p>
        </w:tc>
        <w:tc>
          <w:tcPr>
            <w:tcW w:w="1650" w:type="pct"/>
          </w:tcPr>
          <w:p w14:paraId="1AB73EAD" w14:textId="50202B8A" w:rsidR="002318A4" w:rsidRPr="00236907" w:rsidRDefault="007B13EE">
            <w:pPr>
              <w:rPr>
                <w:rFonts w:asciiTheme="majorHAnsi" w:hAnsiTheme="majorHAnsi" w:cstheme="majorHAnsi"/>
              </w:rPr>
            </w:pPr>
            <w:r w:rsidRPr="00236907">
              <w:rPr>
                <w:rFonts w:asciiTheme="majorHAnsi" w:hAnsiTheme="majorHAnsi" w:cstheme="majorHAnsi"/>
              </w:rPr>
              <w:t>Ministerial Guidelines, paragraphs 82 – 84</w:t>
            </w:r>
          </w:p>
        </w:tc>
        <w:tc>
          <w:tcPr>
            <w:tcW w:w="2970" w:type="pct"/>
          </w:tcPr>
          <w:p w14:paraId="02EC27C0" w14:textId="2BDD1CDE" w:rsidR="002318A4" w:rsidRPr="00236907" w:rsidRDefault="00C57BB6">
            <w:r w:rsidRPr="00236907">
              <w:t>Update the</w:t>
            </w:r>
            <w:r w:rsidR="00A35E9F" w:rsidRPr="00236907">
              <w:t xml:space="preserve"> Ministerial Guidelines to </w:t>
            </w:r>
            <w:r w:rsidRPr="00236907">
              <w:t>explain how an authorised person may determine that grounds for making a</w:t>
            </w:r>
            <w:r w:rsidR="00A54761" w:rsidRPr="00236907">
              <w:t xml:space="preserve"> subsequent</w:t>
            </w:r>
            <w:r w:rsidRPr="00236907">
              <w:t xml:space="preserve"> order exist where the person is already subject to an order which is restraining their behaviour. </w:t>
            </w:r>
          </w:p>
        </w:tc>
      </w:tr>
    </w:tbl>
    <w:p w14:paraId="6D2E37BD" w14:textId="77777777" w:rsidR="00390FCA" w:rsidRPr="00236907" w:rsidRDefault="00390FCA" w:rsidP="004E7945">
      <w:pPr>
        <w:pStyle w:val="BodyIndent1"/>
      </w:pPr>
    </w:p>
    <w:p w14:paraId="02098241" w14:textId="0B756190" w:rsidR="00E11898" w:rsidRPr="00236907" w:rsidRDefault="00407CC2" w:rsidP="00EA178B">
      <w:pPr>
        <w:pStyle w:val="Heading2"/>
      </w:pPr>
      <w:bookmarkStart w:id="28" w:name="_Toc210053627"/>
      <w:r w:rsidRPr="00236907">
        <w:t xml:space="preserve">Process for making </w:t>
      </w:r>
      <w:r w:rsidR="006B1C31" w:rsidRPr="00236907">
        <w:t xml:space="preserve">ongoing </w:t>
      </w:r>
      <w:r w:rsidRPr="00236907">
        <w:t>orders</w:t>
      </w:r>
      <w:bookmarkEnd w:id="28"/>
    </w:p>
    <w:p w14:paraId="334A07C0" w14:textId="26F187DF" w:rsidR="00775E61" w:rsidRPr="00236907" w:rsidRDefault="006A70CE" w:rsidP="00B91D66">
      <w:pPr>
        <w:pStyle w:val="BodyIndent1"/>
      </w:pPr>
      <w:r w:rsidRPr="00236907">
        <w:t xml:space="preserve">School and Department stakeholders consistently raised concerns about the procedural requirements for making an order. </w:t>
      </w:r>
      <w:r w:rsidR="00EC6D9F" w:rsidRPr="00236907">
        <w:t>T</w:t>
      </w:r>
      <w:r w:rsidR="00D82E05" w:rsidRPr="00236907">
        <w:t>he main cause of this concern appeared to be the requirement</w:t>
      </w:r>
      <w:r w:rsidR="00EC6D9F" w:rsidRPr="00236907">
        <w:t xml:space="preserve">, prior to imposing an ongoing order, to </w:t>
      </w:r>
      <w:r w:rsidR="00D82E05" w:rsidRPr="00236907">
        <w:t>provide a draft</w:t>
      </w:r>
      <w:r w:rsidR="00293888" w:rsidRPr="00236907">
        <w:t xml:space="preserve"> ongoing</w:t>
      </w:r>
      <w:r w:rsidR="00D82E05" w:rsidRPr="00236907">
        <w:t xml:space="preserve"> order to the </w:t>
      </w:r>
      <w:r w:rsidR="00D82E05" w:rsidRPr="00236907">
        <w:lastRenderedPageBreak/>
        <w:t xml:space="preserve">person to </w:t>
      </w:r>
      <w:r w:rsidR="00AD5C77" w:rsidRPr="00236907">
        <w:t xml:space="preserve">make submissions </w:t>
      </w:r>
      <w:r w:rsidR="00EC6D9F" w:rsidRPr="00236907">
        <w:t>on</w:t>
      </w:r>
      <w:r w:rsidR="00D82E05" w:rsidRPr="00236907">
        <w:t>.</w:t>
      </w:r>
      <w:r w:rsidR="009A54EB" w:rsidRPr="00236907">
        <w:rPr>
          <w:rStyle w:val="FootnoteReference"/>
        </w:rPr>
        <w:footnoteReference w:id="57"/>
      </w:r>
      <w:r w:rsidR="00B91D66" w:rsidRPr="00236907">
        <w:t xml:space="preserve"> </w:t>
      </w:r>
      <w:r w:rsidR="00EC6D9F" w:rsidRPr="00236907">
        <w:t>This requirement is intended to ensure the person to be subject to the order is given procedural fairness. However, from</w:t>
      </w:r>
      <w:r w:rsidR="00B91D66" w:rsidRPr="00236907">
        <w:t xml:space="preserve"> </w:t>
      </w:r>
      <w:r w:rsidR="00EC6D9F" w:rsidRPr="00236907">
        <w:t>the stakeholder feedback,</w:t>
      </w:r>
      <w:r w:rsidR="00B91D66" w:rsidRPr="00236907">
        <w:t xml:space="preserve"> it is unclear how effective it is in practice</w:t>
      </w:r>
      <w:r w:rsidR="00314E5A">
        <w:t>:</w:t>
      </w:r>
    </w:p>
    <w:p w14:paraId="0528C22F" w14:textId="450A9871" w:rsidR="00B91D66" w:rsidRPr="00236907" w:rsidRDefault="00B91D66" w:rsidP="008A071C">
      <w:pPr>
        <w:pStyle w:val="BodyIndent1"/>
        <w:numPr>
          <w:ilvl w:val="0"/>
          <w:numId w:val="41"/>
        </w:numPr>
      </w:pPr>
      <w:r w:rsidRPr="00236907">
        <w:t xml:space="preserve">School principals advised that providing the person with an opportunity to respond encouraged high-conflict people to </w:t>
      </w:r>
      <w:proofErr w:type="gramStart"/>
      <w:r w:rsidRPr="00236907">
        <w:t>enter into</w:t>
      </w:r>
      <w:proofErr w:type="gramEnd"/>
      <w:r w:rsidRPr="00236907">
        <w:t xml:space="preserve"> a type of legal process with the principal, escalating their behaviour. </w:t>
      </w:r>
    </w:p>
    <w:p w14:paraId="1FD95D9D" w14:textId="3014D90C" w:rsidR="005E64BC" w:rsidRPr="00236907" w:rsidRDefault="005E64BC" w:rsidP="008A071C">
      <w:pPr>
        <w:pStyle w:val="BodyIndent1"/>
        <w:numPr>
          <w:ilvl w:val="0"/>
          <w:numId w:val="41"/>
        </w:numPr>
      </w:pPr>
      <w:r w:rsidRPr="00236907">
        <w:t>School principals were forced to engage multiple times with individuals who could be hostile or even violent.</w:t>
      </w:r>
    </w:p>
    <w:p w14:paraId="250EC2B0" w14:textId="59D794A4" w:rsidR="005E64BC" w:rsidRPr="00236907" w:rsidRDefault="005E64BC" w:rsidP="008A071C">
      <w:pPr>
        <w:pStyle w:val="BodyIndent1"/>
        <w:numPr>
          <w:ilvl w:val="0"/>
          <w:numId w:val="41"/>
        </w:numPr>
      </w:pPr>
      <w:r w:rsidRPr="00236907">
        <w:t>Parents Victoria advised that parents who were presented with a draft order could feel that they were being prosecuted by the school, and the relationship with the school had usually already broken down by this point. As such, the additional step did not seem to provide assurance to individuals subject to the order.</w:t>
      </w:r>
    </w:p>
    <w:p w14:paraId="02A99533" w14:textId="7CFB0B1A" w:rsidR="00362422" w:rsidRPr="00236907" w:rsidRDefault="00031EEA" w:rsidP="00E47A03">
      <w:pPr>
        <w:pStyle w:val="BodyIndent1"/>
      </w:pPr>
      <w:r w:rsidRPr="00236907">
        <w:t xml:space="preserve">We </w:t>
      </w:r>
      <w:proofErr w:type="gramStart"/>
      <w:r w:rsidRPr="00236907">
        <w:t>gave consideration to</w:t>
      </w:r>
      <w:proofErr w:type="gramEnd"/>
      <w:r w:rsidR="00AD5C77" w:rsidRPr="00236907">
        <w:t xml:space="preserve"> whether there is flexibility to provide ‘less’ procedural fairness to a person to be subject to an ongoing order while still complying with the statutory procedure. However, t</w:t>
      </w:r>
      <w:r w:rsidR="00362422" w:rsidRPr="00236907">
        <w:t xml:space="preserve">he </w:t>
      </w:r>
      <w:r w:rsidR="00AD5C77" w:rsidRPr="00236907">
        <w:t xml:space="preserve">right </w:t>
      </w:r>
      <w:r w:rsidR="00362422" w:rsidRPr="00236907">
        <w:t xml:space="preserve">to </w:t>
      </w:r>
      <w:r w:rsidR="00AD5C77" w:rsidRPr="00236907">
        <w:t xml:space="preserve">receive </w:t>
      </w:r>
      <w:r w:rsidR="00362422" w:rsidRPr="00236907">
        <w:t xml:space="preserve">notice and </w:t>
      </w:r>
      <w:r w:rsidR="00AD5C77" w:rsidRPr="00236907">
        <w:t xml:space="preserve">make submissions on a proposed </w:t>
      </w:r>
      <w:r w:rsidR="00362422" w:rsidRPr="00236907">
        <w:t>ongoing order is express</w:t>
      </w:r>
      <w:r w:rsidR="00AD5C77" w:rsidRPr="00236907">
        <w:t>ly guaranteed in the ETR Act</w:t>
      </w:r>
      <w:r w:rsidR="00362422" w:rsidRPr="00236907">
        <w:t xml:space="preserve">. There is little flexibility for authorised persons to do any less; compliance with this requirement </w:t>
      </w:r>
      <w:r w:rsidR="000A2022" w:rsidRPr="00236907">
        <w:t>will constitute</w:t>
      </w:r>
      <w:r w:rsidR="00362422" w:rsidRPr="00236907">
        <w:t xml:space="preserve"> minimum compliance with procedural fairness</w:t>
      </w:r>
      <w:r w:rsidR="000A2022" w:rsidRPr="00236907">
        <w:t xml:space="preserve"> in any </w:t>
      </w:r>
      <w:r w:rsidR="00EC6D9F" w:rsidRPr="00236907">
        <w:t>c</w:t>
      </w:r>
      <w:r w:rsidR="008C1A8B" w:rsidRPr="00236907">
        <w:t>ircumstance</w:t>
      </w:r>
      <w:r w:rsidR="00362422" w:rsidRPr="00236907">
        <w:t xml:space="preserve">. The only scope for minimising the </w:t>
      </w:r>
      <w:r w:rsidR="00281731" w:rsidRPr="00236907">
        <w:t xml:space="preserve">procedural fairness </w:t>
      </w:r>
      <w:r w:rsidR="00362422" w:rsidRPr="00236907">
        <w:t xml:space="preserve">burden on authorised persons would be to interpret s 2.1A.21 to allow only a singular set of submissions, rather than multiple sets of submissions. </w:t>
      </w:r>
      <w:r w:rsidR="00AD5C77" w:rsidRPr="00236907">
        <w:t>T</w:t>
      </w:r>
      <w:r w:rsidR="00362422" w:rsidRPr="00236907">
        <w:t>his might present minimal benefit in practice</w:t>
      </w:r>
      <w:r w:rsidR="006A1DA8" w:rsidRPr="00236907">
        <w:t xml:space="preserve"> and come with unintended consequences, such as removing the ability to clarify or correct submissions. As such, this is not a useful mechanism for minimising </w:t>
      </w:r>
      <w:r w:rsidR="00314E5A">
        <w:t xml:space="preserve">the </w:t>
      </w:r>
      <w:r w:rsidR="006A1DA8" w:rsidRPr="00236907">
        <w:t>procedural fairness burden</w:t>
      </w:r>
      <w:r w:rsidR="00362422" w:rsidRPr="00236907">
        <w:t>.</w:t>
      </w:r>
    </w:p>
    <w:p w14:paraId="44C00B07" w14:textId="41124A67" w:rsidR="006A0EAC" w:rsidRPr="00236907" w:rsidRDefault="00281731" w:rsidP="00E47A03">
      <w:pPr>
        <w:pStyle w:val="BodyIndent1"/>
      </w:pPr>
      <w:r w:rsidRPr="00236907">
        <w:t xml:space="preserve">If authorised persons are to be permitted to do less in relation to their procedural fairness obligations in making an ongoing order, then legislative change would be required. </w:t>
      </w:r>
      <w:r w:rsidR="0048361B" w:rsidRPr="00236907">
        <w:t>In</w:t>
      </w:r>
      <w:r w:rsidR="004612E2" w:rsidRPr="00236907">
        <w:t xml:space="preserve"> considering any </w:t>
      </w:r>
      <w:r w:rsidR="0048361B" w:rsidRPr="00236907">
        <w:t>proposed legislative changes to the notice requirement to address the above concerns</w:t>
      </w:r>
      <w:r w:rsidR="004612E2" w:rsidRPr="00236907">
        <w:t>,</w:t>
      </w:r>
      <w:r w:rsidRPr="00236907">
        <w:t xml:space="preserve"> it is necessary to consider</w:t>
      </w:r>
      <w:r w:rsidR="004612E2" w:rsidRPr="00236907">
        <w:t xml:space="preserve"> </w:t>
      </w:r>
      <w:r w:rsidRPr="00236907">
        <w:t xml:space="preserve">what requirements are imposed by </w:t>
      </w:r>
      <w:r w:rsidR="004612E2" w:rsidRPr="00236907">
        <w:t xml:space="preserve">common law </w:t>
      </w:r>
      <w:r w:rsidRPr="00236907">
        <w:t xml:space="preserve">principles </w:t>
      </w:r>
      <w:r w:rsidR="004612E2" w:rsidRPr="00236907">
        <w:t xml:space="preserve">of procedural fairness. </w:t>
      </w:r>
    </w:p>
    <w:p w14:paraId="567EBEFB" w14:textId="247A4E0B" w:rsidR="006A0EAC" w:rsidRPr="00236907" w:rsidRDefault="006A0EAC" w:rsidP="00874E52">
      <w:pPr>
        <w:pStyle w:val="Heading3"/>
        <w:spacing w:line="276" w:lineRule="auto"/>
        <w:rPr>
          <w:b/>
          <w:bCs/>
          <w:i/>
          <w:iCs/>
        </w:rPr>
      </w:pPr>
      <w:r w:rsidRPr="00236907">
        <w:rPr>
          <w:b/>
          <w:bCs/>
          <w:i/>
          <w:iCs/>
        </w:rPr>
        <w:t>Principles of procedural fairness</w:t>
      </w:r>
    </w:p>
    <w:p w14:paraId="52F3BDED" w14:textId="59B6D7B9" w:rsidR="00E47A03" w:rsidRPr="00236907" w:rsidRDefault="00E47A03" w:rsidP="00E47A03">
      <w:pPr>
        <w:pStyle w:val="BodyIndent1"/>
      </w:pPr>
      <w:r w:rsidRPr="00236907">
        <w:t>The principles of procedural fairness arise by way of an accepted common law presumption that Parliament, when it confers powers on administrative decision-makers capable of impacting individual interests, intends that those powers be exercised consistently with natural justice.</w:t>
      </w:r>
      <w:r w:rsidRPr="00236907">
        <w:rPr>
          <w:vertAlign w:val="superscript"/>
        </w:rPr>
        <w:footnoteReference w:id="58"/>
      </w:r>
      <w:r w:rsidRPr="00236907">
        <w:t xml:space="preserve"> </w:t>
      </w:r>
    </w:p>
    <w:p w14:paraId="6BCA1A6A" w14:textId="66DB9307" w:rsidR="00E47A03" w:rsidRPr="00236907" w:rsidRDefault="00E47A03" w:rsidP="00E47A03">
      <w:pPr>
        <w:pStyle w:val="BodyIndent1"/>
      </w:pPr>
      <w:r w:rsidRPr="00236907">
        <w:t xml:space="preserve">The presumption of procedural fairness only arises in relation to powers that </w:t>
      </w:r>
      <w:proofErr w:type="gramStart"/>
      <w:r w:rsidR="00354689" w:rsidRPr="00236907">
        <w:t>are</w:t>
      </w:r>
      <w:r w:rsidRPr="00236907">
        <w:t xml:space="preserve"> capable of impacting</w:t>
      </w:r>
      <w:proofErr w:type="gramEnd"/>
      <w:r w:rsidRPr="00236907">
        <w:t xml:space="preserve"> an individual’s interests. </w:t>
      </w:r>
      <w:r w:rsidR="001142AD" w:rsidRPr="00236907">
        <w:t>A</w:t>
      </w:r>
      <w:r w:rsidRPr="00236907">
        <w:t>n SCSO imposes limitation</w:t>
      </w:r>
      <w:r w:rsidR="00BA2478" w:rsidRPr="00236907">
        <w:t>s</w:t>
      </w:r>
      <w:r w:rsidRPr="00236907">
        <w:t xml:space="preserve"> on </w:t>
      </w:r>
      <w:r w:rsidR="001142AD" w:rsidRPr="00236907">
        <w:t>a person’s</w:t>
      </w:r>
      <w:r w:rsidR="00883402" w:rsidRPr="00236907">
        <w:t xml:space="preserve"> rights, such as</w:t>
      </w:r>
      <w:r w:rsidRPr="00236907">
        <w:t xml:space="preserve"> freedom of movement </w:t>
      </w:r>
      <w:r w:rsidR="001142AD" w:rsidRPr="00236907">
        <w:t>and communication</w:t>
      </w:r>
      <w:r w:rsidR="00F051DE" w:rsidRPr="00236907">
        <w:t xml:space="preserve">, the right </w:t>
      </w:r>
      <w:r w:rsidR="00883402" w:rsidRPr="00236907">
        <w:t>to privacy and equality, and the rights of families and children</w:t>
      </w:r>
      <w:r w:rsidR="001142AD" w:rsidRPr="00236907">
        <w:t xml:space="preserve">, </w:t>
      </w:r>
      <w:r w:rsidRPr="00236907">
        <w:t>with</w:t>
      </w:r>
      <w:r w:rsidR="001142AD" w:rsidRPr="00236907">
        <w:t xml:space="preserve"> the</w:t>
      </w:r>
      <w:r w:rsidRPr="00236907">
        <w:t xml:space="preserve"> threat of penalties. While relatively innocuous in the context of other types of intervention orders, it is a coercive instrument that is sufficiently capable of impacting a person’s interests to invoke the presumption of procedural fairness.</w:t>
      </w:r>
      <w:r w:rsidR="00492295" w:rsidRPr="00236907">
        <w:t xml:space="preserve"> Therefore, we have considered if any proposed changes to the Scheme provide sufficient procedural fairness to justify the </w:t>
      </w:r>
      <w:r w:rsidR="006F3CCA" w:rsidRPr="00236907">
        <w:t>limitations</w:t>
      </w:r>
      <w:r w:rsidR="00492295" w:rsidRPr="00236907">
        <w:t xml:space="preserve"> of an individual’s Charter rights.</w:t>
      </w:r>
    </w:p>
    <w:p w14:paraId="4364553C" w14:textId="43F504A7" w:rsidR="00E47A03" w:rsidRPr="00236907" w:rsidRDefault="00E47A03" w:rsidP="00E47A03">
      <w:pPr>
        <w:pStyle w:val="BodyIndent1"/>
      </w:pPr>
      <w:r w:rsidRPr="00236907">
        <w:t xml:space="preserve">The content of the requirements of procedural fairness will depend on the circumstances of the case, </w:t>
      </w:r>
      <w:r w:rsidR="00354689" w:rsidRPr="00236907">
        <w:t xml:space="preserve">but </w:t>
      </w:r>
      <w:r w:rsidRPr="00236907">
        <w:t>two essential rules invariably underpin the requirements:</w:t>
      </w:r>
    </w:p>
    <w:p w14:paraId="7B26BB08" w14:textId="5CA935F5" w:rsidR="00E47A03" w:rsidRPr="00236907" w:rsidRDefault="00E47A03" w:rsidP="008A071C">
      <w:pPr>
        <w:pStyle w:val="BodyIndent1"/>
        <w:numPr>
          <w:ilvl w:val="0"/>
          <w:numId w:val="41"/>
        </w:numPr>
      </w:pPr>
      <w:r w:rsidRPr="00236907">
        <w:t>The person impacted should have a reasonabl</w:t>
      </w:r>
      <w:r w:rsidR="00BF67BD" w:rsidRPr="00236907">
        <w:t>e</w:t>
      </w:r>
      <w:r w:rsidRPr="00236907">
        <w:t xml:space="preserve"> opportunity </w:t>
      </w:r>
      <w:r w:rsidR="00C85993" w:rsidRPr="00236907">
        <w:t xml:space="preserve">to present </w:t>
      </w:r>
      <w:r w:rsidRPr="00236907">
        <w:t>their case before the decision is made (</w:t>
      </w:r>
      <w:r w:rsidRPr="00236907">
        <w:rPr>
          <w:b/>
          <w:bCs/>
        </w:rPr>
        <w:t>hearing rule</w:t>
      </w:r>
      <w:r w:rsidRPr="00236907">
        <w:t>); and</w:t>
      </w:r>
    </w:p>
    <w:p w14:paraId="17E212C0" w14:textId="77777777" w:rsidR="00E47A03" w:rsidRPr="00236907" w:rsidRDefault="00E47A03" w:rsidP="008A071C">
      <w:pPr>
        <w:pStyle w:val="BodyIndent1"/>
        <w:numPr>
          <w:ilvl w:val="0"/>
          <w:numId w:val="41"/>
        </w:numPr>
      </w:pPr>
      <w:r w:rsidRPr="00236907">
        <w:lastRenderedPageBreak/>
        <w:t>The person impacted is entitled to an unbiased decision-maker (</w:t>
      </w:r>
      <w:r w:rsidRPr="00236907">
        <w:rPr>
          <w:b/>
          <w:bCs/>
        </w:rPr>
        <w:t>bias rule</w:t>
      </w:r>
      <w:r w:rsidRPr="00236907">
        <w:t>).</w:t>
      </w:r>
    </w:p>
    <w:p w14:paraId="56F61881" w14:textId="6C3B6B3C" w:rsidR="00E47A03" w:rsidRPr="00236907" w:rsidRDefault="00E47A03" w:rsidP="00E47A03">
      <w:pPr>
        <w:pStyle w:val="BodyIndent1"/>
      </w:pPr>
      <w:r w:rsidRPr="00236907">
        <w:t>Given common law principles of procedural fairness apply by way of implication</w:t>
      </w:r>
      <w:r w:rsidR="00281731" w:rsidRPr="00236907">
        <w:t xml:space="preserve"> in the terms of the statute</w:t>
      </w:r>
      <w:r w:rsidRPr="00236907">
        <w:t>, they can be displaced by suitably clear terms to the contrary.</w:t>
      </w:r>
    </w:p>
    <w:p w14:paraId="3A16F504" w14:textId="77777777" w:rsidR="00E47A03" w:rsidRPr="00236907" w:rsidRDefault="00E47A03" w:rsidP="00E47A03">
      <w:pPr>
        <w:pStyle w:val="BodyIndent1"/>
      </w:pPr>
      <w:r w:rsidRPr="00236907">
        <w:t>What role the common law plays in determining the content of procedural fairness is complicated in circumstances where the power in question is given an express statutory procedure. Normally, where a statute is express in relation to a matter, it excludes the possibility that Parliament can be presumed to intend, or taken to have impliedly intended, anything in relation to that matter. However, even where procedural fairness is provided for expressly in a statute, clear words are required to manifest an intention to displace any scope for the common law principles of procedural fairness to apply.</w:t>
      </w:r>
      <w:r w:rsidRPr="00236907">
        <w:rPr>
          <w:vertAlign w:val="superscript"/>
        </w:rPr>
        <w:footnoteReference w:id="59"/>
      </w:r>
      <w:r w:rsidRPr="00236907">
        <w:t xml:space="preserve"> It remains a question of interpretation of the relevant statute whether it intends to provide an exhaustive code of procedural fairness, or rather that the common law may supplement the express provisions. </w:t>
      </w:r>
    </w:p>
    <w:p w14:paraId="1DC2605D" w14:textId="1DCFE4F6" w:rsidR="00E47A03" w:rsidRPr="00236907" w:rsidRDefault="00E47A03" w:rsidP="00E47A03">
      <w:pPr>
        <w:pStyle w:val="BodyIndent1"/>
      </w:pPr>
      <w:r w:rsidRPr="00236907">
        <w:t xml:space="preserve">These principles were articulated by Brennan J in </w:t>
      </w:r>
      <w:r w:rsidRPr="00236907">
        <w:rPr>
          <w:i/>
          <w:iCs/>
        </w:rPr>
        <w:t>Kioa v West</w:t>
      </w:r>
      <w:r w:rsidRPr="00236907">
        <w:t>:</w:t>
      </w:r>
    </w:p>
    <w:p w14:paraId="44F79552" w14:textId="3E17631C" w:rsidR="00E47A03" w:rsidRPr="00236907" w:rsidRDefault="00E47A03" w:rsidP="001142AD">
      <w:pPr>
        <w:pStyle w:val="BodyIndent1"/>
        <w:ind w:left="1702"/>
        <w:rPr>
          <w:i/>
          <w:iCs/>
        </w:rPr>
      </w:pPr>
      <w:r w:rsidRPr="00236907">
        <w:rPr>
          <w:i/>
          <w:iCs/>
        </w:rPr>
        <w:t>To ascertain what must be done to comply with the principles of natural justice in a particular case, the starting point is the statute creating the power. By construing the statute, one ascertains not only whether the power is conditioned on observance of the principles of natural justice but also whether there are any special procedural steps which, being prescribed by statute, extend or restrict what the principles of natural justice would otherwise require.</w:t>
      </w:r>
      <w:r w:rsidR="00942534" w:rsidRPr="00236907">
        <w:rPr>
          <w:vertAlign w:val="superscript"/>
        </w:rPr>
        <w:footnoteReference w:id="60"/>
      </w:r>
    </w:p>
    <w:p w14:paraId="692833D8" w14:textId="1D4CE288" w:rsidR="00E47A03" w:rsidRPr="00236907" w:rsidRDefault="00E47A03" w:rsidP="00E47A03">
      <w:pPr>
        <w:pStyle w:val="BodyIndent1"/>
      </w:pPr>
      <w:r w:rsidRPr="00236907">
        <w:t xml:space="preserve">and in </w:t>
      </w:r>
      <w:r w:rsidRPr="00236907">
        <w:rPr>
          <w:i/>
          <w:iCs/>
        </w:rPr>
        <w:t>Annetts v McCann</w:t>
      </w:r>
      <w:r w:rsidRPr="00236907">
        <w:t>:</w:t>
      </w:r>
    </w:p>
    <w:p w14:paraId="4659C321" w14:textId="773B33CC" w:rsidR="00E47A03" w:rsidRPr="00236907" w:rsidRDefault="00E47A03" w:rsidP="00CF79A4">
      <w:pPr>
        <w:pStyle w:val="BodyIndent1"/>
        <w:ind w:left="1702"/>
        <w:rPr>
          <w:i/>
          <w:iCs/>
        </w:rPr>
      </w:pPr>
      <w:r w:rsidRPr="00236907">
        <w:rPr>
          <w:i/>
          <w:iCs/>
        </w:rPr>
        <w:t>The relevant law must be found in the statutory provisions which create the power and confer it on the repository, though the terms of the statute may be expanded by the implication of conditions supplied by the common law.</w:t>
      </w:r>
      <w:r w:rsidR="00ED4C74" w:rsidRPr="00236907">
        <w:rPr>
          <w:vertAlign w:val="superscript"/>
        </w:rPr>
        <w:footnoteReference w:id="61"/>
      </w:r>
    </w:p>
    <w:p w14:paraId="39E9AC1B" w14:textId="70F6E060" w:rsidR="00281731" w:rsidRPr="00236907" w:rsidRDefault="00281731" w:rsidP="00281731">
      <w:pPr>
        <w:pStyle w:val="BodyIndent1"/>
      </w:pPr>
      <w:r w:rsidRPr="00236907">
        <w:t>Part 2.1A of the ETR Act contains no express statement to the effect that the procedural requirements for imposing an SCSO are intended to be an exhaustive code of procedural fairness, or that any common law rules of natural justice are not to apply. While Part 2.1A is a statutory expression of procedural fairness requirements, common law principles of procedural fairness may expand, or give content to, the statutory provisions</w:t>
      </w:r>
      <w:r w:rsidR="008C1A8B" w:rsidRPr="00236907">
        <w:t>, in different cases</w:t>
      </w:r>
      <w:r w:rsidRPr="00236907">
        <w:t xml:space="preserve">. Therefore, in considering legislative change, it is necessary to maintain awareness of how common law procedural fairness may play a </w:t>
      </w:r>
      <w:proofErr w:type="gramStart"/>
      <w:r w:rsidRPr="00236907">
        <w:t>role, and</w:t>
      </w:r>
      <w:proofErr w:type="gramEnd"/>
      <w:r w:rsidRPr="00236907">
        <w:t xml:space="preserve"> adapt drafting accordingly.</w:t>
      </w:r>
    </w:p>
    <w:p w14:paraId="726F665E" w14:textId="0A1CA5B1" w:rsidR="00BA1D3E" w:rsidRPr="00236907" w:rsidRDefault="00BA1D3E" w:rsidP="00281731">
      <w:pPr>
        <w:pStyle w:val="BodyIndent1"/>
        <w:rPr>
          <w:b/>
          <w:bCs/>
          <w:i/>
          <w:iCs/>
        </w:rPr>
      </w:pPr>
      <w:r w:rsidRPr="00236907">
        <w:t xml:space="preserve">If the requirement to give notice and invite submissions were simply removed, then it is likely that common law procedural fairness would substitute the requirement. Statutory drafting would be required to effectively remove the requirement. </w:t>
      </w:r>
      <w:proofErr w:type="gramStart"/>
      <w:r w:rsidRPr="00236907">
        <w:t>A number of</w:t>
      </w:r>
      <w:proofErr w:type="gramEnd"/>
      <w:r w:rsidRPr="00236907">
        <w:t xml:space="preserve"> options are available, each of which may carry different reputational or strategic implications that inform the Department’s preference.</w:t>
      </w:r>
    </w:p>
    <w:p w14:paraId="116075BF" w14:textId="77777777" w:rsidR="000F21A8" w:rsidRDefault="000F21A8">
      <w:pPr>
        <w:rPr>
          <w:b/>
          <w:bCs/>
          <w:i/>
          <w:iCs/>
        </w:rPr>
      </w:pPr>
      <w:r>
        <w:rPr>
          <w:b/>
          <w:bCs/>
          <w:i/>
          <w:iCs/>
        </w:rPr>
        <w:br w:type="page"/>
      </w:r>
    </w:p>
    <w:p w14:paraId="3D55BBBA" w14:textId="4CAFDA8F" w:rsidR="00F60CF1" w:rsidRPr="00236907" w:rsidRDefault="00E80596" w:rsidP="00AD5C77">
      <w:pPr>
        <w:pStyle w:val="Heading3"/>
        <w:spacing w:line="276" w:lineRule="auto"/>
        <w:rPr>
          <w:b/>
          <w:bCs/>
        </w:rPr>
      </w:pPr>
      <w:r w:rsidRPr="00236907">
        <w:rPr>
          <w:b/>
          <w:bCs/>
          <w:i/>
          <w:iCs/>
        </w:rPr>
        <w:lastRenderedPageBreak/>
        <w:t>Options to amend process</w:t>
      </w:r>
    </w:p>
    <w:p w14:paraId="52A18BE1" w14:textId="186C9839" w:rsidR="00FD4267" w:rsidRPr="00236907" w:rsidRDefault="00DC0D4C" w:rsidP="00932C61">
      <w:pPr>
        <w:pStyle w:val="Numpara3"/>
        <w:numPr>
          <w:ilvl w:val="0"/>
          <w:numId w:val="0"/>
        </w:numPr>
        <w:ind w:left="851"/>
      </w:pPr>
      <w:r w:rsidRPr="00236907">
        <w:t xml:space="preserve">We have considered the advantages and disadvantages of removing the requirement </w:t>
      </w:r>
      <w:r w:rsidR="0035547A" w:rsidRPr="00236907">
        <w:t xml:space="preserve">for the authorised person to seek submissions from an individual before making an order in respect to them. </w:t>
      </w:r>
      <w:r w:rsidR="00FD4267" w:rsidRPr="00236907">
        <w:t>The advantages are:</w:t>
      </w:r>
    </w:p>
    <w:p w14:paraId="392F6E34" w14:textId="7A2380BD" w:rsidR="00662D04" w:rsidRPr="00236907" w:rsidRDefault="001C70A2" w:rsidP="001618CA">
      <w:pPr>
        <w:pStyle w:val="Numpara3"/>
        <w:numPr>
          <w:ilvl w:val="0"/>
          <w:numId w:val="55"/>
        </w:numPr>
      </w:pPr>
      <w:r w:rsidRPr="00236907">
        <w:t>the wellbeing of staff would be better</w:t>
      </w:r>
      <w:r w:rsidR="006959AB" w:rsidRPr="00236907">
        <w:t xml:space="preserve"> </w:t>
      </w:r>
      <w:r w:rsidRPr="00236907">
        <w:t>protected;</w:t>
      </w:r>
      <w:r w:rsidR="00842107" w:rsidRPr="00236907">
        <w:t xml:space="preserve"> and</w:t>
      </w:r>
    </w:p>
    <w:p w14:paraId="6DDF589A" w14:textId="77BC616F" w:rsidR="00B216AA" w:rsidRPr="00236907" w:rsidRDefault="001C70A2" w:rsidP="001618CA">
      <w:pPr>
        <w:pStyle w:val="Numpara3"/>
        <w:numPr>
          <w:ilvl w:val="0"/>
          <w:numId w:val="55"/>
        </w:numPr>
      </w:pPr>
      <w:r w:rsidRPr="00236907">
        <w:t>the process for making an ongoing order would be consistent with the process for making a TWN</w:t>
      </w:r>
      <w:r w:rsidR="00B216AA" w:rsidRPr="00236907">
        <w:t>, meaning that authorised persons would be less</w:t>
      </w:r>
      <w:r w:rsidR="006959AB" w:rsidRPr="00236907">
        <w:t xml:space="preserve"> </w:t>
      </w:r>
      <w:r w:rsidR="00B216AA" w:rsidRPr="00236907">
        <w:t xml:space="preserve">likely to default </w:t>
      </w:r>
      <w:proofErr w:type="gramStart"/>
      <w:r w:rsidR="00B216AA" w:rsidRPr="00236907">
        <w:t>to making</w:t>
      </w:r>
      <w:proofErr w:type="gramEnd"/>
      <w:r w:rsidR="00B216AA" w:rsidRPr="00236907">
        <w:t xml:space="preserve"> a TWN over an ongoing order purely for administrative simplicity</w:t>
      </w:r>
      <w:r w:rsidR="00842107" w:rsidRPr="00236907">
        <w:t>.</w:t>
      </w:r>
    </w:p>
    <w:p w14:paraId="1ABAE123" w14:textId="77777777" w:rsidR="00662D04" w:rsidRPr="00236907" w:rsidRDefault="00FD4267" w:rsidP="00932C61">
      <w:pPr>
        <w:pStyle w:val="Numpara3"/>
        <w:numPr>
          <w:ilvl w:val="0"/>
          <w:numId w:val="0"/>
        </w:numPr>
        <w:ind w:left="851"/>
      </w:pPr>
      <w:r w:rsidRPr="00236907">
        <w:t>The disadvantages are:</w:t>
      </w:r>
    </w:p>
    <w:p w14:paraId="1CC38C8C" w14:textId="1148E1A8" w:rsidR="009B35BD" w:rsidRPr="00236907" w:rsidRDefault="00D41DE3" w:rsidP="001618CA">
      <w:pPr>
        <w:pStyle w:val="Numpara3"/>
        <w:numPr>
          <w:ilvl w:val="0"/>
          <w:numId w:val="56"/>
        </w:numPr>
      </w:pPr>
      <w:r w:rsidRPr="00236907">
        <w:t>t</w:t>
      </w:r>
      <w:r w:rsidR="00BA7A9C" w:rsidRPr="00236907">
        <w:t>he Department would take on legal and reputational risk, as the right to a hearing would be removed altogether</w:t>
      </w:r>
      <w:r w:rsidR="008B1B01" w:rsidRPr="00236907">
        <w:t>;</w:t>
      </w:r>
      <w:r w:rsidR="009B35BD" w:rsidRPr="00236907">
        <w:t xml:space="preserve"> and</w:t>
      </w:r>
    </w:p>
    <w:p w14:paraId="09D4E26A" w14:textId="5B60A35F" w:rsidR="008E2316" w:rsidRPr="00236907" w:rsidRDefault="00D41DE3" w:rsidP="001618CA">
      <w:pPr>
        <w:pStyle w:val="Numpara3"/>
        <w:numPr>
          <w:ilvl w:val="0"/>
          <w:numId w:val="56"/>
        </w:numPr>
      </w:pPr>
      <w:r w:rsidRPr="00236907">
        <w:t>t</w:t>
      </w:r>
      <w:r w:rsidR="00662D04" w:rsidRPr="00236907">
        <w:t>here would be a greater risk of orders being overturned in internal or external review, as people subject to orders may argue that they were not given any warning or a chance to respond</w:t>
      </w:r>
      <w:r w:rsidR="00751DD5" w:rsidRPr="00236907">
        <w:t>.</w:t>
      </w:r>
    </w:p>
    <w:p w14:paraId="5E76EFFC" w14:textId="4F9438BA" w:rsidR="00751DD5" w:rsidRPr="00236907" w:rsidRDefault="0082652D" w:rsidP="00932C61">
      <w:pPr>
        <w:pStyle w:val="Numpara3"/>
        <w:numPr>
          <w:ilvl w:val="0"/>
          <w:numId w:val="0"/>
        </w:numPr>
        <w:ind w:left="851"/>
      </w:pPr>
      <w:proofErr w:type="gramStart"/>
      <w:r w:rsidRPr="00236907">
        <w:t>In order to</w:t>
      </w:r>
      <w:proofErr w:type="gramEnd"/>
      <w:r w:rsidRPr="00236907">
        <w:t xml:space="preserve"> better-manage the risks with removing the right to make submissions entirely, we propose these two measures:</w:t>
      </w:r>
    </w:p>
    <w:p w14:paraId="48097B87" w14:textId="10F2C54E" w:rsidR="00B06535" w:rsidRPr="00236907" w:rsidRDefault="00DC79EE" w:rsidP="001618CA">
      <w:pPr>
        <w:pStyle w:val="Numpara3"/>
        <w:numPr>
          <w:ilvl w:val="0"/>
          <w:numId w:val="56"/>
        </w:numPr>
      </w:pPr>
      <w:r w:rsidRPr="00236907">
        <w:t>T</w:t>
      </w:r>
      <w:r w:rsidR="006E59B3" w:rsidRPr="00236907">
        <w:t xml:space="preserve">he authorised </w:t>
      </w:r>
      <w:r w:rsidR="009545DE" w:rsidRPr="00236907">
        <w:t>person</w:t>
      </w:r>
      <w:r w:rsidR="006E59B3" w:rsidRPr="00236907">
        <w:t xml:space="preserve"> has the option to seek submissions before making the order. </w:t>
      </w:r>
    </w:p>
    <w:p w14:paraId="6755FCBA" w14:textId="361B1536" w:rsidR="0082652D" w:rsidRPr="00236907" w:rsidRDefault="006E59B3" w:rsidP="001618CA">
      <w:pPr>
        <w:pStyle w:val="Numpara3"/>
        <w:numPr>
          <w:ilvl w:val="0"/>
          <w:numId w:val="56"/>
        </w:numPr>
      </w:pPr>
      <w:r w:rsidRPr="00236907">
        <w:t>If they choose not to seek submissions, then they need to justify their decision based on the circumstances. For example, the aggressive or threatening behaviour from the person. The ETR Act would need to be amended to confirm that an order is not invalid solely because the authorised person did not seek submissions.</w:t>
      </w:r>
    </w:p>
    <w:p w14:paraId="01357416" w14:textId="6F00616B" w:rsidR="00932C61" w:rsidRPr="00236907" w:rsidRDefault="0038529B" w:rsidP="003D150A">
      <w:pPr>
        <w:pStyle w:val="Numpara3"/>
        <w:numPr>
          <w:ilvl w:val="0"/>
          <w:numId w:val="0"/>
        </w:numPr>
        <w:ind w:left="851"/>
      </w:pPr>
      <w:r w:rsidRPr="00236907">
        <w:t>We have noted from interviews that it seems to be common practice for school principals to issue a warning letter to the person before issuing an order. This is not mandated by the ETR Act or the Ministerial Guidelines, however, the ETR Act requires an authorised person to consider less-restrictive ways to manage a person’s behaviour before issuing an order, and the Ministerial Guidelines suggest that a warning letter or email can be one of these methods.</w:t>
      </w:r>
      <w:r w:rsidRPr="00236907">
        <w:rPr>
          <w:rStyle w:val="FootnoteReference"/>
        </w:rPr>
        <w:footnoteReference w:id="62"/>
      </w:r>
      <w:r w:rsidRPr="00236907">
        <w:t xml:space="preserve"> A formal written warning could provide an additional safeguard, and make the decision to issue an order without seeking submissions more defensible. It could also provide a person with information on how to escalate their concerns with the Department, for example, to the dispute resolution function. This could remove some of the pressure placed on authorised </w:t>
      </w:r>
      <w:r w:rsidR="009545DE" w:rsidRPr="00236907">
        <w:t>persons</w:t>
      </w:r>
      <w:r w:rsidRPr="00236907">
        <w:t>.</w:t>
      </w:r>
      <w:r w:rsidR="003D150A" w:rsidRPr="00236907">
        <w:t xml:space="preserve"> The Department would need to be prepared to deal with escalation from the warning letter.</w:t>
      </w:r>
    </w:p>
    <w:p w14:paraId="29313D43" w14:textId="45BB774D" w:rsidR="00FE2980" w:rsidRPr="00236907" w:rsidRDefault="00FE2980" w:rsidP="003D150A">
      <w:pPr>
        <w:pStyle w:val="Numpara3"/>
        <w:numPr>
          <w:ilvl w:val="0"/>
          <w:numId w:val="0"/>
        </w:numPr>
        <w:ind w:left="851"/>
      </w:pPr>
      <w:r w:rsidRPr="00236907">
        <w:t xml:space="preserve">Additionally, the requirement to seek submissions could be retained but restricted. For example, by providing the person who is the subject of the order with fewer than 7 days to make </w:t>
      </w:r>
      <w:proofErr w:type="gramStart"/>
      <w:r w:rsidRPr="00236907">
        <w:t>submissions, or</w:t>
      </w:r>
      <w:proofErr w:type="gramEnd"/>
      <w:r w:rsidRPr="00236907">
        <w:t xml:space="preserve"> provide them with a “reasonable opportunity” to challenge the order after it is made.</w:t>
      </w:r>
      <w:r w:rsidR="00414BA6" w:rsidRPr="00236907">
        <w:t xml:space="preserve"> These are alternative options to recommendation 5.1.</w:t>
      </w:r>
    </w:p>
    <w:p w14:paraId="6DF5E40D" w14:textId="2BB39DB0" w:rsidR="00DA39DB" w:rsidRPr="00236907" w:rsidRDefault="007D29B6" w:rsidP="00DA39DB">
      <w:pPr>
        <w:pStyle w:val="Heading3"/>
        <w:spacing w:line="276" w:lineRule="auto"/>
        <w:rPr>
          <w:b/>
          <w:bCs/>
          <w:i/>
          <w:iCs/>
        </w:rPr>
      </w:pPr>
      <w:r w:rsidRPr="00236907">
        <w:rPr>
          <w:b/>
          <w:bCs/>
          <w:i/>
          <w:iCs/>
        </w:rPr>
        <w:t xml:space="preserve">Communication and access arrangements </w:t>
      </w:r>
    </w:p>
    <w:p w14:paraId="53D40EB7" w14:textId="71EA97C8" w:rsidR="00296487" w:rsidRPr="00236907" w:rsidRDefault="00296487" w:rsidP="00B91D66">
      <w:pPr>
        <w:pStyle w:val="BodyIndent1"/>
      </w:pPr>
      <w:r w:rsidRPr="00236907">
        <w:t xml:space="preserve">For procedural simplicity, it may also be possible to include communication and access arrangements in the order itself, removing the need for a separate plan or protocol. </w:t>
      </w:r>
      <w:r w:rsidR="004D4464" w:rsidRPr="00236907">
        <w:t>Some stakeholders advised that they were unclear if this needed to be a separate document, although the legislation does not state that they must be separate from the order.</w:t>
      </w:r>
    </w:p>
    <w:p w14:paraId="2ACA3D69" w14:textId="6B55B508" w:rsidR="00384AA8" w:rsidRDefault="00384AA8">
      <w:pPr>
        <w:rPr>
          <w:rFonts w:cs="Arial"/>
        </w:rPr>
      </w:pPr>
      <w:r>
        <w:br w:type="page"/>
      </w:r>
    </w:p>
    <w:tbl>
      <w:tblPr>
        <w:tblStyle w:val="MadTabPlumShade"/>
        <w:tblW w:w="5000" w:type="pct"/>
        <w:tblLook w:val="0620" w:firstRow="1" w:lastRow="0" w:firstColumn="0" w:lastColumn="0" w:noHBand="1" w:noVBand="1"/>
      </w:tblPr>
      <w:tblGrid>
        <w:gridCol w:w="686"/>
        <w:gridCol w:w="2552"/>
        <w:gridCol w:w="5786"/>
      </w:tblGrid>
      <w:tr w:rsidR="000342A8" w:rsidRPr="00236907" w14:paraId="5C487F4B" w14:textId="77777777" w:rsidTr="640D7DB9">
        <w:trPr>
          <w:cnfStyle w:val="100000000000" w:firstRow="1" w:lastRow="0" w:firstColumn="0" w:lastColumn="0" w:oddVBand="0" w:evenVBand="0" w:oddHBand="0" w:evenHBand="0" w:firstRowFirstColumn="0" w:firstRowLastColumn="0" w:lastRowFirstColumn="0" w:lastRowLastColumn="0"/>
        </w:trPr>
        <w:tc>
          <w:tcPr>
            <w:tcW w:w="380" w:type="pct"/>
          </w:tcPr>
          <w:p w14:paraId="18E0AD28" w14:textId="77777777" w:rsidR="000342A8" w:rsidRPr="00236907" w:rsidRDefault="000342A8">
            <w:r w:rsidRPr="00236907">
              <w:lastRenderedPageBreak/>
              <w:t>#</w:t>
            </w:r>
          </w:p>
        </w:tc>
        <w:tc>
          <w:tcPr>
            <w:tcW w:w="1414" w:type="pct"/>
          </w:tcPr>
          <w:p w14:paraId="7E5FA3E1" w14:textId="77777777" w:rsidR="000342A8" w:rsidRPr="00236907" w:rsidRDefault="000342A8">
            <w:r w:rsidRPr="00236907">
              <w:t>Provision</w:t>
            </w:r>
          </w:p>
        </w:tc>
        <w:tc>
          <w:tcPr>
            <w:tcW w:w="3206" w:type="pct"/>
          </w:tcPr>
          <w:p w14:paraId="361EF277" w14:textId="77777777" w:rsidR="000342A8" w:rsidRPr="00236907" w:rsidRDefault="000342A8">
            <w:r w:rsidRPr="00236907">
              <w:t>Recommendation</w:t>
            </w:r>
          </w:p>
        </w:tc>
      </w:tr>
      <w:tr w:rsidR="000342A8" w:rsidRPr="00236907" w14:paraId="204E1D76" w14:textId="77777777" w:rsidTr="640D7DB9">
        <w:tc>
          <w:tcPr>
            <w:tcW w:w="380" w:type="pct"/>
          </w:tcPr>
          <w:p w14:paraId="644845B2" w14:textId="2686F4B4" w:rsidR="000342A8" w:rsidRPr="00236907" w:rsidRDefault="00FA0612">
            <w:r w:rsidRPr="00236907">
              <w:t>5</w:t>
            </w:r>
            <w:r w:rsidR="00C21328" w:rsidRPr="00236907">
              <w:t>.1</w:t>
            </w:r>
          </w:p>
        </w:tc>
        <w:tc>
          <w:tcPr>
            <w:tcW w:w="1414" w:type="pct"/>
          </w:tcPr>
          <w:p w14:paraId="716D0505" w14:textId="1872B3C5" w:rsidR="005D2CCB" w:rsidRPr="00236907" w:rsidRDefault="00BC677E">
            <w:r w:rsidRPr="00236907">
              <w:rPr>
                <w:rFonts w:asciiTheme="majorHAnsi" w:hAnsiTheme="majorHAnsi" w:cstheme="majorHAnsi"/>
              </w:rPr>
              <w:t>ETR Act</w:t>
            </w:r>
            <w:r w:rsidR="00515D7A" w:rsidRPr="00236907">
              <w:rPr>
                <w:rFonts w:asciiTheme="majorHAnsi" w:hAnsiTheme="majorHAnsi" w:cstheme="majorHAnsi"/>
              </w:rPr>
              <w:t xml:space="preserve"> s </w:t>
            </w:r>
            <w:r w:rsidR="005D2CCB" w:rsidRPr="00236907">
              <w:rPr>
                <w:rFonts w:asciiTheme="majorHAnsi" w:hAnsiTheme="majorHAnsi" w:cstheme="majorHAnsi"/>
              </w:rPr>
              <w:t>2.1A.18 Process for giving ongoing order</w:t>
            </w:r>
          </w:p>
          <w:p w14:paraId="43A6BB9E" w14:textId="036746A4" w:rsidR="000342A8" w:rsidRPr="00236907" w:rsidRDefault="00BC677E">
            <w:r w:rsidRPr="00236907">
              <w:rPr>
                <w:rFonts w:asciiTheme="majorHAnsi" w:hAnsiTheme="majorHAnsi" w:cstheme="majorHAnsi"/>
              </w:rPr>
              <w:t>ETR Act</w:t>
            </w:r>
            <w:r w:rsidR="00515D7A" w:rsidRPr="00236907">
              <w:rPr>
                <w:rFonts w:asciiTheme="majorHAnsi" w:hAnsiTheme="majorHAnsi" w:cstheme="majorHAnsi"/>
              </w:rPr>
              <w:t xml:space="preserve"> s </w:t>
            </w:r>
            <w:r w:rsidR="00857125" w:rsidRPr="00236907">
              <w:t>2.1A.21 Procedure before making ongoing order</w:t>
            </w:r>
          </w:p>
        </w:tc>
        <w:tc>
          <w:tcPr>
            <w:tcW w:w="3206" w:type="pct"/>
          </w:tcPr>
          <w:p w14:paraId="12FDC9B8" w14:textId="77777777" w:rsidR="00DC79EE" w:rsidRPr="00236907" w:rsidRDefault="000C33E6" w:rsidP="00DC79EE">
            <w:r w:rsidRPr="00236907">
              <w:t>Amend the ETR Act to</w:t>
            </w:r>
            <w:r w:rsidR="00DC79EE" w:rsidRPr="00236907">
              <w:t>:</w:t>
            </w:r>
          </w:p>
          <w:p w14:paraId="7A5A7098" w14:textId="77777777" w:rsidR="0017378F" w:rsidRDefault="00DE7732" w:rsidP="001618CA">
            <w:pPr>
              <w:pStyle w:val="ListParagraph"/>
              <w:numPr>
                <w:ilvl w:val="0"/>
                <w:numId w:val="57"/>
              </w:numPr>
              <w:ind w:left="360"/>
              <w:rPr>
                <w:rFonts w:cs="Times New Roman"/>
                <w:sz w:val="20"/>
                <w:szCs w:val="20"/>
              </w:rPr>
            </w:pPr>
            <w:r w:rsidRPr="00236907">
              <w:rPr>
                <w:rFonts w:cs="Times New Roman"/>
                <w:sz w:val="20"/>
                <w:szCs w:val="20"/>
              </w:rPr>
              <w:t xml:space="preserve">allow an authorised person discretion not to seek submissions only where urgent circumstances </w:t>
            </w:r>
            <w:proofErr w:type="gramStart"/>
            <w:r w:rsidRPr="00236907">
              <w:rPr>
                <w:rFonts w:cs="Times New Roman"/>
                <w:sz w:val="20"/>
                <w:szCs w:val="20"/>
              </w:rPr>
              <w:t>exist, and</w:t>
            </w:r>
            <w:proofErr w:type="gramEnd"/>
            <w:r w:rsidRPr="00236907">
              <w:rPr>
                <w:rFonts w:cs="Times New Roman"/>
                <w:sz w:val="20"/>
                <w:szCs w:val="20"/>
              </w:rPr>
              <w:t xml:space="preserve"> require them to record written reasons justifying this departure from the usual process. Any such discretion must remain consistent with the principles of natural justice and be subject to judicial or external review</w:t>
            </w:r>
          </w:p>
          <w:p w14:paraId="3A5A0C8C" w14:textId="641AFCA0" w:rsidR="00650D03" w:rsidRPr="00236907" w:rsidRDefault="00DC79EE" w:rsidP="001618CA">
            <w:pPr>
              <w:pStyle w:val="ListParagraph"/>
              <w:numPr>
                <w:ilvl w:val="0"/>
                <w:numId w:val="57"/>
              </w:numPr>
              <w:ind w:left="360"/>
              <w:rPr>
                <w:rFonts w:cs="Times New Roman"/>
                <w:sz w:val="20"/>
                <w:szCs w:val="20"/>
              </w:rPr>
            </w:pPr>
            <w:r w:rsidRPr="00236907">
              <w:rPr>
                <w:rFonts w:cs="Times New Roman"/>
                <w:sz w:val="20"/>
                <w:szCs w:val="20"/>
              </w:rPr>
              <w:t xml:space="preserve">state that an order is not invalid solely because the authorised </w:t>
            </w:r>
            <w:r w:rsidR="00D366D7" w:rsidRPr="00236907">
              <w:rPr>
                <w:rFonts w:cs="Times New Roman"/>
                <w:sz w:val="20"/>
                <w:szCs w:val="20"/>
              </w:rPr>
              <w:t>person</w:t>
            </w:r>
            <w:r w:rsidRPr="00236907">
              <w:rPr>
                <w:rFonts w:cs="Times New Roman"/>
                <w:sz w:val="20"/>
                <w:szCs w:val="20"/>
              </w:rPr>
              <w:t xml:space="preserve"> did not seek submissions; and</w:t>
            </w:r>
          </w:p>
          <w:p w14:paraId="6E788333" w14:textId="41F6D224" w:rsidR="00E202F2" w:rsidRPr="00236907" w:rsidRDefault="00DC79EE" w:rsidP="001618CA">
            <w:pPr>
              <w:pStyle w:val="ListParagraph"/>
              <w:numPr>
                <w:ilvl w:val="0"/>
                <w:numId w:val="57"/>
              </w:numPr>
              <w:ind w:left="360"/>
              <w:rPr>
                <w:rFonts w:cs="Times New Roman"/>
              </w:rPr>
            </w:pPr>
            <w:r w:rsidRPr="00236907">
              <w:rPr>
                <w:rFonts w:cs="Times New Roman"/>
                <w:sz w:val="20"/>
                <w:szCs w:val="20"/>
              </w:rPr>
              <w:t xml:space="preserve">require the authorised </w:t>
            </w:r>
            <w:r w:rsidR="00D366D7" w:rsidRPr="00236907">
              <w:rPr>
                <w:rFonts w:cs="Times New Roman"/>
                <w:sz w:val="20"/>
                <w:szCs w:val="20"/>
              </w:rPr>
              <w:t>person</w:t>
            </w:r>
            <w:r w:rsidRPr="00236907">
              <w:rPr>
                <w:rFonts w:cs="Times New Roman"/>
                <w:sz w:val="20"/>
                <w:szCs w:val="20"/>
              </w:rPr>
              <w:t xml:space="preserve"> to issue a written warning before making an ongoing order.</w:t>
            </w:r>
          </w:p>
        </w:tc>
      </w:tr>
      <w:tr w:rsidR="00296487" w:rsidRPr="00236907" w14:paraId="63BB36F2" w14:textId="77777777" w:rsidTr="640D7DB9">
        <w:tc>
          <w:tcPr>
            <w:tcW w:w="380" w:type="pct"/>
          </w:tcPr>
          <w:p w14:paraId="21092D16" w14:textId="4E88F4A9" w:rsidR="00296487" w:rsidRPr="00236907" w:rsidRDefault="00FA0612">
            <w:r w:rsidRPr="00236907">
              <w:t>5</w:t>
            </w:r>
            <w:r w:rsidR="00296487" w:rsidRPr="00236907">
              <w:t>.2</w:t>
            </w:r>
          </w:p>
        </w:tc>
        <w:tc>
          <w:tcPr>
            <w:tcW w:w="1414" w:type="pct"/>
          </w:tcPr>
          <w:p w14:paraId="78136E7E" w14:textId="300A3B6D" w:rsidR="00296487" w:rsidRPr="00236907" w:rsidRDefault="001E47BA">
            <w:pPr>
              <w:rPr>
                <w:rFonts w:asciiTheme="majorHAnsi" w:hAnsiTheme="majorHAnsi" w:cstheme="majorHAnsi"/>
              </w:rPr>
            </w:pPr>
            <w:r w:rsidRPr="00236907">
              <w:rPr>
                <w:rFonts w:asciiTheme="majorHAnsi" w:hAnsiTheme="majorHAnsi" w:cstheme="majorHAnsi"/>
              </w:rPr>
              <w:t xml:space="preserve">Ministerial Guidelines, </w:t>
            </w:r>
            <w:r w:rsidR="00B95629" w:rsidRPr="00236907">
              <w:rPr>
                <w:rFonts w:asciiTheme="majorHAnsi" w:hAnsiTheme="majorHAnsi" w:cstheme="majorHAnsi"/>
              </w:rPr>
              <w:t>paragraph</w:t>
            </w:r>
            <w:r w:rsidR="00C1748B" w:rsidRPr="00236907">
              <w:rPr>
                <w:rFonts w:asciiTheme="majorHAnsi" w:hAnsiTheme="majorHAnsi" w:cstheme="majorHAnsi"/>
              </w:rPr>
              <w:t>s</w:t>
            </w:r>
            <w:r w:rsidR="00B95629" w:rsidRPr="00236907">
              <w:rPr>
                <w:rFonts w:asciiTheme="majorHAnsi" w:hAnsiTheme="majorHAnsi" w:cstheme="majorHAnsi"/>
              </w:rPr>
              <w:t xml:space="preserve"> 16, </w:t>
            </w:r>
            <w:r w:rsidR="00C1748B" w:rsidRPr="00236907">
              <w:rPr>
                <w:rFonts w:asciiTheme="majorHAnsi" w:hAnsiTheme="majorHAnsi" w:cstheme="majorHAnsi"/>
              </w:rPr>
              <w:t>223</w:t>
            </w:r>
          </w:p>
        </w:tc>
        <w:tc>
          <w:tcPr>
            <w:tcW w:w="3206" w:type="pct"/>
          </w:tcPr>
          <w:p w14:paraId="1C82DF3F" w14:textId="139693F3" w:rsidR="00296487" w:rsidRPr="00236907" w:rsidRDefault="00537E83">
            <w:r w:rsidRPr="00236907">
              <w:t xml:space="preserve">Amend the </w:t>
            </w:r>
            <w:r w:rsidR="00800C46" w:rsidRPr="00236907">
              <w:t xml:space="preserve">Ministerial </w:t>
            </w:r>
            <w:r w:rsidR="00C1748B" w:rsidRPr="00236907">
              <w:t>Guidelines to confirm that</w:t>
            </w:r>
            <w:r w:rsidRPr="00236907">
              <w:t xml:space="preserve"> communication and access </w:t>
            </w:r>
            <w:r w:rsidR="002D0E42" w:rsidRPr="00236907">
              <w:t>arrange</w:t>
            </w:r>
            <w:r w:rsidR="00401223" w:rsidRPr="00236907">
              <w:t xml:space="preserve">ments </w:t>
            </w:r>
            <w:r w:rsidRPr="00236907">
              <w:t xml:space="preserve">may be stated in either the order or a separate document. </w:t>
            </w:r>
          </w:p>
        </w:tc>
      </w:tr>
    </w:tbl>
    <w:p w14:paraId="51B53024" w14:textId="643A416E" w:rsidR="001C186B" w:rsidRPr="00236907" w:rsidRDefault="001C186B" w:rsidP="008B68CE">
      <w:pPr>
        <w:pStyle w:val="BodyIndent1"/>
      </w:pPr>
    </w:p>
    <w:p w14:paraId="29A68CFB" w14:textId="4FDFDA3D" w:rsidR="00410A40" w:rsidRPr="00236907" w:rsidRDefault="00410A40" w:rsidP="002A15DA">
      <w:pPr>
        <w:pStyle w:val="Heading2"/>
      </w:pPr>
      <w:bookmarkStart w:id="29" w:name="_Toc210053628"/>
      <w:r w:rsidRPr="00236907">
        <w:t>Variation</w:t>
      </w:r>
      <w:r w:rsidR="00FB5299" w:rsidRPr="00236907">
        <w:t xml:space="preserve"> of</w:t>
      </w:r>
      <w:r w:rsidR="007806F0" w:rsidRPr="00236907">
        <w:t xml:space="preserve"> ongoing</w:t>
      </w:r>
      <w:r w:rsidR="00FB5299" w:rsidRPr="00236907">
        <w:t xml:space="preserve"> orders</w:t>
      </w:r>
      <w:bookmarkEnd w:id="29"/>
    </w:p>
    <w:p w14:paraId="3E125C09" w14:textId="1B9FCC2B" w:rsidR="008F444D" w:rsidRPr="00236907" w:rsidRDefault="001972F8" w:rsidP="00C80DA0">
      <w:pPr>
        <w:pStyle w:val="BodyIndent1"/>
      </w:pPr>
      <w:r w:rsidRPr="00236907">
        <w:t>Section 2.1A.26</w:t>
      </w:r>
      <w:r w:rsidR="00CC1319" w:rsidRPr="00236907">
        <w:t>(1)</w:t>
      </w:r>
      <w:r w:rsidRPr="00236907">
        <w:t xml:space="preserve"> </w:t>
      </w:r>
      <w:r w:rsidR="009229C8" w:rsidRPr="00236907">
        <w:t xml:space="preserve">of the ETR Act </w:t>
      </w:r>
      <w:r w:rsidRPr="00236907">
        <w:t xml:space="preserve">allows an authorised person to vary an order either on their own motion or </w:t>
      </w:r>
      <w:r w:rsidR="008B4649" w:rsidRPr="00236907">
        <w:t>on the application</w:t>
      </w:r>
      <w:r w:rsidRPr="00236907">
        <w:t xml:space="preserve"> of the person subject to the order</w:t>
      </w:r>
      <w:r w:rsidR="008F444D" w:rsidRPr="00236907">
        <w:t xml:space="preserve"> (sub-sections (a) and (b) respectively)</w:t>
      </w:r>
      <w:r w:rsidRPr="00236907">
        <w:t xml:space="preserve">. </w:t>
      </w:r>
      <w:r w:rsidR="000043AE" w:rsidRPr="00236907">
        <w:t xml:space="preserve">Given that there is already </w:t>
      </w:r>
      <w:r w:rsidR="006D18C0" w:rsidRPr="00236907">
        <w:t>an internal review process in the ETR Act, the additional step of allowing a person</w:t>
      </w:r>
      <w:r w:rsidR="00A06CD3" w:rsidRPr="00236907">
        <w:t xml:space="preserve"> to apply first to the original decision-maker for variation is unnecessary. A decision-maker may still vary an order on their own motion for any reason, including </w:t>
      </w:r>
      <w:r w:rsidR="00F03192" w:rsidRPr="00236907">
        <w:t>a request from the person subject to the order.</w:t>
      </w:r>
    </w:p>
    <w:p w14:paraId="54BBCB72" w14:textId="12B69278" w:rsidR="001972F8" w:rsidRPr="00236907" w:rsidRDefault="008F444D" w:rsidP="00C80DA0">
      <w:pPr>
        <w:pStyle w:val="BodyIndent1"/>
      </w:pPr>
      <w:r w:rsidRPr="00236907">
        <w:t>Removing s 2.1A.26</w:t>
      </w:r>
      <w:r w:rsidR="00CC1319" w:rsidRPr="00236907">
        <w:t>(1)</w:t>
      </w:r>
      <w:r w:rsidRPr="00236907">
        <w:t>(b) of the ETR Act would also resolve some ambiguities:</w:t>
      </w:r>
    </w:p>
    <w:p w14:paraId="49B582A1" w14:textId="73E8F859" w:rsidR="00C80DA0" w:rsidRPr="00236907" w:rsidRDefault="00C80DA0" w:rsidP="00DC79EE">
      <w:pPr>
        <w:pStyle w:val="BodyIndent1"/>
        <w:numPr>
          <w:ilvl w:val="0"/>
          <w:numId w:val="45"/>
        </w:numPr>
      </w:pPr>
      <w:r w:rsidRPr="00236907">
        <w:t>The ETR Act allows</w:t>
      </w:r>
      <w:r w:rsidR="00270A1B" w:rsidRPr="00236907">
        <w:t xml:space="preserve"> an ongoing order to be varied by the authorised person who made the order. </w:t>
      </w:r>
      <w:r w:rsidR="006D7ADA" w:rsidRPr="00236907">
        <w:t xml:space="preserve">There are circumstances in which it is practical for another authorised person to vary the order, for example, </w:t>
      </w:r>
      <w:r w:rsidR="00180CFC" w:rsidRPr="00236907">
        <w:t>the school principal who made the order is on leave</w:t>
      </w:r>
      <w:r w:rsidR="006D7ADA" w:rsidRPr="00236907">
        <w:t>.</w:t>
      </w:r>
      <w:r w:rsidR="00FB17EF" w:rsidRPr="00236907">
        <w:t xml:space="preserve"> However, </w:t>
      </w:r>
      <w:r w:rsidR="00351F99" w:rsidRPr="00236907">
        <w:t xml:space="preserve">allowing another authorised person to vary the original order </w:t>
      </w:r>
      <w:r w:rsidR="004A2C2A" w:rsidRPr="00236907">
        <w:t>is</w:t>
      </w:r>
      <w:r w:rsidR="0081773E" w:rsidRPr="00236907">
        <w:t xml:space="preserve"> potentially</w:t>
      </w:r>
      <w:r w:rsidR="004A2C2A" w:rsidRPr="00236907">
        <w:t xml:space="preserve"> problematic</w:t>
      </w:r>
      <w:r w:rsidR="00351F99" w:rsidRPr="00236907">
        <w:t xml:space="preserve">. For example, it is unclear whose decision is being reviewed in internal review, and the amendment may not be approved of or supported by the original decision-maker. </w:t>
      </w:r>
      <w:r w:rsidR="00937B1A" w:rsidRPr="00236907">
        <w:t>R</w:t>
      </w:r>
      <w:r w:rsidR="00DD6791" w:rsidRPr="00236907">
        <w:t>ecognising that this change would provide significant administrative efficiencies, we have included it as a recommendation.</w:t>
      </w:r>
    </w:p>
    <w:p w14:paraId="78A188F7" w14:textId="0086A5AA" w:rsidR="00767735" w:rsidRPr="00236907" w:rsidRDefault="00767735" w:rsidP="00DC79EE">
      <w:pPr>
        <w:pStyle w:val="BodyIndent1"/>
        <w:numPr>
          <w:ilvl w:val="0"/>
          <w:numId w:val="45"/>
        </w:numPr>
        <w:rPr>
          <w:rFonts w:asciiTheme="majorHAnsi" w:hAnsiTheme="majorHAnsi" w:cstheme="majorHAnsi"/>
        </w:rPr>
      </w:pPr>
      <w:r w:rsidRPr="00236907">
        <w:t xml:space="preserve">The ETR Act requires an authorised person to follow the process for making a new order in ss 2.1A.15 to 2.1A.24 when varying an order, unless the variation is the same as the variation requested by the person subject to the order or is otherwise in their favour. </w:t>
      </w:r>
    </w:p>
    <w:p w14:paraId="0E0C8335" w14:textId="47B95814" w:rsidR="00483756" w:rsidRPr="00236907" w:rsidRDefault="00483756" w:rsidP="00483756">
      <w:pPr>
        <w:spacing w:before="60" w:after="60"/>
        <w:rPr>
          <w:rFonts w:cs="Times New Roman"/>
          <w:lang w:eastAsia="en-AU"/>
        </w:rPr>
      </w:pPr>
    </w:p>
    <w:p w14:paraId="5B007E54" w14:textId="77777777" w:rsidR="00283100" w:rsidRPr="00236907" w:rsidRDefault="00283100" w:rsidP="00483756">
      <w:pPr>
        <w:ind w:left="1702"/>
        <w:rPr>
          <w:rFonts w:asciiTheme="majorHAnsi" w:hAnsiTheme="majorHAnsi" w:cstheme="majorHAnsi"/>
          <w:b/>
          <w:bCs/>
          <w:i/>
        </w:rPr>
      </w:pPr>
      <w:r w:rsidRPr="00236907">
        <w:rPr>
          <w:rFonts w:asciiTheme="majorHAnsi" w:hAnsiTheme="majorHAnsi" w:cstheme="majorHAnsi"/>
          <w:b/>
          <w:bCs/>
          <w:i/>
        </w:rPr>
        <w:t>2.1A.26 Variation of ongoing orders</w:t>
      </w:r>
    </w:p>
    <w:p w14:paraId="3CFB560D" w14:textId="77777777" w:rsidR="00283100" w:rsidRPr="00236907" w:rsidRDefault="00283100" w:rsidP="00483756">
      <w:pPr>
        <w:ind w:left="1985" w:hanging="283"/>
        <w:rPr>
          <w:rFonts w:asciiTheme="majorHAnsi" w:hAnsiTheme="majorHAnsi" w:cstheme="majorHAnsi"/>
          <w:i/>
          <w:iCs/>
        </w:rPr>
      </w:pPr>
      <w:r w:rsidRPr="00236907">
        <w:rPr>
          <w:rFonts w:asciiTheme="majorHAnsi" w:hAnsiTheme="majorHAnsi" w:cstheme="majorHAnsi"/>
          <w:i/>
          <w:iCs/>
        </w:rPr>
        <w:t xml:space="preserve">(3) If an authorised person varies an ongoing school community safety order— </w:t>
      </w:r>
    </w:p>
    <w:p w14:paraId="1120FC07" w14:textId="77777777" w:rsidR="00283100" w:rsidRPr="00236907" w:rsidRDefault="00283100" w:rsidP="00483756">
      <w:pPr>
        <w:ind w:left="2268" w:hanging="283"/>
        <w:rPr>
          <w:rFonts w:asciiTheme="majorHAnsi" w:hAnsiTheme="majorHAnsi" w:cstheme="majorHAnsi"/>
          <w:i/>
          <w:iCs/>
        </w:rPr>
      </w:pPr>
      <w:r w:rsidRPr="00236907">
        <w:rPr>
          <w:rFonts w:asciiTheme="majorHAnsi" w:hAnsiTheme="majorHAnsi" w:cstheme="majorHAnsi"/>
          <w:i/>
          <w:iCs/>
        </w:rPr>
        <w:t xml:space="preserve">(a) subject to subsection (4), the authorised person must comply with sections 2.1A.15 to 2.1A.24 as if the application of those sections to the making of an ongoing school community safety order were to the varying of an ongoing school community safety order; and </w:t>
      </w:r>
    </w:p>
    <w:p w14:paraId="39716113" w14:textId="77777777" w:rsidR="00283100" w:rsidRPr="00236907" w:rsidRDefault="00283100" w:rsidP="00483756">
      <w:pPr>
        <w:ind w:left="2268" w:hanging="283"/>
        <w:rPr>
          <w:rFonts w:asciiTheme="majorHAnsi" w:hAnsiTheme="majorHAnsi" w:cstheme="majorHAnsi"/>
          <w:i/>
          <w:iCs/>
        </w:rPr>
      </w:pPr>
      <w:r w:rsidRPr="00236907">
        <w:rPr>
          <w:rFonts w:asciiTheme="majorHAnsi" w:hAnsiTheme="majorHAnsi" w:cstheme="majorHAnsi"/>
          <w:i/>
          <w:iCs/>
        </w:rPr>
        <w:t xml:space="preserve">(b) the authorised person must give a written copy of the order as varied to the person to whom the order applies. </w:t>
      </w:r>
    </w:p>
    <w:p w14:paraId="4DA5E926" w14:textId="77777777" w:rsidR="00283100" w:rsidRPr="00236907" w:rsidRDefault="00283100" w:rsidP="00483756">
      <w:pPr>
        <w:ind w:left="1985" w:hanging="283"/>
        <w:rPr>
          <w:rFonts w:asciiTheme="majorHAnsi" w:hAnsiTheme="majorHAnsi" w:cstheme="majorHAnsi"/>
          <w:i/>
          <w:iCs/>
        </w:rPr>
      </w:pPr>
      <w:r w:rsidRPr="00236907">
        <w:rPr>
          <w:rFonts w:asciiTheme="majorHAnsi" w:hAnsiTheme="majorHAnsi" w:cstheme="majorHAnsi"/>
          <w:i/>
          <w:iCs/>
        </w:rPr>
        <w:t>(4) An authorised person</w:t>
      </w:r>
      <w:r w:rsidRPr="00236907">
        <w:rPr>
          <w:rFonts w:asciiTheme="majorHAnsi" w:hAnsiTheme="majorHAnsi" w:cstheme="majorHAnsi"/>
        </w:rPr>
        <w:t xml:space="preserve"> </w:t>
      </w:r>
      <w:r w:rsidRPr="00236907">
        <w:rPr>
          <w:rFonts w:asciiTheme="majorHAnsi" w:hAnsiTheme="majorHAnsi" w:cstheme="majorHAnsi"/>
          <w:i/>
          <w:iCs/>
        </w:rPr>
        <w:t xml:space="preserve">is not required to comply with sections 2.1A.15 to 2.1A.24 in relation to a variation if the proposed variation— </w:t>
      </w:r>
    </w:p>
    <w:p w14:paraId="62DAC1A7" w14:textId="77777777" w:rsidR="00483756" w:rsidRPr="00236907" w:rsidRDefault="00283100" w:rsidP="00483756">
      <w:pPr>
        <w:ind w:left="2268" w:hanging="283"/>
        <w:rPr>
          <w:rFonts w:asciiTheme="majorHAnsi" w:hAnsiTheme="majorHAnsi" w:cstheme="majorHAnsi"/>
          <w:i/>
          <w:iCs/>
        </w:rPr>
      </w:pPr>
      <w:r w:rsidRPr="00236907">
        <w:rPr>
          <w:rFonts w:asciiTheme="majorHAnsi" w:hAnsiTheme="majorHAnsi" w:cstheme="majorHAnsi"/>
          <w:i/>
          <w:iCs/>
        </w:rPr>
        <w:lastRenderedPageBreak/>
        <w:t xml:space="preserve">(a) is the same as the variation that has been requested by the person to whom the order applies; or </w:t>
      </w:r>
    </w:p>
    <w:p w14:paraId="707AF41C" w14:textId="45D04B04" w:rsidR="00221C33" w:rsidRPr="00236907" w:rsidRDefault="00283100" w:rsidP="00483756">
      <w:pPr>
        <w:ind w:left="2268" w:hanging="283"/>
        <w:rPr>
          <w:rFonts w:asciiTheme="majorHAnsi" w:hAnsiTheme="majorHAnsi" w:cstheme="majorHAnsi"/>
          <w:i/>
          <w:iCs/>
        </w:rPr>
      </w:pPr>
      <w:r w:rsidRPr="00236907">
        <w:rPr>
          <w:rFonts w:asciiTheme="majorHAnsi" w:hAnsiTheme="majorHAnsi" w:cstheme="majorHAnsi"/>
          <w:i/>
          <w:iCs/>
        </w:rPr>
        <w:t>(b) is otherwise in favour of the person to whom the order applies.</w:t>
      </w:r>
    </w:p>
    <w:p w14:paraId="6F519CF6" w14:textId="011DBA1F" w:rsidR="004E3A2A" w:rsidRPr="00236907" w:rsidRDefault="00812078" w:rsidP="00483756">
      <w:pPr>
        <w:pStyle w:val="BodyIndent1"/>
        <w:ind w:left="1211"/>
      </w:pPr>
      <w:r w:rsidRPr="00236907">
        <w:t>The ETR Act does not state that they need to follow the process if they decide not to vary the order</w:t>
      </w:r>
      <w:r w:rsidR="007947C4" w:rsidRPr="00236907">
        <w:t>. Removing s 2.1A.26</w:t>
      </w:r>
      <w:r w:rsidR="00663EA9" w:rsidRPr="00236907">
        <w:t>(1)</w:t>
      </w:r>
      <w:r w:rsidR="007947C4" w:rsidRPr="00236907">
        <w:t xml:space="preserve">(b) would remove this point of ambiguity. </w:t>
      </w:r>
    </w:p>
    <w:p w14:paraId="1AA42610" w14:textId="77777777" w:rsidR="000E0292" w:rsidRPr="00236907" w:rsidRDefault="000E0292" w:rsidP="000E0292">
      <w:pPr>
        <w:pStyle w:val="BodyIndent1"/>
        <w:ind w:left="0"/>
      </w:pPr>
    </w:p>
    <w:tbl>
      <w:tblPr>
        <w:tblStyle w:val="MadTabPlumShade"/>
        <w:tblW w:w="5000" w:type="pct"/>
        <w:tblLook w:val="0620" w:firstRow="1" w:lastRow="0" w:firstColumn="0" w:lastColumn="0" w:noHBand="1" w:noVBand="1"/>
      </w:tblPr>
      <w:tblGrid>
        <w:gridCol w:w="686"/>
        <w:gridCol w:w="2978"/>
        <w:gridCol w:w="5360"/>
      </w:tblGrid>
      <w:tr w:rsidR="00FB5299" w:rsidRPr="00236907" w14:paraId="67BAAFAB" w14:textId="77777777" w:rsidTr="640D7DB9">
        <w:trPr>
          <w:cnfStyle w:val="100000000000" w:firstRow="1" w:lastRow="0" w:firstColumn="0" w:lastColumn="0" w:oddVBand="0" w:evenVBand="0" w:oddHBand="0" w:evenHBand="0" w:firstRowFirstColumn="0" w:firstRowLastColumn="0" w:lastRowFirstColumn="0" w:lastRowLastColumn="0"/>
          <w:tblHeader/>
        </w:trPr>
        <w:tc>
          <w:tcPr>
            <w:tcW w:w="380" w:type="pct"/>
          </w:tcPr>
          <w:p w14:paraId="61D23E59" w14:textId="77777777" w:rsidR="00FB5299" w:rsidRPr="00236907" w:rsidRDefault="00FB5299">
            <w:r w:rsidRPr="00236907">
              <w:t>#</w:t>
            </w:r>
          </w:p>
        </w:tc>
        <w:tc>
          <w:tcPr>
            <w:tcW w:w="1650" w:type="pct"/>
          </w:tcPr>
          <w:p w14:paraId="59AEB75E" w14:textId="77777777" w:rsidR="00FB5299" w:rsidRPr="00236907" w:rsidRDefault="00FB5299">
            <w:r w:rsidRPr="00236907">
              <w:t>Provision</w:t>
            </w:r>
          </w:p>
        </w:tc>
        <w:tc>
          <w:tcPr>
            <w:tcW w:w="2970" w:type="pct"/>
          </w:tcPr>
          <w:p w14:paraId="1EBD8597" w14:textId="77777777" w:rsidR="00FB5299" w:rsidRPr="00236907" w:rsidRDefault="00FB5299">
            <w:r w:rsidRPr="00236907">
              <w:t>Recommendation</w:t>
            </w:r>
          </w:p>
        </w:tc>
      </w:tr>
      <w:tr w:rsidR="00CF5701" w:rsidRPr="00236907" w14:paraId="481174E2" w14:textId="77777777" w:rsidTr="640D7DB9">
        <w:tc>
          <w:tcPr>
            <w:tcW w:w="380" w:type="pct"/>
          </w:tcPr>
          <w:p w14:paraId="7FF22DB3" w14:textId="6F40AF8A" w:rsidR="00CF5701" w:rsidRPr="00236907" w:rsidRDefault="00CF5701" w:rsidP="00CF5701">
            <w:r w:rsidRPr="00236907">
              <w:t>6.1</w:t>
            </w:r>
          </w:p>
        </w:tc>
        <w:tc>
          <w:tcPr>
            <w:tcW w:w="1650" w:type="pct"/>
          </w:tcPr>
          <w:p w14:paraId="08D03287" w14:textId="4FEA3450" w:rsidR="00CF5701" w:rsidRPr="00236907" w:rsidRDefault="00CF5701" w:rsidP="00CF5701">
            <w:pPr>
              <w:rPr>
                <w:rFonts w:asciiTheme="majorHAnsi" w:hAnsiTheme="majorHAnsi" w:cstheme="majorHAnsi"/>
                <w:bCs/>
              </w:rPr>
            </w:pPr>
            <w:r w:rsidRPr="00236907">
              <w:rPr>
                <w:rFonts w:asciiTheme="majorHAnsi" w:hAnsiTheme="majorHAnsi" w:cstheme="majorHAnsi"/>
                <w:iCs/>
              </w:rPr>
              <w:t xml:space="preserve">ETR Act s 2.1A.26(1)(b) </w:t>
            </w:r>
            <w:r w:rsidRPr="00236907">
              <w:rPr>
                <w:rFonts w:asciiTheme="majorHAnsi" w:hAnsiTheme="majorHAnsi" w:cstheme="majorHAnsi"/>
                <w:bCs/>
              </w:rPr>
              <w:t>Variation of ongoing orders</w:t>
            </w:r>
          </w:p>
        </w:tc>
        <w:tc>
          <w:tcPr>
            <w:tcW w:w="2970" w:type="pct"/>
          </w:tcPr>
          <w:p w14:paraId="362F1A51" w14:textId="6FCD9DE4" w:rsidR="00CF5701" w:rsidRPr="00236907" w:rsidRDefault="00CF5701" w:rsidP="00CF5701">
            <w:r w:rsidRPr="00236907">
              <w:t>Remove the provision in s 2.1A.26(1)(b) of the ETR Act that states that an ongoing order may be varied on the application of the person subject to the order.</w:t>
            </w:r>
          </w:p>
        </w:tc>
      </w:tr>
      <w:tr w:rsidR="00937B1A" w:rsidRPr="00236907" w14:paraId="7F390509" w14:textId="77777777" w:rsidTr="640D7DB9">
        <w:tc>
          <w:tcPr>
            <w:tcW w:w="380" w:type="pct"/>
          </w:tcPr>
          <w:p w14:paraId="0E13C856" w14:textId="15B76964" w:rsidR="00937B1A" w:rsidRPr="00236907" w:rsidRDefault="00937B1A" w:rsidP="00CF5701">
            <w:r w:rsidRPr="00236907">
              <w:t>6.2</w:t>
            </w:r>
          </w:p>
        </w:tc>
        <w:tc>
          <w:tcPr>
            <w:tcW w:w="1650" w:type="pct"/>
          </w:tcPr>
          <w:p w14:paraId="27F94E01" w14:textId="47FC7F59" w:rsidR="00937B1A" w:rsidRPr="00236907" w:rsidRDefault="00937B1A" w:rsidP="00CF5701">
            <w:pPr>
              <w:rPr>
                <w:rFonts w:asciiTheme="majorHAnsi" w:hAnsiTheme="majorHAnsi" w:cstheme="majorHAnsi"/>
                <w:iCs/>
              </w:rPr>
            </w:pPr>
            <w:r w:rsidRPr="00236907">
              <w:rPr>
                <w:rFonts w:asciiTheme="majorHAnsi" w:hAnsiTheme="majorHAnsi" w:cstheme="majorHAnsi"/>
                <w:iCs/>
              </w:rPr>
              <w:t xml:space="preserve">ETR Act s 2.1A.26(1)(b) </w:t>
            </w:r>
            <w:r w:rsidRPr="00236907">
              <w:rPr>
                <w:rFonts w:asciiTheme="majorHAnsi" w:hAnsiTheme="majorHAnsi" w:cstheme="majorHAnsi"/>
                <w:bCs/>
              </w:rPr>
              <w:t>Variation of ongoing orders</w:t>
            </w:r>
          </w:p>
        </w:tc>
        <w:tc>
          <w:tcPr>
            <w:tcW w:w="2970" w:type="pct"/>
          </w:tcPr>
          <w:p w14:paraId="22325023" w14:textId="3A99ABB9" w:rsidR="00937B1A" w:rsidRPr="00236907" w:rsidRDefault="00937B1A" w:rsidP="00CF5701">
            <w:r w:rsidRPr="00236907">
              <w:t xml:space="preserve">Amend the provision to allow an order to be varied </w:t>
            </w:r>
            <w:r w:rsidR="007212BF" w:rsidRPr="00236907">
              <w:t xml:space="preserve">either by the original person who made the order or </w:t>
            </w:r>
            <w:r w:rsidRPr="00236907">
              <w:t>a different authorised person.</w:t>
            </w:r>
          </w:p>
        </w:tc>
      </w:tr>
    </w:tbl>
    <w:p w14:paraId="11B4FF95" w14:textId="77777777" w:rsidR="00410A40" w:rsidRPr="00236907" w:rsidRDefault="00410A40" w:rsidP="008B68CE">
      <w:pPr>
        <w:pStyle w:val="BodyIndent1"/>
      </w:pPr>
    </w:p>
    <w:p w14:paraId="6F6A4586" w14:textId="78E058A2" w:rsidR="008C1278" w:rsidRPr="00236907" w:rsidRDefault="008C1278" w:rsidP="00775681">
      <w:pPr>
        <w:pStyle w:val="Heading2"/>
      </w:pPr>
      <w:bookmarkStart w:id="30" w:name="_Toc210053629"/>
      <w:r w:rsidRPr="00236907">
        <w:t>Internal review</w:t>
      </w:r>
      <w:bookmarkEnd w:id="30"/>
    </w:p>
    <w:p w14:paraId="1A7F7409" w14:textId="15C710C2" w:rsidR="002E7DE1" w:rsidRPr="00236907" w:rsidRDefault="00D70F7B" w:rsidP="002E7DE1">
      <w:pPr>
        <w:pStyle w:val="BodyIndent1"/>
      </w:pPr>
      <w:r w:rsidRPr="00236907">
        <w:t>The internal review process was the subject of extensive discussion with stakeholders during consultation.</w:t>
      </w:r>
      <w:r w:rsidR="006C5081" w:rsidRPr="00236907">
        <w:t xml:space="preserve"> </w:t>
      </w:r>
      <w:proofErr w:type="gramStart"/>
      <w:r w:rsidR="006C5081" w:rsidRPr="00236907">
        <w:t>The majority of</w:t>
      </w:r>
      <w:proofErr w:type="gramEnd"/>
      <w:r w:rsidR="006C5081" w:rsidRPr="00236907">
        <w:t xml:space="preserve"> orders </w:t>
      </w:r>
      <w:r w:rsidR="00BC17BB" w:rsidRPr="00236907">
        <w:t xml:space="preserve">do not </w:t>
      </w:r>
      <w:r w:rsidR="00843CFB" w:rsidRPr="00236907">
        <w:t>proceed to</w:t>
      </w:r>
      <w:r w:rsidR="00BC17BB" w:rsidRPr="00236907">
        <w:t xml:space="preserve"> internal review</w:t>
      </w:r>
      <w:r w:rsidR="006C5081" w:rsidRPr="00236907">
        <w:t xml:space="preserve">, </w:t>
      </w:r>
      <w:r w:rsidR="00A76958" w:rsidRPr="00236907">
        <w:t>but</w:t>
      </w:r>
      <w:r w:rsidR="006C5081" w:rsidRPr="00236907">
        <w:t xml:space="preserve"> when a person does seek an internal review of </w:t>
      </w:r>
      <w:r w:rsidR="00665C97" w:rsidRPr="00236907">
        <w:t>an</w:t>
      </w:r>
      <w:r w:rsidR="006C5081" w:rsidRPr="00236907">
        <w:t xml:space="preserve"> order</w:t>
      </w:r>
      <w:r w:rsidR="001426DA" w:rsidRPr="00236907">
        <w:t>, the process can be demanding on both the applicant and the authorised person.</w:t>
      </w:r>
      <w:r w:rsidR="00716433" w:rsidRPr="00236907">
        <w:t xml:space="preserve"> </w:t>
      </w:r>
      <w:proofErr w:type="gramStart"/>
      <w:r w:rsidR="00716433" w:rsidRPr="00236907">
        <w:t>In particular, school</w:t>
      </w:r>
      <w:proofErr w:type="gramEnd"/>
      <w:r w:rsidR="00716433" w:rsidRPr="00236907">
        <w:t xml:space="preserve"> principals whose orders have been subject to an internal review </w:t>
      </w:r>
      <w:r w:rsidR="00355C16" w:rsidRPr="00236907">
        <w:t>have described the review process as “re-traumatising”, forcing them to work through the events leading up to the decision to make the order in detail</w:t>
      </w:r>
      <w:r w:rsidR="005C7380" w:rsidRPr="00236907">
        <w:t xml:space="preserve"> and respond to extensive questioning from Department staff.</w:t>
      </w:r>
      <w:r w:rsidR="001426DA" w:rsidRPr="00236907">
        <w:t xml:space="preserve"> </w:t>
      </w:r>
      <w:r w:rsidR="00D65CFB" w:rsidRPr="00236907">
        <w:t xml:space="preserve">The threat of the internal review process can </w:t>
      </w:r>
      <w:r w:rsidR="009428E5" w:rsidRPr="00236907">
        <w:t>be a factor in</w:t>
      </w:r>
      <w:r w:rsidR="00D65CFB" w:rsidRPr="00236907">
        <w:t xml:space="preserve"> principals </w:t>
      </w:r>
      <w:r w:rsidR="009428E5" w:rsidRPr="00236907">
        <w:t xml:space="preserve">deciding </w:t>
      </w:r>
      <w:r w:rsidR="00D65CFB" w:rsidRPr="00236907">
        <w:t>to make a TWN rather than order, as there is no review or appeals process for a TWN.</w:t>
      </w:r>
    </w:p>
    <w:p w14:paraId="297B3A0B" w14:textId="6C79F766" w:rsidR="00DD7469" w:rsidRPr="00236907" w:rsidRDefault="00110299" w:rsidP="00DD7469">
      <w:pPr>
        <w:pStyle w:val="BodyIndent1"/>
      </w:pPr>
      <w:r w:rsidRPr="00236907">
        <w:t>As we have previously advised the Department, our view is that the Department can simplify the internal review process without needing to amend either the ETR Act or the Ministerial Guidelines</w:t>
      </w:r>
      <w:r w:rsidR="00DF3950" w:rsidRPr="00236907">
        <w:t xml:space="preserve"> through updating the evidence matrix and EduSafe Plus to allow the internal reviewer to make a robust decision using information captured at the time of making the order. </w:t>
      </w:r>
      <w:r w:rsidR="00236635" w:rsidRPr="00236907">
        <w:t xml:space="preserve">There are, however, some additional points relating to the ETR Act and Ministerial Guidelines which have </w:t>
      </w:r>
      <w:r w:rsidR="002C5C49" w:rsidRPr="00236907">
        <w:t xml:space="preserve">been </w:t>
      </w:r>
      <w:r w:rsidR="00236635" w:rsidRPr="00236907">
        <w:t>considered in this review.</w:t>
      </w:r>
    </w:p>
    <w:p w14:paraId="0D22F75A" w14:textId="582E094E" w:rsidR="008D39D7" w:rsidRPr="00236907" w:rsidRDefault="008D39D7" w:rsidP="001F6A42">
      <w:pPr>
        <w:pStyle w:val="Heading3"/>
        <w:spacing w:line="276" w:lineRule="auto"/>
        <w:rPr>
          <w:b/>
          <w:bCs/>
          <w:i/>
          <w:iCs/>
        </w:rPr>
      </w:pPr>
      <w:r w:rsidRPr="00236907">
        <w:rPr>
          <w:b/>
          <w:bCs/>
          <w:i/>
          <w:iCs/>
        </w:rPr>
        <w:t>Application for internal review</w:t>
      </w:r>
    </w:p>
    <w:p w14:paraId="7A1F3B96" w14:textId="3FC92065" w:rsidR="008D39D7" w:rsidRPr="00236907" w:rsidRDefault="003B2406" w:rsidP="00DD7469">
      <w:pPr>
        <w:pStyle w:val="BodyIndent1"/>
      </w:pPr>
      <w:r w:rsidRPr="00236907">
        <w:t>The ETR Act outlines a process for internal review where a person subject to an order makes an application to the school, which must then pass it onto an internal reviewer as soon as practicable.</w:t>
      </w:r>
      <w:r w:rsidR="004F0A79" w:rsidRPr="00236907">
        <w:rPr>
          <w:rStyle w:val="FootnoteReference"/>
        </w:rPr>
        <w:footnoteReference w:id="63"/>
      </w:r>
      <w:r w:rsidR="00860D0C" w:rsidRPr="00236907">
        <w:t xml:space="preserve"> </w:t>
      </w:r>
      <w:r w:rsidR="000144BE" w:rsidRPr="00236907">
        <w:t>Ho</w:t>
      </w:r>
      <w:r w:rsidR="00860D0C" w:rsidRPr="00236907">
        <w:t xml:space="preserve">wever, applicants commonly apply to the internal reviewer directly. The provisions of the ETR Act could be amended to state </w:t>
      </w:r>
      <w:r w:rsidR="001B208B" w:rsidRPr="00236907">
        <w:t>that an application for internal review may be made to a school or a reviewer directly, while retaining the requirement that a school must pass on any application for review to a reviewer as soon as is practicable.</w:t>
      </w:r>
    </w:p>
    <w:p w14:paraId="3C869D9C" w14:textId="77777777" w:rsidR="00AA284A" w:rsidRPr="00236907" w:rsidRDefault="00AA284A" w:rsidP="00DD7469">
      <w:pPr>
        <w:pStyle w:val="BodyIndent1"/>
      </w:pPr>
    </w:p>
    <w:tbl>
      <w:tblPr>
        <w:tblStyle w:val="MadTabPlumShade"/>
        <w:tblW w:w="5000" w:type="pct"/>
        <w:tblLook w:val="0620" w:firstRow="1" w:lastRow="0" w:firstColumn="0" w:lastColumn="0" w:noHBand="1" w:noVBand="1"/>
      </w:tblPr>
      <w:tblGrid>
        <w:gridCol w:w="686"/>
        <w:gridCol w:w="2552"/>
        <w:gridCol w:w="5786"/>
      </w:tblGrid>
      <w:tr w:rsidR="00AC1892" w:rsidRPr="00236907" w14:paraId="09FA2DA1" w14:textId="77777777" w:rsidTr="00006133">
        <w:trPr>
          <w:cnfStyle w:val="100000000000" w:firstRow="1" w:lastRow="0" w:firstColumn="0" w:lastColumn="0" w:oddVBand="0" w:evenVBand="0" w:oddHBand="0" w:evenHBand="0" w:firstRowFirstColumn="0" w:firstRowLastColumn="0" w:lastRowFirstColumn="0" w:lastRowLastColumn="0"/>
          <w:tblHeader/>
        </w:trPr>
        <w:tc>
          <w:tcPr>
            <w:tcW w:w="380" w:type="pct"/>
          </w:tcPr>
          <w:p w14:paraId="14BCC611" w14:textId="77777777" w:rsidR="00AC1892" w:rsidRPr="00236907" w:rsidRDefault="00AC1892" w:rsidP="00006133">
            <w:r w:rsidRPr="00236907">
              <w:t>#</w:t>
            </w:r>
          </w:p>
        </w:tc>
        <w:tc>
          <w:tcPr>
            <w:tcW w:w="1414" w:type="pct"/>
          </w:tcPr>
          <w:p w14:paraId="29073A3E" w14:textId="77777777" w:rsidR="00AC1892" w:rsidRPr="00236907" w:rsidRDefault="00AC1892" w:rsidP="00006133">
            <w:r w:rsidRPr="00236907">
              <w:t>Provision</w:t>
            </w:r>
          </w:p>
        </w:tc>
        <w:tc>
          <w:tcPr>
            <w:tcW w:w="3206" w:type="pct"/>
          </w:tcPr>
          <w:p w14:paraId="15521B9E" w14:textId="77777777" w:rsidR="00AC1892" w:rsidRPr="00236907" w:rsidRDefault="00AC1892" w:rsidP="00006133">
            <w:r w:rsidRPr="00236907">
              <w:t>Recommendation</w:t>
            </w:r>
          </w:p>
        </w:tc>
      </w:tr>
      <w:tr w:rsidR="00AC1892" w:rsidRPr="00236907" w14:paraId="13FF4782" w14:textId="77777777" w:rsidTr="00006133">
        <w:tc>
          <w:tcPr>
            <w:tcW w:w="380" w:type="pct"/>
          </w:tcPr>
          <w:p w14:paraId="5DB539ED" w14:textId="77777777" w:rsidR="00AC1892" w:rsidRPr="00236907" w:rsidRDefault="00AC1892" w:rsidP="00006133">
            <w:r w:rsidRPr="00236907">
              <w:t>7.1</w:t>
            </w:r>
          </w:p>
        </w:tc>
        <w:tc>
          <w:tcPr>
            <w:tcW w:w="1414" w:type="pct"/>
          </w:tcPr>
          <w:p w14:paraId="0C7C1B08" w14:textId="176A924A" w:rsidR="00AC1892" w:rsidRPr="00236907" w:rsidRDefault="00217041" w:rsidP="00006133">
            <w:r w:rsidRPr="00236907">
              <w:t>ETR Act</w:t>
            </w:r>
            <w:r w:rsidR="00425BAC" w:rsidRPr="00236907">
              <w:t xml:space="preserve"> </w:t>
            </w:r>
            <w:r w:rsidRPr="00236907">
              <w:rPr>
                <w:rFonts w:asciiTheme="minorHAnsi" w:hAnsiTheme="minorHAnsi" w:cstheme="minorHAnsi"/>
              </w:rPr>
              <w:t>s</w:t>
            </w:r>
            <w:r w:rsidRPr="00236907">
              <w:t>s. 2.1A.29(2) and (3).</w:t>
            </w:r>
          </w:p>
        </w:tc>
        <w:tc>
          <w:tcPr>
            <w:tcW w:w="3206" w:type="pct"/>
          </w:tcPr>
          <w:p w14:paraId="1025C4E5" w14:textId="43771FFD" w:rsidR="00AC1892" w:rsidRPr="00236907" w:rsidRDefault="00AA284A" w:rsidP="00006133">
            <w:r w:rsidRPr="00236907">
              <w:t xml:space="preserve">Amend the ETR Act </w:t>
            </w:r>
            <w:r w:rsidR="006C3EC0" w:rsidRPr="00236907">
              <w:t xml:space="preserve">to state that an application for internal review may be made to a school or a reviewer directly, </w:t>
            </w:r>
            <w:r w:rsidR="00852DDB" w:rsidRPr="00236907">
              <w:t>retaining the requirement that a school must pass on any application for review to a reviewer as soon as is practicable.</w:t>
            </w:r>
          </w:p>
        </w:tc>
      </w:tr>
    </w:tbl>
    <w:p w14:paraId="0A0E40CE" w14:textId="144BA717" w:rsidR="002646C3" w:rsidRPr="00236907" w:rsidRDefault="002646C3" w:rsidP="00353410">
      <w:pPr>
        <w:pStyle w:val="Heading3"/>
        <w:spacing w:line="276" w:lineRule="auto"/>
        <w:rPr>
          <w:b/>
          <w:bCs/>
          <w:i/>
          <w:iCs/>
        </w:rPr>
      </w:pPr>
      <w:r w:rsidRPr="00236907">
        <w:rPr>
          <w:b/>
          <w:bCs/>
          <w:i/>
          <w:iCs/>
        </w:rPr>
        <w:lastRenderedPageBreak/>
        <w:t>Merits review or process review</w:t>
      </w:r>
    </w:p>
    <w:p w14:paraId="5CD1DDAF" w14:textId="5759AD5C" w:rsidR="00C73A26" w:rsidRPr="00236907" w:rsidRDefault="0071236D" w:rsidP="00582AE6">
      <w:pPr>
        <w:pStyle w:val="BodyIndent1"/>
      </w:pPr>
      <w:r w:rsidRPr="00236907">
        <w:t>The first</w:t>
      </w:r>
      <w:r w:rsidR="00626342" w:rsidRPr="00236907">
        <w:t xml:space="preserve"> point we have considered</w:t>
      </w:r>
      <w:r w:rsidRPr="00236907">
        <w:t xml:space="preserve"> is </w:t>
      </w:r>
      <w:r w:rsidR="00843CFB" w:rsidRPr="00236907">
        <w:t>the nature of internal review.</w:t>
      </w:r>
      <w:r w:rsidRPr="00236907">
        <w:t xml:space="preserve"> </w:t>
      </w:r>
      <w:r w:rsidR="00236635" w:rsidRPr="00236907">
        <w:t>The</w:t>
      </w:r>
      <w:r w:rsidR="005F2CD1" w:rsidRPr="00236907">
        <w:t xml:space="preserve"> ETR Act is silent on this point, but the</w:t>
      </w:r>
      <w:r w:rsidR="00236635" w:rsidRPr="00236907">
        <w:t xml:space="preserve"> Ministerial Guidelines </w:t>
      </w:r>
      <w:r w:rsidR="005D6A7F" w:rsidRPr="00236907">
        <w:t xml:space="preserve">make clear </w:t>
      </w:r>
      <w:r w:rsidR="00843CFB" w:rsidRPr="00236907">
        <w:t xml:space="preserve">the Department’s position that </w:t>
      </w:r>
      <w:r w:rsidR="005D6A7F" w:rsidRPr="00236907">
        <w:t>the internal review</w:t>
      </w:r>
      <w:r w:rsidR="005F2CD1" w:rsidRPr="00236907">
        <w:t xml:space="preserve"> is a merits review</w:t>
      </w:r>
      <w:r w:rsidR="005D6A7F" w:rsidRPr="00236907">
        <w:t>.</w:t>
      </w:r>
      <w:r w:rsidR="005D6A7F" w:rsidRPr="00236907">
        <w:rPr>
          <w:rStyle w:val="FootnoteReference"/>
        </w:rPr>
        <w:footnoteReference w:id="64"/>
      </w:r>
      <w:r w:rsidR="005D6A7F" w:rsidRPr="00236907">
        <w:t xml:space="preserve"> </w:t>
      </w:r>
      <w:r w:rsidR="00843CFB" w:rsidRPr="00236907">
        <w:t xml:space="preserve">‘Merits review’ in this context refers to a process where the internal reviewer revisits the decision to impose an ongoing order by ‘stepping into the shoes’ of the authorised person, and revisiting the decision afresh with regard to all up-to-date evidence. </w:t>
      </w:r>
      <w:r w:rsidR="00582AE6" w:rsidRPr="00236907">
        <w:t xml:space="preserve">Some interviewees believed that the review process should exclusively be </w:t>
      </w:r>
      <w:r w:rsidR="00843CFB" w:rsidRPr="00236907">
        <w:t>limited to consideration of whether the correct procedure was followed by the authorised person.</w:t>
      </w:r>
      <w:r w:rsidR="00582AE6" w:rsidRPr="00236907">
        <w:t xml:space="preserve"> </w:t>
      </w:r>
      <w:r w:rsidR="00844B59" w:rsidRPr="00236907">
        <w:t>Our position is that it is</w:t>
      </w:r>
      <w:r w:rsidR="0001136A" w:rsidRPr="00236907">
        <w:t xml:space="preserve"> preferable to treat internal review as a merits review</w:t>
      </w:r>
      <w:r w:rsidR="0017378F">
        <w:t xml:space="preserve"> because</w:t>
      </w:r>
      <w:r w:rsidR="0001136A" w:rsidRPr="00236907">
        <w:t>:</w:t>
      </w:r>
    </w:p>
    <w:p w14:paraId="1F15B16B" w14:textId="61DECEC2" w:rsidR="0001136A" w:rsidRPr="00236907" w:rsidRDefault="0017378F" w:rsidP="00DC79EE">
      <w:pPr>
        <w:pStyle w:val="BodyIndent1"/>
        <w:numPr>
          <w:ilvl w:val="0"/>
          <w:numId w:val="44"/>
        </w:numPr>
      </w:pPr>
      <w:r>
        <w:t>t</w:t>
      </w:r>
      <w:r w:rsidR="0001136A" w:rsidRPr="00236907">
        <w:t xml:space="preserve">his interpretation is consistent with a plain reading of the internal review provisions in the ETR </w:t>
      </w:r>
      <w:proofErr w:type="gramStart"/>
      <w:r w:rsidR="0001136A" w:rsidRPr="00236907">
        <w:t>Act;</w:t>
      </w:r>
      <w:proofErr w:type="gramEnd"/>
    </w:p>
    <w:p w14:paraId="40F4159D" w14:textId="34BBAE2D" w:rsidR="00FF7499" w:rsidRPr="00236907" w:rsidRDefault="00DA3228" w:rsidP="00DC79EE">
      <w:pPr>
        <w:pStyle w:val="BodyIndent1"/>
        <w:numPr>
          <w:ilvl w:val="0"/>
          <w:numId w:val="44"/>
        </w:numPr>
      </w:pPr>
      <w:r w:rsidRPr="00236907">
        <w:t>it</w:t>
      </w:r>
      <w:r w:rsidR="00620DA3" w:rsidRPr="00236907">
        <w:t xml:space="preserve"> ensures that</w:t>
      </w:r>
      <w:r w:rsidR="003755BB" w:rsidRPr="00236907">
        <w:t xml:space="preserve"> the order is considered in its entirety by a second and independent </w:t>
      </w:r>
      <w:proofErr w:type="gramStart"/>
      <w:r w:rsidR="003755BB" w:rsidRPr="00236907">
        <w:t>person</w:t>
      </w:r>
      <w:r w:rsidR="00384C7A" w:rsidRPr="00236907">
        <w:t>;</w:t>
      </w:r>
      <w:proofErr w:type="gramEnd"/>
    </w:p>
    <w:p w14:paraId="20EB42F0" w14:textId="5760FA1C" w:rsidR="00FF7499" w:rsidRPr="00236907" w:rsidRDefault="00F928C6" w:rsidP="00DC79EE">
      <w:pPr>
        <w:pStyle w:val="BodyIndent1"/>
        <w:numPr>
          <w:ilvl w:val="0"/>
          <w:numId w:val="44"/>
        </w:numPr>
      </w:pPr>
      <w:r w:rsidRPr="00236907">
        <w:t xml:space="preserve">an application for external review may not reach the conference or hearing stage at VCAT before </w:t>
      </w:r>
      <w:r w:rsidR="00FF7499" w:rsidRPr="00236907">
        <w:t>the order</w:t>
      </w:r>
      <w:r w:rsidRPr="00236907">
        <w:t xml:space="preserve"> expires</w:t>
      </w:r>
      <w:r w:rsidR="00FF7499" w:rsidRPr="00236907">
        <w:t xml:space="preserve">, so the internal review may be the only review </w:t>
      </w:r>
      <w:proofErr w:type="gramStart"/>
      <w:r w:rsidR="00FF7499" w:rsidRPr="00236907">
        <w:t>actually available</w:t>
      </w:r>
      <w:proofErr w:type="gramEnd"/>
      <w:r w:rsidR="00FF7499" w:rsidRPr="00236907">
        <w:t xml:space="preserve"> to an applicant; and</w:t>
      </w:r>
    </w:p>
    <w:p w14:paraId="6EE31FBA" w14:textId="3E67F28B" w:rsidR="00582AE6" w:rsidRPr="00236907" w:rsidRDefault="00F928C6" w:rsidP="00DC79EE">
      <w:pPr>
        <w:pStyle w:val="BodyIndent1"/>
        <w:numPr>
          <w:ilvl w:val="0"/>
          <w:numId w:val="44"/>
        </w:numPr>
      </w:pPr>
      <w:r w:rsidRPr="00236907">
        <w:t>completing an internal merits review will also</w:t>
      </w:r>
      <w:r w:rsidR="003755BB" w:rsidRPr="00236907">
        <w:t xml:space="preserve"> put the Department on a better footing should it need to defend the decision to make </w:t>
      </w:r>
      <w:r w:rsidR="005F1DD9" w:rsidRPr="00236907">
        <w:t>an order in VCAT</w:t>
      </w:r>
      <w:r w:rsidR="00D449B7" w:rsidRPr="00236907">
        <w:t>, as it will have had to consolidate and reconsider all the evidence</w:t>
      </w:r>
      <w:r w:rsidRPr="00236907">
        <w:t xml:space="preserve">. </w:t>
      </w:r>
    </w:p>
    <w:p w14:paraId="2D6E0FDB" w14:textId="77777777" w:rsidR="00DD7469" w:rsidRPr="00236907" w:rsidRDefault="00DD7469" w:rsidP="00722C90">
      <w:pPr>
        <w:pStyle w:val="BodyIndent1"/>
      </w:pPr>
    </w:p>
    <w:tbl>
      <w:tblPr>
        <w:tblStyle w:val="MadTabPlumShade"/>
        <w:tblW w:w="5000" w:type="pct"/>
        <w:tblLook w:val="0620" w:firstRow="1" w:lastRow="0" w:firstColumn="0" w:lastColumn="0" w:noHBand="1" w:noVBand="1"/>
      </w:tblPr>
      <w:tblGrid>
        <w:gridCol w:w="686"/>
        <w:gridCol w:w="2552"/>
        <w:gridCol w:w="5786"/>
      </w:tblGrid>
      <w:tr w:rsidR="00D8235E" w:rsidRPr="00236907" w14:paraId="7E70A5FE" w14:textId="77777777" w:rsidTr="640D7DB9">
        <w:trPr>
          <w:cnfStyle w:val="100000000000" w:firstRow="1" w:lastRow="0" w:firstColumn="0" w:lastColumn="0" w:oddVBand="0" w:evenVBand="0" w:oddHBand="0" w:evenHBand="0" w:firstRowFirstColumn="0" w:firstRowLastColumn="0" w:lastRowFirstColumn="0" w:lastRowLastColumn="0"/>
          <w:tblHeader/>
        </w:trPr>
        <w:tc>
          <w:tcPr>
            <w:tcW w:w="380" w:type="pct"/>
          </w:tcPr>
          <w:p w14:paraId="568DD44E" w14:textId="77777777" w:rsidR="00D8235E" w:rsidRPr="00236907" w:rsidRDefault="00D8235E">
            <w:r w:rsidRPr="00236907">
              <w:t>#</w:t>
            </w:r>
          </w:p>
        </w:tc>
        <w:tc>
          <w:tcPr>
            <w:tcW w:w="1414" w:type="pct"/>
          </w:tcPr>
          <w:p w14:paraId="1A169CB7" w14:textId="77777777" w:rsidR="00D8235E" w:rsidRPr="00236907" w:rsidRDefault="00D8235E">
            <w:r w:rsidRPr="00236907">
              <w:t>Provision</w:t>
            </w:r>
          </w:p>
        </w:tc>
        <w:tc>
          <w:tcPr>
            <w:tcW w:w="3206" w:type="pct"/>
          </w:tcPr>
          <w:p w14:paraId="7086CCED" w14:textId="77777777" w:rsidR="00D8235E" w:rsidRPr="00236907" w:rsidRDefault="00D8235E">
            <w:r w:rsidRPr="00236907">
              <w:t>Recommendation</w:t>
            </w:r>
          </w:p>
        </w:tc>
      </w:tr>
      <w:tr w:rsidR="00D8235E" w:rsidRPr="00236907" w14:paraId="7C38D2B2" w14:textId="77777777" w:rsidTr="640D7DB9">
        <w:tc>
          <w:tcPr>
            <w:tcW w:w="380" w:type="pct"/>
          </w:tcPr>
          <w:p w14:paraId="429CF1E4" w14:textId="503F4869" w:rsidR="00D8235E" w:rsidRPr="00236907" w:rsidRDefault="00D8235E">
            <w:r w:rsidRPr="00236907">
              <w:t>7.</w:t>
            </w:r>
            <w:r w:rsidR="00AA284A" w:rsidRPr="00236907">
              <w:t>2</w:t>
            </w:r>
          </w:p>
        </w:tc>
        <w:tc>
          <w:tcPr>
            <w:tcW w:w="1414" w:type="pct"/>
          </w:tcPr>
          <w:p w14:paraId="19F891F8" w14:textId="77777777" w:rsidR="00D8235E" w:rsidRPr="00236907" w:rsidRDefault="00D8235E">
            <w:r w:rsidRPr="00236907">
              <w:t>Ministerial Guidelines, paragraph 262</w:t>
            </w:r>
          </w:p>
        </w:tc>
        <w:tc>
          <w:tcPr>
            <w:tcW w:w="3206" w:type="pct"/>
          </w:tcPr>
          <w:p w14:paraId="70049E46" w14:textId="0DB353BD" w:rsidR="00D8235E" w:rsidRPr="00236907" w:rsidRDefault="0FAA6376">
            <w:r w:rsidRPr="00236907">
              <w:t xml:space="preserve">Confirm in the Ministerial Guidelines that the internal reviewer </w:t>
            </w:r>
            <w:r w:rsidR="001C52FD" w:rsidRPr="00236907">
              <w:t xml:space="preserve">should conduct a merits review </w:t>
            </w:r>
            <w:r w:rsidR="001C52FD">
              <w:t xml:space="preserve">and </w:t>
            </w:r>
            <w:r w:rsidR="00384C7A" w:rsidRPr="00236907">
              <w:t>does not need to assess the procedural correctness of the decision to impose the order</w:t>
            </w:r>
            <w:r w:rsidR="24C85AE4" w:rsidRPr="00236907">
              <w:t xml:space="preserve"> under review</w:t>
            </w:r>
            <w:r w:rsidR="00384C7A" w:rsidRPr="00236907">
              <w:t>.</w:t>
            </w:r>
          </w:p>
        </w:tc>
      </w:tr>
    </w:tbl>
    <w:p w14:paraId="356EB3EE" w14:textId="78A90A58" w:rsidR="00CB6A8E" w:rsidRPr="00236907" w:rsidRDefault="00CB6A8E" w:rsidP="00D71B12">
      <w:pPr>
        <w:pStyle w:val="Heading3"/>
        <w:spacing w:line="276" w:lineRule="auto"/>
        <w:rPr>
          <w:b/>
          <w:bCs/>
          <w:i/>
          <w:iCs/>
        </w:rPr>
      </w:pPr>
      <w:r w:rsidRPr="00236907">
        <w:rPr>
          <w:b/>
          <w:bCs/>
          <w:i/>
          <w:iCs/>
        </w:rPr>
        <w:t>Reducing the burden of internal review</w:t>
      </w:r>
    </w:p>
    <w:p w14:paraId="542473E2" w14:textId="15381F71" w:rsidR="007E3039" w:rsidRPr="00236907" w:rsidRDefault="007E3039" w:rsidP="0082242A">
      <w:pPr>
        <w:pStyle w:val="BodyIndent1"/>
      </w:pPr>
      <w:r w:rsidRPr="00236907">
        <w:t xml:space="preserve">In conducting internal review under the Scheme, the internal reviewer </w:t>
      </w:r>
      <w:r w:rsidR="003433BA" w:rsidRPr="00236907">
        <w:t>may r</w:t>
      </w:r>
      <w:r w:rsidRPr="00236907">
        <w:t xml:space="preserve">equire further information from the authorised person or other witnesses. Feedback from the Department was that there is some uncertainty in relation to the circumstances in which the internal review secretariat should seek further input from the authorised person or other witnesses. </w:t>
      </w:r>
      <w:r w:rsidR="003433BA" w:rsidRPr="00236907">
        <w:t>The Department is undertaking measures to reduce the need for this to occur during the internal review process.</w:t>
      </w:r>
    </w:p>
    <w:p w14:paraId="696CC745" w14:textId="30D2DE0F" w:rsidR="003433BA" w:rsidRPr="00236907" w:rsidRDefault="000C184A" w:rsidP="0082242A">
      <w:pPr>
        <w:pStyle w:val="BodyIndent1"/>
      </w:pPr>
      <w:r w:rsidRPr="00236907">
        <w:t>Ideally, the</w:t>
      </w:r>
      <w:r w:rsidR="003433BA" w:rsidRPr="00236907">
        <w:t xml:space="preserve"> internal review secretariat </w:t>
      </w:r>
      <w:r w:rsidRPr="00236907">
        <w:t xml:space="preserve">should have all the relevant information at the start of the </w:t>
      </w:r>
      <w:proofErr w:type="gramStart"/>
      <w:r w:rsidRPr="00236907">
        <w:t>process, and</w:t>
      </w:r>
      <w:proofErr w:type="gramEnd"/>
      <w:r w:rsidRPr="00236907">
        <w:t xml:space="preserve"> should not need to seek any further information from the authorised person. However, </w:t>
      </w:r>
      <w:r w:rsidR="00C46E2E" w:rsidRPr="00236907">
        <w:t>it is also ideal that the authorised person should not need to write a lengthy document to justify their decision to make the order. Currently, the information is captured in an evidence matrix completed between the internal review secretariat and the authorised person, and the Department may consider how this process can be simplified so that the authorised person will record enough information to justify the decision to make the order in the most efficient way possible.</w:t>
      </w:r>
    </w:p>
    <w:p w14:paraId="12FDB691" w14:textId="450433CB" w:rsidR="003433BA" w:rsidRPr="00236907" w:rsidRDefault="003433BA" w:rsidP="0082242A">
      <w:pPr>
        <w:pStyle w:val="BodyIndent1"/>
      </w:pPr>
      <w:r w:rsidRPr="00236907">
        <w:t xml:space="preserve">Internal reviewers may also be assisted by clarity on the standard of proof to be applied on internal review. This would assist in the forensic decision regarding whether to seek further evidence by providing a clearer framework for when an internal reviewer can be satisfied of the existence of a fact. It would be open to use the Ministerial Guidelines to direct internal </w:t>
      </w:r>
      <w:r w:rsidRPr="00236907">
        <w:lastRenderedPageBreak/>
        <w:t>reviewers to apply the civil standard of proof in internal review, meaning an internal reviewer may make a factual finding</w:t>
      </w:r>
      <w:r w:rsidR="0017378F">
        <w:t xml:space="preserve"> that</w:t>
      </w:r>
      <w:r w:rsidRPr="00236907">
        <w:t xml:space="preserve"> it is more probable than not that it is correct.</w:t>
      </w:r>
    </w:p>
    <w:p w14:paraId="206656EF" w14:textId="77777777" w:rsidR="009A47C1" w:rsidRPr="00236907" w:rsidRDefault="009A47C1" w:rsidP="0082242A">
      <w:pPr>
        <w:pStyle w:val="BodyIndent1"/>
      </w:pPr>
    </w:p>
    <w:tbl>
      <w:tblPr>
        <w:tblStyle w:val="MadTabPlumShade"/>
        <w:tblW w:w="5000" w:type="pct"/>
        <w:tblLook w:val="0620" w:firstRow="1" w:lastRow="0" w:firstColumn="0" w:lastColumn="0" w:noHBand="1" w:noVBand="1"/>
      </w:tblPr>
      <w:tblGrid>
        <w:gridCol w:w="686"/>
        <w:gridCol w:w="2552"/>
        <w:gridCol w:w="5786"/>
      </w:tblGrid>
      <w:tr w:rsidR="00A62022" w:rsidRPr="00236907" w14:paraId="2057F59D" w14:textId="77777777" w:rsidTr="640D7DB9">
        <w:trPr>
          <w:cnfStyle w:val="100000000000" w:firstRow="1" w:lastRow="0" w:firstColumn="0" w:lastColumn="0" w:oddVBand="0" w:evenVBand="0" w:oddHBand="0" w:evenHBand="0" w:firstRowFirstColumn="0" w:firstRowLastColumn="0" w:lastRowFirstColumn="0" w:lastRowLastColumn="0"/>
          <w:tblHeader/>
        </w:trPr>
        <w:tc>
          <w:tcPr>
            <w:tcW w:w="380" w:type="pct"/>
          </w:tcPr>
          <w:p w14:paraId="5C374B44" w14:textId="77777777" w:rsidR="00A62022" w:rsidRPr="00236907" w:rsidRDefault="00A62022">
            <w:r w:rsidRPr="00236907">
              <w:t>#</w:t>
            </w:r>
          </w:p>
        </w:tc>
        <w:tc>
          <w:tcPr>
            <w:tcW w:w="1414" w:type="pct"/>
          </w:tcPr>
          <w:p w14:paraId="504F54C8" w14:textId="77777777" w:rsidR="00A62022" w:rsidRPr="00236907" w:rsidRDefault="00A62022">
            <w:r w:rsidRPr="00236907">
              <w:t>Provision</w:t>
            </w:r>
          </w:p>
        </w:tc>
        <w:tc>
          <w:tcPr>
            <w:tcW w:w="3206" w:type="pct"/>
          </w:tcPr>
          <w:p w14:paraId="0E7457C6" w14:textId="77777777" w:rsidR="00A62022" w:rsidRPr="00236907" w:rsidRDefault="00A62022">
            <w:r w:rsidRPr="00236907">
              <w:t>Recommendation</w:t>
            </w:r>
          </w:p>
        </w:tc>
      </w:tr>
      <w:tr w:rsidR="00A62022" w:rsidRPr="00236907" w14:paraId="06B1BDFE" w14:textId="77777777" w:rsidTr="640D7DB9">
        <w:tc>
          <w:tcPr>
            <w:tcW w:w="380" w:type="pct"/>
          </w:tcPr>
          <w:p w14:paraId="697641BA" w14:textId="249DB3FA" w:rsidR="00A62022" w:rsidRPr="00236907" w:rsidRDefault="00A62022">
            <w:r w:rsidRPr="00236907">
              <w:t>7.</w:t>
            </w:r>
            <w:r w:rsidR="005F4369" w:rsidRPr="00236907">
              <w:t>3</w:t>
            </w:r>
          </w:p>
        </w:tc>
        <w:tc>
          <w:tcPr>
            <w:tcW w:w="1414" w:type="pct"/>
          </w:tcPr>
          <w:p w14:paraId="78C47786" w14:textId="6DCBCB53" w:rsidR="00A62022" w:rsidRPr="00236907" w:rsidRDefault="00A62022">
            <w:r w:rsidRPr="00236907">
              <w:t xml:space="preserve">Ministerial Guidelines, paragraph </w:t>
            </w:r>
            <w:r w:rsidR="009A47C1" w:rsidRPr="00236907">
              <w:t>274-279</w:t>
            </w:r>
            <w:r w:rsidR="003E4A52" w:rsidRPr="00236907">
              <w:t xml:space="preserve"> </w:t>
            </w:r>
          </w:p>
        </w:tc>
        <w:tc>
          <w:tcPr>
            <w:tcW w:w="3206" w:type="pct"/>
          </w:tcPr>
          <w:p w14:paraId="242A52A8" w14:textId="78907E42" w:rsidR="0042426A" w:rsidRPr="00236907" w:rsidRDefault="005A027A">
            <w:r w:rsidRPr="00236907">
              <w:t xml:space="preserve">Consider </w:t>
            </w:r>
            <w:r w:rsidR="00DF53A2" w:rsidRPr="00236907">
              <w:t>whether</w:t>
            </w:r>
            <w:r w:rsidRPr="00236907">
              <w:t xml:space="preserve"> the process for completing the evidence matrix can be simplified so that the authorised person will record enough information to justify the decision to make the order in the most efficient way </w:t>
            </w:r>
            <w:proofErr w:type="gramStart"/>
            <w:r w:rsidRPr="00236907">
              <w:t>possible, and</w:t>
            </w:r>
            <w:proofErr w:type="gramEnd"/>
            <w:r w:rsidRPr="00236907">
              <w:t xml:space="preserve"> reflect this position in the Ministerial Guidelines.</w:t>
            </w:r>
          </w:p>
        </w:tc>
      </w:tr>
      <w:tr w:rsidR="00A62022" w:rsidRPr="00236907" w14:paraId="0F986CA5" w14:textId="77777777" w:rsidTr="640D7DB9">
        <w:tc>
          <w:tcPr>
            <w:tcW w:w="380" w:type="pct"/>
          </w:tcPr>
          <w:p w14:paraId="6BD26D45" w14:textId="5A48A023" w:rsidR="00A62022" w:rsidRPr="00236907" w:rsidRDefault="00A62022">
            <w:r w:rsidRPr="00236907">
              <w:t>7.</w:t>
            </w:r>
            <w:r w:rsidR="005F4369" w:rsidRPr="00236907">
              <w:t>4</w:t>
            </w:r>
          </w:p>
        </w:tc>
        <w:tc>
          <w:tcPr>
            <w:tcW w:w="1414" w:type="pct"/>
          </w:tcPr>
          <w:p w14:paraId="02B6F285" w14:textId="77777777" w:rsidR="00A62022" w:rsidRPr="00236907" w:rsidRDefault="00A62022">
            <w:r w:rsidRPr="00236907">
              <w:t>Ministerial Guidelines, paragraph 270</w:t>
            </w:r>
          </w:p>
        </w:tc>
        <w:tc>
          <w:tcPr>
            <w:tcW w:w="3206" w:type="pct"/>
          </w:tcPr>
          <w:p w14:paraId="3F8294EF" w14:textId="7D09DD15" w:rsidR="00A62022" w:rsidRPr="00236907" w:rsidRDefault="24D0D22D">
            <w:r w:rsidRPr="00236907">
              <w:t xml:space="preserve">Amend the Ministerial Guidelines to add that the </w:t>
            </w:r>
            <w:r w:rsidR="003433BA" w:rsidRPr="00236907">
              <w:t xml:space="preserve">civil standard of proof may be applied in internal </w:t>
            </w:r>
            <w:proofErr w:type="gramStart"/>
            <w:r w:rsidR="003433BA" w:rsidRPr="00236907">
              <w:t>review, and</w:t>
            </w:r>
            <w:proofErr w:type="gramEnd"/>
            <w:r w:rsidR="003433BA" w:rsidRPr="00236907">
              <w:t xml:space="preserve"> provide guidance on the meaning of the balance of probabilities</w:t>
            </w:r>
            <w:r w:rsidRPr="00236907">
              <w:t>.</w:t>
            </w:r>
          </w:p>
        </w:tc>
      </w:tr>
    </w:tbl>
    <w:p w14:paraId="799B7729" w14:textId="77777777" w:rsidR="00A62022" w:rsidRPr="00236907" w:rsidRDefault="00A62022" w:rsidP="0082242A">
      <w:pPr>
        <w:pStyle w:val="BodyIndent1"/>
      </w:pPr>
    </w:p>
    <w:p w14:paraId="26EFBA7C" w14:textId="48B1071F" w:rsidR="00C05819" w:rsidRPr="00236907" w:rsidRDefault="00C05819" w:rsidP="00C03B0E">
      <w:pPr>
        <w:pStyle w:val="Heading3"/>
        <w:spacing w:line="276" w:lineRule="auto"/>
        <w:rPr>
          <w:b/>
          <w:bCs/>
          <w:i/>
          <w:iCs/>
        </w:rPr>
      </w:pPr>
      <w:r w:rsidRPr="00236907">
        <w:rPr>
          <w:b/>
          <w:bCs/>
          <w:i/>
          <w:iCs/>
        </w:rPr>
        <w:t>Timelines for internal review</w:t>
      </w:r>
    </w:p>
    <w:p w14:paraId="161BDF4B" w14:textId="0C5F539C" w:rsidR="00483756" w:rsidRPr="00236907" w:rsidRDefault="00F23CE3" w:rsidP="00582AE6">
      <w:pPr>
        <w:pStyle w:val="BodyIndent1"/>
      </w:pPr>
      <w:r w:rsidRPr="00236907">
        <w:t xml:space="preserve">Some interviewees provided feedback on the timeframes </w:t>
      </w:r>
      <w:r w:rsidR="00437C1A" w:rsidRPr="00236907">
        <w:t xml:space="preserve">for </w:t>
      </w:r>
      <w:r w:rsidRPr="00236907">
        <w:t>the internal review process.</w:t>
      </w:r>
      <w:r w:rsidR="00D65CFB" w:rsidRPr="00236907">
        <w:t xml:space="preserve"> </w:t>
      </w:r>
      <w:r w:rsidR="00EE2062" w:rsidRPr="00236907">
        <w:t xml:space="preserve">Under the ETR Act, an applicant must apply for internal review within 28 days of the </w:t>
      </w:r>
      <w:r w:rsidR="00612294" w:rsidRPr="00236907">
        <w:t xml:space="preserve">authorised person’s decision, and the internal </w:t>
      </w:r>
      <w:r w:rsidR="00D84E4C" w:rsidRPr="00236907">
        <w:t>reviewer</w:t>
      </w:r>
      <w:r w:rsidR="00612294" w:rsidRPr="00236907">
        <w:t xml:space="preserve"> must complete the review as soon as practicable and no later than 28 days after the decision.</w:t>
      </w:r>
      <w:r w:rsidR="00D84E4C" w:rsidRPr="00236907">
        <w:rPr>
          <w:rStyle w:val="FootnoteReference"/>
        </w:rPr>
        <w:footnoteReference w:id="65"/>
      </w:r>
      <w:r w:rsidR="00D65EA1" w:rsidRPr="00236907">
        <w:t xml:space="preserve"> The reviewer </w:t>
      </w:r>
      <w:r w:rsidR="00286DE2" w:rsidRPr="00236907">
        <w:t>has the option to extend the review period for a further 28 days.</w:t>
      </w:r>
      <w:r w:rsidR="0001066A" w:rsidRPr="00236907">
        <w:rPr>
          <w:rStyle w:val="FootnoteReference"/>
        </w:rPr>
        <w:footnoteReference w:id="66"/>
      </w:r>
      <w:r w:rsidR="00C44C7C" w:rsidRPr="00236907">
        <w:t xml:space="preserve"> Stakeholders within </w:t>
      </w:r>
      <w:r w:rsidR="00BF060F">
        <w:t>ESWID</w:t>
      </w:r>
      <w:r w:rsidR="00BF060F" w:rsidRPr="00236907">
        <w:t xml:space="preserve"> </w:t>
      </w:r>
      <w:r w:rsidR="00A014C3" w:rsidRPr="00236907">
        <w:t xml:space="preserve">and </w:t>
      </w:r>
      <w:r w:rsidR="00E42F92" w:rsidRPr="00236907">
        <w:t>Legal Division</w:t>
      </w:r>
      <w:r w:rsidR="00C44C7C" w:rsidRPr="00236907">
        <w:t xml:space="preserve">, the </w:t>
      </w:r>
      <w:r w:rsidR="004A3426">
        <w:t>areas</w:t>
      </w:r>
      <w:r w:rsidR="004A3426" w:rsidRPr="00236907">
        <w:t xml:space="preserve"> </w:t>
      </w:r>
      <w:r w:rsidR="00C44C7C" w:rsidRPr="00236907">
        <w:t>in the Department responsible for the internal review process, have found some challenges with these timeframes</w:t>
      </w:r>
      <w:r w:rsidR="001A142E" w:rsidRPr="00236907">
        <w:t>:</w:t>
      </w:r>
    </w:p>
    <w:p w14:paraId="72964CD0" w14:textId="03FF9384" w:rsidR="00033F00" w:rsidRPr="00236907" w:rsidRDefault="00033F00" w:rsidP="001618CA">
      <w:pPr>
        <w:pStyle w:val="BodyIndent1"/>
        <w:numPr>
          <w:ilvl w:val="0"/>
          <w:numId w:val="48"/>
        </w:numPr>
      </w:pPr>
      <w:r w:rsidRPr="00236907">
        <w:t>In one case, an applicant applied for an internal review outside of the 28-day timeframe due to confusion over whether the order was eligible for internal review or external review at the time. Due to these exceptional circumstances, the internal reviewer accepted the application</w:t>
      </w:r>
      <w:r w:rsidR="00437C1A" w:rsidRPr="00236907">
        <w:t xml:space="preserve"> out of time</w:t>
      </w:r>
      <w:r w:rsidRPr="00236907">
        <w:t xml:space="preserve">. </w:t>
      </w:r>
      <w:r w:rsidR="00437C1A" w:rsidRPr="00236907">
        <w:t>However, on a strict reading of the ETR Act, it is not clear whether an application may be accepted out of time.</w:t>
      </w:r>
      <w:r w:rsidRPr="00236907">
        <w:t xml:space="preserve"> </w:t>
      </w:r>
      <w:r w:rsidR="003D52CD" w:rsidRPr="00236907">
        <w:t xml:space="preserve">The </w:t>
      </w:r>
      <w:r w:rsidRPr="00236907">
        <w:t xml:space="preserve">ETR Act could be </w:t>
      </w:r>
      <w:r w:rsidR="007F243A" w:rsidRPr="00236907">
        <w:t xml:space="preserve">amended </w:t>
      </w:r>
      <w:r w:rsidRPr="00236907">
        <w:t>to expressly give the reviewer the power to accept an</w:t>
      </w:r>
      <w:r w:rsidR="00437C1A" w:rsidRPr="00236907">
        <w:t xml:space="preserve"> internal review</w:t>
      </w:r>
      <w:r w:rsidRPr="00236907">
        <w:t xml:space="preserve"> application outside of the 28-day window </w:t>
      </w:r>
      <w:r w:rsidR="00437C1A" w:rsidRPr="00236907">
        <w:t xml:space="preserve">in </w:t>
      </w:r>
      <w:r w:rsidRPr="00236907">
        <w:t xml:space="preserve">exceptional circumstances. </w:t>
      </w:r>
    </w:p>
    <w:p w14:paraId="2DE3D2FE" w14:textId="49FB5502" w:rsidR="007414C4" w:rsidRPr="00236907" w:rsidRDefault="003826F0" w:rsidP="001618CA">
      <w:pPr>
        <w:pStyle w:val="BodyIndent1"/>
        <w:numPr>
          <w:ilvl w:val="0"/>
          <w:numId w:val="48"/>
        </w:numPr>
      </w:pPr>
      <w:r w:rsidRPr="00236907">
        <w:t>The 28-day timeframe</w:t>
      </w:r>
      <w:r w:rsidR="00A83349" w:rsidRPr="00236907">
        <w:t>, and even the extended 56-day timeframe,</w:t>
      </w:r>
      <w:r w:rsidRPr="00236907">
        <w:t xml:space="preserve"> to complete a review </w:t>
      </w:r>
      <w:r w:rsidR="00A83349" w:rsidRPr="00236907">
        <w:t>can be too</w:t>
      </w:r>
      <w:r w:rsidRPr="00236907">
        <w:t xml:space="preserve"> short </w:t>
      </w:r>
      <w:r w:rsidR="008228BA" w:rsidRPr="00236907">
        <w:t xml:space="preserve">in cases </w:t>
      </w:r>
      <w:r w:rsidRPr="00236907">
        <w:t xml:space="preserve">where additional documents </w:t>
      </w:r>
      <w:r w:rsidR="008228BA" w:rsidRPr="00236907">
        <w:t xml:space="preserve">and evidence </w:t>
      </w:r>
      <w:r w:rsidRPr="00236907">
        <w:t>are needed</w:t>
      </w:r>
      <w:r w:rsidR="007414C4" w:rsidRPr="00236907">
        <w:t>:</w:t>
      </w:r>
      <w:r w:rsidRPr="00236907">
        <w:t xml:space="preserve"> </w:t>
      </w:r>
    </w:p>
    <w:p w14:paraId="7593ABE3" w14:textId="68BC8CF1" w:rsidR="003826F0" w:rsidRPr="00236907" w:rsidRDefault="008228BA" w:rsidP="007414C4">
      <w:pPr>
        <w:pStyle w:val="BodyIndent1"/>
        <w:numPr>
          <w:ilvl w:val="1"/>
          <w:numId w:val="48"/>
        </w:numPr>
      </w:pPr>
      <w:r w:rsidRPr="00236907">
        <w:t xml:space="preserve">The Ministerial Guidelines </w:t>
      </w:r>
      <w:r w:rsidR="0019170B" w:rsidRPr="00236907">
        <w:t>state that an internal reviewer may seek expert advice.</w:t>
      </w:r>
      <w:r w:rsidR="00451A7F" w:rsidRPr="00236907">
        <w:rPr>
          <w:rStyle w:val="FootnoteReference"/>
        </w:rPr>
        <w:footnoteReference w:id="67"/>
      </w:r>
      <w:r w:rsidR="0019170B" w:rsidRPr="00236907">
        <w:t xml:space="preserve"> In practice, no internal reviewers </w:t>
      </w:r>
      <w:r w:rsidR="0021708C" w:rsidRPr="00236907">
        <w:t xml:space="preserve">at the time of writing </w:t>
      </w:r>
      <w:r w:rsidR="0019170B" w:rsidRPr="00236907">
        <w:t>have done so</w:t>
      </w:r>
      <w:r w:rsidR="0034506D" w:rsidRPr="00236907">
        <w:t>. One reason for this is</w:t>
      </w:r>
      <w:r w:rsidR="0019170B" w:rsidRPr="00236907">
        <w:t xml:space="preserve"> </w:t>
      </w:r>
      <w:r w:rsidR="00437C1A" w:rsidRPr="00236907">
        <w:t xml:space="preserve">because </w:t>
      </w:r>
      <w:r w:rsidR="0019170B" w:rsidRPr="00236907">
        <w:t xml:space="preserve">they have not had time. </w:t>
      </w:r>
    </w:p>
    <w:p w14:paraId="6C6F7EAB" w14:textId="49F91BA5" w:rsidR="00F86229" w:rsidRPr="00236907" w:rsidRDefault="00266C3A" w:rsidP="007414C4">
      <w:pPr>
        <w:pStyle w:val="BodyIndent1"/>
        <w:numPr>
          <w:ilvl w:val="1"/>
          <w:numId w:val="48"/>
        </w:numPr>
      </w:pPr>
      <w:r w:rsidRPr="00236907">
        <w:t xml:space="preserve">The reviewer may seek further information from </w:t>
      </w:r>
      <w:r w:rsidR="00AC4232" w:rsidRPr="00236907">
        <w:t>the person subject to the order, and the timer stops until the person responds.</w:t>
      </w:r>
      <w:r w:rsidR="00065C2F" w:rsidRPr="00236907">
        <w:rPr>
          <w:rStyle w:val="FootnoteReference"/>
        </w:rPr>
        <w:footnoteReference w:id="68"/>
      </w:r>
      <w:r w:rsidR="004A62E1" w:rsidRPr="00236907">
        <w:t xml:space="preserve"> In </w:t>
      </w:r>
      <w:r w:rsidR="004B60DD" w:rsidRPr="00236907">
        <w:t xml:space="preserve">most </w:t>
      </w:r>
      <w:r w:rsidR="004A62E1" w:rsidRPr="00236907">
        <w:t xml:space="preserve">cases, reviewers </w:t>
      </w:r>
      <w:r w:rsidR="008E22E9" w:rsidRPr="00236907">
        <w:t>also</w:t>
      </w:r>
      <w:r w:rsidR="00BA15B0" w:rsidRPr="00236907">
        <w:t xml:space="preserve"> seek further information from </w:t>
      </w:r>
      <w:r w:rsidR="004A62E1" w:rsidRPr="00236907">
        <w:t>other witnesses, such as school staff, which takes further time</w:t>
      </w:r>
      <w:r w:rsidR="006F6E07" w:rsidRPr="00236907">
        <w:t>,</w:t>
      </w:r>
      <w:r w:rsidR="00AD0B04" w:rsidRPr="00236907">
        <w:t xml:space="preserve"> but which does</w:t>
      </w:r>
      <w:r w:rsidR="00213857" w:rsidRPr="00236907">
        <w:t xml:space="preserve"> no</w:t>
      </w:r>
      <w:r w:rsidR="00AD0B04" w:rsidRPr="00236907">
        <w:t>t stop the timer</w:t>
      </w:r>
      <w:r w:rsidR="004A62E1" w:rsidRPr="00236907">
        <w:t>.</w:t>
      </w:r>
    </w:p>
    <w:p w14:paraId="6FA0E009" w14:textId="17651AAD" w:rsidR="00AE1C9E" w:rsidRPr="00236907" w:rsidRDefault="00AE1C9E" w:rsidP="00F86229">
      <w:pPr>
        <w:pStyle w:val="BodyIndent1"/>
      </w:pPr>
      <w:r w:rsidRPr="00236907">
        <w:t>The problem could be addressed by either extending the time</w:t>
      </w:r>
      <w:r w:rsidR="009968DA" w:rsidRPr="00236907">
        <w:t xml:space="preserve"> limit for internal review or by stopping the timer when an internal reviewer seeks expert advice. </w:t>
      </w:r>
      <w:r w:rsidR="008A787E" w:rsidRPr="00236907">
        <w:t xml:space="preserve">Stopping the timer </w:t>
      </w:r>
      <w:r w:rsidR="00384545" w:rsidRPr="00236907">
        <w:t xml:space="preserve">would completely resolve the </w:t>
      </w:r>
      <w:r w:rsidR="00592755" w:rsidRPr="00236907">
        <w:t>issue</w:t>
      </w:r>
      <w:r w:rsidR="008A787E" w:rsidRPr="00236907">
        <w:t xml:space="preserve">, however, it theoretically allows for the review to continue indefinitely outside of the control of the applicant. If an expert did not respond to the request, </w:t>
      </w:r>
      <w:r w:rsidR="008A787E" w:rsidRPr="00236907">
        <w:lastRenderedPageBreak/>
        <w:t xml:space="preserve">or responded very slowly, the review would </w:t>
      </w:r>
      <w:proofErr w:type="gramStart"/>
      <w:r w:rsidR="008A787E" w:rsidRPr="00236907">
        <w:t>stop</w:t>
      </w:r>
      <w:proofErr w:type="gramEnd"/>
      <w:r w:rsidR="008A787E" w:rsidRPr="00236907">
        <w:t xml:space="preserve"> and the applicant would have no grounds to demand that it be finalised. </w:t>
      </w:r>
      <w:r w:rsidR="00681A7B" w:rsidRPr="00236907">
        <w:t xml:space="preserve">This </w:t>
      </w:r>
      <w:r w:rsidR="00E107BA" w:rsidRPr="00236907">
        <w:t xml:space="preserve">risk </w:t>
      </w:r>
      <w:r w:rsidR="00681A7B" w:rsidRPr="00236907">
        <w:t xml:space="preserve">could be addressed by placing a maximum timeframe on the review, but this creates the risk that reviewers will treat the maximum timeframe as the time available to them in all cases. </w:t>
      </w:r>
      <w:r w:rsidR="00815960" w:rsidRPr="00236907">
        <w:t xml:space="preserve">As such, we consider extending the </w:t>
      </w:r>
      <w:r w:rsidR="00D422C0" w:rsidRPr="00236907">
        <w:t xml:space="preserve">timeframe to be simplest option, providing procedural certainty to the applicant and time to make the correct decision to the reviewer. </w:t>
      </w:r>
    </w:p>
    <w:p w14:paraId="62AFFD2A" w14:textId="77777777" w:rsidR="00A62022" w:rsidRPr="00236907" w:rsidRDefault="00A62022" w:rsidP="00F86229">
      <w:pPr>
        <w:pStyle w:val="BodyIndent1"/>
      </w:pPr>
    </w:p>
    <w:tbl>
      <w:tblPr>
        <w:tblStyle w:val="MadTabPlumShade"/>
        <w:tblW w:w="5000" w:type="pct"/>
        <w:tblLook w:val="0620" w:firstRow="1" w:lastRow="0" w:firstColumn="0" w:lastColumn="0" w:noHBand="1" w:noVBand="1"/>
      </w:tblPr>
      <w:tblGrid>
        <w:gridCol w:w="686"/>
        <w:gridCol w:w="2552"/>
        <w:gridCol w:w="5786"/>
      </w:tblGrid>
      <w:tr w:rsidR="007D45D3" w:rsidRPr="00236907" w14:paraId="42C93DC9" w14:textId="77777777" w:rsidTr="640D7DB9">
        <w:trPr>
          <w:cnfStyle w:val="100000000000" w:firstRow="1" w:lastRow="0" w:firstColumn="0" w:lastColumn="0" w:oddVBand="0" w:evenVBand="0" w:oddHBand="0" w:evenHBand="0" w:firstRowFirstColumn="0" w:firstRowLastColumn="0" w:lastRowFirstColumn="0" w:lastRowLastColumn="0"/>
          <w:tblHeader/>
        </w:trPr>
        <w:tc>
          <w:tcPr>
            <w:tcW w:w="380" w:type="pct"/>
          </w:tcPr>
          <w:p w14:paraId="63126226" w14:textId="77777777" w:rsidR="007D45D3" w:rsidRPr="00236907" w:rsidRDefault="007D45D3">
            <w:r w:rsidRPr="00236907">
              <w:t>#</w:t>
            </w:r>
          </w:p>
        </w:tc>
        <w:tc>
          <w:tcPr>
            <w:tcW w:w="1414" w:type="pct"/>
          </w:tcPr>
          <w:p w14:paraId="534C42DD" w14:textId="77777777" w:rsidR="007D45D3" w:rsidRPr="00236907" w:rsidRDefault="007D45D3">
            <w:r w:rsidRPr="00236907">
              <w:t>Provision</w:t>
            </w:r>
          </w:p>
        </w:tc>
        <w:tc>
          <w:tcPr>
            <w:tcW w:w="3206" w:type="pct"/>
          </w:tcPr>
          <w:p w14:paraId="2FAE0A2D" w14:textId="77777777" w:rsidR="007D45D3" w:rsidRPr="00236907" w:rsidRDefault="007D45D3">
            <w:r w:rsidRPr="00236907">
              <w:t>Recommendation</w:t>
            </w:r>
          </w:p>
        </w:tc>
      </w:tr>
      <w:tr w:rsidR="005634AA" w:rsidRPr="00236907" w14:paraId="4C78E101" w14:textId="77777777" w:rsidTr="640D7DB9">
        <w:tc>
          <w:tcPr>
            <w:tcW w:w="380" w:type="pct"/>
          </w:tcPr>
          <w:p w14:paraId="66216BC7" w14:textId="6958E70F" w:rsidR="005634AA" w:rsidRPr="00236907" w:rsidRDefault="00B83A15">
            <w:r w:rsidRPr="00236907">
              <w:t>7.</w:t>
            </w:r>
            <w:r w:rsidR="005F4369" w:rsidRPr="00236907">
              <w:t>5</w:t>
            </w:r>
          </w:p>
        </w:tc>
        <w:tc>
          <w:tcPr>
            <w:tcW w:w="1414" w:type="pct"/>
          </w:tcPr>
          <w:p w14:paraId="2B30A223" w14:textId="3705A262" w:rsidR="005634AA" w:rsidRPr="00236907" w:rsidRDefault="005634AA">
            <w:r w:rsidRPr="00236907">
              <w:t>ETR Act</w:t>
            </w:r>
            <w:r w:rsidR="00515D7A" w:rsidRPr="00236907">
              <w:t xml:space="preserve"> s </w:t>
            </w:r>
            <w:r w:rsidRPr="00236907">
              <w:t>2.1A.30(1)</w:t>
            </w:r>
          </w:p>
        </w:tc>
        <w:tc>
          <w:tcPr>
            <w:tcW w:w="3206" w:type="pct"/>
          </w:tcPr>
          <w:p w14:paraId="03C8E153" w14:textId="4BC9B87E" w:rsidR="005634AA" w:rsidRPr="00236907" w:rsidRDefault="005F23A0">
            <w:r w:rsidRPr="00236907">
              <w:t xml:space="preserve">Amend the ETR Act to explicitly state that an internal reviewer may accept an application for internal review beyond 28 days </w:t>
            </w:r>
            <w:r w:rsidR="00384C7A" w:rsidRPr="00236907">
              <w:t xml:space="preserve">if they are satisfied that there are </w:t>
            </w:r>
            <w:r w:rsidRPr="00236907">
              <w:t>exceptional circumstances.</w:t>
            </w:r>
          </w:p>
        </w:tc>
      </w:tr>
      <w:tr w:rsidR="007D45D3" w:rsidRPr="00236907" w14:paraId="392E8199" w14:textId="77777777" w:rsidTr="640D7DB9">
        <w:tc>
          <w:tcPr>
            <w:tcW w:w="380" w:type="pct"/>
          </w:tcPr>
          <w:p w14:paraId="3D540EE7" w14:textId="12A50F15" w:rsidR="007D45D3" w:rsidRPr="00236907" w:rsidRDefault="00B83A15">
            <w:r w:rsidRPr="00236907">
              <w:t>7.</w:t>
            </w:r>
            <w:r w:rsidR="005F4369" w:rsidRPr="00236907">
              <w:t>6</w:t>
            </w:r>
          </w:p>
        </w:tc>
        <w:tc>
          <w:tcPr>
            <w:tcW w:w="1414" w:type="pct"/>
          </w:tcPr>
          <w:p w14:paraId="5CCC8750" w14:textId="4494968F" w:rsidR="007D45D3" w:rsidRPr="00236907" w:rsidRDefault="00594927">
            <w:r w:rsidRPr="00236907">
              <w:t>ETR Act</w:t>
            </w:r>
            <w:r w:rsidR="00515D7A" w:rsidRPr="00236907">
              <w:t xml:space="preserve"> s </w:t>
            </w:r>
            <w:r w:rsidRPr="00236907">
              <w:t>2.1A.30</w:t>
            </w:r>
            <w:r w:rsidR="00233869" w:rsidRPr="00236907">
              <w:t>(2)</w:t>
            </w:r>
          </w:p>
        </w:tc>
        <w:tc>
          <w:tcPr>
            <w:tcW w:w="3206" w:type="pct"/>
          </w:tcPr>
          <w:p w14:paraId="2D6FE846" w14:textId="0FAD170F" w:rsidR="007D45D3" w:rsidRPr="00236907" w:rsidRDefault="1B665B3B">
            <w:r w:rsidRPr="00236907">
              <w:t xml:space="preserve">Extend the timeframe </w:t>
            </w:r>
            <w:r w:rsidR="00CF5701" w:rsidRPr="00236907">
              <w:t xml:space="preserve">afforded in s 2.1A.30(2) of the ETR Act </w:t>
            </w:r>
            <w:r w:rsidRPr="00236907">
              <w:t>for internal review beyond 28 days</w:t>
            </w:r>
            <w:r w:rsidR="095740F6" w:rsidRPr="00236907">
              <w:t>, to either 6 or 8 weeks</w:t>
            </w:r>
            <w:r w:rsidRPr="00236907">
              <w:t xml:space="preserve">. </w:t>
            </w:r>
          </w:p>
        </w:tc>
      </w:tr>
    </w:tbl>
    <w:p w14:paraId="31EF0966" w14:textId="62F3D83C" w:rsidR="00F167C0" w:rsidRPr="00236907" w:rsidRDefault="00BE68DE" w:rsidP="00EF6E12">
      <w:pPr>
        <w:pStyle w:val="Heading3"/>
        <w:spacing w:line="276" w:lineRule="auto"/>
        <w:rPr>
          <w:b/>
          <w:bCs/>
          <w:i/>
          <w:iCs/>
        </w:rPr>
      </w:pPr>
      <w:r w:rsidRPr="00236907">
        <w:rPr>
          <w:b/>
          <w:bCs/>
          <w:i/>
          <w:iCs/>
        </w:rPr>
        <w:t>Outcomes of</w:t>
      </w:r>
      <w:r w:rsidR="00F167C0" w:rsidRPr="00236907">
        <w:rPr>
          <w:b/>
          <w:bCs/>
          <w:i/>
          <w:iCs/>
        </w:rPr>
        <w:t xml:space="preserve"> internal review</w:t>
      </w:r>
    </w:p>
    <w:p w14:paraId="5A9C2A42" w14:textId="4AE7F4BA" w:rsidR="0034004E" w:rsidRPr="00236907" w:rsidRDefault="00707E36" w:rsidP="000E0292">
      <w:pPr>
        <w:pStyle w:val="BodyIndent1"/>
      </w:pPr>
      <w:r w:rsidRPr="00236907">
        <w:t>In principle, an internal</w:t>
      </w:r>
      <w:r w:rsidR="00EC64F1" w:rsidRPr="00236907">
        <w:t xml:space="preserve"> review</w:t>
      </w:r>
      <w:r w:rsidRPr="00236907">
        <w:t xml:space="preserve"> should end with the order being affirmed, varied or revoked on its merits. </w:t>
      </w:r>
      <w:r w:rsidR="00431504" w:rsidRPr="00236907">
        <w:t>T</w:t>
      </w:r>
      <w:r w:rsidRPr="00236907">
        <w:t>here are some irregularities or gaps which can be addressed</w:t>
      </w:r>
      <w:r w:rsidR="00431504" w:rsidRPr="00236907">
        <w:t xml:space="preserve"> to make this outcome more likely:</w:t>
      </w:r>
    </w:p>
    <w:p w14:paraId="0F7E0E02" w14:textId="5A5A7089" w:rsidR="00680982" w:rsidRPr="00236907" w:rsidRDefault="00567B85" w:rsidP="001618CA">
      <w:pPr>
        <w:pStyle w:val="BodyIndent1"/>
        <w:numPr>
          <w:ilvl w:val="0"/>
          <w:numId w:val="49"/>
        </w:numPr>
      </w:pPr>
      <w:r w:rsidRPr="00236907">
        <w:t>The ETR Act lists the decisions which are reviewable by internal review:</w:t>
      </w:r>
    </w:p>
    <w:p w14:paraId="2164E75B" w14:textId="77777777" w:rsidR="00567B85" w:rsidRPr="00236907" w:rsidRDefault="00567B85" w:rsidP="003E0ED2">
      <w:pPr>
        <w:rPr>
          <w:rFonts w:asciiTheme="majorHAnsi" w:hAnsiTheme="majorHAnsi" w:cstheme="majorHAnsi"/>
        </w:rPr>
      </w:pPr>
    </w:p>
    <w:p w14:paraId="1E2DA47B" w14:textId="68EB2E87" w:rsidR="003E0ED2" w:rsidRPr="00236907" w:rsidRDefault="003E0ED2" w:rsidP="005303F8">
      <w:pPr>
        <w:ind w:left="1777"/>
        <w:rPr>
          <w:rFonts w:asciiTheme="majorHAnsi" w:hAnsiTheme="majorHAnsi" w:cstheme="majorHAnsi"/>
          <w:b/>
          <w:bCs/>
          <w:i/>
          <w:iCs/>
        </w:rPr>
      </w:pPr>
      <w:r w:rsidRPr="00236907">
        <w:rPr>
          <w:rFonts w:asciiTheme="majorHAnsi" w:hAnsiTheme="majorHAnsi" w:cstheme="majorHAnsi"/>
          <w:b/>
          <w:bCs/>
          <w:i/>
          <w:iCs/>
        </w:rPr>
        <w:t xml:space="preserve">2.1A.29 Internal review  </w:t>
      </w:r>
    </w:p>
    <w:p w14:paraId="580BC0CC" w14:textId="77777777" w:rsidR="003E0ED2" w:rsidRPr="00236907" w:rsidRDefault="003E0ED2" w:rsidP="005303F8">
      <w:pPr>
        <w:ind w:left="2060" w:hanging="283"/>
        <w:rPr>
          <w:rFonts w:asciiTheme="majorHAnsi" w:hAnsiTheme="majorHAnsi" w:cstheme="majorHAnsi"/>
          <w:i/>
          <w:iCs/>
        </w:rPr>
      </w:pPr>
      <w:r w:rsidRPr="00236907">
        <w:rPr>
          <w:rFonts w:asciiTheme="majorHAnsi" w:hAnsiTheme="majorHAnsi" w:cstheme="majorHAnsi"/>
          <w:i/>
          <w:iCs/>
        </w:rPr>
        <w:t xml:space="preserve">(1) A person to whom an ongoing school community safety order applies may apply in writing to the school in respect of which the order was made for internal review of a decision— </w:t>
      </w:r>
    </w:p>
    <w:p w14:paraId="55F04233" w14:textId="77777777" w:rsidR="003E0ED2" w:rsidRPr="00236907" w:rsidRDefault="003E0ED2" w:rsidP="005303F8">
      <w:pPr>
        <w:ind w:left="2344" w:hanging="283"/>
        <w:rPr>
          <w:rFonts w:asciiTheme="majorHAnsi" w:hAnsiTheme="majorHAnsi" w:cstheme="majorHAnsi"/>
          <w:i/>
          <w:iCs/>
        </w:rPr>
      </w:pPr>
      <w:r w:rsidRPr="00236907">
        <w:rPr>
          <w:rFonts w:asciiTheme="majorHAnsi" w:hAnsiTheme="majorHAnsi" w:cstheme="majorHAnsi"/>
          <w:i/>
          <w:iCs/>
        </w:rPr>
        <w:t xml:space="preserve">(a) to make the order; or </w:t>
      </w:r>
    </w:p>
    <w:p w14:paraId="7D289489" w14:textId="77777777" w:rsidR="003E0ED2" w:rsidRPr="00236907" w:rsidRDefault="003E0ED2" w:rsidP="005303F8">
      <w:pPr>
        <w:ind w:left="2344" w:hanging="283"/>
        <w:rPr>
          <w:rFonts w:asciiTheme="majorHAnsi" w:hAnsiTheme="majorHAnsi" w:cstheme="majorHAnsi"/>
          <w:i/>
          <w:iCs/>
        </w:rPr>
      </w:pPr>
      <w:r w:rsidRPr="00236907">
        <w:rPr>
          <w:rFonts w:asciiTheme="majorHAnsi" w:hAnsiTheme="majorHAnsi" w:cstheme="majorHAnsi"/>
          <w:i/>
          <w:iCs/>
        </w:rPr>
        <w:t xml:space="preserve">(b) to vary the order on the authorised person's own motion; or </w:t>
      </w:r>
    </w:p>
    <w:p w14:paraId="5585F964" w14:textId="77777777" w:rsidR="00D8205F" w:rsidRPr="00236907" w:rsidRDefault="003E0ED2" w:rsidP="005303F8">
      <w:pPr>
        <w:ind w:left="2344" w:hanging="283"/>
        <w:rPr>
          <w:rFonts w:asciiTheme="majorHAnsi" w:hAnsiTheme="majorHAnsi" w:cstheme="majorHAnsi"/>
          <w:i/>
          <w:iCs/>
        </w:rPr>
      </w:pPr>
      <w:r w:rsidRPr="00236907">
        <w:rPr>
          <w:rFonts w:asciiTheme="majorHAnsi" w:hAnsiTheme="majorHAnsi" w:cstheme="majorHAnsi"/>
          <w:i/>
          <w:iCs/>
        </w:rPr>
        <w:t xml:space="preserve">(c) to refuse an application for variation of the order by the person to whom the order applies under section 2.1A.26(1)(b); or </w:t>
      </w:r>
    </w:p>
    <w:p w14:paraId="1705FBB8" w14:textId="62EDBD59" w:rsidR="003E0ED2" w:rsidRPr="00236907" w:rsidRDefault="003E0ED2" w:rsidP="005303F8">
      <w:pPr>
        <w:ind w:left="2344" w:hanging="283"/>
        <w:rPr>
          <w:rFonts w:asciiTheme="majorHAnsi" w:hAnsiTheme="majorHAnsi" w:cstheme="majorHAnsi"/>
          <w:i/>
          <w:iCs/>
        </w:rPr>
      </w:pPr>
      <w:r w:rsidRPr="00236907">
        <w:rPr>
          <w:rFonts w:asciiTheme="majorHAnsi" w:hAnsiTheme="majorHAnsi" w:cstheme="majorHAnsi"/>
          <w:i/>
          <w:iCs/>
        </w:rPr>
        <w:t>(d) to refuse to revoke an order under section 2.1A.25(a).</w:t>
      </w:r>
    </w:p>
    <w:p w14:paraId="6E9992B2" w14:textId="3CD7712E" w:rsidR="00EF2DA5" w:rsidRPr="00236907" w:rsidRDefault="00EF2DA5" w:rsidP="005303F8">
      <w:pPr>
        <w:pStyle w:val="BodyIndent1"/>
        <w:ind w:left="1777"/>
        <w:rPr>
          <w:rFonts w:asciiTheme="majorHAnsi" w:hAnsiTheme="majorHAnsi" w:cstheme="majorHAnsi"/>
        </w:rPr>
      </w:pPr>
      <w:r w:rsidRPr="00236907">
        <w:rPr>
          <w:rFonts w:asciiTheme="majorHAnsi" w:hAnsiTheme="majorHAnsi" w:cstheme="majorHAnsi"/>
        </w:rPr>
        <w:t xml:space="preserve">In some cases, internal reviewers have affirmed orders with minor variations. Under this provision, this could be </w:t>
      </w:r>
      <w:r w:rsidR="007410E6" w:rsidRPr="00236907">
        <w:rPr>
          <w:rFonts w:asciiTheme="majorHAnsi" w:hAnsiTheme="majorHAnsi" w:cstheme="majorHAnsi"/>
        </w:rPr>
        <w:t>read as a decision to vary the order by an authorised person</w:t>
      </w:r>
      <w:r w:rsidR="00706271" w:rsidRPr="00236907">
        <w:rPr>
          <w:rFonts w:asciiTheme="majorHAnsi" w:hAnsiTheme="majorHAnsi" w:cstheme="majorHAnsi"/>
        </w:rPr>
        <w:t xml:space="preserve"> on their own motion</w:t>
      </w:r>
      <w:r w:rsidR="007410E6" w:rsidRPr="00236907">
        <w:rPr>
          <w:rFonts w:asciiTheme="majorHAnsi" w:hAnsiTheme="majorHAnsi" w:cstheme="majorHAnsi"/>
        </w:rPr>
        <w:t xml:space="preserve">, which is </w:t>
      </w:r>
      <w:proofErr w:type="gramStart"/>
      <w:r w:rsidR="007410E6" w:rsidRPr="00236907">
        <w:rPr>
          <w:rFonts w:asciiTheme="majorHAnsi" w:hAnsiTheme="majorHAnsi" w:cstheme="majorHAnsi"/>
        </w:rPr>
        <w:t>in itself reviewable</w:t>
      </w:r>
      <w:proofErr w:type="gramEnd"/>
      <w:r w:rsidR="007410E6" w:rsidRPr="00236907">
        <w:rPr>
          <w:rFonts w:asciiTheme="majorHAnsi" w:hAnsiTheme="majorHAnsi" w:cstheme="majorHAnsi"/>
        </w:rPr>
        <w:t xml:space="preserve">. </w:t>
      </w:r>
      <w:r w:rsidR="00E50750" w:rsidRPr="00236907">
        <w:rPr>
          <w:rFonts w:asciiTheme="majorHAnsi" w:hAnsiTheme="majorHAnsi" w:cstheme="majorHAnsi"/>
        </w:rPr>
        <w:t>While the risk is minor, it could be ideal to remove this ambiguity by confirming that a decision to vary an order made by an internal reviewer is not in itself reviewable by internal review.</w:t>
      </w:r>
    </w:p>
    <w:p w14:paraId="2B89DA6C" w14:textId="7A611D3A" w:rsidR="0034004E" w:rsidRPr="00236907" w:rsidRDefault="00E625ED" w:rsidP="001618CA">
      <w:pPr>
        <w:pStyle w:val="BodyIndent1"/>
        <w:numPr>
          <w:ilvl w:val="0"/>
          <w:numId w:val="49"/>
        </w:numPr>
        <w:rPr>
          <w:rFonts w:asciiTheme="majorHAnsi" w:hAnsiTheme="majorHAnsi" w:cstheme="majorBidi"/>
        </w:rPr>
      </w:pPr>
      <w:r w:rsidRPr="00236907">
        <w:t>If a decision is not made within the period required by this section (including, if applicable, the period as extended) the ongoing school community safety order is revoked.</w:t>
      </w:r>
      <w:r w:rsidR="00B063DF" w:rsidRPr="00236907">
        <w:rPr>
          <w:rStyle w:val="FootnoteReference"/>
        </w:rPr>
        <w:footnoteReference w:id="69"/>
      </w:r>
      <w:r w:rsidR="0034004E" w:rsidRPr="00236907">
        <w:t xml:space="preserve"> </w:t>
      </w:r>
      <w:r w:rsidR="0008649B" w:rsidRPr="00236907">
        <w:rPr>
          <w:rFonts w:asciiTheme="majorHAnsi" w:hAnsiTheme="majorHAnsi" w:cstheme="majorBidi"/>
        </w:rPr>
        <w:t>An internal review may be for variation, not just revocation</w:t>
      </w:r>
      <w:r w:rsidR="000D5176" w:rsidRPr="00236907">
        <w:rPr>
          <w:rFonts w:asciiTheme="majorHAnsi" w:hAnsiTheme="majorHAnsi" w:cstheme="majorBidi"/>
        </w:rPr>
        <w:t xml:space="preserve">, and we received feedback that revocation may not be appropriate in this case. </w:t>
      </w:r>
      <w:r w:rsidR="000E5899" w:rsidRPr="00236907">
        <w:rPr>
          <w:rFonts w:asciiTheme="majorHAnsi" w:hAnsiTheme="majorHAnsi" w:cstheme="majorBidi"/>
        </w:rPr>
        <w:t xml:space="preserve">We did not identify this as a concern in our stakeholder consultations, although it is possible to envision a situation where an order was revoked inappropriately because the authorised decision-maker did not consider a proposed variation in time. It would be possible to amend the ETR Act to make the decision requested by the applicant to be the deemed decision </w:t>
      </w:r>
      <w:proofErr w:type="gramStart"/>
      <w:r w:rsidR="000E5899" w:rsidRPr="00236907">
        <w:rPr>
          <w:rFonts w:asciiTheme="majorHAnsi" w:hAnsiTheme="majorHAnsi" w:cstheme="majorBidi"/>
        </w:rPr>
        <w:t>in the event that</w:t>
      </w:r>
      <w:proofErr w:type="gramEnd"/>
      <w:r w:rsidR="000E5899" w:rsidRPr="00236907">
        <w:rPr>
          <w:rFonts w:asciiTheme="majorHAnsi" w:hAnsiTheme="majorHAnsi" w:cstheme="majorBidi"/>
        </w:rPr>
        <w:t xml:space="preserve"> the internal reviewer did not </w:t>
      </w:r>
      <w:proofErr w:type="gramStart"/>
      <w:r w:rsidR="000E5899" w:rsidRPr="00236907">
        <w:rPr>
          <w:rFonts w:asciiTheme="majorHAnsi" w:hAnsiTheme="majorHAnsi" w:cstheme="majorBidi"/>
        </w:rPr>
        <w:t>make a decision</w:t>
      </w:r>
      <w:proofErr w:type="gramEnd"/>
      <w:r w:rsidR="000E5899" w:rsidRPr="00236907">
        <w:rPr>
          <w:rFonts w:asciiTheme="majorHAnsi" w:hAnsiTheme="majorHAnsi" w:cstheme="majorBidi"/>
        </w:rPr>
        <w:t xml:space="preserve"> in time. There are some complexities with this option which would need to be managed, for example, the decision would not be reflected in the written version of the order, the applicant may have made a request for variation not permitted by the ETR Act (for example, requesting that the order be extended to other persons), or the applicant may have made several conflicting applications. </w:t>
      </w:r>
      <w:r w:rsidR="000E5899" w:rsidRPr="00236907">
        <w:rPr>
          <w:rFonts w:asciiTheme="majorHAnsi" w:hAnsiTheme="majorHAnsi" w:cstheme="majorBidi"/>
        </w:rPr>
        <w:lastRenderedPageBreak/>
        <w:t xml:space="preserve">The Department may pursue this change if it considers it worthwhile and if these complexities can be managed. </w:t>
      </w:r>
    </w:p>
    <w:p w14:paraId="39AE8D0B" w14:textId="726E38B3" w:rsidR="00A06948" w:rsidRPr="00236907" w:rsidRDefault="00A06948" w:rsidP="001618CA">
      <w:pPr>
        <w:pStyle w:val="BodyIndent1"/>
        <w:numPr>
          <w:ilvl w:val="0"/>
          <w:numId w:val="49"/>
        </w:numPr>
        <w:rPr>
          <w:rFonts w:asciiTheme="majorHAnsi" w:hAnsiTheme="majorHAnsi" w:cstheme="majorHAnsi"/>
        </w:rPr>
      </w:pPr>
      <w:r w:rsidRPr="00236907">
        <w:rPr>
          <w:rFonts w:asciiTheme="majorHAnsi" w:hAnsiTheme="majorHAnsi" w:cstheme="majorHAnsi"/>
        </w:rPr>
        <w:t>In some cases, an internal reviewer seeks more information from an applicant, and they do not respond.</w:t>
      </w:r>
      <w:r w:rsidR="001E08F6" w:rsidRPr="00236907">
        <w:rPr>
          <w:rFonts w:asciiTheme="majorHAnsi" w:hAnsiTheme="majorHAnsi" w:cstheme="majorHAnsi"/>
        </w:rPr>
        <w:t xml:space="preserve"> Where this has happened, the internal reviewer has proceeded on the information available. </w:t>
      </w:r>
      <w:r w:rsidR="00C5437F" w:rsidRPr="00236907">
        <w:rPr>
          <w:rFonts w:asciiTheme="majorHAnsi" w:hAnsiTheme="majorHAnsi" w:cstheme="majorHAnsi"/>
        </w:rPr>
        <w:t>This could be clarified in the Ministerial Guidelines.</w:t>
      </w:r>
    </w:p>
    <w:p w14:paraId="4C101225" w14:textId="7F5B7ED1" w:rsidR="00F96D8E" w:rsidRPr="00236907" w:rsidRDefault="0034004E" w:rsidP="00C160E6">
      <w:pPr>
        <w:pStyle w:val="BodyIndent1"/>
      </w:pPr>
      <w:r w:rsidRPr="00236907">
        <w:t xml:space="preserve">The Ministerial Guidelines refer to orders being </w:t>
      </w:r>
      <w:r w:rsidR="0094335B">
        <w:t>“</w:t>
      </w:r>
      <w:r w:rsidRPr="00236907">
        <w:t>invalidated</w:t>
      </w:r>
      <w:r w:rsidR="0094335B">
        <w:t>”</w:t>
      </w:r>
      <w:r w:rsidR="00911176" w:rsidRPr="00236907">
        <w:t xml:space="preserve"> on internal or external review.</w:t>
      </w:r>
      <w:r w:rsidR="00911176" w:rsidRPr="00236907">
        <w:rPr>
          <w:rStyle w:val="FootnoteReference"/>
        </w:rPr>
        <w:footnoteReference w:id="70"/>
      </w:r>
      <w:r w:rsidR="00911176" w:rsidRPr="00236907">
        <w:t xml:space="preserve"> This should be changed to ‘revoked’ to align to the ETR Act. </w:t>
      </w:r>
    </w:p>
    <w:p w14:paraId="65E70893" w14:textId="77777777" w:rsidR="000342A8" w:rsidRPr="00236907" w:rsidRDefault="000342A8" w:rsidP="008C0390">
      <w:pPr>
        <w:pStyle w:val="BodyIndent1"/>
      </w:pPr>
    </w:p>
    <w:tbl>
      <w:tblPr>
        <w:tblStyle w:val="MadTabPlumShade"/>
        <w:tblW w:w="5000" w:type="pct"/>
        <w:tblLook w:val="0620" w:firstRow="1" w:lastRow="0" w:firstColumn="0" w:lastColumn="0" w:noHBand="1" w:noVBand="1"/>
      </w:tblPr>
      <w:tblGrid>
        <w:gridCol w:w="686"/>
        <w:gridCol w:w="2552"/>
        <w:gridCol w:w="5786"/>
      </w:tblGrid>
      <w:tr w:rsidR="000342A8" w:rsidRPr="00236907" w14:paraId="2FAA8B8A" w14:textId="77777777" w:rsidTr="00BB0763">
        <w:trPr>
          <w:cnfStyle w:val="100000000000" w:firstRow="1" w:lastRow="0" w:firstColumn="0" w:lastColumn="0" w:oddVBand="0" w:evenVBand="0" w:oddHBand="0" w:evenHBand="0" w:firstRowFirstColumn="0" w:firstRowLastColumn="0" w:lastRowFirstColumn="0" w:lastRowLastColumn="0"/>
          <w:tblHeader/>
        </w:trPr>
        <w:tc>
          <w:tcPr>
            <w:tcW w:w="380" w:type="pct"/>
          </w:tcPr>
          <w:p w14:paraId="5FB95404" w14:textId="77777777" w:rsidR="000342A8" w:rsidRPr="00236907" w:rsidRDefault="000342A8">
            <w:r w:rsidRPr="00236907">
              <w:t>#</w:t>
            </w:r>
          </w:p>
        </w:tc>
        <w:tc>
          <w:tcPr>
            <w:tcW w:w="1414" w:type="pct"/>
          </w:tcPr>
          <w:p w14:paraId="63D917B2" w14:textId="77777777" w:rsidR="000342A8" w:rsidRPr="00236907" w:rsidRDefault="000342A8">
            <w:r w:rsidRPr="00236907">
              <w:t>Provision</w:t>
            </w:r>
          </w:p>
        </w:tc>
        <w:tc>
          <w:tcPr>
            <w:tcW w:w="3206" w:type="pct"/>
          </w:tcPr>
          <w:p w14:paraId="1A6F01F3" w14:textId="77777777" w:rsidR="000342A8" w:rsidRPr="00236907" w:rsidRDefault="000342A8">
            <w:r w:rsidRPr="00236907">
              <w:t>Recommendation</w:t>
            </w:r>
          </w:p>
        </w:tc>
      </w:tr>
      <w:tr w:rsidR="000342A8" w:rsidRPr="00236907" w14:paraId="3F429FEB" w14:textId="77777777" w:rsidTr="00716433">
        <w:tc>
          <w:tcPr>
            <w:tcW w:w="380" w:type="pct"/>
          </w:tcPr>
          <w:p w14:paraId="3CB7F2D1" w14:textId="167FBA40" w:rsidR="000342A8" w:rsidRPr="00236907" w:rsidRDefault="00A61758">
            <w:r w:rsidRPr="00236907">
              <w:t>7.</w:t>
            </w:r>
            <w:r w:rsidR="005F4369" w:rsidRPr="00236907">
              <w:t>7</w:t>
            </w:r>
          </w:p>
        </w:tc>
        <w:tc>
          <w:tcPr>
            <w:tcW w:w="1414" w:type="pct"/>
          </w:tcPr>
          <w:p w14:paraId="77EB12EA" w14:textId="11452D3D" w:rsidR="000342A8" w:rsidRPr="00236907" w:rsidRDefault="005303F8">
            <w:r w:rsidRPr="00236907">
              <w:t xml:space="preserve">ETR Act </w:t>
            </w:r>
            <w:r w:rsidR="001547D3" w:rsidRPr="00236907">
              <w:t xml:space="preserve">s 2.1A.29 Internal review, </w:t>
            </w:r>
            <w:r w:rsidR="00494563" w:rsidRPr="00236907">
              <w:t xml:space="preserve">Ministerial Guidelines, paragraph 259 </w:t>
            </w:r>
          </w:p>
        </w:tc>
        <w:tc>
          <w:tcPr>
            <w:tcW w:w="3206" w:type="pct"/>
          </w:tcPr>
          <w:p w14:paraId="104196CB" w14:textId="2BC1E754" w:rsidR="000342A8" w:rsidRPr="00236907" w:rsidRDefault="00324738">
            <w:r w:rsidRPr="00236907">
              <w:t xml:space="preserve">Amend the </w:t>
            </w:r>
            <w:r w:rsidR="001547D3" w:rsidRPr="00236907">
              <w:t xml:space="preserve">ETR Act and </w:t>
            </w:r>
            <w:r w:rsidR="0058305E" w:rsidRPr="00236907">
              <w:t xml:space="preserve">Ministerial Guidelines </w:t>
            </w:r>
            <w:r w:rsidRPr="00236907">
              <w:t>to clarify that a decision to affirm or vary an order by an internal reviewer is not reviewable in internal review.</w:t>
            </w:r>
          </w:p>
        </w:tc>
      </w:tr>
      <w:tr w:rsidR="000342A8" w:rsidRPr="00236907" w14:paraId="1D39C264" w14:textId="77777777" w:rsidTr="00716433">
        <w:tc>
          <w:tcPr>
            <w:tcW w:w="380" w:type="pct"/>
          </w:tcPr>
          <w:p w14:paraId="79FDE0B8" w14:textId="3D18E81E" w:rsidR="000342A8" w:rsidRPr="00236907" w:rsidRDefault="00A61758">
            <w:r w:rsidRPr="00236907">
              <w:t>7.</w:t>
            </w:r>
            <w:r w:rsidR="005F4369" w:rsidRPr="00236907">
              <w:t>8</w:t>
            </w:r>
          </w:p>
        </w:tc>
        <w:tc>
          <w:tcPr>
            <w:tcW w:w="1414" w:type="pct"/>
          </w:tcPr>
          <w:p w14:paraId="1BA2F7B2" w14:textId="09820CBD" w:rsidR="000342A8" w:rsidRPr="00236907" w:rsidRDefault="00D648F1">
            <w:r w:rsidRPr="00236907">
              <w:t xml:space="preserve">Ministerial Guidelines, paragraphs </w:t>
            </w:r>
            <w:r w:rsidR="00C84E20" w:rsidRPr="00236907">
              <w:t>269</w:t>
            </w:r>
          </w:p>
        </w:tc>
        <w:tc>
          <w:tcPr>
            <w:tcW w:w="3206" w:type="pct"/>
          </w:tcPr>
          <w:p w14:paraId="56051D16" w14:textId="7DE463DB" w:rsidR="000342A8" w:rsidRPr="00236907" w:rsidRDefault="00D648F1">
            <w:r w:rsidRPr="00236907">
              <w:t xml:space="preserve">Amend the Ministerial Guidelines to add that, if an applicant does not respond to a request for information, the reviewer </w:t>
            </w:r>
            <w:proofErr w:type="gramStart"/>
            <w:r w:rsidRPr="00236907">
              <w:t>makes a decision</w:t>
            </w:r>
            <w:proofErr w:type="gramEnd"/>
            <w:r w:rsidRPr="00236907">
              <w:t xml:space="preserve"> on the information available.</w:t>
            </w:r>
          </w:p>
        </w:tc>
      </w:tr>
      <w:tr w:rsidR="00D65CFB" w:rsidRPr="00236907" w14:paraId="198A4F6B" w14:textId="77777777" w:rsidTr="00716433">
        <w:tc>
          <w:tcPr>
            <w:tcW w:w="380" w:type="pct"/>
          </w:tcPr>
          <w:p w14:paraId="53E069B0" w14:textId="7F8D8995" w:rsidR="00D65CFB" w:rsidRPr="00236907" w:rsidRDefault="00A61758">
            <w:r w:rsidRPr="00236907">
              <w:t>7.</w:t>
            </w:r>
            <w:r w:rsidR="005F4369" w:rsidRPr="00236907">
              <w:t>9</w:t>
            </w:r>
          </w:p>
        </w:tc>
        <w:tc>
          <w:tcPr>
            <w:tcW w:w="1414" w:type="pct"/>
          </w:tcPr>
          <w:p w14:paraId="6343794D" w14:textId="092E7A7F" w:rsidR="00D65CFB" w:rsidRPr="00236907" w:rsidRDefault="00173AB3">
            <w:r w:rsidRPr="00236907">
              <w:t>Ministerial Guidelines, paragraph</w:t>
            </w:r>
            <w:r w:rsidR="00D648F1" w:rsidRPr="00236907">
              <w:t>s</w:t>
            </w:r>
            <w:r w:rsidRPr="00236907">
              <w:t xml:space="preserve"> 51, 64</w:t>
            </w:r>
          </w:p>
        </w:tc>
        <w:tc>
          <w:tcPr>
            <w:tcW w:w="3206" w:type="pct"/>
          </w:tcPr>
          <w:p w14:paraId="2E915C2F" w14:textId="375C2A2A" w:rsidR="00D65CFB" w:rsidRPr="00236907" w:rsidRDefault="00D648F1">
            <w:r w:rsidRPr="00236907">
              <w:t xml:space="preserve">Replace </w:t>
            </w:r>
            <w:r w:rsidR="0094335B">
              <w:t>“</w:t>
            </w:r>
            <w:r w:rsidRPr="00236907">
              <w:t>invalidated</w:t>
            </w:r>
            <w:r w:rsidR="0094335B">
              <w:t>”</w:t>
            </w:r>
            <w:r w:rsidRPr="00236907">
              <w:t xml:space="preserve"> with </w:t>
            </w:r>
            <w:r w:rsidR="0094335B">
              <w:t>“</w:t>
            </w:r>
            <w:r w:rsidRPr="00236907">
              <w:t>revoked</w:t>
            </w:r>
            <w:r w:rsidR="0094335B">
              <w:t>”</w:t>
            </w:r>
            <w:r w:rsidRPr="00236907">
              <w:t xml:space="preserve"> to align the Ministerial Guidelines to the ETR Act. </w:t>
            </w:r>
          </w:p>
        </w:tc>
      </w:tr>
    </w:tbl>
    <w:p w14:paraId="1CAF8B38" w14:textId="55CC6014" w:rsidR="00D041C0" w:rsidRPr="00236907" w:rsidRDefault="00D041C0" w:rsidP="003E066A">
      <w:pPr>
        <w:pStyle w:val="Heading2"/>
      </w:pPr>
      <w:bookmarkStart w:id="31" w:name="_Toc210053630"/>
      <w:r w:rsidRPr="00236907">
        <w:t>External review</w:t>
      </w:r>
      <w:bookmarkEnd w:id="31"/>
    </w:p>
    <w:p w14:paraId="02CED4B1" w14:textId="44CA068F" w:rsidR="00D041C0" w:rsidRPr="00236907" w:rsidRDefault="00D94106" w:rsidP="00D041C0">
      <w:pPr>
        <w:pStyle w:val="BodyIndent1"/>
      </w:pPr>
      <w:r w:rsidRPr="00236907">
        <w:t xml:space="preserve">At the time of writing, only two </w:t>
      </w:r>
      <w:r w:rsidR="00E63ABD" w:rsidRPr="00236907">
        <w:t xml:space="preserve">ongoing orders </w:t>
      </w:r>
      <w:r w:rsidRPr="00236907">
        <w:t xml:space="preserve">have progressed to external review. As such, the Department has limited experience with the external review process. </w:t>
      </w:r>
      <w:r w:rsidR="008A1201" w:rsidRPr="00236907">
        <w:t xml:space="preserve">However, two </w:t>
      </w:r>
      <w:r w:rsidR="00E63ABD" w:rsidRPr="00236907">
        <w:t xml:space="preserve">issues </w:t>
      </w:r>
      <w:r w:rsidR="008A1201" w:rsidRPr="00236907">
        <w:t xml:space="preserve">have arisen </w:t>
      </w:r>
      <w:r w:rsidR="00E63ABD" w:rsidRPr="00236907">
        <w:t xml:space="preserve">for </w:t>
      </w:r>
      <w:r w:rsidR="008A1201" w:rsidRPr="00236907">
        <w:t>consider</w:t>
      </w:r>
      <w:r w:rsidR="00E63ABD" w:rsidRPr="00236907">
        <w:t>ation</w:t>
      </w:r>
      <w:r w:rsidR="008A1201" w:rsidRPr="00236907">
        <w:t xml:space="preserve"> as part of this review</w:t>
      </w:r>
      <w:r w:rsidR="007D2267" w:rsidRPr="00236907">
        <w:t>:</w:t>
      </w:r>
    </w:p>
    <w:p w14:paraId="26B2EDC2" w14:textId="538DAB38" w:rsidR="000E42F8" w:rsidRPr="00236907" w:rsidRDefault="00E63ABD" w:rsidP="001618CA">
      <w:pPr>
        <w:pStyle w:val="BodyIndent1"/>
        <w:numPr>
          <w:ilvl w:val="0"/>
          <w:numId w:val="50"/>
        </w:numPr>
      </w:pPr>
      <w:r w:rsidRPr="00236907">
        <w:rPr>
          <w:b/>
          <w:bCs/>
        </w:rPr>
        <w:t>External review timing</w:t>
      </w:r>
      <w:r w:rsidRPr="00236907">
        <w:t xml:space="preserve">: due to VCAT’s waiting periods, external review proceedings will generally </w:t>
      </w:r>
      <w:r w:rsidR="00474217" w:rsidRPr="00236907">
        <w:t xml:space="preserve">not be heard before </w:t>
      </w:r>
      <w:r w:rsidRPr="00236907">
        <w:t xml:space="preserve">the </w:t>
      </w:r>
      <w:r w:rsidR="00474217" w:rsidRPr="00236907">
        <w:t xml:space="preserve">order </w:t>
      </w:r>
      <w:r w:rsidRPr="00236907">
        <w:t xml:space="preserve">under review </w:t>
      </w:r>
      <w:r w:rsidR="00474217" w:rsidRPr="00236907">
        <w:t>expires</w:t>
      </w:r>
      <w:r w:rsidRPr="00236907">
        <w:t>.</w:t>
      </w:r>
    </w:p>
    <w:p w14:paraId="174DF43A" w14:textId="5AA3D88D" w:rsidR="00C61664" w:rsidRPr="00236907" w:rsidRDefault="00E63ABD" w:rsidP="001618CA">
      <w:pPr>
        <w:pStyle w:val="BodyIndent1"/>
        <w:numPr>
          <w:ilvl w:val="0"/>
          <w:numId w:val="50"/>
        </w:numPr>
      </w:pPr>
      <w:r w:rsidRPr="00236907">
        <w:rPr>
          <w:b/>
          <w:bCs/>
        </w:rPr>
        <w:t>Privacy</w:t>
      </w:r>
      <w:r w:rsidRPr="00236907">
        <w:t>: in an external review proceeding, the Department is required to file with VCAT and serve on the applicant all relevant documents.</w:t>
      </w:r>
      <w:r w:rsidR="003233DE" w:rsidRPr="00236907">
        <w:t xml:space="preserve"> This raises the possibility that the sensitive personal information of individuals who have been affected by the behaviour leading to the order is made available to the person subject to the order.</w:t>
      </w:r>
    </w:p>
    <w:p w14:paraId="65BAAA69" w14:textId="17DD842F" w:rsidR="00C61664" w:rsidRPr="00236907" w:rsidRDefault="00C61664" w:rsidP="005A4CAE">
      <w:pPr>
        <w:pStyle w:val="Heading3"/>
        <w:spacing w:line="276" w:lineRule="auto"/>
        <w:rPr>
          <w:b/>
          <w:bCs/>
          <w:i/>
          <w:iCs/>
        </w:rPr>
      </w:pPr>
      <w:r w:rsidRPr="00236907">
        <w:rPr>
          <w:b/>
          <w:bCs/>
          <w:i/>
          <w:iCs/>
        </w:rPr>
        <w:t>External review timing</w:t>
      </w:r>
    </w:p>
    <w:p w14:paraId="328817F3" w14:textId="4017330E" w:rsidR="00B070E4" w:rsidRPr="00236907" w:rsidRDefault="00B070E4" w:rsidP="00D041C0">
      <w:pPr>
        <w:pStyle w:val="BodyIndent1"/>
      </w:pPr>
      <w:r w:rsidRPr="00236907">
        <w:t>Part 2.1A of the ETR Act provides clear timeframes for internal review of an SCSO.  An application for internal review of an SCSO can be made within 28 days of the making of the SCSO. The internal review decision must be made within 28 days. This period may be extended</w:t>
      </w:r>
      <w:r w:rsidR="00354153" w:rsidRPr="00236907">
        <w:t xml:space="preserve"> once</w:t>
      </w:r>
      <w:r w:rsidRPr="00236907">
        <w:t xml:space="preserve">. An external review application to VCAT must be made within 28 days of the internal review decision. An SCSO can be made for a maximum of 12 months. </w:t>
      </w:r>
    </w:p>
    <w:p w14:paraId="3EDA11DD" w14:textId="2D917016" w:rsidR="003A362C" w:rsidRPr="00236907" w:rsidRDefault="003A362C" w:rsidP="00D041C0">
      <w:pPr>
        <w:pStyle w:val="BodyIndent1"/>
      </w:pPr>
      <w:r w:rsidRPr="00236907">
        <w:t>There is no fixed timeframe for a proceeding in VCAT’s review and regulation list. The following points have been gleaned from the SCSO proceedings before VCAT a</w:t>
      </w:r>
      <w:r w:rsidR="008D2527" w:rsidRPr="00236907">
        <w:t>t</w:t>
      </w:r>
      <w:r w:rsidRPr="00236907">
        <w:t xml:space="preserve"> the time of the drafting of this report:</w:t>
      </w:r>
    </w:p>
    <w:p w14:paraId="1264E7C2" w14:textId="0C5F371E" w:rsidR="00C61664" w:rsidRPr="00236907" w:rsidRDefault="003A362C" w:rsidP="001618CA">
      <w:pPr>
        <w:pStyle w:val="BodyIndent1"/>
        <w:numPr>
          <w:ilvl w:val="0"/>
          <w:numId w:val="51"/>
        </w:numPr>
      </w:pPr>
      <w:r w:rsidRPr="00236907">
        <w:t xml:space="preserve">A proceeding will be listed for a </w:t>
      </w:r>
      <w:proofErr w:type="gramStart"/>
      <w:r w:rsidRPr="00236907">
        <w:t>directions</w:t>
      </w:r>
      <w:proofErr w:type="gramEnd"/>
      <w:r w:rsidRPr="00236907">
        <w:t xml:space="preserve"> hearing</w:t>
      </w:r>
      <w:r w:rsidR="008D2527" w:rsidRPr="00236907">
        <w:t xml:space="preserve"> that occurs</w:t>
      </w:r>
      <w:r w:rsidRPr="00236907">
        <w:t xml:space="preserve"> approximately 3 months after the application is lodge</w:t>
      </w:r>
      <w:r w:rsidR="00B070E4" w:rsidRPr="00236907">
        <w:t>d.</w:t>
      </w:r>
    </w:p>
    <w:p w14:paraId="7909E8C2" w14:textId="4C33E0A8" w:rsidR="00B070E4" w:rsidRPr="00236907" w:rsidRDefault="009E62E4" w:rsidP="001618CA">
      <w:pPr>
        <w:pStyle w:val="BodyIndent1"/>
        <w:numPr>
          <w:ilvl w:val="0"/>
          <w:numId w:val="51"/>
        </w:numPr>
      </w:pPr>
      <w:r w:rsidRPr="00236907">
        <w:lastRenderedPageBreak/>
        <w:t>There is</w:t>
      </w:r>
      <w:r w:rsidR="00B070E4" w:rsidRPr="00236907">
        <w:t xml:space="preserve"> no mechanism to alert VCAT to an impending SCSO expiry date after an application is made. This was attempted for a proceeding lodged in September 2024, by emailing and calling VCAT’s registry, but a directions hearing was still listed 3 months later.</w:t>
      </w:r>
    </w:p>
    <w:p w14:paraId="639DD4CF" w14:textId="7BCCCAC1" w:rsidR="003A362C" w:rsidRPr="00236907" w:rsidRDefault="003A362C" w:rsidP="001618CA">
      <w:pPr>
        <w:pStyle w:val="BodyIndent1"/>
        <w:numPr>
          <w:ilvl w:val="0"/>
          <w:numId w:val="51"/>
        </w:numPr>
      </w:pPr>
      <w:r w:rsidRPr="00236907">
        <w:t xml:space="preserve">VCAT will not allocate a hearing date until the proceeding is at a point where an accurate hearing estimate can be given. </w:t>
      </w:r>
      <w:r w:rsidR="00B070E4" w:rsidRPr="00236907">
        <w:t>Accordingly, e</w:t>
      </w:r>
      <w:r w:rsidRPr="00236907">
        <w:t>xchange of evidence and preparation of a Tribunal Book must occur before VCAT will list a hearing date.</w:t>
      </w:r>
    </w:p>
    <w:p w14:paraId="42639B95" w14:textId="0E9826A2" w:rsidR="003A362C" w:rsidRPr="00236907" w:rsidRDefault="003A362C" w:rsidP="001618CA">
      <w:pPr>
        <w:pStyle w:val="BodyIndent1"/>
        <w:numPr>
          <w:ilvl w:val="0"/>
          <w:numId w:val="51"/>
        </w:numPr>
      </w:pPr>
      <w:r w:rsidRPr="00236907">
        <w:t xml:space="preserve">The hearing date must be listed to allow sufficient time for exchange of submissions. </w:t>
      </w:r>
    </w:p>
    <w:p w14:paraId="0886049A" w14:textId="0AD552C0" w:rsidR="003A362C" w:rsidRPr="00236907" w:rsidRDefault="003A362C" w:rsidP="001618CA">
      <w:pPr>
        <w:pStyle w:val="BodyIndent1"/>
        <w:numPr>
          <w:ilvl w:val="0"/>
          <w:numId w:val="51"/>
        </w:numPr>
      </w:pPr>
      <w:r w:rsidRPr="00236907">
        <w:t xml:space="preserve">VCAT indicated in December 2024 that it was listing hearings in June 2025. This indicates a wait period of </w:t>
      </w:r>
      <w:r w:rsidR="00C408E7" w:rsidRPr="00236907">
        <w:t xml:space="preserve">at least </w:t>
      </w:r>
      <w:r w:rsidRPr="00236907">
        <w:t>six</w:t>
      </w:r>
      <w:r w:rsidR="009E62E4" w:rsidRPr="00236907">
        <w:t xml:space="preserve"> months. </w:t>
      </w:r>
    </w:p>
    <w:p w14:paraId="6364EA8D" w14:textId="3EB02A64" w:rsidR="00B070E4" w:rsidRPr="00236907" w:rsidRDefault="00B070E4" w:rsidP="001618CA">
      <w:pPr>
        <w:pStyle w:val="BodyIndent1"/>
        <w:numPr>
          <w:ilvl w:val="0"/>
          <w:numId w:val="51"/>
        </w:numPr>
      </w:pPr>
      <w:r w:rsidRPr="00236907">
        <w:t xml:space="preserve">Depending on the complexity of the proceeding, a VCAT member will likely need to reserve their decision following the hearing. This </w:t>
      </w:r>
      <w:r w:rsidR="009E62E4" w:rsidRPr="00236907">
        <w:t xml:space="preserve">would </w:t>
      </w:r>
      <w:r w:rsidRPr="00236907">
        <w:t xml:space="preserve">add further time before an external review </w:t>
      </w:r>
      <w:r w:rsidR="5F0EA25F" w:rsidRPr="00236907">
        <w:t>decision</w:t>
      </w:r>
      <w:r w:rsidRPr="00236907">
        <w:t xml:space="preserve"> is made.</w:t>
      </w:r>
    </w:p>
    <w:p w14:paraId="047B6DD0" w14:textId="65A16C10" w:rsidR="000D00EF" w:rsidRPr="00236907" w:rsidRDefault="00B070E4" w:rsidP="000D00EF">
      <w:pPr>
        <w:pStyle w:val="BodyIndent1"/>
      </w:pPr>
      <w:r w:rsidRPr="00236907">
        <w:t xml:space="preserve">From the time of the filing of an application for </w:t>
      </w:r>
      <w:r w:rsidR="00D34BCE" w:rsidRPr="00236907">
        <w:t xml:space="preserve">external </w:t>
      </w:r>
      <w:r w:rsidRPr="00236907">
        <w:t xml:space="preserve">review to </w:t>
      </w:r>
      <w:r w:rsidR="004F190C" w:rsidRPr="00236907">
        <w:t>a final decision</w:t>
      </w:r>
      <w:r w:rsidRPr="00236907">
        <w:t xml:space="preserve"> by VCAT, </w:t>
      </w:r>
      <w:r w:rsidR="009E62E4" w:rsidRPr="00236907">
        <w:t xml:space="preserve">more than </w:t>
      </w:r>
      <w:r w:rsidRPr="00236907">
        <w:t xml:space="preserve">12 months </w:t>
      </w:r>
      <w:r w:rsidR="009E62E4" w:rsidRPr="00236907">
        <w:t xml:space="preserve">are likely to have </w:t>
      </w:r>
      <w:r w:rsidRPr="00236907">
        <w:t>pass</w:t>
      </w:r>
      <w:r w:rsidR="009E62E4" w:rsidRPr="00236907">
        <w:t>ed</w:t>
      </w:r>
      <w:r w:rsidRPr="00236907">
        <w:t xml:space="preserve">. If timetabling is </w:t>
      </w:r>
      <w:r w:rsidR="008D2527" w:rsidRPr="00236907">
        <w:t xml:space="preserve">agreed on a more </w:t>
      </w:r>
      <w:r w:rsidRPr="00236907">
        <w:t>expedited</w:t>
      </w:r>
      <w:r w:rsidR="008D2527" w:rsidRPr="00236907">
        <w:t xml:space="preserve"> basis</w:t>
      </w:r>
      <w:r w:rsidRPr="00236907">
        <w:t>, this could be reduced to approximately 9 months, though this will vary from case to case depending on complexity and the nature and volume of the evidence.</w:t>
      </w:r>
      <w:r w:rsidR="00F42D42" w:rsidRPr="00236907">
        <w:t xml:space="preserve"> The below table shows an indicative timeline for review of an SCSO:</w:t>
      </w:r>
    </w:p>
    <w:p w14:paraId="16572589" w14:textId="77777777" w:rsidR="00F42D42" w:rsidRPr="00236907" w:rsidRDefault="00F42D42" w:rsidP="000D00EF">
      <w:pPr>
        <w:pStyle w:val="BodyIndent1"/>
      </w:pPr>
    </w:p>
    <w:tbl>
      <w:tblPr>
        <w:tblStyle w:val="MadTabPlumGrid"/>
        <w:tblW w:w="4531" w:type="pct"/>
        <w:tblInd w:w="851" w:type="dxa"/>
        <w:tblLook w:val="0620" w:firstRow="1" w:lastRow="0" w:firstColumn="0" w:lastColumn="0" w:noHBand="1" w:noVBand="1"/>
      </w:tblPr>
      <w:tblGrid>
        <w:gridCol w:w="1417"/>
        <w:gridCol w:w="6802"/>
      </w:tblGrid>
      <w:tr w:rsidR="00527869" w:rsidRPr="00236907" w14:paraId="1732801D" w14:textId="77777777" w:rsidTr="00C160E6">
        <w:trPr>
          <w:cnfStyle w:val="100000000000" w:firstRow="1" w:lastRow="0" w:firstColumn="0" w:lastColumn="0" w:oddVBand="0" w:evenVBand="0" w:oddHBand="0" w:evenHBand="0" w:firstRowFirstColumn="0" w:firstRowLastColumn="0" w:lastRowFirstColumn="0" w:lastRowLastColumn="0"/>
        </w:trPr>
        <w:tc>
          <w:tcPr>
            <w:tcW w:w="862" w:type="pct"/>
          </w:tcPr>
          <w:p w14:paraId="55FE7DC7" w14:textId="6B579E45" w:rsidR="00527869" w:rsidRPr="00236907" w:rsidRDefault="00AE5C4B" w:rsidP="00A86E08">
            <w:r w:rsidRPr="00236907">
              <w:t>Time</w:t>
            </w:r>
          </w:p>
        </w:tc>
        <w:tc>
          <w:tcPr>
            <w:tcW w:w="4138" w:type="pct"/>
          </w:tcPr>
          <w:p w14:paraId="1F2C28D8" w14:textId="12D6C484" w:rsidR="00527869" w:rsidRPr="00236907" w:rsidRDefault="00AE5C4B" w:rsidP="00A86E08">
            <w:r w:rsidRPr="00236907">
              <w:t>Stage in process</w:t>
            </w:r>
          </w:p>
        </w:tc>
      </w:tr>
      <w:tr w:rsidR="00527869" w:rsidRPr="00236907" w14:paraId="6336ADBE" w14:textId="77777777" w:rsidTr="00C160E6">
        <w:tc>
          <w:tcPr>
            <w:tcW w:w="862" w:type="pct"/>
          </w:tcPr>
          <w:p w14:paraId="0769971B" w14:textId="2B109022" w:rsidR="00527869" w:rsidRPr="00236907" w:rsidRDefault="00527869" w:rsidP="00527869">
            <w:r w:rsidRPr="00236907">
              <w:t>0 months</w:t>
            </w:r>
          </w:p>
        </w:tc>
        <w:tc>
          <w:tcPr>
            <w:tcW w:w="4138" w:type="pct"/>
          </w:tcPr>
          <w:p w14:paraId="78D68D9E" w14:textId="1451E96D" w:rsidR="00527869" w:rsidRPr="00236907" w:rsidRDefault="00527869" w:rsidP="00527869">
            <w:r w:rsidRPr="00236907">
              <w:t>Order is made for maximum duration of 12 months</w:t>
            </w:r>
          </w:p>
        </w:tc>
      </w:tr>
      <w:tr w:rsidR="00527869" w:rsidRPr="00236907" w14:paraId="6FFE66CA" w14:textId="77777777" w:rsidTr="00C160E6">
        <w:tc>
          <w:tcPr>
            <w:tcW w:w="862" w:type="pct"/>
          </w:tcPr>
          <w:p w14:paraId="43B434A1" w14:textId="2574AB61" w:rsidR="00527869" w:rsidRPr="00236907" w:rsidRDefault="00527869" w:rsidP="00527869">
            <w:r w:rsidRPr="00236907">
              <w:t>1 month</w:t>
            </w:r>
          </w:p>
        </w:tc>
        <w:tc>
          <w:tcPr>
            <w:tcW w:w="4138" w:type="pct"/>
          </w:tcPr>
          <w:p w14:paraId="7353DFD3" w14:textId="07DF653C" w:rsidR="00527869" w:rsidRPr="00236907" w:rsidRDefault="00527869" w:rsidP="00527869">
            <w:r w:rsidRPr="00236907">
              <w:t>Internal review application is made</w:t>
            </w:r>
          </w:p>
        </w:tc>
      </w:tr>
      <w:tr w:rsidR="00527869" w:rsidRPr="00236907" w14:paraId="0F6AB63F" w14:textId="77777777" w:rsidTr="00C160E6">
        <w:tc>
          <w:tcPr>
            <w:tcW w:w="862" w:type="pct"/>
          </w:tcPr>
          <w:p w14:paraId="25A70854" w14:textId="203B5CBB" w:rsidR="00527869" w:rsidRPr="00236907" w:rsidRDefault="00527869" w:rsidP="00527869">
            <w:r w:rsidRPr="00236907">
              <w:t>2 months</w:t>
            </w:r>
          </w:p>
        </w:tc>
        <w:tc>
          <w:tcPr>
            <w:tcW w:w="4138" w:type="pct"/>
          </w:tcPr>
          <w:p w14:paraId="13F7404E" w14:textId="0C89F5EF" w:rsidR="00527869" w:rsidRPr="00236907" w:rsidRDefault="00527869" w:rsidP="00527869">
            <w:r w:rsidRPr="00236907">
              <w:t>Internal review decision is made (this may be extended by 28 days</w:t>
            </w:r>
            <w:r w:rsidR="009E62E4" w:rsidRPr="00236907">
              <w:t>, and this time may be more delayed if further information is sought by the internal reviewer</w:t>
            </w:r>
            <w:r w:rsidRPr="00236907">
              <w:t>)</w:t>
            </w:r>
          </w:p>
        </w:tc>
      </w:tr>
      <w:tr w:rsidR="00527869" w:rsidRPr="00236907" w14:paraId="22772571" w14:textId="77777777" w:rsidTr="00C160E6">
        <w:tc>
          <w:tcPr>
            <w:tcW w:w="862" w:type="pct"/>
          </w:tcPr>
          <w:p w14:paraId="3A2BD047" w14:textId="4BE1C7ED" w:rsidR="00527869" w:rsidRPr="00236907" w:rsidRDefault="00527869" w:rsidP="00527869">
            <w:r w:rsidRPr="00236907">
              <w:t>3 months</w:t>
            </w:r>
          </w:p>
        </w:tc>
        <w:tc>
          <w:tcPr>
            <w:tcW w:w="4138" w:type="pct"/>
          </w:tcPr>
          <w:p w14:paraId="3DE20218" w14:textId="2FBFA7F7" w:rsidR="00527869" w:rsidRPr="00236907" w:rsidRDefault="00527869" w:rsidP="00527869">
            <w:r w:rsidRPr="00236907">
              <w:t>External review application is made</w:t>
            </w:r>
          </w:p>
        </w:tc>
      </w:tr>
      <w:tr w:rsidR="00527869" w:rsidRPr="00236907" w14:paraId="5790A117" w14:textId="77777777" w:rsidTr="00C160E6">
        <w:tc>
          <w:tcPr>
            <w:tcW w:w="862" w:type="pct"/>
          </w:tcPr>
          <w:p w14:paraId="302B9604" w14:textId="669B728A" w:rsidR="00527869" w:rsidRPr="00236907" w:rsidRDefault="00527869" w:rsidP="00527869">
            <w:r w:rsidRPr="00236907">
              <w:t>6 months</w:t>
            </w:r>
          </w:p>
        </w:tc>
        <w:tc>
          <w:tcPr>
            <w:tcW w:w="4138" w:type="pct"/>
          </w:tcPr>
          <w:p w14:paraId="1326EE4C" w14:textId="748600BB" w:rsidR="00527869" w:rsidRPr="00236907" w:rsidRDefault="00527869" w:rsidP="00527869">
            <w:r w:rsidRPr="00236907">
              <w:t>VCAT directions hearing</w:t>
            </w:r>
          </w:p>
        </w:tc>
      </w:tr>
      <w:tr w:rsidR="00527869" w:rsidRPr="00236907" w14:paraId="63CABB68" w14:textId="77777777" w:rsidTr="00C160E6">
        <w:tc>
          <w:tcPr>
            <w:tcW w:w="862" w:type="pct"/>
          </w:tcPr>
          <w:p w14:paraId="1973CC54" w14:textId="53D6F5A7" w:rsidR="00527869" w:rsidRPr="00236907" w:rsidRDefault="00527869" w:rsidP="00527869">
            <w:r w:rsidRPr="00236907">
              <w:t>8 months</w:t>
            </w:r>
          </w:p>
        </w:tc>
        <w:tc>
          <w:tcPr>
            <w:tcW w:w="4138" w:type="pct"/>
          </w:tcPr>
          <w:p w14:paraId="0A7273A2" w14:textId="789ADAE9" w:rsidR="00527869" w:rsidRPr="00236907" w:rsidRDefault="00527869" w:rsidP="00527869">
            <w:r w:rsidRPr="00236907">
              <w:t>VCAT hearing date listed</w:t>
            </w:r>
          </w:p>
        </w:tc>
      </w:tr>
      <w:tr w:rsidR="00527869" w:rsidRPr="00236907" w14:paraId="2102AC09" w14:textId="77777777" w:rsidTr="00C160E6">
        <w:tc>
          <w:tcPr>
            <w:tcW w:w="862" w:type="pct"/>
          </w:tcPr>
          <w:p w14:paraId="58F7EC94" w14:textId="67CD1547" w:rsidR="00527869" w:rsidRPr="00236907" w:rsidRDefault="00527869" w:rsidP="00527869">
            <w:r w:rsidRPr="00236907">
              <w:t>12 months</w:t>
            </w:r>
          </w:p>
        </w:tc>
        <w:tc>
          <w:tcPr>
            <w:tcW w:w="4138" w:type="pct"/>
          </w:tcPr>
          <w:p w14:paraId="3A3BBE5C" w14:textId="57A59DC3" w:rsidR="00527869" w:rsidRPr="00236907" w:rsidRDefault="00527869" w:rsidP="00527869">
            <w:r w:rsidRPr="00236907">
              <w:t>Order expires (</w:t>
            </w:r>
            <w:r w:rsidR="009E62E4" w:rsidRPr="00236907">
              <w:t>VCAT is likely to dismiss the proceeding at this point)</w:t>
            </w:r>
          </w:p>
        </w:tc>
      </w:tr>
      <w:tr w:rsidR="00527869" w:rsidRPr="00236907" w14:paraId="23C4CDB3" w14:textId="77777777" w:rsidTr="00C160E6">
        <w:tc>
          <w:tcPr>
            <w:tcW w:w="862" w:type="pct"/>
          </w:tcPr>
          <w:p w14:paraId="0577EA98" w14:textId="0551610A" w:rsidR="00527869" w:rsidRPr="00236907" w:rsidRDefault="00527869" w:rsidP="00527869">
            <w:r w:rsidRPr="00236907">
              <w:t>14 months</w:t>
            </w:r>
          </w:p>
        </w:tc>
        <w:tc>
          <w:tcPr>
            <w:tcW w:w="4138" w:type="pct"/>
          </w:tcPr>
          <w:p w14:paraId="646F7ABF" w14:textId="39405E90" w:rsidR="00527869" w:rsidRPr="00236907" w:rsidRDefault="00527869" w:rsidP="00527869">
            <w:r w:rsidRPr="00236907">
              <w:t>VCAT hearing</w:t>
            </w:r>
            <w:r w:rsidR="009E62E4" w:rsidRPr="00236907">
              <w:t xml:space="preserve"> (assuming VCAT did not dismiss the proceeding)</w:t>
            </w:r>
          </w:p>
        </w:tc>
      </w:tr>
      <w:tr w:rsidR="00527869" w:rsidRPr="00236907" w14:paraId="4A08AF31" w14:textId="77777777" w:rsidTr="00C160E6">
        <w:tc>
          <w:tcPr>
            <w:tcW w:w="862" w:type="pct"/>
          </w:tcPr>
          <w:p w14:paraId="5463301D" w14:textId="2E27D2FF" w:rsidR="00527869" w:rsidRPr="00236907" w:rsidRDefault="00527869" w:rsidP="00527869">
            <w:r w:rsidRPr="00236907">
              <w:t>15 months</w:t>
            </w:r>
          </w:p>
        </w:tc>
        <w:tc>
          <w:tcPr>
            <w:tcW w:w="4138" w:type="pct"/>
          </w:tcPr>
          <w:p w14:paraId="7C39A1FF" w14:textId="48D64F16" w:rsidR="00527869" w:rsidRPr="00236907" w:rsidRDefault="00527869" w:rsidP="00527869">
            <w:r w:rsidRPr="00236907">
              <w:t xml:space="preserve">VCAT orders (if not made </w:t>
            </w:r>
            <w:r w:rsidRPr="00236907">
              <w:rPr>
                <w:i/>
                <w:iCs/>
              </w:rPr>
              <w:t>ex tempore</w:t>
            </w:r>
            <w:r w:rsidRPr="00236907">
              <w:t>)</w:t>
            </w:r>
          </w:p>
        </w:tc>
      </w:tr>
    </w:tbl>
    <w:p w14:paraId="14E92B11" w14:textId="6BDA3583" w:rsidR="00C82BA2" w:rsidRPr="00236907" w:rsidRDefault="00C82BA2" w:rsidP="00593183">
      <w:pPr>
        <w:pStyle w:val="Heading3"/>
        <w:spacing w:line="276" w:lineRule="auto"/>
        <w:rPr>
          <w:b/>
          <w:bCs/>
          <w:i/>
          <w:iCs/>
        </w:rPr>
      </w:pPr>
      <w:r w:rsidRPr="00236907">
        <w:rPr>
          <w:b/>
          <w:bCs/>
          <w:i/>
          <w:iCs/>
        </w:rPr>
        <w:t>Effect of expiry of order on external review</w:t>
      </w:r>
    </w:p>
    <w:p w14:paraId="1F73967C" w14:textId="07A22619" w:rsidR="00C82BA2" w:rsidRPr="00236907" w:rsidRDefault="00C82BA2" w:rsidP="00B070E4">
      <w:pPr>
        <w:pStyle w:val="BodyIndent1"/>
      </w:pPr>
      <w:r w:rsidRPr="00236907">
        <w:t xml:space="preserve">If an SCSO expires before VCAT makes its </w:t>
      </w:r>
      <w:r w:rsidR="009E62E4" w:rsidRPr="00236907">
        <w:t>decision</w:t>
      </w:r>
      <w:r w:rsidRPr="00236907">
        <w:t>, there is a strong basis to conclude that VCAT’s review proceeding has no utility and should be dismissed</w:t>
      </w:r>
      <w:r w:rsidR="00DF39AF" w:rsidRPr="00236907">
        <w:t>.</w:t>
      </w:r>
      <w:r w:rsidRPr="00236907">
        <w:rPr>
          <w:rStyle w:val="FootnoteReference"/>
        </w:rPr>
        <w:footnoteReference w:id="71"/>
      </w:r>
      <w:r w:rsidR="00DF39AF" w:rsidRPr="00236907">
        <w:t xml:space="preserve"> As VCAT has pointed out</w:t>
      </w:r>
      <w:r w:rsidR="009E62E4" w:rsidRPr="00236907">
        <w:t xml:space="preserve"> previously</w:t>
      </w:r>
      <w:r w:rsidR="00354719" w:rsidRPr="00236907">
        <w:t>:</w:t>
      </w:r>
      <w:r w:rsidRPr="00236907">
        <w:t xml:space="preserve"> </w:t>
      </w:r>
    </w:p>
    <w:p w14:paraId="348C3C73" w14:textId="7204D605" w:rsidR="00C82BA2" w:rsidRPr="00236907" w:rsidRDefault="00C82BA2" w:rsidP="00C82BA2">
      <w:pPr>
        <w:pStyle w:val="correspQuote"/>
        <w:ind w:left="1702"/>
      </w:pPr>
      <w:r w:rsidRPr="00236907">
        <w:rPr>
          <w:i/>
          <w:iCs/>
          <w:sz w:val="20"/>
          <w:szCs w:val="22"/>
        </w:rPr>
        <w:t xml:space="preserve">… the review jurisdiction of VCAT is to conduct a review on the merits of decisions which affect a person’s interests; and there is no utility in reviewing decisions that no longer have any force or effect, or those that </w:t>
      </w:r>
      <w:r w:rsidRPr="00236907">
        <w:rPr>
          <w:i/>
          <w:iCs/>
          <w:sz w:val="20"/>
          <w:szCs w:val="22"/>
        </w:rPr>
        <w:lastRenderedPageBreak/>
        <w:t>have been overtaken by subsequent events, and such an application is lacking in substance</w:t>
      </w:r>
      <w:r w:rsidRPr="00236907">
        <w:t>.</w:t>
      </w:r>
      <w:r w:rsidRPr="00236907">
        <w:rPr>
          <w:rStyle w:val="FootnoteReference"/>
        </w:rPr>
        <w:footnoteReference w:id="72"/>
      </w:r>
    </w:p>
    <w:p w14:paraId="0814BBA2" w14:textId="77777777" w:rsidR="009E62E4" w:rsidRPr="00236907" w:rsidRDefault="00C82BA2" w:rsidP="00B070E4">
      <w:pPr>
        <w:pStyle w:val="BodyIndent1"/>
      </w:pPr>
      <w:r w:rsidRPr="00236907">
        <w:t>Given the above timeframes, t</w:t>
      </w:r>
      <w:r w:rsidR="00646317" w:rsidRPr="00236907">
        <w:t xml:space="preserve">here will be few to </w:t>
      </w:r>
      <w:r w:rsidRPr="00236907">
        <w:t>no</w:t>
      </w:r>
      <w:r w:rsidR="00646317" w:rsidRPr="00236907">
        <w:t xml:space="preserve"> circumstances where external review will have utility in the 12-month period of an SCSO. </w:t>
      </w:r>
    </w:p>
    <w:p w14:paraId="72847B87" w14:textId="74E89A1E" w:rsidR="00646317" w:rsidRPr="00236907" w:rsidRDefault="009E62E4" w:rsidP="00B070E4">
      <w:pPr>
        <w:pStyle w:val="BodyIndent1"/>
      </w:pPr>
      <w:r w:rsidRPr="00236907">
        <w:t>An e</w:t>
      </w:r>
      <w:r w:rsidR="00646317" w:rsidRPr="00236907">
        <w:t xml:space="preserve">xternal review </w:t>
      </w:r>
      <w:r w:rsidRPr="00236907">
        <w:t xml:space="preserve">could continue to have </w:t>
      </w:r>
      <w:r w:rsidR="00646317" w:rsidRPr="00236907">
        <w:t xml:space="preserve">utility where </w:t>
      </w:r>
      <w:r w:rsidRPr="00236907">
        <w:t>the order under review, after its expiry, is r</w:t>
      </w:r>
      <w:r w:rsidR="00646317" w:rsidRPr="00236907">
        <w:t xml:space="preserve">eplaced with a new </w:t>
      </w:r>
      <w:r w:rsidRPr="00236907">
        <w:t>order on the same terms</w:t>
      </w:r>
      <w:r w:rsidR="008D2527" w:rsidRPr="00236907">
        <w:t>. However, the only way this can currently occur is by creating a new orde</w:t>
      </w:r>
      <w:r w:rsidRPr="00236907">
        <w:t>r. This</w:t>
      </w:r>
      <w:r w:rsidR="008D2527" w:rsidRPr="00236907">
        <w:t xml:space="preserve"> </w:t>
      </w:r>
      <w:r w:rsidRPr="00236907">
        <w:t>‘</w:t>
      </w:r>
      <w:r w:rsidR="008D2527" w:rsidRPr="00236907">
        <w:t>restarts</w:t>
      </w:r>
      <w:r w:rsidRPr="00236907">
        <w:t>’</w:t>
      </w:r>
      <w:r w:rsidR="008D2527" w:rsidRPr="00236907">
        <w:t xml:space="preserve"> the process</w:t>
      </w:r>
      <w:r w:rsidRPr="00236907">
        <w:t xml:space="preserve">, which requires </w:t>
      </w:r>
      <w:r w:rsidR="008D2527" w:rsidRPr="00236907">
        <w:t>internal review</w:t>
      </w:r>
      <w:r w:rsidRPr="00236907">
        <w:t xml:space="preserve"> as a precondition</w:t>
      </w:r>
      <w:r w:rsidR="008D2527" w:rsidRPr="00236907">
        <w:t xml:space="preserve"> before external review can be sought.</w:t>
      </w:r>
      <w:r w:rsidRPr="00236907">
        <w:t xml:space="preserve"> This occurred in a proceeding before VCAT at the time of drafting this report. VCAT dismissed the external review application, with a right of reinstatement if the applicant sought internal review of the new order and was dissatisfied with the result. </w:t>
      </w:r>
    </w:p>
    <w:p w14:paraId="7B20476E" w14:textId="53C3ACC5" w:rsidR="00B070E4" w:rsidRPr="00236907" w:rsidRDefault="00646317" w:rsidP="00B070E4">
      <w:pPr>
        <w:pStyle w:val="BodyIndent1"/>
      </w:pPr>
      <w:r w:rsidRPr="00236907">
        <w:t xml:space="preserve">Currently, there is no provision that provides for renewal or continuation of an ongoing SCSO after it expires. There are also no provisions that deal with the status of a VCAT proceeding when an ongoing SCSO expires and is replaced with a new order. </w:t>
      </w:r>
    </w:p>
    <w:p w14:paraId="7A8CF5F9" w14:textId="148591DD" w:rsidR="00C82BA2" w:rsidRPr="00236907" w:rsidRDefault="00C82BA2" w:rsidP="00593183">
      <w:pPr>
        <w:pStyle w:val="Heading3"/>
        <w:spacing w:line="276" w:lineRule="auto"/>
        <w:rPr>
          <w:b/>
          <w:bCs/>
          <w:i/>
          <w:iCs/>
        </w:rPr>
      </w:pPr>
      <w:r w:rsidRPr="00236907">
        <w:rPr>
          <w:b/>
          <w:bCs/>
          <w:i/>
          <w:iCs/>
        </w:rPr>
        <w:t>Options</w:t>
      </w:r>
    </w:p>
    <w:p w14:paraId="213A4731" w14:textId="5C1E895B" w:rsidR="00646317" w:rsidRPr="00236907" w:rsidRDefault="00646317" w:rsidP="00B070E4">
      <w:pPr>
        <w:pStyle w:val="BodyIndent1"/>
      </w:pPr>
      <w:r w:rsidRPr="00236907">
        <w:t xml:space="preserve">The issue of external review timeframes </w:t>
      </w:r>
      <w:r w:rsidR="0091419E" w:rsidRPr="00236907">
        <w:t xml:space="preserve">could </w:t>
      </w:r>
      <w:r w:rsidRPr="00236907">
        <w:t xml:space="preserve">be addressed by including a provision in Part 2.1A that allows for continuation of an ongoing SCSO after 12 months. Assuming the provision is drafted to make it clear that the continued order is the same order, any external review application will be undisturbed. An amendment of this nature </w:t>
      </w:r>
      <w:proofErr w:type="gramStart"/>
      <w:r w:rsidRPr="00236907">
        <w:t>would</w:t>
      </w:r>
      <w:proofErr w:type="gramEnd"/>
      <w:r w:rsidRPr="00236907">
        <w:t xml:space="preserve"> also provide a useful mechanism for authorised persons to </w:t>
      </w:r>
      <w:r w:rsidR="0091419E" w:rsidRPr="00236907">
        <w:t xml:space="preserve">use if they wish </w:t>
      </w:r>
      <w:r w:rsidRPr="00236907">
        <w:t xml:space="preserve">to extend or continue ongoing SCSOs, which is currently done by making a new SCSO. </w:t>
      </w:r>
      <w:r w:rsidR="004B3315" w:rsidRPr="00236907">
        <w:t xml:space="preserve">It may be appropriate to limit the continuation or extension of an ongoing SCSO to be used only once or twice before a fresh order should be made. </w:t>
      </w:r>
      <w:r w:rsidR="001B6CFA" w:rsidRPr="00236907">
        <w:t xml:space="preserve">Additionally, if the Department pursued this option, it would need to consider the grounds for making ongoing orders (Section </w:t>
      </w:r>
      <w:r w:rsidR="00E412CC" w:rsidRPr="00236907">
        <w:fldChar w:fldCharType="begin"/>
      </w:r>
      <w:r w:rsidR="00E412CC" w:rsidRPr="00236907">
        <w:instrText xml:space="preserve"> REF _Ref196208784 \r \h </w:instrText>
      </w:r>
      <w:r w:rsidR="00236907">
        <w:instrText xml:space="preserve"> \* MERGEFORMAT </w:instrText>
      </w:r>
      <w:r w:rsidR="00E412CC" w:rsidRPr="00236907">
        <w:fldChar w:fldCharType="separate"/>
      </w:r>
      <w:r w:rsidR="002A754C">
        <w:t>4.4</w:t>
      </w:r>
      <w:r w:rsidR="00E412CC" w:rsidRPr="00236907">
        <w:fldChar w:fldCharType="end"/>
      </w:r>
      <w:r w:rsidR="001B6CFA" w:rsidRPr="00236907">
        <w:t>) and</w:t>
      </w:r>
      <w:r w:rsidR="00E412CC" w:rsidRPr="00236907">
        <w:t xml:space="preserve"> Recommendation 4.1 on making subsequent orders. If extending an order is an option, then Recommendation 4.1 may not be necessary. </w:t>
      </w:r>
      <w:r w:rsidR="001B6CFA" w:rsidRPr="00236907">
        <w:t xml:space="preserve"> </w:t>
      </w:r>
    </w:p>
    <w:p w14:paraId="03DCE870" w14:textId="12EDE98A" w:rsidR="00646317" w:rsidRPr="00236907" w:rsidRDefault="0091419E" w:rsidP="00B070E4">
      <w:pPr>
        <w:pStyle w:val="BodyIndent1"/>
      </w:pPr>
      <w:r w:rsidRPr="00236907">
        <w:t xml:space="preserve">It is important that the provision be for the continuation, renewal or extension, of the ongoing SCSO. </w:t>
      </w:r>
      <w:r w:rsidR="00646317" w:rsidRPr="00236907">
        <w:t xml:space="preserve">If provision was rather made for the replacement of an ongoing SCSO, then an issue would arise in relation to whether it is the same decision for the purpose of VCAT’s review. This could raise jurisdictional complexities that should be avoided. It would raise the question of whether internal review would </w:t>
      </w:r>
      <w:r w:rsidR="008D2527" w:rsidRPr="00236907">
        <w:t xml:space="preserve">first </w:t>
      </w:r>
      <w:r w:rsidR="00646317" w:rsidRPr="00236907">
        <w:t>be required for the new order, which would disrupt the VCAT proceeding. It would</w:t>
      </w:r>
      <w:r w:rsidRPr="00236907">
        <w:t xml:space="preserve"> also</w:t>
      </w:r>
      <w:r w:rsidR="00646317" w:rsidRPr="00236907">
        <w:t xml:space="preserve"> be necessary to include a provision that internal review is not required for the </w:t>
      </w:r>
      <w:r w:rsidRPr="00236907">
        <w:t xml:space="preserve">new </w:t>
      </w:r>
      <w:r w:rsidR="00646317" w:rsidRPr="00236907">
        <w:t xml:space="preserve">order, if an external review proceeding is already afoot. For these reasons, this option </w:t>
      </w:r>
      <w:r w:rsidRPr="00236907">
        <w:t xml:space="preserve">is slightly more artificial and </w:t>
      </w:r>
      <w:r w:rsidR="00D37DA2">
        <w:t>carries</w:t>
      </w:r>
      <w:r w:rsidR="00D37DA2" w:rsidRPr="00236907">
        <w:t xml:space="preserve"> </w:t>
      </w:r>
      <w:r w:rsidR="00646317" w:rsidRPr="00236907">
        <w:t>more complexity.</w:t>
      </w:r>
    </w:p>
    <w:p w14:paraId="78D6820C" w14:textId="2BA143D7" w:rsidR="00535580" w:rsidRPr="00236907" w:rsidRDefault="00DF0A8B" w:rsidP="00B070E4">
      <w:pPr>
        <w:pStyle w:val="BodyIndent1"/>
      </w:pPr>
      <w:r w:rsidRPr="00236907">
        <w:t xml:space="preserve">It is important that this change be purely </w:t>
      </w:r>
      <w:proofErr w:type="gramStart"/>
      <w:r w:rsidRPr="00236907">
        <w:t>administrative, and</w:t>
      </w:r>
      <w:proofErr w:type="gramEnd"/>
      <w:r w:rsidRPr="00236907">
        <w:t xml:space="preserve"> does not permit an authorised person to further curtail the freedoms of a person subject to an order. As such, an </w:t>
      </w:r>
      <w:r w:rsidR="00CB2F06" w:rsidRPr="00236907">
        <w:t>authorised person who extended the order would need to consider the same grounds and considerations that they would in making a new order, to ensu</w:t>
      </w:r>
      <w:r w:rsidR="00535580" w:rsidRPr="00236907">
        <w:t xml:space="preserve">re that the change did not lead to </w:t>
      </w:r>
      <w:r w:rsidR="000D7BF4" w:rsidRPr="00236907">
        <w:t>restrictions which the authorised person could not already impose by making a new order.</w:t>
      </w:r>
    </w:p>
    <w:p w14:paraId="1DF45F1F" w14:textId="77777777" w:rsidR="00AE7A49" w:rsidRDefault="00AE7A49" w:rsidP="00D041C0">
      <w:pPr>
        <w:pStyle w:val="BodyIndent1"/>
      </w:pPr>
    </w:p>
    <w:p w14:paraId="0A3C9CCD" w14:textId="77777777" w:rsidR="00242758" w:rsidRDefault="00242758" w:rsidP="00D041C0">
      <w:pPr>
        <w:pStyle w:val="BodyIndent1"/>
      </w:pPr>
    </w:p>
    <w:p w14:paraId="1671F932" w14:textId="77777777" w:rsidR="00242758" w:rsidRDefault="00242758" w:rsidP="00D041C0">
      <w:pPr>
        <w:pStyle w:val="BodyIndent1"/>
      </w:pPr>
    </w:p>
    <w:p w14:paraId="2EA98D77" w14:textId="77777777" w:rsidR="00242758" w:rsidRPr="00236907" w:rsidRDefault="00242758" w:rsidP="00D041C0">
      <w:pPr>
        <w:pStyle w:val="BodyIndent1"/>
      </w:pPr>
    </w:p>
    <w:tbl>
      <w:tblPr>
        <w:tblStyle w:val="MadTabPlumShade"/>
        <w:tblW w:w="5000" w:type="pct"/>
        <w:tblLook w:val="0620" w:firstRow="1" w:lastRow="0" w:firstColumn="0" w:lastColumn="0" w:noHBand="1" w:noVBand="1"/>
      </w:tblPr>
      <w:tblGrid>
        <w:gridCol w:w="686"/>
        <w:gridCol w:w="2552"/>
        <w:gridCol w:w="5786"/>
      </w:tblGrid>
      <w:tr w:rsidR="00D025DB" w:rsidRPr="00236907" w14:paraId="15EF6739" w14:textId="77777777" w:rsidTr="640D7DB9">
        <w:trPr>
          <w:cnfStyle w:val="100000000000" w:firstRow="1" w:lastRow="0" w:firstColumn="0" w:lastColumn="0" w:oddVBand="0" w:evenVBand="0" w:oddHBand="0" w:evenHBand="0" w:firstRowFirstColumn="0" w:firstRowLastColumn="0" w:lastRowFirstColumn="0" w:lastRowLastColumn="0"/>
          <w:tblHeader/>
        </w:trPr>
        <w:tc>
          <w:tcPr>
            <w:tcW w:w="380" w:type="pct"/>
          </w:tcPr>
          <w:p w14:paraId="6A27073D" w14:textId="77777777" w:rsidR="00D025DB" w:rsidRPr="00236907" w:rsidRDefault="00D025DB">
            <w:r w:rsidRPr="00236907">
              <w:lastRenderedPageBreak/>
              <w:t>#</w:t>
            </w:r>
          </w:p>
        </w:tc>
        <w:tc>
          <w:tcPr>
            <w:tcW w:w="1414" w:type="pct"/>
          </w:tcPr>
          <w:p w14:paraId="764D9476" w14:textId="77777777" w:rsidR="00D025DB" w:rsidRPr="00236907" w:rsidRDefault="00D025DB">
            <w:r w:rsidRPr="00236907">
              <w:t>Provision</w:t>
            </w:r>
          </w:p>
        </w:tc>
        <w:tc>
          <w:tcPr>
            <w:tcW w:w="3206" w:type="pct"/>
          </w:tcPr>
          <w:p w14:paraId="194562E3" w14:textId="77777777" w:rsidR="00D025DB" w:rsidRPr="00236907" w:rsidRDefault="00D025DB">
            <w:r w:rsidRPr="00236907">
              <w:t>Recommendation</w:t>
            </w:r>
          </w:p>
        </w:tc>
      </w:tr>
      <w:tr w:rsidR="00D025DB" w:rsidRPr="00236907" w14:paraId="7BBD183E" w14:textId="77777777" w:rsidTr="640D7DB9">
        <w:tc>
          <w:tcPr>
            <w:tcW w:w="380" w:type="pct"/>
          </w:tcPr>
          <w:p w14:paraId="1C57B77F" w14:textId="01A42399" w:rsidR="00D025DB" w:rsidRPr="00236907" w:rsidRDefault="00D025DB">
            <w:r w:rsidRPr="00236907">
              <w:t>8.1</w:t>
            </w:r>
          </w:p>
        </w:tc>
        <w:tc>
          <w:tcPr>
            <w:tcW w:w="1414" w:type="pct"/>
          </w:tcPr>
          <w:p w14:paraId="6C27490B" w14:textId="4739B1A0" w:rsidR="00D025DB" w:rsidRPr="00236907" w:rsidRDefault="004B3315">
            <w:r w:rsidRPr="00236907">
              <w:t>New</w:t>
            </w:r>
          </w:p>
        </w:tc>
        <w:tc>
          <w:tcPr>
            <w:tcW w:w="3206" w:type="pct"/>
          </w:tcPr>
          <w:p w14:paraId="3A2A16E5" w14:textId="4977B17E" w:rsidR="004B3315" w:rsidRPr="00236907" w:rsidRDefault="004006FE" w:rsidP="000C0315">
            <w:r w:rsidRPr="00236907">
              <w:t>Introduce a provision allowing an ongoing order to be extended once for a further period not exceeding 12 months, provided the authorised person is satisfied that the grounds for the order continue to exist, and the extension is subject to the same procedural safeguards (including rights of review) as the original order. Consider limiting the power of renewal/continuation/extension so that it may only be exercised once or twice.</w:t>
            </w:r>
          </w:p>
        </w:tc>
      </w:tr>
    </w:tbl>
    <w:p w14:paraId="6A246161" w14:textId="74D2D57E" w:rsidR="00C61664" w:rsidRPr="00236907" w:rsidRDefault="00C61664" w:rsidP="005A4CAE">
      <w:pPr>
        <w:pStyle w:val="Heading3"/>
        <w:spacing w:line="276" w:lineRule="auto"/>
        <w:rPr>
          <w:b/>
          <w:bCs/>
          <w:i/>
          <w:iCs/>
        </w:rPr>
      </w:pPr>
      <w:r w:rsidRPr="00236907">
        <w:rPr>
          <w:b/>
          <w:bCs/>
          <w:i/>
          <w:iCs/>
        </w:rPr>
        <w:t>Privacy</w:t>
      </w:r>
    </w:p>
    <w:p w14:paraId="037ECB63" w14:textId="0AF3EB64" w:rsidR="00C61664" w:rsidRPr="00236907" w:rsidRDefault="00E17A1B" w:rsidP="00D041C0">
      <w:pPr>
        <w:pStyle w:val="BodyIndent1"/>
      </w:pPr>
      <w:r w:rsidRPr="00236907">
        <w:t>Given the nature of SCSO proceedings, there will often be a concern to protect the privacy of personal information of school members and department staff in review proceedings. This raises a tension with</w:t>
      </w:r>
      <w:r w:rsidR="00515D7A" w:rsidRPr="00236907">
        <w:t xml:space="preserve"> s </w:t>
      </w:r>
      <w:r w:rsidRPr="00236907">
        <w:t>49 of the VCAT Act, which applies when an application is made in VCAT’s review jurisdiction. Section 49 requires a decision-maker responding to the application to file and serve a statement of reasons, and every other document in the decision-maker’s possession that they consider is relevant to the review of the decision. Section 49 applies despite any rule of law relating to privilege or the public interest in relation to the production of documents. VCAT has held that legal privilege does not protect information from production under</w:t>
      </w:r>
      <w:r w:rsidR="00515D7A" w:rsidRPr="00236907">
        <w:t xml:space="preserve"> s </w:t>
      </w:r>
      <w:r w:rsidRPr="00236907">
        <w:t>49.</w:t>
      </w:r>
      <w:r w:rsidRPr="00236907">
        <w:rPr>
          <w:rStyle w:val="FootnoteReference"/>
        </w:rPr>
        <w:footnoteReference w:id="73"/>
      </w:r>
      <w:r w:rsidRPr="00236907">
        <w:t xml:space="preserve"> </w:t>
      </w:r>
    </w:p>
    <w:p w14:paraId="7188A04E" w14:textId="297AF626" w:rsidR="00E17A1B" w:rsidRPr="00236907" w:rsidRDefault="0082050E" w:rsidP="00D041C0">
      <w:pPr>
        <w:pStyle w:val="BodyIndent1"/>
      </w:pPr>
      <w:proofErr w:type="gramStart"/>
      <w:r w:rsidRPr="00236907">
        <w:t>A number of</w:t>
      </w:r>
      <w:proofErr w:type="gramEnd"/>
      <w:r w:rsidRPr="00236907">
        <w:t xml:space="preserve"> issues arise if the Department seeks to redact names of school members or department staff in the</w:t>
      </w:r>
      <w:r w:rsidR="00515D7A" w:rsidRPr="00236907">
        <w:t xml:space="preserve"> s </w:t>
      </w:r>
      <w:r w:rsidRPr="00236907">
        <w:t>49 materials</w:t>
      </w:r>
      <w:r w:rsidR="00D37DA2">
        <w:t>, including</w:t>
      </w:r>
      <w:r w:rsidRPr="00236907">
        <w:t>:</w:t>
      </w:r>
    </w:p>
    <w:p w14:paraId="5806ECDE" w14:textId="65EA9142" w:rsidR="0082050E" w:rsidRPr="00236907" w:rsidRDefault="00D37DA2" w:rsidP="001618CA">
      <w:pPr>
        <w:pStyle w:val="BodyIndent1"/>
        <w:numPr>
          <w:ilvl w:val="0"/>
          <w:numId w:val="52"/>
        </w:numPr>
      </w:pPr>
      <w:r>
        <w:t>t</w:t>
      </w:r>
      <w:r w:rsidR="0082050E" w:rsidRPr="00236907">
        <w:t xml:space="preserve">he names are likely relevant to the review, and </w:t>
      </w:r>
      <w:r w:rsidR="002341DA">
        <w:t xml:space="preserve">are </w:t>
      </w:r>
      <w:r w:rsidR="0082050E" w:rsidRPr="00236907">
        <w:t xml:space="preserve">required to be produced under s </w:t>
      </w:r>
      <w:proofErr w:type="gramStart"/>
      <w:r w:rsidR="0082050E" w:rsidRPr="00236907">
        <w:t>49;</w:t>
      </w:r>
      <w:proofErr w:type="gramEnd"/>
    </w:p>
    <w:p w14:paraId="6912452F" w14:textId="2CFC5EAE" w:rsidR="0082050E" w:rsidRPr="00236907" w:rsidRDefault="00D37DA2" w:rsidP="001618CA">
      <w:pPr>
        <w:pStyle w:val="BodyIndent1"/>
        <w:numPr>
          <w:ilvl w:val="0"/>
          <w:numId w:val="52"/>
        </w:numPr>
      </w:pPr>
      <w:r>
        <w:t>t</w:t>
      </w:r>
      <w:r w:rsidR="0082050E" w:rsidRPr="00236907">
        <w:t>he applicant will have a strong argument that they are entitled to know the identities of anyone who might reasonably be a witness to the proceeding;</w:t>
      </w:r>
      <w:r w:rsidR="009F7F9E" w:rsidRPr="00236907">
        <w:t xml:space="preserve"> and</w:t>
      </w:r>
    </w:p>
    <w:p w14:paraId="7A06D46C" w14:textId="6D151218" w:rsidR="0082050E" w:rsidRPr="00236907" w:rsidRDefault="00D37DA2" w:rsidP="001618CA">
      <w:pPr>
        <w:pStyle w:val="BodyIndent1"/>
        <w:numPr>
          <w:ilvl w:val="0"/>
          <w:numId w:val="52"/>
        </w:numPr>
      </w:pPr>
      <w:r>
        <w:t>r</w:t>
      </w:r>
      <w:r w:rsidR="0082050E" w:rsidRPr="00236907">
        <w:t>edacting names of individuals will reduce the comprehensibility of the s 49 materials for both the applicant and VCAT.</w:t>
      </w:r>
    </w:p>
    <w:p w14:paraId="6EA857A5" w14:textId="4200DDC7" w:rsidR="0082050E" w:rsidRPr="00236907" w:rsidRDefault="0082050E" w:rsidP="00C31A59">
      <w:pPr>
        <w:pStyle w:val="BodyIndent1"/>
      </w:pPr>
      <w:r w:rsidRPr="00236907">
        <w:t xml:space="preserve">The </w:t>
      </w:r>
      <w:r w:rsidRPr="00236907">
        <w:rPr>
          <w:i/>
          <w:iCs/>
        </w:rPr>
        <w:t>Open Courts Act 2013</w:t>
      </w:r>
      <w:r w:rsidRPr="00236907">
        <w:t xml:space="preserve"> </w:t>
      </w:r>
      <w:r w:rsidR="0065539F" w:rsidRPr="00236907">
        <w:t xml:space="preserve">(Vic) </w:t>
      </w:r>
      <w:r w:rsidRPr="00236907">
        <w:t>provides for the making of suppression orders to prohibit or limit the disclosure of information derived from a proceeding. Suppression orders may only be made on specific grounds (e.g. to protect the safety of a person or where it is otherwise in the interests of justice). The Tribunal would need to be satisfied, on evidence or other credible information, that a suppression order was ‘necessary’ to achieve the grounds relied on. A high threshold applies in making a suppression order, particularly where it extends to restricting disclosure to a party to the proceeding, like the applicant.</w:t>
      </w:r>
    </w:p>
    <w:p w14:paraId="6434A3A3" w14:textId="3C115CC2" w:rsidR="00C31A59" w:rsidRPr="00236907" w:rsidRDefault="00C31A59" w:rsidP="00C31A59">
      <w:pPr>
        <w:pStyle w:val="BodyIndent1"/>
      </w:pPr>
      <w:r w:rsidRPr="00236907">
        <w:t xml:space="preserve">In VCAT proceedings pending at the time of drafting this report, the Department’s practice has been to redact information that identifies school members or department staff, though in many instances </w:t>
      </w:r>
      <w:r w:rsidR="00E91ABE" w:rsidRPr="00236907">
        <w:t xml:space="preserve">individuals </w:t>
      </w:r>
      <w:r w:rsidRPr="00236907">
        <w:t xml:space="preserve">have been nonetheless identifiable </w:t>
      </w:r>
      <w:r w:rsidR="0069531F" w:rsidRPr="00236907">
        <w:t xml:space="preserve">by </w:t>
      </w:r>
      <w:r w:rsidRPr="00236907">
        <w:t>reference to</w:t>
      </w:r>
      <w:r w:rsidR="00E91ABE" w:rsidRPr="00236907">
        <w:t xml:space="preserve"> context and</w:t>
      </w:r>
      <w:r w:rsidRPr="00236907">
        <w:t xml:space="preserve"> </w:t>
      </w:r>
      <w:r w:rsidR="00E91ABE" w:rsidRPr="00236907">
        <w:t>the entirety of the materials.</w:t>
      </w:r>
      <w:r w:rsidRPr="00236907">
        <w:t xml:space="preserve"> No issue has yet been taken by VCAT with this practice, though neither of the proceedings have yet reached a stage where the</w:t>
      </w:r>
      <w:r w:rsidR="00515D7A" w:rsidRPr="00236907">
        <w:t xml:space="preserve"> s </w:t>
      </w:r>
      <w:r w:rsidRPr="00236907">
        <w:t>49 materials have received substantial scrutiny from VCAT.</w:t>
      </w:r>
      <w:r w:rsidR="00DD29AD" w:rsidRPr="00236907">
        <w:t xml:space="preserve"> It would appear open to the Department to continue with this practice, though there is a risk that a VCAT member takes issue with the practice in the future</w:t>
      </w:r>
      <w:r w:rsidR="00F2720E" w:rsidRPr="00236907">
        <w:t>.</w:t>
      </w:r>
    </w:p>
    <w:p w14:paraId="1D4EFA62" w14:textId="52FC9923" w:rsidR="00F2720E" w:rsidRPr="00236907" w:rsidRDefault="00F2720E" w:rsidP="00C31A59">
      <w:pPr>
        <w:pStyle w:val="BodyIndent1"/>
      </w:pPr>
      <w:r w:rsidRPr="00236907">
        <w:t>If redactions are to be made to personal information within</w:t>
      </w:r>
      <w:r w:rsidR="00515D7A" w:rsidRPr="00236907">
        <w:t xml:space="preserve"> s </w:t>
      </w:r>
      <w:r w:rsidRPr="00236907">
        <w:t xml:space="preserve">49 materials for protection from the applicant’s </w:t>
      </w:r>
      <w:proofErr w:type="gramStart"/>
      <w:r w:rsidRPr="00236907">
        <w:t>knowledge</w:t>
      </w:r>
      <w:proofErr w:type="gramEnd"/>
      <w:r w:rsidRPr="00236907">
        <w:t xml:space="preserve"> then:</w:t>
      </w:r>
    </w:p>
    <w:p w14:paraId="7A0142D7" w14:textId="1848C47F" w:rsidR="00F2720E" w:rsidRPr="00236907" w:rsidRDefault="00F2720E" w:rsidP="001618CA">
      <w:pPr>
        <w:pStyle w:val="BodyIndent1"/>
        <w:numPr>
          <w:ilvl w:val="0"/>
          <w:numId w:val="53"/>
        </w:numPr>
      </w:pPr>
      <w:r w:rsidRPr="00236907">
        <w:lastRenderedPageBreak/>
        <w:t xml:space="preserve">Redactions should be kept to a minimum. The greater the </w:t>
      </w:r>
      <w:proofErr w:type="gramStart"/>
      <w:r w:rsidRPr="00236907">
        <w:t>amount</w:t>
      </w:r>
      <w:proofErr w:type="gramEnd"/>
      <w:r w:rsidRPr="00236907">
        <w:t xml:space="preserve"> of redactions the likelier a VCAT member will take issue with the </w:t>
      </w:r>
      <w:proofErr w:type="gramStart"/>
      <w:r w:rsidRPr="00236907">
        <w:t>redactions as a whole, which</w:t>
      </w:r>
      <w:proofErr w:type="gramEnd"/>
      <w:r w:rsidRPr="00236907">
        <w:t xml:space="preserve"> may impact the Department’s ability to rely on </w:t>
      </w:r>
      <w:r w:rsidR="00E91ABE" w:rsidRPr="00236907">
        <w:t xml:space="preserve">its current approach to </w:t>
      </w:r>
      <w:r w:rsidRPr="00236907">
        <w:t>redactions in the future.</w:t>
      </w:r>
    </w:p>
    <w:p w14:paraId="5A838C32" w14:textId="2FF5E754" w:rsidR="00F2720E" w:rsidRPr="00236907" w:rsidRDefault="00F2720E" w:rsidP="001618CA">
      <w:pPr>
        <w:pStyle w:val="BodyIndent1"/>
        <w:numPr>
          <w:ilvl w:val="0"/>
          <w:numId w:val="53"/>
        </w:numPr>
      </w:pPr>
      <w:r w:rsidRPr="00236907">
        <w:t>Redactions should be limited to information that is not within the applicant’s knowledge, and not reasonably deducible from the content of the</w:t>
      </w:r>
      <w:r w:rsidR="00515D7A" w:rsidRPr="00236907">
        <w:t xml:space="preserve"> s </w:t>
      </w:r>
      <w:r w:rsidRPr="00236907">
        <w:t xml:space="preserve">49 statement and materials. </w:t>
      </w:r>
    </w:p>
    <w:p w14:paraId="7770FB9A" w14:textId="5019DCCF" w:rsidR="00F2720E" w:rsidRPr="00236907" w:rsidRDefault="00F2720E" w:rsidP="001618CA">
      <w:pPr>
        <w:pStyle w:val="BodyIndent1"/>
        <w:numPr>
          <w:ilvl w:val="0"/>
          <w:numId w:val="53"/>
        </w:numPr>
      </w:pPr>
      <w:r w:rsidRPr="00236907">
        <w:t xml:space="preserve">Redactions should not be applied to critically relevant </w:t>
      </w:r>
      <w:proofErr w:type="gramStart"/>
      <w:r w:rsidRPr="00236907">
        <w:t>information, or</w:t>
      </w:r>
      <w:proofErr w:type="gramEnd"/>
      <w:r w:rsidRPr="00236907">
        <w:t xml:space="preserve"> unreasonably hinder the comprehensibility of the</w:t>
      </w:r>
      <w:r w:rsidR="00515D7A" w:rsidRPr="00236907">
        <w:t xml:space="preserve"> s </w:t>
      </w:r>
      <w:r w:rsidRPr="00236907">
        <w:t xml:space="preserve">49 statement or materials. </w:t>
      </w:r>
    </w:p>
    <w:p w14:paraId="5C450C3B" w14:textId="108F6566" w:rsidR="00F2720E" w:rsidRPr="00236907" w:rsidRDefault="00F2720E" w:rsidP="001618CA">
      <w:pPr>
        <w:pStyle w:val="BodyIndent1"/>
        <w:numPr>
          <w:ilvl w:val="0"/>
          <w:numId w:val="53"/>
        </w:numPr>
      </w:pPr>
      <w:r w:rsidRPr="00236907">
        <w:t xml:space="preserve">Redactions should not unreasonably impair the ability of the applicant to have a fair hearing. </w:t>
      </w:r>
    </w:p>
    <w:p w14:paraId="0D194325" w14:textId="4C9592FD" w:rsidR="00F2720E" w:rsidRPr="00236907" w:rsidRDefault="00F2720E" w:rsidP="001618CA">
      <w:pPr>
        <w:pStyle w:val="BodyIndent1"/>
        <w:numPr>
          <w:ilvl w:val="0"/>
          <w:numId w:val="53"/>
        </w:numPr>
      </w:pPr>
      <w:r w:rsidRPr="00236907">
        <w:t>Annotations should be applied to any redactions to identify the redacted information (e</w:t>
      </w:r>
      <w:r w:rsidR="00D80965" w:rsidRPr="00236907">
        <w:t>.</w:t>
      </w:r>
      <w:r w:rsidRPr="00236907">
        <w:t>g</w:t>
      </w:r>
      <w:r w:rsidR="00D80965" w:rsidRPr="00236907">
        <w:t>.</w:t>
      </w:r>
      <w:r w:rsidRPr="00236907">
        <w:t xml:space="preserve"> ‘</w:t>
      </w:r>
      <w:r w:rsidR="00D80965" w:rsidRPr="00236907">
        <w:t>s</w:t>
      </w:r>
      <w:r w:rsidRPr="00236907">
        <w:t>chool student’).</w:t>
      </w:r>
    </w:p>
    <w:p w14:paraId="038FB681" w14:textId="1DF807D2" w:rsidR="00F2720E" w:rsidRPr="00236907" w:rsidRDefault="00F2720E" w:rsidP="00F2720E">
      <w:pPr>
        <w:pStyle w:val="BodyIndent1"/>
      </w:pPr>
      <w:r w:rsidRPr="00236907">
        <w:t>In any event, information within</w:t>
      </w:r>
      <w:r w:rsidR="00515D7A" w:rsidRPr="00236907">
        <w:t xml:space="preserve"> s </w:t>
      </w:r>
      <w:r w:rsidRPr="00236907">
        <w:t xml:space="preserve">49 materials is protected by the </w:t>
      </w:r>
      <w:r w:rsidRPr="00236907">
        <w:rPr>
          <w:i/>
          <w:iCs/>
        </w:rPr>
        <w:t>Harman</w:t>
      </w:r>
      <w:r w:rsidRPr="00236907">
        <w:t xml:space="preserve"> undertaking, which prohibits a party to litigation from using information provided by another party under compulsion from using that information for any purpose other than the litigation.</w:t>
      </w:r>
      <w:r w:rsidR="00E91ABE" w:rsidRPr="00236907">
        <w:rPr>
          <w:rStyle w:val="FootnoteReference"/>
        </w:rPr>
        <w:footnoteReference w:id="74"/>
      </w:r>
      <w:r w:rsidRPr="00236907">
        <w:t xml:space="preserve"> If an applicant were to </w:t>
      </w:r>
      <w:r w:rsidR="00E91ABE" w:rsidRPr="00236907">
        <w:t xml:space="preserve">intentionally </w:t>
      </w:r>
      <w:r w:rsidRPr="00236907">
        <w:t>publish or otherwise disclose confidential information provided pursuant to</w:t>
      </w:r>
      <w:r w:rsidR="00515D7A" w:rsidRPr="00236907">
        <w:t xml:space="preserve"> s </w:t>
      </w:r>
      <w:r w:rsidRPr="00236907">
        <w:t xml:space="preserve">49, they could be held in contempt of VCAT. </w:t>
      </w:r>
    </w:p>
    <w:p w14:paraId="132A3030" w14:textId="4B16B2B7" w:rsidR="00F2720E" w:rsidRPr="00236907" w:rsidRDefault="00F2720E" w:rsidP="008E74CF">
      <w:pPr>
        <w:pStyle w:val="BodyIndent1"/>
      </w:pPr>
      <w:proofErr w:type="gramStart"/>
      <w:r w:rsidRPr="00236907">
        <w:t>In order to</w:t>
      </w:r>
      <w:proofErr w:type="gramEnd"/>
      <w:r w:rsidRPr="00236907">
        <w:t xml:space="preserve"> protect information from disclosure to the public, a restricted file order can also be sought pursuant to</w:t>
      </w:r>
      <w:r w:rsidR="00515D7A" w:rsidRPr="00236907">
        <w:t xml:space="preserve"> s </w:t>
      </w:r>
      <w:r w:rsidRPr="00236907">
        <w:t xml:space="preserve">146(4)(b) of the VCAT Act, to limit any public right of inspection of the proceeding file to parties to the proceeding. </w:t>
      </w:r>
    </w:p>
    <w:p w14:paraId="752365B6" w14:textId="77777777" w:rsidR="00C31A59" w:rsidRPr="00236907" w:rsidRDefault="00C31A59" w:rsidP="00D041C0">
      <w:pPr>
        <w:pStyle w:val="BodyIndent1"/>
      </w:pPr>
    </w:p>
    <w:tbl>
      <w:tblPr>
        <w:tblStyle w:val="MadTabPlumShade"/>
        <w:tblW w:w="5000" w:type="pct"/>
        <w:tblLook w:val="0620" w:firstRow="1" w:lastRow="0" w:firstColumn="0" w:lastColumn="0" w:noHBand="1" w:noVBand="1"/>
      </w:tblPr>
      <w:tblGrid>
        <w:gridCol w:w="686"/>
        <w:gridCol w:w="2552"/>
        <w:gridCol w:w="5786"/>
      </w:tblGrid>
      <w:tr w:rsidR="00AE7A49" w:rsidRPr="00236907" w14:paraId="5B296045" w14:textId="77777777">
        <w:trPr>
          <w:cnfStyle w:val="100000000000" w:firstRow="1" w:lastRow="0" w:firstColumn="0" w:lastColumn="0" w:oddVBand="0" w:evenVBand="0" w:oddHBand="0" w:evenHBand="0" w:firstRowFirstColumn="0" w:firstRowLastColumn="0" w:lastRowFirstColumn="0" w:lastRowLastColumn="0"/>
          <w:tblHeader/>
        </w:trPr>
        <w:tc>
          <w:tcPr>
            <w:tcW w:w="380" w:type="pct"/>
          </w:tcPr>
          <w:p w14:paraId="52F4D3F1" w14:textId="77777777" w:rsidR="00AE7A49" w:rsidRPr="00236907" w:rsidRDefault="00AE7A49">
            <w:r w:rsidRPr="00236907">
              <w:t>#</w:t>
            </w:r>
          </w:p>
        </w:tc>
        <w:tc>
          <w:tcPr>
            <w:tcW w:w="1414" w:type="pct"/>
          </w:tcPr>
          <w:p w14:paraId="1573A762" w14:textId="77777777" w:rsidR="00AE7A49" w:rsidRPr="00236907" w:rsidRDefault="00AE7A49">
            <w:r w:rsidRPr="00236907">
              <w:t>Provision</w:t>
            </w:r>
          </w:p>
        </w:tc>
        <w:tc>
          <w:tcPr>
            <w:tcW w:w="3206" w:type="pct"/>
          </w:tcPr>
          <w:p w14:paraId="10E9247C" w14:textId="77777777" w:rsidR="00AE7A49" w:rsidRPr="00236907" w:rsidRDefault="00AE7A49">
            <w:r w:rsidRPr="00236907">
              <w:t>Recommendation</w:t>
            </w:r>
          </w:p>
        </w:tc>
      </w:tr>
      <w:tr w:rsidR="00AE7A49" w:rsidRPr="00236907" w14:paraId="607CD28B" w14:textId="77777777">
        <w:tc>
          <w:tcPr>
            <w:tcW w:w="380" w:type="pct"/>
          </w:tcPr>
          <w:p w14:paraId="5D5F0BE2" w14:textId="2C21852F" w:rsidR="00AE7A49" w:rsidRPr="00236907" w:rsidRDefault="00AE7A49">
            <w:r w:rsidRPr="00236907">
              <w:t>8.</w:t>
            </w:r>
            <w:r w:rsidR="00A66868" w:rsidRPr="00236907">
              <w:t>2</w:t>
            </w:r>
          </w:p>
        </w:tc>
        <w:tc>
          <w:tcPr>
            <w:tcW w:w="1414" w:type="pct"/>
          </w:tcPr>
          <w:p w14:paraId="2257CE9F" w14:textId="519C29BB" w:rsidR="00AE7A49" w:rsidRPr="00236907" w:rsidRDefault="00F2720E">
            <w:r w:rsidRPr="00236907">
              <w:t>N/A</w:t>
            </w:r>
          </w:p>
        </w:tc>
        <w:tc>
          <w:tcPr>
            <w:tcW w:w="3206" w:type="pct"/>
          </w:tcPr>
          <w:p w14:paraId="1D9E645C" w14:textId="65D326F8" w:rsidR="00AE7A49" w:rsidRPr="00236907" w:rsidRDefault="00F2720E">
            <w:r w:rsidRPr="00236907">
              <w:t xml:space="preserve">Take a minimalist approach to redactions for s 49 materials. Only redact private information that is not within the applicant’s knowledge, nor reasonably able to be deduced from the content of the s 49 materials and </w:t>
            </w:r>
            <w:r w:rsidR="00E91ABE" w:rsidRPr="00236907">
              <w:t xml:space="preserve">accompanying </w:t>
            </w:r>
            <w:r w:rsidRPr="00236907">
              <w:t>statement. Do not redact critical</w:t>
            </w:r>
            <w:r w:rsidR="00D37DA2">
              <w:t>ly</w:t>
            </w:r>
            <w:r w:rsidRPr="00236907">
              <w:t xml:space="preserve"> relevant information, or in such a way that will unreasonably impair comprehensibility of the materials. Annotate all redactions.  </w:t>
            </w:r>
          </w:p>
        </w:tc>
      </w:tr>
      <w:tr w:rsidR="00181A3C" w:rsidRPr="00236907" w14:paraId="4A07F6CA" w14:textId="77777777">
        <w:tc>
          <w:tcPr>
            <w:tcW w:w="380" w:type="pct"/>
          </w:tcPr>
          <w:p w14:paraId="2DBA0A95" w14:textId="2894A5D3" w:rsidR="00181A3C" w:rsidRPr="00236907" w:rsidRDefault="00181A3C">
            <w:r w:rsidRPr="00236907">
              <w:t>8.3</w:t>
            </w:r>
          </w:p>
        </w:tc>
        <w:tc>
          <w:tcPr>
            <w:tcW w:w="1414" w:type="pct"/>
          </w:tcPr>
          <w:p w14:paraId="5534C0C2" w14:textId="1F2E8CB7" w:rsidR="00181A3C" w:rsidRPr="00236907" w:rsidRDefault="00181A3C">
            <w:r w:rsidRPr="00236907">
              <w:t>N/A</w:t>
            </w:r>
          </w:p>
        </w:tc>
        <w:tc>
          <w:tcPr>
            <w:tcW w:w="3206" w:type="pct"/>
          </w:tcPr>
          <w:p w14:paraId="63D3A904" w14:textId="6F6AA886" w:rsidR="00181A3C" w:rsidRPr="00236907" w:rsidRDefault="00181A3C">
            <w:r w:rsidRPr="00236907">
              <w:t>If necessary, seek restricted file orders under s 146(4)(b) when filing s 49 materials with VCAT.</w:t>
            </w:r>
          </w:p>
        </w:tc>
      </w:tr>
      <w:tr w:rsidR="00181A3C" w:rsidRPr="00236907" w14:paraId="752CD774" w14:textId="77777777">
        <w:tc>
          <w:tcPr>
            <w:tcW w:w="380" w:type="pct"/>
          </w:tcPr>
          <w:p w14:paraId="532820E3" w14:textId="283DF5C7" w:rsidR="00181A3C" w:rsidRPr="00236907" w:rsidRDefault="00181A3C">
            <w:r w:rsidRPr="00236907">
              <w:t>8.4</w:t>
            </w:r>
          </w:p>
        </w:tc>
        <w:tc>
          <w:tcPr>
            <w:tcW w:w="1414" w:type="pct"/>
          </w:tcPr>
          <w:p w14:paraId="4582752A" w14:textId="4A287497" w:rsidR="00181A3C" w:rsidRPr="00236907" w:rsidRDefault="00181A3C">
            <w:r w:rsidRPr="00236907">
              <w:t>N/A</w:t>
            </w:r>
          </w:p>
        </w:tc>
        <w:tc>
          <w:tcPr>
            <w:tcW w:w="3206" w:type="pct"/>
          </w:tcPr>
          <w:p w14:paraId="38D597C9" w14:textId="79880BE5" w:rsidR="00181A3C" w:rsidRPr="00236907" w:rsidRDefault="00181A3C">
            <w:pPr>
              <w:rPr>
                <w:i/>
                <w:iCs/>
              </w:rPr>
            </w:pPr>
            <w:r w:rsidRPr="00236907">
              <w:t>Where necessary</w:t>
            </w:r>
            <w:r w:rsidR="00E91ABE" w:rsidRPr="00236907">
              <w:t xml:space="preserve"> to address concerns</w:t>
            </w:r>
            <w:r w:rsidRPr="00236907">
              <w:t xml:space="preserve">, inform </w:t>
            </w:r>
            <w:r w:rsidR="00E91ABE" w:rsidRPr="00236907">
              <w:t xml:space="preserve">witnesses </w:t>
            </w:r>
            <w:r w:rsidRPr="00236907">
              <w:t xml:space="preserve">that unredacted information contained within s 49 materials </w:t>
            </w:r>
            <w:proofErr w:type="gramStart"/>
            <w:r w:rsidRPr="00236907">
              <w:t>is</w:t>
            </w:r>
            <w:proofErr w:type="gramEnd"/>
            <w:r w:rsidRPr="00236907">
              <w:t xml:space="preserve"> still protected by the </w:t>
            </w:r>
            <w:r w:rsidRPr="00236907">
              <w:rPr>
                <w:i/>
                <w:iCs/>
              </w:rPr>
              <w:t>Harman</w:t>
            </w:r>
            <w:r w:rsidRPr="00236907">
              <w:t xml:space="preserve"> undertaking and </w:t>
            </w:r>
            <w:r w:rsidR="00E91ABE" w:rsidRPr="00236907">
              <w:t xml:space="preserve">may be protected by a </w:t>
            </w:r>
            <w:r w:rsidRPr="00236907">
              <w:t xml:space="preserve">restricted file order. </w:t>
            </w:r>
          </w:p>
        </w:tc>
      </w:tr>
    </w:tbl>
    <w:p w14:paraId="30C0F3DF" w14:textId="77777777" w:rsidR="00AE7A49" w:rsidRPr="00236907" w:rsidRDefault="00AE7A49" w:rsidP="00D041C0">
      <w:pPr>
        <w:pStyle w:val="BodyIndent1"/>
      </w:pPr>
    </w:p>
    <w:p w14:paraId="0CFCFEB2" w14:textId="13F442B3" w:rsidR="006A0326" w:rsidRPr="00236907" w:rsidRDefault="006A0326" w:rsidP="003E066A">
      <w:pPr>
        <w:pStyle w:val="Heading2"/>
      </w:pPr>
      <w:bookmarkStart w:id="32" w:name="_Toc210053631"/>
      <w:r w:rsidRPr="00236907">
        <w:t>Enforcement</w:t>
      </w:r>
      <w:bookmarkEnd w:id="32"/>
    </w:p>
    <w:p w14:paraId="0AA9FC6A" w14:textId="328FE2B9" w:rsidR="00775681" w:rsidRPr="00236907" w:rsidRDefault="00CE4D83" w:rsidP="008C0390">
      <w:pPr>
        <w:pStyle w:val="BodyIndent1"/>
      </w:pPr>
      <w:r w:rsidRPr="00236907">
        <w:t>Enforcement remains a grey area for the Scheme in practice</w:t>
      </w:r>
      <w:r w:rsidR="00EB0F84" w:rsidRPr="00236907">
        <w:t xml:space="preserve">. </w:t>
      </w:r>
      <w:r w:rsidR="003809D2" w:rsidRPr="00236907">
        <w:t xml:space="preserve">Most people who have been subject to an order have complied with it, making enforcement unnecessary. In some cases, though, </w:t>
      </w:r>
      <w:r w:rsidR="00A33952" w:rsidRPr="00236907">
        <w:t xml:space="preserve">individuals have breached an order, even repeatedly. </w:t>
      </w:r>
      <w:r w:rsidR="000B1C2C" w:rsidRPr="00236907">
        <w:t xml:space="preserve">The Department is yet to </w:t>
      </w:r>
      <w:r w:rsidR="005D2CFB" w:rsidRPr="00236907">
        <w:t>initiate</w:t>
      </w:r>
      <w:r w:rsidR="000B1C2C" w:rsidRPr="00236907">
        <w:t xml:space="preserve"> the formal enforcement process in the ETR Act</w:t>
      </w:r>
      <w:r w:rsidR="005D2CFB" w:rsidRPr="00236907">
        <w:t xml:space="preserve">, and so there is no example of an </w:t>
      </w:r>
      <w:r w:rsidR="005D2CFB" w:rsidRPr="00236907">
        <w:lastRenderedPageBreak/>
        <w:t>order being enforced in practice. Interviewees raised some concerns with the current enforcement process, including:</w:t>
      </w:r>
    </w:p>
    <w:p w14:paraId="05E14008" w14:textId="45B9A2C8" w:rsidR="005D2CFB" w:rsidRPr="00236907" w:rsidRDefault="0035681D" w:rsidP="00DC79EE">
      <w:pPr>
        <w:pStyle w:val="BodyIndent1"/>
        <w:numPr>
          <w:ilvl w:val="0"/>
          <w:numId w:val="42"/>
        </w:numPr>
      </w:pPr>
      <w:r w:rsidRPr="00236907">
        <w:t>If a person does breach the order, the first response is usually a letter from the regional director. A person subject to an order has usually already received a warning letter from the regional director before the order is made, so this may not be meaningful or effective.</w:t>
      </w:r>
    </w:p>
    <w:p w14:paraId="7BBED221" w14:textId="7EBD90B0" w:rsidR="0035681D" w:rsidRPr="00236907" w:rsidRDefault="0035681D" w:rsidP="00DC79EE">
      <w:pPr>
        <w:pStyle w:val="BodyIndent1"/>
        <w:numPr>
          <w:ilvl w:val="0"/>
          <w:numId w:val="42"/>
        </w:numPr>
      </w:pPr>
      <w:r w:rsidRPr="00236907">
        <w:t xml:space="preserve">The only enforcement process in the </w:t>
      </w:r>
      <w:r w:rsidR="00440131" w:rsidRPr="00236907">
        <w:t xml:space="preserve">ETR Act is civil action in the </w:t>
      </w:r>
      <w:r w:rsidR="000011D9" w:rsidRPr="00236907">
        <w:t>M</w:t>
      </w:r>
      <w:r w:rsidR="00440131" w:rsidRPr="00236907">
        <w:t xml:space="preserve">agistrates </w:t>
      </w:r>
      <w:r w:rsidR="000011D9" w:rsidRPr="00236907">
        <w:t>C</w:t>
      </w:r>
      <w:r w:rsidR="00440131" w:rsidRPr="00236907">
        <w:t>ourt</w:t>
      </w:r>
      <w:r w:rsidR="000011D9" w:rsidRPr="00236907">
        <w:t>, and the Ministerial Guidelines describe this as an action of last resort</w:t>
      </w:r>
      <w:r w:rsidR="006615D5" w:rsidRPr="00236907">
        <w:t xml:space="preserve"> to be taken for repeated breaches or breaches causing actual harm</w:t>
      </w:r>
      <w:r w:rsidR="00440131" w:rsidRPr="00236907">
        <w:t>.</w:t>
      </w:r>
      <w:r w:rsidR="000011D9" w:rsidRPr="00236907">
        <w:rPr>
          <w:rStyle w:val="FootnoteReference"/>
        </w:rPr>
        <w:footnoteReference w:id="75"/>
      </w:r>
      <w:r w:rsidR="00440131" w:rsidRPr="00236907">
        <w:t xml:space="preserve"> </w:t>
      </w:r>
      <w:r w:rsidR="008233E8" w:rsidRPr="00236907">
        <w:t>The Ministerial Guidelines do include a section on enforcement action other than applying to the Magistrate’s Court for an order, but this is limited to warning the person to stop contravening the order or requiring them to explain why they have contravened the order.</w:t>
      </w:r>
      <w:r w:rsidR="000E5BE7" w:rsidRPr="00236907">
        <w:rPr>
          <w:rStyle w:val="FootnoteReference"/>
        </w:rPr>
        <w:footnoteReference w:id="76"/>
      </w:r>
      <w:r w:rsidR="008233E8" w:rsidRPr="00236907">
        <w:t xml:space="preserve"> </w:t>
      </w:r>
      <w:r w:rsidR="004B3218" w:rsidRPr="00236907">
        <w:t xml:space="preserve">In practice, this leaves authorised persons without a means of actually enforcing the order in most cases. </w:t>
      </w:r>
    </w:p>
    <w:p w14:paraId="6CE1C0A9" w14:textId="3C953A93" w:rsidR="00440131" w:rsidRPr="00236907" w:rsidRDefault="00F0289B" w:rsidP="00DC79EE">
      <w:pPr>
        <w:pStyle w:val="BodyIndent1"/>
        <w:numPr>
          <w:ilvl w:val="0"/>
          <w:numId w:val="42"/>
        </w:numPr>
      </w:pPr>
      <w:r w:rsidRPr="00236907">
        <w:t>A regional director advised us that, in one case, a school principal opted not to take enforcement action against a person who breached an order as they did not want to give them further opportunities to engage with the Department and air their grievances through the enforcement process.</w:t>
      </w:r>
      <w:r w:rsidR="00FC1819" w:rsidRPr="00236907">
        <w:t xml:space="preserve"> </w:t>
      </w:r>
    </w:p>
    <w:p w14:paraId="76C52AC5" w14:textId="0650B6B9" w:rsidR="0040765E" w:rsidRPr="00236907" w:rsidRDefault="00E6151F" w:rsidP="00DC79EE">
      <w:pPr>
        <w:pStyle w:val="BodyIndent1"/>
        <w:numPr>
          <w:ilvl w:val="0"/>
          <w:numId w:val="42"/>
        </w:numPr>
      </w:pPr>
      <w:r w:rsidRPr="00236907">
        <w:t xml:space="preserve">Given the ambiguities in enforcing the order, school principals who have made an order have sometimes sought advice from the </w:t>
      </w:r>
      <w:proofErr w:type="gramStart"/>
      <w:r w:rsidRPr="00236907">
        <w:t>Police</w:t>
      </w:r>
      <w:r w:rsidR="00130F01" w:rsidRPr="00236907">
        <w:t>, and</w:t>
      </w:r>
      <w:proofErr w:type="gramEnd"/>
      <w:r w:rsidR="00130F01" w:rsidRPr="00236907">
        <w:t xml:space="preserve"> have had different experiences</w:t>
      </w:r>
      <w:r w:rsidR="0040765E" w:rsidRPr="00236907">
        <w:t xml:space="preserve">. In </w:t>
      </w:r>
      <w:r w:rsidR="007766AA" w:rsidRPr="00236907">
        <w:t>some cases, local Police have told authorised persons that they will not become involved in the Scheme</w:t>
      </w:r>
      <w:r w:rsidR="008B714E" w:rsidRPr="00236907">
        <w:t xml:space="preserve"> as it is purely civil. I</w:t>
      </w:r>
      <w:r w:rsidR="007766AA" w:rsidRPr="00236907">
        <w:t>n others,</w:t>
      </w:r>
      <w:r w:rsidR="008B714E" w:rsidRPr="00236907">
        <w:t xml:space="preserve"> however, Police</w:t>
      </w:r>
      <w:r w:rsidR="007766AA" w:rsidRPr="00236907">
        <w:t xml:space="preserve"> have promised to intervene if the person continues with aggressive or disruptive behaviour in breach of the order.</w:t>
      </w:r>
      <w:r w:rsidR="00622DF1" w:rsidRPr="00236907">
        <w:t xml:space="preserve"> The ACU survey also showed that some principals were unclear on the role of the Police within the Scheme.</w:t>
      </w:r>
      <w:r w:rsidR="007766AA" w:rsidRPr="00236907">
        <w:t xml:space="preserve"> </w:t>
      </w:r>
    </w:p>
    <w:p w14:paraId="4D8F080D" w14:textId="7917B93F" w:rsidR="009F6B15" w:rsidRPr="00236907" w:rsidRDefault="009F6B15" w:rsidP="008C0390">
      <w:pPr>
        <w:pStyle w:val="BodyIndent1"/>
      </w:pPr>
      <w:r w:rsidRPr="00236907">
        <w:t xml:space="preserve">Additionally, paragraph 314 of the Ministerial Guidelines requires authorised persons to consult with the person subject to an order if there has been a suspected breach to determine if there was an actual breach. It is unclear what benefit this requirement would provide, and we have not found a case where any such consultation </w:t>
      </w:r>
      <w:proofErr w:type="gramStart"/>
      <w:r w:rsidRPr="00236907">
        <w:t>actually occurred</w:t>
      </w:r>
      <w:proofErr w:type="gramEnd"/>
      <w:r w:rsidRPr="00236907">
        <w:t xml:space="preserve">. </w:t>
      </w:r>
    </w:p>
    <w:p w14:paraId="449A6429" w14:textId="392A912F" w:rsidR="00F0289B" w:rsidRPr="00236907" w:rsidRDefault="00944528" w:rsidP="008C0390">
      <w:pPr>
        <w:pStyle w:val="BodyIndent1"/>
      </w:pPr>
      <w:r w:rsidRPr="00236907">
        <w:t xml:space="preserve">Collectively, concerns with enforcement </w:t>
      </w:r>
      <w:r w:rsidR="00316932" w:rsidRPr="00236907">
        <w:t xml:space="preserve">have led to some school principals to conclude that the Scheme is “toothless”. These concerns are reflected in the ACU </w:t>
      </w:r>
      <w:r w:rsidR="00D37DA2">
        <w:t>s</w:t>
      </w:r>
      <w:r w:rsidR="00316932" w:rsidRPr="00236907">
        <w:t xml:space="preserve">urvey responses. </w:t>
      </w:r>
      <w:r w:rsidR="000D2025" w:rsidRPr="00236907">
        <w:t xml:space="preserve">Given that it is an important policy principle of the Scheme that breaches of orders are not criminalised, </w:t>
      </w:r>
      <w:r w:rsidR="00720961" w:rsidRPr="00236907">
        <w:t>the Scheme will require an effective civil enforcement regime. Creating such a regime is challenging.</w:t>
      </w:r>
      <w:r w:rsidR="00160271" w:rsidRPr="00236907">
        <w:t xml:space="preserve"> In our view, there is unlikely to be an alternative to</w:t>
      </w:r>
      <w:r w:rsidR="005E1A24" w:rsidRPr="00236907">
        <w:t xml:space="preserve"> enforcement through the </w:t>
      </w:r>
      <w:r w:rsidR="002B6E46" w:rsidRPr="00236907">
        <w:t>M</w:t>
      </w:r>
      <w:r w:rsidR="005E1A24" w:rsidRPr="00236907">
        <w:t>agistrates’ Court</w:t>
      </w:r>
      <w:r w:rsidR="00114465" w:rsidRPr="00236907">
        <w:t>, and so we do not recommend any change to the ETR Act</w:t>
      </w:r>
      <w:r w:rsidR="005E1A24" w:rsidRPr="00236907">
        <w:t>.</w:t>
      </w:r>
      <w:r w:rsidR="00AA1DF1" w:rsidRPr="00236907">
        <w:t xml:space="preserve"> Instead, we have looked at the Ministerial Guidelines and Department policy. </w:t>
      </w:r>
      <w:r w:rsidR="00B3262A" w:rsidRPr="00236907">
        <w:t>We have also noted that, while the Scheme is civil, a person may breach the order in such a way that is violent, threatening, harassing or otherwise involves behaviour which may be a criminal offence, meaning that Police will become involved in managing the person subject to the order.</w:t>
      </w:r>
    </w:p>
    <w:p w14:paraId="7153135B" w14:textId="77777777" w:rsidR="000342A8" w:rsidRPr="00236907" w:rsidRDefault="000342A8" w:rsidP="008C0390">
      <w:pPr>
        <w:pStyle w:val="BodyIndent1"/>
      </w:pPr>
    </w:p>
    <w:tbl>
      <w:tblPr>
        <w:tblStyle w:val="MadTabPlumShade"/>
        <w:tblW w:w="5000" w:type="pct"/>
        <w:tblLook w:val="0620" w:firstRow="1" w:lastRow="0" w:firstColumn="0" w:lastColumn="0" w:noHBand="1" w:noVBand="1"/>
      </w:tblPr>
      <w:tblGrid>
        <w:gridCol w:w="686"/>
        <w:gridCol w:w="2552"/>
        <w:gridCol w:w="5786"/>
      </w:tblGrid>
      <w:tr w:rsidR="000342A8" w:rsidRPr="00236907" w14:paraId="324278A7" w14:textId="77777777" w:rsidTr="640D7DB9">
        <w:trPr>
          <w:cnfStyle w:val="100000000000" w:firstRow="1" w:lastRow="0" w:firstColumn="0" w:lastColumn="0" w:oddVBand="0" w:evenVBand="0" w:oddHBand="0" w:evenHBand="0" w:firstRowFirstColumn="0" w:firstRowLastColumn="0" w:lastRowFirstColumn="0" w:lastRowLastColumn="0"/>
          <w:tblHeader/>
        </w:trPr>
        <w:tc>
          <w:tcPr>
            <w:tcW w:w="380" w:type="pct"/>
          </w:tcPr>
          <w:p w14:paraId="7660ED30" w14:textId="77777777" w:rsidR="000342A8" w:rsidRPr="00236907" w:rsidRDefault="000342A8">
            <w:r w:rsidRPr="00236907">
              <w:t>#</w:t>
            </w:r>
          </w:p>
        </w:tc>
        <w:tc>
          <w:tcPr>
            <w:tcW w:w="1414" w:type="pct"/>
          </w:tcPr>
          <w:p w14:paraId="7F785221" w14:textId="77777777" w:rsidR="000342A8" w:rsidRPr="00236907" w:rsidRDefault="000342A8">
            <w:r w:rsidRPr="00236907">
              <w:t>Provision</w:t>
            </w:r>
          </w:p>
        </w:tc>
        <w:tc>
          <w:tcPr>
            <w:tcW w:w="3206" w:type="pct"/>
          </w:tcPr>
          <w:p w14:paraId="45F3BA64" w14:textId="77777777" w:rsidR="000342A8" w:rsidRPr="00236907" w:rsidRDefault="000342A8">
            <w:r w:rsidRPr="00236907">
              <w:t>Recommendation</w:t>
            </w:r>
          </w:p>
        </w:tc>
      </w:tr>
      <w:tr w:rsidR="000342A8" w:rsidRPr="00236907" w14:paraId="6D7B0AFD" w14:textId="77777777" w:rsidTr="640D7DB9">
        <w:tc>
          <w:tcPr>
            <w:tcW w:w="380" w:type="pct"/>
          </w:tcPr>
          <w:p w14:paraId="1971783C" w14:textId="6DC8A672" w:rsidR="000342A8" w:rsidRPr="00236907" w:rsidRDefault="003D0359">
            <w:r w:rsidRPr="00236907">
              <w:t>9</w:t>
            </w:r>
            <w:r w:rsidR="00735D41" w:rsidRPr="00236907">
              <w:t>.</w:t>
            </w:r>
            <w:r w:rsidR="00E44036" w:rsidRPr="00236907">
              <w:t>1</w:t>
            </w:r>
          </w:p>
        </w:tc>
        <w:tc>
          <w:tcPr>
            <w:tcW w:w="1414" w:type="pct"/>
          </w:tcPr>
          <w:p w14:paraId="311E466D" w14:textId="61CA0FFA" w:rsidR="000342A8" w:rsidRPr="00236907" w:rsidRDefault="00F22363">
            <w:r w:rsidRPr="00236907">
              <w:t>Ministerial Guidelines, paragraphs 308 – 321</w:t>
            </w:r>
          </w:p>
        </w:tc>
        <w:tc>
          <w:tcPr>
            <w:tcW w:w="3206" w:type="pct"/>
          </w:tcPr>
          <w:p w14:paraId="71809903" w14:textId="4B67EFEB" w:rsidR="005B16BB" w:rsidRPr="00236907" w:rsidRDefault="004D11C2">
            <w:r w:rsidRPr="00236907">
              <w:t xml:space="preserve">In consultation with Victoria Police, clarify the position on involving Police when there has been a breach of an order. Confirm that breach of an order under the Scheme is not, in and of itself, a criminal offence. However, where conduct also constitutes independent criminal behaviour (e.g., assault, </w:t>
            </w:r>
            <w:r w:rsidRPr="00236907">
              <w:lastRenderedPageBreak/>
              <w:t>threats), police involvement is appropriate. The Guidelines should clearly distinguish civil enforcement options from criminal referral pathways. It may also be appropriate in some circumstances for a school principal who has made an order to notify Police of the order, and to advise the person subject to the order that the Police have been notified.</w:t>
            </w:r>
          </w:p>
        </w:tc>
      </w:tr>
      <w:tr w:rsidR="00DA1FA0" w:rsidRPr="00236907" w14:paraId="64456ACE" w14:textId="77777777" w:rsidTr="640D7DB9">
        <w:tc>
          <w:tcPr>
            <w:tcW w:w="380" w:type="pct"/>
          </w:tcPr>
          <w:p w14:paraId="4D07D2A4" w14:textId="45A65A07" w:rsidR="00DA1FA0" w:rsidRPr="00236907" w:rsidRDefault="003D0359" w:rsidP="00DA1FA0">
            <w:r w:rsidRPr="00236907">
              <w:lastRenderedPageBreak/>
              <w:t>9</w:t>
            </w:r>
            <w:r w:rsidR="00DA1FA0" w:rsidRPr="00236907">
              <w:t>.</w:t>
            </w:r>
            <w:r w:rsidR="001B2043" w:rsidRPr="00236907">
              <w:t>2</w:t>
            </w:r>
          </w:p>
        </w:tc>
        <w:tc>
          <w:tcPr>
            <w:tcW w:w="1414" w:type="pct"/>
          </w:tcPr>
          <w:p w14:paraId="4028B8D7" w14:textId="6B0D7602" w:rsidR="00DA1FA0" w:rsidRPr="00236907" w:rsidRDefault="00DA1FA0" w:rsidP="00DA1FA0">
            <w:r w:rsidRPr="00236907">
              <w:t>Ministerial Guidelines, paragraphs 308 – 321</w:t>
            </w:r>
          </w:p>
        </w:tc>
        <w:tc>
          <w:tcPr>
            <w:tcW w:w="3206" w:type="pct"/>
          </w:tcPr>
          <w:p w14:paraId="7547F315" w14:textId="2CEAAB67" w:rsidR="00DA1FA0" w:rsidRPr="00236907" w:rsidRDefault="00B32C23" w:rsidP="00DA1FA0">
            <w:r w:rsidRPr="00236907">
              <w:t xml:space="preserve">Consider if </w:t>
            </w:r>
            <w:r w:rsidR="00DB7BCB" w:rsidRPr="00236907">
              <w:t xml:space="preserve">the threshold for enforcement should be lowered, so that there is an expectation that deliberate breaches of orders will lead to enforcement action and authorised persons are not expected to engage in dialogue with individuals who deliberately </w:t>
            </w:r>
            <w:r w:rsidR="00342440" w:rsidRPr="00236907">
              <w:t>breach</w:t>
            </w:r>
            <w:r w:rsidR="00DB7BCB" w:rsidRPr="00236907">
              <w:t xml:space="preserve"> an order.</w:t>
            </w:r>
          </w:p>
        </w:tc>
      </w:tr>
      <w:tr w:rsidR="00720215" w:rsidRPr="00236907" w14:paraId="752A54E9" w14:textId="77777777" w:rsidTr="640D7DB9">
        <w:tc>
          <w:tcPr>
            <w:tcW w:w="380" w:type="pct"/>
          </w:tcPr>
          <w:p w14:paraId="43BA5738" w14:textId="11C8DE61" w:rsidR="00720215" w:rsidRPr="00236907" w:rsidRDefault="00720215" w:rsidP="00DA1FA0">
            <w:r w:rsidRPr="00236907">
              <w:t>9.3</w:t>
            </w:r>
          </w:p>
        </w:tc>
        <w:tc>
          <w:tcPr>
            <w:tcW w:w="1414" w:type="pct"/>
          </w:tcPr>
          <w:p w14:paraId="5EB0D5A9" w14:textId="6C568091" w:rsidR="00720215" w:rsidRPr="00236907" w:rsidRDefault="00720215" w:rsidP="00DA1FA0">
            <w:r w:rsidRPr="00236907">
              <w:t>Ministerial Guidelines, paragraph 314</w:t>
            </w:r>
          </w:p>
        </w:tc>
        <w:tc>
          <w:tcPr>
            <w:tcW w:w="3206" w:type="pct"/>
          </w:tcPr>
          <w:p w14:paraId="410197D3" w14:textId="31F05EE8" w:rsidR="00720215" w:rsidRPr="00236907" w:rsidRDefault="00720215" w:rsidP="00DA1FA0">
            <w:r w:rsidRPr="00236907">
              <w:t>Remove the requirement for consultation with a person if there has been a suspected breach.</w:t>
            </w:r>
          </w:p>
        </w:tc>
      </w:tr>
      <w:tr w:rsidR="00E44036" w:rsidRPr="00236907" w14:paraId="72531271" w14:textId="77777777" w:rsidTr="640D7DB9">
        <w:tc>
          <w:tcPr>
            <w:tcW w:w="380" w:type="pct"/>
          </w:tcPr>
          <w:p w14:paraId="53CE5770" w14:textId="3AF7C32E" w:rsidR="00E44036" w:rsidRPr="00236907" w:rsidRDefault="003D0359" w:rsidP="000F21A8">
            <w:pPr>
              <w:keepNext/>
            </w:pPr>
            <w:r w:rsidRPr="00236907">
              <w:t>9</w:t>
            </w:r>
            <w:r w:rsidR="00E44036" w:rsidRPr="00236907">
              <w:t>.</w:t>
            </w:r>
            <w:r w:rsidR="00720215" w:rsidRPr="00236907">
              <w:t>4</w:t>
            </w:r>
          </w:p>
        </w:tc>
        <w:tc>
          <w:tcPr>
            <w:tcW w:w="1414" w:type="pct"/>
          </w:tcPr>
          <w:p w14:paraId="2DFD5102" w14:textId="5E7957D2" w:rsidR="00E44036" w:rsidRPr="00236907" w:rsidRDefault="00E44036" w:rsidP="000F21A8">
            <w:pPr>
              <w:keepNext/>
            </w:pPr>
            <w:r w:rsidRPr="00236907">
              <w:t>N/A</w:t>
            </w:r>
          </w:p>
        </w:tc>
        <w:tc>
          <w:tcPr>
            <w:tcW w:w="3206" w:type="pct"/>
          </w:tcPr>
          <w:p w14:paraId="05A69E0F" w14:textId="26B8C983" w:rsidR="00E44036" w:rsidRPr="00236907" w:rsidRDefault="00E44036" w:rsidP="000F21A8">
            <w:pPr>
              <w:keepNext/>
            </w:pPr>
            <w:r w:rsidRPr="00236907">
              <w:t>Within the Department, clarify the policy position on:</w:t>
            </w:r>
          </w:p>
          <w:p w14:paraId="1C3DDDC7" w14:textId="77777777" w:rsidR="00E44036" w:rsidRPr="00236907" w:rsidRDefault="00C34F4C" w:rsidP="000F21A8">
            <w:pPr>
              <w:pStyle w:val="ListParagraph"/>
              <w:keepNext/>
              <w:numPr>
                <w:ilvl w:val="0"/>
                <w:numId w:val="43"/>
              </w:numPr>
              <w:rPr>
                <w:rFonts w:cs="Times New Roman"/>
                <w:sz w:val="20"/>
                <w:szCs w:val="20"/>
              </w:rPr>
            </w:pPr>
            <w:r w:rsidRPr="00236907">
              <w:rPr>
                <w:rFonts w:cs="Times New Roman"/>
                <w:sz w:val="20"/>
                <w:szCs w:val="20"/>
              </w:rPr>
              <w:t>when the Department will commence an action in the Magistrates’ Court; and</w:t>
            </w:r>
          </w:p>
          <w:p w14:paraId="6A199416" w14:textId="6650D0A9" w:rsidR="00C34F4C" w:rsidRPr="00236907" w:rsidRDefault="00C34F4C" w:rsidP="000F21A8">
            <w:pPr>
              <w:pStyle w:val="ListParagraph"/>
              <w:keepNext/>
              <w:numPr>
                <w:ilvl w:val="0"/>
                <w:numId w:val="43"/>
              </w:numPr>
              <w:rPr>
                <w:rFonts w:cs="Times New Roman"/>
              </w:rPr>
            </w:pPr>
            <w:r w:rsidRPr="00236907">
              <w:rPr>
                <w:rFonts w:cs="Times New Roman"/>
                <w:sz w:val="20"/>
                <w:szCs w:val="20"/>
              </w:rPr>
              <w:t>what action the Department will take in response to a breach where it does not commence proceedings.</w:t>
            </w:r>
          </w:p>
        </w:tc>
      </w:tr>
    </w:tbl>
    <w:p w14:paraId="6498D09E" w14:textId="77777777" w:rsidR="000342A8" w:rsidRPr="00236907" w:rsidRDefault="000342A8" w:rsidP="008C0390">
      <w:pPr>
        <w:pStyle w:val="BodyIndent1"/>
      </w:pPr>
    </w:p>
    <w:p w14:paraId="69E917D3" w14:textId="77777777" w:rsidR="00775681" w:rsidRPr="00236907" w:rsidRDefault="00775681" w:rsidP="003E066A">
      <w:pPr>
        <w:pStyle w:val="Heading2"/>
      </w:pPr>
      <w:bookmarkStart w:id="33" w:name="_Toc210053632"/>
      <w:r w:rsidRPr="00236907">
        <w:t>Other matters</w:t>
      </w:r>
      <w:bookmarkEnd w:id="33"/>
    </w:p>
    <w:p w14:paraId="763A3AEA" w14:textId="57370F3C" w:rsidR="00E113A7" w:rsidRPr="00236907" w:rsidRDefault="00E3686B" w:rsidP="008E2516">
      <w:pPr>
        <w:pStyle w:val="BodyIndent1"/>
      </w:pPr>
      <w:r w:rsidRPr="00236907">
        <w:t xml:space="preserve">Interviewees suggested some other </w:t>
      </w:r>
      <w:r w:rsidR="00BD52AE" w:rsidRPr="00236907">
        <w:t xml:space="preserve">enhancements to the Scheme which do not require amendment to the ETR Act or Ministerial Guidelines. We have </w:t>
      </w:r>
      <w:r w:rsidR="000D0EDA" w:rsidRPr="00236907">
        <w:t>listed</w:t>
      </w:r>
      <w:r w:rsidR="00BD52AE" w:rsidRPr="00236907">
        <w:t xml:space="preserve"> them below.</w:t>
      </w:r>
    </w:p>
    <w:p w14:paraId="00EE482F" w14:textId="77777777" w:rsidR="00452240" w:rsidRPr="00236907" w:rsidRDefault="00452240" w:rsidP="008E2516">
      <w:pPr>
        <w:pStyle w:val="BodyIndent1"/>
      </w:pPr>
    </w:p>
    <w:tbl>
      <w:tblPr>
        <w:tblStyle w:val="MadTabPlumShade"/>
        <w:tblW w:w="5000" w:type="pct"/>
        <w:tblLook w:val="0620" w:firstRow="1" w:lastRow="0" w:firstColumn="0" w:lastColumn="0" w:noHBand="1" w:noVBand="1"/>
      </w:tblPr>
      <w:tblGrid>
        <w:gridCol w:w="686"/>
        <w:gridCol w:w="2552"/>
        <w:gridCol w:w="5786"/>
      </w:tblGrid>
      <w:tr w:rsidR="00452240" w:rsidRPr="00236907" w14:paraId="798CBB55" w14:textId="77777777">
        <w:trPr>
          <w:cnfStyle w:val="100000000000" w:firstRow="1" w:lastRow="0" w:firstColumn="0" w:lastColumn="0" w:oddVBand="0" w:evenVBand="0" w:oddHBand="0" w:evenHBand="0" w:firstRowFirstColumn="0" w:firstRowLastColumn="0" w:lastRowFirstColumn="0" w:lastRowLastColumn="0"/>
          <w:tblHeader/>
        </w:trPr>
        <w:tc>
          <w:tcPr>
            <w:tcW w:w="380" w:type="pct"/>
          </w:tcPr>
          <w:p w14:paraId="3872BA98" w14:textId="77777777" w:rsidR="00452240" w:rsidRPr="00236907" w:rsidRDefault="00452240">
            <w:r w:rsidRPr="00236907">
              <w:t>#</w:t>
            </w:r>
          </w:p>
        </w:tc>
        <w:tc>
          <w:tcPr>
            <w:tcW w:w="1414" w:type="pct"/>
          </w:tcPr>
          <w:p w14:paraId="246D2A5E" w14:textId="77777777" w:rsidR="00452240" w:rsidRPr="00236907" w:rsidRDefault="00452240">
            <w:r w:rsidRPr="00236907">
              <w:t>Provision</w:t>
            </w:r>
          </w:p>
        </w:tc>
        <w:tc>
          <w:tcPr>
            <w:tcW w:w="3206" w:type="pct"/>
          </w:tcPr>
          <w:p w14:paraId="0AFF2720" w14:textId="77777777" w:rsidR="00452240" w:rsidRPr="00236907" w:rsidRDefault="00452240">
            <w:r w:rsidRPr="00236907">
              <w:t>Recommendation</w:t>
            </w:r>
          </w:p>
        </w:tc>
      </w:tr>
      <w:tr w:rsidR="00452240" w:rsidRPr="00236907" w14:paraId="295D22CC" w14:textId="77777777">
        <w:tc>
          <w:tcPr>
            <w:tcW w:w="380" w:type="pct"/>
          </w:tcPr>
          <w:p w14:paraId="26FB9B60" w14:textId="22B457CC" w:rsidR="00452240" w:rsidRPr="00236907" w:rsidRDefault="003D0359">
            <w:r w:rsidRPr="00236907">
              <w:t>10</w:t>
            </w:r>
            <w:r w:rsidR="00452240" w:rsidRPr="00236907">
              <w:t>.1</w:t>
            </w:r>
          </w:p>
        </w:tc>
        <w:tc>
          <w:tcPr>
            <w:tcW w:w="1414" w:type="pct"/>
          </w:tcPr>
          <w:p w14:paraId="1D847025" w14:textId="034189AF" w:rsidR="00452240" w:rsidRPr="00236907" w:rsidRDefault="00452240">
            <w:r w:rsidRPr="00236907">
              <w:t>Ministerial Guidelines, paragraphs 297-307</w:t>
            </w:r>
          </w:p>
        </w:tc>
        <w:tc>
          <w:tcPr>
            <w:tcW w:w="3206" w:type="pct"/>
          </w:tcPr>
          <w:p w14:paraId="7CCEECBE" w14:textId="28625F85" w:rsidR="00452240" w:rsidRPr="00236907" w:rsidRDefault="00242758">
            <w:r>
              <w:t>The Department understands</w:t>
            </w:r>
            <w:r w:rsidR="00452240" w:rsidRPr="00236907">
              <w:t xml:space="preserve"> that school principals have found the requirements for monitoring compliance with orders in the Ministerial Guidelines to be lengthy and complex. The Department may wish to consider what the minimum expectations are and clarify them.</w:t>
            </w:r>
          </w:p>
        </w:tc>
      </w:tr>
      <w:tr w:rsidR="00452240" w:rsidRPr="00236907" w14:paraId="62C479AE" w14:textId="77777777">
        <w:tc>
          <w:tcPr>
            <w:tcW w:w="380" w:type="pct"/>
          </w:tcPr>
          <w:p w14:paraId="1EC2BF8E" w14:textId="7B98ED9F" w:rsidR="00452240" w:rsidRPr="00236907" w:rsidRDefault="003D0359">
            <w:r w:rsidRPr="00236907">
              <w:t>10</w:t>
            </w:r>
            <w:r w:rsidR="00452240" w:rsidRPr="00236907">
              <w:t>.2</w:t>
            </w:r>
          </w:p>
        </w:tc>
        <w:tc>
          <w:tcPr>
            <w:tcW w:w="1414" w:type="pct"/>
          </w:tcPr>
          <w:p w14:paraId="303B7691" w14:textId="6E271DE7" w:rsidR="00452240" w:rsidRPr="00236907" w:rsidRDefault="007572DD">
            <w:r w:rsidRPr="00236907">
              <w:t>Ministerial Guidelines, paragraph 264</w:t>
            </w:r>
          </w:p>
        </w:tc>
        <w:tc>
          <w:tcPr>
            <w:tcW w:w="3206" w:type="pct"/>
          </w:tcPr>
          <w:p w14:paraId="74405331" w14:textId="134A788B" w:rsidR="00452240" w:rsidRPr="00236907" w:rsidRDefault="00AF718C" w:rsidP="00AF718C">
            <w:r w:rsidRPr="00236907">
              <w:t>Independent schools may struggle to find an internal reviewer who is “</w:t>
            </w:r>
            <w:r w:rsidRPr="00236907">
              <w:rPr>
                <w:lang w:val="en-US"/>
              </w:rPr>
              <w:t>unbiased and sufficiently independent of the original decision maker who made the order” where the members of the school board have a close working relationship with the principal</w:t>
            </w:r>
            <w:r w:rsidR="003C79DF" w:rsidRPr="00236907">
              <w:rPr>
                <w:lang w:val="en-US"/>
              </w:rPr>
              <w:t xml:space="preserve">. They may </w:t>
            </w:r>
            <w:r w:rsidRPr="00236907">
              <w:rPr>
                <w:lang w:val="en-US"/>
              </w:rPr>
              <w:t>benefit from guidance on how to manage this situation.</w:t>
            </w:r>
          </w:p>
        </w:tc>
      </w:tr>
      <w:tr w:rsidR="00452240" w:rsidRPr="00236907" w14:paraId="6F69D1D1" w14:textId="77777777">
        <w:tc>
          <w:tcPr>
            <w:tcW w:w="380" w:type="pct"/>
          </w:tcPr>
          <w:p w14:paraId="73DDAA50" w14:textId="34E0D5AA" w:rsidR="00452240" w:rsidRPr="00236907" w:rsidRDefault="003D0359">
            <w:r w:rsidRPr="00236907">
              <w:t>10</w:t>
            </w:r>
            <w:r w:rsidR="00452240" w:rsidRPr="00236907">
              <w:t>.3</w:t>
            </w:r>
          </w:p>
        </w:tc>
        <w:tc>
          <w:tcPr>
            <w:tcW w:w="1414" w:type="pct"/>
          </w:tcPr>
          <w:p w14:paraId="19DBB693" w14:textId="21C2F7CC" w:rsidR="00452240" w:rsidRPr="00236907" w:rsidRDefault="002832B7">
            <w:r w:rsidRPr="00236907">
              <w:t>N/A</w:t>
            </w:r>
          </w:p>
        </w:tc>
        <w:tc>
          <w:tcPr>
            <w:tcW w:w="3206" w:type="pct"/>
          </w:tcPr>
          <w:p w14:paraId="1CF7F474" w14:textId="7B1C3D81" w:rsidR="00452240" w:rsidRPr="00236907" w:rsidRDefault="00CD123B">
            <w:r w:rsidRPr="00236907">
              <w:t>The Department should consider expanding delegations, provided that any reviewer (e.g., a regional director) is not materially involved in the original decision and is demonstrably independent. Reviewers must be able to exercise discretion free from actual or perceived conflict of interest, in accordance with public law principles. For example, individual campus principals of multi-campus schools could issue ongoing orders, and regional directors could review orders issued by principals.</w:t>
            </w:r>
          </w:p>
        </w:tc>
      </w:tr>
      <w:tr w:rsidR="00452240" w:rsidRPr="00236907" w14:paraId="38119A70" w14:textId="77777777">
        <w:tc>
          <w:tcPr>
            <w:tcW w:w="380" w:type="pct"/>
          </w:tcPr>
          <w:p w14:paraId="3D4990C4" w14:textId="307199A0" w:rsidR="00452240" w:rsidRPr="00236907" w:rsidRDefault="003D0359">
            <w:r w:rsidRPr="00236907">
              <w:t>10</w:t>
            </w:r>
            <w:r w:rsidR="00452240" w:rsidRPr="00236907">
              <w:t>.4</w:t>
            </w:r>
          </w:p>
        </w:tc>
        <w:tc>
          <w:tcPr>
            <w:tcW w:w="1414" w:type="pct"/>
          </w:tcPr>
          <w:p w14:paraId="4A438F43" w14:textId="06876A80" w:rsidR="00452240" w:rsidRPr="00236907" w:rsidRDefault="002832B7">
            <w:r w:rsidRPr="00236907">
              <w:t>N/A</w:t>
            </w:r>
          </w:p>
        </w:tc>
        <w:tc>
          <w:tcPr>
            <w:tcW w:w="3206" w:type="pct"/>
          </w:tcPr>
          <w:p w14:paraId="1CDBD1F0" w14:textId="340B7B7C" w:rsidR="00452240" w:rsidRPr="00236907" w:rsidRDefault="00AF718C">
            <w:r w:rsidRPr="00236907">
              <w:t xml:space="preserve">Principals may find it easier to make an order if they could work through the evidence matrix </w:t>
            </w:r>
            <w:r w:rsidR="001C24A0" w:rsidRPr="00236907">
              <w:t xml:space="preserve">or equivalent document </w:t>
            </w:r>
            <w:r w:rsidRPr="00236907">
              <w:t xml:space="preserve">in a </w:t>
            </w:r>
            <w:r w:rsidRPr="00236907">
              <w:lastRenderedPageBreak/>
              <w:t>meeting or Teams call with the Department rather than through back-and-forth emails.</w:t>
            </w:r>
          </w:p>
        </w:tc>
      </w:tr>
    </w:tbl>
    <w:p w14:paraId="779C5231" w14:textId="77777777" w:rsidR="00452240" w:rsidRPr="00236907" w:rsidRDefault="00452240" w:rsidP="008E2516">
      <w:pPr>
        <w:pStyle w:val="BodyIndent1"/>
      </w:pPr>
    </w:p>
    <w:p w14:paraId="38323A67" w14:textId="5612662F" w:rsidR="00BB0763" w:rsidRPr="00236907" w:rsidRDefault="00BB0763" w:rsidP="007572DD">
      <w:pPr>
        <w:pStyle w:val="BodyIndent1"/>
        <w:ind w:left="0"/>
      </w:pPr>
      <w:r w:rsidRPr="00236907">
        <w:br w:type="page"/>
      </w:r>
    </w:p>
    <w:p w14:paraId="1AE70A12" w14:textId="77777777" w:rsidR="00DB18E9" w:rsidRPr="00236907" w:rsidRDefault="00DB18E9" w:rsidP="005046B8">
      <w:pPr>
        <w:pStyle w:val="BodyIndent1"/>
      </w:pPr>
    </w:p>
    <w:p w14:paraId="6A61B88B" w14:textId="1EEE888E" w:rsidR="009E3B7E" w:rsidRDefault="00815855" w:rsidP="009E3B7E">
      <w:pPr>
        <w:pStyle w:val="Heading1"/>
      </w:pPr>
      <w:bookmarkStart w:id="34" w:name="_Toc529106877"/>
      <w:bookmarkStart w:id="35" w:name="_Toc529106936"/>
      <w:bookmarkStart w:id="36" w:name="_Toc529106878"/>
      <w:bookmarkStart w:id="37" w:name="_Toc529106937"/>
      <w:bookmarkStart w:id="38" w:name="_Toc529106879"/>
      <w:bookmarkStart w:id="39" w:name="_Toc529106938"/>
      <w:bookmarkStart w:id="40" w:name="_Toc210053633"/>
      <w:bookmarkEnd w:id="34"/>
      <w:bookmarkEnd w:id="35"/>
      <w:bookmarkEnd w:id="36"/>
      <w:bookmarkEnd w:id="37"/>
      <w:bookmarkEnd w:id="38"/>
      <w:bookmarkEnd w:id="39"/>
      <w:r w:rsidRPr="00236907">
        <w:t>Glossary</w:t>
      </w:r>
      <w:bookmarkEnd w:id="40"/>
    </w:p>
    <w:tbl>
      <w:tblPr>
        <w:tblStyle w:val="MadTabPlumGrid"/>
        <w:tblW w:w="5000" w:type="pct"/>
        <w:tblLook w:val="0620" w:firstRow="1" w:lastRow="0" w:firstColumn="0" w:lastColumn="0" w:noHBand="1" w:noVBand="1"/>
      </w:tblPr>
      <w:tblGrid>
        <w:gridCol w:w="2411"/>
        <w:gridCol w:w="6659"/>
      </w:tblGrid>
      <w:tr w:rsidR="009E3B7E" w:rsidRPr="00236907" w14:paraId="2364EBD8" w14:textId="77777777" w:rsidTr="00377866">
        <w:trPr>
          <w:cnfStyle w:val="100000000000" w:firstRow="1" w:lastRow="0" w:firstColumn="0" w:lastColumn="0" w:oddVBand="0" w:evenVBand="0" w:oddHBand="0" w:evenHBand="0" w:firstRowFirstColumn="0" w:firstRowLastColumn="0" w:lastRowFirstColumn="0" w:lastRowLastColumn="0"/>
        </w:trPr>
        <w:tc>
          <w:tcPr>
            <w:tcW w:w="1329" w:type="pct"/>
          </w:tcPr>
          <w:p w14:paraId="14C0F043" w14:textId="02A20C08" w:rsidR="009E3B7E" w:rsidRPr="00236907" w:rsidRDefault="009E3B7E" w:rsidP="0052343C">
            <w:pPr>
              <w:rPr>
                <w:b w:val="0"/>
              </w:rPr>
            </w:pPr>
            <w:r w:rsidRPr="00236907">
              <w:t>Term</w:t>
            </w:r>
            <w:r>
              <w:rPr>
                <w:b w:val="0"/>
              </w:rPr>
              <w:t xml:space="preserve"> </w:t>
            </w:r>
          </w:p>
        </w:tc>
        <w:tc>
          <w:tcPr>
            <w:tcW w:w="3671" w:type="pct"/>
          </w:tcPr>
          <w:p w14:paraId="48CE0A10" w14:textId="3DD35A71" w:rsidR="009E3B7E" w:rsidRPr="00236907" w:rsidRDefault="009E3B7E" w:rsidP="0052343C">
            <w:r w:rsidRPr="00236907">
              <w:t>Meaning</w:t>
            </w:r>
          </w:p>
        </w:tc>
      </w:tr>
      <w:tr w:rsidR="00BF060F" w:rsidRPr="00236907" w14:paraId="3639467D" w14:textId="77777777" w:rsidTr="00377866">
        <w:tc>
          <w:tcPr>
            <w:tcW w:w="1329" w:type="pct"/>
          </w:tcPr>
          <w:p w14:paraId="0E0D7BCE" w14:textId="1C0A6090" w:rsidR="00BF060F" w:rsidRPr="00236907" w:rsidRDefault="00CB6F9E" w:rsidP="0052343C">
            <w:pPr>
              <w:rPr>
                <w:b/>
              </w:rPr>
            </w:pPr>
            <w:r>
              <w:rPr>
                <w:b/>
              </w:rPr>
              <w:t xml:space="preserve">ESWID  </w:t>
            </w:r>
          </w:p>
        </w:tc>
        <w:tc>
          <w:tcPr>
            <w:tcW w:w="3671" w:type="pct"/>
          </w:tcPr>
          <w:p w14:paraId="365356E4" w14:textId="73256888" w:rsidR="00BF060F" w:rsidRPr="00CB6F9E" w:rsidRDefault="00CB6F9E" w:rsidP="0052343C">
            <w:pPr>
              <w:rPr>
                <w:bCs/>
                <w:i/>
                <w:iCs/>
              </w:rPr>
            </w:pPr>
            <w:r w:rsidRPr="00CB6F9E">
              <w:rPr>
                <w:bCs/>
              </w:rPr>
              <w:t>Employee Safety Wellbeing and Inclusion Division</w:t>
            </w:r>
            <w:r w:rsidR="00A576DD">
              <w:rPr>
                <w:bCs/>
              </w:rPr>
              <w:t xml:space="preserve"> within the Department of Education</w:t>
            </w:r>
          </w:p>
        </w:tc>
      </w:tr>
      <w:tr w:rsidR="00483AAA" w:rsidRPr="00236907" w14:paraId="25C7EAF2" w14:textId="77777777" w:rsidTr="00377866">
        <w:tc>
          <w:tcPr>
            <w:tcW w:w="1329" w:type="pct"/>
          </w:tcPr>
          <w:p w14:paraId="5FB11E70" w14:textId="0C382196" w:rsidR="00483AAA" w:rsidRPr="00236907" w:rsidRDefault="00483AAA" w:rsidP="0052343C">
            <w:pPr>
              <w:rPr>
                <w:b/>
              </w:rPr>
            </w:pPr>
            <w:r w:rsidRPr="00236907">
              <w:rPr>
                <w:b/>
              </w:rPr>
              <w:t>ETR Act</w:t>
            </w:r>
          </w:p>
        </w:tc>
        <w:tc>
          <w:tcPr>
            <w:tcW w:w="3671" w:type="pct"/>
          </w:tcPr>
          <w:p w14:paraId="28E9A0BB" w14:textId="3072FEFB" w:rsidR="00483AAA" w:rsidRPr="00236907" w:rsidRDefault="00DB2806" w:rsidP="0052343C">
            <w:pPr>
              <w:rPr>
                <w:iCs/>
              </w:rPr>
            </w:pPr>
            <w:r w:rsidRPr="00236907">
              <w:rPr>
                <w:i/>
                <w:iCs/>
              </w:rPr>
              <w:t>Education and Training Reform Act 2006</w:t>
            </w:r>
            <w:r w:rsidRPr="00236907">
              <w:t xml:space="preserve"> (Vic)</w:t>
            </w:r>
          </w:p>
        </w:tc>
      </w:tr>
      <w:tr w:rsidR="00483AAA" w:rsidRPr="00236907" w14:paraId="3899BB81" w14:textId="77777777" w:rsidTr="00377866">
        <w:tc>
          <w:tcPr>
            <w:tcW w:w="1329" w:type="pct"/>
          </w:tcPr>
          <w:p w14:paraId="563AD219" w14:textId="2EEE92D7" w:rsidR="00483AAA" w:rsidRPr="00236907" w:rsidRDefault="004E2260" w:rsidP="0052343C">
            <w:pPr>
              <w:rPr>
                <w:b/>
              </w:rPr>
            </w:pPr>
            <w:r w:rsidRPr="00236907">
              <w:rPr>
                <w:b/>
              </w:rPr>
              <w:t>ETR Regulations</w:t>
            </w:r>
          </w:p>
        </w:tc>
        <w:tc>
          <w:tcPr>
            <w:tcW w:w="3671" w:type="pct"/>
          </w:tcPr>
          <w:p w14:paraId="299AF445" w14:textId="7C2EF5D5" w:rsidR="00483AAA" w:rsidRPr="00236907" w:rsidRDefault="004E2260" w:rsidP="0052343C">
            <w:pPr>
              <w:rPr>
                <w:iCs/>
              </w:rPr>
            </w:pPr>
            <w:r w:rsidRPr="00236907">
              <w:rPr>
                <w:i/>
                <w:iCs/>
              </w:rPr>
              <w:t xml:space="preserve">Education and Training Reform Regulations 2017 </w:t>
            </w:r>
            <w:r w:rsidRPr="00236907">
              <w:t>(Vic)</w:t>
            </w:r>
          </w:p>
        </w:tc>
      </w:tr>
      <w:tr w:rsidR="003341A1" w:rsidRPr="00236907" w14:paraId="56F2EACD" w14:textId="77777777" w:rsidTr="00377866">
        <w:tc>
          <w:tcPr>
            <w:tcW w:w="1329" w:type="pct"/>
          </w:tcPr>
          <w:p w14:paraId="6057125F" w14:textId="2C005F99" w:rsidR="003341A1" w:rsidRPr="00236907" w:rsidRDefault="003341A1" w:rsidP="0052343C">
            <w:pPr>
              <w:rPr>
                <w:b/>
              </w:rPr>
            </w:pPr>
            <w:r w:rsidRPr="00236907">
              <w:rPr>
                <w:b/>
              </w:rPr>
              <w:t>FVIO</w:t>
            </w:r>
          </w:p>
        </w:tc>
        <w:tc>
          <w:tcPr>
            <w:tcW w:w="3671" w:type="pct"/>
          </w:tcPr>
          <w:p w14:paraId="0768B4F6" w14:textId="2FF4DE2E" w:rsidR="003341A1" w:rsidRPr="00236907" w:rsidRDefault="00043092" w:rsidP="0052343C">
            <w:pPr>
              <w:rPr>
                <w:i/>
                <w:iCs/>
              </w:rPr>
            </w:pPr>
            <w:r w:rsidRPr="00236907">
              <w:t xml:space="preserve">Family Violence Intervention Order made under the </w:t>
            </w:r>
            <w:r w:rsidRPr="00236907">
              <w:rPr>
                <w:i/>
                <w:iCs/>
              </w:rPr>
              <w:t>Family Violence Protection Act 2008</w:t>
            </w:r>
            <w:r w:rsidRPr="00236907">
              <w:t xml:space="preserve"> (Vic)</w:t>
            </w:r>
          </w:p>
        </w:tc>
      </w:tr>
      <w:tr w:rsidR="00B52C7D" w:rsidRPr="00236907" w14:paraId="18153A4A" w14:textId="77777777" w:rsidTr="00377866">
        <w:tc>
          <w:tcPr>
            <w:tcW w:w="1329" w:type="pct"/>
          </w:tcPr>
          <w:p w14:paraId="7A1971EB" w14:textId="2C9B17D9" w:rsidR="00B52C7D" w:rsidRPr="00236907" w:rsidRDefault="00B52C7D" w:rsidP="0052343C">
            <w:pPr>
              <w:rPr>
                <w:b/>
              </w:rPr>
            </w:pPr>
            <w:r w:rsidRPr="00236907">
              <w:rPr>
                <w:b/>
                <w:bCs/>
              </w:rPr>
              <w:t>Ministerial Guidelines</w:t>
            </w:r>
          </w:p>
        </w:tc>
        <w:tc>
          <w:tcPr>
            <w:tcW w:w="3671" w:type="pct"/>
          </w:tcPr>
          <w:p w14:paraId="3D343D02" w14:textId="1A23D1FE" w:rsidR="00B52C7D" w:rsidRPr="00236907" w:rsidRDefault="00D9559B" w:rsidP="0052343C">
            <w:pPr>
              <w:rPr>
                <w:i/>
                <w:iCs/>
              </w:rPr>
            </w:pPr>
            <w:r w:rsidRPr="00236907">
              <w:t xml:space="preserve">The </w:t>
            </w:r>
            <w:r w:rsidR="00B52C7D" w:rsidRPr="00236907">
              <w:t>School Community Safety Order Scheme Ministerial Guidelines made under</w:t>
            </w:r>
            <w:r w:rsidR="00515D7A" w:rsidRPr="00236907">
              <w:t xml:space="preserve"> s </w:t>
            </w:r>
            <w:r w:rsidR="00B52C7D" w:rsidRPr="00236907">
              <w:t xml:space="preserve">2.1A.37 of the </w:t>
            </w:r>
            <w:r w:rsidRPr="00236907">
              <w:rPr>
                <w:i/>
                <w:iCs/>
              </w:rPr>
              <w:t>Education and Training Reform Act 2006</w:t>
            </w:r>
            <w:r w:rsidRPr="00236907">
              <w:t xml:space="preserve"> (Vic)</w:t>
            </w:r>
          </w:p>
        </w:tc>
      </w:tr>
      <w:tr w:rsidR="00521E50" w:rsidRPr="00236907" w14:paraId="2DA837A7" w14:textId="77777777" w:rsidTr="00377866">
        <w:tc>
          <w:tcPr>
            <w:tcW w:w="1329" w:type="pct"/>
          </w:tcPr>
          <w:p w14:paraId="7CEA1121" w14:textId="671EE54E" w:rsidR="00521E50" w:rsidRPr="00236907" w:rsidRDefault="00521E50" w:rsidP="0052343C">
            <w:pPr>
              <w:rPr>
                <w:b/>
              </w:rPr>
            </w:pPr>
            <w:r w:rsidRPr="00236907">
              <w:rPr>
                <w:b/>
              </w:rPr>
              <w:t>PSIO</w:t>
            </w:r>
          </w:p>
        </w:tc>
        <w:tc>
          <w:tcPr>
            <w:tcW w:w="3671" w:type="pct"/>
          </w:tcPr>
          <w:p w14:paraId="3AA02B41" w14:textId="79CECD3F" w:rsidR="00521E50" w:rsidRPr="00236907" w:rsidRDefault="00A7575D" w:rsidP="0052343C">
            <w:pPr>
              <w:rPr>
                <w:iCs/>
              </w:rPr>
            </w:pPr>
            <w:r w:rsidRPr="00236907">
              <w:t xml:space="preserve">Personal Safety Intervention Order made under the </w:t>
            </w:r>
            <w:r w:rsidRPr="00236907">
              <w:rPr>
                <w:i/>
                <w:iCs/>
              </w:rPr>
              <w:t xml:space="preserve">Personal Safety Intervention Order Act 2010 </w:t>
            </w:r>
            <w:r w:rsidRPr="00236907">
              <w:t>(Vic)</w:t>
            </w:r>
          </w:p>
        </w:tc>
      </w:tr>
      <w:tr w:rsidR="00483AAA" w:rsidRPr="00236907" w14:paraId="56F2AA48" w14:textId="77777777" w:rsidTr="00377866">
        <w:tc>
          <w:tcPr>
            <w:tcW w:w="1329" w:type="pct"/>
          </w:tcPr>
          <w:p w14:paraId="1CAD6F8C" w14:textId="0E07F7EF" w:rsidR="00483AAA" w:rsidRPr="00236907" w:rsidRDefault="005E553D" w:rsidP="0052343C">
            <w:pPr>
              <w:rPr>
                <w:b/>
              </w:rPr>
            </w:pPr>
            <w:r w:rsidRPr="00236907">
              <w:rPr>
                <w:b/>
              </w:rPr>
              <w:t>SCSO</w:t>
            </w:r>
          </w:p>
        </w:tc>
        <w:tc>
          <w:tcPr>
            <w:tcW w:w="3671" w:type="pct"/>
          </w:tcPr>
          <w:p w14:paraId="449D05C2" w14:textId="37C40715" w:rsidR="00483AAA" w:rsidRPr="00236907" w:rsidRDefault="005E553D" w:rsidP="0052343C">
            <w:pPr>
              <w:rPr>
                <w:iCs/>
              </w:rPr>
            </w:pPr>
            <w:r w:rsidRPr="00236907">
              <w:rPr>
                <w:iCs/>
              </w:rPr>
              <w:t>School Community Safety Order</w:t>
            </w:r>
          </w:p>
        </w:tc>
      </w:tr>
      <w:tr w:rsidR="005E553D" w:rsidRPr="00236907" w14:paraId="0FDED77C" w14:textId="77777777" w:rsidTr="00377866">
        <w:tc>
          <w:tcPr>
            <w:tcW w:w="1329" w:type="pct"/>
          </w:tcPr>
          <w:p w14:paraId="731B3414" w14:textId="4D02E4A0" w:rsidR="005E553D" w:rsidRPr="00236907" w:rsidRDefault="005E553D" w:rsidP="0052343C">
            <w:pPr>
              <w:rPr>
                <w:b/>
              </w:rPr>
            </w:pPr>
            <w:r w:rsidRPr="00236907">
              <w:rPr>
                <w:b/>
              </w:rPr>
              <w:t>the Scheme</w:t>
            </w:r>
          </w:p>
        </w:tc>
        <w:tc>
          <w:tcPr>
            <w:tcW w:w="3671" w:type="pct"/>
          </w:tcPr>
          <w:p w14:paraId="75A9D860" w14:textId="4DCAD684" w:rsidR="005E553D" w:rsidRPr="00236907" w:rsidRDefault="005E553D" w:rsidP="0052343C">
            <w:pPr>
              <w:rPr>
                <w:iCs/>
              </w:rPr>
            </w:pPr>
            <w:r w:rsidRPr="00236907">
              <w:rPr>
                <w:iCs/>
              </w:rPr>
              <w:t xml:space="preserve">The </w:t>
            </w:r>
            <w:r w:rsidR="00FF340F" w:rsidRPr="00236907">
              <w:rPr>
                <w:iCs/>
              </w:rPr>
              <w:t>School Community Safety Order Scheme</w:t>
            </w:r>
          </w:p>
        </w:tc>
      </w:tr>
      <w:tr w:rsidR="005E553D" w:rsidRPr="00236907" w14:paraId="032B7609" w14:textId="77777777" w:rsidTr="00377866">
        <w:tc>
          <w:tcPr>
            <w:tcW w:w="1329" w:type="pct"/>
          </w:tcPr>
          <w:p w14:paraId="1222834D" w14:textId="4A60B802" w:rsidR="005E553D" w:rsidRPr="00236907" w:rsidRDefault="005940AD" w:rsidP="0052343C">
            <w:pPr>
              <w:rPr>
                <w:b/>
              </w:rPr>
            </w:pPr>
            <w:r w:rsidRPr="00236907">
              <w:rPr>
                <w:b/>
              </w:rPr>
              <w:t>the Secretary</w:t>
            </w:r>
          </w:p>
        </w:tc>
        <w:tc>
          <w:tcPr>
            <w:tcW w:w="3671" w:type="pct"/>
          </w:tcPr>
          <w:p w14:paraId="5113E455" w14:textId="49101042" w:rsidR="005E553D" w:rsidRPr="00236907" w:rsidRDefault="00046F26" w:rsidP="0052343C">
            <w:pPr>
              <w:rPr>
                <w:iCs/>
              </w:rPr>
            </w:pPr>
            <w:r w:rsidRPr="00236907">
              <w:t>the Secretary to the Department of Education</w:t>
            </w:r>
          </w:p>
        </w:tc>
      </w:tr>
      <w:tr w:rsidR="00521E50" w:rsidRPr="00236907" w14:paraId="686C1CB5" w14:textId="77777777" w:rsidTr="00377866">
        <w:tc>
          <w:tcPr>
            <w:tcW w:w="1329" w:type="pct"/>
          </w:tcPr>
          <w:p w14:paraId="580709B4" w14:textId="2D19DB43" w:rsidR="00521E50" w:rsidRPr="00236907" w:rsidRDefault="00521E50" w:rsidP="0052343C">
            <w:pPr>
              <w:rPr>
                <w:b/>
              </w:rPr>
            </w:pPr>
            <w:r w:rsidRPr="00236907">
              <w:rPr>
                <w:b/>
              </w:rPr>
              <w:t>TWN</w:t>
            </w:r>
          </w:p>
        </w:tc>
        <w:tc>
          <w:tcPr>
            <w:tcW w:w="3671" w:type="pct"/>
          </w:tcPr>
          <w:p w14:paraId="210C1AC8" w14:textId="5DDDF28D" w:rsidR="00521E50" w:rsidRPr="00236907" w:rsidRDefault="00521E50" w:rsidP="0052343C">
            <w:r w:rsidRPr="00236907">
              <w:t xml:space="preserve">Trespass Warning Notice made under the </w:t>
            </w:r>
            <w:r w:rsidRPr="00236907">
              <w:rPr>
                <w:i/>
                <w:iCs/>
              </w:rPr>
              <w:t>Summary Offences Act 1966</w:t>
            </w:r>
            <w:r w:rsidRPr="00236907">
              <w:t xml:space="preserve"> (Vic)</w:t>
            </w:r>
          </w:p>
        </w:tc>
      </w:tr>
      <w:tr w:rsidR="00605E3F" w:rsidRPr="00236907" w14:paraId="62ADC551" w14:textId="77777777" w:rsidTr="00377866">
        <w:tc>
          <w:tcPr>
            <w:tcW w:w="1329" w:type="pct"/>
          </w:tcPr>
          <w:p w14:paraId="7C57F0C4" w14:textId="1210CC50" w:rsidR="00605E3F" w:rsidRPr="00236907" w:rsidRDefault="00605E3F" w:rsidP="0052343C">
            <w:pPr>
              <w:rPr>
                <w:b/>
              </w:rPr>
            </w:pPr>
            <w:r w:rsidRPr="00236907">
              <w:rPr>
                <w:b/>
              </w:rPr>
              <w:t>VCAT</w:t>
            </w:r>
          </w:p>
        </w:tc>
        <w:tc>
          <w:tcPr>
            <w:tcW w:w="3671" w:type="pct"/>
          </w:tcPr>
          <w:p w14:paraId="54BC9BB1" w14:textId="2F94143D" w:rsidR="00605E3F" w:rsidRPr="00236907" w:rsidRDefault="00605E3F" w:rsidP="0052343C">
            <w:r w:rsidRPr="00236907">
              <w:t>Victorian Civil and Administrative Tribunal</w:t>
            </w:r>
          </w:p>
        </w:tc>
      </w:tr>
      <w:tr w:rsidR="00DA1DF7" w:rsidRPr="00236907" w14:paraId="62769ECE" w14:textId="77777777" w:rsidTr="00377866">
        <w:tc>
          <w:tcPr>
            <w:tcW w:w="1329" w:type="pct"/>
          </w:tcPr>
          <w:p w14:paraId="5BA28E06" w14:textId="4495F211" w:rsidR="00DA1DF7" w:rsidRPr="00236907" w:rsidRDefault="00DA1DF7" w:rsidP="0052343C">
            <w:pPr>
              <w:rPr>
                <w:b/>
              </w:rPr>
            </w:pPr>
            <w:r w:rsidRPr="00236907">
              <w:rPr>
                <w:b/>
              </w:rPr>
              <w:t>VCAT Act</w:t>
            </w:r>
          </w:p>
        </w:tc>
        <w:tc>
          <w:tcPr>
            <w:tcW w:w="3671" w:type="pct"/>
          </w:tcPr>
          <w:p w14:paraId="062F5FB0" w14:textId="5AA63A7D" w:rsidR="00DA1DF7" w:rsidRPr="00236907" w:rsidRDefault="00DA1DF7" w:rsidP="0052343C">
            <w:r w:rsidRPr="00236907">
              <w:rPr>
                <w:rFonts w:asciiTheme="minorHAnsi" w:hAnsiTheme="minorHAnsi" w:cstheme="minorHAnsi"/>
                <w:i/>
                <w:iCs/>
              </w:rPr>
              <w:t xml:space="preserve">Victorian Civil and Administrative Tribunal Act 1998 </w:t>
            </w:r>
            <w:r w:rsidRPr="00236907">
              <w:rPr>
                <w:rFonts w:asciiTheme="minorHAnsi" w:hAnsiTheme="minorHAnsi" w:cstheme="minorHAnsi"/>
              </w:rPr>
              <w:t>(Vic)</w:t>
            </w:r>
          </w:p>
        </w:tc>
      </w:tr>
    </w:tbl>
    <w:p w14:paraId="7F0B54F9" w14:textId="77777777" w:rsidR="00815855" w:rsidRPr="00236907" w:rsidRDefault="00815855" w:rsidP="00815855">
      <w:pPr>
        <w:pStyle w:val="BodyIndent1"/>
      </w:pPr>
    </w:p>
    <w:p w14:paraId="1E89A205" w14:textId="1EA36FC7" w:rsidR="00B35F83" w:rsidRPr="00236907" w:rsidRDefault="00A33E46" w:rsidP="00A33E46">
      <w:pPr>
        <w:pStyle w:val="legalSchedule"/>
        <w:numPr>
          <w:ilvl w:val="0"/>
          <w:numId w:val="0"/>
        </w:numPr>
      </w:pPr>
      <w:bookmarkStart w:id="41" w:name="_Toc210053634"/>
      <w:r>
        <w:lastRenderedPageBreak/>
        <w:t>Schedule 1 – Detailed Scope of Work</w:t>
      </w:r>
      <w:bookmarkEnd w:id="41"/>
    </w:p>
    <w:p w14:paraId="211960FE" w14:textId="77777777" w:rsidR="00B35F83" w:rsidRPr="00236907" w:rsidRDefault="00B35F83" w:rsidP="00B35F83">
      <w:pPr>
        <w:pStyle w:val="BodyText"/>
        <w:rPr>
          <w:rFonts w:ascii="Times New Roman"/>
          <w:sz w:val="20"/>
        </w:rPr>
      </w:pPr>
    </w:p>
    <w:p w14:paraId="0DA3DF1C" w14:textId="2969A1A9" w:rsidR="003D1479" w:rsidRPr="00236907" w:rsidRDefault="003D1479" w:rsidP="00DB3F7C">
      <w:pPr>
        <w:pStyle w:val="BodyText"/>
        <w:spacing w:before="121"/>
        <w:rPr>
          <w:b/>
          <w:i/>
          <w:iCs/>
        </w:rPr>
      </w:pPr>
      <w:r w:rsidRPr="00236907">
        <w:rPr>
          <w:b/>
          <w:i/>
          <w:iCs/>
        </w:rPr>
        <w:t>Context</w:t>
      </w:r>
    </w:p>
    <w:p w14:paraId="62B2F04A" w14:textId="77777777" w:rsidR="003D1479" w:rsidRPr="00236907" w:rsidRDefault="003D1479" w:rsidP="00DB3F7C">
      <w:pPr>
        <w:pStyle w:val="BodyText"/>
        <w:spacing w:before="121"/>
      </w:pPr>
      <w:r w:rsidRPr="00236907">
        <w:t xml:space="preserve">The school community safety order scheme was established by the </w:t>
      </w:r>
      <w:r w:rsidRPr="00236907">
        <w:rPr>
          <w:i/>
          <w:iCs/>
        </w:rPr>
        <w:t xml:space="preserve">Education and Training Reform Amendment (Protection of School Communities) Act 2021 </w:t>
      </w:r>
      <w:r w:rsidRPr="00236907">
        <w:t>(</w:t>
      </w:r>
      <w:r w:rsidRPr="00236907">
        <w:rPr>
          <w:b/>
          <w:bCs/>
        </w:rPr>
        <w:t>ETR (Protection of school communities) Act</w:t>
      </w:r>
      <w:r w:rsidRPr="00D33EE3">
        <w:t>)</w:t>
      </w:r>
      <w:r w:rsidRPr="00236907">
        <w:t xml:space="preserve">, which amended the </w:t>
      </w:r>
      <w:r w:rsidRPr="00236907">
        <w:rPr>
          <w:i/>
          <w:iCs/>
        </w:rPr>
        <w:t xml:space="preserve">Education and Training Reform Act 2006 </w:t>
      </w:r>
      <w:r w:rsidRPr="00236907">
        <w:t>(</w:t>
      </w:r>
      <w:r w:rsidRPr="00236907">
        <w:rPr>
          <w:b/>
          <w:bCs/>
        </w:rPr>
        <w:t>ETR Act</w:t>
      </w:r>
      <w:r w:rsidRPr="00236907">
        <w:t xml:space="preserve">) to include Part 2.1A – Protection of school communities. The scheme commenced on 28 June 2022. </w:t>
      </w:r>
    </w:p>
    <w:p w14:paraId="05B92CCA" w14:textId="77777777" w:rsidR="003D1479" w:rsidRPr="00236907" w:rsidRDefault="003D1479" w:rsidP="00DB3F7C">
      <w:pPr>
        <w:pStyle w:val="BodyText"/>
        <w:spacing w:before="121"/>
      </w:pPr>
      <w:r w:rsidRPr="00236907">
        <w:t>Under the ETR (Protection of school communities) Act, the purpose of the scheme is to protect school staff and other members of the school community from harmful, threatening, abusive or disruptive behaviour by parents, carers, and other adults.</w:t>
      </w:r>
    </w:p>
    <w:p w14:paraId="2BF7F60F" w14:textId="01767ADA" w:rsidR="003D1479" w:rsidRPr="00236907" w:rsidRDefault="003D1479" w:rsidP="00DB3F7C">
      <w:pPr>
        <w:pStyle w:val="BodyText"/>
        <w:spacing w:before="121"/>
      </w:pPr>
      <w:r w:rsidRPr="00236907">
        <w:t xml:space="preserve">Section 2.1A.44 of the </w:t>
      </w:r>
      <w:r w:rsidR="00D4407F" w:rsidRPr="00236907">
        <w:t>ETR Act</w:t>
      </w:r>
      <w:r w:rsidRPr="00236907">
        <w:t xml:space="preserve"> requires the Minister for Education to cause a review of the operation of Part 2.1A – Protection of school communities to be conducted before the second anniversary of the commencement of that Part, being no later than 28 June 2024.</w:t>
      </w:r>
    </w:p>
    <w:p w14:paraId="62A76B86" w14:textId="77777777" w:rsidR="003D1479" w:rsidRPr="00236907" w:rsidRDefault="003D1479" w:rsidP="00DB3F7C">
      <w:pPr>
        <w:pStyle w:val="BodyText"/>
        <w:spacing w:before="121"/>
        <w:rPr>
          <w:b/>
          <w:i/>
          <w:iCs/>
        </w:rPr>
      </w:pPr>
      <w:r w:rsidRPr="00236907">
        <w:rPr>
          <w:b/>
          <w:i/>
          <w:iCs/>
        </w:rPr>
        <w:t>Scope</w:t>
      </w:r>
    </w:p>
    <w:p w14:paraId="4BD4D7DC" w14:textId="5B760A45" w:rsidR="003D1479" w:rsidRPr="00236907" w:rsidRDefault="003D1479" w:rsidP="00DB3F7C">
      <w:pPr>
        <w:pStyle w:val="BodyText"/>
        <w:spacing w:before="121"/>
      </w:pPr>
      <w:r w:rsidRPr="00236907">
        <w:t xml:space="preserve">The objective of the statutory review is to identify </w:t>
      </w:r>
      <w:bookmarkStart w:id="42" w:name="_Hlk159847615"/>
      <w:r w:rsidRPr="00236907">
        <w:t>whether any legislative amendments are required to Part 2.1A of the ETR Act or to the School Community Safety Order Scheme Ministerial Guidelines</w:t>
      </w:r>
      <w:r w:rsidR="00A9585B" w:rsidRPr="00236907">
        <w:t xml:space="preserve"> (</w:t>
      </w:r>
      <w:r w:rsidR="00A9585B" w:rsidRPr="00236907">
        <w:rPr>
          <w:b/>
          <w:bCs/>
        </w:rPr>
        <w:t>Ministerial Guidelines</w:t>
      </w:r>
      <w:r w:rsidR="00A9585B" w:rsidRPr="00236907">
        <w:t>)</w:t>
      </w:r>
      <w:r w:rsidRPr="00236907">
        <w:t xml:space="preserve"> to improve the operation of the Scheme</w:t>
      </w:r>
      <w:bookmarkEnd w:id="42"/>
      <w:r w:rsidRPr="00236907">
        <w:t>.</w:t>
      </w:r>
    </w:p>
    <w:p w14:paraId="3F69E724" w14:textId="77777777" w:rsidR="003D1479" w:rsidRPr="00236907" w:rsidRDefault="003D1479" w:rsidP="00DB3F7C">
      <w:pPr>
        <w:pStyle w:val="BodyText"/>
        <w:spacing w:before="121"/>
      </w:pPr>
      <w:r w:rsidRPr="00236907">
        <w:t>The review will consider whether the scheme is meeting its intended purpose by examining the operation of Part 2.1A (including the Ministerial Guidelines made under section 2.1A.37) in Victorian government and non-government schools.</w:t>
      </w:r>
    </w:p>
    <w:p w14:paraId="5CD53036" w14:textId="77777777" w:rsidR="003D1479" w:rsidRPr="00236907" w:rsidRDefault="003D1479" w:rsidP="00DB3F7C">
      <w:pPr>
        <w:pStyle w:val="BodyText"/>
        <w:spacing w:before="121"/>
      </w:pPr>
      <w:r w:rsidRPr="00236907">
        <w:t xml:space="preserve">The review will answer several key questions. The department has developed draft questions below. The supplier will work with the department to refine questions in the planning stage of this evaluation. </w:t>
      </w:r>
    </w:p>
    <w:p w14:paraId="79A7632D" w14:textId="77777777" w:rsidR="003D1479" w:rsidRPr="00236907" w:rsidRDefault="003D1479" w:rsidP="00DB3F7C">
      <w:pPr>
        <w:pStyle w:val="BodyText"/>
        <w:spacing w:before="121"/>
        <w:rPr>
          <w:b/>
        </w:rPr>
      </w:pPr>
      <w:r w:rsidRPr="00236907">
        <w:rPr>
          <w:b/>
        </w:rPr>
        <w:t>Key review questions</w:t>
      </w:r>
    </w:p>
    <w:p w14:paraId="2594B434" w14:textId="77777777" w:rsidR="003D1479" w:rsidRPr="00236907" w:rsidRDefault="003D1479" w:rsidP="008A071C">
      <w:pPr>
        <w:pStyle w:val="BodyText"/>
        <w:numPr>
          <w:ilvl w:val="0"/>
          <w:numId w:val="22"/>
        </w:numPr>
        <w:spacing w:before="121"/>
        <w:rPr>
          <w:bCs/>
        </w:rPr>
      </w:pPr>
      <w:r w:rsidRPr="00236907">
        <w:rPr>
          <w:bCs/>
        </w:rPr>
        <w:t>Are the provisions of Part 2.1A sufficiently clear for effective implementation, and do the Ministerial Guidelines support clarity and understanding for people using the scheme?</w:t>
      </w:r>
    </w:p>
    <w:p w14:paraId="54D1F64C" w14:textId="77777777" w:rsidR="003D1479" w:rsidRPr="00236907" w:rsidRDefault="003D1479" w:rsidP="008A071C">
      <w:pPr>
        <w:pStyle w:val="BodyText"/>
        <w:numPr>
          <w:ilvl w:val="0"/>
          <w:numId w:val="22"/>
        </w:numPr>
        <w:spacing w:before="121"/>
        <w:rPr>
          <w:bCs/>
        </w:rPr>
      </w:pPr>
      <w:r w:rsidRPr="00236907">
        <w:rPr>
          <w:bCs/>
        </w:rPr>
        <w:t>Are the terms of Part 2.1A of the ETR Act and the Ministerial Guidelines appropriate for the scheme’s effective operation and the protection of school communities? Including:</w:t>
      </w:r>
    </w:p>
    <w:p w14:paraId="15E29F6C" w14:textId="77777777" w:rsidR="003D1479" w:rsidRPr="00236907" w:rsidRDefault="003D1479" w:rsidP="008A071C">
      <w:pPr>
        <w:pStyle w:val="BodyText"/>
        <w:numPr>
          <w:ilvl w:val="0"/>
          <w:numId w:val="12"/>
        </w:numPr>
        <w:spacing w:before="121"/>
        <w:rPr>
          <w:bCs/>
        </w:rPr>
      </w:pPr>
      <w:r w:rsidRPr="00236907">
        <w:rPr>
          <w:bCs/>
        </w:rPr>
        <w:t>Do the terms present any challenges or barriers to the effective operation of the scheme?</w:t>
      </w:r>
    </w:p>
    <w:p w14:paraId="320AB599" w14:textId="77777777" w:rsidR="003D1479" w:rsidRPr="00236907" w:rsidRDefault="003D1479" w:rsidP="008A071C">
      <w:pPr>
        <w:pStyle w:val="BodyText"/>
        <w:numPr>
          <w:ilvl w:val="0"/>
          <w:numId w:val="12"/>
        </w:numPr>
        <w:spacing w:before="121"/>
        <w:rPr>
          <w:bCs/>
        </w:rPr>
      </w:pPr>
      <w:r w:rsidRPr="00236907">
        <w:rPr>
          <w:bCs/>
        </w:rPr>
        <w:t xml:space="preserve">Are the terms of Division 4 (Review of ongoing school community safety order) of the ETR Act and the relevant parts of the Ministerial Guidelines appropriate for the effective operation of the internal review mechanism for orders issued. </w:t>
      </w:r>
    </w:p>
    <w:p w14:paraId="5FE56D5F" w14:textId="77777777" w:rsidR="003D1479" w:rsidRPr="00236907" w:rsidRDefault="003D1479" w:rsidP="008A071C">
      <w:pPr>
        <w:pStyle w:val="BodyText"/>
        <w:numPr>
          <w:ilvl w:val="0"/>
          <w:numId w:val="12"/>
        </w:numPr>
        <w:spacing w:before="121"/>
        <w:rPr>
          <w:bCs/>
        </w:rPr>
      </w:pPr>
      <w:r w:rsidRPr="00236907">
        <w:rPr>
          <w:bCs/>
        </w:rPr>
        <w:t>Does the scheme provide adequate protection across the entire school community, as defined under section 2.1A.1 of the ETR Act, including community members such as school council members, and in all relevant locations?</w:t>
      </w:r>
    </w:p>
    <w:p w14:paraId="7FA1B797" w14:textId="77777777" w:rsidR="003D1479" w:rsidRPr="00236907" w:rsidRDefault="003D1479" w:rsidP="008A071C">
      <w:pPr>
        <w:pStyle w:val="BodyText"/>
        <w:numPr>
          <w:ilvl w:val="0"/>
          <w:numId w:val="22"/>
        </w:numPr>
        <w:spacing w:before="121"/>
        <w:rPr>
          <w:bCs/>
        </w:rPr>
      </w:pPr>
      <w:r w:rsidRPr="00236907">
        <w:rPr>
          <w:bCs/>
        </w:rPr>
        <w:t>What changes could be made to the ETR Act and Ministerial Guidelines to improve the scheme’s operation and ensure it meets its intended purpose?</w:t>
      </w:r>
    </w:p>
    <w:p w14:paraId="7A0D1323" w14:textId="77777777" w:rsidR="003D1479" w:rsidRPr="00236907" w:rsidRDefault="003D1479" w:rsidP="008A071C">
      <w:pPr>
        <w:pStyle w:val="BodyText"/>
        <w:numPr>
          <w:ilvl w:val="0"/>
          <w:numId w:val="23"/>
        </w:numPr>
        <w:spacing w:before="121"/>
        <w:rPr>
          <w:bCs/>
        </w:rPr>
      </w:pPr>
      <w:r w:rsidRPr="00236907">
        <w:rPr>
          <w:bCs/>
        </w:rPr>
        <w:t>What are the risks of such changes, including risks of adverse impacts and inconsistencies with key considerations in the scheme’s development?</w:t>
      </w:r>
    </w:p>
    <w:p w14:paraId="62A42C82" w14:textId="77777777" w:rsidR="003D1479" w:rsidRPr="00236907" w:rsidRDefault="003D1479" w:rsidP="00DB3F7C">
      <w:pPr>
        <w:pStyle w:val="BodyText"/>
        <w:spacing w:before="121"/>
        <w:rPr>
          <w:b/>
          <w:i/>
          <w:iCs/>
        </w:rPr>
      </w:pPr>
      <w:r w:rsidRPr="00236907">
        <w:rPr>
          <w:b/>
          <w:i/>
          <w:iCs/>
        </w:rPr>
        <w:t>Methodology</w:t>
      </w:r>
    </w:p>
    <w:p w14:paraId="4F4C6EBD" w14:textId="77777777" w:rsidR="003D1479" w:rsidRPr="00236907" w:rsidRDefault="003D1479" w:rsidP="000F104D">
      <w:pPr>
        <w:pStyle w:val="BodyText"/>
        <w:spacing w:before="121"/>
      </w:pPr>
      <w:r w:rsidRPr="00236907">
        <w:t>The review’s methodology will be finalised by the reviewer, in consultation with the department. The department suggests a phased approach that includes the following:</w:t>
      </w:r>
    </w:p>
    <w:p w14:paraId="424117A2" w14:textId="77777777" w:rsidR="003D1479" w:rsidRPr="00236907" w:rsidRDefault="003D1479" w:rsidP="00DB3F7C">
      <w:pPr>
        <w:pStyle w:val="BodyText"/>
        <w:spacing w:before="121"/>
        <w:rPr>
          <w:b/>
        </w:rPr>
      </w:pPr>
      <w:r w:rsidRPr="00236907">
        <w:rPr>
          <w:b/>
        </w:rPr>
        <w:lastRenderedPageBreak/>
        <w:t>Phase 1: Desktop research, analysis and preliminary findings</w:t>
      </w:r>
    </w:p>
    <w:p w14:paraId="56348CEC" w14:textId="77777777" w:rsidR="003D1479" w:rsidRPr="00236907" w:rsidRDefault="003D1479" w:rsidP="008A071C">
      <w:pPr>
        <w:pStyle w:val="BodyText"/>
        <w:numPr>
          <w:ilvl w:val="0"/>
          <w:numId w:val="13"/>
        </w:numPr>
        <w:spacing w:before="121"/>
        <w:rPr>
          <w:bCs/>
        </w:rPr>
      </w:pPr>
      <w:r w:rsidRPr="00236907">
        <w:rPr>
          <w:bCs/>
        </w:rPr>
        <w:t>Review of:</w:t>
      </w:r>
    </w:p>
    <w:p w14:paraId="390F293A" w14:textId="77777777" w:rsidR="003D1479" w:rsidRPr="00236907" w:rsidRDefault="003D1479" w:rsidP="008A071C">
      <w:pPr>
        <w:pStyle w:val="BodyText"/>
        <w:numPr>
          <w:ilvl w:val="0"/>
          <w:numId w:val="14"/>
        </w:numPr>
        <w:spacing w:before="121"/>
        <w:rPr>
          <w:bCs/>
        </w:rPr>
      </w:pPr>
      <w:r w:rsidRPr="00236907">
        <w:rPr>
          <w:bCs/>
        </w:rPr>
        <w:t>legislation, ministerial guidelines and documents relating to the development of the scheme</w:t>
      </w:r>
    </w:p>
    <w:p w14:paraId="15AD7AB4" w14:textId="77777777" w:rsidR="003D1479" w:rsidRPr="00236907" w:rsidRDefault="003D1479" w:rsidP="008A071C">
      <w:pPr>
        <w:pStyle w:val="BodyText"/>
        <w:numPr>
          <w:ilvl w:val="0"/>
          <w:numId w:val="14"/>
        </w:numPr>
        <w:spacing w:before="121"/>
        <w:rPr>
          <w:bCs/>
        </w:rPr>
      </w:pPr>
      <w:r w:rsidRPr="00236907">
        <w:rPr>
          <w:bCs/>
        </w:rPr>
        <w:t>examples or case studies of different circumstances to determine whether an order could be issued in those circumstances.</w:t>
      </w:r>
    </w:p>
    <w:p w14:paraId="3B48FCB2" w14:textId="77777777" w:rsidR="003D1479" w:rsidRPr="00236907" w:rsidRDefault="003D1479" w:rsidP="008A071C">
      <w:pPr>
        <w:pStyle w:val="BodyText"/>
        <w:numPr>
          <w:ilvl w:val="0"/>
          <w:numId w:val="14"/>
        </w:numPr>
        <w:spacing w:before="121"/>
        <w:rPr>
          <w:bCs/>
        </w:rPr>
      </w:pPr>
      <w:r w:rsidRPr="00236907">
        <w:rPr>
          <w:bCs/>
        </w:rPr>
        <w:t>data relating to all orders issued and internal reviews undertaken between 28 June 2022 and 28 June 2024</w:t>
      </w:r>
    </w:p>
    <w:p w14:paraId="7A130011" w14:textId="77777777" w:rsidR="003D1479" w:rsidRPr="00236907" w:rsidRDefault="003D1479" w:rsidP="008A071C">
      <w:pPr>
        <w:pStyle w:val="BodyText"/>
        <w:numPr>
          <w:ilvl w:val="0"/>
          <w:numId w:val="14"/>
        </w:numPr>
        <w:spacing w:before="121"/>
        <w:rPr>
          <w:bCs/>
        </w:rPr>
      </w:pPr>
      <w:r w:rsidRPr="00236907">
        <w:rPr>
          <w:bCs/>
        </w:rPr>
        <w:t>data from the Australian principal occupational health and wellbeing survey 2023 relating to the use of the scheme and attitudes towards the scheme</w:t>
      </w:r>
    </w:p>
    <w:p w14:paraId="45F69059" w14:textId="77777777" w:rsidR="003D1479" w:rsidRPr="00236907" w:rsidRDefault="003D1479" w:rsidP="008A071C">
      <w:pPr>
        <w:pStyle w:val="BodyText"/>
        <w:numPr>
          <w:ilvl w:val="0"/>
          <w:numId w:val="14"/>
        </w:numPr>
        <w:spacing w:before="121"/>
        <w:rPr>
          <w:bCs/>
        </w:rPr>
      </w:pPr>
      <w:r w:rsidRPr="00236907">
        <w:rPr>
          <w:bCs/>
        </w:rPr>
        <w:t>data from the department’s principal check-in surveys relating to the scheme</w:t>
      </w:r>
    </w:p>
    <w:p w14:paraId="1F0C900F" w14:textId="77777777" w:rsidR="003D1479" w:rsidRPr="00236907" w:rsidRDefault="003D1479" w:rsidP="008A071C">
      <w:pPr>
        <w:pStyle w:val="BodyText"/>
        <w:numPr>
          <w:ilvl w:val="0"/>
          <w:numId w:val="14"/>
        </w:numPr>
        <w:spacing w:before="121"/>
        <w:rPr>
          <w:bCs/>
        </w:rPr>
      </w:pPr>
      <w:r w:rsidRPr="00236907">
        <w:rPr>
          <w:bCs/>
        </w:rPr>
        <w:t>any other written feedback about the scheme available at the commencement of the research.</w:t>
      </w:r>
    </w:p>
    <w:p w14:paraId="3FFF4E3D" w14:textId="03A09688" w:rsidR="003D1479" w:rsidRPr="00236907" w:rsidRDefault="003D1479" w:rsidP="008A071C">
      <w:pPr>
        <w:pStyle w:val="BodyText"/>
        <w:numPr>
          <w:ilvl w:val="0"/>
          <w:numId w:val="13"/>
        </w:numPr>
        <w:spacing w:before="121"/>
        <w:rPr>
          <w:bCs/>
        </w:rPr>
      </w:pPr>
      <w:r w:rsidRPr="00236907">
        <w:rPr>
          <w:bCs/>
        </w:rPr>
        <w:t>Analysis and preliminary findings about the possible impact of the terms of the legislation and ministerial guidelines on the effective operation of the scheme, and identification areas for further investigation through consultations with department staff and representative bodies.</w:t>
      </w:r>
    </w:p>
    <w:p w14:paraId="40695C3E" w14:textId="77777777" w:rsidR="003D1479" w:rsidRPr="00236907" w:rsidRDefault="003D1479" w:rsidP="00DB3F7C">
      <w:pPr>
        <w:pStyle w:val="BodyText"/>
        <w:spacing w:before="121"/>
        <w:rPr>
          <w:b/>
        </w:rPr>
      </w:pPr>
      <w:r w:rsidRPr="00236907">
        <w:rPr>
          <w:b/>
        </w:rPr>
        <w:t xml:space="preserve">Phase 2: Information collection - department staff </w:t>
      </w:r>
    </w:p>
    <w:p w14:paraId="25048773" w14:textId="77777777" w:rsidR="003D1479" w:rsidRPr="00236907" w:rsidRDefault="003D1479" w:rsidP="008A071C">
      <w:pPr>
        <w:pStyle w:val="BodyText"/>
        <w:numPr>
          <w:ilvl w:val="0"/>
          <w:numId w:val="13"/>
        </w:numPr>
        <w:spacing w:before="121"/>
        <w:rPr>
          <w:bCs/>
        </w:rPr>
      </w:pPr>
      <w:r w:rsidRPr="00236907">
        <w:rPr>
          <w:bCs/>
        </w:rPr>
        <w:t>Consultation with department staff who advise on and support the use of the scheme, including the internal review process:</w:t>
      </w:r>
    </w:p>
    <w:p w14:paraId="703A6D49" w14:textId="0B360533" w:rsidR="003D1479" w:rsidRPr="00236907" w:rsidRDefault="00EE0192" w:rsidP="008A071C">
      <w:pPr>
        <w:pStyle w:val="BodyText"/>
        <w:numPr>
          <w:ilvl w:val="0"/>
          <w:numId w:val="15"/>
        </w:numPr>
        <w:spacing w:before="121"/>
        <w:rPr>
          <w:bCs/>
        </w:rPr>
      </w:pPr>
      <w:r>
        <w:rPr>
          <w:bCs/>
        </w:rPr>
        <w:t>Legal Division</w:t>
      </w:r>
    </w:p>
    <w:p w14:paraId="0C7F78B7" w14:textId="63285FAD" w:rsidR="003D1479" w:rsidRPr="00236907" w:rsidRDefault="003D1479" w:rsidP="008A071C">
      <w:pPr>
        <w:pStyle w:val="BodyText"/>
        <w:numPr>
          <w:ilvl w:val="0"/>
          <w:numId w:val="15"/>
        </w:numPr>
        <w:spacing w:before="121"/>
        <w:rPr>
          <w:bCs/>
        </w:rPr>
      </w:pPr>
      <w:r w:rsidRPr="00236907">
        <w:rPr>
          <w:bCs/>
        </w:rPr>
        <w:t>Internal review secretariat</w:t>
      </w:r>
    </w:p>
    <w:p w14:paraId="1146CD3D" w14:textId="1EEB60D8" w:rsidR="003D1479" w:rsidRPr="00236907" w:rsidRDefault="003D1479" w:rsidP="008A071C">
      <w:pPr>
        <w:pStyle w:val="BodyText"/>
        <w:numPr>
          <w:ilvl w:val="0"/>
          <w:numId w:val="15"/>
        </w:numPr>
        <w:spacing w:before="121"/>
        <w:rPr>
          <w:bCs/>
        </w:rPr>
      </w:pPr>
      <w:r w:rsidRPr="00236907">
        <w:rPr>
          <w:bCs/>
        </w:rPr>
        <w:t xml:space="preserve">Interview reviewers – Deputy Secretary, Schools and Regional Services and Assistant Deputy Secretary, Schools Operations </w:t>
      </w:r>
    </w:p>
    <w:p w14:paraId="643C5EF2" w14:textId="77777777" w:rsidR="003D1479" w:rsidRPr="00236907" w:rsidRDefault="003D1479" w:rsidP="008A071C">
      <w:pPr>
        <w:pStyle w:val="BodyText"/>
        <w:numPr>
          <w:ilvl w:val="0"/>
          <w:numId w:val="15"/>
        </w:numPr>
        <w:spacing w:before="121"/>
        <w:rPr>
          <w:bCs/>
        </w:rPr>
      </w:pPr>
      <w:r w:rsidRPr="00236907">
        <w:rPr>
          <w:bCs/>
        </w:rPr>
        <w:t>Regional Directors who are authorised to issue orders.</w:t>
      </w:r>
    </w:p>
    <w:p w14:paraId="7B13562F" w14:textId="77777777" w:rsidR="003D1479" w:rsidRPr="00236907" w:rsidRDefault="003D1479" w:rsidP="008A071C">
      <w:pPr>
        <w:pStyle w:val="BodyText"/>
        <w:numPr>
          <w:ilvl w:val="0"/>
          <w:numId w:val="13"/>
        </w:numPr>
        <w:spacing w:before="121"/>
        <w:rPr>
          <w:bCs/>
        </w:rPr>
      </w:pPr>
      <w:r w:rsidRPr="00236907">
        <w:rPr>
          <w:bCs/>
        </w:rPr>
        <w:t>Analysis of information collected against key review questions and preliminary findings, and identification of areas for further investigation though consultations with representative bodies.</w:t>
      </w:r>
    </w:p>
    <w:p w14:paraId="2FDE34F9" w14:textId="77777777" w:rsidR="003D1479" w:rsidRPr="00236907" w:rsidRDefault="003D1479" w:rsidP="00DB3F7C">
      <w:pPr>
        <w:pStyle w:val="BodyText"/>
        <w:spacing w:before="121"/>
        <w:rPr>
          <w:b/>
        </w:rPr>
      </w:pPr>
      <w:r w:rsidRPr="00236907">
        <w:rPr>
          <w:b/>
        </w:rPr>
        <w:t xml:space="preserve">Phase 3: Information collection from representative bodies </w:t>
      </w:r>
    </w:p>
    <w:p w14:paraId="7AA2FD82" w14:textId="77777777" w:rsidR="003D1479" w:rsidRPr="00236907" w:rsidRDefault="003D1479" w:rsidP="008A071C">
      <w:pPr>
        <w:pStyle w:val="BodyText"/>
        <w:numPr>
          <w:ilvl w:val="0"/>
          <w:numId w:val="13"/>
        </w:numPr>
        <w:spacing w:before="121"/>
        <w:rPr>
          <w:bCs/>
        </w:rPr>
      </w:pPr>
      <w:r w:rsidRPr="00236907">
        <w:rPr>
          <w:bCs/>
        </w:rPr>
        <w:t>Consultation with representative bodies of people who may use or are impacted by the scheme as below. However, consultations with representative bodies will be confirmed after finalisation of key review questions:</w:t>
      </w:r>
    </w:p>
    <w:p w14:paraId="59E46840" w14:textId="77777777" w:rsidR="003D1479" w:rsidRPr="00236907" w:rsidRDefault="003D1479" w:rsidP="008A071C">
      <w:pPr>
        <w:pStyle w:val="BodyText"/>
        <w:numPr>
          <w:ilvl w:val="0"/>
          <w:numId w:val="16"/>
        </w:numPr>
        <w:spacing w:before="121"/>
        <w:rPr>
          <w:bCs/>
        </w:rPr>
      </w:pPr>
      <w:r w:rsidRPr="00236907">
        <w:rPr>
          <w:bCs/>
        </w:rPr>
        <w:t>Representative bodies for government school leaders and teachers:</w:t>
      </w:r>
    </w:p>
    <w:p w14:paraId="2A803B30" w14:textId="77777777" w:rsidR="003D1479" w:rsidRPr="00236907" w:rsidRDefault="003D1479" w:rsidP="008A071C">
      <w:pPr>
        <w:pStyle w:val="BodyText"/>
        <w:numPr>
          <w:ilvl w:val="2"/>
          <w:numId w:val="11"/>
        </w:numPr>
        <w:spacing w:before="121"/>
        <w:rPr>
          <w:bCs/>
        </w:rPr>
      </w:pPr>
      <w:r w:rsidRPr="00236907">
        <w:rPr>
          <w:bCs/>
        </w:rPr>
        <w:t>Australian Education Union</w:t>
      </w:r>
    </w:p>
    <w:p w14:paraId="146B7569" w14:textId="77777777" w:rsidR="003D1479" w:rsidRPr="00236907" w:rsidRDefault="003D1479" w:rsidP="008A071C">
      <w:pPr>
        <w:pStyle w:val="BodyText"/>
        <w:numPr>
          <w:ilvl w:val="2"/>
          <w:numId w:val="11"/>
        </w:numPr>
        <w:spacing w:before="121"/>
      </w:pPr>
      <w:r w:rsidRPr="00236907">
        <w:t>Australian Principals Federation</w:t>
      </w:r>
    </w:p>
    <w:p w14:paraId="7983EFDE" w14:textId="77777777" w:rsidR="003D1479" w:rsidRPr="00236907" w:rsidRDefault="003D1479" w:rsidP="008A071C">
      <w:pPr>
        <w:pStyle w:val="BodyText"/>
        <w:numPr>
          <w:ilvl w:val="2"/>
          <w:numId w:val="11"/>
        </w:numPr>
        <w:spacing w:before="121"/>
      </w:pPr>
      <w:r w:rsidRPr="00236907">
        <w:t xml:space="preserve">Principals Association of Specialist Schools </w:t>
      </w:r>
    </w:p>
    <w:p w14:paraId="559616BA" w14:textId="77777777" w:rsidR="003D1479" w:rsidRPr="00236907" w:rsidRDefault="003D1479" w:rsidP="008A071C">
      <w:pPr>
        <w:pStyle w:val="BodyText"/>
        <w:numPr>
          <w:ilvl w:val="2"/>
          <w:numId w:val="11"/>
        </w:numPr>
        <w:spacing w:before="121"/>
      </w:pPr>
      <w:r w:rsidRPr="00236907">
        <w:t>Victorian Principals Association</w:t>
      </w:r>
    </w:p>
    <w:p w14:paraId="79F2B9CE" w14:textId="77777777" w:rsidR="003D1479" w:rsidRPr="00236907" w:rsidRDefault="003D1479" w:rsidP="008A071C">
      <w:pPr>
        <w:pStyle w:val="BodyText"/>
        <w:numPr>
          <w:ilvl w:val="2"/>
          <w:numId w:val="11"/>
        </w:numPr>
        <w:spacing w:before="121"/>
      </w:pPr>
      <w:r w:rsidRPr="00236907">
        <w:t>Victorian Association of Secondary School Principals</w:t>
      </w:r>
    </w:p>
    <w:p w14:paraId="6FCF04AD" w14:textId="77777777" w:rsidR="003D1479" w:rsidRPr="00236907" w:rsidRDefault="003D1479" w:rsidP="008A071C">
      <w:pPr>
        <w:pStyle w:val="BodyText"/>
        <w:numPr>
          <w:ilvl w:val="2"/>
          <w:numId w:val="11"/>
        </w:numPr>
        <w:spacing w:before="121"/>
      </w:pPr>
      <w:r w:rsidRPr="00236907">
        <w:t xml:space="preserve">Other staff representative bodies as necessary. </w:t>
      </w:r>
    </w:p>
    <w:p w14:paraId="73F34FF7" w14:textId="77777777" w:rsidR="003D1479" w:rsidRPr="00236907" w:rsidRDefault="003D1479" w:rsidP="008A071C">
      <w:pPr>
        <w:pStyle w:val="BodyText"/>
        <w:numPr>
          <w:ilvl w:val="0"/>
          <w:numId w:val="16"/>
        </w:numPr>
        <w:spacing w:before="121"/>
        <w:rPr>
          <w:bCs/>
        </w:rPr>
      </w:pPr>
      <w:r w:rsidRPr="00236907">
        <w:rPr>
          <w:bCs/>
        </w:rPr>
        <w:t>Representative bodies for non-government schools</w:t>
      </w:r>
    </w:p>
    <w:p w14:paraId="584F9EF4" w14:textId="77777777" w:rsidR="003D1479" w:rsidRPr="00236907" w:rsidRDefault="003D1479" w:rsidP="008A071C">
      <w:pPr>
        <w:pStyle w:val="BodyText"/>
        <w:numPr>
          <w:ilvl w:val="2"/>
          <w:numId w:val="11"/>
        </w:numPr>
        <w:spacing w:before="121"/>
      </w:pPr>
      <w:r w:rsidRPr="00236907">
        <w:t>Independent Schools Victoria</w:t>
      </w:r>
    </w:p>
    <w:p w14:paraId="0191E9F6" w14:textId="77777777" w:rsidR="003D1479" w:rsidRPr="00236907" w:rsidRDefault="003D1479" w:rsidP="008A071C">
      <w:pPr>
        <w:pStyle w:val="BodyText"/>
        <w:numPr>
          <w:ilvl w:val="2"/>
          <w:numId w:val="11"/>
        </w:numPr>
        <w:spacing w:before="121"/>
      </w:pPr>
      <w:r w:rsidRPr="00236907">
        <w:lastRenderedPageBreak/>
        <w:t>Melbourne Archdiocese Catholic Schools / Victorian Catholic Education Authority</w:t>
      </w:r>
    </w:p>
    <w:p w14:paraId="55C92462" w14:textId="77777777" w:rsidR="003D1479" w:rsidRPr="00236907" w:rsidRDefault="003D1479" w:rsidP="008A071C">
      <w:pPr>
        <w:pStyle w:val="BodyText"/>
        <w:numPr>
          <w:ilvl w:val="0"/>
          <w:numId w:val="16"/>
        </w:numPr>
        <w:spacing w:before="121"/>
        <w:rPr>
          <w:bCs/>
        </w:rPr>
      </w:pPr>
      <w:r w:rsidRPr="00236907">
        <w:rPr>
          <w:bCs/>
        </w:rPr>
        <w:t>Representative bodies for parents and carers</w:t>
      </w:r>
    </w:p>
    <w:p w14:paraId="2085AF47" w14:textId="77777777" w:rsidR="003D1479" w:rsidRPr="00236907" w:rsidRDefault="003D1479" w:rsidP="008A071C">
      <w:pPr>
        <w:pStyle w:val="BodyText"/>
        <w:numPr>
          <w:ilvl w:val="2"/>
          <w:numId w:val="11"/>
        </w:numPr>
        <w:spacing w:before="121"/>
      </w:pPr>
      <w:r w:rsidRPr="00236907">
        <w:t>Parents Victoria</w:t>
      </w:r>
    </w:p>
    <w:p w14:paraId="43A1F668" w14:textId="77777777" w:rsidR="003D1479" w:rsidRPr="00236907" w:rsidRDefault="003D1479" w:rsidP="008A071C">
      <w:pPr>
        <w:pStyle w:val="BodyText"/>
        <w:numPr>
          <w:ilvl w:val="0"/>
          <w:numId w:val="13"/>
        </w:numPr>
        <w:spacing w:before="121"/>
        <w:rPr>
          <w:bCs/>
        </w:rPr>
      </w:pPr>
      <w:r w:rsidRPr="00236907">
        <w:rPr>
          <w:bCs/>
        </w:rPr>
        <w:t xml:space="preserve">Analysis of information collected against key review questions and preliminary findings, and identification of any information that requires clarification with department staff. </w:t>
      </w:r>
    </w:p>
    <w:p w14:paraId="3776D5CA" w14:textId="77777777" w:rsidR="003D1479" w:rsidRPr="00236907" w:rsidRDefault="003D1479" w:rsidP="008A071C">
      <w:pPr>
        <w:pStyle w:val="BodyText"/>
        <w:numPr>
          <w:ilvl w:val="0"/>
          <w:numId w:val="13"/>
        </w:numPr>
        <w:spacing w:before="121"/>
        <w:rPr>
          <w:bCs/>
        </w:rPr>
      </w:pPr>
      <w:r w:rsidRPr="00236907">
        <w:rPr>
          <w:bCs/>
        </w:rPr>
        <w:t>The department anticipates that stakeholder consultation will occur through a flexible combination of in-person and online, or written formats. Format may be informed by the following factors:</w:t>
      </w:r>
    </w:p>
    <w:p w14:paraId="64F47056" w14:textId="77777777" w:rsidR="003D1479" w:rsidRPr="00236907" w:rsidRDefault="003D1479" w:rsidP="008A071C">
      <w:pPr>
        <w:pStyle w:val="BodyText"/>
        <w:numPr>
          <w:ilvl w:val="0"/>
          <w:numId w:val="17"/>
        </w:numPr>
        <w:spacing w:before="121"/>
        <w:rPr>
          <w:bCs/>
        </w:rPr>
      </w:pPr>
      <w:r w:rsidRPr="00236907">
        <w:rPr>
          <w:bCs/>
        </w:rPr>
        <w:t>Cost effectiveness and efficiency</w:t>
      </w:r>
    </w:p>
    <w:p w14:paraId="108677CD" w14:textId="77777777" w:rsidR="003D1479" w:rsidRPr="00236907" w:rsidRDefault="003D1479" w:rsidP="008A071C">
      <w:pPr>
        <w:pStyle w:val="BodyText"/>
        <w:numPr>
          <w:ilvl w:val="0"/>
          <w:numId w:val="17"/>
        </w:numPr>
        <w:spacing w:before="121"/>
        <w:rPr>
          <w:bCs/>
        </w:rPr>
      </w:pPr>
      <w:r w:rsidRPr="00236907">
        <w:rPr>
          <w:bCs/>
        </w:rPr>
        <w:t>Stakeholder preferences</w:t>
      </w:r>
    </w:p>
    <w:p w14:paraId="11AE9DCF" w14:textId="77777777" w:rsidR="003D1479" w:rsidRPr="00236907" w:rsidRDefault="003D1479" w:rsidP="008A071C">
      <w:pPr>
        <w:pStyle w:val="BodyText"/>
        <w:numPr>
          <w:ilvl w:val="0"/>
          <w:numId w:val="17"/>
        </w:numPr>
        <w:spacing w:before="121"/>
        <w:rPr>
          <w:bCs/>
        </w:rPr>
      </w:pPr>
      <w:r w:rsidRPr="00236907">
        <w:rPr>
          <w:bCs/>
        </w:rPr>
        <w:t>Maximising participation</w:t>
      </w:r>
    </w:p>
    <w:p w14:paraId="72E8D9B9" w14:textId="77777777" w:rsidR="003D1479" w:rsidRPr="00236907" w:rsidRDefault="003D1479" w:rsidP="00C70BE3">
      <w:pPr>
        <w:pStyle w:val="BodyText"/>
        <w:spacing w:before="121"/>
      </w:pPr>
      <w:r w:rsidRPr="00236907">
        <w:t>The format of consultation will be agreed with the department and the department will assist the supplier in engaging with relevant stakeholders.</w:t>
      </w:r>
    </w:p>
    <w:p w14:paraId="69F59201" w14:textId="77777777" w:rsidR="003D1479" w:rsidRPr="00236907" w:rsidRDefault="003D1479" w:rsidP="00DA739C">
      <w:pPr>
        <w:pStyle w:val="BodyText"/>
        <w:spacing w:before="121"/>
        <w:rPr>
          <w:b/>
        </w:rPr>
      </w:pPr>
      <w:r w:rsidRPr="00236907">
        <w:rPr>
          <w:b/>
        </w:rPr>
        <w:t>Phase 4: Reporting</w:t>
      </w:r>
    </w:p>
    <w:p w14:paraId="0CEF1DB0" w14:textId="14F7C9E8" w:rsidR="003D1479" w:rsidRPr="00236907" w:rsidRDefault="003D1479" w:rsidP="008A071C">
      <w:pPr>
        <w:pStyle w:val="BodyText"/>
        <w:numPr>
          <w:ilvl w:val="0"/>
          <w:numId w:val="13"/>
        </w:numPr>
        <w:spacing w:before="121"/>
        <w:rPr>
          <w:bCs/>
        </w:rPr>
      </w:pPr>
      <w:r w:rsidRPr="00236907">
        <w:rPr>
          <w:bCs/>
        </w:rPr>
        <w:t>A progress report, following phase 1, that includes</w:t>
      </w:r>
      <w:r w:rsidR="0041353F">
        <w:rPr>
          <w:bCs/>
        </w:rPr>
        <w:t xml:space="preserve"> status of</w:t>
      </w:r>
      <w:r w:rsidRPr="00236907">
        <w:rPr>
          <w:bCs/>
        </w:rPr>
        <w:t>:</w:t>
      </w:r>
    </w:p>
    <w:p w14:paraId="4C529CF0" w14:textId="77777777" w:rsidR="003D1479" w:rsidRPr="00236907" w:rsidRDefault="003D1479" w:rsidP="008A071C">
      <w:pPr>
        <w:pStyle w:val="BodyText"/>
        <w:numPr>
          <w:ilvl w:val="0"/>
          <w:numId w:val="18"/>
        </w:numPr>
        <w:spacing w:before="121"/>
        <w:rPr>
          <w:bCs/>
        </w:rPr>
      </w:pPr>
      <w:r w:rsidRPr="00236907">
        <w:rPr>
          <w:bCs/>
        </w:rPr>
        <w:t>Desktop review analysis</w:t>
      </w:r>
    </w:p>
    <w:p w14:paraId="185B7F47" w14:textId="77777777" w:rsidR="003D1479" w:rsidRPr="00236907" w:rsidRDefault="003D1479" w:rsidP="008A071C">
      <w:pPr>
        <w:pStyle w:val="BodyText"/>
        <w:numPr>
          <w:ilvl w:val="0"/>
          <w:numId w:val="18"/>
        </w:numPr>
        <w:spacing w:before="121"/>
        <w:rPr>
          <w:bCs/>
        </w:rPr>
      </w:pPr>
      <w:r w:rsidRPr="00236907">
        <w:rPr>
          <w:bCs/>
        </w:rPr>
        <w:t>Preliminary findings</w:t>
      </w:r>
    </w:p>
    <w:p w14:paraId="092E8357" w14:textId="77777777" w:rsidR="003D1479" w:rsidRPr="00236907" w:rsidRDefault="003D1479" w:rsidP="008A071C">
      <w:pPr>
        <w:pStyle w:val="BodyText"/>
        <w:numPr>
          <w:ilvl w:val="0"/>
          <w:numId w:val="18"/>
        </w:numPr>
        <w:spacing w:before="121"/>
        <w:rPr>
          <w:bCs/>
        </w:rPr>
      </w:pPr>
      <w:r w:rsidRPr="00236907">
        <w:rPr>
          <w:bCs/>
        </w:rPr>
        <w:t>Areas for further investigation</w:t>
      </w:r>
    </w:p>
    <w:p w14:paraId="58714B17" w14:textId="6314CA23" w:rsidR="003D1479" w:rsidRPr="00236907" w:rsidRDefault="003D1479" w:rsidP="008A071C">
      <w:pPr>
        <w:pStyle w:val="BodyText"/>
        <w:numPr>
          <w:ilvl w:val="0"/>
          <w:numId w:val="13"/>
        </w:numPr>
        <w:spacing w:before="121"/>
        <w:rPr>
          <w:bCs/>
        </w:rPr>
      </w:pPr>
      <w:r w:rsidRPr="00236907">
        <w:rPr>
          <w:bCs/>
        </w:rPr>
        <w:t>Draft report that includes</w:t>
      </w:r>
      <w:r w:rsidR="0041353F">
        <w:rPr>
          <w:bCs/>
        </w:rPr>
        <w:t xml:space="preserve"> draft</w:t>
      </w:r>
      <w:r w:rsidRPr="00236907">
        <w:rPr>
          <w:bCs/>
        </w:rPr>
        <w:t>:</w:t>
      </w:r>
    </w:p>
    <w:p w14:paraId="0D5A8AD3" w14:textId="77777777" w:rsidR="003D1479" w:rsidRPr="00236907" w:rsidRDefault="003D1479" w:rsidP="008A071C">
      <w:pPr>
        <w:pStyle w:val="BodyText"/>
        <w:numPr>
          <w:ilvl w:val="0"/>
          <w:numId w:val="18"/>
        </w:numPr>
        <w:spacing w:before="121"/>
        <w:rPr>
          <w:bCs/>
        </w:rPr>
      </w:pPr>
      <w:r w:rsidRPr="00236907">
        <w:rPr>
          <w:bCs/>
        </w:rPr>
        <w:t>review findings – including answers to the key evaluation questions</w:t>
      </w:r>
    </w:p>
    <w:p w14:paraId="658C6F7B" w14:textId="77777777" w:rsidR="003D1479" w:rsidRPr="00236907" w:rsidRDefault="003D1479" w:rsidP="008A071C">
      <w:pPr>
        <w:pStyle w:val="BodyText"/>
        <w:numPr>
          <w:ilvl w:val="0"/>
          <w:numId w:val="18"/>
        </w:numPr>
        <w:spacing w:before="121"/>
        <w:rPr>
          <w:bCs/>
        </w:rPr>
      </w:pPr>
      <w:r w:rsidRPr="00236907">
        <w:rPr>
          <w:bCs/>
        </w:rPr>
        <w:t>recommendations</w:t>
      </w:r>
    </w:p>
    <w:p w14:paraId="579DAFAD" w14:textId="77777777" w:rsidR="003D1479" w:rsidRPr="00236907" w:rsidRDefault="003D1479" w:rsidP="008A071C">
      <w:pPr>
        <w:pStyle w:val="BodyText"/>
        <w:numPr>
          <w:ilvl w:val="0"/>
          <w:numId w:val="18"/>
        </w:numPr>
        <w:spacing w:before="121"/>
        <w:rPr>
          <w:bCs/>
        </w:rPr>
      </w:pPr>
      <w:r w:rsidRPr="00236907">
        <w:rPr>
          <w:bCs/>
        </w:rPr>
        <w:t>any additional considerations</w:t>
      </w:r>
    </w:p>
    <w:p w14:paraId="57697290" w14:textId="77777777" w:rsidR="003D1479" w:rsidRPr="00236907" w:rsidRDefault="003D1479" w:rsidP="008A071C">
      <w:pPr>
        <w:pStyle w:val="BodyText"/>
        <w:numPr>
          <w:ilvl w:val="0"/>
          <w:numId w:val="18"/>
        </w:numPr>
        <w:spacing w:before="121"/>
        <w:rPr>
          <w:bCs/>
        </w:rPr>
      </w:pPr>
      <w:r w:rsidRPr="00236907">
        <w:rPr>
          <w:bCs/>
        </w:rPr>
        <w:t>executive summary</w:t>
      </w:r>
    </w:p>
    <w:p w14:paraId="035CDBAD" w14:textId="77777777" w:rsidR="003D1479" w:rsidRPr="00236907" w:rsidRDefault="003D1479" w:rsidP="008A071C">
      <w:pPr>
        <w:pStyle w:val="BodyText"/>
        <w:numPr>
          <w:ilvl w:val="0"/>
          <w:numId w:val="13"/>
        </w:numPr>
        <w:spacing w:before="121"/>
        <w:rPr>
          <w:bCs/>
        </w:rPr>
      </w:pPr>
      <w:r w:rsidRPr="00236907">
        <w:rPr>
          <w:bCs/>
        </w:rPr>
        <w:t xml:space="preserve">Final report addressing department feedback on the draft report. </w:t>
      </w:r>
    </w:p>
    <w:p w14:paraId="1C643BC4" w14:textId="77777777" w:rsidR="003D1479" w:rsidRPr="00236907" w:rsidRDefault="003D1479" w:rsidP="00DA739C">
      <w:pPr>
        <w:pStyle w:val="BodyText"/>
        <w:spacing w:before="121"/>
        <w:rPr>
          <w:b/>
        </w:rPr>
      </w:pPr>
      <w:r w:rsidRPr="00236907">
        <w:rPr>
          <w:b/>
        </w:rPr>
        <w:t>Information sources</w:t>
      </w:r>
    </w:p>
    <w:p w14:paraId="4C557F5B" w14:textId="77777777" w:rsidR="003D1479" w:rsidRPr="00236907" w:rsidRDefault="003D1479" w:rsidP="00DA739C">
      <w:pPr>
        <w:pStyle w:val="BodyText"/>
        <w:spacing w:before="121"/>
        <w:rPr>
          <w:b/>
        </w:rPr>
      </w:pPr>
      <w:r w:rsidRPr="00236907">
        <w:rPr>
          <w:b/>
        </w:rPr>
        <w:t>Desktop review</w:t>
      </w:r>
    </w:p>
    <w:p w14:paraId="0703A5E5" w14:textId="77777777" w:rsidR="003D1479" w:rsidRPr="00236907" w:rsidRDefault="003D1479" w:rsidP="008A071C">
      <w:pPr>
        <w:pStyle w:val="BodyText"/>
        <w:numPr>
          <w:ilvl w:val="0"/>
          <w:numId w:val="19"/>
        </w:numPr>
        <w:spacing w:before="121"/>
      </w:pPr>
      <w:r w:rsidRPr="00236907">
        <w:rPr>
          <w:i/>
          <w:iCs/>
        </w:rPr>
        <w:t>Education and Training Reform Amendment (Protection of School Communities) Act 2021</w:t>
      </w:r>
    </w:p>
    <w:p w14:paraId="320001E2" w14:textId="77777777" w:rsidR="003D1479" w:rsidRPr="00236907" w:rsidRDefault="003D1479" w:rsidP="008A071C">
      <w:pPr>
        <w:pStyle w:val="BodyText"/>
        <w:numPr>
          <w:ilvl w:val="0"/>
          <w:numId w:val="19"/>
        </w:numPr>
        <w:spacing w:before="121"/>
      </w:pPr>
      <w:r w:rsidRPr="00236907">
        <w:rPr>
          <w:i/>
          <w:iCs/>
        </w:rPr>
        <w:t>Education and Training Reform Act 2006</w:t>
      </w:r>
    </w:p>
    <w:p w14:paraId="4554FDB6" w14:textId="77777777" w:rsidR="003D1479" w:rsidRPr="00236907" w:rsidRDefault="003D1479" w:rsidP="008A071C">
      <w:pPr>
        <w:pStyle w:val="BodyText"/>
        <w:numPr>
          <w:ilvl w:val="0"/>
          <w:numId w:val="19"/>
        </w:numPr>
        <w:spacing w:before="121"/>
      </w:pPr>
      <w:r w:rsidRPr="00236907">
        <w:t>School community safety order scheme ministerial guidelines</w:t>
      </w:r>
    </w:p>
    <w:p w14:paraId="1E129211" w14:textId="7C2FE5E0" w:rsidR="003D1479" w:rsidRPr="00236907" w:rsidRDefault="003D1479" w:rsidP="002341DA">
      <w:pPr>
        <w:pStyle w:val="BodyText"/>
        <w:numPr>
          <w:ilvl w:val="0"/>
          <w:numId w:val="19"/>
        </w:numPr>
        <w:spacing w:before="121"/>
      </w:pPr>
      <w:r w:rsidRPr="00236907">
        <w:t>Explanatory memoranda</w:t>
      </w:r>
      <w:r w:rsidR="002341DA">
        <w:t xml:space="preserve"> and</w:t>
      </w:r>
      <w:r w:rsidRPr="00236907">
        <w:t xml:space="preserve"> second reading speeches for the ETR</w:t>
      </w:r>
      <w:r w:rsidR="00465495" w:rsidRPr="00236907">
        <w:t xml:space="preserve"> </w:t>
      </w:r>
      <w:r w:rsidRPr="00236907">
        <w:t>A</w:t>
      </w:r>
      <w:r w:rsidR="00465495" w:rsidRPr="00236907">
        <w:t>ct</w:t>
      </w:r>
      <w:r w:rsidRPr="00236907">
        <w:t xml:space="preserve"> (Protection of School</w:t>
      </w:r>
      <w:r w:rsidR="00FA7BBE">
        <w:t xml:space="preserve"> </w:t>
      </w:r>
      <w:r w:rsidRPr="00236907">
        <w:t>Communities) Bill 2021</w:t>
      </w:r>
    </w:p>
    <w:p w14:paraId="497A4F1F" w14:textId="77777777" w:rsidR="003D1479" w:rsidRPr="00236907" w:rsidRDefault="003D1479" w:rsidP="008A071C">
      <w:pPr>
        <w:pStyle w:val="BodyText"/>
        <w:numPr>
          <w:ilvl w:val="0"/>
          <w:numId w:val="19"/>
        </w:numPr>
        <w:spacing w:before="121"/>
      </w:pPr>
      <w:r w:rsidRPr="00236907">
        <w:t>Protective Schools Ministerial Taskforce Report</w:t>
      </w:r>
    </w:p>
    <w:p w14:paraId="743A33E5" w14:textId="77777777" w:rsidR="003D1479" w:rsidRPr="00236907" w:rsidRDefault="003D1479" w:rsidP="008A071C">
      <w:pPr>
        <w:pStyle w:val="BodyText"/>
        <w:numPr>
          <w:ilvl w:val="0"/>
          <w:numId w:val="19"/>
        </w:numPr>
        <w:spacing w:before="121"/>
      </w:pPr>
      <w:r w:rsidRPr="00236907">
        <w:t>ACU Principal Health and wellbeing survey 2023 - Qualitative and quantitative data on school leaders use of the scheme and attitudes towards the scheme</w:t>
      </w:r>
    </w:p>
    <w:p w14:paraId="77E5DE03" w14:textId="77777777" w:rsidR="003D1479" w:rsidRPr="00236907" w:rsidRDefault="003D1479" w:rsidP="008A071C">
      <w:pPr>
        <w:pStyle w:val="BodyText"/>
        <w:numPr>
          <w:ilvl w:val="0"/>
          <w:numId w:val="19"/>
        </w:numPr>
        <w:spacing w:before="121"/>
      </w:pPr>
      <w:r w:rsidRPr="00236907">
        <w:t>Principal check-in surveys – data relating to the scheme.</w:t>
      </w:r>
    </w:p>
    <w:p w14:paraId="488302D0" w14:textId="46EEEEA6" w:rsidR="003D1479" w:rsidRPr="00236907" w:rsidRDefault="003D1479" w:rsidP="008A071C">
      <w:pPr>
        <w:pStyle w:val="BodyText"/>
        <w:numPr>
          <w:ilvl w:val="0"/>
          <w:numId w:val="19"/>
        </w:numPr>
        <w:spacing w:before="121"/>
      </w:pPr>
      <w:r w:rsidRPr="00236907">
        <w:t xml:space="preserve">The department’s online platform EduSafe Plus reports and manages OHS incidents and hazards. </w:t>
      </w:r>
    </w:p>
    <w:p w14:paraId="29E3906F" w14:textId="20E6423C" w:rsidR="003D1479" w:rsidRPr="00236907" w:rsidRDefault="00860298" w:rsidP="008A071C">
      <w:pPr>
        <w:pStyle w:val="BodyText"/>
        <w:numPr>
          <w:ilvl w:val="0"/>
          <w:numId w:val="19"/>
        </w:numPr>
        <w:spacing w:before="121"/>
      </w:pPr>
      <w:r>
        <w:lastRenderedPageBreak/>
        <w:t>Other data captured by the</w:t>
      </w:r>
      <w:r w:rsidRPr="00236907">
        <w:t xml:space="preserve"> </w:t>
      </w:r>
      <w:r w:rsidR="003D1479" w:rsidRPr="00236907">
        <w:t>department</w:t>
      </w:r>
      <w:r w:rsidR="00982A15">
        <w:t xml:space="preserve"> that</w:t>
      </w:r>
      <w:r w:rsidR="003D1479" w:rsidRPr="00236907">
        <w:t xml:space="preserve"> </w:t>
      </w:r>
      <w:r>
        <w:t>relates to the Scheme.</w:t>
      </w:r>
      <w:r w:rsidR="003D1479" w:rsidRPr="00236907">
        <w:t xml:space="preserve">  </w:t>
      </w:r>
    </w:p>
    <w:p w14:paraId="1A28BF21" w14:textId="77777777" w:rsidR="003D1479" w:rsidRPr="00236907" w:rsidRDefault="003D1479" w:rsidP="00DA739C">
      <w:pPr>
        <w:pStyle w:val="BodyText"/>
        <w:spacing w:before="121"/>
        <w:rPr>
          <w:b/>
        </w:rPr>
      </w:pPr>
      <w:r w:rsidRPr="00236907">
        <w:rPr>
          <w:b/>
        </w:rPr>
        <w:t>Background</w:t>
      </w:r>
    </w:p>
    <w:p w14:paraId="28390F6F" w14:textId="77777777" w:rsidR="003D1479" w:rsidRPr="00236907" w:rsidRDefault="003D1479" w:rsidP="00DA739C">
      <w:pPr>
        <w:pStyle w:val="BodyText"/>
        <w:spacing w:before="121"/>
        <w:rPr>
          <w:b/>
        </w:rPr>
      </w:pPr>
      <w:r w:rsidRPr="00236907">
        <w:rPr>
          <w:b/>
        </w:rPr>
        <w:t xml:space="preserve">Parent and carer aggression </w:t>
      </w:r>
    </w:p>
    <w:p w14:paraId="3011E2E0" w14:textId="77777777" w:rsidR="003D1479" w:rsidRPr="00236907" w:rsidRDefault="003D1479" w:rsidP="008D0BA0">
      <w:pPr>
        <w:pStyle w:val="BodyText"/>
        <w:spacing w:before="121"/>
      </w:pPr>
      <w:bookmarkStart w:id="43" w:name="_Hlk134083937"/>
      <w:r w:rsidRPr="00236907">
        <w:t xml:space="preserve">Most parents, carers and community members engage positively with the school community, however in a small minority of cases, parents and carers engage on behaviour towards school staff that is disrespectful, unsafe or otherwise unacceptable. This parent and carer aggression towards school staff is a persistent issue. </w:t>
      </w:r>
    </w:p>
    <w:p w14:paraId="39398524" w14:textId="77777777" w:rsidR="003D1479" w:rsidRPr="00236907" w:rsidRDefault="003D1479" w:rsidP="008D0BA0">
      <w:pPr>
        <w:pStyle w:val="BodyText"/>
        <w:spacing w:before="121"/>
      </w:pPr>
      <w:r w:rsidRPr="00236907">
        <w:t xml:space="preserve">Studies on parent/carer work related violence have found: </w:t>
      </w:r>
    </w:p>
    <w:p w14:paraId="6EB580C7" w14:textId="77777777" w:rsidR="003D1479" w:rsidRPr="00236907" w:rsidRDefault="003D1479" w:rsidP="008A071C">
      <w:pPr>
        <w:pStyle w:val="BodyText"/>
        <w:numPr>
          <w:ilvl w:val="0"/>
          <w:numId w:val="13"/>
        </w:numPr>
        <w:spacing w:before="121"/>
        <w:rPr>
          <w:bCs/>
        </w:rPr>
      </w:pPr>
      <w:r w:rsidRPr="00236907">
        <w:rPr>
          <w:bCs/>
        </w:rPr>
        <w:t>the percentage of school leaders reporting physical violence (48.2%), threats of violence (53.9%), and bullying (38.2%) are at their highest point in over 10 years. Of these, 19.7% of reports physical violence, 65.6% of reports of threats of violence, and 57.9% of reports of bullying involved parents and carers (Australian Principal Occupational Health, Safety and Wellbeing Survey 2023).</w:t>
      </w:r>
    </w:p>
    <w:p w14:paraId="441A562B" w14:textId="77777777" w:rsidR="003D1479" w:rsidRPr="00236907" w:rsidRDefault="003D1479" w:rsidP="008A071C">
      <w:pPr>
        <w:pStyle w:val="BodyText"/>
        <w:numPr>
          <w:ilvl w:val="0"/>
          <w:numId w:val="13"/>
        </w:numPr>
        <w:spacing w:before="121"/>
        <w:rPr>
          <w:bCs/>
        </w:rPr>
      </w:pPr>
      <w:r w:rsidRPr="00236907">
        <w:rPr>
          <w:bCs/>
        </w:rPr>
        <w:t>57.8% of teachers reported experiencing at least one incident of bullying and harassment from a parent in the preceding 12-month period (La Trobe University, 2019).</w:t>
      </w:r>
    </w:p>
    <w:p w14:paraId="41687D79" w14:textId="77777777" w:rsidR="003D1479" w:rsidRPr="00236907" w:rsidRDefault="003D1479" w:rsidP="008A071C">
      <w:pPr>
        <w:pStyle w:val="BodyText"/>
        <w:numPr>
          <w:ilvl w:val="0"/>
          <w:numId w:val="13"/>
        </w:numPr>
        <w:spacing w:before="121"/>
        <w:rPr>
          <w:bCs/>
        </w:rPr>
      </w:pPr>
      <w:r w:rsidRPr="00236907">
        <w:rPr>
          <w:bCs/>
        </w:rPr>
        <w:t xml:space="preserve">Parent aggression is more prevalent in primary schools, where 62.9% of teachers surveyed reported experienced bullying or harassment from a parent in the preceding 9-12 months (La Trobe University, 2019) </w:t>
      </w:r>
    </w:p>
    <w:p w14:paraId="60A25A3B" w14:textId="77777777" w:rsidR="003D1479" w:rsidRPr="00236907" w:rsidRDefault="003D1479" w:rsidP="008A071C">
      <w:pPr>
        <w:pStyle w:val="BodyText"/>
        <w:numPr>
          <w:ilvl w:val="0"/>
          <w:numId w:val="13"/>
        </w:numPr>
        <w:spacing w:before="121"/>
        <w:rPr>
          <w:bCs/>
        </w:rPr>
      </w:pPr>
      <w:r w:rsidRPr="00236907">
        <w:rPr>
          <w:bCs/>
        </w:rPr>
        <w:t>30% of surveyed Victorian principals reported experiencing threats of violence and 21 per cent experienced physical violence. Of these, 31.5% of threats of violence and 7.4% of actual violence came from parents (Australian Occupational Health, Safety and Wellbeing Survey, 2020).</w:t>
      </w:r>
    </w:p>
    <w:bookmarkEnd w:id="43"/>
    <w:p w14:paraId="4F6C6A04" w14:textId="77777777" w:rsidR="003D1479" w:rsidRPr="00236907" w:rsidRDefault="003D1479" w:rsidP="00545C15">
      <w:pPr>
        <w:pStyle w:val="BodyText"/>
        <w:spacing w:before="121"/>
        <w:rPr>
          <w:b/>
        </w:rPr>
      </w:pPr>
      <w:r w:rsidRPr="00236907">
        <w:rPr>
          <w:b/>
        </w:rPr>
        <w:t>The school community safety order scheme</w:t>
      </w:r>
    </w:p>
    <w:p w14:paraId="0D2BFA77" w14:textId="77777777" w:rsidR="003D1479" w:rsidRPr="00236907" w:rsidRDefault="003D1479" w:rsidP="00545C15">
      <w:pPr>
        <w:pStyle w:val="BodyText"/>
        <w:spacing w:before="121"/>
      </w:pPr>
      <w:r w:rsidRPr="00236907">
        <w:t xml:space="preserve">The school community safety order scheme was established by the </w:t>
      </w:r>
      <w:r w:rsidRPr="00236907">
        <w:rPr>
          <w:i/>
          <w:iCs/>
        </w:rPr>
        <w:t>Education and Training Reform Amendment (Protection of School Communities) Act 2021</w:t>
      </w:r>
      <w:r w:rsidRPr="00236907">
        <w:t xml:space="preserve">, which amended the </w:t>
      </w:r>
      <w:r w:rsidRPr="00236907">
        <w:rPr>
          <w:i/>
          <w:iCs/>
        </w:rPr>
        <w:t xml:space="preserve">Education and Training Reform Act 2006 </w:t>
      </w:r>
      <w:r w:rsidRPr="00236907">
        <w:t>(ETR Act) to include Part 2.1A – Protection of school communities.</w:t>
      </w:r>
    </w:p>
    <w:p w14:paraId="6B3466FE" w14:textId="77777777" w:rsidR="003D1479" w:rsidRPr="00236907" w:rsidRDefault="003D1479" w:rsidP="00545C15">
      <w:pPr>
        <w:pStyle w:val="BodyText"/>
        <w:spacing w:before="121"/>
      </w:pPr>
      <w:r w:rsidRPr="00236907">
        <w:t>The Scheme commenced on 28 June 2022. It was introduced following a recommendation of the Protective Schools Ministerial Taskforce, which was established to provide expert advice to the Minister for Education on preventing and reducing violence and aggression in schools. In 2018, the Taskforce recommended that the Minister for Education consider the benefits and risks of legislative change that enables harsher penalties for threatening or aggressive conduct towards school staff (recommendation 4.2).</w:t>
      </w:r>
    </w:p>
    <w:p w14:paraId="54600E37" w14:textId="77777777" w:rsidR="003D1479" w:rsidRPr="00236907" w:rsidRDefault="003D1479" w:rsidP="00545C15">
      <w:pPr>
        <w:pStyle w:val="BodyText"/>
        <w:spacing w:before="121"/>
      </w:pPr>
      <w:r w:rsidRPr="00236907">
        <w:t xml:space="preserve">The Scheme gives principals and other authorised persons the power to stop or limit certain behaviours on or within 25 metres of school grounds and school-related places or in their communications with the school, or on a platform or channel controlled by or established in relation to a school.   </w:t>
      </w:r>
    </w:p>
    <w:p w14:paraId="040E3C36" w14:textId="77777777" w:rsidR="003D1479" w:rsidRPr="00236907" w:rsidRDefault="003D1479" w:rsidP="00545C15">
      <w:pPr>
        <w:pStyle w:val="BodyText"/>
        <w:spacing w:before="121"/>
      </w:pPr>
      <w:r w:rsidRPr="00236907">
        <w:t xml:space="preserve">It applies to all government and non-government schools across Victoria. </w:t>
      </w:r>
    </w:p>
    <w:p w14:paraId="31288A22" w14:textId="77777777" w:rsidR="003D1479" w:rsidRPr="00236907" w:rsidRDefault="003D1479" w:rsidP="00545C15">
      <w:pPr>
        <w:pStyle w:val="BodyText"/>
        <w:spacing w:before="121"/>
      </w:pPr>
      <w:r w:rsidRPr="00236907">
        <w:t xml:space="preserve">The overarching purpose of the scheme, as articulated in the </w:t>
      </w:r>
      <w:r w:rsidRPr="00236907">
        <w:rPr>
          <w:i/>
          <w:iCs/>
        </w:rPr>
        <w:t>Education and Training Reform Amendment (Protection of School Communities) Act 2021</w:t>
      </w:r>
      <w:r w:rsidRPr="00236907">
        <w:t>, is to protect school staff and other members of the school community from harmful, threatening, abusive or disruptive behaviour by parents, carers, and other adults.</w:t>
      </w:r>
    </w:p>
    <w:p w14:paraId="7B47FBC3" w14:textId="77777777" w:rsidR="003D1479" w:rsidRPr="00236907" w:rsidRDefault="003D1479" w:rsidP="00545C15">
      <w:pPr>
        <w:pStyle w:val="BodyText"/>
        <w:spacing w:before="121"/>
      </w:pPr>
      <w:r w:rsidRPr="00236907">
        <w:t>The objectives of the scheme can be summarised as:</w:t>
      </w:r>
    </w:p>
    <w:p w14:paraId="139257A3" w14:textId="77777777" w:rsidR="003D1479" w:rsidRPr="00236907" w:rsidRDefault="003D1479" w:rsidP="008A071C">
      <w:pPr>
        <w:pStyle w:val="BodyText"/>
        <w:numPr>
          <w:ilvl w:val="0"/>
          <w:numId w:val="20"/>
        </w:numPr>
        <w:spacing w:before="121"/>
      </w:pPr>
      <w:r w:rsidRPr="00236907">
        <w:t>control and mitigate the risk of harm to school staff and students resulting from certain behaviours of parents, carers, and other adults who interact with schools</w:t>
      </w:r>
    </w:p>
    <w:p w14:paraId="7038BBFD" w14:textId="77777777" w:rsidR="003D1479" w:rsidRPr="00236907" w:rsidRDefault="003D1479" w:rsidP="008A071C">
      <w:pPr>
        <w:pStyle w:val="BodyText"/>
        <w:numPr>
          <w:ilvl w:val="0"/>
          <w:numId w:val="20"/>
        </w:numPr>
        <w:spacing w:before="121"/>
      </w:pPr>
      <w:r w:rsidRPr="00236907">
        <w:lastRenderedPageBreak/>
        <w:t>act as an effective risk control to respond to work-related violence hazards and risks, when other less restrictive measures have failed, and enable schools to meet their occupational health and safety obligations</w:t>
      </w:r>
    </w:p>
    <w:p w14:paraId="4B90C674" w14:textId="77777777" w:rsidR="003D1479" w:rsidRPr="00236907" w:rsidRDefault="003D1479" w:rsidP="008A071C">
      <w:pPr>
        <w:pStyle w:val="BodyText"/>
        <w:numPr>
          <w:ilvl w:val="0"/>
          <w:numId w:val="20"/>
        </w:numPr>
        <w:spacing w:before="121"/>
      </w:pPr>
      <w:r w:rsidRPr="00236907">
        <w:t>address gaps and limitations of other legislative mechanisms for protecting school staff from inappropriate behaviour by parents, carers, and other adult members of the school community</w:t>
      </w:r>
    </w:p>
    <w:p w14:paraId="0C1A3F90" w14:textId="77777777" w:rsidR="003D1479" w:rsidRPr="00236907" w:rsidRDefault="003D1479" w:rsidP="008A071C">
      <w:pPr>
        <w:pStyle w:val="BodyText"/>
        <w:numPr>
          <w:ilvl w:val="0"/>
          <w:numId w:val="20"/>
        </w:numPr>
        <w:spacing w:before="121"/>
      </w:pPr>
      <w:r w:rsidRPr="00236907">
        <w:t>prevent and reduce exposure of school community members to parent/carer aggressive behaviours, while not removing their ability to remain engaged with their child’s education, or removing their right to make complaints, or criminalising their behaviour.</w:t>
      </w:r>
    </w:p>
    <w:p w14:paraId="1C328070" w14:textId="66052E9C" w:rsidR="00490029" w:rsidRPr="00236907" w:rsidRDefault="00490029" w:rsidP="00490029">
      <w:pPr>
        <w:pStyle w:val="BodyText"/>
        <w:spacing w:before="121"/>
        <w:ind w:left="851"/>
        <w:rPr>
          <w:sz w:val="20"/>
          <w:szCs w:val="20"/>
        </w:rPr>
      </w:pPr>
    </w:p>
    <w:p w14:paraId="71342ADB" w14:textId="05980E8A" w:rsidR="000A1AE0" w:rsidRPr="00236907" w:rsidRDefault="000A1AE0" w:rsidP="00974A75"/>
    <w:p w14:paraId="0F53F43F" w14:textId="4609C67D" w:rsidR="00905923" w:rsidRDefault="00E6440F" w:rsidP="00E6440F">
      <w:pPr>
        <w:pStyle w:val="legalAttachment"/>
        <w:numPr>
          <w:ilvl w:val="0"/>
          <w:numId w:val="0"/>
        </w:numPr>
      </w:pPr>
      <w:bookmarkStart w:id="44" w:name="_Toc210053635"/>
      <w:r>
        <w:lastRenderedPageBreak/>
        <w:t>Schedule 2 – Persons interviewed</w:t>
      </w:r>
      <w:bookmarkEnd w:id="44"/>
    </w:p>
    <w:p w14:paraId="6577C7CD" w14:textId="77777777" w:rsidR="00146D5F" w:rsidRDefault="00146D5F" w:rsidP="00146D5F"/>
    <w:p w14:paraId="66D99709" w14:textId="77777777" w:rsidR="00146D5F" w:rsidRDefault="00146D5F" w:rsidP="00146D5F">
      <w:r>
        <w:t>The review consulted a range of stakeholders, including:</w:t>
      </w:r>
    </w:p>
    <w:p w14:paraId="4484111B" w14:textId="77777777" w:rsidR="00146D5F" w:rsidRDefault="00146D5F" w:rsidP="00146D5F"/>
    <w:p w14:paraId="199114AC" w14:textId="77777777" w:rsidR="00146D5F" w:rsidRPr="00146D5F" w:rsidRDefault="00146D5F" w:rsidP="00146D5F">
      <w:pPr>
        <w:pStyle w:val="ListParagraph"/>
        <w:numPr>
          <w:ilvl w:val="0"/>
          <w:numId w:val="67"/>
        </w:numPr>
        <w:rPr>
          <w:rFonts w:eastAsia="Times New Roman" w:cstheme="minorBidi"/>
          <w:sz w:val="20"/>
          <w:szCs w:val="20"/>
          <w:lang w:eastAsia="en-US" w:bidi="ar-SA"/>
        </w:rPr>
      </w:pPr>
      <w:r w:rsidRPr="00146D5F">
        <w:rPr>
          <w:rFonts w:eastAsia="Times New Roman" w:cstheme="minorBidi"/>
          <w:sz w:val="20"/>
          <w:szCs w:val="20"/>
          <w:lang w:eastAsia="en-US" w:bidi="ar-SA"/>
        </w:rPr>
        <w:t>Staff from the Department of Education, including:</w:t>
      </w:r>
    </w:p>
    <w:p w14:paraId="4CC7EA42" w14:textId="38700D38" w:rsidR="00146D5F" w:rsidRPr="00146D5F" w:rsidRDefault="00146D5F" w:rsidP="00146D5F">
      <w:pPr>
        <w:pStyle w:val="ListParagraph"/>
        <w:numPr>
          <w:ilvl w:val="1"/>
          <w:numId w:val="67"/>
        </w:numPr>
        <w:rPr>
          <w:rFonts w:eastAsia="Times New Roman" w:cstheme="minorBidi"/>
          <w:sz w:val="20"/>
          <w:szCs w:val="20"/>
          <w:lang w:eastAsia="en-US" w:bidi="ar-SA"/>
        </w:rPr>
      </w:pPr>
      <w:r w:rsidRPr="00146D5F">
        <w:rPr>
          <w:rFonts w:eastAsia="Times New Roman" w:cstheme="minorBidi"/>
          <w:sz w:val="20"/>
          <w:szCs w:val="20"/>
          <w:lang w:eastAsia="en-US" w:bidi="ar-SA"/>
        </w:rPr>
        <w:t xml:space="preserve">Legal Division </w:t>
      </w:r>
    </w:p>
    <w:p w14:paraId="2C72BE52" w14:textId="3DB7EFC4" w:rsidR="00146D5F" w:rsidRPr="00146D5F" w:rsidRDefault="00146D5F" w:rsidP="00146D5F">
      <w:pPr>
        <w:pStyle w:val="ListParagraph"/>
        <w:numPr>
          <w:ilvl w:val="1"/>
          <w:numId w:val="67"/>
        </w:numPr>
        <w:rPr>
          <w:rFonts w:eastAsia="Times New Roman" w:cstheme="minorBidi"/>
          <w:sz w:val="20"/>
          <w:szCs w:val="20"/>
          <w:lang w:eastAsia="en-US" w:bidi="ar-SA"/>
        </w:rPr>
      </w:pPr>
      <w:r w:rsidRPr="00146D5F">
        <w:rPr>
          <w:rFonts w:eastAsia="Times New Roman" w:cstheme="minorBidi"/>
          <w:sz w:val="20"/>
          <w:szCs w:val="20"/>
          <w:lang w:eastAsia="en-US" w:bidi="ar-SA"/>
        </w:rPr>
        <w:t xml:space="preserve">Employee Wellbeing, Safety and Inclusion Division </w:t>
      </w:r>
    </w:p>
    <w:p w14:paraId="48FC092F" w14:textId="77777777" w:rsidR="00146D5F" w:rsidRPr="00146D5F" w:rsidRDefault="00146D5F" w:rsidP="00146D5F">
      <w:pPr>
        <w:pStyle w:val="ListParagraph"/>
        <w:numPr>
          <w:ilvl w:val="1"/>
          <w:numId w:val="67"/>
        </w:numPr>
        <w:rPr>
          <w:rFonts w:eastAsia="Times New Roman" w:cstheme="minorBidi"/>
          <w:sz w:val="20"/>
          <w:szCs w:val="20"/>
          <w:lang w:eastAsia="en-US" w:bidi="ar-SA"/>
        </w:rPr>
      </w:pPr>
      <w:r w:rsidRPr="00146D5F">
        <w:rPr>
          <w:rFonts w:eastAsia="Times New Roman" w:cstheme="minorBidi"/>
          <w:sz w:val="20"/>
          <w:szCs w:val="20"/>
          <w:lang w:eastAsia="en-US" w:bidi="ar-SA"/>
        </w:rPr>
        <w:t>Regional and executive staff</w:t>
      </w:r>
    </w:p>
    <w:p w14:paraId="0B3F2BF3" w14:textId="5476048C" w:rsidR="00146D5F" w:rsidRPr="00146D5F" w:rsidRDefault="00146D5F" w:rsidP="00146D5F">
      <w:pPr>
        <w:pStyle w:val="ListParagraph"/>
        <w:numPr>
          <w:ilvl w:val="0"/>
          <w:numId w:val="67"/>
        </w:numPr>
        <w:rPr>
          <w:rFonts w:eastAsia="Times New Roman" w:cstheme="minorBidi"/>
          <w:sz w:val="20"/>
          <w:szCs w:val="20"/>
          <w:lang w:eastAsia="en-US" w:bidi="ar-SA"/>
        </w:rPr>
      </w:pPr>
      <w:r w:rsidRPr="00146D5F">
        <w:rPr>
          <w:rFonts w:eastAsia="Times New Roman" w:cstheme="minorBidi"/>
          <w:sz w:val="20"/>
          <w:szCs w:val="20"/>
          <w:lang w:eastAsia="en-US" w:bidi="ar-SA"/>
        </w:rPr>
        <w:t xml:space="preserve">Principals and staff from Victorian government schools </w:t>
      </w:r>
    </w:p>
    <w:p w14:paraId="1185CB71" w14:textId="77777777" w:rsidR="00146D5F" w:rsidRPr="00146D5F" w:rsidRDefault="00146D5F" w:rsidP="00146D5F">
      <w:pPr>
        <w:pStyle w:val="ListParagraph"/>
        <w:numPr>
          <w:ilvl w:val="0"/>
          <w:numId w:val="67"/>
        </w:numPr>
        <w:rPr>
          <w:rFonts w:eastAsia="Times New Roman" w:cstheme="minorBidi"/>
          <w:sz w:val="20"/>
          <w:szCs w:val="20"/>
          <w:lang w:eastAsia="en-US" w:bidi="ar-SA"/>
        </w:rPr>
      </w:pPr>
      <w:r w:rsidRPr="00146D5F">
        <w:rPr>
          <w:rFonts w:eastAsia="Times New Roman" w:cstheme="minorBidi"/>
          <w:sz w:val="20"/>
          <w:szCs w:val="20"/>
          <w:lang w:eastAsia="en-US" w:bidi="ar-SA"/>
        </w:rPr>
        <w:t>Representatives from Independent Schools Victoria</w:t>
      </w:r>
    </w:p>
    <w:p w14:paraId="54DA7070" w14:textId="77777777" w:rsidR="00146D5F" w:rsidRPr="00146D5F" w:rsidRDefault="00146D5F" w:rsidP="00146D5F">
      <w:pPr>
        <w:pStyle w:val="ListParagraph"/>
        <w:numPr>
          <w:ilvl w:val="0"/>
          <w:numId w:val="67"/>
        </w:numPr>
        <w:rPr>
          <w:rFonts w:eastAsia="Times New Roman" w:cstheme="minorBidi"/>
          <w:sz w:val="20"/>
          <w:szCs w:val="20"/>
          <w:lang w:eastAsia="en-US" w:bidi="ar-SA"/>
        </w:rPr>
      </w:pPr>
      <w:r w:rsidRPr="00146D5F">
        <w:rPr>
          <w:rFonts w:eastAsia="Times New Roman" w:cstheme="minorBidi"/>
          <w:sz w:val="20"/>
          <w:szCs w:val="20"/>
          <w:lang w:eastAsia="en-US" w:bidi="ar-SA"/>
        </w:rPr>
        <w:t>Representatives from the Victorian Principals Association</w:t>
      </w:r>
    </w:p>
    <w:p w14:paraId="5B184FFA" w14:textId="77777777" w:rsidR="00146D5F" w:rsidRPr="00146D5F" w:rsidRDefault="00146D5F" w:rsidP="00146D5F">
      <w:pPr>
        <w:pStyle w:val="ListParagraph"/>
        <w:numPr>
          <w:ilvl w:val="0"/>
          <w:numId w:val="67"/>
        </w:numPr>
        <w:rPr>
          <w:rFonts w:eastAsia="Times New Roman" w:cstheme="minorBidi"/>
          <w:sz w:val="20"/>
          <w:szCs w:val="20"/>
          <w:lang w:eastAsia="en-US" w:bidi="ar-SA"/>
        </w:rPr>
      </w:pPr>
      <w:r w:rsidRPr="00146D5F">
        <w:rPr>
          <w:rFonts w:eastAsia="Times New Roman" w:cstheme="minorBidi"/>
          <w:sz w:val="20"/>
          <w:szCs w:val="20"/>
          <w:lang w:eastAsia="en-US" w:bidi="ar-SA"/>
        </w:rPr>
        <w:t>Representatives from Parents Victoria</w:t>
      </w:r>
    </w:p>
    <w:p w14:paraId="4EC11B1C" w14:textId="77777777" w:rsidR="00146D5F" w:rsidRPr="00146D5F" w:rsidRDefault="00146D5F" w:rsidP="00146D5F">
      <w:pPr>
        <w:pStyle w:val="ListParagraph"/>
        <w:numPr>
          <w:ilvl w:val="0"/>
          <w:numId w:val="67"/>
        </w:numPr>
        <w:rPr>
          <w:rFonts w:eastAsia="Times New Roman" w:cstheme="minorBidi"/>
          <w:sz w:val="20"/>
          <w:szCs w:val="20"/>
          <w:lang w:eastAsia="en-US" w:bidi="ar-SA"/>
        </w:rPr>
      </w:pPr>
      <w:r w:rsidRPr="00146D5F">
        <w:rPr>
          <w:rFonts w:eastAsia="Times New Roman" w:cstheme="minorBidi"/>
          <w:sz w:val="20"/>
          <w:szCs w:val="20"/>
          <w:lang w:eastAsia="en-US" w:bidi="ar-SA"/>
        </w:rPr>
        <w:t>Representatives from the Australian Education Union</w:t>
      </w:r>
    </w:p>
    <w:p w14:paraId="6139F396" w14:textId="77777777" w:rsidR="00146D5F" w:rsidRPr="00146D5F" w:rsidRDefault="00146D5F" w:rsidP="00146D5F">
      <w:pPr>
        <w:pStyle w:val="ListParagraph"/>
        <w:numPr>
          <w:ilvl w:val="0"/>
          <w:numId w:val="67"/>
        </w:numPr>
        <w:rPr>
          <w:rFonts w:eastAsia="Times New Roman" w:cstheme="minorBidi"/>
          <w:sz w:val="20"/>
          <w:szCs w:val="20"/>
          <w:lang w:eastAsia="en-US" w:bidi="ar-SA"/>
        </w:rPr>
      </w:pPr>
      <w:r w:rsidRPr="00146D5F">
        <w:rPr>
          <w:rFonts w:eastAsia="Times New Roman" w:cstheme="minorBidi"/>
          <w:sz w:val="20"/>
          <w:szCs w:val="20"/>
          <w:lang w:eastAsia="en-US" w:bidi="ar-SA"/>
        </w:rPr>
        <w:t>Representatives from the Victorian Association of State Secondary Principals</w:t>
      </w:r>
    </w:p>
    <w:p w14:paraId="0742A959" w14:textId="77777777" w:rsidR="00146D5F" w:rsidRPr="00146D5F" w:rsidRDefault="00146D5F" w:rsidP="00146D5F">
      <w:pPr>
        <w:pStyle w:val="ListParagraph"/>
        <w:numPr>
          <w:ilvl w:val="0"/>
          <w:numId w:val="67"/>
        </w:numPr>
        <w:rPr>
          <w:rFonts w:eastAsia="Times New Roman" w:cstheme="minorBidi"/>
          <w:sz w:val="20"/>
          <w:szCs w:val="20"/>
          <w:lang w:eastAsia="en-US" w:bidi="ar-SA"/>
        </w:rPr>
      </w:pPr>
      <w:r w:rsidRPr="00146D5F">
        <w:rPr>
          <w:rFonts w:eastAsia="Times New Roman" w:cstheme="minorBidi"/>
          <w:sz w:val="20"/>
          <w:szCs w:val="20"/>
          <w:lang w:eastAsia="en-US" w:bidi="ar-SA"/>
        </w:rPr>
        <w:t>Representatives from the Australian Principals Federation</w:t>
      </w:r>
    </w:p>
    <w:p w14:paraId="2367655E" w14:textId="77777777" w:rsidR="00146D5F" w:rsidRPr="00146D5F" w:rsidRDefault="00146D5F" w:rsidP="00146D5F">
      <w:pPr>
        <w:pStyle w:val="ListParagraph"/>
        <w:numPr>
          <w:ilvl w:val="0"/>
          <w:numId w:val="67"/>
        </w:numPr>
        <w:rPr>
          <w:rFonts w:eastAsia="Times New Roman" w:cstheme="minorBidi"/>
          <w:sz w:val="20"/>
          <w:szCs w:val="20"/>
          <w:lang w:eastAsia="en-US" w:bidi="ar-SA"/>
        </w:rPr>
      </w:pPr>
      <w:r w:rsidRPr="00146D5F">
        <w:rPr>
          <w:rFonts w:eastAsia="Times New Roman" w:cstheme="minorBidi"/>
          <w:sz w:val="20"/>
          <w:szCs w:val="20"/>
          <w:lang w:eastAsia="en-US" w:bidi="ar-SA"/>
        </w:rPr>
        <w:t>Representatives from the Victorian Catholic Education Authority and Catholic Diocesan education corporations</w:t>
      </w:r>
    </w:p>
    <w:p w14:paraId="50A89D2A" w14:textId="77777777" w:rsidR="00146D5F" w:rsidRPr="00146D5F" w:rsidRDefault="00146D5F" w:rsidP="00146D5F">
      <w:pPr>
        <w:rPr>
          <w:i/>
          <w:iCs/>
        </w:rPr>
      </w:pPr>
    </w:p>
    <w:p w14:paraId="063564B8" w14:textId="56AF05AA" w:rsidR="00146D5F" w:rsidRPr="00146D5F" w:rsidRDefault="00146D5F" w:rsidP="00146D5F">
      <w:pPr>
        <w:rPr>
          <w:i/>
          <w:iCs/>
        </w:rPr>
      </w:pPr>
      <w:r w:rsidRPr="00146D5F">
        <w:rPr>
          <w:i/>
          <w:iCs/>
        </w:rPr>
        <w:t>Note: Individual names and specific roles have</w:t>
      </w:r>
      <w:r>
        <w:rPr>
          <w:i/>
          <w:iCs/>
        </w:rPr>
        <w:t xml:space="preserve"> not been published</w:t>
      </w:r>
      <w:r w:rsidRPr="00146D5F">
        <w:rPr>
          <w:i/>
          <w:iCs/>
        </w:rPr>
        <w:t xml:space="preserve"> to protect privacy. All participants contributed </w:t>
      </w:r>
      <w:proofErr w:type="gramStart"/>
      <w:r w:rsidRPr="00146D5F">
        <w:rPr>
          <w:i/>
          <w:iCs/>
        </w:rPr>
        <w:t>in</w:t>
      </w:r>
      <w:proofErr w:type="gramEnd"/>
      <w:r w:rsidRPr="00146D5F">
        <w:rPr>
          <w:i/>
          <w:iCs/>
        </w:rPr>
        <w:t xml:space="preserve"> their professional capacity.</w:t>
      </w:r>
    </w:p>
    <w:p w14:paraId="60BC48F3" w14:textId="77777777" w:rsidR="00E6440F" w:rsidRPr="00E6440F" w:rsidRDefault="00E6440F" w:rsidP="00E6440F"/>
    <w:p w14:paraId="2E8632AD" w14:textId="77777777" w:rsidR="00D7284B" w:rsidRPr="00236907" w:rsidRDefault="00D7284B" w:rsidP="00DB1E0B">
      <w:pPr>
        <w:ind w:left="993"/>
      </w:pPr>
    </w:p>
    <w:p w14:paraId="4A9DD431" w14:textId="1113A2B0" w:rsidR="00905923" w:rsidRDefault="00493991" w:rsidP="00493991">
      <w:pPr>
        <w:pStyle w:val="legalAttachment"/>
        <w:numPr>
          <w:ilvl w:val="0"/>
          <w:numId w:val="0"/>
        </w:numPr>
      </w:pPr>
      <w:bookmarkStart w:id="45" w:name="_Toc210053636"/>
      <w:r>
        <w:lastRenderedPageBreak/>
        <w:t>Schedule 3 – Lists of documents provided</w:t>
      </w:r>
      <w:bookmarkEnd w:id="45"/>
    </w:p>
    <w:p w14:paraId="0B3BA0A3" w14:textId="77777777" w:rsidR="00493991" w:rsidRPr="00493991" w:rsidRDefault="00493991" w:rsidP="00493991"/>
    <w:tbl>
      <w:tblPr>
        <w:tblStyle w:val="MadTabPlumShade"/>
        <w:tblW w:w="4634" w:type="pct"/>
        <w:tblInd w:w="828" w:type="dxa"/>
        <w:tblLook w:val="0620" w:firstRow="1" w:lastRow="0" w:firstColumn="0" w:lastColumn="0" w:noHBand="1" w:noVBand="1"/>
      </w:tblPr>
      <w:tblGrid>
        <w:gridCol w:w="3685"/>
        <w:gridCol w:w="4678"/>
      </w:tblGrid>
      <w:tr w:rsidR="005010D9" w:rsidRPr="00236907" w14:paraId="49DDB3E3" w14:textId="77777777" w:rsidTr="006105F7">
        <w:trPr>
          <w:cnfStyle w:val="100000000000" w:firstRow="1" w:lastRow="0" w:firstColumn="0" w:lastColumn="0" w:oddVBand="0" w:evenVBand="0" w:oddHBand="0" w:evenHBand="0" w:firstRowFirstColumn="0" w:firstRowLastColumn="0" w:lastRowFirstColumn="0" w:lastRowLastColumn="0"/>
          <w:tblHeader/>
        </w:trPr>
        <w:tc>
          <w:tcPr>
            <w:tcW w:w="2203" w:type="pct"/>
          </w:tcPr>
          <w:p w14:paraId="1B25E167" w14:textId="77777777" w:rsidR="005010D9" w:rsidRPr="00236907" w:rsidRDefault="005010D9">
            <w:r w:rsidRPr="00236907">
              <w:t>Name</w:t>
            </w:r>
          </w:p>
        </w:tc>
        <w:tc>
          <w:tcPr>
            <w:tcW w:w="2797" w:type="pct"/>
          </w:tcPr>
          <w:p w14:paraId="1744EA50" w14:textId="139A9A07" w:rsidR="005010D9" w:rsidRPr="00236907" w:rsidRDefault="00F94F60">
            <w:r w:rsidRPr="00236907">
              <w:t>Comment</w:t>
            </w:r>
          </w:p>
        </w:tc>
      </w:tr>
      <w:tr w:rsidR="002F0058" w:rsidRPr="00236907" w14:paraId="56192BF2" w14:textId="77777777" w:rsidTr="002F0058">
        <w:tc>
          <w:tcPr>
            <w:tcW w:w="5000" w:type="pct"/>
            <w:gridSpan w:val="2"/>
          </w:tcPr>
          <w:p w14:paraId="299F0F42" w14:textId="521F36CC" w:rsidR="002F0058" w:rsidRPr="00236907" w:rsidRDefault="002F0058">
            <w:pPr>
              <w:rPr>
                <w:b/>
                <w:bCs/>
              </w:rPr>
            </w:pPr>
            <w:r w:rsidRPr="00236907">
              <w:rPr>
                <w:b/>
                <w:bCs/>
              </w:rPr>
              <w:t>Documents</w:t>
            </w:r>
            <w:r w:rsidR="001831FE" w:rsidRPr="00236907">
              <w:rPr>
                <w:b/>
                <w:bCs/>
              </w:rPr>
              <w:t xml:space="preserve"> establishing</w:t>
            </w:r>
            <w:r w:rsidRPr="00236907">
              <w:rPr>
                <w:b/>
                <w:bCs/>
              </w:rPr>
              <w:t xml:space="preserve"> the Scheme</w:t>
            </w:r>
          </w:p>
        </w:tc>
      </w:tr>
      <w:tr w:rsidR="00627223" w:rsidRPr="00236907" w14:paraId="64B11A80" w14:textId="77777777">
        <w:tc>
          <w:tcPr>
            <w:tcW w:w="2203" w:type="pct"/>
            <w:vAlign w:val="top"/>
          </w:tcPr>
          <w:p w14:paraId="1EB7BC02" w14:textId="7F63A1BD" w:rsidR="00627223" w:rsidRPr="00236907" w:rsidRDefault="00627223" w:rsidP="00627223">
            <w:hyperlink r:id="rId22" w:history="1">
              <w:r w:rsidRPr="00236907">
                <w:rPr>
                  <w:rStyle w:val="Hyperlink"/>
                  <w:color w:val="auto"/>
                  <w:u w:val="none"/>
                </w:rPr>
                <w:t xml:space="preserve">Part 2.1A - </w:t>
              </w:r>
              <w:r w:rsidRPr="00236907">
                <w:rPr>
                  <w:rStyle w:val="Hyperlink"/>
                  <w:i/>
                  <w:iCs/>
                  <w:color w:val="auto"/>
                  <w:u w:val="none"/>
                </w:rPr>
                <w:t>Education and Training Reform Act 2006</w:t>
              </w:r>
            </w:hyperlink>
          </w:p>
        </w:tc>
        <w:tc>
          <w:tcPr>
            <w:tcW w:w="2797" w:type="pct"/>
            <w:vAlign w:val="top"/>
          </w:tcPr>
          <w:p w14:paraId="09B44B15" w14:textId="5DF69042" w:rsidR="00627223" w:rsidRPr="00236907" w:rsidRDefault="00627223" w:rsidP="00627223"/>
        </w:tc>
      </w:tr>
      <w:tr w:rsidR="00627223" w:rsidRPr="00236907" w14:paraId="5EE77759" w14:textId="77777777">
        <w:tc>
          <w:tcPr>
            <w:tcW w:w="2203" w:type="pct"/>
            <w:vAlign w:val="top"/>
          </w:tcPr>
          <w:p w14:paraId="15BE7861" w14:textId="4B1A5E23" w:rsidR="00627223" w:rsidRPr="00236907" w:rsidRDefault="00627223" w:rsidP="00627223">
            <w:pPr>
              <w:pStyle w:val="Tablebody"/>
              <w:rPr>
                <w:sz w:val="20"/>
                <w:szCs w:val="20"/>
              </w:rPr>
            </w:pPr>
            <w:hyperlink r:id="rId23" w:history="1">
              <w:r w:rsidRPr="00236907">
                <w:rPr>
                  <w:rStyle w:val="Hyperlink"/>
                  <w:i/>
                  <w:iCs/>
                  <w:color w:val="auto"/>
                  <w:sz w:val="20"/>
                  <w:szCs w:val="20"/>
                  <w:u w:val="none"/>
                </w:rPr>
                <w:t>Education and Training Reform Amendment (Protection of School Communities) Bill 2021</w:t>
              </w:r>
            </w:hyperlink>
          </w:p>
          <w:p w14:paraId="53613216" w14:textId="471CD8C3" w:rsidR="00627223" w:rsidRPr="00236907" w:rsidRDefault="00627223" w:rsidP="00627223">
            <w:r w:rsidRPr="00236907">
              <w:t xml:space="preserve">(ETRA (POSC) Bill) </w:t>
            </w:r>
          </w:p>
        </w:tc>
        <w:tc>
          <w:tcPr>
            <w:tcW w:w="2797" w:type="pct"/>
            <w:vAlign w:val="top"/>
          </w:tcPr>
          <w:p w14:paraId="52CB5E24" w14:textId="570923EB" w:rsidR="00627223" w:rsidRPr="00236907" w:rsidRDefault="00627223" w:rsidP="00627223"/>
        </w:tc>
      </w:tr>
      <w:tr w:rsidR="00627223" w:rsidRPr="00236907" w14:paraId="6AF5AB70" w14:textId="77777777">
        <w:tc>
          <w:tcPr>
            <w:tcW w:w="2203" w:type="pct"/>
            <w:vAlign w:val="top"/>
          </w:tcPr>
          <w:p w14:paraId="548FDE25" w14:textId="21453018" w:rsidR="00627223" w:rsidRPr="00236907" w:rsidRDefault="00627223" w:rsidP="00627223">
            <w:hyperlink r:id="rId24" w:history="1">
              <w:r w:rsidRPr="00236907">
                <w:rPr>
                  <w:rStyle w:val="Hyperlink"/>
                  <w:color w:val="auto"/>
                  <w:u w:val="none"/>
                </w:rPr>
                <w:t>Explanatory Memorandum – ETRA (PO</w:t>
              </w:r>
              <w:r w:rsidR="00D33EE3">
                <w:rPr>
                  <w:rStyle w:val="Hyperlink"/>
                  <w:color w:val="auto"/>
                  <w:u w:val="none"/>
                </w:rPr>
                <w:t>SC</w:t>
              </w:r>
              <w:r w:rsidRPr="00236907">
                <w:rPr>
                  <w:rStyle w:val="Hyperlink"/>
                  <w:color w:val="auto"/>
                  <w:u w:val="none"/>
                </w:rPr>
                <w:t>) Bill</w:t>
              </w:r>
            </w:hyperlink>
          </w:p>
        </w:tc>
        <w:tc>
          <w:tcPr>
            <w:tcW w:w="2797" w:type="pct"/>
            <w:vAlign w:val="top"/>
          </w:tcPr>
          <w:p w14:paraId="2E4A1433" w14:textId="14B3D673" w:rsidR="00627223" w:rsidRPr="00236907" w:rsidRDefault="00627223" w:rsidP="00627223"/>
        </w:tc>
      </w:tr>
      <w:tr w:rsidR="00627223" w:rsidRPr="00236907" w14:paraId="3B8C5E8C" w14:textId="77777777">
        <w:tc>
          <w:tcPr>
            <w:tcW w:w="2203" w:type="pct"/>
            <w:vAlign w:val="top"/>
          </w:tcPr>
          <w:p w14:paraId="17159978" w14:textId="44FDBFE5" w:rsidR="00627223" w:rsidRPr="00236907" w:rsidRDefault="00627223" w:rsidP="00627223">
            <w:hyperlink r:id="rId25" w:history="1">
              <w:r w:rsidRPr="00236907">
                <w:rPr>
                  <w:rStyle w:val="Hyperlink"/>
                  <w:color w:val="auto"/>
                  <w:u w:val="none"/>
                </w:rPr>
                <w:t>Second reading speech</w:t>
              </w:r>
            </w:hyperlink>
          </w:p>
        </w:tc>
        <w:tc>
          <w:tcPr>
            <w:tcW w:w="2797" w:type="pct"/>
            <w:vAlign w:val="top"/>
          </w:tcPr>
          <w:p w14:paraId="32AD4066" w14:textId="5236B8B7" w:rsidR="00627223" w:rsidRPr="00236907" w:rsidRDefault="00627223" w:rsidP="00627223"/>
        </w:tc>
      </w:tr>
      <w:tr w:rsidR="00627223" w:rsidRPr="00236907" w14:paraId="0C6E9D71" w14:textId="77777777">
        <w:tc>
          <w:tcPr>
            <w:tcW w:w="2203" w:type="pct"/>
            <w:vAlign w:val="top"/>
          </w:tcPr>
          <w:p w14:paraId="2CA2E650" w14:textId="7D43C0E9" w:rsidR="00627223" w:rsidRPr="00236907" w:rsidRDefault="00627223" w:rsidP="00627223">
            <w:hyperlink r:id="rId26" w:history="1">
              <w:r w:rsidRPr="00236907">
                <w:rPr>
                  <w:rStyle w:val="Hyperlink"/>
                  <w:color w:val="auto"/>
                  <w:u w:val="none"/>
                </w:rPr>
                <w:t>Statement of compatibility</w:t>
              </w:r>
            </w:hyperlink>
          </w:p>
        </w:tc>
        <w:tc>
          <w:tcPr>
            <w:tcW w:w="2797" w:type="pct"/>
            <w:vAlign w:val="top"/>
          </w:tcPr>
          <w:p w14:paraId="006A6342" w14:textId="18593480" w:rsidR="00627223" w:rsidRPr="00236907" w:rsidRDefault="00627223" w:rsidP="00627223"/>
        </w:tc>
      </w:tr>
      <w:tr w:rsidR="007A7B83" w:rsidRPr="00236907" w14:paraId="1F042219" w14:textId="77777777">
        <w:tc>
          <w:tcPr>
            <w:tcW w:w="2203" w:type="pct"/>
            <w:vAlign w:val="top"/>
          </w:tcPr>
          <w:p w14:paraId="6AADD90B" w14:textId="48DC1CCE" w:rsidR="007A7B83" w:rsidRDefault="007A7B83" w:rsidP="00627223">
            <w:r>
              <w:t xml:space="preserve">Cabinet in Confidence documents related to the </w:t>
            </w:r>
            <w:r w:rsidRPr="00236907">
              <w:t>ETRA (POSC) Bill</w:t>
            </w:r>
            <w:r>
              <w:t xml:space="preserve"> </w:t>
            </w:r>
          </w:p>
        </w:tc>
        <w:tc>
          <w:tcPr>
            <w:tcW w:w="2797" w:type="pct"/>
            <w:vAlign w:val="top"/>
          </w:tcPr>
          <w:p w14:paraId="2A6C7D00" w14:textId="77777777" w:rsidR="007A7B83" w:rsidRPr="00236907" w:rsidRDefault="007A7B83" w:rsidP="00627223"/>
        </w:tc>
      </w:tr>
      <w:tr w:rsidR="00B36746" w:rsidRPr="00236907" w14:paraId="6667372D" w14:textId="77777777">
        <w:tc>
          <w:tcPr>
            <w:tcW w:w="2203" w:type="pct"/>
            <w:vAlign w:val="top"/>
          </w:tcPr>
          <w:p w14:paraId="14B0F0A2" w14:textId="2ED8C1DB" w:rsidR="00B36746" w:rsidRPr="00236907" w:rsidRDefault="00B36746" w:rsidP="00B36746">
            <w:r w:rsidRPr="00236907">
              <w:t xml:space="preserve">FW Julie Podbury on Virginia </w:t>
            </w:r>
            <w:proofErr w:type="spellStart"/>
            <w:r w:rsidRPr="00236907">
              <w:t>Podbury</w:t>
            </w:r>
            <w:proofErr w:type="spellEnd"/>
            <w:r w:rsidRPr="00236907">
              <w:t xml:space="preserve"> (ABC Melbourne)</w:t>
            </w:r>
          </w:p>
        </w:tc>
        <w:tc>
          <w:tcPr>
            <w:tcW w:w="2797" w:type="pct"/>
          </w:tcPr>
          <w:p w14:paraId="630C3557" w14:textId="4C91B24B" w:rsidR="00B36746" w:rsidRPr="00236907" w:rsidRDefault="00B36746" w:rsidP="00B36746">
            <w:r w:rsidRPr="00236907">
              <w:t>Case study supporting the creation of the Scheme.</w:t>
            </w:r>
          </w:p>
        </w:tc>
      </w:tr>
      <w:tr w:rsidR="00B36746" w:rsidRPr="00236907" w14:paraId="282117FD" w14:textId="77777777" w:rsidTr="00946CE2">
        <w:tc>
          <w:tcPr>
            <w:tcW w:w="5000" w:type="pct"/>
            <w:gridSpan w:val="2"/>
          </w:tcPr>
          <w:p w14:paraId="302575B3" w14:textId="716E903D" w:rsidR="00B36746" w:rsidRPr="00236907" w:rsidRDefault="00B36746" w:rsidP="00B36746">
            <w:pPr>
              <w:rPr>
                <w:b/>
                <w:bCs/>
              </w:rPr>
            </w:pPr>
            <w:r w:rsidRPr="00236907">
              <w:rPr>
                <w:b/>
                <w:bCs/>
              </w:rPr>
              <w:t>Documents relating to stakeholder consultation on the Bill and Ministerial Guidelines</w:t>
            </w:r>
          </w:p>
        </w:tc>
      </w:tr>
      <w:tr w:rsidR="00B36746" w:rsidRPr="00236907" w14:paraId="65989F99" w14:textId="77777777" w:rsidTr="00966AB8">
        <w:trPr>
          <w:trHeight w:val="490"/>
        </w:trPr>
        <w:tc>
          <w:tcPr>
            <w:tcW w:w="2203" w:type="pct"/>
            <w:vAlign w:val="top"/>
          </w:tcPr>
          <w:p w14:paraId="62F0A23C" w14:textId="648E9BB4" w:rsidR="00B36746" w:rsidRPr="00236907" w:rsidRDefault="00B36746" w:rsidP="00B36746">
            <w:r w:rsidRPr="00236907">
              <w:t>Issues paper – Ministerial Guidelines for the SCSO Scheme</w:t>
            </w:r>
          </w:p>
        </w:tc>
        <w:tc>
          <w:tcPr>
            <w:tcW w:w="2797" w:type="pct"/>
            <w:vAlign w:val="top"/>
          </w:tcPr>
          <w:p w14:paraId="448CB8C1" w14:textId="7A7D2D41" w:rsidR="00B36746" w:rsidRPr="00236907" w:rsidRDefault="00B36746" w:rsidP="00B36746">
            <w:pPr>
              <w:pStyle w:val="Tablebody"/>
              <w:rPr>
                <w:sz w:val="20"/>
                <w:szCs w:val="20"/>
              </w:rPr>
            </w:pPr>
            <w:r w:rsidRPr="00236907">
              <w:rPr>
                <w:sz w:val="20"/>
                <w:szCs w:val="20"/>
              </w:rPr>
              <w:t>To inform development of the Ministerial Guidelines.</w:t>
            </w:r>
          </w:p>
        </w:tc>
      </w:tr>
      <w:tr w:rsidR="00B36746" w:rsidRPr="00236907" w14:paraId="08471FEA" w14:textId="77777777">
        <w:tc>
          <w:tcPr>
            <w:tcW w:w="2203" w:type="pct"/>
            <w:vAlign w:val="top"/>
          </w:tcPr>
          <w:p w14:paraId="7639D5D3" w14:textId="0F42C645" w:rsidR="00B36746" w:rsidRPr="00236907" w:rsidRDefault="00B36746" w:rsidP="00B36746">
            <w:r w:rsidRPr="00236907">
              <w:t>Proposed approach to key issues</w:t>
            </w:r>
          </w:p>
        </w:tc>
        <w:tc>
          <w:tcPr>
            <w:tcW w:w="2797" w:type="pct"/>
            <w:vAlign w:val="top"/>
          </w:tcPr>
          <w:p w14:paraId="23CCF105" w14:textId="29192567" w:rsidR="00B36746" w:rsidRPr="00236907" w:rsidRDefault="00B36746" w:rsidP="00B36746">
            <w:pPr>
              <w:pStyle w:val="Tablebody"/>
              <w:rPr>
                <w:sz w:val="20"/>
                <w:szCs w:val="20"/>
              </w:rPr>
            </w:pPr>
            <w:r w:rsidRPr="00236907">
              <w:rPr>
                <w:sz w:val="20"/>
                <w:szCs w:val="20"/>
              </w:rPr>
              <w:t>Addresses feedback received from issues paper above.</w:t>
            </w:r>
          </w:p>
        </w:tc>
      </w:tr>
      <w:tr w:rsidR="00B36746" w:rsidRPr="00236907" w14:paraId="41DA98F5" w14:textId="77777777">
        <w:tc>
          <w:tcPr>
            <w:tcW w:w="2203" w:type="pct"/>
            <w:vAlign w:val="top"/>
          </w:tcPr>
          <w:p w14:paraId="29680AA2" w14:textId="595CB0DB" w:rsidR="00B36746" w:rsidRPr="00236907" w:rsidRDefault="00B36746" w:rsidP="00B36746">
            <w:pPr>
              <w:pStyle w:val="Tablebody"/>
              <w:rPr>
                <w:sz w:val="20"/>
                <w:szCs w:val="20"/>
              </w:rPr>
            </w:pPr>
            <w:r w:rsidRPr="00236907">
              <w:rPr>
                <w:sz w:val="20"/>
                <w:szCs w:val="20"/>
              </w:rPr>
              <w:t>Stakeholder feedback on draft Ministerial Guidelines (collated)</w:t>
            </w:r>
          </w:p>
        </w:tc>
        <w:tc>
          <w:tcPr>
            <w:tcW w:w="2797" w:type="pct"/>
            <w:vAlign w:val="top"/>
          </w:tcPr>
          <w:p w14:paraId="176CBEA6" w14:textId="77777777" w:rsidR="00B36746" w:rsidRPr="00236907" w:rsidRDefault="00B36746" w:rsidP="00B36746"/>
        </w:tc>
      </w:tr>
      <w:tr w:rsidR="00B36746" w:rsidRPr="00236907" w14:paraId="6BC326F8" w14:textId="77777777">
        <w:tc>
          <w:tcPr>
            <w:tcW w:w="2203" w:type="pct"/>
            <w:vAlign w:val="top"/>
          </w:tcPr>
          <w:p w14:paraId="63270A6D" w14:textId="40ECB90F" w:rsidR="00B36746" w:rsidRPr="00236907" w:rsidRDefault="00B36746" w:rsidP="00B36746">
            <w:r w:rsidRPr="00236907">
              <w:t>Proposed approach to key issues raised during stakeholder consultations</w:t>
            </w:r>
          </w:p>
        </w:tc>
        <w:tc>
          <w:tcPr>
            <w:tcW w:w="2797" w:type="pct"/>
            <w:vAlign w:val="top"/>
          </w:tcPr>
          <w:p w14:paraId="6BC7D1A9" w14:textId="0E842F49" w:rsidR="00B36746" w:rsidRPr="00236907" w:rsidRDefault="00B36746" w:rsidP="00B36746">
            <w:r w:rsidRPr="00236907">
              <w:t xml:space="preserve">Addresses feedback from circulation of draft Ministerial Guidelines to stakeholders. </w:t>
            </w:r>
          </w:p>
        </w:tc>
      </w:tr>
      <w:tr w:rsidR="00B36746" w:rsidRPr="00236907" w14:paraId="5EB5BE1A" w14:textId="77777777" w:rsidTr="00055F00">
        <w:tc>
          <w:tcPr>
            <w:tcW w:w="5000" w:type="pct"/>
            <w:gridSpan w:val="2"/>
          </w:tcPr>
          <w:p w14:paraId="778FB23D" w14:textId="629E2B40" w:rsidR="00B36746" w:rsidRPr="00236907" w:rsidRDefault="00B36746" w:rsidP="00B36746">
            <w:pPr>
              <w:rPr>
                <w:b/>
                <w:bCs/>
              </w:rPr>
            </w:pPr>
            <w:r w:rsidRPr="00236907">
              <w:rPr>
                <w:b/>
                <w:bCs/>
              </w:rPr>
              <w:t>Documents on the use of Scheme</w:t>
            </w:r>
          </w:p>
        </w:tc>
      </w:tr>
      <w:tr w:rsidR="00B36746" w:rsidRPr="00236907" w14:paraId="376C99AB" w14:textId="77777777">
        <w:tc>
          <w:tcPr>
            <w:tcW w:w="2203" w:type="pct"/>
            <w:vAlign w:val="top"/>
          </w:tcPr>
          <w:p w14:paraId="3C8DF1E9" w14:textId="49B4A2CC" w:rsidR="00B36746" w:rsidRPr="00236907" w:rsidRDefault="00B36746" w:rsidP="00B36746">
            <w:pPr>
              <w:pStyle w:val="Tablebody"/>
              <w:rPr>
                <w:sz w:val="20"/>
                <w:szCs w:val="20"/>
              </w:rPr>
            </w:pPr>
            <w:r w:rsidRPr="00236907">
              <w:rPr>
                <w:sz w:val="20"/>
                <w:szCs w:val="20"/>
              </w:rPr>
              <w:t>EduSafe Plus data on orders issued</w:t>
            </w:r>
          </w:p>
        </w:tc>
        <w:tc>
          <w:tcPr>
            <w:tcW w:w="2797" w:type="pct"/>
            <w:vAlign w:val="top"/>
          </w:tcPr>
          <w:p w14:paraId="2C864E0A" w14:textId="03441754" w:rsidR="00B36746" w:rsidRPr="00236907" w:rsidRDefault="00B36746" w:rsidP="00B36746">
            <w:pPr>
              <w:pStyle w:val="Tablebody"/>
              <w:rPr>
                <w:sz w:val="20"/>
                <w:szCs w:val="20"/>
              </w:rPr>
            </w:pPr>
            <w:r w:rsidRPr="00236907">
              <w:rPr>
                <w:sz w:val="20"/>
                <w:szCs w:val="20"/>
              </w:rPr>
              <w:t>Records of each order issued</w:t>
            </w:r>
            <w:r w:rsidR="003A467A" w:rsidRPr="00236907">
              <w:rPr>
                <w:sz w:val="20"/>
                <w:szCs w:val="20"/>
              </w:rPr>
              <w:t xml:space="preserve"> in FY 2022-23 and FY 2023-24.</w:t>
            </w:r>
          </w:p>
        </w:tc>
      </w:tr>
      <w:tr w:rsidR="00B36746" w:rsidRPr="00236907" w14:paraId="2ED73640" w14:textId="77777777">
        <w:tc>
          <w:tcPr>
            <w:tcW w:w="2203" w:type="pct"/>
            <w:vAlign w:val="top"/>
          </w:tcPr>
          <w:p w14:paraId="615F05F5" w14:textId="34AFB805" w:rsidR="00B36746" w:rsidRPr="00236907" w:rsidRDefault="00B36746" w:rsidP="00B36746">
            <w:r w:rsidRPr="00236907">
              <w:t>Internal review proposed decision letters and final decision briefing and letters</w:t>
            </w:r>
          </w:p>
        </w:tc>
        <w:tc>
          <w:tcPr>
            <w:tcW w:w="2797" w:type="pct"/>
            <w:vAlign w:val="top"/>
          </w:tcPr>
          <w:p w14:paraId="15746F1C" w14:textId="62C6712B" w:rsidR="00B36746" w:rsidRPr="00236907" w:rsidRDefault="00B36746" w:rsidP="00B36746">
            <w:pPr>
              <w:pStyle w:val="Tablebody"/>
              <w:rPr>
                <w:sz w:val="20"/>
                <w:szCs w:val="20"/>
              </w:rPr>
            </w:pPr>
            <w:r w:rsidRPr="00236907">
              <w:rPr>
                <w:sz w:val="20"/>
                <w:szCs w:val="20"/>
              </w:rPr>
              <w:t xml:space="preserve">Examples of documents relating the internal review process. </w:t>
            </w:r>
          </w:p>
        </w:tc>
      </w:tr>
      <w:tr w:rsidR="00B36746" w:rsidRPr="00236907" w14:paraId="6240F1C0" w14:textId="77777777">
        <w:tc>
          <w:tcPr>
            <w:tcW w:w="2203" w:type="pct"/>
            <w:vAlign w:val="top"/>
          </w:tcPr>
          <w:p w14:paraId="73EB005A" w14:textId="2DD75437" w:rsidR="00B36746" w:rsidRPr="00236907" w:rsidRDefault="00B36746" w:rsidP="00B36746">
            <w:r w:rsidRPr="00236907">
              <w:t>Data from the Australian principal occupational health and wellbeing survey 2023 relating to the use of the scheme and attitudes towards the scheme</w:t>
            </w:r>
          </w:p>
        </w:tc>
        <w:tc>
          <w:tcPr>
            <w:tcW w:w="2797" w:type="pct"/>
            <w:vAlign w:val="top"/>
          </w:tcPr>
          <w:p w14:paraId="19796C6B" w14:textId="30D49E89" w:rsidR="00B36746" w:rsidRPr="00236907" w:rsidRDefault="00B36746" w:rsidP="00B36746">
            <w:r w:rsidRPr="00236907">
              <w:t>Survey results of school leaders’ knowledge and experience of the scheme conducted by the Australian Catholic University.</w:t>
            </w:r>
          </w:p>
        </w:tc>
      </w:tr>
      <w:tr w:rsidR="00B36746" w:rsidRPr="00236907" w14:paraId="7A80A585" w14:textId="77777777">
        <w:tc>
          <w:tcPr>
            <w:tcW w:w="2203" w:type="pct"/>
            <w:vAlign w:val="top"/>
          </w:tcPr>
          <w:p w14:paraId="33357CEA" w14:textId="77777777" w:rsidR="00B36746" w:rsidRPr="00236907" w:rsidRDefault="00B36746" w:rsidP="00B36746">
            <w:pPr>
              <w:pStyle w:val="Tablebody"/>
              <w:rPr>
                <w:sz w:val="20"/>
                <w:szCs w:val="20"/>
              </w:rPr>
            </w:pPr>
            <w:r w:rsidRPr="00236907">
              <w:rPr>
                <w:sz w:val="20"/>
                <w:szCs w:val="20"/>
              </w:rPr>
              <w:t xml:space="preserve">Annual report from the Secretary to the Minister on the use of school community safety orders. </w:t>
            </w:r>
          </w:p>
          <w:p w14:paraId="260286ED" w14:textId="0F7087CA" w:rsidR="00D33EE3" w:rsidRPr="00236907" w:rsidRDefault="00B36746" w:rsidP="001618CA">
            <w:pPr>
              <w:pStyle w:val="Tablebody"/>
              <w:numPr>
                <w:ilvl w:val="0"/>
                <w:numId w:val="47"/>
              </w:numPr>
              <w:rPr>
                <w:sz w:val="20"/>
                <w:szCs w:val="20"/>
              </w:rPr>
            </w:pPr>
            <w:r w:rsidRPr="00236907">
              <w:rPr>
                <w:sz w:val="20"/>
                <w:szCs w:val="20"/>
              </w:rPr>
              <w:t>22/23 FY</w:t>
            </w:r>
          </w:p>
          <w:p w14:paraId="3E970B92" w14:textId="4D013E55" w:rsidR="00B36746" w:rsidRPr="00D33EE3" w:rsidRDefault="00B36746" w:rsidP="00B36746">
            <w:pPr>
              <w:pStyle w:val="Tablebody"/>
              <w:numPr>
                <w:ilvl w:val="0"/>
                <w:numId w:val="47"/>
              </w:numPr>
            </w:pPr>
            <w:r w:rsidRPr="00D33EE3">
              <w:t>23/24 FY</w:t>
            </w:r>
          </w:p>
        </w:tc>
        <w:tc>
          <w:tcPr>
            <w:tcW w:w="2797" w:type="pct"/>
            <w:vAlign w:val="top"/>
          </w:tcPr>
          <w:p w14:paraId="43A3B5C2" w14:textId="38B5E7D2" w:rsidR="00B36746" w:rsidRPr="00236907" w:rsidRDefault="00B36746" w:rsidP="00B36746">
            <w:r w:rsidRPr="00236907">
              <w:t xml:space="preserve">Report to the Minister of Education to acquit reporting requirements under paragraph 338 of the </w:t>
            </w:r>
            <w:hyperlink r:id="rId27" w:history="1">
              <w:r w:rsidRPr="00236907">
                <w:rPr>
                  <w:rStyle w:val="Hyperlink"/>
                  <w:color w:val="auto"/>
                  <w:u w:val="none"/>
                </w:rPr>
                <w:t>Ministerial Guidelines</w:t>
              </w:r>
            </w:hyperlink>
            <w:r w:rsidRPr="00236907">
              <w:t xml:space="preserve">. </w:t>
            </w:r>
          </w:p>
        </w:tc>
      </w:tr>
      <w:tr w:rsidR="00B36746" w:rsidRPr="00236907" w14:paraId="40DF5721" w14:textId="77777777">
        <w:tc>
          <w:tcPr>
            <w:tcW w:w="2203" w:type="pct"/>
            <w:vAlign w:val="top"/>
          </w:tcPr>
          <w:p w14:paraId="10E010D7" w14:textId="3A7583FF" w:rsidR="00B36746" w:rsidRPr="00236907" w:rsidRDefault="00B36746" w:rsidP="00B36746">
            <w:hyperlink r:id="rId28" w:history="1">
              <w:r w:rsidRPr="00236907">
                <w:rPr>
                  <w:rStyle w:val="Hyperlink"/>
                  <w:color w:val="auto"/>
                  <w:u w:val="none"/>
                </w:rPr>
                <w:t>School community safety order policy and guidance</w:t>
              </w:r>
            </w:hyperlink>
          </w:p>
        </w:tc>
        <w:tc>
          <w:tcPr>
            <w:tcW w:w="2797" w:type="pct"/>
            <w:vAlign w:val="top"/>
          </w:tcPr>
          <w:p w14:paraId="7EF2BA3B" w14:textId="77777777" w:rsidR="00B36746" w:rsidRPr="00236907" w:rsidRDefault="00B36746" w:rsidP="00B36746"/>
        </w:tc>
      </w:tr>
      <w:tr w:rsidR="00B36746" w:rsidRPr="00236907" w14:paraId="52E3E704" w14:textId="77777777" w:rsidTr="00BB2ED5">
        <w:tc>
          <w:tcPr>
            <w:tcW w:w="5000" w:type="pct"/>
            <w:gridSpan w:val="2"/>
          </w:tcPr>
          <w:p w14:paraId="62EA55A1" w14:textId="7272540E" w:rsidR="00B36746" w:rsidRPr="00236907" w:rsidRDefault="00B36746" w:rsidP="00B36746">
            <w:pPr>
              <w:rPr>
                <w:b/>
                <w:bCs/>
              </w:rPr>
            </w:pPr>
            <w:r w:rsidRPr="00236907">
              <w:rPr>
                <w:b/>
                <w:bCs/>
              </w:rPr>
              <w:t>Delegations and authorisations</w:t>
            </w:r>
          </w:p>
        </w:tc>
      </w:tr>
      <w:tr w:rsidR="00B36746" w:rsidRPr="00236907" w14:paraId="4D456E4A" w14:textId="77777777">
        <w:tc>
          <w:tcPr>
            <w:tcW w:w="2203" w:type="pct"/>
            <w:vAlign w:val="top"/>
          </w:tcPr>
          <w:p w14:paraId="27DCB040" w14:textId="002EAC2C" w:rsidR="00B36746" w:rsidRPr="00236907" w:rsidRDefault="00B36746" w:rsidP="00B36746">
            <w:r w:rsidRPr="00236907">
              <w:t>2024-A17 Secretary's SCSO Scheme ETRA authorisations</w:t>
            </w:r>
          </w:p>
        </w:tc>
        <w:tc>
          <w:tcPr>
            <w:tcW w:w="2797" w:type="pct"/>
          </w:tcPr>
          <w:p w14:paraId="586246DD" w14:textId="71AEE270" w:rsidR="00B36746" w:rsidRPr="00236907" w:rsidRDefault="00B36746" w:rsidP="00B36746">
            <w:r w:rsidRPr="00236907">
              <w:t>Authorisations relating to the Scheme.</w:t>
            </w:r>
          </w:p>
        </w:tc>
      </w:tr>
      <w:tr w:rsidR="00B36746" w:rsidRPr="00236907" w14:paraId="17725137" w14:textId="77777777">
        <w:tc>
          <w:tcPr>
            <w:tcW w:w="2203" w:type="pct"/>
            <w:vAlign w:val="top"/>
          </w:tcPr>
          <w:p w14:paraId="242F607B" w14:textId="198FC9A3" w:rsidR="00B36746" w:rsidRPr="00236907" w:rsidRDefault="00B36746" w:rsidP="00B36746">
            <w:r w:rsidRPr="00236907">
              <w:t>2024-D10 Instrument of Delegation - ETRA (ELV dels)</w:t>
            </w:r>
          </w:p>
        </w:tc>
        <w:tc>
          <w:tcPr>
            <w:tcW w:w="2797" w:type="pct"/>
          </w:tcPr>
          <w:p w14:paraId="489501C9" w14:textId="576B6A4A" w:rsidR="00B36746" w:rsidRPr="00236907" w:rsidRDefault="00B36746" w:rsidP="00B36746">
            <w:r w:rsidRPr="00236907">
              <w:t>Instrument of delegation relating to the Scheme.</w:t>
            </w:r>
          </w:p>
        </w:tc>
      </w:tr>
      <w:tr w:rsidR="00B36746" w:rsidRPr="00236907" w14:paraId="3806CD7A" w14:textId="77777777">
        <w:tc>
          <w:tcPr>
            <w:tcW w:w="2203" w:type="pct"/>
            <w:vAlign w:val="top"/>
          </w:tcPr>
          <w:p w14:paraId="66555C53" w14:textId="3C3727CA" w:rsidR="00B36746" w:rsidRPr="00236907" w:rsidRDefault="00B36746" w:rsidP="00B36746">
            <w:r w:rsidRPr="00236907">
              <w:t>BRI23120771 Sec Instrument of Delegation No. 2023-D04 - ETRA</w:t>
            </w:r>
          </w:p>
        </w:tc>
        <w:tc>
          <w:tcPr>
            <w:tcW w:w="2797" w:type="pct"/>
          </w:tcPr>
          <w:p w14:paraId="73C3C26D" w14:textId="3057F836" w:rsidR="00B36746" w:rsidRPr="00236907" w:rsidRDefault="00B36746" w:rsidP="00B36746">
            <w:r w:rsidRPr="00236907">
              <w:t>Instrument of delegation relating to the Scheme.</w:t>
            </w:r>
          </w:p>
        </w:tc>
      </w:tr>
    </w:tbl>
    <w:p w14:paraId="5E04F58C" w14:textId="77777777" w:rsidR="005010D9" w:rsidRPr="00236907" w:rsidRDefault="005010D9" w:rsidP="005010D9">
      <w:pPr>
        <w:pStyle w:val="Numpara1"/>
        <w:numPr>
          <w:ilvl w:val="0"/>
          <w:numId w:val="0"/>
        </w:numPr>
        <w:rPr>
          <w:iCs/>
        </w:rPr>
      </w:pPr>
    </w:p>
    <w:p w14:paraId="45CB165E" w14:textId="77777777" w:rsidR="005010D9" w:rsidRPr="00236907" w:rsidRDefault="005010D9" w:rsidP="005010D9">
      <w:pPr>
        <w:pStyle w:val="Numpara1"/>
        <w:numPr>
          <w:ilvl w:val="0"/>
          <w:numId w:val="0"/>
        </w:numPr>
        <w:rPr>
          <w:iCs/>
        </w:rPr>
      </w:pPr>
    </w:p>
    <w:p w14:paraId="675E0451" w14:textId="77777777" w:rsidR="005010D9" w:rsidRPr="00236907" w:rsidRDefault="005010D9" w:rsidP="005010D9">
      <w:pPr>
        <w:pStyle w:val="Numpara1"/>
        <w:numPr>
          <w:ilvl w:val="0"/>
          <w:numId w:val="0"/>
        </w:numPr>
        <w:rPr>
          <w:iCs/>
        </w:rPr>
      </w:pPr>
    </w:p>
    <w:p w14:paraId="57B3CEA3" w14:textId="4E4D338B" w:rsidR="006F1BE7" w:rsidRDefault="007D630B" w:rsidP="007D630B">
      <w:pPr>
        <w:pStyle w:val="legalAttachment"/>
        <w:numPr>
          <w:ilvl w:val="0"/>
          <w:numId w:val="0"/>
        </w:numPr>
      </w:pPr>
      <w:bookmarkStart w:id="46" w:name="_Toc210053637"/>
      <w:bookmarkStart w:id="47" w:name="_Toc529092737"/>
      <w:bookmarkStart w:id="48" w:name="_Toc529106886"/>
      <w:bookmarkStart w:id="49" w:name="_Toc529106945"/>
      <w:bookmarkStart w:id="50" w:name="_Toc529205484"/>
      <w:r>
        <w:lastRenderedPageBreak/>
        <w:t xml:space="preserve">Schedule 4 - </w:t>
      </w:r>
      <w:r w:rsidRPr="007D630B">
        <w:t>Summary of Legislative Provisions</w:t>
      </w:r>
      <w:bookmarkEnd w:id="46"/>
    </w:p>
    <w:p w14:paraId="7F705340" w14:textId="77777777" w:rsidR="007D630B" w:rsidRPr="007D630B" w:rsidRDefault="007D630B" w:rsidP="007D630B"/>
    <w:p w14:paraId="3093EB41" w14:textId="69D53C44" w:rsidR="005B2820" w:rsidRPr="00236907" w:rsidRDefault="00862DAC" w:rsidP="006F1BE7">
      <w:pPr>
        <w:spacing w:before="60" w:after="60"/>
        <w:rPr>
          <w:b/>
          <w:bCs/>
          <w:i/>
          <w:iCs/>
        </w:rPr>
      </w:pPr>
      <w:r w:rsidRPr="00236907">
        <w:rPr>
          <w:rFonts w:cs="Times New Roman"/>
          <w:b/>
          <w:bCs/>
          <w:i/>
          <w:iCs/>
          <w:lang w:eastAsia="en-AU"/>
        </w:rPr>
        <w:t>Table summarising</w:t>
      </w:r>
      <w:r w:rsidR="00E911E6" w:rsidRPr="00236907">
        <w:rPr>
          <w:rFonts w:cs="Times New Roman"/>
          <w:b/>
          <w:bCs/>
          <w:i/>
          <w:iCs/>
          <w:lang w:eastAsia="en-AU"/>
        </w:rPr>
        <w:t xml:space="preserve"> relevant</w:t>
      </w:r>
      <w:r w:rsidRPr="00236907">
        <w:rPr>
          <w:rFonts w:cs="Times New Roman"/>
          <w:b/>
          <w:bCs/>
          <w:i/>
          <w:iCs/>
          <w:lang w:eastAsia="en-AU"/>
        </w:rPr>
        <w:t xml:space="preserve"> </w:t>
      </w:r>
      <w:r w:rsidR="005B2820" w:rsidRPr="00236907">
        <w:rPr>
          <w:rFonts w:cs="Times New Roman"/>
          <w:b/>
          <w:bCs/>
          <w:i/>
          <w:iCs/>
          <w:lang w:eastAsia="en-AU"/>
        </w:rPr>
        <w:t xml:space="preserve">legislative </w:t>
      </w:r>
      <w:bookmarkEnd w:id="47"/>
      <w:bookmarkEnd w:id="48"/>
      <w:bookmarkEnd w:id="49"/>
      <w:bookmarkEnd w:id="50"/>
      <w:r w:rsidR="009D6129" w:rsidRPr="00236907">
        <w:rPr>
          <w:rFonts w:cs="Times New Roman"/>
          <w:b/>
          <w:bCs/>
          <w:i/>
          <w:iCs/>
          <w:lang w:eastAsia="en-AU"/>
        </w:rPr>
        <w:t>provisions</w:t>
      </w:r>
    </w:p>
    <w:tbl>
      <w:tblPr>
        <w:tblStyle w:val="MadTabPlumShade"/>
        <w:tblW w:w="9191" w:type="dxa"/>
        <w:jc w:val="center"/>
        <w:tblLook w:val="04A0" w:firstRow="1" w:lastRow="0" w:firstColumn="1" w:lastColumn="0" w:noHBand="0" w:noVBand="1"/>
      </w:tblPr>
      <w:tblGrid>
        <w:gridCol w:w="1395"/>
        <w:gridCol w:w="7796"/>
      </w:tblGrid>
      <w:tr w:rsidR="004D4B5A" w:rsidRPr="00236907" w14:paraId="76EBF77F" w14:textId="77777777" w:rsidTr="004D4B5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91" w:type="dxa"/>
            <w:gridSpan w:val="2"/>
          </w:tcPr>
          <w:p w14:paraId="1EFAAAB0" w14:textId="4D205F14" w:rsidR="004D4B5A" w:rsidRPr="00236907" w:rsidRDefault="004D4B5A" w:rsidP="006A50DE">
            <w:pPr>
              <w:jc w:val="center"/>
              <w:rPr>
                <w:rFonts w:asciiTheme="majorHAnsi" w:hAnsiTheme="majorHAnsi" w:cstheme="majorHAnsi"/>
                <w:bCs/>
                <w:i/>
                <w:iCs/>
              </w:rPr>
            </w:pPr>
            <w:r w:rsidRPr="00236907">
              <w:rPr>
                <w:rFonts w:asciiTheme="majorHAnsi" w:hAnsiTheme="majorHAnsi" w:cstheme="majorHAnsi"/>
                <w:bCs/>
                <w:i/>
                <w:iCs/>
              </w:rPr>
              <w:t xml:space="preserve">Education and Training Reform Act 2006 </w:t>
            </w:r>
            <w:r w:rsidRPr="00236907">
              <w:rPr>
                <w:rFonts w:asciiTheme="majorHAnsi" w:hAnsiTheme="majorHAnsi" w:cstheme="majorHAnsi"/>
                <w:bCs/>
              </w:rPr>
              <w:t>(Vic)</w:t>
            </w:r>
          </w:p>
        </w:tc>
      </w:tr>
      <w:tr w:rsidR="00545F0A" w:rsidRPr="00236907" w14:paraId="2EE8C856" w14:textId="77777777">
        <w:trPr>
          <w:jc w:val="center"/>
        </w:trPr>
        <w:tc>
          <w:tcPr>
            <w:cnfStyle w:val="001000000000" w:firstRow="0" w:lastRow="0" w:firstColumn="1" w:lastColumn="0" w:oddVBand="0" w:evenVBand="0" w:oddHBand="0" w:evenHBand="0" w:firstRowFirstColumn="0" w:firstRowLastColumn="0" w:lastRowFirstColumn="0" w:lastRowLastColumn="0"/>
            <w:tcW w:w="9191" w:type="dxa"/>
            <w:gridSpan w:val="2"/>
          </w:tcPr>
          <w:p w14:paraId="0FF46C3B" w14:textId="324AFC48" w:rsidR="00545F0A" w:rsidRPr="00236907" w:rsidRDefault="0093745A" w:rsidP="006A50DE">
            <w:pPr>
              <w:spacing w:after="144"/>
              <w:rPr>
                <w:rFonts w:asciiTheme="majorHAnsi" w:hAnsiTheme="majorHAnsi" w:cstheme="majorHAnsi"/>
                <w:bCs/>
              </w:rPr>
            </w:pPr>
            <w:r w:rsidRPr="00236907">
              <w:rPr>
                <w:rFonts w:asciiTheme="majorHAnsi" w:hAnsiTheme="majorHAnsi" w:cstheme="majorHAnsi"/>
                <w:bCs/>
              </w:rPr>
              <w:t>Division 1—General provisions relating to school community safety orders</w:t>
            </w:r>
          </w:p>
        </w:tc>
      </w:tr>
      <w:tr w:rsidR="004D4B5A" w:rsidRPr="00236907" w14:paraId="2CA124AA" w14:textId="77777777" w:rsidTr="009F64B2">
        <w:trPr>
          <w:jc w:val="center"/>
        </w:trPr>
        <w:tc>
          <w:tcPr>
            <w:cnfStyle w:val="001000000000" w:firstRow="0" w:lastRow="0" w:firstColumn="1" w:lastColumn="0" w:oddVBand="0" w:evenVBand="0" w:oddHBand="0" w:evenHBand="0" w:firstRowFirstColumn="0" w:firstRowLastColumn="0" w:lastRowFirstColumn="0" w:lastRowLastColumn="0"/>
            <w:tcW w:w="1395" w:type="dxa"/>
          </w:tcPr>
          <w:p w14:paraId="5582A777" w14:textId="65C2C5FE" w:rsidR="004D4B5A" w:rsidRPr="00236907" w:rsidRDefault="00394CA5" w:rsidP="006A50DE">
            <w:pPr>
              <w:spacing w:after="144"/>
              <w:rPr>
                <w:rFonts w:asciiTheme="majorHAnsi" w:hAnsiTheme="majorHAnsi" w:cstheme="majorHAnsi"/>
                <w:iCs/>
              </w:rPr>
            </w:pPr>
            <w:r w:rsidRPr="00236907">
              <w:rPr>
                <w:rFonts w:asciiTheme="majorHAnsi" w:hAnsiTheme="majorHAnsi" w:cstheme="majorHAnsi"/>
                <w:iCs/>
              </w:rPr>
              <w:t xml:space="preserve">2.1A.1 </w:t>
            </w:r>
          </w:p>
        </w:tc>
        <w:tc>
          <w:tcPr>
            <w:tcW w:w="7796" w:type="dxa"/>
          </w:tcPr>
          <w:p w14:paraId="105F6277" w14:textId="7C328826" w:rsidR="004D4B5A" w:rsidRPr="00236907" w:rsidRDefault="005B51A2" w:rsidP="006A50DE">
            <w:pPr>
              <w:spacing w:after="14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6907">
              <w:rPr>
                <w:rFonts w:asciiTheme="majorHAnsi" w:hAnsiTheme="majorHAnsi" w:cstheme="majorHAnsi"/>
                <w:iCs/>
              </w:rPr>
              <w:t>Definitions</w:t>
            </w:r>
          </w:p>
        </w:tc>
      </w:tr>
      <w:tr w:rsidR="006652C7" w:rsidRPr="00236907" w14:paraId="23455BD6" w14:textId="77777777" w:rsidTr="009F64B2">
        <w:trPr>
          <w:jc w:val="center"/>
        </w:trPr>
        <w:tc>
          <w:tcPr>
            <w:cnfStyle w:val="001000000000" w:firstRow="0" w:lastRow="0" w:firstColumn="1" w:lastColumn="0" w:oddVBand="0" w:evenVBand="0" w:oddHBand="0" w:evenHBand="0" w:firstRowFirstColumn="0" w:firstRowLastColumn="0" w:lastRowFirstColumn="0" w:lastRowLastColumn="0"/>
            <w:tcW w:w="1395" w:type="dxa"/>
          </w:tcPr>
          <w:p w14:paraId="566E8F48" w14:textId="461DCE73" w:rsidR="006652C7" w:rsidRPr="00236907" w:rsidRDefault="006652C7" w:rsidP="006A50DE">
            <w:pPr>
              <w:spacing w:after="144"/>
              <w:rPr>
                <w:rFonts w:asciiTheme="majorHAnsi" w:hAnsiTheme="majorHAnsi" w:cstheme="majorHAnsi"/>
                <w:iCs/>
              </w:rPr>
            </w:pPr>
            <w:r w:rsidRPr="00236907">
              <w:rPr>
                <w:rFonts w:asciiTheme="majorHAnsi" w:hAnsiTheme="majorHAnsi" w:cstheme="majorHAnsi"/>
                <w:iCs/>
              </w:rPr>
              <w:t xml:space="preserve">2.1A.2 </w:t>
            </w:r>
          </w:p>
        </w:tc>
        <w:tc>
          <w:tcPr>
            <w:tcW w:w="7796" w:type="dxa"/>
          </w:tcPr>
          <w:p w14:paraId="6A7B9D10" w14:textId="0085DEBC" w:rsidR="006652C7" w:rsidRPr="00236907" w:rsidRDefault="005B51A2" w:rsidP="006A50DE">
            <w:pPr>
              <w:spacing w:after="14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r w:rsidRPr="00236907">
              <w:rPr>
                <w:rFonts w:asciiTheme="majorHAnsi" w:hAnsiTheme="majorHAnsi" w:cstheme="majorHAnsi"/>
                <w:iCs/>
              </w:rPr>
              <w:t>Who are authorised persons?</w:t>
            </w:r>
          </w:p>
        </w:tc>
      </w:tr>
      <w:tr w:rsidR="006652C7" w:rsidRPr="00236907" w14:paraId="1BAC2E61" w14:textId="77777777">
        <w:trPr>
          <w:jc w:val="center"/>
        </w:trPr>
        <w:tc>
          <w:tcPr>
            <w:cnfStyle w:val="001000000000" w:firstRow="0" w:lastRow="0" w:firstColumn="1" w:lastColumn="0" w:oddVBand="0" w:evenVBand="0" w:oddHBand="0" w:evenHBand="0" w:firstRowFirstColumn="0" w:firstRowLastColumn="0" w:lastRowFirstColumn="0" w:lastRowLastColumn="0"/>
            <w:tcW w:w="9191" w:type="dxa"/>
            <w:gridSpan w:val="2"/>
          </w:tcPr>
          <w:p w14:paraId="6C80939F" w14:textId="079EDD53" w:rsidR="006652C7" w:rsidRPr="00236907" w:rsidRDefault="00D72A16" w:rsidP="006A50DE">
            <w:pPr>
              <w:spacing w:after="144"/>
              <w:rPr>
                <w:rFonts w:asciiTheme="majorHAnsi" w:hAnsiTheme="majorHAnsi" w:cstheme="majorHAnsi"/>
                <w:bCs/>
              </w:rPr>
            </w:pPr>
            <w:r w:rsidRPr="00236907">
              <w:rPr>
                <w:rFonts w:asciiTheme="majorHAnsi" w:hAnsiTheme="majorHAnsi" w:cstheme="majorHAnsi"/>
                <w:bCs/>
              </w:rPr>
              <w:t>Division 2—Immediate school community safety orders</w:t>
            </w:r>
          </w:p>
        </w:tc>
      </w:tr>
      <w:tr w:rsidR="006652C7" w:rsidRPr="00236907" w14:paraId="149FC3A9" w14:textId="77777777" w:rsidTr="009F64B2">
        <w:trPr>
          <w:jc w:val="center"/>
        </w:trPr>
        <w:tc>
          <w:tcPr>
            <w:cnfStyle w:val="001000000000" w:firstRow="0" w:lastRow="0" w:firstColumn="1" w:lastColumn="0" w:oddVBand="0" w:evenVBand="0" w:oddHBand="0" w:evenHBand="0" w:firstRowFirstColumn="0" w:firstRowLastColumn="0" w:lastRowFirstColumn="0" w:lastRowLastColumn="0"/>
            <w:tcW w:w="1395" w:type="dxa"/>
          </w:tcPr>
          <w:p w14:paraId="293F52C6" w14:textId="5CD26E4F" w:rsidR="006652C7" w:rsidRPr="00236907" w:rsidRDefault="006652C7" w:rsidP="006A50DE">
            <w:pPr>
              <w:spacing w:after="144"/>
              <w:rPr>
                <w:rFonts w:asciiTheme="majorHAnsi" w:hAnsiTheme="majorHAnsi" w:cstheme="majorHAnsi"/>
                <w:iCs/>
              </w:rPr>
            </w:pPr>
            <w:r w:rsidRPr="00236907">
              <w:rPr>
                <w:rFonts w:asciiTheme="majorHAnsi" w:hAnsiTheme="majorHAnsi" w:cstheme="majorHAnsi"/>
                <w:iCs/>
              </w:rPr>
              <w:t xml:space="preserve">2.1A.3 </w:t>
            </w:r>
          </w:p>
        </w:tc>
        <w:tc>
          <w:tcPr>
            <w:tcW w:w="7796" w:type="dxa"/>
          </w:tcPr>
          <w:p w14:paraId="7D572E7F" w14:textId="0FDEC556" w:rsidR="006652C7" w:rsidRPr="00236907" w:rsidRDefault="005B51A2" w:rsidP="006A50DE">
            <w:pPr>
              <w:spacing w:after="14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r w:rsidRPr="00236907">
              <w:rPr>
                <w:rFonts w:asciiTheme="majorHAnsi" w:hAnsiTheme="majorHAnsi" w:cstheme="majorHAnsi"/>
                <w:iCs/>
              </w:rPr>
              <w:t>Authorised person may make immediate order</w:t>
            </w:r>
          </w:p>
        </w:tc>
      </w:tr>
      <w:tr w:rsidR="006652C7" w:rsidRPr="00236907" w14:paraId="5CC74CA4" w14:textId="77777777" w:rsidTr="009F64B2">
        <w:trPr>
          <w:jc w:val="center"/>
        </w:trPr>
        <w:tc>
          <w:tcPr>
            <w:cnfStyle w:val="001000000000" w:firstRow="0" w:lastRow="0" w:firstColumn="1" w:lastColumn="0" w:oddVBand="0" w:evenVBand="0" w:oddHBand="0" w:evenHBand="0" w:firstRowFirstColumn="0" w:firstRowLastColumn="0" w:lastRowFirstColumn="0" w:lastRowLastColumn="0"/>
            <w:tcW w:w="1395" w:type="dxa"/>
          </w:tcPr>
          <w:p w14:paraId="466BFD7A" w14:textId="1EE50FA3" w:rsidR="006652C7" w:rsidRPr="00236907" w:rsidRDefault="005B51A2" w:rsidP="006A50DE">
            <w:pPr>
              <w:spacing w:after="144"/>
              <w:rPr>
                <w:rFonts w:asciiTheme="majorHAnsi" w:hAnsiTheme="majorHAnsi" w:cstheme="majorHAnsi"/>
                <w:iCs/>
              </w:rPr>
            </w:pPr>
            <w:r w:rsidRPr="00236907">
              <w:rPr>
                <w:rFonts w:asciiTheme="majorHAnsi" w:hAnsiTheme="majorHAnsi" w:cstheme="majorHAnsi"/>
                <w:iCs/>
              </w:rPr>
              <w:t xml:space="preserve">2.1A.4 </w:t>
            </w:r>
          </w:p>
        </w:tc>
        <w:tc>
          <w:tcPr>
            <w:tcW w:w="7796" w:type="dxa"/>
          </w:tcPr>
          <w:p w14:paraId="37E81055" w14:textId="54959005" w:rsidR="006652C7" w:rsidRPr="00236907" w:rsidRDefault="005B51A2" w:rsidP="006A50DE">
            <w:pPr>
              <w:spacing w:after="14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r w:rsidRPr="00236907">
              <w:rPr>
                <w:rFonts w:asciiTheme="majorHAnsi" w:hAnsiTheme="majorHAnsi" w:cstheme="majorHAnsi"/>
                <w:iCs/>
              </w:rPr>
              <w:t>Process for giving immediate order</w:t>
            </w:r>
          </w:p>
        </w:tc>
      </w:tr>
      <w:tr w:rsidR="00C365B3" w:rsidRPr="00236907" w14:paraId="4F7239E8" w14:textId="77777777" w:rsidTr="009F64B2">
        <w:trPr>
          <w:jc w:val="center"/>
        </w:trPr>
        <w:tc>
          <w:tcPr>
            <w:cnfStyle w:val="001000000000" w:firstRow="0" w:lastRow="0" w:firstColumn="1" w:lastColumn="0" w:oddVBand="0" w:evenVBand="0" w:oddHBand="0" w:evenHBand="0" w:firstRowFirstColumn="0" w:firstRowLastColumn="0" w:lastRowFirstColumn="0" w:lastRowLastColumn="0"/>
            <w:tcW w:w="1395" w:type="dxa"/>
            <w:vAlign w:val="top"/>
          </w:tcPr>
          <w:p w14:paraId="3C3CF6A2" w14:textId="6859A19A" w:rsidR="00C365B3" w:rsidRPr="00236907" w:rsidRDefault="00C365B3" w:rsidP="00C365B3">
            <w:pPr>
              <w:spacing w:after="144"/>
              <w:rPr>
                <w:rFonts w:asciiTheme="majorHAnsi" w:hAnsiTheme="majorHAnsi" w:cstheme="majorHAnsi"/>
                <w:iCs/>
              </w:rPr>
            </w:pPr>
            <w:r w:rsidRPr="00236907">
              <w:rPr>
                <w:rFonts w:asciiTheme="majorHAnsi" w:hAnsiTheme="majorHAnsi" w:cstheme="majorHAnsi"/>
                <w:iCs/>
              </w:rPr>
              <w:t>2.1A.5</w:t>
            </w:r>
          </w:p>
        </w:tc>
        <w:tc>
          <w:tcPr>
            <w:tcW w:w="7796" w:type="dxa"/>
          </w:tcPr>
          <w:p w14:paraId="09CE6E82" w14:textId="398488AA" w:rsidR="00C365B3" w:rsidRPr="00236907" w:rsidRDefault="00C365B3" w:rsidP="00C365B3">
            <w:pPr>
              <w:spacing w:after="14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6907">
              <w:rPr>
                <w:rFonts w:asciiTheme="majorHAnsi" w:hAnsiTheme="majorHAnsi" w:cstheme="majorHAnsi"/>
                <w:bCs/>
              </w:rPr>
              <w:t>Grounds and other requirements for making immediate order</w:t>
            </w:r>
          </w:p>
        </w:tc>
      </w:tr>
      <w:tr w:rsidR="00C365B3" w:rsidRPr="00236907" w14:paraId="6C60162A" w14:textId="77777777" w:rsidTr="009F64B2">
        <w:trPr>
          <w:jc w:val="center"/>
        </w:trPr>
        <w:tc>
          <w:tcPr>
            <w:cnfStyle w:val="001000000000" w:firstRow="0" w:lastRow="0" w:firstColumn="1" w:lastColumn="0" w:oddVBand="0" w:evenVBand="0" w:oddHBand="0" w:evenHBand="0" w:firstRowFirstColumn="0" w:firstRowLastColumn="0" w:lastRowFirstColumn="0" w:lastRowLastColumn="0"/>
            <w:tcW w:w="1395" w:type="dxa"/>
            <w:vAlign w:val="top"/>
          </w:tcPr>
          <w:p w14:paraId="65CD3C7F" w14:textId="5D2DB5D7" w:rsidR="00C365B3" w:rsidRPr="00236907" w:rsidRDefault="00C365B3" w:rsidP="00C365B3">
            <w:pPr>
              <w:spacing w:after="144"/>
              <w:rPr>
                <w:rFonts w:asciiTheme="majorHAnsi" w:hAnsiTheme="majorHAnsi" w:cstheme="majorHAnsi"/>
                <w:iCs/>
              </w:rPr>
            </w:pPr>
            <w:r w:rsidRPr="00236907">
              <w:rPr>
                <w:rFonts w:asciiTheme="majorHAnsi" w:hAnsiTheme="majorHAnsi" w:cstheme="majorHAnsi"/>
                <w:iCs/>
              </w:rPr>
              <w:t>2.1A.6</w:t>
            </w:r>
          </w:p>
        </w:tc>
        <w:tc>
          <w:tcPr>
            <w:tcW w:w="7796" w:type="dxa"/>
          </w:tcPr>
          <w:p w14:paraId="0D96C715" w14:textId="5417B4A2" w:rsidR="00C365B3" w:rsidRPr="00236907" w:rsidRDefault="00C365B3" w:rsidP="00C365B3">
            <w:pPr>
              <w:spacing w:after="14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6907">
              <w:rPr>
                <w:rFonts w:asciiTheme="majorHAnsi" w:hAnsiTheme="majorHAnsi" w:cstheme="majorHAnsi"/>
                <w:bCs/>
              </w:rPr>
              <w:t>Coming into effect of immediate order</w:t>
            </w:r>
          </w:p>
        </w:tc>
      </w:tr>
      <w:tr w:rsidR="00C365B3" w:rsidRPr="00236907" w14:paraId="17EE9968" w14:textId="77777777" w:rsidTr="009F64B2">
        <w:trPr>
          <w:jc w:val="center"/>
        </w:trPr>
        <w:tc>
          <w:tcPr>
            <w:cnfStyle w:val="001000000000" w:firstRow="0" w:lastRow="0" w:firstColumn="1" w:lastColumn="0" w:oddVBand="0" w:evenVBand="0" w:oddHBand="0" w:evenHBand="0" w:firstRowFirstColumn="0" w:firstRowLastColumn="0" w:lastRowFirstColumn="0" w:lastRowLastColumn="0"/>
            <w:tcW w:w="1395" w:type="dxa"/>
            <w:vAlign w:val="top"/>
          </w:tcPr>
          <w:p w14:paraId="3111C26A" w14:textId="657AC68B" w:rsidR="00C365B3" w:rsidRPr="00236907" w:rsidRDefault="00C365B3" w:rsidP="00C365B3">
            <w:pPr>
              <w:spacing w:after="144"/>
              <w:rPr>
                <w:rFonts w:asciiTheme="majorHAnsi" w:hAnsiTheme="majorHAnsi" w:cstheme="majorHAnsi"/>
                <w:iCs/>
              </w:rPr>
            </w:pPr>
            <w:r w:rsidRPr="00236907">
              <w:rPr>
                <w:rFonts w:asciiTheme="majorHAnsi" w:hAnsiTheme="majorHAnsi" w:cstheme="majorHAnsi"/>
                <w:iCs/>
              </w:rPr>
              <w:t>2.1A.7</w:t>
            </w:r>
          </w:p>
        </w:tc>
        <w:tc>
          <w:tcPr>
            <w:tcW w:w="7796" w:type="dxa"/>
          </w:tcPr>
          <w:p w14:paraId="115C2B1C" w14:textId="206A2A02" w:rsidR="00C365B3" w:rsidRPr="00236907" w:rsidRDefault="00C365B3" w:rsidP="00C365B3">
            <w:pPr>
              <w:spacing w:after="14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6907">
              <w:rPr>
                <w:rFonts w:asciiTheme="majorHAnsi" w:hAnsiTheme="majorHAnsi" w:cstheme="majorHAnsi"/>
                <w:bCs/>
              </w:rPr>
              <w:t>Matters that must be stated in an immediate order</w:t>
            </w:r>
          </w:p>
        </w:tc>
      </w:tr>
      <w:tr w:rsidR="00B61103" w:rsidRPr="00236907" w14:paraId="2FCEE0E1" w14:textId="77777777" w:rsidTr="009F64B2">
        <w:trPr>
          <w:jc w:val="center"/>
        </w:trPr>
        <w:tc>
          <w:tcPr>
            <w:cnfStyle w:val="001000000000" w:firstRow="0" w:lastRow="0" w:firstColumn="1" w:lastColumn="0" w:oddVBand="0" w:evenVBand="0" w:oddHBand="0" w:evenHBand="0" w:firstRowFirstColumn="0" w:firstRowLastColumn="0" w:lastRowFirstColumn="0" w:lastRowLastColumn="0"/>
            <w:tcW w:w="1395" w:type="dxa"/>
            <w:vAlign w:val="top"/>
          </w:tcPr>
          <w:p w14:paraId="6E16E6C3" w14:textId="579DBDAB" w:rsidR="00B61103" w:rsidRPr="00236907" w:rsidRDefault="00B61103" w:rsidP="00B61103">
            <w:pPr>
              <w:spacing w:after="144"/>
              <w:rPr>
                <w:rFonts w:asciiTheme="majorHAnsi" w:hAnsiTheme="majorHAnsi" w:cstheme="majorHAnsi"/>
                <w:iCs/>
              </w:rPr>
            </w:pPr>
            <w:r w:rsidRPr="00236907">
              <w:rPr>
                <w:rFonts w:asciiTheme="majorHAnsi" w:hAnsiTheme="majorHAnsi" w:cstheme="majorHAnsi"/>
                <w:iCs/>
              </w:rPr>
              <w:t>2.1A.8</w:t>
            </w:r>
          </w:p>
        </w:tc>
        <w:tc>
          <w:tcPr>
            <w:tcW w:w="7796" w:type="dxa"/>
          </w:tcPr>
          <w:p w14:paraId="7F9FC82A" w14:textId="7BDC07F9" w:rsidR="00B61103" w:rsidRPr="00236907" w:rsidRDefault="00B61103" w:rsidP="00B61103">
            <w:pPr>
              <w:spacing w:after="14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6907">
              <w:rPr>
                <w:rFonts w:asciiTheme="majorHAnsi" w:hAnsiTheme="majorHAnsi" w:cstheme="majorHAnsi"/>
                <w:bCs/>
              </w:rPr>
              <w:t>Conditions and other matters for immediate orders</w:t>
            </w:r>
          </w:p>
        </w:tc>
      </w:tr>
      <w:tr w:rsidR="00B61103" w:rsidRPr="00236907" w14:paraId="6E8207D1" w14:textId="77777777" w:rsidTr="009F64B2">
        <w:trPr>
          <w:jc w:val="center"/>
        </w:trPr>
        <w:tc>
          <w:tcPr>
            <w:cnfStyle w:val="001000000000" w:firstRow="0" w:lastRow="0" w:firstColumn="1" w:lastColumn="0" w:oddVBand="0" w:evenVBand="0" w:oddHBand="0" w:evenHBand="0" w:firstRowFirstColumn="0" w:firstRowLastColumn="0" w:lastRowFirstColumn="0" w:lastRowLastColumn="0"/>
            <w:tcW w:w="1395" w:type="dxa"/>
            <w:vAlign w:val="top"/>
          </w:tcPr>
          <w:p w14:paraId="6206E482" w14:textId="74F375F4" w:rsidR="00B61103" w:rsidRPr="00236907" w:rsidRDefault="00B61103" w:rsidP="00B61103">
            <w:pPr>
              <w:spacing w:after="144"/>
              <w:rPr>
                <w:rFonts w:asciiTheme="majorHAnsi" w:hAnsiTheme="majorHAnsi" w:cstheme="majorHAnsi"/>
                <w:iCs/>
              </w:rPr>
            </w:pPr>
            <w:r w:rsidRPr="00236907">
              <w:rPr>
                <w:rFonts w:asciiTheme="majorHAnsi" w:hAnsiTheme="majorHAnsi" w:cstheme="majorHAnsi"/>
                <w:iCs/>
              </w:rPr>
              <w:t>2.1A.9</w:t>
            </w:r>
          </w:p>
        </w:tc>
        <w:tc>
          <w:tcPr>
            <w:tcW w:w="7796" w:type="dxa"/>
          </w:tcPr>
          <w:p w14:paraId="3D7938BA" w14:textId="4BC5B917" w:rsidR="00B61103" w:rsidRPr="00236907" w:rsidRDefault="00B61103" w:rsidP="00B61103">
            <w:pPr>
              <w:spacing w:after="14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6907">
              <w:rPr>
                <w:rFonts w:asciiTheme="majorHAnsi" w:hAnsiTheme="majorHAnsi" w:cstheme="majorHAnsi"/>
                <w:bCs/>
              </w:rPr>
              <w:t>Duration of immediate orders</w:t>
            </w:r>
          </w:p>
        </w:tc>
      </w:tr>
      <w:tr w:rsidR="00B61103" w:rsidRPr="00236907" w14:paraId="1D970026" w14:textId="77777777" w:rsidTr="009F64B2">
        <w:trPr>
          <w:jc w:val="center"/>
        </w:trPr>
        <w:tc>
          <w:tcPr>
            <w:cnfStyle w:val="001000000000" w:firstRow="0" w:lastRow="0" w:firstColumn="1" w:lastColumn="0" w:oddVBand="0" w:evenVBand="0" w:oddHBand="0" w:evenHBand="0" w:firstRowFirstColumn="0" w:firstRowLastColumn="0" w:lastRowFirstColumn="0" w:lastRowLastColumn="0"/>
            <w:tcW w:w="1395" w:type="dxa"/>
            <w:vAlign w:val="top"/>
          </w:tcPr>
          <w:p w14:paraId="5C1F445E" w14:textId="3390224A" w:rsidR="00B61103" w:rsidRPr="00236907" w:rsidRDefault="00B61103" w:rsidP="00B61103">
            <w:pPr>
              <w:spacing w:after="144"/>
              <w:rPr>
                <w:rFonts w:asciiTheme="majorHAnsi" w:hAnsiTheme="majorHAnsi" w:cstheme="majorHAnsi"/>
                <w:iCs/>
              </w:rPr>
            </w:pPr>
            <w:r w:rsidRPr="00236907">
              <w:rPr>
                <w:rFonts w:asciiTheme="majorHAnsi" w:hAnsiTheme="majorHAnsi" w:cstheme="majorHAnsi"/>
                <w:iCs/>
              </w:rPr>
              <w:t>2.1A.10</w:t>
            </w:r>
          </w:p>
        </w:tc>
        <w:tc>
          <w:tcPr>
            <w:tcW w:w="7796" w:type="dxa"/>
          </w:tcPr>
          <w:p w14:paraId="368EC136" w14:textId="278CE75F" w:rsidR="00B61103" w:rsidRPr="00236907" w:rsidRDefault="00B61103" w:rsidP="00B61103">
            <w:pPr>
              <w:spacing w:after="14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6907">
              <w:rPr>
                <w:rFonts w:asciiTheme="majorHAnsi" w:hAnsiTheme="majorHAnsi" w:cstheme="majorHAnsi"/>
                <w:bCs/>
              </w:rPr>
              <w:t>Revocation of immediate orders</w:t>
            </w:r>
          </w:p>
        </w:tc>
      </w:tr>
      <w:tr w:rsidR="00B61103" w:rsidRPr="00236907" w14:paraId="350C5831" w14:textId="77777777" w:rsidTr="009F64B2">
        <w:trPr>
          <w:jc w:val="center"/>
        </w:trPr>
        <w:tc>
          <w:tcPr>
            <w:cnfStyle w:val="001000000000" w:firstRow="0" w:lastRow="0" w:firstColumn="1" w:lastColumn="0" w:oddVBand="0" w:evenVBand="0" w:oddHBand="0" w:evenHBand="0" w:firstRowFirstColumn="0" w:firstRowLastColumn="0" w:lastRowFirstColumn="0" w:lastRowLastColumn="0"/>
            <w:tcW w:w="1395" w:type="dxa"/>
            <w:vAlign w:val="top"/>
          </w:tcPr>
          <w:p w14:paraId="5DEB1528" w14:textId="0C96C637" w:rsidR="00B61103" w:rsidRPr="00236907" w:rsidRDefault="00B61103" w:rsidP="00B61103">
            <w:pPr>
              <w:spacing w:after="144"/>
              <w:rPr>
                <w:rFonts w:asciiTheme="majorHAnsi" w:hAnsiTheme="majorHAnsi" w:cstheme="majorHAnsi"/>
                <w:iCs/>
              </w:rPr>
            </w:pPr>
            <w:r w:rsidRPr="00236907">
              <w:rPr>
                <w:rFonts w:asciiTheme="majorHAnsi" w:hAnsiTheme="majorHAnsi" w:cstheme="majorHAnsi"/>
                <w:iCs/>
              </w:rPr>
              <w:t>2.1A.11</w:t>
            </w:r>
          </w:p>
        </w:tc>
        <w:tc>
          <w:tcPr>
            <w:tcW w:w="7796" w:type="dxa"/>
          </w:tcPr>
          <w:p w14:paraId="1E977FBE" w14:textId="2B36038B" w:rsidR="00B61103" w:rsidRPr="00236907" w:rsidRDefault="00B61103" w:rsidP="00B61103">
            <w:pPr>
              <w:spacing w:after="14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6907">
              <w:rPr>
                <w:rFonts w:asciiTheme="majorHAnsi" w:hAnsiTheme="majorHAnsi" w:cstheme="majorHAnsi"/>
                <w:bCs/>
              </w:rPr>
              <w:t>Person to whom immediate order applies may make submissions to authorised person</w:t>
            </w:r>
          </w:p>
        </w:tc>
      </w:tr>
      <w:tr w:rsidR="00B61103" w:rsidRPr="00236907" w14:paraId="5B79DFA7" w14:textId="77777777" w:rsidTr="009F64B2">
        <w:trPr>
          <w:jc w:val="center"/>
        </w:trPr>
        <w:tc>
          <w:tcPr>
            <w:cnfStyle w:val="001000000000" w:firstRow="0" w:lastRow="0" w:firstColumn="1" w:lastColumn="0" w:oddVBand="0" w:evenVBand="0" w:oddHBand="0" w:evenHBand="0" w:firstRowFirstColumn="0" w:firstRowLastColumn="0" w:lastRowFirstColumn="0" w:lastRowLastColumn="0"/>
            <w:tcW w:w="1395" w:type="dxa"/>
            <w:vAlign w:val="top"/>
          </w:tcPr>
          <w:p w14:paraId="029B20A0" w14:textId="327D7929" w:rsidR="00B61103" w:rsidRPr="00236907" w:rsidRDefault="00B61103" w:rsidP="00B61103">
            <w:pPr>
              <w:spacing w:after="144"/>
              <w:rPr>
                <w:rFonts w:asciiTheme="majorHAnsi" w:hAnsiTheme="majorHAnsi" w:cstheme="majorHAnsi"/>
                <w:iCs/>
              </w:rPr>
            </w:pPr>
            <w:r w:rsidRPr="00236907">
              <w:rPr>
                <w:rFonts w:asciiTheme="majorHAnsi" w:hAnsiTheme="majorHAnsi" w:cstheme="majorHAnsi"/>
                <w:iCs/>
              </w:rPr>
              <w:t>2.1A.12</w:t>
            </w:r>
          </w:p>
        </w:tc>
        <w:tc>
          <w:tcPr>
            <w:tcW w:w="7796" w:type="dxa"/>
          </w:tcPr>
          <w:p w14:paraId="143F4D01" w14:textId="413AA7B3" w:rsidR="00B61103" w:rsidRPr="00236907" w:rsidRDefault="00B61103" w:rsidP="00B61103">
            <w:pPr>
              <w:spacing w:after="14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6907">
              <w:rPr>
                <w:rFonts w:asciiTheme="majorHAnsi" w:hAnsiTheme="majorHAnsi" w:cstheme="majorHAnsi"/>
                <w:bCs/>
              </w:rPr>
              <w:t>Review of immediate order</w:t>
            </w:r>
          </w:p>
        </w:tc>
      </w:tr>
      <w:tr w:rsidR="00B61103" w:rsidRPr="00236907" w14:paraId="26936B39" w14:textId="77777777" w:rsidTr="009F64B2">
        <w:trPr>
          <w:jc w:val="center"/>
        </w:trPr>
        <w:tc>
          <w:tcPr>
            <w:cnfStyle w:val="001000000000" w:firstRow="0" w:lastRow="0" w:firstColumn="1" w:lastColumn="0" w:oddVBand="0" w:evenVBand="0" w:oddHBand="0" w:evenHBand="0" w:firstRowFirstColumn="0" w:firstRowLastColumn="0" w:lastRowFirstColumn="0" w:lastRowLastColumn="0"/>
            <w:tcW w:w="1395" w:type="dxa"/>
            <w:vAlign w:val="top"/>
          </w:tcPr>
          <w:p w14:paraId="19E5E0FC" w14:textId="2990148D" w:rsidR="00B61103" w:rsidRPr="00236907" w:rsidRDefault="00B61103" w:rsidP="00B61103">
            <w:pPr>
              <w:spacing w:after="144"/>
              <w:rPr>
                <w:rFonts w:asciiTheme="majorHAnsi" w:hAnsiTheme="majorHAnsi" w:cstheme="majorHAnsi"/>
                <w:iCs/>
              </w:rPr>
            </w:pPr>
            <w:r w:rsidRPr="00236907">
              <w:rPr>
                <w:rFonts w:asciiTheme="majorHAnsi" w:hAnsiTheme="majorHAnsi" w:cstheme="majorHAnsi"/>
                <w:iCs/>
              </w:rPr>
              <w:t>2.1A.13</w:t>
            </w:r>
          </w:p>
        </w:tc>
        <w:tc>
          <w:tcPr>
            <w:tcW w:w="7796" w:type="dxa"/>
          </w:tcPr>
          <w:p w14:paraId="22F4DB72" w14:textId="3F637294" w:rsidR="00B61103" w:rsidRPr="00236907" w:rsidRDefault="00B61103" w:rsidP="00B61103">
            <w:pPr>
              <w:spacing w:after="14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6907">
              <w:rPr>
                <w:rFonts w:asciiTheme="majorHAnsi" w:hAnsiTheme="majorHAnsi" w:cstheme="majorHAnsi"/>
                <w:bCs/>
              </w:rPr>
              <w:t>Communication and access arrangements</w:t>
            </w:r>
          </w:p>
        </w:tc>
      </w:tr>
      <w:tr w:rsidR="00B61103" w:rsidRPr="00236907" w14:paraId="51316246" w14:textId="77777777" w:rsidTr="009F64B2">
        <w:trPr>
          <w:jc w:val="center"/>
        </w:trPr>
        <w:tc>
          <w:tcPr>
            <w:cnfStyle w:val="001000000000" w:firstRow="0" w:lastRow="0" w:firstColumn="1" w:lastColumn="0" w:oddVBand="0" w:evenVBand="0" w:oddHBand="0" w:evenHBand="0" w:firstRowFirstColumn="0" w:firstRowLastColumn="0" w:lastRowFirstColumn="0" w:lastRowLastColumn="0"/>
            <w:tcW w:w="1395" w:type="dxa"/>
            <w:vAlign w:val="top"/>
          </w:tcPr>
          <w:p w14:paraId="69BCA9F8" w14:textId="464ECCB2" w:rsidR="00B61103" w:rsidRPr="00236907" w:rsidRDefault="00B61103" w:rsidP="00B61103">
            <w:pPr>
              <w:spacing w:after="144"/>
              <w:rPr>
                <w:rFonts w:asciiTheme="majorHAnsi" w:hAnsiTheme="majorHAnsi" w:cstheme="majorHAnsi"/>
                <w:iCs/>
              </w:rPr>
            </w:pPr>
            <w:r w:rsidRPr="00236907">
              <w:rPr>
                <w:rFonts w:asciiTheme="majorHAnsi" w:hAnsiTheme="majorHAnsi" w:cstheme="majorHAnsi"/>
                <w:iCs/>
              </w:rPr>
              <w:t>2.1A.14</w:t>
            </w:r>
          </w:p>
        </w:tc>
        <w:tc>
          <w:tcPr>
            <w:tcW w:w="7796" w:type="dxa"/>
          </w:tcPr>
          <w:p w14:paraId="05D1803D" w14:textId="0EE38E07" w:rsidR="00B61103" w:rsidRPr="00236907" w:rsidRDefault="00B61103" w:rsidP="00B61103">
            <w:pPr>
              <w:spacing w:after="14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6907">
              <w:rPr>
                <w:rFonts w:asciiTheme="majorHAnsi" w:hAnsiTheme="majorHAnsi" w:cstheme="majorHAnsi"/>
                <w:bCs/>
              </w:rPr>
              <w:t>Contravention of immediate order</w:t>
            </w:r>
          </w:p>
        </w:tc>
      </w:tr>
      <w:tr w:rsidR="009F64B2" w:rsidRPr="00236907" w14:paraId="4F2F5183" w14:textId="77777777">
        <w:trPr>
          <w:jc w:val="center"/>
        </w:trPr>
        <w:tc>
          <w:tcPr>
            <w:cnfStyle w:val="001000000000" w:firstRow="0" w:lastRow="0" w:firstColumn="1" w:lastColumn="0" w:oddVBand="0" w:evenVBand="0" w:oddHBand="0" w:evenHBand="0" w:firstRowFirstColumn="0" w:firstRowLastColumn="0" w:lastRowFirstColumn="0" w:lastRowLastColumn="0"/>
            <w:tcW w:w="9191" w:type="dxa"/>
            <w:gridSpan w:val="2"/>
            <w:vAlign w:val="top"/>
          </w:tcPr>
          <w:p w14:paraId="7EF9C609" w14:textId="779C09A9" w:rsidR="009F64B2" w:rsidRPr="00236907" w:rsidRDefault="009F64B2" w:rsidP="00C365B3">
            <w:pPr>
              <w:spacing w:after="144"/>
              <w:rPr>
                <w:rFonts w:asciiTheme="majorHAnsi" w:hAnsiTheme="majorHAnsi" w:cstheme="majorHAnsi"/>
                <w:bCs/>
              </w:rPr>
            </w:pPr>
            <w:r w:rsidRPr="00236907">
              <w:rPr>
                <w:rFonts w:asciiTheme="majorHAnsi" w:hAnsiTheme="majorHAnsi" w:cstheme="majorHAnsi"/>
                <w:bCs/>
              </w:rPr>
              <w:t>Division 3—Ongoing school community safety orders</w:t>
            </w:r>
          </w:p>
        </w:tc>
      </w:tr>
      <w:tr w:rsidR="009F64B2" w:rsidRPr="00236907" w14:paraId="3F0AD2EF" w14:textId="77777777" w:rsidTr="009F64B2">
        <w:trPr>
          <w:jc w:val="center"/>
        </w:trPr>
        <w:tc>
          <w:tcPr>
            <w:cnfStyle w:val="001000000000" w:firstRow="0" w:lastRow="0" w:firstColumn="1" w:lastColumn="0" w:oddVBand="0" w:evenVBand="0" w:oddHBand="0" w:evenHBand="0" w:firstRowFirstColumn="0" w:firstRowLastColumn="0" w:lastRowFirstColumn="0" w:lastRowLastColumn="0"/>
            <w:tcW w:w="1395" w:type="dxa"/>
            <w:vAlign w:val="top"/>
          </w:tcPr>
          <w:p w14:paraId="1B433C5E" w14:textId="099E7198" w:rsidR="009F64B2" w:rsidRPr="00236907" w:rsidRDefault="007F5892" w:rsidP="00C365B3">
            <w:pPr>
              <w:spacing w:after="144"/>
              <w:rPr>
                <w:rFonts w:asciiTheme="majorHAnsi" w:hAnsiTheme="majorHAnsi" w:cstheme="majorHAnsi"/>
                <w:iCs/>
              </w:rPr>
            </w:pPr>
            <w:r w:rsidRPr="00236907">
              <w:rPr>
                <w:rFonts w:asciiTheme="majorHAnsi" w:hAnsiTheme="majorHAnsi" w:cstheme="majorHAnsi"/>
                <w:iCs/>
              </w:rPr>
              <w:t>2.1A.15</w:t>
            </w:r>
          </w:p>
        </w:tc>
        <w:tc>
          <w:tcPr>
            <w:tcW w:w="7796" w:type="dxa"/>
          </w:tcPr>
          <w:p w14:paraId="7D6FA49B" w14:textId="4A69461D" w:rsidR="009F64B2" w:rsidRPr="00236907" w:rsidRDefault="00C748A9" w:rsidP="00C365B3">
            <w:pPr>
              <w:spacing w:after="14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6907">
              <w:rPr>
                <w:rFonts w:asciiTheme="majorHAnsi" w:hAnsiTheme="majorHAnsi" w:cstheme="majorHAnsi"/>
                <w:bCs/>
              </w:rPr>
              <w:t>Authorised person may make ongoing order</w:t>
            </w:r>
          </w:p>
        </w:tc>
      </w:tr>
      <w:tr w:rsidR="007F5892" w:rsidRPr="00236907" w14:paraId="06E27281" w14:textId="77777777" w:rsidTr="009F64B2">
        <w:trPr>
          <w:jc w:val="center"/>
        </w:trPr>
        <w:tc>
          <w:tcPr>
            <w:cnfStyle w:val="001000000000" w:firstRow="0" w:lastRow="0" w:firstColumn="1" w:lastColumn="0" w:oddVBand="0" w:evenVBand="0" w:oddHBand="0" w:evenHBand="0" w:firstRowFirstColumn="0" w:firstRowLastColumn="0" w:lastRowFirstColumn="0" w:lastRowLastColumn="0"/>
            <w:tcW w:w="1395" w:type="dxa"/>
            <w:vAlign w:val="top"/>
          </w:tcPr>
          <w:p w14:paraId="7BD5EBE6" w14:textId="6E5BF743" w:rsidR="007F5892" w:rsidRPr="00236907" w:rsidRDefault="007F5892" w:rsidP="007F5892">
            <w:pPr>
              <w:spacing w:after="144"/>
              <w:rPr>
                <w:rFonts w:asciiTheme="majorHAnsi" w:hAnsiTheme="majorHAnsi" w:cstheme="majorHAnsi"/>
                <w:iCs/>
              </w:rPr>
            </w:pPr>
            <w:r w:rsidRPr="00236907">
              <w:rPr>
                <w:rFonts w:asciiTheme="majorHAnsi" w:hAnsiTheme="majorHAnsi" w:cstheme="majorHAnsi"/>
                <w:iCs/>
              </w:rPr>
              <w:t>2.1A.16</w:t>
            </w:r>
          </w:p>
        </w:tc>
        <w:tc>
          <w:tcPr>
            <w:tcW w:w="7796" w:type="dxa"/>
          </w:tcPr>
          <w:p w14:paraId="58C7DFD2" w14:textId="7F904922" w:rsidR="007F5892" w:rsidRPr="00236907" w:rsidRDefault="007F5892" w:rsidP="007F5892">
            <w:pPr>
              <w:spacing w:after="14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6907">
              <w:rPr>
                <w:rFonts w:asciiTheme="majorHAnsi" w:hAnsiTheme="majorHAnsi" w:cstheme="majorHAnsi"/>
                <w:bCs/>
              </w:rPr>
              <w:t>Relationship between immediate order and ongoing order</w:t>
            </w:r>
          </w:p>
        </w:tc>
      </w:tr>
      <w:tr w:rsidR="007F5892" w:rsidRPr="00236907" w14:paraId="0D6D73E2" w14:textId="77777777" w:rsidTr="009F64B2">
        <w:trPr>
          <w:jc w:val="center"/>
        </w:trPr>
        <w:tc>
          <w:tcPr>
            <w:cnfStyle w:val="001000000000" w:firstRow="0" w:lastRow="0" w:firstColumn="1" w:lastColumn="0" w:oddVBand="0" w:evenVBand="0" w:oddHBand="0" w:evenHBand="0" w:firstRowFirstColumn="0" w:firstRowLastColumn="0" w:lastRowFirstColumn="0" w:lastRowLastColumn="0"/>
            <w:tcW w:w="1395" w:type="dxa"/>
            <w:vAlign w:val="top"/>
          </w:tcPr>
          <w:p w14:paraId="0E287CBC" w14:textId="30D74AE7" w:rsidR="007F5892" w:rsidRPr="00236907" w:rsidRDefault="007F5892" w:rsidP="007F5892">
            <w:pPr>
              <w:spacing w:after="144"/>
              <w:rPr>
                <w:rFonts w:asciiTheme="majorHAnsi" w:hAnsiTheme="majorHAnsi" w:cstheme="majorHAnsi"/>
                <w:iCs/>
              </w:rPr>
            </w:pPr>
            <w:r w:rsidRPr="00236907">
              <w:rPr>
                <w:rFonts w:asciiTheme="majorHAnsi" w:hAnsiTheme="majorHAnsi" w:cstheme="majorHAnsi"/>
                <w:iCs/>
              </w:rPr>
              <w:t>2.1A.17</w:t>
            </w:r>
          </w:p>
        </w:tc>
        <w:tc>
          <w:tcPr>
            <w:tcW w:w="7796" w:type="dxa"/>
          </w:tcPr>
          <w:p w14:paraId="4245DE49" w14:textId="048656A6" w:rsidR="007F5892" w:rsidRPr="00236907" w:rsidRDefault="007F5892" w:rsidP="007F5892">
            <w:pPr>
              <w:spacing w:after="14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6907">
              <w:rPr>
                <w:rFonts w:asciiTheme="majorHAnsi" w:hAnsiTheme="majorHAnsi" w:cstheme="majorHAnsi"/>
                <w:bCs/>
              </w:rPr>
              <w:t>Grounds and other requirements for making ongoing orders</w:t>
            </w:r>
          </w:p>
        </w:tc>
      </w:tr>
      <w:tr w:rsidR="007F5892" w:rsidRPr="00236907" w14:paraId="2F7ED2C8" w14:textId="77777777" w:rsidTr="009F64B2">
        <w:trPr>
          <w:jc w:val="center"/>
        </w:trPr>
        <w:tc>
          <w:tcPr>
            <w:cnfStyle w:val="001000000000" w:firstRow="0" w:lastRow="0" w:firstColumn="1" w:lastColumn="0" w:oddVBand="0" w:evenVBand="0" w:oddHBand="0" w:evenHBand="0" w:firstRowFirstColumn="0" w:firstRowLastColumn="0" w:lastRowFirstColumn="0" w:lastRowLastColumn="0"/>
            <w:tcW w:w="1395" w:type="dxa"/>
            <w:vAlign w:val="top"/>
          </w:tcPr>
          <w:p w14:paraId="1FEF06EE" w14:textId="04DA7A64" w:rsidR="007F5892" w:rsidRPr="00236907" w:rsidRDefault="007F5892" w:rsidP="007F5892">
            <w:pPr>
              <w:spacing w:after="144"/>
              <w:rPr>
                <w:rFonts w:asciiTheme="majorHAnsi" w:hAnsiTheme="majorHAnsi" w:cstheme="majorHAnsi"/>
                <w:iCs/>
              </w:rPr>
            </w:pPr>
            <w:r w:rsidRPr="00236907">
              <w:rPr>
                <w:rFonts w:asciiTheme="majorHAnsi" w:hAnsiTheme="majorHAnsi" w:cstheme="majorHAnsi"/>
                <w:iCs/>
              </w:rPr>
              <w:t>2.1A.18</w:t>
            </w:r>
          </w:p>
        </w:tc>
        <w:tc>
          <w:tcPr>
            <w:tcW w:w="7796" w:type="dxa"/>
          </w:tcPr>
          <w:p w14:paraId="2FE99827" w14:textId="7A77EAE7" w:rsidR="007F5892" w:rsidRPr="00236907" w:rsidRDefault="007F5892" w:rsidP="007F5892">
            <w:pPr>
              <w:spacing w:after="14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6907">
              <w:rPr>
                <w:rFonts w:asciiTheme="majorHAnsi" w:hAnsiTheme="majorHAnsi" w:cstheme="majorHAnsi"/>
                <w:bCs/>
              </w:rPr>
              <w:t>Process for giving ongoing order</w:t>
            </w:r>
          </w:p>
        </w:tc>
      </w:tr>
      <w:tr w:rsidR="007F5892" w:rsidRPr="00236907" w14:paraId="39994262" w14:textId="77777777" w:rsidTr="009F64B2">
        <w:trPr>
          <w:jc w:val="center"/>
        </w:trPr>
        <w:tc>
          <w:tcPr>
            <w:cnfStyle w:val="001000000000" w:firstRow="0" w:lastRow="0" w:firstColumn="1" w:lastColumn="0" w:oddVBand="0" w:evenVBand="0" w:oddHBand="0" w:evenHBand="0" w:firstRowFirstColumn="0" w:firstRowLastColumn="0" w:lastRowFirstColumn="0" w:lastRowLastColumn="0"/>
            <w:tcW w:w="1395" w:type="dxa"/>
            <w:vAlign w:val="top"/>
          </w:tcPr>
          <w:p w14:paraId="04E454ED" w14:textId="2F7D0848" w:rsidR="007F5892" w:rsidRPr="00236907" w:rsidRDefault="007F5892" w:rsidP="007F5892">
            <w:pPr>
              <w:spacing w:after="144"/>
              <w:rPr>
                <w:rFonts w:asciiTheme="majorHAnsi" w:hAnsiTheme="majorHAnsi" w:cstheme="majorHAnsi"/>
                <w:iCs/>
              </w:rPr>
            </w:pPr>
            <w:r w:rsidRPr="00236907">
              <w:rPr>
                <w:rFonts w:asciiTheme="majorHAnsi" w:hAnsiTheme="majorHAnsi" w:cstheme="majorHAnsi"/>
                <w:iCs/>
              </w:rPr>
              <w:t>2.1A.19</w:t>
            </w:r>
          </w:p>
        </w:tc>
        <w:tc>
          <w:tcPr>
            <w:tcW w:w="7796" w:type="dxa"/>
          </w:tcPr>
          <w:p w14:paraId="469ABEDF" w14:textId="78D3719A" w:rsidR="007F5892" w:rsidRPr="00236907" w:rsidRDefault="007F5892" w:rsidP="007F5892">
            <w:pPr>
              <w:spacing w:after="14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6907">
              <w:rPr>
                <w:rFonts w:asciiTheme="majorHAnsi" w:hAnsiTheme="majorHAnsi" w:cstheme="majorHAnsi"/>
                <w:bCs/>
              </w:rPr>
              <w:t>Coming into effect of ongoing order</w:t>
            </w:r>
          </w:p>
        </w:tc>
      </w:tr>
      <w:tr w:rsidR="007F5892" w:rsidRPr="00236907" w14:paraId="0846D067" w14:textId="77777777" w:rsidTr="009F64B2">
        <w:trPr>
          <w:jc w:val="center"/>
        </w:trPr>
        <w:tc>
          <w:tcPr>
            <w:cnfStyle w:val="001000000000" w:firstRow="0" w:lastRow="0" w:firstColumn="1" w:lastColumn="0" w:oddVBand="0" w:evenVBand="0" w:oddHBand="0" w:evenHBand="0" w:firstRowFirstColumn="0" w:firstRowLastColumn="0" w:lastRowFirstColumn="0" w:lastRowLastColumn="0"/>
            <w:tcW w:w="1395" w:type="dxa"/>
            <w:vAlign w:val="top"/>
          </w:tcPr>
          <w:p w14:paraId="2DA49AF2" w14:textId="6AE2CF15" w:rsidR="007F5892" w:rsidRPr="00236907" w:rsidRDefault="007F5892" w:rsidP="007F5892">
            <w:pPr>
              <w:spacing w:after="144"/>
              <w:rPr>
                <w:rFonts w:asciiTheme="majorHAnsi" w:hAnsiTheme="majorHAnsi" w:cstheme="majorHAnsi"/>
                <w:iCs/>
              </w:rPr>
            </w:pPr>
            <w:r w:rsidRPr="00236907">
              <w:rPr>
                <w:rFonts w:asciiTheme="majorHAnsi" w:hAnsiTheme="majorHAnsi" w:cstheme="majorHAnsi"/>
                <w:iCs/>
              </w:rPr>
              <w:t>2.1A.20</w:t>
            </w:r>
          </w:p>
        </w:tc>
        <w:tc>
          <w:tcPr>
            <w:tcW w:w="7796" w:type="dxa"/>
          </w:tcPr>
          <w:p w14:paraId="1ED90FFB" w14:textId="2DDCB26E" w:rsidR="007F5892" w:rsidRPr="00236907" w:rsidRDefault="007F5892" w:rsidP="007F5892">
            <w:pPr>
              <w:spacing w:after="14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6907">
              <w:rPr>
                <w:rFonts w:asciiTheme="majorHAnsi" w:hAnsiTheme="majorHAnsi" w:cstheme="majorHAnsi"/>
                <w:bCs/>
              </w:rPr>
              <w:t>Form of ongoing order</w:t>
            </w:r>
          </w:p>
        </w:tc>
      </w:tr>
      <w:tr w:rsidR="007F5892" w:rsidRPr="00236907" w14:paraId="7855A28E" w14:textId="77777777" w:rsidTr="009F64B2">
        <w:trPr>
          <w:jc w:val="center"/>
        </w:trPr>
        <w:tc>
          <w:tcPr>
            <w:cnfStyle w:val="001000000000" w:firstRow="0" w:lastRow="0" w:firstColumn="1" w:lastColumn="0" w:oddVBand="0" w:evenVBand="0" w:oddHBand="0" w:evenHBand="0" w:firstRowFirstColumn="0" w:firstRowLastColumn="0" w:lastRowFirstColumn="0" w:lastRowLastColumn="0"/>
            <w:tcW w:w="1395" w:type="dxa"/>
            <w:vAlign w:val="top"/>
          </w:tcPr>
          <w:p w14:paraId="2963585F" w14:textId="63747BEB" w:rsidR="007F5892" w:rsidRPr="00236907" w:rsidRDefault="007F5892" w:rsidP="007F5892">
            <w:pPr>
              <w:spacing w:after="144"/>
              <w:rPr>
                <w:rFonts w:asciiTheme="majorHAnsi" w:hAnsiTheme="majorHAnsi" w:cstheme="majorHAnsi"/>
                <w:iCs/>
              </w:rPr>
            </w:pPr>
            <w:r w:rsidRPr="00236907">
              <w:rPr>
                <w:rFonts w:asciiTheme="majorHAnsi" w:hAnsiTheme="majorHAnsi" w:cstheme="majorHAnsi"/>
                <w:iCs/>
              </w:rPr>
              <w:t>2.1A.21</w:t>
            </w:r>
          </w:p>
        </w:tc>
        <w:tc>
          <w:tcPr>
            <w:tcW w:w="7796" w:type="dxa"/>
          </w:tcPr>
          <w:p w14:paraId="63420F66" w14:textId="01380D04" w:rsidR="007F5892" w:rsidRPr="00236907" w:rsidRDefault="007F5892" w:rsidP="007F5892">
            <w:pPr>
              <w:spacing w:after="14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6907">
              <w:rPr>
                <w:rFonts w:asciiTheme="majorHAnsi" w:hAnsiTheme="majorHAnsi" w:cstheme="majorHAnsi"/>
                <w:bCs/>
              </w:rPr>
              <w:t>Procedure before making ongoing order</w:t>
            </w:r>
          </w:p>
        </w:tc>
      </w:tr>
      <w:tr w:rsidR="007F5892" w:rsidRPr="00236907" w14:paraId="74206166" w14:textId="77777777" w:rsidTr="009F64B2">
        <w:trPr>
          <w:jc w:val="center"/>
        </w:trPr>
        <w:tc>
          <w:tcPr>
            <w:cnfStyle w:val="001000000000" w:firstRow="0" w:lastRow="0" w:firstColumn="1" w:lastColumn="0" w:oddVBand="0" w:evenVBand="0" w:oddHBand="0" w:evenHBand="0" w:firstRowFirstColumn="0" w:firstRowLastColumn="0" w:lastRowFirstColumn="0" w:lastRowLastColumn="0"/>
            <w:tcW w:w="1395" w:type="dxa"/>
            <w:vAlign w:val="top"/>
          </w:tcPr>
          <w:p w14:paraId="0216E337" w14:textId="73364105" w:rsidR="007F5892" w:rsidRPr="00236907" w:rsidRDefault="007F5892" w:rsidP="007F5892">
            <w:pPr>
              <w:spacing w:after="144"/>
              <w:rPr>
                <w:rFonts w:asciiTheme="majorHAnsi" w:hAnsiTheme="majorHAnsi" w:cstheme="majorHAnsi"/>
                <w:iCs/>
              </w:rPr>
            </w:pPr>
            <w:r w:rsidRPr="00236907">
              <w:rPr>
                <w:rFonts w:asciiTheme="majorHAnsi" w:hAnsiTheme="majorHAnsi" w:cstheme="majorHAnsi"/>
                <w:iCs/>
              </w:rPr>
              <w:t>2.1A.22</w:t>
            </w:r>
          </w:p>
        </w:tc>
        <w:tc>
          <w:tcPr>
            <w:tcW w:w="7796" w:type="dxa"/>
          </w:tcPr>
          <w:p w14:paraId="431768E8" w14:textId="315AF517" w:rsidR="007F5892" w:rsidRPr="00236907" w:rsidRDefault="007F5892" w:rsidP="007F5892">
            <w:pPr>
              <w:spacing w:after="14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6907">
              <w:rPr>
                <w:rFonts w:asciiTheme="majorHAnsi" w:hAnsiTheme="majorHAnsi" w:cstheme="majorHAnsi"/>
                <w:bCs/>
              </w:rPr>
              <w:t>Extension of time to make submissions</w:t>
            </w:r>
          </w:p>
        </w:tc>
      </w:tr>
      <w:tr w:rsidR="007F5892" w:rsidRPr="00236907" w14:paraId="2109EBAC" w14:textId="77777777" w:rsidTr="009F64B2">
        <w:trPr>
          <w:jc w:val="center"/>
        </w:trPr>
        <w:tc>
          <w:tcPr>
            <w:cnfStyle w:val="001000000000" w:firstRow="0" w:lastRow="0" w:firstColumn="1" w:lastColumn="0" w:oddVBand="0" w:evenVBand="0" w:oddHBand="0" w:evenHBand="0" w:firstRowFirstColumn="0" w:firstRowLastColumn="0" w:lastRowFirstColumn="0" w:lastRowLastColumn="0"/>
            <w:tcW w:w="1395" w:type="dxa"/>
            <w:vAlign w:val="top"/>
          </w:tcPr>
          <w:p w14:paraId="318EA820" w14:textId="4216CCB4" w:rsidR="007F5892" w:rsidRPr="00236907" w:rsidRDefault="007F5892" w:rsidP="007F5892">
            <w:pPr>
              <w:spacing w:after="144"/>
              <w:rPr>
                <w:rFonts w:asciiTheme="majorHAnsi" w:hAnsiTheme="majorHAnsi" w:cstheme="majorHAnsi"/>
                <w:iCs/>
              </w:rPr>
            </w:pPr>
            <w:r w:rsidRPr="00236907">
              <w:rPr>
                <w:rFonts w:asciiTheme="majorHAnsi" w:hAnsiTheme="majorHAnsi" w:cstheme="majorHAnsi"/>
                <w:iCs/>
              </w:rPr>
              <w:lastRenderedPageBreak/>
              <w:t>2.1A.23</w:t>
            </w:r>
          </w:p>
        </w:tc>
        <w:tc>
          <w:tcPr>
            <w:tcW w:w="7796" w:type="dxa"/>
          </w:tcPr>
          <w:p w14:paraId="48D4A6A5" w14:textId="776390A0" w:rsidR="007F5892" w:rsidRPr="00236907" w:rsidRDefault="007F5892" w:rsidP="007F5892">
            <w:pPr>
              <w:spacing w:after="14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6907">
              <w:rPr>
                <w:rFonts w:asciiTheme="majorHAnsi" w:hAnsiTheme="majorHAnsi" w:cstheme="majorHAnsi"/>
                <w:bCs/>
              </w:rPr>
              <w:t>Communication and access arrangements for ongoing orders</w:t>
            </w:r>
          </w:p>
        </w:tc>
      </w:tr>
      <w:tr w:rsidR="007F5892" w:rsidRPr="00236907" w14:paraId="47FB5AD0" w14:textId="77777777" w:rsidTr="009F64B2">
        <w:trPr>
          <w:jc w:val="center"/>
        </w:trPr>
        <w:tc>
          <w:tcPr>
            <w:cnfStyle w:val="001000000000" w:firstRow="0" w:lastRow="0" w:firstColumn="1" w:lastColumn="0" w:oddVBand="0" w:evenVBand="0" w:oddHBand="0" w:evenHBand="0" w:firstRowFirstColumn="0" w:firstRowLastColumn="0" w:lastRowFirstColumn="0" w:lastRowLastColumn="0"/>
            <w:tcW w:w="1395" w:type="dxa"/>
            <w:vAlign w:val="top"/>
          </w:tcPr>
          <w:p w14:paraId="5EF43F45" w14:textId="02967833" w:rsidR="007F5892" w:rsidRPr="00236907" w:rsidRDefault="007F5892" w:rsidP="007F5892">
            <w:pPr>
              <w:spacing w:after="144"/>
              <w:rPr>
                <w:rFonts w:asciiTheme="majorHAnsi" w:hAnsiTheme="majorHAnsi" w:cstheme="majorHAnsi"/>
                <w:iCs/>
              </w:rPr>
            </w:pPr>
            <w:r w:rsidRPr="00236907">
              <w:rPr>
                <w:rFonts w:asciiTheme="majorHAnsi" w:hAnsiTheme="majorHAnsi" w:cstheme="majorHAnsi"/>
                <w:iCs/>
              </w:rPr>
              <w:t>2.1A.24</w:t>
            </w:r>
          </w:p>
        </w:tc>
        <w:tc>
          <w:tcPr>
            <w:tcW w:w="7796" w:type="dxa"/>
          </w:tcPr>
          <w:p w14:paraId="5B2C27AF" w14:textId="40BB634C" w:rsidR="007F5892" w:rsidRPr="00236907" w:rsidRDefault="007F5892" w:rsidP="007F5892">
            <w:pPr>
              <w:spacing w:after="14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6907">
              <w:rPr>
                <w:rFonts w:asciiTheme="majorHAnsi" w:hAnsiTheme="majorHAnsi" w:cstheme="majorHAnsi"/>
                <w:bCs/>
              </w:rPr>
              <w:t>Conditions and other matters for ongoing orders</w:t>
            </w:r>
          </w:p>
        </w:tc>
      </w:tr>
      <w:tr w:rsidR="007F5892" w:rsidRPr="00236907" w14:paraId="083BA2AF" w14:textId="77777777" w:rsidTr="009F64B2">
        <w:trPr>
          <w:jc w:val="center"/>
        </w:trPr>
        <w:tc>
          <w:tcPr>
            <w:cnfStyle w:val="001000000000" w:firstRow="0" w:lastRow="0" w:firstColumn="1" w:lastColumn="0" w:oddVBand="0" w:evenVBand="0" w:oddHBand="0" w:evenHBand="0" w:firstRowFirstColumn="0" w:firstRowLastColumn="0" w:lastRowFirstColumn="0" w:lastRowLastColumn="0"/>
            <w:tcW w:w="1395" w:type="dxa"/>
            <w:vAlign w:val="top"/>
          </w:tcPr>
          <w:p w14:paraId="52310085" w14:textId="2D64AF20" w:rsidR="007F5892" w:rsidRPr="00236907" w:rsidRDefault="007F5892" w:rsidP="007F5892">
            <w:pPr>
              <w:spacing w:after="144"/>
              <w:rPr>
                <w:rFonts w:asciiTheme="majorHAnsi" w:hAnsiTheme="majorHAnsi" w:cstheme="majorHAnsi"/>
                <w:iCs/>
              </w:rPr>
            </w:pPr>
            <w:r w:rsidRPr="00236907">
              <w:rPr>
                <w:rFonts w:asciiTheme="majorHAnsi" w:hAnsiTheme="majorHAnsi" w:cstheme="majorHAnsi"/>
                <w:iCs/>
              </w:rPr>
              <w:t>2.1A.25</w:t>
            </w:r>
          </w:p>
        </w:tc>
        <w:tc>
          <w:tcPr>
            <w:tcW w:w="7796" w:type="dxa"/>
          </w:tcPr>
          <w:p w14:paraId="3CEDC216" w14:textId="456226D3" w:rsidR="007F5892" w:rsidRPr="00236907" w:rsidRDefault="007F5892" w:rsidP="007F5892">
            <w:pPr>
              <w:spacing w:after="14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6907">
              <w:rPr>
                <w:rFonts w:asciiTheme="majorHAnsi" w:hAnsiTheme="majorHAnsi" w:cstheme="majorHAnsi"/>
                <w:bCs/>
              </w:rPr>
              <w:t>Revocation of ongoing orders</w:t>
            </w:r>
          </w:p>
        </w:tc>
      </w:tr>
      <w:tr w:rsidR="007F5892" w:rsidRPr="00236907" w14:paraId="2B29B188" w14:textId="77777777" w:rsidTr="009F64B2">
        <w:trPr>
          <w:jc w:val="center"/>
        </w:trPr>
        <w:tc>
          <w:tcPr>
            <w:cnfStyle w:val="001000000000" w:firstRow="0" w:lastRow="0" w:firstColumn="1" w:lastColumn="0" w:oddVBand="0" w:evenVBand="0" w:oddHBand="0" w:evenHBand="0" w:firstRowFirstColumn="0" w:firstRowLastColumn="0" w:lastRowFirstColumn="0" w:lastRowLastColumn="0"/>
            <w:tcW w:w="1395" w:type="dxa"/>
            <w:vAlign w:val="top"/>
          </w:tcPr>
          <w:p w14:paraId="4A18AA8A" w14:textId="01157DB0" w:rsidR="007F5892" w:rsidRPr="00236907" w:rsidRDefault="007F5892" w:rsidP="007F5892">
            <w:pPr>
              <w:spacing w:after="144"/>
              <w:rPr>
                <w:rFonts w:asciiTheme="majorHAnsi" w:hAnsiTheme="majorHAnsi" w:cstheme="majorHAnsi"/>
                <w:iCs/>
              </w:rPr>
            </w:pPr>
            <w:r w:rsidRPr="00236907">
              <w:rPr>
                <w:rFonts w:asciiTheme="majorHAnsi" w:hAnsiTheme="majorHAnsi" w:cstheme="majorHAnsi"/>
                <w:iCs/>
              </w:rPr>
              <w:t>2.1A.26</w:t>
            </w:r>
          </w:p>
        </w:tc>
        <w:tc>
          <w:tcPr>
            <w:tcW w:w="7796" w:type="dxa"/>
          </w:tcPr>
          <w:p w14:paraId="2F53567C" w14:textId="066E6609" w:rsidR="007F5892" w:rsidRPr="00236907" w:rsidRDefault="007F5892" w:rsidP="007F5892">
            <w:pPr>
              <w:spacing w:after="14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6907">
              <w:rPr>
                <w:rFonts w:asciiTheme="majorHAnsi" w:hAnsiTheme="majorHAnsi" w:cstheme="majorHAnsi"/>
                <w:bCs/>
              </w:rPr>
              <w:t>Variation of ongoing orders</w:t>
            </w:r>
          </w:p>
        </w:tc>
      </w:tr>
      <w:tr w:rsidR="007F5892" w:rsidRPr="00236907" w14:paraId="253AE0F9" w14:textId="77777777" w:rsidTr="009F64B2">
        <w:trPr>
          <w:jc w:val="center"/>
        </w:trPr>
        <w:tc>
          <w:tcPr>
            <w:cnfStyle w:val="001000000000" w:firstRow="0" w:lastRow="0" w:firstColumn="1" w:lastColumn="0" w:oddVBand="0" w:evenVBand="0" w:oddHBand="0" w:evenHBand="0" w:firstRowFirstColumn="0" w:firstRowLastColumn="0" w:lastRowFirstColumn="0" w:lastRowLastColumn="0"/>
            <w:tcW w:w="1395" w:type="dxa"/>
            <w:vAlign w:val="top"/>
          </w:tcPr>
          <w:p w14:paraId="033765F7" w14:textId="08E95D82" w:rsidR="007F5892" w:rsidRPr="00236907" w:rsidRDefault="007F5892" w:rsidP="007F5892">
            <w:pPr>
              <w:spacing w:after="144"/>
              <w:rPr>
                <w:rFonts w:asciiTheme="majorHAnsi" w:hAnsiTheme="majorHAnsi" w:cstheme="majorHAnsi"/>
                <w:iCs/>
              </w:rPr>
            </w:pPr>
            <w:r w:rsidRPr="00236907">
              <w:rPr>
                <w:rFonts w:asciiTheme="majorHAnsi" w:hAnsiTheme="majorHAnsi" w:cstheme="majorHAnsi"/>
                <w:iCs/>
              </w:rPr>
              <w:t>2.1A.27</w:t>
            </w:r>
          </w:p>
        </w:tc>
        <w:tc>
          <w:tcPr>
            <w:tcW w:w="7796" w:type="dxa"/>
          </w:tcPr>
          <w:p w14:paraId="7F4F6DF9" w14:textId="1D57EDF1" w:rsidR="007F5892" w:rsidRPr="00236907" w:rsidRDefault="007F5892" w:rsidP="007F5892">
            <w:pPr>
              <w:spacing w:after="14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6907">
              <w:rPr>
                <w:rFonts w:asciiTheme="majorHAnsi" w:hAnsiTheme="majorHAnsi" w:cstheme="majorHAnsi"/>
                <w:bCs/>
              </w:rPr>
              <w:t>Duration of ongoing orders</w:t>
            </w:r>
          </w:p>
        </w:tc>
      </w:tr>
      <w:tr w:rsidR="007F5892" w:rsidRPr="00236907" w14:paraId="76E85798" w14:textId="77777777" w:rsidTr="009F64B2">
        <w:trPr>
          <w:jc w:val="center"/>
        </w:trPr>
        <w:tc>
          <w:tcPr>
            <w:cnfStyle w:val="001000000000" w:firstRow="0" w:lastRow="0" w:firstColumn="1" w:lastColumn="0" w:oddVBand="0" w:evenVBand="0" w:oddHBand="0" w:evenHBand="0" w:firstRowFirstColumn="0" w:firstRowLastColumn="0" w:lastRowFirstColumn="0" w:lastRowLastColumn="0"/>
            <w:tcW w:w="1395" w:type="dxa"/>
            <w:vAlign w:val="top"/>
          </w:tcPr>
          <w:p w14:paraId="590778D0" w14:textId="4B4E924D" w:rsidR="007F5892" w:rsidRPr="00236907" w:rsidRDefault="007F5892" w:rsidP="007F5892">
            <w:pPr>
              <w:spacing w:after="144"/>
              <w:rPr>
                <w:rFonts w:asciiTheme="majorHAnsi" w:hAnsiTheme="majorHAnsi" w:cstheme="majorHAnsi"/>
                <w:iCs/>
              </w:rPr>
            </w:pPr>
            <w:r w:rsidRPr="00236907">
              <w:rPr>
                <w:rFonts w:asciiTheme="majorHAnsi" w:hAnsiTheme="majorHAnsi" w:cstheme="majorHAnsi"/>
                <w:iCs/>
              </w:rPr>
              <w:t>2.1A.28</w:t>
            </w:r>
          </w:p>
        </w:tc>
        <w:tc>
          <w:tcPr>
            <w:tcW w:w="7796" w:type="dxa"/>
          </w:tcPr>
          <w:p w14:paraId="0EB2A81F" w14:textId="2DB31ED3" w:rsidR="007F5892" w:rsidRPr="00236907" w:rsidRDefault="007F5892" w:rsidP="007F5892">
            <w:pPr>
              <w:spacing w:after="14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6907">
              <w:rPr>
                <w:rFonts w:asciiTheme="majorHAnsi" w:hAnsiTheme="majorHAnsi" w:cstheme="majorHAnsi"/>
                <w:bCs/>
              </w:rPr>
              <w:t>Contravention of ongoing order</w:t>
            </w:r>
          </w:p>
        </w:tc>
      </w:tr>
      <w:tr w:rsidR="00A103F0" w:rsidRPr="00236907" w14:paraId="56426D64" w14:textId="77777777">
        <w:trPr>
          <w:jc w:val="center"/>
        </w:trPr>
        <w:tc>
          <w:tcPr>
            <w:cnfStyle w:val="001000000000" w:firstRow="0" w:lastRow="0" w:firstColumn="1" w:lastColumn="0" w:oddVBand="0" w:evenVBand="0" w:oddHBand="0" w:evenHBand="0" w:firstRowFirstColumn="0" w:firstRowLastColumn="0" w:lastRowFirstColumn="0" w:lastRowLastColumn="0"/>
            <w:tcW w:w="9191" w:type="dxa"/>
            <w:gridSpan w:val="2"/>
            <w:vAlign w:val="top"/>
          </w:tcPr>
          <w:p w14:paraId="3870B0FB" w14:textId="28DB652E" w:rsidR="00A103F0" w:rsidRPr="00236907" w:rsidRDefault="00A103F0" w:rsidP="00C365B3">
            <w:pPr>
              <w:spacing w:after="144"/>
              <w:rPr>
                <w:rFonts w:asciiTheme="majorHAnsi" w:hAnsiTheme="majorHAnsi" w:cstheme="majorHAnsi"/>
                <w:bCs/>
              </w:rPr>
            </w:pPr>
            <w:r w:rsidRPr="00236907">
              <w:rPr>
                <w:rFonts w:asciiTheme="majorHAnsi" w:hAnsiTheme="majorHAnsi" w:cstheme="majorHAnsi"/>
                <w:bCs/>
              </w:rPr>
              <w:t>Division 4—Review of ongoing school community safety order</w:t>
            </w:r>
          </w:p>
        </w:tc>
      </w:tr>
      <w:tr w:rsidR="009C1836" w:rsidRPr="00236907" w14:paraId="1285F49C" w14:textId="77777777" w:rsidTr="009F64B2">
        <w:trPr>
          <w:jc w:val="center"/>
        </w:trPr>
        <w:tc>
          <w:tcPr>
            <w:cnfStyle w:val="001000000000" w:firstRow="0" w:lastRow="0" w:firstColumn="1" w:lastColumn="0" w:oddVBand="0" w:evenVBand="0" w:oddHBand="0" w:evenHBand="0" w:firstRowFirstColumn="0" w:firstRowLastColumn="0" w:lastRowFirstColumn="0" w:lastRowLastColumn="0"/>
            <w:tcW w:w="1395" w:type="dxa"/>
            <w:vAlign w:val="top"/>
          </w:tcPr>
          <w:p w14:paraId="303E8FF4" w14:textId="6D6A5696" w:rsidR="009C1836" w:rsidRPr="00236907" w:rsidRDefault="009C1836" w:rsidP="009C1836">
            <w:pPr>
              <w:spacing w:after="144"/>
              <w:rPr>
                <w:rFonts w:asciiTheme="majorHAnsi" w:hAnsiTheme="majorHAnsi" w:cstheme="majorHAnsi"/>
                <w:iCs/>
              </w:rPr>
            </w:pPr>
            <w:r w:rsidRPr="00236907">
              <w:rPr>
                <w:rFonts w:asciiTheme="majorHAnsi" w:hAnsiTheme="majorHAnsi" w:cstheme="majorHAnsi"/>
                <w:iCs/>
              </w:rPr>
              <w:t>2.1A.29</w:t>
            </w:r>
          </w:p>
        </w:tc>
        <w:tc>
          <w:tcPr>
            <w:tcW w:w="7796" w:type="dxa"/>
          </w:tcPr>
          <w:p w14:paraId="6B2556F5" w14:textId="11133F78" w:rsidR="009C1836" w:rsidRPr="00236907" w:rsidRDefault="009C1836" w:rsidP="009C1836">
            <w:pPr>
              <w:spacing w:after="14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6907">
              <w:rPr>
                <w:rFonts w:asciiTheme="majorHAnsi" w:hAnsiTheme="majorHAnsi" w:cstheme="majorHAnsi"/>
                <w:bCs/>
              </w:rPr>
              <w:t xml:space="preserve">Internal review  </w:t>
            </w:r>
          </w:p>
        </w:tc>
      </w:tr>
      <w:tr w:rsidR="009C1836" w:rsidRPr="00236907" w14:paraId="45E7A330" w14:textId="77777777" w:rsidTr="009F64B2">
        <w:trPr>
          <w:jc w:val="center"/>
        </w:trPr>
        <w:tc>
          <w:tcPr>
            <w:cnfStyle w:val="001000000000" w:firstRow="0" w:lastRow="0" w:firstColumn="1" w:lastColumn="0" w:oddVBand="0" w:evenVBand="0" w:oddHBand="0" w:evenHBand="0" w:firstRowFirstColumn="0" w:firstRowLastColumn="0" w:lastRowFirstColumn="0" w:lastRowLastColumn="0"/>
            <w:tcW w:w="1395" w:type="dxa"/>
            <w:vAlign w:val="top"/>
          </w:tcPr>
          <w:p w14:paraId="44EF55E7" w14:textId="7BADE96A" w:rsidR="009C1836" w:rsidRPr="00236907" w:rsidRDefault="009C1836" w:rsidP="009C1836">
            <w:pPr>
              <w:spacing w:after="144"/>
              <w:rPr>
                <w:rFonts w:asciiTheme="majorHAnsi" w:hAnsiTheme="majorHAnsi" w:cstheme="majorHAnsi"/>
                <w:iCs/>
              </w:rPr>
            </w:pPr>
            <w:r w:rsidRPr="00236907">
              <w:rPr>
                <w:rFonts w:asciiTheme="majorHAnsi" w:hAnsiTheme="majorHAnsi" w:cstheme="majorHAnsi"/>
                <w:iCs/>
              </w:rPr>
              <w:t>2.1A.30</w:t>
            </w:r>
          </w:p>
        </w:tc>
        <w:tc>
          <w:tcPr>
            <w:tcW w:w="7796" w:type="dxa"/>
          </w:tcPr>
          <w:p w14:paraId="2CBF6738" w14:textId="311022DD" w:rsidR="009C1836" w:rsidRPr="00236907" w:rsidRDefault="009C1836" w:rsidP="009C1836">
            <w:pPr>
              <w:spacing w:after="14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6907">
              <w:rPr>
                <w:rFonts w:asciiTheme="majorHAnsi" w:hAnsiTheme="majorHAnsi" w:cstheme="majorHAnsi"/>
                <w:bCs/>
              </w:rPr>
              <w:t>Timelines for internal review</w:t>
            </w:r>
          </w:p>
        </w:tc>
      </w:tr>
      <w:tr w:rsidR="009C1836" w:rsidRPr="00236907" w14:paraId="020F3101" w14:textId="77777777" w:rsidTr="009F64B2">
        <w:trPr>
          <w:jc w:val="center"/>
        </w:trPr>
        <w:tc>
          <w:tcPr>
            <w:cnfStyle w:val="001000000000" w:firstRow="0" w:lastRow="0" w:firstColumn="1" w:lastColumn="0" w:oddVBand="0" w:evenVBand="0" w:oddHBand="0" w:evenHBand="0" w:firstRowFirstColumn="0" w:firstRowLastColumn="0" w:lastRowFirstColumn="0" w:lastRowLastColumn="0"/>
            <w:tcW w:w="1395" w:type="dxa"/>
            <w:vAlign w:val="top"/>
          </w:tcPr>
          <w:p w14:paraId="4DC4314C" w14:textId="7545468D" w:rsidR="009C1836" w:rsidRPr="00236907" w:rsidRDefault="009C1836" w:rsidP="009C1836">
            <w:pPr>
              <w:spacing w:after="144"/>
              <w:rPr>
                <w:rFonts w:asciiTheme="majorHAnsi" w:hAnsiTheme="majorHAnsi" w:cstheme="majorHAnsi"/>
                <w:iCs/>
              </w:rPr>
            </w:pPr>
            <w:r w:rsidRPr="00236907">
              <w:rPr>
                <w:rFonts w:asciiTheme="majorHAnsi" w:hAnsiTheme="majorHAnsi" w:cstheme="majorHAnsi"/>
                <w:iCs/>
              </w:rPr>
              <w:t>2.1A.31</w:t>
            </w:r>
          </w:p>
        </w:tc>
        <w:tc>
          <w:tcPr>
            <w:tcW w:w="7796" w:type="dxa"/>
          </w:tcPr>
          <w:p w14:paraId="7AA4098C" w14:textId="40133E2A" w:rsidR="009C1836" w:rsidRPr="00236907" w:rsidRDefault="009C1836" w:rsidP="009C1836">
            <w:pPr>
              <w:spacing w:after="14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6907">
              <w:rPr>
                <w:rFonts w:asciiTheme="majorHAnsi" w:hAnsiTheme="majorHAnsi" w:cstheme="majorHAnsi"/>
                <w:bCs/>
              </w:rPr>
              <w:t>Effect of commencement of review on continuation of ongoing order</w:t>
            </w:r>
          </w:p>
        </w:tc>
      </w:tr>
      <w:tr w:rsidR="009C1836" w:rsidRPr="00236907" w14:paraId="71948206" w14:textId="77777777" w:rsidTr="009F64B2">
        <w:trPr>
          <w:jc w:val="center"/>
        </w:trPr>
        <w:tc>
          <w:tcPr>
            <w:cnfStyle w:val="001000000000" w:firstRow="0" w:lastRow="0" w:firstColumn="1" w:lastColumn="0" w:oddVBand="0" w:evenVBand="0" w:oddHBand="0" w:evenHBand="0" w:firstRowFirstColumn="0" w:firstRowLastColumn="0" w:lastRowFirstColumn="0" w:lastRowLastColumn="0"/>
            <w:tcW w:w="1395" w:type="dxa"/>
            <w:vAlign w:val="top"/>
          </w:tcPr>
          <w:p w14:paraId="1ECDBA4F" w14:textId="4763535E" w:rsidR="009C1836" w:rsidRPr="00236907" w:rsidRDefault="009C1836" w:rsidP="009C1836">
            <w:pPr>
              <w:spacing w:after="144"/>
              <w:rPr>
                <w:rFonts w:asciiTheme="majorHAnsi" w:hAnsiTheme="majorHAnsi" w:cstheme="majorHAnsi"/>
                <w:iCs/>
              </w:rPr>
            </w:pPr>
            <w:r w:rsidRPr="00236907">
              <w:rPr>
                <w:rFonts w:asciiTheme="majorHAnsi" w:hAnsiTheme="majorHAnsi" w:cstheme="majorHAnsi"/>
                <w:iCs/>
              </w:rPr>
              <w:t>2.1A.32</w:t>
            </w:r>
          </w:p>
        </w:tc>
        <w:tc>
          <w:tcPr>
            <w:tcW w:w="7796" w:type="dxa"/>
          </w:tcPr>
          <w:p w14:paraId="55712B3C" w14:textId="6DB92412" w:rsidR="009C1836" w:rsidRPr="00236907" w:rsidRDefault="009C1836" w:rsidP="009C1836">
            <w:pPr>
              <w:spacing w:after="14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6907">
              <w:rPr>
                <w:rFonts w:asciiTheme="majorHAnsi" w:hAnsiTheme="majorHAnsi" w:cstheme="majorHAnsi"/>
                <w:bCs/>
              </w:rPr>
              <w:t>Outcome of internal review</w:t>
            </w:r>
          </w:p>
        </w:tc>
      </w:tr>
      <w:tr w:rsidR="009C1836" w:rsidRPr="00236907" w14:paraId="1407D82B" w14:textId="77777777" w:rsidTr="009F64B2">
        <w:trPr>
          <w:jc w:val="center"/>
        </w:trPr>
        <w:tc>
          <w:tcPr>
            <w:cnfStyle w:val="001000000000" w:firstRow="0" w:lastRow="0" w:firstColumn="1" w:lastColumn="0" w:oddVBand="0" w:evenVBand="0" w:oddHBand="0" w:evenHBand="0" w:firstRowFirstColumn="0" w:firstRowLastColumn="0" w:lastRowFirstColumn="0" w:lastRowLastColumn="0"/>
            <w:tcW w:w="1395" w:type="dxa"/>
            <w:vAlign w:val="top"/>
          </w:tcPr>
          <w:p w14:paraId="6C714358" w14:textId="77B75A9D" w:rsidR="009C1836" w:rsidRPr="00236907" w:rsidRDefault="009C1836" w:rsidP="009C1836">
            <w:pPr>
              <w:spacing w:after="144"/>
              <w:rPr>
                <w:rFonts w:asciiTheme="majorHAnsi" w:hAnsiTheme="majorHAnsi" w:cstheme="majorHAnsi"/>
                <w:iCs/>
              </w:rPr>
            </w:pPr>
            <w:r w:rsidRPr="00236907">
              <w:rPr>
                <w:rFonts w:asciiTheme="majorHAnsi" w:hAnsiTheme="majorHAnsi" w:cstheme="majorHAnsi"/>
                <w:iCs/>
              </w:rPr>
              <w:t>2.1A.33</w:t>
            </w:r>
          </w:p>
        </w:tc>
        <w:tc>
          <w:tcPr>
            <w:tcW w:w="7796" w:type="dxa"/>
          </w:tcPr>
          <w:p w14:paraId="503172A4" w14:textId="66822DCC" w:rsidR="009C1836" w:rsidRPr="00236907" w:rsidRDefault="009C1836" w:rsidP="009C1836">
            <w:pPr>
              <w:spacing w:after="14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6907">
              <w:rPr>
                <w:rFonts w:asciiTheme="majorHAnsi" w:hAnsiTheme="majorHAnsi" w:cstheme="majorHAnsi"/>
                <w:bCs/>
              </w:rPr>
              <w:t>Review by VCAT</w:t>
            </w:r>
          </w:p>
        </w:tc>
      </w:tr>
      <w:tr w:rsidR="009C1836" w:rsidRPr="00236907" w14:paraId="148F53DF" w14:textId="77777777" w:rsidTr="009F64B2">
        <w:trPr>
          <w:jc w:val="center"/>
        </w:trPr>
        <w:tc>
          <w:tcPr>
            <w:cnfStyle w:val="001000000000" w:firstRow="0" w:lastRow="0" w:firstColumn="1" w:lastColumn="0" w:oddVBand="0" w:evenVBand="0" w:oddHBand="0" w:evenHBand="0" w:firstRowFirstColumn="0" w:firstRowLastColumn="0" w:lastRowFirstColumn="0" w:lastRowLastColumn="0"/>
            <w:tcW w:w="1395" w:type="dxa"/>
            <w:vAlign w:val="top"/>
          </w:tcPr>
          <w:p w14:paraId="0CCC2AB9" w14:textId="58D0D654" w:rsidR="009C1836" w:rsidRPr="00236907" w:rsidRDefault="009C1836" w:rsidP="009C1836">
            <w:pPr>
              <w:spacing w:after="144"/>
              <w:rPr>
                <w:rFonts w:asciiTheme="majorHAnsi" w:hAnsiTheme="majorHAnsi" w:cstheme="majorHAnsi"/>
                <w:iCs/>
              </w:rPr>
            </w:pPr>
            <w:r w:rsidRPr="00236907">
              <w:rPr>
                <w:rFonts w:asciiTheme="majorHAnsi" w:hAnsiTheme="majorHAnsi" w:cstheme="majorHAnsi"/>
                <w:iCs/>
              </w:rPr>
              <w:t>2.1A.34</w:t>
            </w:r>
          </w:p>
        </w:tc>
        <w:tc>
          <w:tcPr>
            <w:tcW w:w="7796" w:type="dxa"/>
          </w:tcPr>
          <w:p w14:paraId="0F8FA3E5" w14:textId="0C6CEA6D" w:rsidR="009C1836" w:rsidRPr="00236907" w:rsidRDefault="009C1836" w:rsidP="009C1836">
            <w:pPr>
              <w:spacing w:after="14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6907">
              <w:rPr>
                <w:rFonts w:asciiTheme="majorHAnsi" w:hAnsiTheme="majorHAnsi" w:cstheme="majorHAnsi"/>
                <w:bCs/>
              </w:rPr>
              <w:t>Time period for making application for review</w:t>
            </w:r>
          </w:p>
        </w:tc>
      </w:tr>
      <w:tr w:rsidR="009C1836" w:rsidRPr="00236907" w14:paraId="6808313E" w14:textId="77777777">
        <w:trPr>
          <w:jc w:val="center"/>
        </w:trPr>
        <w:tc>
          <w:tcPr>
            <w:cnfStyle w:val="001000000000" w:firstRow="0" w:lastRow="0" w:firstColumn="1" w:lastColumn="0" w:oddVBand="0" w:evenVBand="0" w:oddHBand="0" w:evenHBand="0" w:firstRowFirstColumn="0" w:firstRowLastColumn="0" w:lastRowFirstColumn="0" w:lastRowLastColumn="0"/>
            <w:tcW w:w="9191" w:type="dxa"/>
            <w:gridSpan w:val="2"/>
            <w:vAlign w:val="top"/>
          </w:tcPr>
          <w:p w14:paraId="3A158E7D" w14:textId="2EA7FC4B" w:rsidR="009C1836" w:rsidRPr="00236907" w:rsidRDefault="00611321" w:rsidP="00C365B3">
            <w:pPr>
              <w:spacing w:after="144"/>
              <w:rPr>
                <w:rFonts w:asciiTheme="majorHAnsi" w:hAnsiTheme="majorHAnsi" w:cstheme="majorHAnsi"/>
                <w:bCs/>
              </w:rPr>
            </w:pPr>
            <w:r w:rsidRPr="00236907">
              <w:rPr>
                <w:rFonts w:asciiTheme="majorHAnsi" w:hAnsiTheme="majorHAnsi" w:cstheme="majorHAnsi"/>
                <w:bCs/>
              </w:rPr>
              <w:t>Division 5—Guidelines</w:t>
            </w:r>
          </w:p>
        </w:tc>
      </w:tr>
      <w:tr w:rsidR="0063497F" w:rsidRPr="00236907" w14:paraId="290210BB" w14:textId="77777777" w:rsidTr="009F64B2">
        <w:trPr>
          <w:jc w:val="center"/>
        </w:trPr>
        <w:tc>
          <w:tcPr>
            <w:cnfStyle w:val="001000000000" w:firstRow="0" w:lastRow="0" w:firstColumn="1" w:lastColumn="0" w:oddVBand="0" w:evenVBand="0" w:oddHBand="0" w:evenHBand="0" w:firstRowFirstColumn="0" w:firstRowLastColumn="0" w:lastRowFirstColumn="0" w:lastRowLastColumn="0"/>
            <w:tcW w:w="1395" w:type="dxa"/>
            <w:vAlign w:val="top"/>
          </w:tcPr>
          <w:p w14:paraId="4F03037E" w14:textId="14E377C3" w:rsidR="0063497F" w:rsidRPr="00236907" w:rsidRDefault="0063497F" w:rsidP="0063497F">
            <w:pPr>
              <w:spacing w:after="144"/>
              <w:rPr>
                <w:rFonts w:asciiTheme="majorHAnsi" w:hAnsiTheme="majorHAnsi" w:cstheme="majorHAnsi"/>
                <w:iCs/>
              </w:rPr>
            </w:pPr>
            <w:r w:rsidRPr="00236907">
              <w:rPr>
                <w:rFonts w:asciiTheme="majorHAnsi" w:hAnsiTheme="majorHAnsi" w:cstheme="majorHAnsi"/>
                <w:iCs/>
              </w:rPr>
              <w:t>2.1A.35</w:t>
            </w:r>
          </w:p>
        </w:tc>
        <w:tc>
          <w:tcPr>
            <w:tcW w:w="7796" w:type="dxa"/>
          </w:tcPr>
          <w:p w14:paraId="41A9C547" w14:textId="41AE3726" w:rsidR="0063497F" w:rsidRPr="00236907" w:rsidRDefault="0063497F" w:rsidP="0063497F">
            <w:pPr>
              <w:spacing w:after="14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6907">
              <w:rPr>
                <w:rFonts w:asciiTheme="majorHAnsi" w:hAnsiTheme="majorHAnsi" w:cstheme="majorHAnsi"/>
                <w:bCs/>
              </w:rPr>
              <w:t>Authorised person to give effect to guidelines</w:t>
            </w:r>
          </w:p>
        </w:tc>
      </w:tr>
      <w:tr w:rsidR="0063497F" w:rsidRPr="00236907" w14:paraId="564DCA5C" w14:textId="77777777" w:rsidTr="009F64B2">
        <w:trPr>
          <w:jc w:val="center"/>
        </w:trPr>
        <w:tc>
          <w:tcPr>
            <w:cnfStyle w:val="001000000000" w:firstRow="0" w:lastRow="0" w:firstColumn="1" w:lastColumn="0" w:oddVBand="0" w:evenVBand="0" w:oddHBand="0" w:evenHBand="0" w:firstRowFirstColumn="0" w:firstRowLastColumn="0" w:lastRowFirstColumn="0" w:lastRowLastColumn="0"/>
            <w:tcW w:w="1395" w:type="dxa"/>
            <w:vAlign w:val="top"/>
          </w:tcPr>
          <w:p w14:paraId="4284DA71" w14:textId="4F900E74" w:rsidR="0063497F" w:rsidRPr="00236907" w:rsidRDefault="0063497F" w:rsidP="0063497F">
            <w:pPr>
              <w:spacing w:after="144"/>
              <w:rPr>
                <w:rFonts w:asciiTheme="majorHAnsi" w:hAnsiTheme="majorHAnsi" w:cstheme="majorHAnsi"/>
                <w:iCs/>
              </w:rPr>
            </w:pPr>
            <w:r w:rsidRPr="00236907">
              <w:rPr>
                <w:rFonts w:asciiTheme="majorHAnsi" w:hAnsiTheme="majorHAnsi" w:cstheme="majorHAnsi"/>
                <w:iCs/>
              </w:rPr>
              <w:t>2.1A.36</w:t>
            </w:r>
          </w:p>
        </w:tc>
        <w:tc>
          <w:tcPr>
            <w:tcW w:w="7796" w:type="dxa"/>
          </w:tcPr>
          <w:p w14:paraId="7DBCFD49" w14:textId="2F547804" w:rsidR="0063497F" w:rsidRPr="00236907" w:rsidRDefault="0063497F" w:rsidP="0063497F">
            <w:pPr>
              <w:spacing w:after="14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6907">
              <w:rPr>
                <w:rFonts w:asciiTheme="majorHAnsi" w:hAnsiTheme="majorHAnsi" w:cstheme="majorHAnsi"/>
                <w:bCs/>
              </w:rPr>
              <w:t>Reviewer to give effect to guidelines</w:t>
            </w:r>
          </w:p>
        </w:tc>
      </w:tr>
      <w:tr w:rsidR="0063497F" w:rsidRPr="00236907" w14:paraId="79264867" w14:textId="77777777" w:rsidTr="009F64B2">
        <w:trPr>
          <w:jc w:val="center"/>
        </w:trPr>
        <w:tc>
          <w:tcPr>
            <w:cnfStyle w:val="001000000000" w:firstRow="0" w:lastRow="0" w:firstColumn="1" w:lastColumn="0" w:oddVBand="0" w:evenVBand="0" w:oddHBand="0" w:evenHBand="0" w:firstRowFirstColumn="0" w:firstRowLastColumn="0" w:lastRowFirstColumn="0" w:lastRowLastColumn="0"/>
            <w:tcW w:w="1395" w:type="dxa"/>
            <w:vAlign w:val="top"/>
          </w:tcPr>
          <w:p w14:paraId="2FB69E6E" w14:textId="35E2618C" w:rsidR="0063497F" w:rsidRPr="00236907" w:rsidRDefault="0063497F" w:rsidP="0063497F">
            <w:pPr>
              <w:spacing w:after="144"/>
              <w:rPr>
                <w:rFonts w:asciiTheme="majorHAnsi" w:hAnsiTheme="majorHAnsi" w:cstheme="majorHAnsi"/>
                <w:iCs/>
              </w:rPr>
            </w:pPr>
            <w:r w:rsidRPr="00236907">
              <w:rPr>
                <w:rFonts w:asciiTheme="majorHAnsi" w:hAnsiTheme="majorHAnsi" w:cstheme="majorHAnsi"/>
                <w:iCs/>
              </w:rPr>
              <w:t>2.1A.37</w:t>
            </w:r>
          </w:p>
        </w:tc>
        <w:tc>
          <w:tcPr>
            <w:tcW w:w="7796" w:type="dxa"/>
          </w:tcPr>
          <w:p w14:paraId="0BE8B2F6" w14:textId="386F8776" w:rsidR="0063497F" w:rsidRPr="00236907" w:rsidRDefault="0063497F" w:rsidP="0063497F">
            <w:pPr>
              <w:spacing w:after="14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6907">
              <w:rPr>
                <w:rFonts w:asciiTheme="majorHAnsi" w:hAnsiTheme="majorHAnsi" w:cstheme="majorHAnsi"/>
                <w:bCs/>
              </w:rPr>
              <w:t>Ministerial guidelines</w:t>
            </w:r>
          </w:p>
        </w:tc>
      </w:tr>
      <w:tr w:rsidR="0063497F" w:rsidRPr="00236907" w14:paraId="0DA9D882" w14:textId="77777777" w:rsidTr="009F64B2">
        <w:trPr>
          <w:jc w:val="center"/>
        </w:trPr>
        <w:tc>
          <w:tcPr>
            <w:cnfStyle w:val="001000000000" w:firstRow="0" w:lastRow="0" w:firstColumn="1" w:lastColumn="0" w:oddVBand="0" w:evenVBand="0" w:oddHBand="0" w:evenHBand="0" w:firstRowFirstColumn="0" w:firstRowLastColumn="0" w:lastRowFirstColumn="0" w:lastRowLastColumn="0"/>
            <w:tcW w:w="1395" w:type="dxa"/>
            <w:vAlign w:val="top"/>
          </w:tcPr>
          <w:p w14:paraId="3C46C63F" w14:textId="49A12495" w:rsidR="0063497F" w:rsidRPr="00236907" w:rsidRDefault="0063497F" w:rsidP="0063497F">
            <w:pPr>
              <w:spacing w:after="144"/>
              <w:rPr>
                <w:rFonts w:asciiTheme="majorHAnsi" w:hAnsiTheme="majorHAnsi" w:cstheme="majorHAnsi"/>
                <w:iCs/>
              </w:rPr>
            </w:pPr>
            <w:r w:rsidRPr="00236907">
              <w:rPr>
                <w:rFonts w:asciiTheme="majorHAnsi" w:hAnsiTheme="majorHAnsi" w:cstheme="majorHAnsi"/>
                <w:iCs/>
              </w:rPr>
              <w:t>2.1A.38</w:t>
            </w:r>
          </w:p>
        </w:tc>
        <w:tc>
          <w:tcPr>
            <w:tcW w:w="7796" w:type="dxa"/>
          </w:tcPr>
          <w:p w14:paraId="02302FE3" w14:textId="64035A3B" w:rsidR="0063497F" w:rsidRPr="00236907" w:rsidRDefault="0063497F" w:rsidP="0063497F">
            <w:pPr>
              <w:spacing w:after="14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6907">
              <w:rPr>
                <w:rFonts w:asciiTheme="majorHAnsi" w:hAnsiTheme="majorHAnsi" w:cstheme="majorHAnsi"/>
                <w:bCs/>
              </w:rPr>
              <w:t>Notice and publication of guidelines</w:t>
            </w:r>
          </w:p>
        </w:tc>
      </w:tr>
      <w:tr w:rsidR="0063497F" w:rsidRPr="00236907" w14:paraId="7A3559EE" w14:textId="77777777">
        <w:trPr>
          <w:jc w:val="center"/>
        </w:trPr>
        <w:tc>
          <w:tcPr>
            <w:cnfStyle w:val="001000000000" w:firstRow="0" w:lastRow="0" w:firstColumn="1" w:lastColumn="0" w:oddVBand="0" w:evenVBand="0" w:oddHBand="0" w:evenHBand="0" w:firstRowFirstColumn="0" w:firstRowLastColumn="0" w:lastRowFirstColumn="0" w:lastRowLastColumn="0"/>
            <w:tcW w:w="9191" w:type="dxa"/>
            <w:gridSpan w:val="2"/>
            <w:vAlign w:val="top"/>
          </w:tcPr>
          <w:p w14:paraId="756336AC" w14:textId="51985D28" w:rsidR="0063497F" w:rsidRPr="00236907" w:rsidRDefault="004F6CE8" w:rsidP="00C365B3">
            <w:pPr>
              <w:spacing w:after="144"/>
              <w:rPr>
                <w:rFonts w:asciiTheme="majorHAnsi" w:hAnsiTheme="majorHAnsi" w:cstheme="majorHAnsi"/>
                <w:bCs/>
              </w:rPr>
            </w:pPr>
            <w:r w:rsidRPr="00236907">
              <w:rPr>
                <w:rFonts w:asciiTheme="majorHAnsi" w:hAnsiTheme="majorHAnsi" w:cstheme="majorHAnsi"/>
                <w:bCs/>
              </w:rPr>
              <w:t>Division 6—Civil penalties and enforcement</w:t>
            </w:r>
          </w:p>
        </w:tc>
      </w:tr>
      <w:tr w:rsidR="00EE714F" w:rsidRPr="00236907" w14:paraId="35EEF084" w14:textId="77777777" w:rsidTr="009F64B2">
        <w:trPr>
          <w:jc w:val="center"/>
        </w:trPr>
        <w:tc>
          <w:tcPr>
            <w:cnfStyle w:val="001000000000" w:firstRow="0" w:lastRow="0" w:firstColumn="1" w:lastColumn="0" w:oddVBand="0" w:evenVBand="0" w:oddHBand="0" w:evenHBand="0" w:firstRowFirstColumn="0" w:firstRowLastColumn="0" w:lastRowFirstColumn="0" w:lastRowLastColumn="0"/>
            <w:tcW w:w="1395" w:type="dxa"/>
            <w:vAlign w:val="top"/>
          </w:tcPr>
          <w:p w14:paraId="4AD0D2D5" w14:textId="6D13CD65" w:rsidR="00EE714F" w:rsidRPr="00236907" w:rsidRDefault="00EE714F" w:rsidP="00EE714F">
            <w:pPr>
              <w:spacing w:after="144"/>
              <w:rPr>
                <w:rFonts w:asciiTheme="majorHAnsi" w:hAnsiTheme="majorHAnsi" w:cstheme="majorHAnsi"/>
                <w:iCs/>
              </w:rPr>
            </w:pPr>
            <w:r w:rsidRPr="00236907">
              <w:rPr>
                <w:rFonts w:asciiTheme="majorHAnsi" w:hAnsiTheme="majorHAnsi" w:cstheme="majorHAnsi"/>
                <w:iCs/>
              </w:rPr>
              <w:t>2.1A.39</w:t>
            </w:r>
          </w:p>
        </w:tc>
        <w:tc>
          <w:tcPr>
            <w:tcW w:w="7796" w:type="dxa"/>
          </w:tcPr>
          <w:p w14:paraId="48350ADF" w14:textId="66DF7F9C" w:rsidR="00EE714F" w:rsidRPr="00236907" w:rsidRDefault="00EE714F" w:rsidP="00EE714F">
            <w:pPr>
              <w:spacing w:after="14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6907">
              <w:rPr>
                <w:rFonts w:asciiTheme="majorHAnsi" w:hAnsiTheme="majorHAnsi" w:cstheme="majorHAnsi"/>
                <w:bCs/>
              </w:rPr>
              <w:t>Definition</w:t>
            </w:r>
          </w:p>
        </w:tc>
      </w:tr>
      <w:tr w:rsidR="00EE714F" w:rsidRPr="00236907" w14:paraId="099C9C2E" w14:textId="77777777" w:rsidTr="009F64B2">
        <w:trPr>
          <w:jc w:val="center"/>
        </w:trPr>
        <w:tc>
          <w:tcPr>
            <w:cnfStyle w:val="001000000000" w:firstRow="0" w:lastRow="0" w:firstColumn="1" w:lastColumn="0" w:oddVBand="0" w:evenVBand="0" w:oddHBand="0" w:evenHBand="0" w:firstRowFirstColumn="0" w:firstRowLastColumn="0" w:lastRowFirstColumn="0" w:lastRowLastColumn="0"/>
            <w:tcW w:w="1395" w:type="dxa"/>
            <w:vAlign w:val="top"/>
          </w:tcPr>
          <w:p w14:paraId="637BF2F6" w14:textId="72D71A82" w:rsidR="00EE714F" w:rsidRPr="00236907" w:rsidRDefault="00EE714F" w:rsidP="00EE714F">
            <w:pPr>
              <w:spacing w:after="144"/>
              <w:rPr>
                <w:rFonts w:asciiTheme="majorHAnsi" w:hAnsiTheme="majorHAnsi" w:cstheme="majorHAnsi"/>
                <w:iCs/>
              </w:rPr>
            </w:pPr>
            <w:r w:rsidRPr="00236907">
              <w:rPr>
                <w:rFonts w:asciiTheme="majorHAnsi" w:hAnsiTheme="majorHAnsi" w:cstheme="majorHAnsi"/>
                <w:iCs/>
              </w:rPr>
              <w:t>2.1A.40</w:t>
            </w:r>
          </w:p>
        </w:tc>
        <w:tc>
          <w:tcPr>
            <w:tcW w:w="7796" w:type="dxa"/>
          </w:tcPr>
          <w:p w14:paraId="2524A362" w14:textId="4958823B" w:rsidR="00EE714F" w:rsidRPr="00236907" w:rsidRDefault="00EE714F" w:rsidP="00EE714F">
            <w:pPr>
              <w:spacing w:after="14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6907">
              <w:rPr>
                <w:rFonts w:asciiTheme="majorHAnsi" w:hAnsiTheme="majorHAnsi" w:cstheme="majorHAnsi"/>
                <w:bCs/>
              </w:rPr>
              <w:t xml:space="preserve">Application to the Magistrates' Court  </w:t>
            </w:r>
          </w:p>
        </w:tc>
      </w:tr>
      <w:tr w:rsidR="00EE714F" w:rsidRPr="00236907" w14:paraId="7D449AE6" w14:textId="77777777" w:rsidTr="009F64B2">
        <w:trPr>
          <w:jc w:val="center"/>
        </w:trPr>
        <w:tc>
          <w:tcPr>
            <w:cnfStyle w:val="001000000000" w:firstRow="0" w:lastRow="0" w:firstColumn="1" w:lastColumn="0" w:oddVBand="0" w:evenVBand="0" w:oddHBand="0" w:evenHBand="0" w:firstRowFirstColumn="0" w:firstRowLastColumn="0" w:lastRowFirstColumn="0" w:lastRowLastColumn="0"/>
            <w:tcW w:w="1395" w:type="dxa"/>
            <w:vAlign w:val="top"/>
          </w:tcPr>
          <w:p w14:paraId="2970A3AC" w14:textId="23070EBA" w:rsidR="00EE714F" w:rsidRPr="00236907" w:rsidRDefault="00EE714F" w:rsidP="00EE714F">
            <w:pPr>
              <w:spacing w:after="144"/>
              <w:rPr>
                <w:rFonts w:asciiTheme="majorHAnsi" w:hAnsiTheme="majorHAnsi" w:cstheme="majorHAnsi"/>
                <w:iCs/>
              </w:rPr>
            </w:pPr>
            <w:r w:rsidRPr="00236907">
              <w:rPr>
                <w:rFonts w:asciiTheme="majorHAnsi" w:hAnsiTheme="majorHAnsi" w:cstheme="majorHAnsi"/>
                <w:iCs/>
              </w:rPr>
              <w:t>2.1A.41</w:t>
            </w:r>
          </w:p>
        </w:tc>
        <w:tc>
          <w:tcPr>
            <w:tcW w:w="7796" w:type="dxa"/>
          </w:tcPr>
          <w:p w14:paraId="6143B35B" w14:textId="7310D436" w:rsidR="00EE714F" w:rsidRPr="00236907" w:rsidRDefault="00EE714F" w:rsidP="00EE714F">
            <w:pPr>
              <w:spacing w:after="14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6907">
              <w:rPr>
                <w:rFonts w:asciiTheme="majorHAnsi" w:hAnsiTheme="majorHAnsi" w:cstheme="majorHAnsi"/>
                <w:bCs/>
              </w:rPr>
              <w:t>Magistrates' Court may order payment of civil penalty</w:t>
            </w:r>
          </w:p>
        </w:tc>
      </w:tr>
      <w:tr w:rsidR="00EE714F" w:rsidRPr="00236907" w14:paraId="08E9856B" w14:textId="77777777" w:rsidTr="009F64B2">
        <w:trPr>
          <w:jc w:val="center"/>
        </w:trPr>
        <w:tc>
          <w:tcPr>
            <w:cnfStyle w:val="001000000000" w:firstRow="0" w:lastRow="0" w:firstColumn="1" w:lastColumn="0" w:oddVBand="0" w:evenVBand="0" w:oddHBand="0" w:evenHBand="0" w:firstRowFirstColumn="0" w:firstRowLastColumn="0" w:lastRowFirstColumn="0" w:lastRowLastColumn="0"/>
            <w:tcW w:w="1395" w:type="dxa"/>
            <w:vAlign w:val="top"/>
          </w:tcPr>
          <w:p w14:paraId="42A88D36" w14:textId="2D0B523D" w:rsidR="00EE714F" w:rsidRPr="00236907" w:rsidRDefault="00EE714F" w:rsidP="00EE714F">
            <w:pPr>
              <w:spacing w:after="144"/>
              <w:rPr>
                <w:rFonts w:asciiTheme="majorHAnsi" w:hAnsiTheme="majorHAnsi" w:cstheme="majorHAnsi"/>
                <w:iCs/>
              </w:rPr>
            </w:pPr>
            <w:r w:rsidRPr="00236907">
              <w:rPr>
                <w:rFonts w:asciiTheme="majorHAnsi" w:hAnsiTheme="majorHAnsi" w:cstheme="majorHAnsi"/>
                <w:iCs/>
              </w:rPr>
              <w:t>2.1A.42</w:t>
            </w:r>
          </w:p>
        </w:tc>
        <w:tc>
          <w:tcPr>
            <w:tcW w:w="7796" w:type="dxa"/>
          </w:tcPr>
          <w:p w14:paraId="573E37A4" w14:textId="3C30E697" w:rsidR="00EE714F" w:rsidRPr="00236907" w:rsidRDefault="00EE714F" w:rsidP="00EE714F">
            <w:pPr>
              <w:spacing w:after="14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6907">
              <w:rPr>
                <w:rFonts w:asciiTheme="majorHAnsi" w:hAnsiTheme="majorHAnsi" w:cstheme="majorHAnsi"/>
                <w:bCs/>
              </w:rPr>
              <w:t>Payment of penalty</w:t>
            </w:r>
          </w:p>
        </w:tc>
      </w:tr>
      <w:tr w:rsidR="00EE714F" w:rsidRPr="00236907" w14:paraId="292C157C" w14:textId="77777777" w:rsidTr="009F64B2">
        <w:trPr>
          <w:jc w:val="center"/>
        </w:trPr>
        <w:tc>
          <w:tcPr>
            <w:cnfStyle w:val="001000000000" w:firstRow="0" w:lastRow="0" w:firstColumn="1" w:lastColumn="0" w:oddVBand="0" w:evenVBand="0" w:oddHBand="0" w:evenHBand="0" w:firstRowFirstColumn="0" w:firstRowLastColumn="0" w:lastRowFirstColumn="0" w:lastRowLastColumn="0"/>
            <w:tcW w:w="1395" w:type="dxa"/>
            <w:vAlign w:val="top"/>
          </w:tcPr>
          <w:p w14:paraId="4A283CB8" w14:textId="090F458F" w:rsidR="00EE714F" w:rsidRPr="00236907" w:rsidRDefault="00EE714F" w:rsidP="00EE714F">
            <w:pPr>
              <w:spacing w:after="144"/>
              <w:rPr>
                <w:rFonts w:asciiTheme="majorHAnsi" w:hAnsiTheme="majorHAnsi" w:cstheme="majorHAnsi"/>
                <w:iCs/>
              </w:rPr>
            </w:pPr>
            <w:r w:rsidRPr="00236907">
              <w:rPr>
                <w:rFonts w:asciiTheme="majorHAnsi" w:hAnsiTheme="majorHAnsi" w:cstheme="majorHAnsi"/>
                <w:iCs/>
              </w:rPr>
              <w:t>2.1A.43</w:t>
            </w:r>
          </w:p>
        </w:tc>
        <w:tc>
          <w:tcPr>
            <w:tcW w:w="7796" w:type="dxa"/>
          </w:tcPr>
          <w:p w14:paraId="04AE2E1F" w14:textId="0B8B6731" w:rsidR="00EE714F" w:rsidRPr="00236907" w:rsidRDefault="00EE714F" w:rsidP="00EE714F">
            <w:pPr>
              <w:spacing w:after="14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6907">
              <w:rPr>
                <w:rFonts w:asciiTheme="majorHAnsi" w:hAnsiTheme="majorHAnsi" w:cstheme="majorHAnsi"/>
                <w:bCs/>
              </w:rPr>
              <w:t>Magistrates' Court may make other orders</w:t>
            </w:r>
          </w:p>
        </w:tc>
      </w:tr>
      <w:tr w:rsidR="00EE714F" w:rsidRPr="00236907" w14:paraId="4B61EB8E" w14:textId="77777777">
        <w:trPr>
          <w:jc w:val="center"/>
        </w:trPr>
        <w:tc>
          <w:tcPr>
            <w:cnfStyle w:val="001000000000" w:firstRow="0" w:lastRow="0" w:firstColumn="1" w:lastColumn="0" w:oddVBand="0" w:evenVBand="0" w:oddHBand="0" w:evenHBand="0" w:firstRowFirstColumn="0" w:firstRowLastColumn="0" w:lastRowFirstColumn="0" w:lastRowLastColumn="0"/>
            <w:tcW w:w="9191" w:type="dxa"/>
            <w:gridSpan w:val="2"/>
            <w:vAlign w:val="top"/>
          </w:tcPr>
          <w:p w14:paraId="39E61935" w14:textId="3E536EEE" w:rsidR="00EE714F" w:rsidRPr="00236907" w:rsidRDefault="00EE714F" w:rsidP="00C365B3">
            <w:pPr>
              <w:spacing w:after="144"/>
              <w:rPr>
                <w:rFonts w:asciiTheme="majorHAnsi" w:hAnsiTheme="majorHAnsi" w:cstheme="majorHAnsi"/>
                <w:bCs/>
              </w:rPr>
            </w:pPr>
            <w:r w:rsidRPr="00236907">
              <w:rPr>
                <w:rFonts w:asciiTheme="majorHAnsi" w:hAnsiTheme="majorHAnsi" w:cstheme="majorHAnsi"/>
                <w:bCs/>
              </w:rPr>
              <w:t>Division 7—Statutory review</w:t>
            </w:r>
          </w:p>
        </w:tc>
      </w:tr>
      <w:tr w:rsidR="00EE714F" w:rsidRPr="00236907" w14:paraId="34F807E9" w14:textId="77777777" w:rsidTr="009F64B2">
        <w:trPr>
          <w:jc w:val="center"/>
        </w:trPr>
        <w:tc>
          <w:tcPr>
            <w:cnfStyle w:val="001000000000" w:firstRow="0" w:lastRow="0" w:firstColumn="1" w:lastColumn="0" w:oddVBand="0" w:evenVBand="0" w:oddHBand="0" w:evenHBand="0" w:firstRowFirstColumn="0" w:firstRowLastColumn="0" w:lastRowFirstColumn="0" w:lastRowLastColumn="0"/>
            <w:tcW w:w="1395" w:type="dxa"/>
            <w:vAlign w:val="top"/>
          </w:tcPr>
          <w:p w14:paraId="128D4B18" w14:textId="06B1E2F1" w:rsidR="00EE714F" w:rsidRPr="00236907" w:rsidRDefault="00EE714F" w:rsidP="00C365B3">
            <w:pPr>
              <w:spacing w:after="144"/>
              <w:rPr>
                <w:rFonts w:asciiTheme="majorHAnsi" w:hAnsiTheme="majorHAnsi" w:cstheme="majorHAnsi"/>
                <w:iCs/>
              </w:rPr>
            </w:pPr>
            <w:r w:rsidRPr="00236907">
              <w:rPr>
                <w:rFonts w:asciiTheme="majorHAnsi" w:hAnsiTheme="majorHAnsi" w:cstheme="majorHAnsi"/>
                <w:iCs/>
              </w:rPr>
              <w:t>2.1A.44</w:t>
            </w:r>
          </w:p>
        </w:tc>
        <w:tc>
          <w:tcPr>
            <w:tcW w:w="7796" w:type="dxa"/>
          </w:tcPr>
          <w:p w14:paraId="5186A1BF" w14:textId="3B14F6D7" w:rsidR="00EE714F" w:rsidRPr="00236907" w:rsidRDefault="00EE714F" w:rsidP="00C365B3">
            <w:pPr>
              <w:spacing w:after="14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6907">
              <w:rPr>
                <w:rFonts w:asciiTheme="majorHAnsi" w:hAnsiTheme="majorHAnsi" w:cstheme="majorHAnsi"/>
                <w:bCs/>
              </w:rPr>
              <w:t>Statutory review of provisions</w:t>
            </w:r>
          </w:p>
        </w:tc>
      </w:tr>
      <w:tr w:rsidR="00305805" w:rsidRPr="00236907" w14:paraId="7C887F19" w14:textId="77777777" w:rsidTr="00305805">
        <w:trPr>
          <w:jc w:val="center"/>
        </w:trPr>
        <w:tc>
          <w:tcPr>
            <w:cnfStyle w:val="001000000000" w:firstRow="0" w:lastRow="0" w:firstColumn="1" w:lastColumn="0" w:oddVBand="0" w:evenVBand="0" w:oddHBand="0" w:evenHBand="0" w:firstRowFirstColumn="0" w:firstRowLastColumn="0" w:lastRowFirstColumn="0" w:lastRowLastColumn="0"/>
            <w:tcW w:w="9191" w:type="dxa"/>
            <w:gridSpan w:val="2"/>
            <w:shd w:val="clear" w:color="auto" w:fill="82002A"/>
            <w:vAlign w:val="top"/>
          </w:tcPr>
          <w:p w14:paraId="62B2B2F6" w14:textId="12B082DE" w:rsidR="00305805" w:rsidRPr="00236907" w:rsidRDefault="00305805" w:rsidP="00C365B3">
            <w:pPr>
              <w:spacing w:after="144"/>
              <w:rPr>
                <w:rFonts w:asciiTheme="majorHAnsi" w:hAnsiTheme="majorHAnsi" w:cstheme="majorHAnsi"/>
                <w:bCs/>
              </w:rPr>
            </w:pPr>
            <w:r w:rsidRPr="00236907">
              <w:rPr>
                <w:rFonts w:asciiTheme="majorHAnsi" w:hAnsiTheme="majorHAnsi" w:cstheme="majorHAnsi"/>
                <w:bCs/>
                <w:i/>
                <w:iCs/>
              </w:rPr>
              <w:t xml:space="preserve">Education and Training Reform Regulations 2017 </w:t>
            </w:r>
            <w:r w:rsidRPr="00236907">
              <w:rPr>
                <w:rFonts w:asciiTheme="majorHAnsi" w:hAnsiTheme="majorHAnsi" w:cstheme="majorHAnsi"/>
                <w:bCs/>
              </w:rPr>
              <w:t>(Vic)</w:t>
            </w:r>
          </w:p>
        </w:tc>
      </w:tr>
      <w:tr w:rsidR="00026A30" w:rsidRPr="00236907" w14:paraId="30B576F2" w14:textId="77777777">
        <w:trPr>
          <w:jc w:val="center"/>
        </w:trPr>
        <w:tc>
          <w:tcPr>
            <w:cnfStyle w:val="001000000000" w:firstRow="0" w:lastRow="0" w:firstColumn="1" w:lastColumn="0" w:oddVBand="0" w:evenVBand="0" w:oddHBand="0" w:evenHBand="0" w:firstRowFirstColumn="0" w:firstRowLastColumn="0" w:lastRowFirstColumn="0" w:lastRowLastColumn="0"/>
            <w:tcW w:w="9191" w:type="dxa"/>
            <w:gridSpan w:val="2"/>
            <w:vAlign w:val="top"/>
          </w:tcPr>
          <w:p w14:paraId="26DE1417" w14:textId="2FAF9BF8" w:rsidR="00026A30" w:rsidRPr="00236907" w:rsidRDefault="00026A30" w:rsidP="00C365B3">
            <w:pPr>
              <w:spacing w:after="144"/>
              <w:rPr>
                <w:rFonts w:asciiTheme="majorHAnsi" w:hAnsiTheme="majorHAnsi" w:cstheme="majorHAnsi"/>
                <w:bCs/>
              </w:rPr>
            </w:pPr>
            <w:r w:rsidRPr="00236907">
              <w:rPr>
                <w:rFonts w:asciiTheme="majorHAnsi" w:hAnsiTheme="majorHAnsi" w:cstheme="majorHAnsi"/>
                <w:bCs/>
              </w:rPr>
              <w:t>Part 2A—School community safety orders</w:t>
            </w:r>
          </w:p>
        </w:tc>
      </w:tr>
      <w:tr w:rsidR="00EE714F" w:rsidRPr="00236907" w14:paraId="536F2E9E" w14:textId="77777777" w:rsidTr="009F64B2">
        <w:trPr>
          <w:jc w:val="center"/>
        </w:trPr>
        <w:tc>
          <w:tcPr>
            <w:cnfStyle w:val="001000000000" w:firstRow="0" w:lastRow="0" w:firstColumn="1" w:lastColumn="0" w:oddVBand="0" w:evenVBand="0" w:oddHBand="0" w:evenHBand="0" w:firstRowFirstColumn="0" w:firstRowLastColumn="0" w:lastRowFirstColumn="0" w:lastRowLastColumn="0"/>
            <w:tcW w:w="1395" w:type="dxa"/>
            <w:vAlign w:val="top"/>
          </w:tcPr>
          <w:p w14:paraId="4B8A4A96" w14:textId="21D90F74" w:rsidR="00EE714F" w:rsidRPr="00236907" w:rsidRDefault="00026A30" w:rsidP="00C365B3">
            <w:pPr>
              <w:spacing w:after="144"/>
              <w:rPr>
                <w:rFonts w:asciiTheme="majorHAnsi" w:hAnsiTheme="majorHAnsi" w:cstheme="majorHAnsi"/>
                <w:iCs/>
              </w:rPr>
            </w:pPr>
            <w:r w:rsidRPr="00236907">
              <w:rPr>
                <w:rFonts w:asciiTheme="majorHAnsi" w:hAnsiTheme="majorHAnsi" w:cstheme="majorHAnsi"/>
                <w:iCs/>
              </w:rPr>
              <w:lastRenderedPageBreak/>
              <w:t>11A</w:t>
            </w:r>
          </w:p>
        </w:tc>
        <w:tc>
          <w:tcPr>
            <w:tcW w:w="7796" w:type="dxa"/>
          </w:tcPr>
          <w:p w14:paraId="135C3523" w14:textId="79CE61F6" w:rsidR="00EE714F" w:rsidRPr="00236907" w:rsidRDefault="00026A30" w:rsidP="00C365B3">
            <w:pPr>
              <w:spacing w:after="14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6907">
              <w:rPr>
                <w:rFonts w:asciiTheme="majorHAnsi" w:hAnsiTheme="majorHAnsi" w:cstheme="majorHAnsi"/>
                <w:bCs/>
              </w:rPr>
              <w:t xml:space="preserve">Prescribed matters that must be stated in an immediate school community safety order  </w:t>
            </w:r>
          </w:p>
        </w:tc>
      </w:tr>
      <w:tr w:rsidR="00026A30" w:rsidRPr="00DA739C" w14:paraId="584CA5ED" w14:textId="77777777" w:rsidTr="009F64B2">
        <w:trPr>
          <w:jc w:val="center"/>
        </w:trPr>
        <w:tc>
          <w:tcPr>
            <w:cnfStyle w:val="001000000000" w:firstRow="0" w:lastRow="0" w:firstColumn="1" w:lastColumn="0" w:oddVBand="0" w:evenVBand="0" w:oddHBand="0" w:evenHBand="0" w:firstRowFirstColumn="0" w:firstRowLastColumn="0" w:lastRowFirstColumn="0" w:lastRowLastColumn="0"/>
            <w:tcW w:w="1395" w:type="dxa"/>
            <w:vAlign w:val="top"/>
          </w:tcPr>
          <w:p w14:paraId="70F48093" w14:textId="35FCD9B0" w:rsidR="00026A30" w:rsidRPr="00236907" w:rsidRDefault="00026A30" w:rsidP="00C365B3">
            <w:pPr>
              <w:spacing w:after="144"/>
              <w:rPr>
                <w:rFonts w:asciiTheme="majorHAnsi" w:hAnsiTheme="majorHAnsi" w:cstheme="majorHAnsi"/>
                <w:iCs/>
              </w:rPr>
            </w:pPr>
            <w:r w:rsidRPr="00236907">
              <w:rPr>
                <w:rFonts w:asciiTheme="majorHAnsi" w:hAnsiTheme="majorHAnsi" w:cstheme="majorHAnsi"/>
                <w:iCs/>
              </w:rPr>
              <w:t>11B</w:t>
            </w:r>
          </w:p>
        </w:tc>
        <w:tc>
          <w:tcPr>
            <w:tcW w:w="7796" w:type="dxa"/>
          </w:tcPr>
          <w:p w14:paraId="6EF56C67" w14:textId="73E72F71" w:rsidR="00026A30" w:rsidRPr="00EF04B5" w:rsidRDefault="00026A30" w:rsidP="00C365B3">
            <w:pPr>
              <w:spacing w:after="14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6907">
              <w:rPr>
                <w:rFonts w:asciiTheme="majorHAnsi" w:hAnsiTheme="majorHAnsi" w:cstheme="majorHAnsi"/>
                <w:bCs/>
              </w:rPr>
              <w:t>Prescribed matters that must be stated in an ongoing school community safety order</w:t>
            </w:r>
            <w:r w:rsidRPr="00EF04B5">
              <w:rPr>
                <w:rFonts w:asciiTheme="majorHAnsi" w:hAnsiTheme="majorHAnsi" w:cstheme="majorHAnsi"/>
                <w:bCs/>
              </w:rPr>
              <w:t xml:space="preserve">  </w:t>
            </w:r>
          </w:p>
        </w:tc>
      </w:tr>
    </w:tbl>
    <w:p w14:paraId="6D1573D1" w14:textId="14E75FE2" w:rsidR="009C79F1" w:rsidRPr="00DA739C" w:rsidRDefault="009C79F1" w:rsidP="00D33EE3"/>
    <w:sectPr w:rsidR="009C79F1" w:rsidRPr="00DA739C" w:rsidSect="00877597">
      <w:pgSz w:w="11906" w:h="16838" w:code="9"/>
      <w:pgMar w:top="1701"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7FC58" w14:textId="77777777" w:rsidR="000D69CC" w:rsidRDefault="000D69CC" w:rsidP="009F2818">
      <w:r>
        <w:separator/>
      </w:r>
    </w:p>
  </w:endnote>
  <w:endnote w:type="continuationSeparator" w:id="0">
    <w:p w14:paraId="39DE1909" w14:textId="77777777" w:rsidR="000D69CC" w:rsidRDefault="000D69CC" w:rsidP="009F2818">
      <w:r>
        <w:continuationSeparator/>
      </w:r>
    </w:p>
  </w:endnote>
  <w:endnote w:type="continuationNotice" w:id="1">
    <w:p w14:paraId="19600ED2" w14:textId="77777777" w:rsidR="000D69CC" w:rsidRDefault="000D69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93E9E" w14:textId="77777777" w:rsidR="000A5FE5" w:rsidRDefault="000A5FE5">
    <w:pPr>
      <w:pStyle w:val="Footer"/>
    </w:pPr>
  </w:p>
  <w:p w14:paraId="56340272" w14:textId="239AA382" w:rsidR="000A5FE5" w:rsidRPr="006768D0" w:rsidRDefault="000A5FE5">
    <w:pPr>
      <w:pStyle w:val="Footer"/>
      <w:rPr>
        <w:rFonts w:cs="Arial"/>
        <w:sz w:val="14"/>
      </w:rPr>
    </w:pPr>
    <w:r w:rsidRPr="00FE13FE">
      <w:rPr>
        <w:rFonts w:cs="Arial"/>
        <w:sz w:val="14"/>
      </w:rPr>
      <w:t>[7680598: 23120214_1]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F1E98" w14:textId="4A5F6D0E" w:rsidR="000A5FE5" w:rsidRDefault="000A5FE5">
    <w:pPr>
      <w:pStyle w:val="Footer"/>
    </w:pPr>
  </w:p>
  <w:p w14:paraId="49E78628" w14:textId="2CCFD43D" w:rsidR="000A5FE5" w:rsidRPr="00FE10D4" w:rsidRDefault="0003263A">
    <w:pPr>
      <w:pStyle w:val="Footer"/>
      <w:rPr>
        <w:rFonts w:cs="Arial"/>
        <w:sz w:val="14"/>
      </w:rPr>
    </w:pPr>
    <w:r>
      <w:rPr>
        <w:rFonts w:cs="Arial"/>
        <w:sz w:val="14"/>
      </w:rPr>
      <w:fldChar w:fldCharType="begin"/>
    </w:r>
    <w:r>
      <w:rPr>
        <w:rFonts w:cs="Arial"/>
        <w:sz w:val="14"/>
      </w:rPr>
      <w:instrText xml:space="preserve"> DOCPROPERTY  iManageFooter </w:instrText>
    </w:r>
    <w:r>
      <w:rPr>
        <w:rFonts w:cs="Arial"/>
        <w:sz w:val="14"/>
      </w:rPr>
      <w:fldChar w:fldCharType="separate"/>
    </w:r>
    <w:r w:rsidR="00135871">
      <w:rPr>
        <w:rFonts w:cs="Arial"/>
        <w:sz w:val="14"/>
      </w:rPr>
      <w:t>[9561607:50406722_1]</w:t>
    </w:r>
    <w:r>
      <w:rPr>
        <w:rFonts w:cs="Arial"/>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CBA0D" w14:textId="77777777" w:rsidR="005D0648" w:rsidRDefault="005D0648">
    <w:pPr>
      <w:pStyle w:val="Footer"/>
    </w:pPr>
  </w:p>
  <w:p w14:paraId="0C125F3C" w14:textId="201DBDA3" w:rsidR="00863D82" w:rsidRPr="00863D82" w:rsidRDefault="0003263A">
    <w:pPr>
      <w:pStyle w:val="Footer"/>
      <w:rPr>
        <w:rFonts w:cs="Arial"/>
        <w:sz w:val="14"/>
      </w:rPr>
    </w:pPr>
    <w:r>
      <w:rPr>
        <w:rFonts w:cs="Arial"/>
        <w:sz w:val="14"/>
      </w:rPr>
      <w:fldChar w:fldCharType="begin"/>
    </w:r>
    <w:r>
      <w:rPr>
        <w:rFonts w:cs="Arial"/>
        <w:sz w:val="14"/>
      </w:rPr>
      <w:instrText xml:space="preserve"> DOCPROPERTY  iManageFooter </w:instrText>
    </w:r>
    <w:r>
      <w:rPr>
        <w:rFonts w:cs="Arial"/>
        <w:sz w:val="14"/>
      </w:rPr>
      <w:fldChar w:fldCharType="separate"/>
    </w:r>
    <w:r w:rsidR="00135871">
      <w:rPr>
        <w:rFonts w:cs="Arial"/>
        <w:sz w:val="14"/>
      </w:rPr>
      <w:t>[9561607:50406722_1]</w:t>
    </w:r>
    <w:r>
      <w:rPr>
        <w:rFonts w:cs="Arial"/>
        <w:sz w:val="1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E2242" w14:textId="76CD89DD" w:rsidR="000A5FE5" w:rsidRDefault="000A5FE5" w:rsidP="00B555BD">
    <w:pPr>
      <w:pStyle w:val="Footer"/>
      <w:rPr>
        <w:sz w:val="16"/>
        <w:szCs w:val="16"/>
      </w:rPr>
    </w:pPr>
    <w:r>
      <w:rPr>
        <w:noProof/>
      </w:rPr>
      <mc:AlternateContent>
        <mc:Choice Requires="wps">
          <w:drawing>
            <wp:anchor distT="0" distB="0" distL="114300" distR="114300" simplePos="0" relativeHeight="251658243" behindDoc="1" locked="0" layoutInCell="1" allowOverlap="1" wp14:anchorId="462EDF4B" wp14:editId="5E7248BF">
              <wp:simplePos x="0" y="0"/>
              <wp:positionH relativeFrom="page">
                <wp:posOffset>6330950</wp:posOffset>
              </wp:positionH>
              <wp:positionV relativeFrom="page">
                <wp:posOffset>10153650</wp:posOffset>
              </wp:positionV>
              <wp:extent cx="711200" cy="215900"/>
              <wp:effectExtent l="0" t="0" r="12700" b="1270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id w:val="-1024941715"/>
                            <w:docPartObj>
                              <w:docPartGallery w:val="Page Numbers (Top of Page)"/>
                              <w:docPartUnique/>
                            </w:docPartObj>
                          </w:sdtPr>
                          <w:sdtEndPr/>
                          <w:sdtContent>
                            <w:p w14:paraId="313570C8" w14:textId="6D13449C" w:rsidR="000A5FE5" w:rsidRDefault="000A5FE5" w:rsidP="00B555BD">
                              <w:pPr>
                                <w:pStyle w:val="pageNumber"/>
                                <w:tabs>
                                  <w:tab w:val="clear" w:pos="9072"/>
                                  <w:tab w:val="right" w:pos="9070"/>
                                </w:tabs>
                              </w:pPr>
                              <w:r>
                                <w:tab/>
                                <w:t xml:space="preserve">page </w:t>
                              </w:r>
                              <w:r>
                                <w:rPr>
                                  <w:sz w:val="24"/>
                                  <w:szCs w:val="24"/>
                                </w:rPr>
                                <w:fldChar w:fldCharType="begin"/>
                              </w:r>
                              <w:r>
                                <w:instrText xml:space="preserve"> PAGE </w:instrText>
                              </w:r>
                              <w:r>
                                <w:rPr>
                                  <w:sz w:val="24"/>
                                  <w:szCs w:val="24"/>
                                </w:rPr>
                                <w:fldChar w:fldCharType="separate"/>
                              </w:r>
                              <w:r>
                                <w:rPr>
                                  <w:noProof/>
                                </w:rPr>
                                <w:t>6</w:t>
                              </w:r>
                              <w:r>
                                <w:rPr>
                                  <w:sz w:val="24"/>
                                  <w:szCs w:val="24"/>
                                </w:rPr>
                                <w:fldChar w:fldCharType="end"/>
                              </w:r>
                              <w:r>
                                <w:t xml:space="preserve"> of </w:t>
                              </w:r>
                              <w:r>
                                <w:rPr>
                                  <w:noProof/>
                                </w:rPr>
                                <w:fldChar w:fldCharType="begin"/>
                              </w:r>
                              <w:r>
                                <w:rPr>
                                  <w:noProof/>
                                </w:rPr>
                                <w:instrText xml:space="preserve"> NUMPAGES  </w:instrText>
                              </w:r>
                              <w:r>
                                <w:rPr>
                                  <w:noProof/>
                                </w:rPr>
                                <w:fldChar w:fldCharType="separate"/>
                              </w:r>
                              <w:r>
                                <w:rPr>
                                  <w:noProof/>
                                </w:rPr>
                                <w:t>44</w:t>
                              </w:r>
                              <w:r>
                                <w:rPr>
                                  <w:noProof/>
                                </w:rPr>
                                <w:fldChar w:fldCharType="end"/>
                              </w:r>
                            </w:p>
                          </w:sdtContent>
                        </w:sdt>
                        <w:p w14:paraId="6A34632C" w14:textId="660D1FE7" w:rsidR="000A5FE5" w:rsidRDefault="000A5FE5" w:rsidP="00B555BD">
                          <w:pPr>
                            <w:spacing w:before="14"/>
                            <w:ind w:left="20"/>
                            <w:rPr>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2EDF4B" id="_x0000_t202" coordsize="21600,21600" o:spt="202" path="m,l,21600r21600,l21600,xe">
              <v:stroke joinstyle="miter"/>
              <v:path gradientshapeok="t" o:connecttype="rect"/>
            </v:shapetype>
            <v:shape id="Text Box 16" o:spid="_x0000_s1026" type="#_x0000_t202" style="position:absolute;margin-left:498.5pt;margin-top:799.5pt;width:56pt;height:17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" filled="f" stroked="f">
              <v:textbox inset="0,0,0,0">
                <w:txbxContent>
                  <w:sdt>
                    <w:sdtPr>
                      <w:id w:val="-1024941715"/>
                      <w:docPartObj>
                        <w:docPartGallery w:val="Page Numbers (Top of Page)"/>
                        <w:docPartUnique/>
                      </w:docPartObj>
                    </w:sdtPr>
                    <w:sdtContent>
                      <w:p w14:paraId="313570C8" w14:textId="6D13449C" w:rsidR="000A5FE5" w:rsidRDefault="000A5FE5" w:rsidP="00B555BD">
                        <w:pPr>
                          <w:pStyle w:val="pageNumber"/>
                          <w:tabs>
                            <w:tab w:val="clear" w:pos="9072"/>
                            <w:tab w:val="right" w:pos="9070"/>
                          </w:tabs>
                        </w:pPr>
                        <w:r>
                          <w:tab/>
                          <w:t xml:space="preserve">page </w:t>
                        </w:r>
                        <w:r>
                          <w:rPr>
                            <w:sz w:val="24"/>
                            <w:szCs w:val="24"/>
                          </w:rPr>
                          <w:fldChar w:fldCharType="begin"/>
                        </w:r>
                        <w:r>
                          <w:instrText xml:space="preserve"> PAGE </w:instrText>
                        </w:r>
                        <w:r>
                          <w:rPr>
                            <w:sz w:val="24"/>
                            <w:szCs w:val="24"/>
                          </w:rPr>
                          <w:fldChar w:fldCharType="separate"/>
                        </w:r>
                        <w:r>
                          <w:rPr>
                            <w:noProof/>
                          </w:rPr>
                          <w:t>6</w:t>
                        </w:r>
                        <w:r>
                          <w:rPr>
                            <w:sz w:val="24"/>
                            <w:szCs w:val="24"/>
                          </w:rPr>
                          <w:fldChar w:fldCharType="end"/>
                        </w:r>
                        <w:r>
                          <w:t xml:space="preserve"> of </w:t>
                        </w:r>
                        <w:r>
                          <w:rPr>
                            <w:noProof/>
                          </w:rPr>
                          <w:fldChar w:fldCharType="begin"/>
                        </w:r>
                        <w:r>
                          <w:rPr>
                            <w:noProof/>
                          </w:rPr>
                          <w:instrText xml:space="preserve"> NUMPAGES  </w:instrText>
                        </w:r>
                        <w:r>
                          <w:rPr>
                            <w:noProof/>
                          </w:rPr>
                          <w:fldChar w:fldCharType="separate"/>
                        </w:r>
                        <w:r>
                          <w:rPr>
                            <w:noProof/>
                          </w:rPr>
                          <w:t>44</w:t>
                        </w:r>
                        <w:r>
                          <w:rPr>
                            <w:noProof/>
                          </w:rPr>
                          <w:fldChar w:fldCharType="end"/>
                        </w:r>
                      </w:p>
                    </w:sdtContent>
                  </w:sdt>
                  <w:p w14:paraId="6A34632C" w14:textId="660D1FE7" w:rsidR="000A5FE5" w:rsidRDefault="000A5FE5" w:rsidP="00B555BD">
                    <w:pPr>
                      <w:spacing w:before="14"/>
                      <w:ind w:left="20"/>
                      <w:rPr>
                        <w:b/>
                        <w:sz w:val="18"/>
                      </w:rPr>
                    </w:pPr>
                  </w:p>
                </w:txbxContent>
              </v:textbox>
              <w10:wrap anchorx="page" anchory="page"/>
            </v:shape>
          </w:pict>
        </mc:Fallback>
      </mc:AlternateContent>
    </w:r>
  </w:p>
  <w:p w14:paraId="40D947A9" w14:textId="7B8D23ED" w:rsidR="00863D82" w:rsidRPr="00863D82" w:rsidRDefault="0003263A" w:rsidP="00B555BD">
    <w:pPr>
      <w:pStyle w:val="Footer"/>
      <w:rPr>
        <w:rFonts w:cs="Arial"/>
        <w:sz w:val="14"/>
        <w:szCs w:val="16"/>
      </w:rPr>
    </w:pPr>
    <w:r>
      <w:rPr>
        <w:rFonts w:cs="Arial"/>
        <w:sz w:val="14"/>
        <w:szCs w:val="16"/>
      </w:rPr>
      <w:fldChar w:fldCharType="begin"/>
    </w:r>
    <w:r>
      <w:rPr>
        <w:rFonts w:cs="Arial"/>
        <w:sz w:val="14"/>
        <w:szCs w:val="16"/>
      </w:rPr>
      <w:instrText xml:space="preserve"> DOCPROPERTY  iManageFooter </w:instrText>
    </w:r>
    <w:r>
      <w:rPr>
        <w:rFonts w:cs="Arial"/>
        <w:sz w:val="14"/>
        <w:szCs w:val="16"/>
      </w:rPr>
      <w:fldChar w:fldCharType="separate"/>
    </w:r>
    <w:r w:rsidR="00135871">
      <w:rPr>
        <w:rFonts w:cs="Arial"/>
        <w:sz w:val="14"/>
        <w:szCs w:val="16"/>
      </w:rPr>
      <w:t>[9561607:50406722_1]</w:t>
    </w:r>
    <w:r>
      <w:rPr>
        <w:rFonts w:cs="Arial"/>
        <w:sz w:val="14"/>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0000A" w14:textId="77777777" w:rsidR="000D69CC" w:rsidRDefault="000D69CC" w:rsidP="009F2818">
      <w:r>
        <w:separator/>
      </w:r>
    </w:p>
  </w:footnote>
  <w:footnote w:type="continuationSeparator" w:id="0">
    <w:p w14:paraId="2ECD957E" w14:textId="77777777" w:rsidR="000D69CC" w:rsidRDefault="000D69CC" w:rsidP="009F2818">
      <w:r>
        <w:continuationSeparator/>
      </w:r>
    </w:p>
  </w:footnote>
  <w:footnote w:type="continuationNotice" w:id="1">
    <w:p w14:paraId="5AB8FD26" w14:textId="77777777" w:rsidR="000D69CC" w:rsidRDefault="000D69CC"/>
  </w:footnote>
  <w:footnote w:id="2">
    <w:p w14:paraId="6FCD060B" w14:textId="2A0105AB" w:rsidR="0020545E" w:rsidRPr="00C82BA2" w:rsidRDefault="0020545E">
      <w:pPr>
        <w:pStyle w:val="FootnoteText"/>
        <w:rPr>
          <w:rFonts w:asciiTheme="minorHAnsi" w:hAnsiTheme="minorHAnsi" w:cstheme="minorHAnsi"/>
        </w:rPr>
      </w:pPr>
      <w:r w:rsidRPr="00C82BA2">
        <w:rPr>
          <w:rStyle w:val="FootnoteReference"/>
          <w:rFonts w:asciiTheme="minorHAnsi" w:hAnsiTheme="minorHAnsi" w:cstheme="minorHAnsi"/>
        </w:rPr>
        <w:footnoteRef/>
      </w:r>
      <w:r w:rsidRPr="00C82BA2">
        <w:rPr>
          <w:rFonts w:asciiTheme="minorHAnsi" w:hAnsiTheme="minorHAnsi" w:cstheme="minorHAnsi"/>
        </w:rPr>
        <w:t xml:space="preserve"> School Community Safety Order Scheme Annual Report 2023-24, </w:t>
      </w:r>
      <w:r w:rsidR="009C7592" w:rsidRPr="00C82BA2">
        <w:rPr>
          <w:rFonts w:asciiTheme="minorHAnsi" w:hAnsiTheme="minorHAnsi" w:cstheme="minorHAnsi"/>
        </w:rPr>
        <w:t>p. 7.</w:t>
      </w:r>
      <w:r w:rsidR="003B5830">
        <w:rPr>
          <w:rFonts w:asciiTheme="minorHAnsi" w:hAnsiTheme="minorHAnsi" w:cstheme="minorHAnsi"/>
        </w:rPr>
        <w:t xml:space="preserve"> Note that this was originally</w:t>
      </w:r>
      <w:r w:rsidR="00690449">
        <w:rPr>
          <w:rFonts w:asciiTheme="minorHAnsi" w:hAnsiTheme="minorHAnsi" w:cstheme="minorHAnsi"/>
        </w:rPr>
        <w:t xml:space="preserve"> published as</w:t>
      </w:r>
      <w:r w:rsidR="003B5830">
        <w:rPr>
          <w:rFonts w:asciiTheme="minorHAnsi" w:hAnsiTheme="minorHAnsi" w:cstheme="minorHAnsi"/>
        </w:rPr>
        <w:t xml:space="preserve"> 26 orders, but</w:t>
      </w:r>
      <w:r w:rsidR="00690449">
        <w:rPr>
          <w:rFonts w:asciiTheme="minorHAnsi" w:hAnsiTheme="minorHAnsi" w:cstheme="minorHAnsi"/>
        </w:rPr>
        <w:t xml:space="preserve"> this number</w:t>
      </w:r>
      <w:r w:rsidR="003B5830">
        <w:rPr>
          <w:rFonts w:asciiTheme="minorHAnsi" w:hAnsiTheme="minorHAnsi" w:cstheme="minorHAnsi"/>
        </w:rPr>
        <w:t xml:space="preserve"> has since been </w:t>
      </w:r>
      <w:r w:rsidR="00690449">
        <w:rPr>
          <w:rFonts w:asciiTheme="minorHAnsi" w:hAnsiTheme="minorHAnsi" w:cstheme="minorHAnsi"/>
        </w:rPr>
        <w:t>corrected</w:t>
      </w:r>
      <w:r w:rsidR="003B5830">
        <w:rPr>
          <w:rFonts w:asciiTheme="minorHAnsi" w:hAnsiTheme="minorHAnsi" w:cstheme="minorHAnsi"/>
        </w:rPr>
        <w:t xml:space="preserve">. </w:t>
      </w:r>
    </w:p>
  </w:footnote>
  <w:footnote w:id="3">
    <w:p w14:paraId="3899E0BB" w14:textId="1783890C" w:rsidR="00D00CE7" w:rsidRPr="00C82BA2" w:rsidRDefault="00D00CE7">
      <w:pPr>
        <w:pStyle w:val="FootnoteText"/>
        <w:rPr>
          <w:rFonts w:asciiTheme="minorHAnsi" w:hAnsiTheme="minorHAnsi" w:cstheme="minorHAnsi"/>
        </w:rPr>
      </w:pPr>
      <w:r w:rsidRPr="00C82BA2">
        <w:rPr>
          <w:rStyle w:val="FootnoteReference"/>
          <w:rFonts w:asciiTheme="minorHAnsi" w:hAnsiTheme="minorHAnsi" w:cstheme="minorHAnsi"/>
        </w:rPr>
        <w:footnoteRef/>
      </w:r>
      <w:r w:rsidRPr="00C82BA2">
        <w:rPr>
          <w:rFonts w:asciiTheme="minorHAnsi" w:hAnsiTheme="minorHAnsi" w:cstheme="minorHAnsi"/>
        </w:rPr>
        <w:t xml:space="preserve"> Dr Fiona Longmuir, Dr Beatriz Gallo Cordoba, Associate Professor Michael Phillips, Associate Professor Kelly-Ann Allen &amp; Dr Mehdi Moharami, </w:t>
      </w:r>
      <w:r w:rsidRPr="00C82BA2">
        <w:rPr>
          <w:rFonts w:asciiTheme="minorHAnsi" w:hAnsiTheme="minorHAnsi" w:cstheme="minorHAnsi"/>
          <w:i/>
          <w:iCs/>
        </w:rPr>
        <w:t>Australian Teachers’ Perceptions of their Work in 2022</w:t>
      </w:r>
      <w:r w:rsidRPr="00C82BA2">
        <w:rPr>
          <w:rFonts w:asciiTheme="minorHAnsi" w:hAnsiTheme="minorHAnsi" w:cstheme="minorHAnsi"/>
        </w:rPr>
        <w:t xml:space="preserve">, Monash University, October 2022, p. 35. </w:t>
      </w:r>
    </w:p>
  </w:footnote>
  <w:footnote w:id="4">
    <w:p w14:paraId="2B0D5D95" w14:textId="6B3BB432" w:rsidR="00FE1329" w:rsidRPr="00C82BA2" w:rsidRDefault="00FE1329" w:rsidP="00FE1329">
      <w:pPr>
        <w:pStyle w:val="FootnoteText"/>
        <w:rPr>
          <w:rFonts w:asciiTheme="minorHAnsi" w:hAnsiTheme="minorHAnsi" w:cstheme="minorHAnsi"/>
        </w:rPr>
      </w:pPr>
      <w:r w:rsidRPr="00C82BA2">
        <w:rPr>
          <w:rStyle w:val="FootnoteReference"/>
          <w:rFonts w:asciiTheme="minorHAnsi" w:hAnsiTheme="minorHAnsi" w:cstheme="minorHAnsi"/>
        </w:rPr>
        <w:footnoteRef/>
      </w:r>
      <w:r w:rsidRPr="00C82BA2">
        <w:rPr>
          <w:rFonts w:asciiTheme="minorHAnsi" w:hAnsiTheme="minorHAnsi" w:cstheme="minorHAnsi"/>
        </w:rPr>
        <w:t xml:space="preserve"> </w:t>
      </w:r>
      <w:r w:rsidRPr="00C82BA2">
        <w:rPr>
          <w:rFonts w:asciiTheme="minorHAnsi" w:hAnsiTheme="minorHAnsi" w:cstheme="minorHAnsi"/>
          <w:i/>
          <w:iCs/>
        </w:rPr>
        <w:t>Education and Training Reform Act 2006</w:t>
      </w:r>
      <w:r w:rsidRPr="00C82BA2">
        <w:rPr>
          <w:rFonts w:asciiTheme="minorHAnsi" w:hAnsiTheme="minorHAnsi" w:cstheme="minorHAnsi"/>
        </w:rPr>
        <w:t xml:space="preserve"> (Vic), s 2.1A.15(2).</w:t>
      </w:r>
    </w:p>
  </w:footnote>
  <w:footnote w:id="5">
    <w:p w14:paraId="0AAE4185" w14:textId="74A07142" w:rsidR="001206B9" w:rsidRPr="00C82BA2" w:rsidRDefault="001206B9" w:rsidP="001206B9">
      <w:pPr>
        <w:pStyle w:val="FootnoteText"/>
        <w:rPr>
          <w:rFonts w:asciiTheme="minorHAnsi" w:hAnsiTheme="minorHAnsi" w:cstheme="minorHAnsi"/>
        </w:rPr>
      </w:pPr>
      <w:r w:rsidRPr="00C82BA2">
        <w:rPr>
          <w:rStyle w:val="FootnoteReference"/>
          <w:rFonts w:asciiTheme="minorHAnsi" w:hAnsiTheme="minorHAnsi" w:cstheme="minorHAnsi"/>
        </w:rPr>
        <w:footnoteRef/>
      </w:r>
      <w:r w:rsidRPr="00C82BA2">
        <w:rPr>
          <w:rFonts w:asciiTheme="minorHAnsi" w:hAnsiTheme="minorHAnsi" w:cstheme="minorHAnsi"/>
        </w:rPr>
        <w:t xml:space="preserve"> Ministerial Guidelines, </w:t>
      </w:r>
      <w:r w:rsidR="001F4DCC" w:rsidRPr="00C82BA2">
        <w:rPr>
          <w:rFonts w:asciiTheme="minorHAnsi" w:hAnsiTheme="minorHAnsi" w:cstheme="minorHAnsi"/>
        </w:rPr>
        <w:t xml:space="preserve">paragraphs 137-153. </w:t>
      </w:r>
    </w:p>
  </w:footnote>
  <w:footnote w:id="6">
    <w:p w14:paraId="75E82645" w14:textId="6C7CC178" w:rsidR="00EE3F44" w:rsidRPr="00C82BA2" w:rsidRDefault="00EE3F44" w:rsidP="00EE3F44">
      <w:pPr>
        <w:pStyle w:val="FootnoteText"/>
        <w:rPr>
          <w:rFonts w:asciiTheme="minorHAnsi" w:hAnsiTheme="minorHAnsi" w:cstheme="minorHAnsi"/>
        </w:rPr>
      </w:pPr>
      <w:r w:rsidRPr="00C82BA2">
        <w:rPr>
          <w:rStyle w:val="FootnoteReference"/>
          <w:rFonts w:asciiTheme="minorHAnsi" w:hAnsiTheme="minorHAnsi" w:cstheme="minorHAnsi"/>
        </w:rPr>
        <w:footnoteRef/>
      </w:r>
      <w:r w:rsidRPr="00C82BA2">
        <w:rPr>
          <w:rFonts w:asciiTheme="minorHAnsi" w:hAnsiTheme="minorHAnsi" w:cstheme="minorHAnsi"/>
        </w:rPr>
        <w:t xml:space="preserve"> </w:t>
      </w:r>
      <w:r w:rsidRPr="00C82BA2">
        <w:rPr>
          <w:rFonts w:asciiTheme="minorHAnsi" w:hAnsiTheme="minorHAnsi" w:cstheme="minorHAnsi"/>
          <w:i/>
          <w:iCs/>
        </w:rPr>
        <w:t>Education and Training Reform Act 2006</w:t>
      </w:r>
      <w:r w:rsidRPr="00C82BA2">
        <w:rPr>
          <w:rFonts w:asciiTheme="minorHAnsi" w:hAnsiTheme="minorHAnsi" w:cstheme="minorHAnsi"/>
        </w:rPr>
        <w:t xml:space="preserve"> (Vic), s 2.1A.2(1)</w:t>
      </w:r>
      <w:r w:rsidR="00115E09" w:rsidRPr="00C82BA2">
        <w:rPr>
          <w:rFonts w:asciiTheme="minorHAnsi" w:hAnsiTheme="minorHAnsi" w:cstheme="minorHAnsi"/>
        </w:rPr>
        <w:t xml:space="preserve"> &amp; (2)</w:t>
      </w:r>
      <w:r w:rsidRPr="00C82BA2">
        <w:rPr>
          <w:rFonts w:asciiTheme="minorHAnsi" w:hAnsiTheme="minorHAnsi" w:cstheme="minorHAnsi"/>
        </w:rPr>
        <w:t>.</w:t>
      </w:r>
    </w:p>
  </w:footnote>
  <w:footnote w:id="7">
    <w:p w14:paraId="26DE5CD5" w14:textId="09171A99" w:rsidR="00B77A03" w:rsidRPr="00C82BA2" w:rsidRDefault="00B77A03">
      <w:pPr>
        <w:pStyle w:val="FootnoteText"/>
        <w:rPr>
          <w:rFonts w:asciiTheme="minorHAnsi" w:hAnsiTheme="minorHAnsi" w:cstheme="minorHAnsi"/>
        </w:rPr>
      </w:pPr>
      <w:r w:rsidRPr="00C82BA2">
        <w:rPr>
          <w:rStyle w:val="FootnoteReference"/>
          <w:rFonts w:asciiTheme="minorHAnsi" w:hAnsiTheme="minorHAnsi" w:cstheme="minorHAnsi"/>
        </w:rPr>
        <w:footnoteRef/>
      </w:r>
      <w:r w:rsidRPr="00C82BA2">
        <w:rPr>
          <w:rFonts w:asciiTheme="minorHAnsi" w:hAnsiTheme="minorHAnsi" w:cstheme="minorHAnsi"/>
        </w:rPr>
        <w:t xml:space="preserve"> </w:t>
      </w:r>
      <w:r w:rsidRPr="00C82BA2">
        <w:rPr>
          <w:rFonts w:asciiTheme="minorHAnsi" w:hAnsiTheme="minorHAnsi" w:cstheme="minorHAnsi"/>
          <w:i/>
          <w:iCs/>
        </w:rPr>
        <w:t>Education and Training Reform Act 2006</w:t>
      </w:r>
      <w:r w:rsidRPr="00C82BA2">
        <w:rPr>
          <w:rFonts w:asciiTheme="minorHAnsi" w:hAnsiTheme="minorHAnsi" w:cstheme="minorHAnsi"/>
        </w:rPr>
        <w:t xml:space="preserve"> (Vic), s 2.1A.5(1)(a).</w:t>
      </w:r>
    </w:p>
  </w:footnote>
  <w:footnote w:id="8">
    <w:p w14:paraId="3779E04C" w14:textId="566418C0" w:rsidR="00EE3F44" w:rsidRPr="00C82BA2" w:rsidRDefault="00EE3F44" w:rsidP="00EE3F44">
      <w:pPr>
        <w:pStyle w:val="FootnoteText"/>
        <w:rPr>
          <w:rFonts w:asciiTheme="minorHAnsi" w:hAnsiTheme="minorHAnsi" w:cstheme="minorHAnsi"/>
        </w:rPr>
      </w:pPr>
      <w:r w:rsidRPr="00C82BA2">
        <w:rPr>
          <w:rStyle w:val="FootnoteReference"/>
          <w:rFonts w:asciiTheme="minorHAnsi" w:hAnsiTheme="minorHAnsi" w:cstheme="minorHAnsi"/>
        </w:rPr>
        <w:footnoteRef/>
      </w:r>
      <w:r w:rsidRPr="00C82BA2">
        <w:rPr>
          <w:rFonts w:asciiTheme="minorHAnsi" w:hAnsiTheme="minorHAnsi" w:cstheme="minorHAnsi"/>
        </w:rPr>
        <w:t xml:space="preserve"> </w:t>
      </w:r>
      <w:r w:rsidRPr="00C82BA2">
        <w:rPr>
          <w:rFonts w:asciiTheme="minorHAnsi" w:hAnsiTheme="minorHAnsi" w:cstheme="minorHAnsi"/>
          <w:i/>
          <w:iCs/>
        </w:rPr>
        <w:t>Education and Training Reform Act 2006</w:t>
      </w:r>
      <w:r w:rsidRPr="00C82BA2">
        <w:rPr>
          <w:rFonts w:asciiTheme="minorHAnsi" w:hAnsiTheme="minorHAnsi" w:cstheme="minorHAnsi"/>
        </w:rPr>
        <w:t xml:space="preserve"> (Vic), </w:t>
      </w:r>
      <w:r w:rsidR="00676220" w:rsidRPr="00C82BA2">
        <w:rPr>
          <w:rFonts w:asciiTheme="minorHAnsi" w:hAnsiTheme="minorHAnsi" w:cstheme="minorHAnsi"/>
        </w:rPr>
        <w:t>s</w:t>
      </w:r>
      <w:r w:rsidRPr="00C82BA2">
        <w:rPr>
          <w:rFonts w:asciiTheme="minorHAnsi" w:hAnsiTheme="minorHAnsi" w:cstheme="minorHAnsi"/>
        </w:rPr>
        <w:t>s 2.1A.9(1), 2.1A.12(1).</w:t>
      </w:r>
    </w:p>
  </w:footnote>
  <w:footnote w:id="9">
    <w:p w14:paraId="599EA743" w14:textId="59166E4B" w:rsidR="00EE3F44" w:rsidRPr="00C82BA2" w:rsidRDefault="00EE3F44" w:rsidP="00EE3F44">
      <w:pPr>
        <w:pStyle w:val="FootnoteText"/>
        <w:rPr>
          <w:rFonts w:asciiTheme="minorHAnsi" w:hAnsiTheme="minorHAnsi" w:cstheme="minorHAnsi"/>
        </w:rPr>
      </w:pPr>
      <w:r w:rsidRPr="00C82BA2">
        <w:rPr>
          <w:rStyle w:val="FootnoteReference"/>
          <w:rFonts w:asciiTheme="minorHAnsi" w:hAnsiTheme="minorHAnsi" w:cstheme="minorHAnsi"/>
        </w:rPr>
        <w:footnoteRef/>
      </w:r>
      <w:r w:rsidRPr="00C82BA2">
        <w:rPr>
          <w:rFonts w:asciiTheme="minorHAnsi" w:hAnsiTheme="minorHAnsi" w:cstheme="minorHAnsi"/>
        </w:rPr>
        <w:t xml:space="preserve"> </w:t>
      </w:r>
      <w:r w:rsidRPr="00C82BA2">
        <w:rPr>
          <w:rFonts w:asciiTheme="minorHAnsi" w:hAnsiTheme="minorHAnsi" w:cstheme="minorHAnsi"/>
          <w:i/>
          <w:iCs/>
        </w:rPr>
        <w:t>Education and Training Reform Act 2006</w:t>
      </w:r>
      <w:r w:rsidRPr="00C82BA2">
        <w:rPr>
          <w:rFonts w:asciiTheme="minorHAnsi" w:hAnsiTheme="minorHAnsi" w:cstheme="minorHAnsi"/>
        </w:rPr>
        <w:t xml:space="preserve"> (Vic), s 2.1A.27.</w:t>
      </w:r>
    </w:p>
  </w:footnote>
  <w:footnote w:id="10">
    <w:p w14:paraId="3683A582" w14:textId="4C920657" w:rsidR="00EE3F44" w:rsidRPr="00C82BA2" w:rsidRDefault="00EE3F44" w:rsidP="00EE3F44">
      <w:pPr>
        <w:pStyle w:val="FootnoteText"/>
        <w:rPr>
          <w:rFonts w:asciiTheme="minorHAnsi" w:hAnsiTheme="minorHAnsi" w:cstheme="minorHAnsi"/>
        </w:rPr>
      </w:pPr>
      <w:r w:rsidRPr="00C82BA2">
        <w:rPr>
          <w:rStyle w:val="FootnoteReference"/>
          <w:rFonts w:asciiTheme="minorHAnsi" w:hAnsiTheme="minorHAnsi" w:cstheme="minorHAnsi"/>
        </w:rPr>
        <w:footnoteRef/>
      </w:r>
      <w:r w:rsidRPr="00C82BA2">
        <w:rPr>
          <w:rFonts w:asciiTheme="minorHAnsi" w:hAnsiTheme="minorHAnsi" w:cstheme="minorHAnsi"/>
        </w:rPr>
        <w:t xml:space="preserve"> </w:t>
      </w:r>
      <w:r w:rsidRPr="00C82BA2">
        <w:rPr>
          <w:rFonts w:asciiTheme="minorHAnsi" w:hAnsiTheme="minorHAnsi" w:cstheme="minorHAnsi"/>
          <w:i/>
          <w:iCs/>
        </w:rPr>
        <w:t>Education and Training Reform Act 2006</w:t>
      </w:r>
      <w:r w:rsidRPr="00C82BA2">
        <w:rPr>
          <w:rFonts w:asciiTheme="minorHAnsi" w:hAnsiTheme="minorHAnsi" w:cstheme="minorHAnsi"/>
        </w:rPr>
        <w:t xml:space="preserve"> (Vic), s 2.1A.21.</w:t>
      </w:r>
    </w:p>
  </w:footnote>
  <w:footnote w:id="11">
    <w:p w14:paraId="7DDAA4AB" w14:textId="79C1DA43" w:rsidR="00555E24" w:rsidRPr="00C82BA2" w:rsidRDefault="00555E24">
      <w:pPr>
        <w:pStyle w:val="FootnoteText"/>
        <w:rPr>
          <w:rFonts w:asciiTheme="minorHAnsi" w:hAnsiTheme="minorHAnsi" w:cstheme="minorHAnsi"/>
        </w:rPr>
      </w:pPr>
      <w:r w:rsidRPr="00C82BA2">
        <w:rPr>
          <w:rStyle w:val="FootnoteReference"/>
          <w:rFonts w:asciiTheme="minorHAnsi" w:hAnsiTheme="minorHAnsi" w:cstheme="minorHAnsi"/>
        </w:rPr>
        <w:footnoteRef/>
      </w:r>
      <w:r w:rsidRPr="00C82BA2">
        <w:rPr>
          <w:rFonts w:asciiTheme="minorHAnsi" w:hAnsiTheme="minorHAnsi" w:cstheme="minorHAnsi"/>
        </w:rPr>
        <w:t xml:space="preserve"> </w:t>
      </w:r>
      <w:r w:rsidRPr="00C82BA2">
        <w:rPr>
          <w:rFonts w:asciiTheme="minorHAnsi" w:hAnsiTheme="minorHAnsi" w:cstheme="minorHAnsi"/>
          <w:i/>
          <w:iCs/>
        </w:rPr>
        <w:t>Education and Training Reform Amendment (Protection of School Communities) Bill 2021</w:t>
      </w:r>
      <w:r w:rsidRPr="00C82BA2">
        <w:rPr>
          <w:rFonts w:asciiTheme="minorHAnsi" w:hAnsiTheme="minorHAnsi" w:cstheme="minorHAnsi"/>
        </w:rPr>
        <w:t xml:space="preserve">, second reading speech, </w:t>
      </w:r>
      <w:r w:rsidR="001617DE" w:rsidRPr="00C82BA2">
        <w:rPr>
          <w:rFonts w:asciiTheme="minorHAnsi" w:hAnsiTheme="minorHAnsi" w:cstheme="minorHAnsi"/>
        </w:rPr>
        <w:t xml:space="preserve">Legislative Assembly Hansard, </w:t>
      </w:r>
      <w:r w:rsidRPr="00C82BA2">
        <w:rPr>
          <w:rFonts w:asciiTheme="minorHAnsi" w:hAnsiTheme="minorHAnsi" w:cstheme="minorHAnsi"/>
        </w:rPr>
        <w:t>5 May 2021</w:t>
      </w:r>
      <w:r w:rsidR="001617DE" w:rsidRPr="00C82BA2">
        <w:rPr>
          <w:rFonts w:asciiTheme="minorHAnsi" w:hAnsiTheme="minorHAnsi" w:cstheme="minorHAnsi"/>
        </w:rPr>
        <w:t>.</w:t>
      </w:r>
      <w:r w:rsidR="001B0E9A" w:rsidRPr="00C82BA2">
        <w:rPr>
          <w:rFonts w:asciiTheme="minorHAnsi" w:hAnsiTheme="minorHAnsi" w:cstheme="minorHAnsi"/>
        </w:rPr>
        <w:t xml:space="preserve"> </w:t>
      </w:r>
    </w:p>
  </w:footnote>
  <w:footnote w:id="12">
    <w:p w14:paraId="0A457AD2" w14:textId="080026F3" w:rsidR="00FB3800" w:rsidRPr="00C82BA2" w:rsidRDefault="00FB3800" w:rsidP="00FB3800">
      <w:pPr>
        <w:pStyle w:val="FootnoteText"/>
        <w:rPr>
          <w:rFonts w:asciiTheme="minorHAnsi" w:hAnsiTheme="minorHAnsi" w:cstheme="minorHAnsi"/>
        </w:rPr>
      </w:pPr>
      <w:r w:rsidRPr="00C82BA2">
        <w:rPr>
          <w:rStyle w:val="FootnoteReference"/>
          <w:rFonts w:asciiTheme="minorHAnsi" w:hAnsiTheme="minorHAnsi" w:cstheme="minorHAnsi"/>
        </w:rPr>
        <w:footnoteRef/>
      </w:r>
      <w:r w:rsidRPr="00C82BA2">
        <w:rPr>
          <w:rFonts w:asciiTheme="minorHAnsi" w:hAnsiTheme="minorHAnsi" w:cstheme="minorHAnsi"/>
        </w:rPr>
        <w:t xml:space="preserve"> School Community Safety Order Scheme Annual Report 2022-23, p. </w:t>
      </w:r>
      <w:r w:rsidR="006D58F6" w:rsidRPr="00C82BA2">
        <w:rPr>
          <w:rFonts w:asciiTheme="minorHAnsi" w:hAnsiTheme="minorHAnsi" w:cstheme="minorHAnsi"/>
        </w:rPr>
        <w:t>2</w:t>
      </w:r>
      <w:r w:rsidRPr="00C82BA2">
        <w:rPr>
          <w:rFonts w:asciiTheme="minorHAnsi" w:hAnsiTheme="minorHAnsi" w:cstheme="minorHAnsi"/>
        </w:rPr>
        <w:t>.</w:t>
      </w:r>
    </w:p>
  </w:footnote>
  <w:footnote w:id="13">
    <w:p w14:paraId="61D8A4A0" w14:textId="049A79D2" w:rsidR="007055F5" w:rsidRDefault="007055F5">
      <w:pPr>
        <w:pStyle w:val="FootnoteText"/>
      </w:pPr>
      <w:r>
        <w:rPr>
          <w:rStyle w:val="FootnoteReference"/>
        </w:rPr>
        <w:footnoteRef/>
      </w:r>
      <w:r>
        <w:t xml:space="preserve"> </w:t>
      </w:r>
      <w:r w:rsidRPr="00C82BA2">
        <w:rPr>
          <w:rFonts w:asciiTheme="minorHAnsi" w:hAnsiTheme="minorHAnsi" w:cstheme="minorHAnsi"/>
          <w:i/>
          <w:iCs/>
        </w:rPr>
        <w:t>Education and Training Reform Act 2006</w:t>
      </w:r>
      <w:r w:rsidRPr="00C82BA2">
        <w:rPr>
          <w:rFonts w:asciiTheme="minorHAnsi" w:hAnsiTheme="minorHAnsi" w:cstheme="minorHAnsi"/>
        </w:rPr>
        <w:t xml:space="preserve"> (Vic), s. 1.1.3.</w:t>
      </w:r>
    </w:p>
  </w:footnote>
  <w:footnote w:id="14">
    <w:p w14:paraId="23E7D4EB" w14:textId="7FEA8D24" w:rsidR="007127E4" w:rsidRPr="007127E4" w:rsidRDefault="007127E4" w:rsidP="007127E4">
      <w:pPr>
        <w:pStyle w:val="BodyIndent1"/>
        <w:ind w:left="0"/>
        <w:rPr>
          <w:sz w:val="18"/>
          <w:lang w:val="en-US"/>
        </w:rPr>
      </w:pPr>
      <w:r>
        <w:rPr>
          <w:rStyle w:val="FootnoteReference"/>
        </w:rPr>
        <w:footnoteRef/>
      </w:r>
      <w:r>
        <w:t xml:space="preserve"> </w:t>
      </w:r>
      <w:r w:rsidRPr="007127E4">
        <w:rPr>
          <w:sz w:val="18"/>
          <w:lang w:val="en-US"/>
        </w:rPr>
        <w:t>No places are currently prescribed under (d)</w:t>
      </w:r>
      <w:r>
        <w:rPr>
          <w:sz w:val="18"/>
          <w:lang w:val="en-US"/>
        </w:rPr>
        <w:t>.</w:t>
      </w:r>
    </w:p>
  </w:footnote>
  <w:footnote w:id="15">
    <w:p w14:paraId="564B5E9F" w14:textId="4CCEFB3D" w:rsidR="007F1662" w:rsidRPr="00C82BA2" w:rsidRDefault="007F1662">
      <w:pPr>
        <w:pStyle w:val="FootnoteText"/>
        <w:rPr>
          <w:rFonts w:asciiTheme="minorHAnsi" w:hAnsiTheme="minorHAnsi" w:cstheme="minorHAnsi"/>
        </w:rPr>
      </w:pPr>
      <w:r w:rsidRPr="00C82BA2">
        <w:rPr>
          <w:rStyle w:val="FootnoteReference"/>
          <w:rFonts w:asciiTheme="minorHAnsi" w:hAnsiTheme="minorHAnsi" w:cstheme="minorHAnsi"/>
        </w:rPr>
        <w:footnoteRef/>
      </w:r>
      <w:r w:rsidRPr="00C82BA2">
        <w:rPr>
          <w:rFonts w:asciiTheme="minorHAnsi" w:hAnsiTheme="minorHAnsi" w:cstheme="minorHAnsi"/>
        </w:rPr>
        <w:t xml:space="preserve"> Ministerial Guidelines, p</w:t>
      </w:r>
      <w:r w:rsidR="00CB46AA" w:rsidRPr="00C82BA2">
        <w:rPr>
          <w:rFonts w:asciiTheme="minorHAnsi" w:hAnsiTheme="minorHAnsi" w:cstheme="minorHAnsi"/>
        </w:rPr>
        <w:t>aragraphs 68-76.</w:t>
      </w:r>
    </w:p>
  </w:footnote>
  <w:footnote w:id="16">
    <w:p w14:paraId="334A07F2" w14:textId="21F9A313" w:rsidR="006B7597" w:rsidRPr="00C82BA2" w:rsidRDefault="006B7597">
      <w:pPr>
        <w:pStyle w:val="FootnoteText"/>
        <w:rPr>
          <w:rFonts w:asciiTheme="minorHAnsi" w:hAnsiTheme="minorHAnsi" w:cstheme="minorHAnsi"/>
        </w:rPr>
      </w:pPr>
      <w:r w:rsidRPr="00C82BA2">
        <w:rPr>
          <w:rStyle w:val="FootnoteReference"/>
          <w:rFonts w:asciiTheme="minorHAnsi" w:hAnsiTheme="minorHAnsi" w:cstheme="minorHAnsi"/>
        </w:rPr>
        <w:footnoteRef/>
      </w:r>
      <w:r w:rsidRPr="00C82BA2">
        <w:rPr>
          <w:rFonts w:asciiTheme="minorHAnsi" w:hAnsiTheme="minorHAnsi" w:cstheme="minorHAnsi"/>
        </w:rPr>
        <w:t xml:space="preserve"> Refer to the Second Reading Speech.</w:t>
      </w:r>
    </w:p>
  </w:footnote>
  <w:footnote w:id="17">
    <w:p w14:paraId="1F923A38" w14:textId="5BFDDE16" w:rsidR="007127E4" w:rsidRDefault="007127E4">
      <w:pPr>
        <w:pStyle w:val="FootnoteText"/>
      </w:pPr>
      <w:r>
        <w:rPr>
          <w:rStyle w:val="FootnoteReference"/>
        </w:rPr>
        <w:footnoteRef/>
      </w:r>
      <w:r>
        <w:t xml:space="preserve"> Section 2.1A.5(2) and (3), for immediate orders; s 2.1A.17(2) and (3) for ongoing orders</w:t>
      </w:r>
    </w:p>
  </w:footnote>
  <w:footnote w:id="18">
    <w:p w14:paraId="0A03C912" w14:textId="77777777" w:rsidR="00EC4D67" w:rsidRPr="00C82BA2" w:rsidRDefault="00EC4D67" w:rsidP="00EC4D67">
      <w:pPr>
        <w:pStyle w:val="FootnoteText"/>
        <w:rPr>
          <w:rFonts w:asciiTheme="minorHAnsi" w:hAnsiTheme="minorHAnsi" w:cstheme="minorHAnsi"/>
        </w:rPr>
      </w:pPr>
      <w:r w:rsidRPr="00C82BA2">
        <w:rPr>
          <w:rStyle w:val="FootnoteReference"/>
          <w:rFonts w:asciiTheme="minorHAnsi" w:hAnsiTheme="minorHAnsi" w:cstheme="minorHAnsi"/>
        </w:rPr>
        <w:footnoteRef/>
      </w:r>
      <w:r w:rsidRPr="00C82BA2">
        <w:rPr>
          <w:rFonts w:asciiTheme="minorHAnsi" w:hAnsiTheme="minorHAnsi" w:cstheme="minorHAnsi"/>
        </w:rPr>
        <w:t xml:space="preserve"> </w:t>
      </w:r>
      <w:r w:rsidRPr="00C82BA2">
        <w:rPr>
          <w:rFonts w:asciiTheme="minorHAnsi" w:hAnsiTheme="minorHAnsi" w:cstheme="minorHAnsi"/>
          <w:i/>
          <w:iCs/>
        </w:rPr>
        <w:t>Education and Training Reform Amendment (Protection of School Communities) Bill 2021</w:t>
      </w:r>
      <w:r w:rsidRPr="00C82BA2">
        <w:rPr>
          <w:rFonts w:asciiTheme="minorHAnsi" w:hAnsiTheme="minorHAnsi" w:cstheme="minorHAnsi"/>
        </w:rPr>
        <w:t xml:space="preserve">, second reading speech, Legislative Assembly Hansard, 5 May 2021. </w:t>
      </w:r>
    </w:p>
  </w:footnote>
  <w:footnote w:id="19">
    <w:p w14:paraId="68B666BD" w14:textId="403975DC" w:rsidR="00846E21" w:rsidRPr="00C82BA2" w:rsidRDefault="00846E21" w:rsidP="00846E21">
      <w:pPr>
        <w:pStyle w:val="FootnoteText"/>
        <w:rPr>
          <w:rFonts w:asciiTheme="minorHAnsi" w:hAnsiTheme="minorHAnsi" w:cstheme="minorHAnsi"/>
        </w:rPr>
      </w:pPr>
      <w:r w:rsidRPr="00C82BA2">
        <w:rPr>
          <w:rStyle w:val="FootnoteReference"/>
          <w:rFonts w:asciiTheme="minorHAnsi" w:hAnsiTheme="minorHAnsi" w:cstheme="minorHAnsi"/>
        </w:rPr>
        <w:footnoteRef/>
      </w:r>
      <w:r w:rsidRPr="00C82BA2">
        <w:rPr>
          <w:rFonts w:asciiTheme="minorHAnsi" w:hAnsiTheme="minorHAnsi" w:cstheme="minorHAnsi"/>
        </w:rPr>
        <w:t xml:space="preserve"> Ministerial Guidelines, </w:t>
      </w:r>
      <w:r w:rsidR="008F1C04" w:rsidRPr="00C82BA2">
        <w:rPr>
          <w:rFonts w:asciiTheme="minorHAnsi" w:hAnsiTheme="minorHAnsi" w:cstheme="minorHAnsi"/>
        </w:rPr>
        <w:t>paragraphs 110-1</w:t>
      </w:r>
      <w:r w:rsidR="00BA644A" w:rsidRPr="00C82BA2">
        <w:rPr>
          <w:rFonts w:asciiTheme="minorHAnsi" w:hAnsiTheme="minorHAnsi" w:cstheme="minorHAnsi"/>
        </w:rPr>
        <w:t>2</w:t>
      </w:r>
      <w:r w:rsidR="008F1C04" w:rsidRPr="00C82BA2">
        <w:rPr>
          <w:rFonts w:asciiTheme="minorHAnsi" w:hAnsiTheme="minorHAnsi" w:cstheme="minorHAnsi"/>
        </w:rPr>
        <w:t xml:space="preserve">6. </w:t>
      </w:r>
    </w:p>
  </w:footnote>
  <w:footnote w:id="20">
    <w:p w14:paraId="5ED08EEE" w14:textId="76ECC574" w:rsidR="00832AB6" w:rsidRPr="00C82BA2" w:rsidRDefault="00832AB6">
      <w:pPr>
        <w:pStyle w:val="FootnoteText"/>
        <w:rPr>
          <w:rFonts w:asciiTheme="minorHAnsi" w:hAnsiTheme="minorHAnsi" w:cstheme="minorHAnsi"/>
        </w:rPr>
      </w:pPr>
      <w:r w:rsidRPr="00C82BA2">
        <w:rPr>
          <w:rStyle w:val="FootnoteReference"/>
          <w:rFonts w:asciiTheme="minorHAnsi" w:hAnsiTheme="minorHAnsi" w:cstheme="minorHAnsi"/>
        </w:rPr>
        <w:footnoteRef/>
      </w:r>
      <w:r w:rsidRPr="00C82BA2">
        <w:rPr>
          <w:rFonts w:asciiTheme="minorHAnsi" w:hAnsiTheme="minorHAnsi" w:cstheme="minorHAnsi"/>
        </w:rPr>
        <w:t xml:space="preserve"> </w:t>
      </w:r>
      <w:r w:rsidRPr="00C82BA2">
        <w:rPr>
          <w:rFonts w:asciiTheme="minorHAnsi" w:hAnsiTheme="minorHAnsi" w:cstheme="minorHAnsi"/>
          <w:i/>
          <w:iCs/>
        </w:rPr>
        <w:t>Education and Training Reform Act 2006</w:t>
      </w:r>
      <w:r w:rsidRPr="00C82BA2">
        <w:rPr>
          <w:rFonts w:asciiTheme="minorHAnsi" w:hAnsiTheme="minorHAnsi" w:cstheme="minorHAnsi"/>
        </w:rPr>
        <w:t xml:space="preserve"> (Vic),</w:t>
      </w:r>
      <w:r w:rsidR="00515D7A">
        <w:rPr>
          <w:rFonts w:asciiTheme="minorHAnsi" w:hAnsiTheme="minorHAnsi" w:cstheme="minorHAnsi"/>
        </w:rPr>
        <w:t xml:space="preserve"> s </w:t>
      </w:r>
      <w:r w:rsidRPr="00C82BA2">
        <w:rPr>
          <w:rFonts w:asciiTheme="minorHAnsi" w:hAnsiTheme="minorHAnsi" w:cstheme="minorHAnsi"/>
        </w:rPr>
        <w:t>2.1A.4.</w:t>
      </w:r>
    </w:p>
  </w:footnote>
  <w:footnote w:id="21">
    <w:p w14:paraId="11319AA9" w14:textId="745FE5A1" w:rsidR="005A7D9A" w:rsidRPr="00C82BA2" w:rsidRDefault="005A7D9A">
      <w:pPr>
        <w:pStyle w:val="FootnoteText"/>
        <w:rPr>
          <w:rFonts w:asciiTheme="minorHAnsi" w:hAnsiTheme="minorHAnsi" w:cstheme="minorHAnsi"/>
        </w:rPr>
      </w:pPr>
      <w:r w:rsidRPr="00C82BA2">
        <w:rPr>
          <w:rStyle w:val="FootnoteReference"/>
          <w:rFonts w:asciiTheme="minorHAnsi" w:hAnsiTheme="minorHAnsi" w:cstheme="minorHAnsi"/>
        </w:rPr>
        <w:footnoteRef/>
      </w:r>
      <w:r w:rsidRPr="00C82BA2">
        <w:rPr>
          <w:rFonts w:asciiTheme="minorHAnsi" w:hAnsiTheme="minorHAnsi" w:cstheme="minorHAnsi"/>
        </w:rPr>
        <w:t xml:space="preserve"> </w:t>
      </w:r>
      <w:r w:rsidRPr="00C82BA2">
        <w:rPr>
          <w:rFonts w:asciiTheme="minorHAnsi" w:hAnsiTheme="minorHAnsi" w:cstheme="minorHAnsi"/>
          <w:i/>
          <w:iCs/>
        </w:rPr>
        <w:t>Education and Training Reform Act 2006</w:t>
      </w:r>
      <w:r w:rsidRPr="00C82BA2">
        <w:rPr>
          <w:rFonts w:asciiTheme="minorHAnsi" w:hAnsiTheme="minorHAnsi" w:cstheme="minorHAnsi"/>
        </w:rPr>
        <w:t xml:space="preserve"> (Vic),</w:t>
      </w:r>
      <w:r w:rsidR="00515D7A">
        <w:rPr>
          <w:rFonts w:asciiTheme="minorHAnsi" w:hAnsiTheme="minorHAnsi" w:cstheme="minorHAnsi"/>
        </w:rPr>
        <w:t xml:space="preserve"> s </w:t>
      </w:r>
      <w:r w:rsidRPr="00C82BA2">
        <w:rPr>
          <w:rFonts w:asciiTheme="minorHAnsi" w:hAnsiTheme="minorHAnsi" w:cstheme="minorHAnsi"/>
        </w:rPr>
        <w:t>2.1A.21</w:t>
      </w:r>
      <w:r w:rsidR="000D4F11" w:rsidRPr="00C82BA2">
        <w:rPr>
          <w:rFonts w:asciiTheme="minorHAnsi" w:hAnsiTheme="minorHAnsi" w:cstheme="minorHAnsi"/>
        </w:rPr>
        <w:t>.</w:t>
      </w:r>
    </w:p>
  </w:footnote>
  <w:footnote w:id="22">
    <w:p w14:paraId="15B98350" w14:textId="3FE63C54" w:rsidR="00C74CC5" w:rsidRPr="00C82BA2" w:rsidRDefault="00C74CC5">
      <w:pPr>
        <w:pStyle w:val="FootnoteText"/>
        <w:rPr>
          <w:rFonts w:asciiTheme="minorHAnsi" w:hAnsiTheme="minorHAnsi" w:cstheme="minorHAnsi"/>
        </w:rPr>
      </w:pPr>
      <w:r w:rsidRPr="00C82BA2">
        <w:rPr>
          <w:rStyle w:val="FootnoteReference"/>
          <w:rFonts w:asciiTheme="minorHAnsi" w:hAnsiTheme="minorHAnsi" w:cstheme="minorHAnsi"/>
        </w:rPr>
        <w:footnoteRef/>
      </w:r>
      <w:r w:rsidRPr="00C82BA2">
        <w:rPr>
          <w:rFonts w:asciiTheme="minorHAnsi" w:hAnsiTheme="minorHAnsi" w:cstheme="minorHAnsi"/>
        </w:rPr>
        <w:t xml:space="preserve"> Ministerial Guidelines, p</w:t>
      </w:r>
      <w:r w:rsidR="003767AA" w:rsidRPr="00C82BA2">
        <w:rPr>
          <w:rFonts w:asciiTheme="minorHAnsi" w:hAnsiTheme="minorHAnsi" w:cstheme="minorHAnsi"/>
        </w:rPr>
        <w:t>aragraphs 214-220.</w:t>
      </w:r>
    </w:p>
  </w:footnote>
  <w:footnote w:id="23">
    <w:p w14:paraId="72F4015B" w14:textId="1DF9404F" w:rsidR="00095F1D" w:rsidRPr="00C82BA2" w:rsidRDefault="00095F1D">
      <w:pPr>
        <w:pStyle w:val="FootnoteText"/>
        <w:rPr>
          <w:rFonts w:asciiTheme="minorHAnsi" w:hAnsiTheme="minorHAnsi" w:cstheme="minorHAnsi"/>
        </w:rPr>
      </w:pPr>
      <w:r w:rsidRPr="00C82BA2">
        <w:rPr>
          <w:rStyle w:val="FootnoteReference"/>
          <w:rFonts w:asciiTheme="minorHAnsi" w:hAnsiTheme="minorHAnsi" w:cstheme="minorHAnsi"/>
        </w:rPr>
        <w:footnoteRef/>
      </w:r>
      <w:r w:rsidRPr="00C82BA2">
        <w:rPr>
          <w:rFonts w:asciiTheme="minorHAnsi" w:hAnsiTheme="minorHAnsi" w:cstheme="minorHAnsi"/>
        </w:rPr>
        <w:t xml:space="preserve"> </w:t>
      </w:r>
      <w:r w:rsidRPr="00C82BA2">
        <w:rPr>
          <w:rFonts w:asciiTheme="minorHAnsi" w:hAnsiTheme="minorHAnsi" w:cstheme="minorHAnsi"/>
          <w:i/>
          <w:iCs/>
        </w:rPr>
        <w:t>Education and Training Reform Act 2006</w:t>
      </w:r>
      <w:r w:rsidRPr="00C82BA2">
        <w:rPr>
          <w:rFonts w:asciiTheme="minorHAnsi" w:hAnsiTheme="minorHAnsi" w:cstheme="minorHAnsi"/>
        </w:rPr>
        <w:t xml:space="preserve"> (Vic),</w:t>
      </w:r>
      <w:r w:rsidR="00515D7A">
        <w:rPr>
          <w:rFonts w:asciiTheme="minorHAnsi" w:hAnsiTheme="minorHAnsi" w:cstheme="minorHAnsi"/>
        </w:rPr>
        <w:t xml:space="preserve"> s </w:t>
      </w:r>
      <w:r w:rsidRPr="00C82BA2">
        <w:rPr>
          <w:rFonts w:asciiTheme="minorHAnsi" w:hAnsiTheme="minorHAnsi" w:cstheme="minorHAnsi"/>
        </w:rPr>
        <w:t>2.1A.23.</w:t>
      </w:r>
    </w:p>
  </w:footnote>
  <w:footnote w:id="24">
    <w:p w14:paraId="334FC4EA" w14:textId="3E1355EE" w:rsidR="00910AB4" w:rsidRPr="00C82BA2" w:rsidRDefault="00910AB4" w:rsidP="00910AB4">
      <w:pPr>
        <w:pStyle w:val="FootnoteText"/>
        <w:rPr>
          <w:rFonts w:asciiTheme="minorHAnsi" w:hAnsiTheme="minorHAnsi" w:cstheme="minorHAnsi"/>
        </w:rPr>
      </w:pPr>
      <w:r w:rsidRPr="00C82BA2">
        <w:rPr>
          <w:rStyle w:val="FootnoteReference"/>
          <w:rFonts w:asciiTheme="minorHAnsi" w:hAnsiTheme="minorHAnsi" w:cstheme="minorHAnsi"/>
        </w:rPr>
        <w:footnoteRef/>
      </w:r>
      <w:r w:rsidRPr="00C82BA2">
        <w:rPr>
          <w:rFonts w:asciiTheme="minorHAnsi" w:hAnsiTheme="minorHAnsi" w:cstheme="minorHAnsi"/>
        </w:rPr>
        <w:t xml:space="preserve"> </w:t>
      </w:r>
      <w:r w:rsidRPr="00C82BA2">
        <w:rPr>
          <w:rFonts w:asciiTheme="minorHAnsi" w:hAnsiTheme="minorHAnsi" w:cstheme="minorHAnsi"/>
          <w:i/>
          <w:iCs/>
        </w:rPr>
        <w:t>Education and Training Reform Act 2006</w:t>
      </w:r>
      <w:r w:rsidRPr="00C82BA2">
        <w:rPr>
          <w:rFonts w:asciiTheme="minorHAnsi" w:hAnsiTheme="minorHAnsi" w:cstheme="minorHAnsi"/>
        </w:rPr>
        <w:t xml:space="preserve"> (Vic), ss. 2.1A.7, 2.1A.20</w:t>
      </w:r>
      <w:r w:rsidR="000E45D9">
        <w:rPr>
          <w:rFonts w:asciiTheme="minorHAnsi" w:hAnsiTheme="minorHAnsi" w:cstheme="minorHAnsi"/>
        </w:rPr>
        <w:t>;</w:t>
      </w:r>
      <w:r w:rsidRPr="00C82BA2">
        <w:rPr>
          <w:rFonts w:asciiTheme="minorHAnsi" w:hAnsiTheme="minorHAnsi" w:cstheme="minorHAnsi"/>
        </w:rPr>
        <w:t xml:space="preserve"> </w:t>
      </w:r>
      <w:r w:rsidRPr="00C82BA2">
        <w:rPr>
          <w:rFonts w:asciiTheme="minorHAnsi" w:hAnsiTheme="minorHAnsi" w:cstheme="minorHAnsi"/>
          <w:i/>
          <w:iCs/>
        </w:rPr>
        <w:t xml:space="preserve">Education and Training Reform Regulations 2017 </w:t>
      </w:r>
      <w:r w:rsidRPr="00C82BA2">
        <w:rPr>
          <w:rFonts w:asciiTheme="minorHAnsi" w:hAnsiTheme="minorHAnsi" w:cstheme="minorHAnsi"/>
        </w:rPr>
        <w:t>(Vic), rr. 11A, 11B.</w:t>
      </w:r>
    </w:p>
  </w:footnote>
  <w:footnote w:id="25">
    <w:p w14:paraId="2BEFB336" w14:textId="7E24E30C" w:rsidR="000E7FA1" w:rsidRPr="00C82BA2" w:rsidRDefault="000E7FA1">
      <w:pPr>
        <w:pStyle w:val="FootnoteText"/>
        <w:rPr>
          <w:rFonts w:asciiTheme="minorHAnsi" w:hAnsiTheme="minorHAnsi" w:cstheme="minorHAnsi"/>
        </w:rPr>
      </w:pPr>
      <w:r w:rsidRPr="00C82BA2">
        <w:rPr>
          <w:rStyle w:val="FootnoteReference"/>
          <w:rFonts w:asciiTheme="minorHAnsi" w:hAnsiTheme="minorHAnsi" w:cstheme="minorHAnsi"/>
        </w:rPr>
        <w:footnoteRef/>
      </w:r>
      <w:r w:rsidRPr="00C82BA2">
        <w:rPr>
          <w:rFonts w:asciiTheme="minorHAnsi" w:hAnsiTheme="minorHAnsi" w:cstheme="minorHAnsi"/>
        </w:rPr>
        <w:t xml:space="preserve"> </w:t>
      </w:r>
      <w:r w:rsidRPr="00C82BA2">
        <w:rPr>
          <w:rFonts w:asciiTheme="minorHAnsi" w:hAnsiTheme="minorHAnsi" w:cstheme="minorHAnsi"/>
          <w:i/>
          <w:iCs/>
        </w:rPr>
        <w:t>Education and Training Reform Act 2006</w:t>
      </w:r>
      <w:r w:rsidRPr="00C82BA2">
        <w:rPr>
          <w:rFonts w:asciiTheme="minorHAnsi" w:hAnsiTheme="minorHAnsi" w:cstheme="minorHAnsi"/>
        </w:rPr>
        <w:t xml:space="preserve"> (Vic),</w:t>
      </w:r>
      <w:r w:rsidR="00515D7A">
        <w:rPr>
          <w:rFonts w:asciiTheme="minorHAnsi" w:hAnsiTheme="minorHAnsi" w:cstheme="minorHAnsi"/>
        </w:rPr>
        <w:t xml:space="preserve"> s </w:t>
      </w:r>
      <w:r w:rsidRPr="00C82BA2">
        <w:rPr>
          <w:rFonts w:asciiTheme="minorHAnsi" w:hAnsiTheme="minorHAnsi" w:cstheme="minorHAnsi"/>
        </w:rPr>
        <w:t>2.1A.3.</w:t>
      </w:r>
    </w:p>
  </w:footnote>
  <w:footnote w:id="26">
    <w:p w14:paraId="16420A9E" w14:textId="77777777" w:rsidR="00910AB4" w:rsidRPr="00C82BA2" w:rsidRDefault="00910AB4" w:rsidP="00910AB4">
      <w:pPr>
        <w:pStyle w:val="FootnoteText"/>
        <w:rPr>
          <w:rFonts w:asciiTheme="minorHAnsi" w:hAnsiTheme="minorHAnsi" w:cstheme="minorHAnsi"/>
        </w:rPr>
      </w:pPr>
      <w:r w:rsidRPr="00C82BA2">
        <w:rPr>
          <w:rStyle w:val="FootnoteReference"/>
          <w:rFonts w:asciiTheme="minorHAnsi" w:hAnsiTheme="minorHAnsi" w:cstheme="minorHAnsi"/>
        </w:rPr>
        <w:footnoteRef/>
      </w:r>
      <w:r w:rsidRPr="00C82BA2">
        <w:rPr>
          <w:rFonts w:asciiTheme="minorHAnsi" w:hAnsiTheme="minorHAnsi" w:cstheme="minorHAnsi"/>
        </w:rPr>
        <w:t xml:space="preserve"> </w:t>
      </w:r>
      <w:r w:rsidRPr="00C82BA2">
        <w:rPr>
          <w:rFonts w:asciiTheme="minorHAnsi" w:hAnsiTheme="minorHAnsi" w:cstheme="minorHAnsi"/>
          <w:i/>
          <w:iCs/>
        </w:rPr>
        <w:t>Education and Training Reform Act 2006</w:t>
      </w:r>
      <w:r w:rsidRPr="00C82BA2">
        <w:rPr>
          <w:rFonts w:asciiTheme="minorHAnsi" w:hAnsiTheme="minorHAnsi" w:cstheme="minorHAnsi"/>
        </w:rPr>
        <w:t xml:space="preserve"> (Vic), ss. 2.1A.8, 2.1A.24.</w:t>
      </w:r>
    </w:p>
  </w:footnote>
  <w:footnote w:id="27">
    <w:p w14:paraId="76CC4E20" w14:textId="33190E86" w:rsidR="005B0C02" w:rsidRPr="00C82BA2" w:rsidRDefault="005B0C02">
      <w:pPr>
        <w:pStyle w:val="FootnoteText"/>
        <w:rPr>
          <w:rFonts w:asciiTheme="minorHAnsi" w:hAnsiTheme="minorHAnsi" w:cstheme="minorHAnsi"/>
        </w:rPr>
      </w:pPr>
      <w:r w:rsidRPr="00C82BA2">
        <w:rPr>
          <w:rStyle w:val="FootnoteReference"/>
          <w:rFonts w:asciiTheme="minorHAnsi" w:hAnsiTheme="minorHAnsi" w:cstheme="minorHAnsi"/>
        </w:rPr>
        <w:footnoteRef/>
      </w:r>
      <w:r w:rsidRPr="00C82BA2">
        <w:rPr>
          <w:rFonts w:asciiTheme="minorHAnsi" w:hAnsiTheme="minorHAnsi" w:cstheme="minorHAnsi"/>
        </w:rPr>
        <w:t xml:space="preserve"> Ministerial Guidelines, p</w:t>
      </w:r>
      <w:r w:rsidR="00A85126" w:rsidRPr="00C82BA2">
        <w:rPr>
          <w:rFonts w:asciiTheme="minorHAnsi" w:hAnsiTheme="minorHAnsi" w:cstheme="minorHAnsi"/>
        </w:rPr>
        <w:t>aragraph</w:t>
      </w:r>
      <w:r w:rsidR="007B1F4B" w:rsidRPr="00C82BA2">
        <w:rPr>
          <w:rFonts w:asciiTheme="minorHAnsi" w:hAnsiTheme="minorHAnsi" w:cstheme="minorHAnsi"/>
        </w:rPr>
        <w:t>s</w:t>
      </w:r>
      <w:r w:rsidR="00A85126" w:rsidRPr="00C82BA2">
        <w:rPr>
          <w:rFonts w:asciiTheme="minorHAnsi" w:hAnsiTheme="minorHAnsi" w:cstheme="minorHAnsi"/>
        </w:rPr>
        <w:t xml:space="preserve"> </w:t>
      </w:r>
      <w:r w:rsidR="00284257" w:rsidRPr="00C82BA2">
        <w:rPr>
          <w:rFonts w:asciiTheme="minorHAnsi" w:hAnsiTheme="minorHAnsi" w:cstheme="minorHAnsi"/>
        </w:rPr>
        <w:t xml:space="preserve">147, </w:t>
      </w:r>
      <w:r w:rsidR="00A85126" w:rsidRPr="00C82BA2">
        <w:rPr>
          <w:rFonts w:asciiTheme="minorHAnsi" w:hAnsiTheme="minorHAnsi" w:cstheme="minorHAnsi"/>
        </w:rPr>
        <w:t>166</w:t>
      </w:r>
      <w:r w:rsidR="00284257" w:rsidRPr="00C82BA2">
        <w:rPr>
          <w:rFonts w:asciiTheme="minorHAnsi" w:hAnsiTheme="minorHAnsi" w:cstheme="minorHAnsi"/>
        </w:rPr>
        <w:t>.</w:t>
      </w:r>
      <w:r w:rsidR="00A85126" w:rsidRPr="00C82BA2">
        <w:rPr>
          <w:rFonts w:asciiTheme="minorHAnsi" w:hAnsiTheme="minorHAnsi" w:cstheme="minorHAnsi"/>
        </w:rPr>
        <w:t xml:space="preserve"> </w:t>
      </w:r>
    </w:p>
  </w:footnote>
  <w:footnote w:id="28">
    <w:p w14:paraId="3C04CCD5" w14:textId="0F975C2F" w:rsidR="002062EE" w:rsidRPr="00C82BA2" w:rsidRDefault="002062EE">
      <w:pPr>
        <w:pStyle w:val="FootnoteText"/>
        <w:rPr>
          <w:rFonts w:asciiTheme="minorHAnsi" w:hAnsiTheme="minorHAnsi" w:cstheme="minorHAnsi"/>
        </w:rPr>
      </w:pPr>
      <w:r w:rsidRPr="00C82BA2">
        <w:rPr>
          <w:rStyle w:val="FootnoteReference"/>
          <w:rFonts w:asciiTheme="minorHAnsi" w:hAnsiTheme="minorHAnsi" w:cstheme="minorHAnsi"/>
        </w:rPr>
        <w:footnoteRef/>
      </w:r>
      <w:r w:rsidRPr="00C82BA2">
        <w:rPr>
          <w:rFonts w:asciiTheme="minorHAnsi" w:hAnsiTheme="minorHAnsi" w:cstheme="minorHAnsi"/>
        </w:rPr>
        <w:t xml:space="preserve"> </w:t>
      </w:r>
      <w:r w:rsidR="00E1097E" w:rsidRPr="00C82BA2">
        <w:rPr>
          <w:rFonts w:asciiTheme="minorHAnsi" w:hAnsiTheme="minorHAnsi" w:cstheme="minorHAnsi"/>
          <w:i/>
          <w:iCs/>
        </w:rPr>
        <w:t>Education and Training Reform Act 2006</w:t>
      </w:r>
      <w:r w:rsidR="00E1097E" w:rsidRPr="00C82BA2">
        <w:rPr>
          <w:rFonts w:asciiTheme="minorHAnsi" w:hAnsiTheme="minorHAnsi" w:cstheme="minorHAnsi"/>
        </w:rPr>
        <w:t xml:space="preserve"> (Vic), ss. 2.1A.13, 2.1A.23.</w:t>
      </w:r>
    </w:p>
  </w:footnote>
  <w:footnote w:id="29">
    <w:p w14:paraId="711244A6" w14:textId="4B483713" w:rsidR="00384422" w:rsidRPr="00C82BA2" w:rsidRDefault="00384422">
      <w:pPr>
        <w:pStyle w:val="FootnoteText"/>
        <w:rPr>
          <w:rFonts w:asciiTheme="minorHAnsi" w:hAnsiTheme="minorHAnsi" w:cstheme="minorHAnsi"/>
        </w:rPr>
      </w:pPr>
      <w:r w:rsidRPr="00C82BA2">
        <w:rPr>
          <w:rStyle w:val="FootnoteReference"/>
          <w:rFonts w:asciiTheme="minorHAnsi" w:hAnsiTheme="minorHAnsi" w:cstheme="minorHAnsi"/>
        </w:rPr>
        <w:footnoteRef/>
      </w:r>
      <w:r w:rsidRPr="00C82BA2">
        <w:rPr>
          <w:rFonts w:asciiTheme="minorHAnsi" w:hAnsiTheme="minorHAnsi" w:cstheme="minorHAnsi"/>
        </w:rPr>
        <w:t xml:space="preserve"> </w:t>
      </w:r>
      <w:r w:rsidRPr="00C82BA2">
        <w:rPr>
          <w:rFonts w:asciiTheme="minorHAnsi" w:hAnsiTheme="minorHAnsi" w:cstheme="minorHAnsi"/>
          <w:i/>
          <w:iCs/>
        </w:rPr>
        <w:t>Education and Training Reform Amendment (Protection of School Communities) Bill 2021</w:t>
      </w:r>
      <w:r w:rsidRPr="00C82BA2">
        <w:rPr>
          <w:rFonts w:asciiTheme="minorHAnsi" w:hAnsiTheme="minorHAnsi" w:cstheme="minorHAnsi"/>
        </w:rPr>
        <w:t>, second reading speech, Legislative Assembly Hansard, 5 May 2021.</w:t>
      </w:r>
    </w:p>
  </w:footnote>
  <w:footnote w:id="30">
    <w:p w14:paraId="31B9A9C0" w14:textId="2DF36F4E" w:rsidR="008B7A44" w:rsidRPr="00C82BA2" w:rsidRDefault="008B7A44">
      <w:pPr>
        <w:pStyle w:val="FootnoteText"/>
        <w:rPr>
          <w:rFonts w:asciiTheme="minorHAnsi" w:hAnsiTheme="minorHAnsi" w:cstheme="minorHAnsi"/>
        </w:rPr>
      </w:pPr>
      <w:r w:rsidRPr="00C82BA2">
        <w:rPr>
          <w:rStyle w:val="FootnoteReference"/>
          <w:rFonts w:asciiTheme="minorHAnsi" w:hAnsiTheme="minorHAnsi" w:cstheme="minorHAnsi"/>
        </w:rPr>
        <w:footnoteRef/>
      </w:r>
      <w:r w:rsidRPr="00C82BA2">
        <w:rPr>
          <w:rFonts w:asciiTheme="minorHAnsi" w:hAnsiTheme="minorHAnsi" w:cstheme="minorHAnsi"/>
        </w:rPr>
        <w:t xml:space="preserve"> Ministerial Guidelines, </w:t>
      </w:r>
      <w:r w:rsidR="007B1F4B" w:rsidRPr="00C82BA2">
        <w:rPr>
          <w:rFonts w:asciiTheme="minorHAnsi" w:hAnsiTheme="minorHAnsi" w:cstheme="minorHAnsi"/>
        </w:rPr>
        <w:t xml:space="preserve">paragraphs 227-230. </w:t>
      </w:r>
    </w:p>
  </w:footnote>
  <w:footnote w:id="31">
    <w:p w14:paraId="394D55F0" w14:textId="68274715" w:rsidR="00E9679E" w:rsidRPr="00C82BA2" w:rsidRDefault="00E9679E" w:rsidP="00E9679E">
      <w:pPr>
        <w:pStyle w:val="FootnoteText"/>
        <w:rPr>
          <w:rFonts w:asciiTheme="minorHAnsi" w:hAnsiTheme="minorHAnsi" w:cstheme="minorHAnsi"/>
        </w:rPr>
      </w:pPr>
      <w:r w:rsidRPr="00C82BA2">
        <w:rPr>
          <w:rStyle w:val="FootnoteReference"/>
          <w:rFonts w:asciiTheme="minorHAnsi" w:hAnsiTheme="minorHAnsi" w:cstheme="minorHAnsi"/>
        </w:rPr>
        <w:footnoteRef/>
      </w:r>
      <w:r w:rsidRPr="00C82BA2">
        <w:rPr>
          <w:rFonts w:asciiTheme="minorHAnsi" w:hAnsiTheme="minorHAnsi" w:cstheme="minorHAnsi"/>
        </w:rPr>
        <w:t xml:space="preserve"> </w:t>
      </w:r>
      <w:r w:rsidRPr="00C82BA2">
        <w:rPr>
          <w:rFonts w:asciiTheme="minorHAnsi" w:hAnsiTheme="minorHAnsi" w:cstheme="minorHAnsi"/>
          <w:i/>
          <w:iCs/>
        </w:rPr>
        <w:t>Education and Training Reform Act 2006</w:t>
      </w:r>
      <w:r w:rsidRPr="00C82BA2">
        <w:rPr>
          <w:rFonts w:asciiTheme="minorHAnsi" w:hAnsiTheme="minorHAnsi" w:cstheme="minorHAnsi"/>
        </w:rPr>
        <w:t xml:space="preserve"> (Vic),</w:t>
      </w:r>
      <w:r w:rsidR="00515D7A">
        <w:rPr>
          <w:rFonts w:asciiTheme="minorHAnsi" w:hAnsiTheme="minorHAnsi" w:cstheme="minorHAnsi"/>
        </w:rPr>
        <w:t xml:space="preserve"> s </w:t>
      </w:r>
      <w:r w:rsidRPr="00C82BA2">
        <w:rPr>
          <w:rFonts w:asciiTheme="minorHAnsi" w:hAnsiTheme="minorHAnsi" w:cstheme="minorHAnsi"/>
        </w:rPr>
        <w:t>2.1A.29(1).</w:t>
      </w:r>
    </w:p>
  </w:footnote>
  <w:footnote w:id="32">
    <w:p w14:paraId="66E6B758" w14:textId="45DED70E" w:rsidR="00E9679E" w:rsidRPr="00C82BA2" w:rsidRDefault="00E9679E" w:rsidP="00E9679E">
      <w:pPr>
        <w:pStyle w:val="FootnoteText"/>
        <w:rPr>
          <w:rFonts w:asciiTheme="minorHAnsi" w:hAnsiTheme="minorHAnsi" w:cstheme="minorHAnsi"/>
        </w:rPr>
      </w:pPr>
      <w:r w:rsidRPr="00C82BA2">
        <w:rPr>
          <w:rStyle w:val="FootnoteReference"/>
          <w:rFonts w:asciiTheme="minorHAnsi" w:hAnsiTheme="minorHAnsi" w:cstheme="minorHAnsi"/>
        </w:rPr>
        <w:footnoteRef/>
      </w:r>
      <w:r w:rsidRPr="00C82BA2">
        <w:rPr>
          <w:rFonts w:asciiTheme="minorHAnsi" w:hAnsiTheme="minorHAnsi" w:cstheme="minorHAnsi"/>
        </w:rPr>
        <w:t xml:space="preserve"> </w:t>
      </w:r>
      <w:r w:rsidRPr="00C82BA2">
        <w:rPr>
          <w:rFonts w:asciiTheme="minorHAnsi" w:hAnsiTheme="minorHAnsi" w:cstheme="minorHAnsi"/>
          <w:i/>
          <w:iCs/>
        </w:rPr>
        <w:t>Education and Training Reform Act 2006</w:t>
      </w:r>
      <w:r w:rsidRPr="00C82BA2">
        <w:rPr>
          <w:rFonts w:asciiTheme="minorHAnsi" w:hAnsiTheme="minorHAnsi" w:cstheme="minorHAnsi"/>
        </w:rPr>
        <w:t xml:space="preserve"> (Vic),</w:t>
      </w:r>
      <w:r w:rsidR="00515D7A">
        <w:rPr>
          <w:rFonts w:asciiTheme="minorHAnsi" w:hAnsiTheme="minorHAnsi" w:cstheme="minorHAnsi"/>
        </w:rPr>
        <w:t xml:space="preserve"> s </w:t>
      </w:r>
      <w:r w:rsidRPr="00C82BA2">
        <w:rPr>
          <w:rFonts w:asciiTheme="minorHAnsi" w:hAnsiTheme="minorHAnsi" w:cstheme="minorHAnsi"/>
        </w:rPr>
        <w:t>2.1A.1, definition of “reviewer”.</w:t>
      </w:r>
    </w:p>
  </w:footnote>
  <w:footnote w:id="33">
    <w:p w14:paraId="3C149F09" w14:textId="10ED198B" w:rsidR="00E9679E" w:rsidRPr="00C82BA2" w:rsidRDefault="00E9679E" w:rsidP="00E9679E">
      <w:pPr>
        <w:pStyle w:val="FootnoteText"/>
        <w:rPr>
          <w:rFonts w:asciiTheme="minorHAnsi" w:hAnsiTheme="minorHAnsi" w:cstheme="minorHAnsi"/>
        </w:rPr>
      </w:pPr>
      <w:r w:rsidRPr="00C82BA2">
        <w:rPr>
          <w:rStyle w:val="FootnoteReference"/>
          <w:rFonts w:asciiTheme="minorHAnsi" w:hAnsiTheme="minorHAnsi" w:cstheme="minorHAnsi"/>
        </w:rPr>
        <w:footnoteRef/>
      </w:r>
      <w:r w:rsidRPr="00C82BA2">
        <w:rPr>
          <w:rFonts w:asciiTheme="minorHAnsi" w:hAnsiTheme="minorHAnsi" w:cstheme="minorHAnsi"/>
        </w:rPr>
        <w:t xml:space="preserve"> </w:t>
      </w:r>
      <w:r w:rsidRPr="00C82BA2">
        <w:rPr>
          <w:rFonts w:asciiTheme="minorHAnsi" w:hAnsiTheme="minorHAnsi" w:cstheme="minorHAnsi"/>
          <w:i/>
          <w:iCs/>
        </w:rPr>
        <w:t>Education and Training Reform Act 2006</w:t>
      </w:r>
      <w:r w:rsidRPr="00C82BA2">
        <w:rPr>
          <w:rFonts w:asciiTheme="minorHAnsi" w:hAnsiTheme="minorHAnsi" w:cstheme="minorHAnsi"/>
        </w:rPr>
        <w:t xml:space="preserve"> (Vic),</w:t>
      </w:r>
      <w:r w:rsidR="00515D7A">
        <w:rPr>
          <w:rFonts w:asciiTheme="minorHAnsi" w:hAnsiTheme="minorHAnsi" w:cstheme="minorHAnsi"/>
        </w:rPr>
        <w:t xml:space="preserve"> s </w:t>
      </w:r>
      <w:r w:rsidRPr="00C82BA2">
        <w:rPr>
          <w:rFonts w:asciiTheme="minorHAnsi" w:hAnsiTheme="minorHAnsi" w:cstheme="minorHAnsi"/>
        </w:rPr>
        <w:t>2.1A.29(2).</w:t>
      </w:r>
    </w:p>
  </w:footnote>
  <w:footnote w:id="34">
    <w:p w14:paraId="7E25DD9B" w14:textId="72F99AB9" w:rsidR="00E9679E" w:rsidRPr="00C82BA2" w:rsidRDefault="00E9679E" w:rsidP="00E9679E">
      <w:pPr>
        <w:pStyle w:val="FootnoteText"/>
        <w:rPr>
          <w:rFonts w:asciiTheme="minorHAnsi" w:hAnsiTheme="minorHAnsi" w:cstheme="minorHAnsi"/>
        </w:rPr>
      </w:pPr>
      <w:r w:rsidRPr="00C82BA2">
        <w:rPr>
          <w:rStyle w:val="FootnoteReference"/>
          <w:rFonts w:asciiTheme="minorHAnsi" w:hAnsiTheme="minorHAnsi" w:cstheme="minorHAnsi"/>
        </w:rPr>
        <w:footnoteRef/>
      </w:r>
      <w:r w:rsidRPr="00C82BA2">
        <w:rPr>
          <w:rFonts w:asciiTheme="minorHAnsi" w:hAnsiTheme="minorHAnsi" w:cstheme="minorHAnsi"/>
        </w:rPr>
        <w:t xml:space="preserve"> </w:t>
      </w:r>
      <w:r w:rsidRPr="00C82BA2">
        <w:rPr>
          <w:rFonts w:asciiTheme="minorHAnsi" w:hAnsiTheme="minorHAnsi" w:cstheme="minorHAnsi"/>
          <w:i/>
          <w:iCs/>
        </w:rPr>
        <w:t>Education and Training Reform Act 2006</w:t>
      </w:r>
      <w:r w:rsidRPr="00C82BA2">
        <w:rPr>
          <w:rFonts w:asciiTheme="minorHAnsi" w:hAnsiTheme="minorHAnsi" w:cstheme="minorHAnsi"/>
        </w:rPr>
        <w:t xml:space="preserve"> (Vic),</w:t>
      </w:r>
      <w:r w:rsidR="00515D7A">
        <w:rPr>
          <w:rFonts w:asciiTheme="minorHAnsi" w:hAnsiTheme="minorHAnsi" w:cstheme="minorHAnsi"/>
        </w:rPr>
        <w:t xml:space="preserve"> s </w:t>
      </w:r>
      <w:r w:rsidRPr="00C82BA2">
        <w:rPr>
          <w:rFonts w:asciiTheme="minorHAnsi" w:hAnsiTheme="minorHAnsi" w:cstheme="minorHAnsi"/>
        </w:rPr>
        <w:t>2.1A.30(5).</w:t>
      </w:r>
    </w:p>
  </w:footnote>
  <w:footnote w:id="35">
    <w:p w14:paraId="58D57E87" w14:textId="7DAF6AB8" w:rsidR="00FE420F" w:rsidRPr="00C82BA2" w:rsidRDefault="00FE420F">
      <w:pPr>
        <w:pStyle w:val="FootnoteText"/>
        <w:rPr>
          <w:rFonts w:asciiTheme="minorHAnsi" w:hAnsiTheme="minorHAnsi" w:cstheme="minorHAnsi"/>
        </w:rPr>
      </w:pPr>
      <w:r w:rsidRPr="00C82BA2">
        <w:rPr>
          <w:rStyle w:val="FootnoteReference"/>
          <w:rFonts w:asciiTheme="minorHAnsi" w:hAnsiTheme="minorHAnsi" w:cstheme="minorHAnsi"/>
        </w:rPr>
        <w:footnoteRef/>
      </w:r>
      <w:r w:rsidRPr="00C82BA2">
        <w:rPr>
          <w:rFonts w:asciiTheme="minorHAnsi" w:hAnsiTheme="minorHAnsi" w:cstheme="minorHAnsi"/>
        </w:rPr>
        <w:t xml:space="preserve"> </w:t>
      </w:r>
      <w:r w:rsidR="00BD5069" w:rsidRPr="00C82BA2">
        <w:rPr>
          <w:rFonts w:asciiTheme="minorHAnsi" w:hAnsiTheme="minorHAnsi" w:cstheme="minorHAnsi"/>
        </w:rPr>
        <w:t>Ministerial Guidelines, p</w:t>
      </w:r>
      <w:r w:rsidR="004D630E" w:rsidRPr="00C82BA2">
        <w:rPr>
          <w:rFonts w:asciiTheme="minorHAnsi" w:hAnsiTheme="minorHAnsi" w:cstheme="minorHAnsi"/>
        </w:rPr>
        <w:t>aragraph 262.</w:t>
      </w:r>
    </w:p>
  </w:footnote>
  <w:footnote w:id="36">
    <w:p w14:paraId="295DED0D" w14:textId="2FFEA5C9" w:rsidR="00F15EA9" w:rsidRPr="00C82BA2" w:rsidRDefault="00F15EA9">
      <w:pPr>
        <w:pStyle w:val="FootnoteText"/>
        <w:rPr>
          <w:rFonts w:asciiTheme="minorHAnsi" w:hAnsiTheme="minorHAnsi" w:cstheme="minorHAnsi"/>
        </w:rPr>
      </w:pPr>
      <w:r w:rsidRPr="00C82BA2">
        <w:rPr>
          <w:rStyle w:val="FootnoteReference"/>
          <w:rFonts w:asciiTheme="minorHAnsi" w:hAnsiTheme="minorHAnsi" w:cstheme="minorHAnsi"/>
        </w:rPr>
        <w:footnoteRef/>
      </w:r>
      <w:r w:rsidRPr="00C82BA2">
        <w:rPr>
          <w:rFonts w:asciiTheme="minorHAnsi" w:hAnsiTheme="minorHAnsi" w:cstheme="minorHAnsi"/>
        </w:rPr>
        <w:t xml:space="preserve"> Ministerial Guidelines, </w:t>
      </w:r>
      <w:r w:rsidR="00A65A64" w:rsidRPr="00C82BA2">
        <w:rPr>
          <w:rFonts w:asciiTheme="minorHAnsi" w:hAnsiTheme="minorHAnsi" w:cstheme="minorHAnsi"/>
        </w:rPr>
        <w:t>ibid.</w:t>
      </w:r>
    </w:p>
  </w:footnote>
  <w:footnote w:id="37">
    <w:p w14:paraId="5A1F2668" w14:textId="33D3DAB5" w:rsidR="00E432EF" w:rsidRPr="00C82BA2" w:rsidRDefault="00E432EF">
      <w:pPr>
        <w:pStyle w:val="FootnoteText"/>
        <w:rPr>
          <w:rFonts w:asciiTheme="minorHAnsi" w:hAnsiTheme="minorHAnsi" w:cstheme="minorHAnsi"/>
        </w:rPr>
      </w:pPr>
      <w:r w:rsidRPr="00C82BA2">
        <w:rPr>
          <w:rStyle w:val="FootnoteReference"/>
          <w:rFonts w:asciiTheme="minorHAnsi" w:hAnsiTheme="minorHAnsi" w:cstheme="minorHAnsi"/>
        </w:rPr>
        <w:footnoteRef/>
      </w:r>
      <w:r w:rsidRPr="00C82BA2">
        <w:rPr>
          <w:rFonts w:asciiTheme="minorHAnsi" w:hAnsiTheme="minorHAnsi" w:cstheme="minorHAnsi"/>
        </w:rPr>
        <w:t xml:space="preserve"> Ministerial Guidelines, p</w:t>
      </w:r>
      <w:r w:rsidR="003F7A2B" w:rsidRPr="00C82BA2">
        <w:rPr>
          <w:rFonts w:asciiTheme="minorHAnsi" w:hAnsiTheme="minorHAnsi" w:cstheme="minorHAnsi"/>
        </w:rPr>
        <w:t>aragraph 263.</w:t>
      </w:r>
      <w:r w:rsidRPr="00C82BA2">
        <w:rPr>
          <w:rFonts w:asciiTheme="minorHAnsi" w:hAnsiTheme="minorHAnsi" w:cstheme="minorHAnsi"/>
        </w:rPr>
        <w:t xml:space="preserve"> </w:t>
      </w:r>
    </w:p>
  </w:footnote>
  <w:footnote w:id="38">
    <w:p w14:paraId="680F9380" w14:textId="10F45BF2" w:rsidR="00AD3CC5" w:rsidRPr="00C82BA2" w:rsidRDefault="00AD3CC5">
      <w:pPr>
        <w:pStyle w:val="FootnoteText"/>
        <w:rPr>
          <w:rFonts w:asciiTheme="minorHAnsi" w:hAnsiTheme="minorHAnsi" w:cstheme="minorHAnsi"/>
        </w:rPr>
      </w:pPr>
      <w:r w:rsidRPr="00C82BA2">
        <w:rPr>
          <w:rStyle w:val="FootnoteReference"/>
          <w:rFonts w:asciiTheme="minorHAnsi" w:hAnsiTheme="minorHAnsi" w:cstheme="minorHAnsi"/>
        </w:rPr>
        <w:footnoteRef/>
      </w:r>
      <w:r w:rsidRPr="00C82BA2">
        <w:rPr>
          <w:rFonts w:asciiTheme="minorHAnsi" w:hAnsiTheme="minorHAnsi" w:cstheme="minorHAnsi"/>
        </w:rPr>
        <w:t xml:space="preserve"> </w:t>
      </w:r>
      <w:r w:rsidR="00873B52" w:rsidRPr="00C82BA2">
        <w:rPr>
          <w:rFonts w:asciiTheme="minorHAnsi" w:hAnsiTheme="minorHAnsi" w:cstheme="minorHAnsi"/>
        </w:rPr>
        <w:t>School Community Safety Order Scheme</w:t>
      </w:r>
      <w:r w:rsidRPr="00C82BA2">
        <w:rPr>
          <w:rFonts w:asciiTheme="minorHAnsi" w:hAnsiTheme="minorHAnsi" w:cstheme="minorHAnsi"/>
        </w:rPr>
        <w:t xml:space="preserve"> Annual Report</w:t>
      </w:r>
      <w:r w:rsidR="00873B52" w:rsidRPr="00C82BA2">
        <w:rPr>
          <w:rFonts w:asciiTheme="minorHAnsi" w:hAnsiTheme="minorHAnsi" w:cstheme="minorHAnsi"/>
        </w:rPr>
        <w:t xml:space="preserve"> 2023-24</w:t>
      </w:r>
      <w:r w:rsidR="00E673C1" w:rsidRPr="00C82BA2">
        <w:rPr>
          <w:rFonts w:asciiTheme="minorHAnsi" w:hAnsiTheme="minorHAnsi" w:cstheme="minorHAnsi"/>
        </w:rPr>
        <w:t>, p. 6</w:t>
      </w:r>
      <w:r w:rsidRPr="00C82BA2">
        <w:rPr>
          <w:rFonts w:asciiTheme="minorHAnsi" w:hAnsiTheme="minorHAnsi" w:cstheme="minorHAnsi"/>
        </w:rPr>
        <w:t>.</w:t>
      </w:r>
    </w:p>
  </w:footnote>
  <w:footnote w:id="39">
    <w:p w14:paraId="22C36102" w14:textId="1F50E6EE" w:rsidR="00B16EBB" w:rsidRPr="00C82BA2" w:rsidRDefault="00B16EBB">
      <w:pPr>
        <w:pStyle w:val="FootnoteText"/>
        <w:rPr>
          <w:rFonts w:asciiTheme="minorHAnsi" w:hAnsiTheme="minorHAnsi" w:cstheme="minorHAnsi"/>
        </w:rPr>
      </w:pPr>
      <w:r w:rsidRPr="00C82BA2">
        <w:rPr>
          <w:rStyle w:val="FootnoteReference"/>
          <w:rFonts w:asciiTheme="minorHAnsi" w:hAnsiTheme="minorHAnsi" w:cstheme="minorHAnsi"/>
        </w:rPr>
        <w:footnoteRef/>
      </w:r>
      <w:r w:rsidRPr="00C82BA2">
        <w:rPr>
          <w:rFonts w:asciiTheme="minorHAnsi" w:hAnsiTheme="minorHAnsi" w:cstheme="minorHAnsi"/>
        </w:rPr>
        <w:t xml:space="preserve"> </w:t>
      </w:r>
      <w:r w:rsidR="00AA2055" w:rsidRPr="00C82BA2">
        <w:rPr>
          <w:rFonts w:asciiTheme="minorHAnsi" w:hAnsiTheme="minorHAnsi" w:cstheme="minorHAnsi"/>
        </w:rPr>
        <w:t xml:space="preserve">School Community Safety Order Scheme </w:t>
      </w:r>
      <w:r w:rsidRPr="00C82BA2">
        <w:rPr>
          <w:rFonts w:asciiTheme="minorHAnsi" w:hAnsiTheme="minorHAnsi" w:cstheme="minorHAnsi"/>
        </w:rPr>
        <w:t>Annual Report</w:t>
      </w:r>
      <w:r w:rsidR="00873B52" w:rsidRPr="00C82BA2">
        <w:rPr>
          <w:rFonts w:asciiTheme="minorHAnsi" w:hAnsiTheme="minorHAnsi" w:cstheme="minorHAnsi"/>
        </w:rPr>
        <w:t xml:space="preserve"> 2022-23</w:t>
      </w:r>
      <w:r w:rsidR="00D62202" w:rsidRPr="00C82BA2">
        <w:rPr>
          <w:rFonts w:asciiTheme="minorHAnsi" w:hAnsiTheme="minorHAnsi" w:cstheme="minorHAnsi"/>
        </w:rPr>
        <w:t>, p. 5</w:t>
      </w:r>
      <w:r w:rsidRPr="00C82BA2">
        <w:rPr>
          <w:rFonts w:asciiTheme="minorHAnsi" w:hAnsiTheme="minorHAnsi" w:cstheme="minorHAnsi"/>
        </w:rPr>
        <w:t>.</w:t>
      </w:r>
    </w:p>
  </w:footnote>
  <w:footnote w:id="40">
    <w:p w14:paraId="5D2ECEDD" w14:textId="6CB19202" w:rsidR="00032390" w:rsidRPr="00C82BA2" w:rsidRDefault="00032390" w:rsidP="00032390">
      <w:pPr>
        <w:pStyle w:val="FootnoteText"/>
        <w:rPr>
          <w:rFonts w:asciiTheme="minorHAnsi" w:hAnsiTheme="minorHAnsi" w:cstheme="minorHAnsi"/>
        </w:rPr>
      </w:pPr>
      <w:r w:rsidRPr="00C82BA2">
        <w:rPr>
          <w:rStyle w:val="FootnoteReference"/>
          <w:rFonts w:asciiTheme="minorHAnsi" w:hAnsiTheme="minorHAnsi" w:cstheme="minorHAnsi"/>
        </w:rPr>
        <w:footnoteRef/>
      </w:r>
      <w:r w:rsidRPr="00C82BA2">
        <w:rPr>
          <w:rFonts w:asciiTheme="minorHAnsi" w:hAnsiTheme="minorHAnsi" w:cstheme="minorHAnsi"/>
        </w:rPr>
        <w:t xml:space="preserve"> </w:t>
      </w:r>
      <w:r w:rsidRPr="00C82BA2">
        <w:rPr>
          <w:rFonts w:asciiTheme="minorHAnsi" w:hAnsiTheme="minorHAnsi" w:cstheme="minorHAnsi"/>
          <w:i/>
          <w:iCs/>
        </w:rPr>
        <w:t>Education and Training Reform Act 2006</w:t>
      </w:r>
      <w:r w:rsidRPr="00C82BA2">
        <w:rPr>
          <w:rFonts w:asciiTheme="minorHAnsi" w:hAnsiTheme="minorHAnsi" w:cstheme="minorHAnsi"/>
        </w:rPr>
        <w:t xml:space="preserve"> (Vic),</w:t>
      </w:r>
      <w:r w:rsidR="00515D7A">
        <w:rPr>
          <w:rFonts w:asciiTheme="minorHAnsi" w:hAnsiTheme="minorHAnsi" w:cstheme="minorHAnsi"/>
        </w:rPr>
        <w:t xml:space="preserve"> s </w:t>
      </w:r>
      <w:r w:rsidRPr="00C82BA2">
        <w:rPr>
          <w:rFonts w:asciiTheme="minorHAnsi" w:hAnsiTheme="minorHAnsi" w:cstheme="minorHAnsi"/>
        </w:rPr>
        <w:t>2.1A.33.</w:t>
      </w:r>
    </w:p>
  </w:footnote>
  <w:footnote w:id="41">
    <w:p w14:paraId="28632F8D" w14:textId="226554B9" w:rsidR="00BF6D3B" w:rsidRPr="00C82BA2" w:rsidRDefault="00BF6D3B">
      <w:pPr>
        <w:pStyle w:val="FootnoteText"/>
        <w:rPr>
          <w:rFonts w:asciiTheme="minorHAnsi" w:hAnsiTheme="minorHAnsi" w:cstheme="minorHAnsi"/>
        </w:rPr>
      </w:pPr>
      <w:r w:rsidRPr="00C82BA2">
        <w:rPr>
          <w:rStyle w:val="FootnoteReference"/>
          <w:rFonts w:asciiTheme="minorHAnsi" w:hAnsiTheme="minorHAnsi" w:cstheme="minorHAnsi"/>
        </w:rPr>
        <w:footnoteRef/>
      </w:r>
      <w:r w:rsidRPr="00C82BA2">
        <w:rPr>
          <w:rFonts w:asciiTheme="minorHAnsi" w:hAnsiTheme="minorHAnsi" w:cstheme="minorHAnsi"/>
        </w:rPr>
        <w:t xml:space="preserve"> Ministerial Guidelines, </w:t>
      </w:r>
      <w:r w:rsidR="008E0454" w:rsidRPr="00C82BA2">
        <w:rPr>
          <w:rFonts w:asciiTheme="minorHAnsi" w:hAnsiTheme="minorHAnsi" w:cstheme="minorHAnsi"/>
        </w:rPr>
        <w:t xml:space="preserve">paragraph 291-292. </w:t>
      </w:r>
    </w:p>
  </w:footnote>
  <w:footnote w:id="42">
    <w:p w14:paraId="279C90A2" w14:textId="71469AD2" w:rsidR="00CC7EFB" w:rsidRPr="00C82BA2" w:rsidRDefault="00CC7EFB">
      <w:pPr>
        <w:pStyle w:val="FootnoteText"/>
        <w:rPr>
          <w:rFonts w:asciiTheme="minorHAnsi" w:hAnsiTheme="minorHAnsi" w:cstheme="minorHAnsi"/>
        </w:rPr>
      </w:pPr>
      <w:r w:rsidRPr="00C82BA2">
        <w:rPr>
          <w:rStyle w:val="FootnoteReference"/>
          <w:rFonts w:asciiTheme="minorHAnsi" w:hAnsiTheme="minorHAnsi" w:cstheme="minorHAnsi"/>
        </w:rPr>
        <w:footnoteRef/>
      </w:r>
      <w:r w:rsidRPr="00C82BA2">
        <w:rPr>
          <w:rFonts w:asciiTheme="minorHAnsi" w:hAnsiTheme="minorHAnsi" w:cstheme="minorHAnsi"/>
        </w:rPr>
        <w:t xml:space="preserve"> Ministerial Guidelines, p</w:t>
      </w:r>
      <w:r w:rsidR="006311BA" w:rsidRPr="00C82BA2">
        <w:rPr>
          <w:rFonts w:asciiTheme="minorHAnsi" w:hAnsiTheme="minorHAnsi" w:cstheme="minorHAnsi"/>
        </w:rPr>
        <w:t>aragraph</w:t>
      </w:r>
      <w:r w:rsidR="008D2584" w:rsidRPr="00C82BA2">
        <w:rPr>
          <w:rFonts w:asciiTheme="minorHAnsi" w:hAnsiTheme="minorHAnsi" w:cstheme="minorHAnsi"/>
        </w:rPr>
        <w:t>s</w:t>
      </w:r>
      <w:r w:rsidR="006311BA" w:rsidRPr="00C82BA2">
        <w:rPr>
          <w:rFonts w:asciiTheme="minorHAnsi" w:hAnsiTheme="minorHAnsi" w:cstheme="minorHAnsi"/>
        </w:rPr>
        <w:t xml:space="preserve"> 297-307. </w:t>
      </w:r>
    </w:p>
  </w:footnote>
  <w:footnote w:id="43">
    <w:p w14:paraId="6EE83E4A" w14:textId="733B38A8" w:rsidR="00D87DBC" w:rsidRPr="00C82BA2" w:rsidRDefault="00D87DBC">
      <w:pPr>
        <w:pStyle w:val="FootnoteText"/>
        <w:rPr>
          <w:rFonts w:asciiTheme="minorHAnsi" w:hAnsiTheme="minorHAnsi" w:cstheme="minorHAnsi"/>
        </w:rPr>
      </w:pPr>
      <w:r w:rsidRPr="00C82BA2">
        <w:rPr>
          <w:rStyle w:val="FootnoteReference"/>
          <w:rFonts w:asciiTheme="minorHAnsi" w:hAnsiTheme="minorHAnsi" w:cstheme="minorHAnsi"/>
        </w:rPr>
        <w:footnoteRef/>
      </w:r>
      <w:r w:rsidRPr="00C82BA2">
        <w:rPr>
          <w:rFonts w:asciiTheme="minorHAnsi" w:hAnsiTheme="minorHAnsi" w:cstheme="minorHAnsi"/>
        </w:rPr>
        <w:t xml:space="preserve"> </w:t>
      </w:r>
      <w:r w:rsidRPr="00C82BA2">
        <w:rPr>
          <w:rFonts w:asciiTheme="minorHAnsi" w:hAnsiTheme="minorHAnsi" w:cstheme="minorHAnsi"/>
          <w:i/>
          <w:iCs/>
        </w:rPr>
        <w:t>Education and Training Reform Act 2006</w:t>
      </w:r>
      <w:r w:rsidRPr="00C82BA2">
        <w:rPr>
          <w:rFonts w:asciiTheme="minorHAnsi" w:hAnsiTheme="minorHAnsi" w:cstheme="minorHAnsi"/>
        </w:rPr>
        <w:t xml:space="preserve"> (Vic),</w:t>
      </w:r>
      <w:r w:rsidR="00515D7A">
        <w:rPr>
          <w:rFonts w:asciiTheme="minorHAnsi" w:hAnsiTheme="minorHAnsi" w:cstheme="minorHAnsi"/>
        </w:rPr>
        <w:t xml:space="preserve"> s </w:t>
      </w:r>
      <w:r w:rsidRPr="00C82BA2">
        <w:rPr>
          <w:rFonts w:asciiTheme="minorHAnsi" w:hAnsiTheme="minorHAnsi" w:cstheme="minorHAnsi"/>
        </w:rPr>
        <w:t>2.1A.40.</w:t>
      </w:r>
    </w:p>
  </w:footnote>
  <w:footnote w:id="44">
    <w:p w14:paraId="415DA9DB" w14:textId="4E17E54F" w:rsidR="00844ED7" w:rsidRPr="00C82BA2" w:rsidRDefault="00844ED7" w:rsidP="00844ED7">
      <w:pPr>
        <w:pStyle w:val="FootnoteText"/>
        <w:rPr>
          <w:rFonts w:asciiTheme="minorHAnsi" w:hAnsiTheme="minorHAnsi" w:cstheme="minorHAnsi"/>
        </w:rPr>
      </w:pPr>
      <w:r w:rsidRPr="00C82BA2">
        <w:rPr>
          <w:rStyle w:val="FootnoteReference"/>
          <w:rFonts w:asciiTheme="minorHAnsi" w:hAnsiTheme="minorHAnsi" w:cstheme="minorHAnsi"/>
        </w:rPr>
        <w:footnoteRef/>
      </w:r>
      <w:r w:rsidRPr="00C82BA2">
        <w:rPr>
          <w:rFonts w:asciiTheme="minorHAnsi" w:hAnsiTheme="minorHAnsi" w:cstheme="minorHAnsi"/>
        </w:rPr>
        <w:t xml:space="preserve"> </w:t>
      </w:r>
      <w:r w:rsidRPr="00C82BA2">
        <w:rPr>
          <w:rFonts w:asciiTheme="minorHAnsi" w:hAnsiTheme="minorHAnsi" w:cstheme="minorHAnsi"/>
          <w:i/>
          <w:iCs/>
        </w:rPr>
        <w:t>Education and Training Reform Act 2006</w:t>
      </w:r>
      <w:r w:rsidRPr="00C82BA2">
        <w:rPr>
          <w:rFonts w:asciiTheme="minorHAnsi" w:hAnsiTheme="minorHAnsi" w:cstheme="minorHAnsi"/>
        </w:rPr>
        <w:t xml:space="preserve"> (Vic), ss. 2.1A.41-43.</w:t>
      </w:r>
    </w:p>
  </w:footnote>
  <w:footnote w:id="45">
    <w:p w14:paraId="39547050" w14:textId="77777777" w:rsidR="00B03382" w:rsidRPr="00C82BA2" w:rsidRDefault="00B03382" w:rsidP="00B03382">
      <w:pPr>
        <w:pStyle w:val="FootnoteText"/>
        <w:rPr>
          <w:rFonts w:asciiTheme="minorHAnsi" w:hAnsiTheme="minorHAnsi" w:cstheme="minorHAnsi"/>
        </w:rPr>
      </w:pPr>
      <w:r w:rsidRPr="00C82BA2">
        <w:rPr>
          <w:rStyle w:val="FootnoteReference"/>
          <w:rFonts w:asciiTheme="minorHAnsi" w:hAnsiTheme="minorHAnsi" w:cstheme="minorHAnsi"/>
        </w:rPr>
        <w:footnoteRef/>
      </w:r>
      <w:r w:rsidRPr="00C82BA2">
        <w:rPr>
          <w:rFonts w:asciiTheme="minorHAnsi" w:hAnsiTheme="minorHAnsi" w:cstheme="minorHAnsi"/>
        </w:rPr>
        <w:t xml:space="preserve"> </w:t>
      </w:r>
      <w:r w:rsidRPr="00C82BA2">
        <w:rPr>
          <w:rFonts w:asciiTheme="minorHAnsi" w:hAnsiTheme="minorHAnsi" w:cstheme="minorHAnsi"/>
          <w:i/>
          <w:iCs/>
        </w:rPr>
        <w:t>Education and Training Reform Amendment (Protection of School Communities) Bill 2021</w:t>
      </w:r>
      <w:r w:rsidRPr="00C82BA2">
        <w:rPr>
          <w:rFonts w:asciiTheme="minorHAnsi" w:hAnsiTheme="minorHAnsi" w:cstheme="minorHAnsi"/>
        </w:rPr>
        <w:t>, second reading speech, Legislative Assembly Hansard, 5 May 2021.</w:t>
      </w:r>
    </w:p>
  </w:footnote>
  <w:footnote w:id="46">
    <w:p w14:paraId="699A2FA5" w14:textId="1CE2D841" w:rsidR="00CA70D9" w:rsidRPr="00C82BA2" w:rsidRDefault="00CA70D9" w:rsidP="00CA70D9">
      <w:pPr>
        <w:pStyle w:val="FootnoteText"/>
        <w:rPr>
          <w:rFonts w:asciiTheme="minorHAnsi" w:hAnsiTheme="minorHAnsi" w:cstheme="minorHAnsi"/>
        </w:rPr>
      </w:pPr>
      <w:r w:rsidRPr="00C82BA2">
        <w:rPr>
          <w:rStyle w:val="FootnoteReference"/>
          <w:rFonts w:asciiTheme="minorHAnsi" w:hAnsiTheme="minorHAnsi" w:cstheme="minorHAnsi"/>
        </w:rPr>
        <w:footnoteRef/>
      </w:r>
      <w:r w:rsidRPr="00C82BA2">
        <w:rPr>
          <w:rFonts w:asciiTheme="minorHAnsi" w:hAnsiTheme="minorHAnsi" w:cstheme="minorHAnsi"/>
        </w:rPr>
        <w:t xml:space="preserve"> Ministerial Guidelines, </w:t>
      </w:r>
      <w:r w:rsidR="006F4F57" w:rsidRPr="00C82BA2">
        <w:rPr>
          <w:rFonts w:asciiTheme="minorHAnsi" w:hAnsiTheme="minorHAnsi" w:cstheme="minorHAnsi"/>
        </w:rPr>
        <w:t xml:space="preserve">paragraphs 308-316. </w:t>
      </w:r>
    </w:p>
  </w:footnote>
  <w:footnote w:id="47">
    <w:p w14:paraId="51D7FC2A" w14:textId="3A4F4532" w:rsidR="00A32A2F" w:rsidRPr="00C82BA2" w:rsidRDefault="00A32A2F" w:rsidP="00A32A2F">
      <w:pPr>
        <w:pStyle w:val="FootnoteText"/>
        <w:rPr>
          <w:rFonts w:asciiTheme="minorHAnsi" w:hAnsiTheme="minorHAnsi" w:cstheme="minorHAnsi"/>
        </w:rPr>
      </w:pPr>
      <w:r w:rsidRPr="00C82BA2">
        <w:rPr>
          <w:rStyle w:val="FootnoteReference"/>
          <w:rFonts w:asciiTheme="minorHAnsi" w:hAnsiTheme="minorHAnsi" w:cstheme="minorHAnsi"/>
        </w:rPr>
        <w:footnoteRef/>
      </w:r>
      <w:r w:rsidRPr="00C82BA2">
        <w:rPr>
          <w:rFonts w:asciiTheme="minorHAnsi" w:hAnsiTheme="minorHAnsi" w:cstheme="minorHAnsi"/>
        </w:rPr>
        <w:t xml:space="preserve"> School Community Safety Order Scheme Annual Report 2023-24, p. 6.</w:t>
      </w:r>
    </w:p>
  </w:footnote>
  <w:footnote w:id="48">
    <w:p w14:paraId="0DC3B4B3" w14:textId="44CE0B82" w:rsidR="003676AF" w:rsidRPr="00C82BA2" w:rsidRDefault="003676AF" w:rsidP="003676AF">
      <w:pPr>
        <w:pStyle w:val="FootnoteText"/>
        <w:rPr>
          <w:rFonts w:asciiTheme="minorHAnsi" w:hAnsiTheme="minorHAnsi" w:cstheme="minorHAnsi"/>
        </w:rPr>
      </w:pPr>
      <w:r w:rsidRPr="00C82BA2">
        <w:rPr>
          <w:rStyle w:val="FootnoteReference"/>
          <w:rFonts w:asciiTheme="minorHAnsi" w:hAnsiTheme="minorHAnsi" w:cstheme="minorHAnsi"/>
        </w:rPr>
        <w:footnoteRef/>
      </w:r>
      <w:r w:rsidRPr="00C82BA2">
        <w:rPr>
          <w:rFonts w:asciiTheme="minorHAnsi" w:hAnsiTheme="minorHAnsi" w:cstheme="minorHAnsi"/>
        </w:rPr>
        <w:t xml:space="preserve"> Ministerial Guidelines, </w:t>
      </w:r>
      <w:r w:rsidR="00C23B9A" w:rsidRPr="00C82BA2">
        <w:rPr>
          <w:rFonts w:asciiTheme="minorHAnsi" w:hAnsiTheme="minorHAnsi" w:cstheme="minorHAnsi"/>
        </w:rPr>
        <w:t>paragraphs 348-350</w:t>
      </w:r>
      <w:r w:rsidR="00725522" w:rsidRPr="00C82BA2">
        <w:rPr>
          <w:rFonts w:asciiTheme="minorHAnsi" w:hAnsiTheme="minorHAnsi" w:cstheme="minorHAnsi"/>
        </w:rPr>
        <w:t>, 353.</w:t>
      </w:r>
    </w:p>
  </w:footnote>
  <w:footnote w:id="49">
    <w:p w14:paraId="13EF9B30" w14:textId="24B8CAD4" w:rsidR="000A017A" w:rsidRPr="00C82BA2" w:rsidRDefault="000A017A" w:rsidP="000A017A">
      <w:pPr>
        <w:pStyle w:val="FootnoteText"/>
        <w:rPr>
          <w:rFonts w:asciiTheme="minorHAnsi" w:hAnsiTheme="minorHAnsi" w:cstheme="minorHAnsi"/>
        </w:rPr>
      </w:pPr>
      <w:r w:rsidRPr="00C82BA2">
        <w:rPr>
          <w:rStyle w:val="FootnoteReference"/>
          <w:rFonts w:asciiTheme="minorHAnsi" w:hAnsiTheme="minorHAnsi" w:cstheme="minorHAnsi"/>
        </w:rPr>
        <w:footnoteRef/>
      </w:r>
      <w:r w:rsidRPr="00C82BA2">
        <w:rPr>
          <w:rFonts w:asciiTheme="minorHAnsi" w:hAnsiTheme="minorHAnsi" w:cstheme="minorHAnsi"/>
        </w:rPr>
        <w:t xml:space="preserve"> Ministerial Guidelines, </w:t>
      </w:r>
      <w:r w:rsidR="00725522" w:rsidRPr="00C82BA2">
        <w:rPr>
          <w:rFonts w:asciiTheme="minorHAnsi" w:hAnsiTheme="minorHAnsi" w:cstheme="minorHAnsi"/>
        </w:rPr>
        <w:t xml:space="preserve">paragraphs 340-344, 353. </w:t>
      </w:r>
    </w:p>
  </w:footnote>
  <w:footnote w:id="50">
    <w:p w14:paraId="21D02380" w14:textId="77777777" w:rsidR="003F0514" w:rsidRPr="00C82BA2" w:rsidRDefault="003F0514" w:rsidP="003F0514">
      <w:pPr>
        <w:pStyle w:val="FootnoteText"/>
        <w:rPr>
          <w:rFonts w:asciiTheme="minorHAnsi" w:hAnsiTheme="minorHAnsi" w:cstheme="minorHAnsi"/>
        </w:rPr>
      </w:pPr>
      <w:r w:rsidRPr="00C82BA2">
        <w:rPr>
          <w:rStyle w:val="FootnoteReference"/>
          <w:rFonts w:asciiTheme="minorHAnsi" w:hAnsiTheme="minorHAnsi" w:cstheme="minorHAnsi"/>
        </w:rPr>
        <w:footnoteRef/>
      </w:r>
      <w:r w:rsidRPr="00C82BA2">
        <w:rPr>
          <w:rFonts w:asciiTheme="minorHAnsi" w:hAnsiTheme="minorHAnsi" w:cstheme="minorHAnsi"/>
        </w:rPr>
        <w:t xml:space="preserve"> School Community Safety Order Scheme Annual Report 2023-24, p. 7.</w:t>
      </w:r>
    </w:p>
  </w:footnote>
  <w:footnote w:id="51">
    <w:p w14:paraId="7702D4B5" w14:textId="23E24F26" w:rsidR="002A232A" w:rsidRDefault="002A232A">
      <w:pPr>
        <w:pStyle w:val="FootnoteText"/>
      </w:pPr>
      <w:r>
        <w:rPr>
          <w:rStyle w:val="FootnoteReference"/>
        </w:rPr>
        <w:footnoteRef/>
      </w:r>
      <w:r>
        <w:t xml:space="preserve"> </w:t>
      </w:r>
      <w:r w:rsidRPr="00C82BA2">
        <w:rPr>
          <w:rFonts w:asciiTheme="minorHAnsi" w:hAnsiTheme="minorHAnsi" w:cstheme="minorHAnsi"/>
          <w:i/>
          <w:iCs/>
        </w:rPr>
        <w:t xml:space="preserve">Education and Training Reform Act 2006 </w:t>
      </w:r>
      <w:r w:rsidRPr="00C82BA2">
        <w:rPr>
          <w:rFonts w:asciiTheme="minorHAnsi" w:hAnsiTheme="minorHAnsi" w:cstheme="minorHAnsi"/>
        </w:rPr>
        <w:t>(Vic),</w:t>
      </w:r>
      <w:r>
        <w:rPr>
          <w:rFonts w:asciiTheme="minorHAnsi" w:hAnsiTheme="minorHAnsi" w:cstheme="minorHAnsi"/>
        </w:rPr>
        <w:t xml:space="preserve"> s</w:t>
      </w:r>
      <w:r w:rsidR="000F796B">
        <w:rPr>
          <w:rFonts w:asciiTheme="minorHAnsi" w:hAnsiTheme="minorHAnsi" w:cstheme="minorHAnsi"/>
        </w:rPr>
        <w:t>s</w:t>
      </w:r>
      <w:r>
        <w:rPr>
          <w:rFonts w:asciiTheme="minorHAnsi" w:hAnsiTheme="minorHAnsi" w:cstheme="minorHAnsi"/>
        </w:rPr>
        <w:t xml:space="preserve"> </w:t>
      </w:r>
      <w:r w:rsidRPr="00C82BA2">
        <w:rPr>
          <w:rFonts w:asciiTheme="minorHAnsi" w:hAnsiTheme="minorHAnsi" w:cstheme="minorHAnsi"/>
        </w:rPr>
        <w:t>2.1A.5</w:t>
      </w:r>
      <w:r w:rsidR="00780AB4">
        <w:rPr>
          <w:rFonts w:asciiTheme="minorHAnsi" w:hAnsiTheme="minorHAnsi" w:cstheme="minorHAnsi"/>
        </w:rPr>
        <w:t>(1)</w:t>
      </w:r>
      <w:r w:rsidRPr="00C82BA2">
        <w:rPr>
          <w:rFonts w:asciiTheme="minorHAnsi" w:hAnsiTheme="minorHAnsi" w:cstheme="minorHAnsi"/>
        </w:rPr>
        <w:t>(</w:t>
      </w:r>
      <w:r>
        <w:rPr>
          <w:rFonts w:asciiTheme="minorHAnsi" w:hAnsiTheme="minorHAnsi" w:cstheme="minorHAnsi"/>
        </w:rPr>
        <w:t>a)(ii), 2.1A.</w:t>
      </w:r>
      <w:r w:rsidR="00780AB4">
        <w:rPr>
          <w:rFonts w:asciiTheme="minorHAnsi" w:hAnsiTheme="minorHAnsi" w:cstheme="minorHAnsi"/>
        </w:rPr>
        <w:t>17(1)(a)(ii).</w:t>
      </w:r>
    </w:p>
  </w:footnote>
  <w:footnote w:id="52">
    <w:p w14:paraId="067A4B89" w14:textId="57BEFFA5" w:rsidR="005F275E" w:rsidRPr="00C82BA2" w:rsidRDefault="005F275E" w:rsidP="005F275E">
      <w:pPr>
        <w:pStyle w:val="FootnoteText"/>
        <w:rPr>
          <w:rFonts w:asciiTheme="minorHAnsi" w:hAnsiTheme="minorHAnsi" w:cstheme="minorHAnsi"/>
        </w:rPr>
      </w:pPr>
      <w:r w:rsidRPr="00C82BA2">
        <w:rPr>
          <w:rStyle w:val="FootnoteReference"/>
          <w:rFonts w:asciiTheme="minorHAnsi" w:hAnsiTheme="minorHAnsi" w:cstheme="minorHAnsi"/>
        </w:rPr>
        <w:footnoteRef/>
      </w:r>
      <w:r w:rsidRPr="00C82BA2">
        <w:rPr>
          <w:rFonts w:asciiTheme="minorHAnsi" w:hAnsiTheme="minorHAnsi" w:cstheme="minorHAnsi"/>
        </w:rPr>
        <w:t xml:space="preserve"> </w:t>
      </w:r>
      <w:r w:rsidRPr="00C82BA2">
        <w:rPr>
          <w:rFonts w:asciiTheme="minorHAnsi" w:hAnsiTheme="minorHAnsi" w:cstheme="minorHAnsi"/>
          <w:i/>
          <w:iCs/>
        </w:rPr>
        <w:t xml:space="preserve">Education and Training Reform Act 2006 </w:t>
      </w:r>
      <w:r w:rsidRPr="00C82BA2">
        <w:rPr>
          <w:rFonts w:asciiTheme="minorHAnsi" w:hAnsiTheme="minorHAnsi" w:cstheme="minorHAnsi"/>
        </w:rPr>
        <w:t>(Vic),</w:t>
      </w:r>
      <w:r w:rsidR="00515D7A">
        <w:rPr>
          <w:rFonts w:asciiTheme="minorHAnsi" w:hAnsiTheme="minorHAnsi" w:cstheme="minorHAnsi"/>
        </w:rPr>
        <w:t xml:space="preserve"> s </w:t>
      </w:r>
      <w:r w:rsidRPr="00C82BA2">
        <w:rPr>
          <w:rFonts w:asciiTheme="minorHAnsi" w:hAnsiTheme="minorHAnsi" w:cstheme="minorHAnsi"/>
        </w:rPr>
        <w:t>2.1A.</w:t>
      </w:r>
      <w:r w:rsidR="00D87385">
        <w:rPr>
          <w:rFonts w:asciiTheme="minorHAnsi" w:hAnsiTheme="minorHAnsi" w:cstheme="minorHAnsi"/>
        </w:rPr>
        <w:t>1</w:t>
      </w:r>
      <w:r w:rsidRPr="00C82BA2">
        <w:rPr>
          <w:rFonts w:asciiTheme="minorHAnsi" w:hAnsiTheme="minorHAnsi" w:cstheme="minorHAnsi"/>
        </w:rPr>
        <w:t>5(1)(e).</w:t>
      </w:r>
    </w:p>
  </w:footnote>
  <w:footnote w:id="53">
    <w:p w14:paraId="5880FCEB" w14:textId="41F96E75" w:rsidR="00FB19DE" w:rsidRPr="00C82BA2" w:rsidRDefault="00FB19DE">
      <w:pPr>
        <w:pStyle w:val="FootnoteText"/>
        <w:rPr>
          <w:rFonts w:asciiTheme="minorHAnsi" w:hAnsiTheme="minorHAnsi" w:cstheme="minorHAnsi"/>
        </w:rPr>
      </w:pPr>
      <w:r w:rsidRPr="00C82BA2">
        <w:rPr>
          <w:rStyle w:val="FootnoteReference"/>
          <w:rFonts w:asciiTheme="minorHAnsi" w:hAnsiTheme="minorHAnsi" w:cstheme="minorHAnsi"/>
        </w:rPr>
        <w:footnoteRef/>
      </w:r>
      <w:r w:rsidRPr="00C82BA2">
        <w:rPr>
          <w:rFonts w:asciiTheme="minorHAnsi" w:hAnsiTheme="minorHAnsi" w:cstheme="minorHAnsi"/>
        </w:rPr>
        <w:t xml:space="preserve"> </w:t>
      </w:r>
      <w:r w:rsidRPr="00C82BA2">
        <w:rPr>
          <w:rFonts w:asciiTheme="minorHAnsi" w:hAnsiTheme="minorHAnsi" w:cstheme="minorHAnsi"/>
          <w:i/>
          <w:iCs/>
        </w:rPr>
        <w:t xml:space="preserve">Education and Training Reform Act 2006 </w:t>
      </w:r>
      <w:r w:rsidRPr="00C82BA2">
        <w:rPr>
          <w:rFonts w:asciiTheme="minorHAnsi" w:hAnsiTheme="minorHAnsi" w:cstheme="minorHAnsi"/>
        </w:rPr>
        <w:t>(Vic),</w:t>
      </w:r>
      <w:r w:rsidR="00515D7A">
        <w:rPr>
          <w:rFonts w:asciiTheme="minorHAnsi" w:hAnsiTheme="minorHAnsi" w:cstheme="minorHAnsi"/>
        </w:rPr>
        <w:t xml:space="preserve"> s </w:t>
      </w:r>
      <w:r w:rsidRPr="00C82BA2">
        <w:rPr>
          <w:rFonts w:asciiTheme="minorHAnsi" w:hAnsiTheme="minorHAnsi" w:cstheme="minorHAnsi"/>
        </w:rPr>
        <w:t xml:space="preserve">2.1A.7. </w:t>
      </w:r>
    </w:p>
  </w:footnote>
  <w:footnote w:id="54">
    <w:p w14:paraId="04B6E206" w14:textId="190F47DD" w:rsidR="00496447" w:rsidRPr="00C82BA2" w:rsidRDefault="00496447">
      <w:pPr>
        <w:pStyle w:val="FootnoteText"/>
        <w:rPr>
          <w:rFonts w:asciiTheme="minorHAnsi" w:hAnsiTheme="minorHAnsi" w:cstheme="minorHAnsi"/>
        </w:rPr>
      </w:pPr>
      <w:r w:rsidRPr="00C82BA2">
        <w:rPr>
          <w:rStyle w:val="FootnoteReference"/>
          <w:rFonts w:asciiTheme="minorHAnsi" w:hAnsiTheme="minorHAnsi" w:cstheme="minorHAnsi"/>
        </w:rPr>
        <w:footnoteRef/>
      </w:r>
      <w:r w:rsidRPr="00C82BA2">
        <w:rPr>
          <w:rFonts w:asciiTheme="minorHAnsi" w:hAnsiTheme="minorHAnsi" w:cstheme="minorHAnsi"/>
        </w:rPr>
        <w:t xml:space="preserve"> </w:t>
      </w:r>
      <w:r w:rsidRPr="00C82BA2">
        <w:rPr>
          <w:rFonts w:asciiTheme="minorHAnsi" w:hAnsiTheme="minorHAnsi" w:cstheme="minorHAnsi"/>
          <w:i/>
          <w:iCs/>
        </w:rPr>
        <w:t xml:space="preserve">Education and Training Reform Act 2006 </w:t>
      </w:r>
      <w:r w:rsidRPr="00C82BA2">
        <w:rPr>
          <w:rFonts w:asciiTheme="minorHAnsi" w:hAnsiTheme="minorHAnsi" w:cstheme="minorHAnsi"/>
        </w:rPr>
        <w:t>(Vic),</w:t>
      </w:r>
      <w:r w:rsidR="00515D7A">
        <w:rPr>
          <w:rFonts w:asciiTheme="minorHAnsi" w:hAnsiTheme="minorHAnsi" w:cstheme="minorHAnsi"/>
        </w:rPr>
        <w:t xml:space="preserve"> s </w:t>
      </w:r>
      <w:r w:rsidRPr="00C82BA2">
        <w:rPr>
          <w:rFonts w:asciiTheme="minorHAnsi" w:hAnsiTheme="minorHAnsi" w:cstheme="minorHAnsi"/>
        </w:rPr>
        <w:t>2.1A.</w:t>
      </w:r>
      <w:r w:rsidR="00E80406" w:rsidRPr="00C82BA2">
        <w:rPr>
          <w:rFonts w:asciiTheme="minorHAnsi" w:hAnsiTheme="minorHAnsi" w:cstheme="minorHAnsi"/>
        </w:rPr>
        <w:t>9.</w:t>
      </w:r>
    </w:p>
  </w:footnote>
  <w:footnote w:id="55">
    <w:p w14:paraId="59675F0C" w14:textId="6E55BB42" w:rsidR="006C51C6" w:rsidRPr="00C82BA2" w:rsidRDefault="006C51C6">
      <w:pPr>
        <w:pStyle w:val="FootnoteText"/>
        <w:rPr>
          <w:rFonts w:asciiTheme="minorHAnsi" w:hAnsiTheme="minorHAnsi" w:cstheme="minorHAnsi"/>
        </w:rPr>
      </w:pPr>
      <w:r w:rsidRPr="00C82BA2">
        <w:rPr>
          <w:rStyle w:val="FootnoteReference"/>
          <w:rFonts w:asciiTheme="minorHAnsi" w:hAnsiTheme="minorHAnsi" w:cstheme="minorHAnsi"/>
        </w:rPr>
        <w:footnoteRef/>
      </w:r>
      <w:r w:rsidRPr="00C82BA2">
        <w:rPr>
          <w:rFonts w:asciiTheme="minorHAnsi" w:hAnsiTheme="minorHAnsi" w:cstheme="minorHAnsi"/>
        </w:rPr>
        <w:t xml:space="preserve"> </w:t>
      </w:r>
      <w:r w:rsidRPr="00C82BA2">
        <w:rPr>
          <w:rFonts w:asciiTheme="minorHAnsi" w:hAnsiTheme="minorHAnsi" w:cstheme="minorHAnsi"/>
          <w:i/>
          <w:iCs/>
        </w:rPr>
        <w:t xml:space="preserve">Education and Training Reform Act 2006 </w:t>
      </w:r>
      <w:r w:rsidRPr="00C82BA2">
        <w:rPr>
          <w:rFonts w:asciiTheme="minorHAnsi" w:hAnsiTheme="minorHAnsi" w:cstheme="minorHAnsi"/>
        </w:rPr>
        <w:t>(Vic), ss. 2.1A.12, 2.1A.13.</w:t>
      </w:r>
    </w:p>
  </w:footnote>
  <w:footnote w:id="56">
    <w:p w14:paraId="4A36C611" w14:textId="6F58AC7D" w:rsidR="007533AD" w:rsidRDefault="007533AD">
      <w:pPr>
        <w:pStyle w:val="FootnoteText"/>
      </w:pPr>
      <w:r>
        <w:rPr>
          <w:rStyle w:val="FootnoteReference"/>
        </w:rPr>
        <w:footnoteRef/>
      </w:r>
      <w:r>
        <w:t xml:space="preserve"> Refer to </w:t>
      </w:r>
      <w:r w:rsidRPr="007533AD">
        <w:rPr>
          <w:i/>
          <w:iCs/>
        </w:rPr>
        <w:t>Nigro v Secretary to the Department of Justice</w:t>
      </w:r>
      <w:r w:rsidRPr="007533AD">
        <w:t xml:space="preserve"> [2013] VSCA 213</w:t>
      </w:r>
      <w:r>
        <w:t>.</w:t>
      </w:r>
    </w:p>
  </w:footnote>
  <w:footnote w:id="57">
    <w:p w14:paraId="5BF9C5DF" w14:textId="1AE04BA3" w:rsidR="009A54EB" w:rsidRPr="00C82BA2" w:rsidRDefault="009A54EB">
      <w:pPr>
        <w:pStyle w:val="FootnoteText"/>
        <w:rPr>
          <w:rFonts w:asciiTheme="minorHAnsi" w:hAnsiTheme="minorHAnsi" w:cstheme="minorHAnsi"/>
        </w:rPr>
      </w:pPr>
      <w:r w:rsidRPr="00C82BA2">
        <w:rPr>
          <w:rStyle w:val="FootnoteReference"/>
          <w:rFonts w:asciiTheme="minorHAnsi" w:hAnsiTheme="minorHAnsi" w:cstheme="minorHAnsi"/>
        </w:rPr>
        <w:footnoteRef/>
      </w:r>
      <w:r w:rsidRPr="00C82BA2">
        <w:rPr>
          <w:rFonts w:asciiTheme="minorHAnsi" w:hAnsiTheme="minorHAnsi" w:cstheme="minorHAnsi"/>
        </w:rPr>
        <w:t xml:space="preserve"> </w:t>
      </w:r>
      <w:r w:rsidRPr="00C82BA2">
        <w:rPr>
          <w:rFonts w:asciiTheme="minorHAnsi" w:hAnsiTheme="minorHAnsi" w:cstheme="minorHAnsi"/>
          <w:i/>
          <w:iCs/>
        </w:rPr>
        <w:t xml:space="preserve">Education and Training Reform Act 2006 </w:t>
      </w:r>
      <w:r w:rsidRPr="00C82BA2">
        <w:rPr>
          <w:rFonts w:asciiTheme="minorHAnsi" w:hAnsiTheme="minorHAnsi" w:cstheme="minorHAnsi"/>
        </w:rPr>
        <w:t>(Vic), s</w:t>
      </w:r>
      <w:r w:rsidR="00653142" w:rsidRPr="00C82BA2">
        <w:rPr>
          <w:rFonts w:asciiTheme="minorHAnsi" w:hAnsiTheme="minorHAnsi" w:cstheme="minorHAnsi"/>
        </w:rPr>
        <w:t>s</w:t>
      </w:r>
      <w:r w:rsidRPr="00C82BA2">
        <w:rPr>
          <w:rFonts w:asciiTheme="minorHAnsi" w:hAnsiTheme="minorHAnsi" w:cstheme="minorHAnsi"/>
        </w:rPr>
        <w:t xml:space="preserve"> 2.1A.18</w:t>
      </w:r>
      <w:r w:rsidR="00653142" w:rsidRPr="00C82BA2">
        <w:rPr>
          <w:rFonts w:asciiTheme="minorHAnsi" w:hAnsiTheme="minorHAnsi" w:cstheme="minorHAnsi"/>
        </w:rPr>
        <w:t xml:space="preserve">, </w:t>
      </w:r>
      <w:r w:rsidR="00314E5A">
        <w:rPr>
          <w:rFonts w:asciiTheme="minorHAnsi" w:hAnsiTheme="minorHAnsi" w:cstheme="minorHAnsi"/>
        </w:rPr>
        <w:t>2</w:t>
      </w:r>
      <w:r w:rsidR="00653142" w:rsidRPr="00C82BA2">
        <w:rPr>
          <w:rFonts w:asciiTheme="minorHAnsi" w:hAnsiTheme="minorHAnsi" w:cstheme="minorHAnsi"/>
        </w:rPr>
        <w:t>.1A.21</w:t>
      </w:r>
      <w:r w:rsidRPr="00C82BA2">
        <w:rPr>
          <w:rFonts w:asciiTheme="minorHAnsi" w:hAnsiTheme="minorHAnsi" w:cstheme="minorHAnsi"/>
        </w:rPr>
        <w:t>.</w:t>
      </w:r>
    </w:p>
  </w:footnote>
  <w:footnote w:id="58">
    <w:p w14:paraId="5DB4AA7C" w14:textId="77777777" w:rsidR="00E47A03" w:rsidRPr="00C82BA2" w:rsidRDefault="00E47A03" w:rsidP="00E47A03">
      <w:pPr>
        <w:pStyle w:val="FootnoteText"/>
        <w:rPr>
          <w:rFonts w:asciiTheme="minorHAnsi" w:hAnsiTheme="minorHAnsi" w:cstheme="minorHAnsi"/>
        </w:rPr>
      </w:pPr>
      <w:r w:rsidRPr="00C82BA2">
        <w:rPr>
          <w:rStyle w:val="FootnoteReference"/>
          <w:rFonts w:asciiTheme="minorHAnsi" w:hAnsiTheme="minorHAnsi" w:cstheme="minorHAnsi"/>
        </w:rPr>
        <w:footnoteRef/>
      </w:r>
      <w:r w:rsidRPr="00C82BA2">
        <w:rPr>
          <w:rFonts w:asciiTheme="minorHAnsi" w:hAnsiTheme="minorHAnsi" w:cstheme="minorHAnsi"/>
        </w:rPr>
        <w:t xml:space="preserve"> </w:t>
      </w:r>
      <w:r w:rsidRPr="00C82BA2">
        <w:rPr>
          <w:rFonts w:asciiTheme="minorHAnsi" w:hAnsiTheme="minorHAnsi" w:cstheme="minorHAnsi"/>
          <w:i/>
          <w:iCs/>
        </w:rPr>
        <w:t>Plaintiff S10/2011 v Minister for Immigration and Citizenship</w:t>
      </w:r>
      <w:r w:rsidRPr="00C82BA2">
        <w:rPr>
          <w:rFonts w:asciiTheme="minorHAnsi" w:hAnsiTheme="minorHAnsi" w:cstheme="minorHAnsi"/>
        </w:rPr>
        <w:t xml:space="preserve"> (2012) 246 CLR 636, 666.</w:t>
      </w:r>
    </w:p>
  </w:footnote>
  <w:footnote w:id="59">
    <w:p w14:paraId="76FD2F02" w14:textId="77777777" w:rsidR="00E47A03" w:rsidRPr="00C82BA2" w:rsidRDefault="00E47A03" w:rsidP="00E47A03">
      <w:pPr>
        <w:pStyle w:val="FootnoteText"/>
        <w:rPr>
          <w:rFonts w:asciiTheme="minorHAnsi" w:hAnsiTheme="minorHAnsi" w:cstheme="minorHAnsi"/>
        </w:rPr>
      </w:pPr>
      <w:r w:rsidRPr="00C82BA2">
        <w:rPr>
          <w:rStyle w:val="FootnoteReference"/>
          <w:rFonts w:asciiTheme="minorHAnsi" w:hAnsiTheme="minorHAnsi" w:cstheme="minorHAnsi"/>
        </w:rPr>
        <w:footnoteRef/>
      </w:r>
      <w:r w:rsidRPr="00C82BA2">
        <w:rPr>
          <w:rFonts w:asciiTheme="minorHAnsi" w:hAnsiTheme="minorHAnsi" w:cstheme="minorHAnsi"/>
        </w:rPr>
        <w:t xml:space="preserve"> </w:t>
      </w:r>
      <w:r w:rsidRPr="00C82BA2">
        <w:rPr>
          <w:rFonts w:asciiTheme="minorHAnsi" w:hAnsiTheme="minorHAnsi" w:cstheme="minorHAnsi"/>
          <w:i/>
          <w:iCs/>
        </w:rPr>
        <w:t>Annetts v McCann</w:t>
      </w:r>
      <w:r w:rsidRPr="00C82BA2">
        <w:rPr>
          <w:rFonts w:asciiTheme="minorHAnsi" w:hAnsiTheme="minorHAnsi" w:cstheme="minorHAnsi"/>
        </w:rPr>
        <w:t xml:space="preserve"> (1990) 170 CLR 596, 598.</w:t>
      </w:r>
    </w:p>
  </w:footnote>
  <w:footnote w:id="60">
    <w:p w14:paraId="71245FDF" w14:textId="77777777" w:rsidR="00942534" w:rsidRPr="00C82BA2" w:rsidRDefault="00942534" w:rsidP="00942534">
      <w:pPr>
        <w:pStyle w:val="FootnoteText"/>
        <w:rPr>
          <w:rFonts w:asciiTheme="minorHAnsi" w:hAnsiTheme="minorHAnsi" w:cstheme="minorHAnsi"/>
        </w:rPr>
      </w:pPr>
      <w:r w:rsidRPr="00C82BA2">
        <w:rPr>
          <w:rStyle w:val="FootnoteReference"/>
          <w:rFonts w:asciiTheme="minorHAnsi" w:hAnsiTheme="minorHAnsi" w:cstheme="minorHAnsi"/>
        </w:rPr>
        <w:footnoteRef/>
      </w:r>
      <w:r w:rsidRPr="00C82BA2">
        <w:rPr>
          <w:rFonts w:asciiTheme="minorHAnsi" w:hAnsiTheme="minorHAnsi" w:cstheme="minorHAnsi"/>
        </w:rPr>
        <w:t xml:space="preserve"> (1985) 159 CLR 500, 614.</w:t>
      </w:r>
    </w:p>
  </w:footnote>
  <w:footnote w:id="61">
    <w:p w14:paraId="3B0ECB60" w14:textId="77777777" w:rsidR="00ED4C74" w:rsidRPr="00C82BA2" w:rsidRDefault="00ED4C74" w:rsidP="00ED4C74">
      <w:pPr>
        <w:pStyle w:val="FootnoteText"/>
        <w:rPr>
          <w:rFonts w:asciiTheme="minorHAnsi" w:hAnsiTheme="minorHAnsi" w:cstheme="minorHAnsi"/>
        </w:rPr>
      </w:pPr>
      <w:r w:rsidRPr="00C82BA2">
        <w:rPr>
          <w:rStyle w:val="FootnoteReference"/>
          <w:rFonts w:asciiTheme="minorHAnsi" w:hAnsiTheme="minorHAnsi" w:cstheme="minorHAnsi"/>
        </w:rPr>
        <w:footnoteRef/>
      </w:r>
      <w:r w:rsidRPr="00C82BA2">
        <w:rPr>
          <w:rFonts w:asciiTheme="minorHAnsi" w:hAnsiTheme="minorHAnsi" w:cstheme="minorHAnsi"/>
        </w:rPr>
        <w:t xml:space="preserve"> (1990) 170 CLR 596, 604; See also </w:t>
      </w:r>
      <w:r w:rsidRPr="00C82BA2">
        <w:rPr>
          <w:rFonts w:asciiTheme="minorHAnsi" w:hAnsiTheme="minorHAnsi" w:cstheme="minorHAnsi"/>
          <w:i/>
          <w:iCs/>
        </w:rPr>
        <w:t>Re Minister for Immigration and Multicultural Affairs; Ex parte Miah</w:t>
      </w:r>
      <w:r w:rsidRPr="00C82BA2">
        <w:rPr>
          <w:rFonts w:asciiTheme="minorHAnsi" w:hAnsiTheme="minorHAnsi" w:cstheme="minorHAnsi"/>
        </w:rPr>
        <w:t xml:space="preserve"> (2001) CLR 57.</w:t>
      </w:r>
    </w:p>
  </w:footnote>
  <w:footnote w:id="62">
    <w:p w14:paraId="57C70A3F" w14:textId="7E0F7C9E" w:rsidR="0038529B" w:rsidRPr="00C82BA2" w:rsidRDefault="002160DB" w:rsidP="0038529B">
      <w:pPr>
        <w:rPr>
          <w:rFonts w:asciiTheme="minorHAnsi" w:hAnsiTheme="minorHAnsi" w:cstheme="minorHAnsi"/>
        </w:rPr>
      </w:pPr>
      <w:r w:rsidRPr="00C82BA2">
        <w:rPr>
          <w:rStyle w:val="FootnoteReference"/>
          <w:rFonts w:asciiTheme="minorHAnsi" w:hAnsiTheme="minorHAnsi" w:cstheme="minorHAnsi"/>
        </w:rPr>
        <w:footnoteRef/>
      </w:r>
      <w:r>
        <w:rPr>
          <w:rFonts w:asciiTheme="minorHAnsi" w:hAnsiTheme="minorHAnsi" w:cstheme="minorHAnsi"/>
        </w:rPr>
        <w:t xml:space="preserve"> </w:t>
      </w:r>
      <w:r w:rsidRPr="002160DB">
        <w:rPr>
          <w:rFonts w:asciiTheme="minorHAnsi" w:hAnsiTheme="minorHAnsi" w:cstheme="minorHAnsi"/>
          <w:sz w:val="18"/>
          <w:szCs w:val="18"/>
        </w:rPr>
        <w:t>Ministerial Guidelines, paragraph 122(a).</w:t>
      </w:r>
    </w:p>
  </w:footnote>
  <w:footnote w:id="63">
    <w:p w14:paraId="0DC1BB69" w14:textId="5D13B9D7" w:rsidR="004F0A79" w:rsidRDefault="004F0A79">
      <w:pPr>
        <w:pStyle w:val="FootnoteText"/>
      </w:pPr>
      <w:r>
        <w:rPr>
          <w:rStyle w:val="FootnoteReference"/>
        </w:rPr>
        <w:footnoteRef/>
      </w:r>
      <w:r>
        <w:t xml:space="preserve"> </w:t>
      </w:r>
      <w:r w:rsidRPr="00C82BA2">
        <w:rPr>
          <w:rFonts w:asciiTheme="minorHAnsi" w:hAnsiTheme="minorHAnsi" w:cstheme="minorHAnsi"/>
          <w:i/>
          <w:iCs/>
        </w:rPr>
        <w:t>Education and Training Reform Act 2006</w:t>
      </w:r>
      <w:r w:rsidRPr="00C82BA2">
        <w:rPr>
          <w:rFonts w:asciiTheme="minorHAnsi" w:hAnsiTheme="minorHAnsi" w:cstheme="minorHAnsi"/>
        </w:rPr>
        <w:t xml:space="preserve"> (Vic), </w:t>
      </w:r>
      <w:r>
        <w:rPr>
          <w:rFonts w:asciiTheme="minorHAnsi" w:hAnsiTheme="minorHAnsi" w:cstheme="minorHAnsi"/>
        </w:rPr>
        <w:t>s</w:t>
      </w:r>
      <w:r w:rsidRPr="004F0A79">
        <w:t>s. 2.1A.29(2) and (3)</w:t>
      </w:r>
      <w:r w:rsidR="000144BE">
        <w:t>.</w:t>
      </w:r>
    </w:p>
  </w:footnote>
  <w:footnote w:id="64">
    <w:p w14:paraId="4FD21270" w14:textId="343EE206" w:rsidR="005D6A7F" w:rsidRPr="00C82BA2" w:rsidRDefault="005D6A7F" w:rsidP="005D6A7F">
      <w:pPr>
        <w:pStyle w:val="FootnoteText"/>
        <w:rPr>
          <w:rFonts w:asciiTheme="minorHAnsi" w:hAnsiTheme="minorHAnsi" w:cstheme="minorHAnsi"/>
        </w:rPr>
      </w:pPr>
      <w:r w:rsidRPr="00C82BA2">
        <w:rPr>
          <w:rStyle w:val="FootnoteReference"/>
          <w:rFonts w:asciiTheme="minorHAnsi" w:hAnsiTheme="minorHAnsi" w:cstheme="minorHAnsi"/>
        </w:rPr>
        <w:footnoteRef/>
      </w:r>
      <w:r w:rsidRPr="00C82BA2">
        <w:rPr>
          <w:rFonts w:asciiTheme="minorHAnsi" w:hAnsiTheme="minorHAnsi" w:cstheme="minorHAnsi"/>
        </w:rPr>
        <w:t xml:space="preserve"> Ministerial </w:t>
      </w:r>
      <w:r w:rsidR="0001136A">
        <w:rPr>
          <w:rFonts w:asciiTheme="minorHAnsi" w:hAnsiTheme="minorHAnsi" w:cstheme="minorHAnsi"/>
        </w:rPr>
        <w:t>G</w:t>
      </w:r>
      <w:r w:rsidRPr="00C82BA2">
        <w:rPr>
          <w:rFonts w:asciiTheme="minorHAnsi" w:hAnsiTheme="minorHAnsi" w:cstheme="minorHAnsi"/>
        </w:rPr>
        <w:t>uidelines, p</w:t>
      </w:r>
      <w:r w:rsidR="00220D11" w:rsidRPr="00C82BA2">
        <w:rPr>
          <w:rFonts w:asciiTheme="minorHAnsi" w:hAnsiTheme="minorHAnsi" w:cstheme="minorHAnsi"/>
        </w:rPr>
        <w:t>aragraph 262.</w:t>
      </w:r>
    </w:p>
  </w:footnote>
  <w:footnote w:id="65">
    <w:p w14:paraId="1C1F95CA" w14:textId="015A1AE5" w:rsidR="00D84E4C" w:rsidRPr="00C82BA2" w:rsidRDefault="00D84E4C">
      <w:pPr>
        <w:pStyle w:val="FootnoteText"/>
        <w:rPr>
          <w:rFonts w:asciiTheme="minorHAnsi" w:hAnsiTheme="minorHAnsi" w:cstheme="minorHAnsi"/>
        </w:rPr>
      </w:pPr>
      <w:r w:rsidRPr="00C82BA2">
        <w:rPr>
          <w:rStyle w:val="FootnoteReference"/>
          <w:rFonts w:asciiTheme="minorHAnsi" w:hAnsiTheme="minorHAnsi" w:cstheme="minorHAnsi"/>
        </w:rPr>
        <w:footnoteRef/>
      </w:r>
      <w:r w:rsidRPr="00C82BA2">
        <w:rPr>
          <w:rFonts w:asciiTheme="minorHAnsi" w:hAnsiTheme="minorHAnsi" w:cstheme="minorHAnsi"/>
        </w:rPr>
        <w:t xml:space="preserve"> </w:t>
      </w:r>
      <w:r w:rsidRPr="00C82BA2">
        <w:rPr>
          <w:rFonts w:asciiTheme="minorHAnsi" w:hAnsiTheme="minorHAnsi" w:cstheme="minorHAnsi"/>
          <w:i/>
          <w:iCs/>
        </w:rPr>
        <w:t>Education and Training Reform Act 2006</w:t>
      </w:r>
      <w:r w:rsidRPr="00C82BA2">
        <w:rPr>
          <w:rFonts w:asciiTheme="minorHAnsi" w:hAnsiTheme="minorHAnsi" w:cstheme="minorHAnsi"/>
        </w:rPr>
        <w:t xml:space="preserve"> (Vic), ss. 2.1A.30(1) &amp; (2).</w:t>
      </w:r>
    </w:p>
  </w:footnote>
  <w:footnote w:id="66">
    <w:p w14:paraId="10397557" w14:textId="164863E0" w:rsidR="0001066A" w:rsidRPr="00C82BA2" w:rsidRDefault="0001066A" w:rsidP="0001066A">
      <w:pPr>
        <w:pStyle w:val="FootnoteText"/>
        <w:rPr>
          <w:rFonts w:asciiTheme="minorHAnsi" w:hAnsiTheme="minorHAnsi" w:cstheme="minorHAnsi"/>
        </w:rPr>
      </w:pPr>
      <w:r w:rsidRPr="00C82BA2">
        <w:rPr>
          <w:rStyle w:val="FootnoteReference"/>
          <w:rFonts w:asciiTheme="minorHAnsi" w:hAnsiTheme="minorHAnsi" w:cstheme="minorHAnsi"/>
        </w:rPr>
        <w:footnoteRef/>
      </w:r>
      <w:r w:rsidRPr="00C82BA2">
        <w:rPr>
          <w:rFonts w:asciiTheme="minorHAnsi" w:hAnsiTheme="minorHAnsi" w:cstheme="minorHAnsi"/>
        </w:rPr>
        <w:t xml:space="preserve"> </w:t>
      </w:r>
      <w:r w:rsidRPr="00C82BA2">
        <w:rPr>
          <w:rFonts w:asciiTheme="minorHAnsi" w:hAnsiTheme="minorHAnsi" w:cstheme="minorHAnsi"/>
          <w:i/>
          <w:iCs/>
        </w:rPr>
        <w:t>Education and Training Reform Act 2006</w:t>
      </w:r>
      <w:r w:rsidRPr="00C82BA2">
        <w:rPr>
          <w:rFonts w:asciiTheme="minorHAnsi" w:hAnsiTheme="minorHAnsi" w:cstheme="minorHAnsi"/>
        </w:rPr>
        <w:t xml:space="preserve"> (Vic), ss. 2.1A.30(</w:t>
      </w:r>
      <w:r>
        <w:rPr>
          <w:rFonts w:asciiTheme="minorHAnsi" w:hAnsiTheme="minorHAnsi" w:cstheme="minorHAnsi"/>
        </w:rPr>
        <w:t>4</w:t>
      </w:r>
      <w:r w:rsidRPr="00C82BA2">
        <w:rPr>
          <w:rFonts w:asciiTheme="minorHAnsi" w:hAnsiTheme="minorHAnsi" w:cstheme="minorHAnsi"/>
        </w:rPr>
        <w:t>).</w:t>
      </w:r>
    </w:p>
  </w:footnote>
  <w:footnote w:id="67">
    <w:p w14:paraId="3F635E63" w14:textId="77777777" w:rsidR="00451A7F" w:rsidRPr="00C82BA2" w:rsidRDefault="00451A7F" w:rsidP="00451A7F">
      <w:pPr>
        <w:pStyle w:val="FootnoteText"/>
        <w:rPr>
          <w:rFonts w:asciiTheme="minorHAnsi" w:hAnsiTheme="minorHAnsi" w:cstheme="minorHAnsi"/>
        </w:rPr>
      </w:pPr>
      <w:r w:rsidRPr="00C82BA2">
        <w:rPr>
          <w:rStyle w:val="FootnoteReference"/>
          <w:rFonts w:asciiTheme="minorHAnsi" w:hAnsiTheme="minorHAnsi" w:cstheme="minorHAnsi"/>
        </w:rPr>
        <w:footnoteRef/>
      </w:r>
      <w:r w:rsidRPr="00C82BA2">
        <w:rPr>
          <w:rFonts w:asciiTheme="minorHAnsi" w:hAnsiTheme="minorHAnsi" w:cstheme="minorHAnsi"/>
        </w:rPr>
        <w:t xml:space="preserve"> Ministerial Guidelines, paragraph 272.</w:t>
      </w:r>
    </w:p>
  </w:footnote>
  <w:footnote w:id="68">
    <w:p w14:paraId="4E61998F" w14:textId="6B71C8C8" w:rsidR="00065C2F" w:rsidRPr="00C82BA2" w:rsidRDefault="00065C2F">
      <w:pPr>
        <w:pStyle w:val="FootnoteText"/>
        <w:rPr>
          <w:rFonts w:asciiTheme="minorHAnsi" w:hAnsiTheme="minorHAnsi" w:cstheme="minorHAnsi"/>
        </w:rPr>
      </w:pPr>
      <w:r w:rsidRPr="00C82BA2">
        <w:rPr>
          <w:rStyle w:val="FootnoteReference"/>
          <w:rFonts w:asciiTheme="minorHAnsi" w:hAnsiTheme="minorHAnsi" w:cstheme="minorHAnsi"/>
        </w:rPr>
        <w:footnoteRef/>
      </w:r>
      <w:r w:rsidRPr="00C82BA2">
        <w:rPr>
          <w:rFonts w:asciiTheme="minorHAnsi" w:hAnsiTheme="minorHAnsi" w:cstheme="minorHAnsi"/>
        </w:rPr>
        <w:t xml:space="preserve"> </w:t>
      </w:r>
      <w:r w:rsidRPr="00C82BA2">
        <w:rPr>
          <w:rFonts w:asciiTheme="minorHAnsi" w:hAnsiTheme="minorHAnsi" w:cstheme="minorHAnsi"/>
          <w:i/>
          <w:iCs/>
        </w:rPr>
        <w:t>Education and Training Reform Act 2006</w:t>
      </w:r>
      <w:r w:rsidRPr="00C82BA2">
        <w:rPr>
          <w:rFonts w:asciiTheme="minorHAnsi" w:hAnsiTheme="minorHAnsi" w:cstheme="minorHAnsi"/>
        </w:rPr>
        <w:t xml:space="preserve"> (Vic),</w:t>
      </w:r>
      <w:r w:rsidR="00515D7A">
        <w:rPr>
          <w:rFonts w:asciiTheme="minorHAnsi" w:hAnsiTheme="minorHAnsi" w:cstheme="minorHAnsi"/>
        </w:rPr>
        <w:t xml:space="preserve"> s </w:t>
      </w:r>
      <w:r w:rsidRPr="00C82BA2">
        <w:rPr>
          <w:rFonts w:asciiTheme="minorHAnsi" w:hAnsiTheme="minorHAnsi" w:cstheme="minorHAnsi"/>
        </w:rPr>
        <w:t xml:space="preserve">2.1A.29(5), 2.1A.30(3). </w:t>
      </w:r>
    </w:p>
  </w:footnote>
  <w:footnote w:id="69">
    <w:p w14:paraId="0135D1E4" w14:textId="6FA648F2" w:rsidR="00B063DF" w:rsidRPr="00C82BA2" w:rsidRDefault="00B063DF">
      <w:pPr>
        <w:pStyle w:val="FootnoteText"/>
        <w:rPr>
          <w:rFonts w:asciiTheme="minorHAnsi" w:hAnsiTheme="minorHAnsi" w:cstheme="minorHAnsi"/>
        </w:rPr>
      </w:pPr>
      <w:r w:rsidRPr="00C82BA2">
        <w:rPr>
          <w:rStyle w:val="FootnoteReference"/>
          <w:rFonts w:asciiTheme="minorHAnsi" w:hAnsiTheme="minorHAnsi" w:cstheme="minorHAnsi"/>
        </w:rPr>
        <w:footnoteRef/>
      </w:r>
      <w:r w:rsidRPr="00C82BA2">
        <w:rPr>
          <w:rFonts w:asciiTheme="minorHAnsi" w:hAnsiTheme="minorHAnsi" w:cstheme="minorHAnsi"/>
        </w:rPr>
        <w:t xml:space="preserve"> </w:t>
      </w:r>
      <w:r w:rsidR="00931D64" w:rsidRPr="00C82BA2">
        <w:rPr>
          <w:rFonts w:asciiTheme="minorHAnsi" w:hAnsiTheme="minorHAnsi" w:cstheme="minorHAnsi"/>
          <w:i/>
          <w:iCs/>
        </w:rPr>
        <w:t>Education and Training Reform Act 2006</w:t>
      </w:r>
      <w:r w:rsidR="00931D64" w:rsidRPr="00C82BA2">
        <w:rPr>
          <w:rFonts w:asciiTheme="minorHAnsi" w:hAnsiTheme="minorHAnsi" w:cstheme="minorHAnsi"/>
        </w:rPr>
        <w:t xml:space="preserve"> (Vic),</w:t>
      </w:r>
      <w:r w:rsidR="00515D7A">
        <w:rPr>
          <w:rFonts w:asciiTheme="minorHAnsi" w:hAnsiTheme="minorHAnsi" w:cstheme="minorHAnsi"/>
        </w:rPr>
        <w:t xml:space="preserve"> s </w:t>
      </w:r>
      <w:r w:rsidRPr="00C82BA2">
        <w:rPr>
          <w:rFonts w:asciiTheme="minorHAnsi" w:hAnsiTheme="minorHAnsi" w:cstheme="minorHAnsi"/>
        </w:rPr>
        <w:t>2.1A.30(5)</w:t>
      </w:r>
      <w:r w:rsidR="002E7B6E" w:rsidRPr="00C82BA2">
        <w:rPr>
          <w:rFonts w:asciiTheme="minorHAnsi" w:hAnsiTheme="minorHAnsi" w:cstheme="minorHAnsi"/>
        </w:rPr>
        <w:t>.</w:t>
      </w:r>
    </w:p>
  </w:footnote>
  <w:footnote w:id="70">
    <w:p w14:paraId="1D0BEE84" w14:textId="5DE0619F" w:rsidR="00911176" w:rsidRPr="00C82BA2" w:rsidRDefault="00911176">
      <w:pPr>
        <w:pStyle w:val="FootnoteText"/>
        <w:rPr>
          <w:rFonts w:asciiTheme="minorHAnsi" w:hAnsiTheme="minorHAnsi" w:cstheme="minorHAnsi"/>
        </w:rPr>
      </w:pPr>
      <w:r w:rsidRPr="00C82BA2">
        <w:rPr>
          <w:rStyle w:val="FootnoteReference"/>
          <w:rFonts w:asciiTheme="minorHAnsi" w:hAnsiTheme="minorHAnsi" w:cstheme="minorHAnsi"/>
        </w:rPr>
        <w:footnoteRef/>
      </w:r>
      <w:r w:rsidRPr="00C82BA2">
        <w:rPr>
          <w:rFonts w:asciiTheme="minorHAnsi" w:hAnsiTheme="minorHAnsi" w:cstheme="minorHAnsi"/>
        </w:rPr>
        <w:t xml:space="preserve"> Ministerial Guidelines, paragraph 51, 64.</w:t>
      </w:r>
    </w:p>
  </w:footnote>
  <w:footnote w:id="71">
    <w:p w14:paraId="4EBE0402" w14:textId="421751EF" w:rsidR="00C82BA2" w:rsidRPr="00C82BA2" w:rsidRDefault="00C82BA2" w:rsidP="00C82BA2">
      <w:pPr>
        <w:rPr>
          <w:rFonts w:asciiTheme="minorHAnsi" w:hAnsiTheme="minorHAnsi" w:cstheme="minorHAnsi"/>
        </w:rPr>
      </w:pPr>
      <w:r w:rsidRPr="00C82BA2">
        <w:rPr>
          <w:rStyle w:val="FootnoteReference"/>
          <w:rFonts w:asciiTheme="minorHAnsi" w:hAnsiTheme="minorHAnsi" w:cstheme="minorHAnsi"/>
        </w:rPr>
        <w:footnoteRef/>
      </w:r>
      <w:r w:rsidRPr="00C82BA2">
        <w:rPr>
          <w:rFonts w:asciiTheme="minorHAnsi" w:hAnsiTheme="minorHAnsi" w:cstheme="minorHAnsi"/>
        </w:rPr>
        <w:t xml:space="preserve"> See </w:t>
      </w:r>
      <w:r w:rsidRPr="00C82BA2">
        <w:rPr>
          <w:rFonts w:asciiTheme="minorHAnsi" w:hAnsiTheme="minorHAnsi" w:cstheme="minorHAnsi"/>
          <w:i/>
          <w:iCs/>
          <w:color w:val="000000"/>
          <w:shd w:val="clear" w:color="auto" w:fill="FFFFFF"/>
        </w:rPr>
        <w:t xml:space="preserve">QQQ v The Department of Families, Fairness and Housing (Review and Regulation) </w:t>
      </w:r>
      <w:r w:rsidRPr="00C82BA2">
        <w:rPr>
          <w:rFonts w:asciiTheme="minorHAnsi" w:hAnsiTheme="minorHAnsi" w:cstheme="minorHAnsi"/>
          <w:color w:val="000000"/>
          <w:shd w:val="clear" w:color="auto" w:fill="FFFFFF"/>
        </w:rPr>
        <w:t xml:space="preserve">[2021] VCAT 372; </w:t>
      </w:r>
      <w:r w:rsidRPr="00C82BA2">
        <w:rPr>
          <w:rFonts w:asciiTheme="minorHAnsi" w:hAnsiTheme="minorHAnsi" w:cstheme="minorHAnsi"/>
          <w:i/>
          <w:iCs/>
          <w:color w:val="000000"/>
          <w:shd w:val="clear" w:color="auto" w:fill="FFFFFF"/>
        </w:rPr>
        <w:t xml:space="preserve">FOI v The Secretary to the Department of Families, Fairness and Housing (Review and Regulation) </w:t>
      </w:r>
      <w:r w:rsidRPr="00C82BA2">
        <w:rPr>
          <w:rFonts w:asciiTheme="minorHAnsi" w:hAnsiTheme="minorHAnsi" w:cstheme="minorHAnsi"/>
          <w:color w:val="000000"/>
          <w:shd w:val="clear" w:color="auto" w:fill="FFFFFF"/>
        </w:rPr>
        <w:t xml:space="preserve">[2021] VCAT 1438; </w:t>
      </w:r>
      <w:r w:rsidRPr="00C82BA2">
        <w:rPr>
          <w:rFonts w:asciiTheme="minorHAnsi" w:hAnsiTheme="minorHAnsi" w:cstheme="minorHAnsi"/>
          <w:i/>
          <w:iCs/>
          <w:color w:val="000000"/>
          <w:shd w:val="clear" w:color="auto" w:fill="FFFFFF"/>
        </w:rPr>
        <w:t>INP v Secretary Department of Families Fairness and Housing (Review and Regulation)</w:t>
      </w:r>
      <w:r w:rsidRPr="00C82BA2">
        <w:rPr>
          <w:rFonts w:asciiTheme="minorHAnsi" w:hAnsiTheme="minorHAnsi" w:cstheme="minorHAnsi"/>
          <w:color w:val="000000"/>
          <w:shd w:val="clear" w:color="auto" w:fill="FFFFFF"/>
        </w:rPr>
        <w:t xml:space="preserve"> [2023] VCAT 626; </w:t>
      </w:r>
    </w:p>
  </w:footnote>
  <w:footnote w:id="72">
    <w:p w14:paraId="5D892705" w14:textId="7AAC6C36" w:rsidR="00C82BA2" w:rsidRPr="00C82BA2" w:rsidRDefault="00C82BA2" w:rsidP="00C82BA2">
      <w:pPr>
        <w:rPr>
          <w:rFonts w:asciiTheme="minorHAnsi" w:hAnsiTheme="minorHAnsi" w:cstheme="minorHAnsi"/>
        </w:rPr>
      </w:pPr>
      <w:r w:rsidRPr="00C82BA2">
        <w:rPr>
          <w:rStyle w:val="FootnoteReference"/>
          <w:rFonts w:asciiTheme="minorHAnsi" w:hAnsiTheme="minorHAnsi" w:cstheme="minorHAnsi"/>
        </w:rPr>
        <w:footnoteRef/>
      </w:r>
      <w:r w:rsidRPr="00C82BA2">
        <w:rPr>
          <w:rFonts w:asciiTheme="minorHAnsi" w:hAnsiTheme="minorHAnsi" w:cstheme="minorHAnsi"/>
        </w:rPr>
        <w:t xml:space="preserve"> </w:t>
      </w:r>
      <w:r w:rsidRPr="00C82BA2">
        <w:rPr>
          <w:rFonts w:asciiTheme="minorHAnsi" w:hAnsiTheme="minorHAnsi" w:cstheme="minorHAnsi"/>
          <w:i/>
          <w:iCs/>
          <w:color w:val="000000"/>
          <w:shd w:val="clear" w:color="auto" w:fill="FFFFFF"/>
        </w:rPr>
        <w:t xml:space="preserve">DPT v The Secretary, Department of Families, Fairness and Housing (Review and Regulation) </w:t>
      </w:r>
      <w:r w:rsidRPr="00C82BA2">
        <w:rPr>
          <w:rFonts w:asciiTheme="minorHAnsi" w:hAnsiTheme="minorHAnsi" w:cstheme="minorHAnsi"/>
          <w:color w:val="000000"/>
          <w:shd w:val="clear" w:color="auto" w:fill="FFFFFF"/>
        </w:rPr>
        <w:t>[2024] VCAT 950</w:t>
      </w:r>
      <w:r w:rsidR="00D37DA2">
        <w:rPr>
          <w:rFonts w:asciiTheme="minorHAnsi" w:hAnsiTheme="minorHAnsi" w:cstheme="minorHAnsi"/>
          <w:color w:val="000000"/>
          <w:shd w:val="clear" w:color="auto" w:fill="FFFFFF"/>
        </w:rPr>
        <w:t>.</w:t>
      </w:r>
    </w:p>
    <w:p w14:paraId="278E47B6" w14:textId="71AAD4B0" w:rsidR="00C82BA2" w:rsidRPr="00C82BA2" w:rsidRDefault="00C82BA2">
      <w:pPr>
        <w:pStyle w:val="FootnoteText"/>
        <w:rPr>
          <w:rFonts w:asciiTheme="minorHAnsi" w:hAnsiTheme="minorHAnsi" w:cstheme="minorHAnsi"/>
        </w:rPr>
      </w:pPr>
    </w:p>
  </w:footnote>
  <w:footnote w:id="73">
    <w:p w14:paraId="3D4F1F6B" w14:textId="7CAC1F1F" w:rsidR="00E17A1B" w:rsidRDefault="00E17A1B">
      <w:pPr>
        <w:pStyle w:val="FootnoteText"/>
      </w:pPr>
      <w:r>
        <w:rPr>
          <w:rStyle w:val="FootnoteReference"/>
        </w:rPr>
        <w:footnoteRef/>
      </w:r>
      <w:r>
        <w:t xml:space="preserve"> </w:t>
      </w:r>
      <w:r w:rsidRPr="00E17A1B">
        <w:rPr>
          <w:i/>
          <w:iCs/>
        </w:rPr>
        <w:t>Hamilton v Transport Accident Commissio</w:t>
      </w:r>
      <w:r>
        <w:t xml:space="preserve">n [2001] VCAT 2027. </w:t>
      </w:r>
    </w:p>
  </w:footnote>
  <w:footnote w:id="74">
    <w:p w14:paraId="758978C6" w14:textId="0362AAAD" w:rsidR="00E91ABE" w:rsidRDefault="00E91ABE">
      <w:pPr>
        <w:pStyle w:val="FootnoteText"/>
      </w:pPr>
      <w:r>
        <w:rPr>
          <w:rStyle w:val="FootnoteReference"/>
        </w:rPr>
        <w:footnoteRef/>
      </w:r>
      <w:r>
        <w:t xml:space="preserve"> From </w:t>
      </w:r>
      <w:r w:rsidRPr="00E91ABE">
        <w:rPr>
          <w:i/>
          <w:iCs/>
        </w:rPr>
        <w:t>Harman v Secretary of State for Home Department</w:t>
      </w:r>
      <w:r w:rsidRPr="00E91ABE">
        <w:t xml:space="preserve"> [1983] 1 AC 280; </w:t>
      </w:r>
      <w:r w:rsidRPr="00E91ABE">
        <w:rPr>
          <w:i/>
          <w:iCs/>
        </w:rPr>
        <w:t>Hearne v Street</w:t>
      </w:r>
      <w:r w:rsidRPr="00E91ABE">
        <w:t xml:space="preserve"> (2008) 235 CLR 125</w:t>
      </w:r>
      <w:r>
        <w:t>.</w:t>
      </w:r>
    </w:p>
  </w:footnote>
  <w:footnote w:id="75">
    <w:p w14:paraId="001AFCEE" w14:textId="4D638849" w:rsidR="000011D9" w:rsidRPr="00C82BA2" w:rsidRDefault="000011D9">
      <w:pPr>
        <w:pStyle w:val="FootnoteText"/>
        <w:rPr>
          <w:rFonts w:asciiTheme="minorHAnsi" w:hAnsiTheme="minorHAnsi" w:cstheme="minorHAnsi"/>
        </w:rPr>
      </w:pPr>
      <w:r w:rsidRPr="00C82BA2">
        <w:rPr>
          <w:rStyle w:val="FootnoteReference"/>
          <w:rFonts w:asciiTheme="minorHAnsi" w:hAnsiTheme="minorHAnsi" w:cstheme="minorHAnsi"/>
        </w:rPr>
        <w:footnoteRef/>
      </w:r>
      <w:r w:rsidRPr="00C82BA2">
        <w:rPr>
          <w:rFonts w:asciiTheme="minorHAnsi" w:hAnsiTheme="minorHAnsi" w:cstheme="minorHAnsi"/>
        </w:rPr>
        <w:t xml:space="preserve"> Ministerial Guidelines, paragraph 316. </w:t>
      </w:r>
    </w:p>
  </w:footnote>
  <w:footnote w:id="76">
    <w:p w14:paraId="6958A6ED" w14:textId="0715C362" w:rsidR="000E5BE7" w:rsidRPr="00C82BA2" w:rsidRDefault="000E5BE7" w:rsidP="000E5BE7">
      <w:pPr>
        <w:pStyle w:val="FootnoteText"/>
        <w:rPr>
          <w:rFonts w:asciiTheme="minorHAnsi" w:hAnsiTheme="minorHAnsi" w:cstheme="minorHAnsi"/>
        </w:rPr>
      </w:pPr>
      <w:r w:rsidRPr="00C82BA2">
        <w:rPr>
          <w:rStyle w:val="FootnoteReference"/>
          <w:rFonts w:asciiTheme="minorHAnsi" w:hAnsiTheme="minorHAnsi" w:cstheme="minorHAnsi"/>
        </w:rPr>
        <w:footnoteRef/>
      </w:r>
      <w:r w:rsidRPr="00C82BA2">
        <w:rPr>
          <w:rFonts w:asciiTheme="minorHAnsi" w:hAnsiTheme="minorHAnsi" w:cstheme="minorHAnsi"/>
        </w:rPr>
        <w:t xml:space="preserve"> Ministerial Guidelines, paragraph</w:t>
      </w:r>
      <w:r w:rsidR="00136C99" w:rsidRPr="00C82BA2">
        <w:rPr>
          <w:rFonts w:asciiTheme="minorHAnsi" w:hAnsiTheme="minorHAnsi" w:cstheme="minorHAnsi"/>
        </w:rPr>
        <w:t>s 312-315</w:t>
      </w:r>
      <w:r w:rsidRPr="00C82BA2">
        <w:rPr>
          <w:rFonts w:asciiTheme="minorHAnsi" w:hAnsiTheme="minorHAnsi"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49AC5" w14:textId="77777777" w:rsidR="00135871" w:rsidRDefault="001358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3EE3" w14:textId="27300674" w:rsidR="000A5FE5" w:rsidRPr="000137C3" w:rsidRDefault="000A5FE5">
    <w:pPr>
      <w:rPr>
        <w:b/>
        <w:color w:val="A20000"/>
      </w:rPr>
    </w:pPr>
    <w:r w:rsidRPr="00535AEC">
      <w:rPr>
        <w:b/>
        <w:noProof/>
        <w:color w:val="FF0000"/>
        <w:lang w:eastAsia="en-AU"/>
      </w:rPr>
      <w:drawing>
        <wp:anchor distT="0" distB="0" distL="114300" distR="0" simplePos="0" relativeHeight="251658240" behindDoc="0" locked="0" layoutInCell="1" allowOverlap="0" wp14:anchorId="2C20DCFF" wp14:editId="03CAEAB9">
          <wp:simplePos x="0" y="0"/>
          <wp:positionH relativeFrom="page">
            <wp:posOffset>5581015</wp:posOffset>
          </wp:positionH>
          <wp:positionV relativeFrom="page">
            <wp:posOffset>360045</wp:posOffset>
          </wp:positionV>
          <wp:extent cx="1552575" cy="371475"/>
          <wp:effectExtent l="0" t="0" r="9525" b="9525"/>
          <wp:wrapSquare wrapText="left"/>
          <wp:docPr id="27" name="Picture 27" descr="Maddocks logo_1020x242x2-600WinRGB-expanded AHP Aug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ddocks logo_1020x242x2-600WinRGB-expanded AHP Aug 2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3714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951E" w14:textId="554C63DF" w:rsidR="000A5FE5" w:rsidRPr="007322E0" w:rsidRDefault="000A5FE5" w:rsidP="007322E0">
    <w:pPr>
      <w:pStyle w:val="Header"/>
    </w:pPr>
    <w:r>
      <w:rPr>
        <w:noProof/>
        <w:lang w:eastAsia="en-AU"/>
      </w:rPr>
      <w:drawing>
        <wp:anchor distT="0" distB="0" distL="114300" distR="114300" simplePos="0" relativeHeight="251658241" behindDoc="1" locked="0" layoutInCell="1" allowOverlap="1" wp14:anchorId="39CC0EF5" wp14:editId="5CBD4CC0">
          <wp:simplePos x="0" y="0"/>
          <wp:positionH relativeFrom="column">
            <wp:posOffset>-886782</wp:posOffset>
          </wp:positionH>
          <wp:positionV relativeFrom="paragraph">
            <wp:posOffset>-346397</wp:posOffset>
          </wp:positionV>
          <wp:extent cx="7533564" cy="10655797"/>
          <wp:effectExtent l="0" t="0" r="0" b="0"/>
          <wp:wrapNone/>
          <wp:docPr id="28" name="Picture 28" descr="Maddo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Maddocks"/>
                  <pic:cNvPicPr/>
                </pic:nvPicPr>
                <pic:blipFill>
                  <a:blip r:embed="rId1">
                    <a:extLst>
                      <a:ext uri="{28A0092B-C50C-407E-A947-70E740481C1C}">
                        <a14:useLocalDpi xmlns:a14="http://schemas.microsoft.com/office/drawing/2010/main" val="0"/>
                      </a:ext>
                    </a:extLst>
                  </a:blip>
                  <a:stretch>
                    <a:fillRect/>
                  </a:stretch>
                </pic:blipFill>
                <pic:spPr>
                  <a:xfrm>
                    <a:off x="0" y="0"/>
                    <a:ext cx="7536681" cy="10660206"/>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E054E" w14:textId="62583908" w:rsidR="005D0648" w:rsidRDefault="005D064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F784F" w14:textId="6D90CDE2" w:rsidR="005D0648" w:rsidRDefault="005D064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2866B" w14:textId="787460FC" w:rsidR="000A5FE5" w:rsidRPr="00E40240" w:rsidRDefault="000A5FE5" w:rsidP="007322E0">
    <w:pPr>
      <w:rPr>
        <w:b/>
      </w:rPr>
    </w:pPr>
    <w:r w:rsidRPr="00535AEC">
      <w:rPr>
        <w:b/>
        <w:noProof/>
        <w:color w:val="FF0000"/>
        <w:lang w:eastAsia="en-AU"/>
      </w:rPr>
      <w:drawing>
        <wp:anchor distT="0" distB="0" distL="114300" distR="0" simplePos="0" relativeHeight="251658242" behindDoc="0" locked="0" layoutInCell="1" allowOverlap="0" wp14:anchorId="126B6F12" wp14:editId="3E90C1DB">
          <wp:simplePos x="0" y="0"/>
          <wp:positionH relativeFrom="page">
            <wp:posOffset>5581015</wp:posOffset>
          </wp:positionH>
          <wp:positionV relativeFrom="page">
            <wp:posOffset>360045</wp:posOffset>
          </wp:positionV>
          <wp:extent cx="1552575" cy="371475"/>
          <wp:effectExtent l="0" t="0" r="9525" b="9525"/>
          <wp:wrapSquare wrapText="left"/>
          <wp:docPr id="191599532" name="Picture 191599532" descr="Maddocks logo_1020x242x2-600WinRGB-expanded AHP Aug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ddocks logo_1020x242x2-600WinRGB-expanded AHP Aug 2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371475"/>
                  </a:xfrm>
                  <a:prstGeom prst="rect">
                    <a:avLst/>
                  </a:prstGeom>
                  <a:noFill/>
                </pic:spPr>
              </pic:pic>
            </a:graphicData>
          </a:graphic>
          <wp14:sizeRelH relativeFrom="page">
            <wp14:pctWidth>0</wp14:pctWidth>
          </wp14:sizeRelH>
          <wp14:sizeRelV relativeFrom="page">
            <wp14:pctHeight>0</wp14:pctHeight>
          </wp14:sizeRelV>
        </wp:anchor>
      </w:drawing>
    </w:r>
  </w:p>
  <w:p w14:paraId="3FB968DD" w14:textId="25DBF7A4" w:rsidR="000A5FE5" w:rsidRPr="007322E0" w:rsidRDefault="000A5FE5" w:rsidP="007322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C28C18E"/>
    <w:lvl w:ilvl="0">
      <w:start w:val="1"/>
      <w:numFmt w:val="decimal"/>
      <w:pStyle w:val="ListNumber2"/>
      <w:lvlText w:val="%1."/>
      <w:lvlJc w:val="left"/>
      <w:pPr>
        <w:tabs>
          <w:tab w:val="num" w:pos="643"/>
        </w:tabs>
        <w:ind w:left="643" w:hanging="360"/>
      </w:pPr>
    </w:lvl>
  </w:abstractNum>
  <w:abstractNum w:abstractNumId="1" w15:restartNumberingAfterBreak="0">
    <w:nsid w:val="FFFFFFFB"/>
    <w:multiLevelType w:val="multilevel"/>
    <w:tmpl w:val="A54A9240"/>
    <w:lvl w:ilvl="0">
      <w:start w:val="1"/>
      <w:numFmt w:val="decimal"/>
      <w:pStyle w:val="Heading1"/>
      <w:lvlText w:val="%1."/>
      <w:lvlJc w:val="left"/>
      <w:pPr>
        <w:ind w:left="851" w:hanging="851"/>
      </w:pPr>
      <w:rPr>
        <w:rFonts w:hint="default"/>
        <w:sz w:val="22"/>
        <w:szCs w:val="22"/>
      </w:rPr>
    </w:lvl>
    <w:lvl w:ilvl="1">
      <w:start w:val="1"/>
      <w:numFmt w:val="decimal"/>
      <w:pStyle w:val="Heading2"/>
      <w:lvlText w:val="%1.%2"/>
      <w:lvlJc w:val="left"/>
      <w:pPr>
        <w:ind w:left="851" w:hanging="851"/>
      </w:pPr>
      <w:rPr>
        <w:rFonts w:hint="default"/>
        <w:b w:val="0"/>
        <w:i w:val="0"/>
        <w:sz w:val="20"/>
        <w:szCs w:val="20"/>
      </w:rPr>
    </w:lvl>
    <w:lvl w:ilvl="2">
      <w:start w:val="1"/>
      <w:numFmt w:val="lowerLetter"/>
      <w:pStyle w:val="Heading3"/>
      <w:lvlText w:val="%3)"/>
      <w:lvlJc w:val="left"/>
      <w:pPr>
        <w:ind w:left="1211" w:hanging="360"/>
      </w:pPr>
    </w:lvl>
    <w:lvl w:ilvl="3">
      <w:start w:val="1"/>
      <w:numFmt w:val="lowerLetter"/>
      <w:pStyle w:val="Heading4"/>
      <w:lvlText w:val="(%4)"/>
      <w:lvlJc w:val="left"/>
      <w:pPr>
        <w:ind w:left="2268" w:hanging="567"/>
      </w:pPr>
      <w:rPr>
        <w:rFonts w:ascii="Arial" w:hAnsi="Arial" w:hint="default"/>
        <w:b w:val="0"/>
        <w:i w:val="0"/>
        <w:sz w:val="20"/>
        <w:szCs w:val="20"/>
      </w:rPr>
    </w:lvl>
    <w:lvl w:ilvl="4">
      <w:start w:val="1"/>
      <w:numFmt w:val="lowerRoman"/>
      <w:pStyle w:val="Heading5"/>
      <w:lvlText w:val="(%5)"/>
      <w:lvlJc w:val="left"/>
      <w:pPr>
        <w:tabs>
          <w:tab w:val="num" w:pos="2835"/>
        </w:tabs>
        <w:ind w:left="2835" w:hanging="567"/>
      </w:pPr>
      <w:rPr>
        <w:rFonts w:hint="default"/>
        <w:sz w:val="20"/>
        <w:szCs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2245648"/>
    <w:multiLevelType w:val="multilevel"/>
    <w:tmpl w:val="29367C6C"/>
    <w:lvl w:ilvl="0">
      <w:start w:val="1"/>
      <w:numFmt w:val="decimal"/>
      <w:pStyle w:val="Numpara1"/>
      <w:lvlText w:val="%1."/>
      <w:lvlJc w:val="left"/>
      <w:pPr>
        <w:ind w:left="851" w:hanging="851"/>
      </w:pPr>
      <w:rPr>
        <w:rFonts w:hint="default"/>
        <w:i w:val="0"/>
        <w:sz w:val="20"/>
        <w:szCs w:val="20"/>
      </w:rPr>
    </w:lvl>
    <w:lvl w:ilvl="1">
      <w:start w:val="1"/>
      <w:numFmt w:val="decimal"/>
      <w:pStyle w:val="Numpara2"/>
      <w:lvlText w:val="%1.%2"/>
      <w:lvlJc w:val="left"/>
      <w:pPr>
        <w:ind w:left="851" w:hanging="851"/>
      </w:pPr>
      <w:rPr>
        <w:rFonts w:hint="default"/>
        <w:sz w:val="20"/>
        <w:szCs w:val="20"/>
      </w:rPr>
    </w:lvl>
    <w:lvl w:ilvl="2">
      <w:start w:val="1"/>
      <w:numFmt w:val="decimal"/>
      <w:pStyle w:val="Numpara3"/>
      <w:lvlText w:val="%1.%2.%3"/>
      <w:lvlJc w:val="left"/>
      <w:pPr>
        <w:ind w:left="1701" w:hanging="850"/>
      </w:pPr>
      <w:rPr>
        <w:rFonts w:hint="default"/>
        <w:sz w:val="20"/>
        <w:szCs w:val="20"/>
      </w:rPr>
    </w:lvl>
    <w:lvl w:ilvl="3">
      <w:start w:val="1"/>
      <w:numFmt w:val="lowerLetter"/>
      <w:pStyle w:val="Numpara4"/>
      <w:lvlText w:val="(%4)"/>
      <w:lvlJc w:val="left"/>
      <w:pPr>
        <w:ind w:left="2268" w:hanging="567"/>
      </w:pPr>
      <w:rPr>
        <w:rFonts w:hint="default"/>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3" w15:restartNumberingAfterBreak="0">
    <w:nsid w:val="04764198"/>
    <w:multiLevelType w:val="multilevel"/>
    <w:tmpl w:val="0AEE8D64"/>
    <w:lvl w:ilvl="0">
      <w:start w:val="1"/>
      <w:numFmt w:val="decimal"/>
      <w:pStyle w:val="legalPart"/>
      <w:lvlText w:val="Part %1"/>
      <w:lvlJc w:val="left"/>
      <w:pPr>
        <w:tabs>
          <w:tab w:val="num" w:pos="1701"/>
        </w:tabs>
        <w:ind w:left="1701" w:hanging="1701"/>
      </w:pPr>
      <w:rPr>
        <w:rFonts w:ascii="Arial" w:hAnsi="Arial" w:cs="Times New Roman" w:hint="default"/>
        <w:b/>
        <w:i w:val="0"/>
        <w:color w:val="82002A"/>
        <w:sz w:val="22"/>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4" w15:restartNumberingAfterBreak="0">
    <w:nsid w:val="04BF4A0F"/>
    <w:multiLevelType w:val="multilevel"/>
    <w:tmpl w:val="1DFCD470"/>
    <w:lvl w:ilvl="0">
      <w:start w:val="1"/>
      <w:numFmt w:val="bullet"/>
      <w:pStyle w:val="Bullet2"/>
      <w:lvlText w:val=""/>
      <w:lvlJc w:val="left"/>
      <w:pPr>
        <w:ind w:left="1701" w:hanging="850"/>
      </w:pPr>
      <w:rPr>
        <w:rFonts w:ascii="Symbol" w:hAnsi="Symbo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2F25A5"/>
    <w:multiLevelType w:val="hybridMultilevel"/>
    <w:tmpl w:val="9A788F0A"/>
    <w:lvl w:ilvl="0" w:tplc="FFFFFFFF">
      <w:start w:val="1"/>
      <w:numFmt w:val="lowerLetter"/>
      <w:lvlText w:val="%1."/>
      <w:lvlJc w:val="left"/>
      <w:pPr>
        <w:ind w:left="723" w:hanging="360"/>
      </w:pPr>
    </w:lvl>
    <w:lvl w:ilvl="1" w:tplc="FFFFFFFF">
      <w:start w:val="1"/>
      <w:numFmt w:val="bullet"/>
      <w:lvlText w:val="o"/>
      <w:lvlJc w:val="left"/>
      <w:pPr>
        <w:ind w:left="1519" w:hanging="360"/>
      </w:pPr>
      <w:rPr>
        <w:rFonts w:ascii="Courier New" w:hAnsi="Courier New" w:cs="Courier New" w:hint="default"/>
      </w:rPr>
    </w:lvl>
    <w:lvl w:ilvl="2" w:tplc="FFFFFFFF">
      <w:start w:val="1"/>
      <w:numFmt w:val="bullet"/>
      <w:lvlText w:val=""/>
      <w:lvlJc w:val="left"/>
      <w:pPr>
        <w:ind w:left="2239" w:hanging="360"/>
      </w:pPr>
      <w:rPr>
        <w:rFonts w:ascii="Wingdings" w:hAnsi="Wingdings" w:hint="default"/>
      </w:rPr>
    </w:lvl>
    <w:lvl w:ilvl="3" w:tplc="FFFFFFFF">
      <w:start w:val="1"/>
      <w:numFmt w:val="bullet"/>
      <w:lvlText w:val=""/>
      <w:lvlJc w:val="left"/>
      <w:pPr>
        <w:ind w:left="2959" w:hanging="360"/>
      </w:pPr>
      <w:rPr>
        <w:rFonts w:ascii="Symbol" w:hAnsi="Symbol" w:hint="default"/>
      </w:rPr>
    </w:lvl>
    <w:lvl w:ilvl="4" w:tplc="FFFFFFFF">
      <w:start w:val="1"/>
      <w:numFmt w:val="bullet"/>
      <w:lvlText w:val="o"/>
      <w:lvlJc w:val="left"/>
      <w:pPr>
        <w:ind w:left="3679" w:hanging="360"/>
      </w:pPr>
      <w:rPr>
        <w:rFonts w:ascii="Courier New" w:hAnsi="Courier New" w:cs="Courier New" w:hint="default"/>
      </w:rPr>
    </w:lvl>
    <w:lvl w:ilvl="5" w:tplc="FFFFFFFF">
      <w:start w:val="1"/>
      <w:numFmt w:val="bullet"/>
      <w:lvlText w:val=""/>
      <w:lvlJc w:val="left"/>
      <w:pPr>
        <w:ind w:left="4399" w:hanging="360"/>
      </w:pPr>
      <w:rPr>
        <w:rFonts w:ascii="Wingdings" w:hAnsi="Wingdings" w:hint="default"/>
      </w:rPr>
    </w:lvl>
    <w:lvl w:ilvl="6" w:tplc="FFFFFFFF">
      <w:start w:val="1"/>
      <w:numFmt w:val="bullet"/>
      <w:lvlText w:val=""/>
      <w:lvlJc w:val="left"/>
      <w:pPr>
        <w:ind w:left="5119" w:hanging="360"/>
      </w:pPr>
      <w:rPr>
        <w:rFonts w:ascii="Symbol" w:hAnsi="Symbol" w:hint="default"/>
      </w:rPr>
    </w:lvl>
    <w:lvl w:ilvl="7" w:tplc="FFFFFFFF">
      <w:start w:val="1"/>
      <w:numFmt w:val="bullet"/>
      <w:lvlText w:val="o"/>
      <w:lvlJc w:val="left"/>
      <w:pPr>
        <w:ind w:left="5839" w:hanging="360"/>
      </w:pPr>
      <w:rPr>
        <w:rFonts w:ascii="Courier New" w:hAnsi="Courier New" w:cs="Courier New" w:hint="default"/>
      </w:rPr>
    </w:lvl>
    <w:lvl w:ilvl="8" w:tplc="FFFFFFFF">
      <w:start w:val="1"/>
      <w:numFmt w:val="bullet"/>
      <w:lvlText w:val=""/>
      <w:lvlJc w:val="left"/>
      <w:pPr>
        <w:ind w:left="6559" w:hanging="360"/>
      </w:pPr>
      <w:rPr>
        <w:rFonts w:ascii="Wingdings" w:hAnsi="Wingdings" w:hint="default"/>
      </w:rPr>
    </w:lvl>
  </w:abstractNum>
  <w:abstractNum w:abstractNumId="6" w15:restartNumberingAfterBreak="0">
    <w:nsid w:val="0D843BE2"/>
    <w:multiLevelType w:val="hybridMultilevel"/>
    <w:tmpl w:val="F4864A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F183487"/>
    <w:multiLevelType w:val="multilevel"/>
    <w:tmpl w:val="57CEFBC6"/>
    <w:lvl w:ilvl="0">
      <w:start w:val="1"/>
      <w:numFmt w:val="decimal"/>
      <w:pStyle w:val="legalAttachment"/>
      <w:lvlText w:val="Attachment %1"/>
      <w:lvlJc w:val="left"/>
      <w:pPr>
        <w:ind w:left="2552" w:hanging="255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12C7B6C"/>
    <w:multiLevelType w:val="hybridMultilevel"/>
    <w:tmpl w:val="846469E4"/>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9" w15:restartNumberingAfterBreak="0">
    <w:nsid w:val="12004A55"/>
    <w:multiLevelType w:val="multilevel"/>
    <w:tmpl w:val="E4343B56"/>
    <w:lvl w:ilvl="0">
      <w:start w:val="1"/>
      <w:numFmt w:val="decimal"/>
      <w:lvlText w:val="%1."/>
      <w:lvlJc w:val="left"/>
      <w:pPr>
        <w:ind w:left="851" w:hanging="851"/>
      </w:pPr>
      <w:rPr>
        <w:rFonts w:hint="default"/>
        <w:sz w:val="22"/>
        <w:szCs w:val="22"/>
      </w:rPr>
    </w:lvl>
    <w:lvl w:ilvl="1">
      <w:start w:val="1"/>
      <w:numFmt w:val="decimal"/>
      <w:lvlText w:val="%1.%2"/>
      <w:lvlJc w:val="left"/>
      <w:pPr>
        <w:ind w:left="851" w:hanging="851"/>
      </w:pPr>
      <w:rPr>
        <w:rFonts w:hint="default"/>
        <w:b w:val="0"/>
        <w:i w:val="0"/>
        <w:sz w:val="20"/>
        <w:szCs w:val="20"/>
      </w:rPr>
    </w:lvl>
    <w:lvl w:ilvl="2">
      <w:start w:val="1"/>
      <w:numFmt w:val="bullet"/>
      <w:lvlText w:val=""/>
      <w:lvlJc w:val="left"/>
      <w:pPr>
        <w:ind w:left="1211" w:hanging="360"/>
      </w:pPr>
      <w:rPr>
        <w:rFonts w:ascii="Symbol" w:hAnsi="Symbol" w:hint="default"/>
      </w:rPr>
    </w:lvl>
    <w:lvl w:ilvl="3">
      <w:start w:val="1"/>
      <w:numFmt w:val="lowerLetter"/>
      <w:lvlText w:val="(%4)"/>
      <w:lvlJc w:val="left"/>
      <w:pPr>
        <w:ind w:left="2268" w:hanging="567"/>
      </w:pPr>
      <w:rPr>
        <w:rFonts w:ascii="Arial" w:hAnsi="Arial" w:hint="default"/>
        <w:b w:val="0"/>
        <w:i w:val="0"/>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120454B5"/>
    <w:multiLevelType w:val="multilevel"/>
    <w:tmpl w:val="D848CF7A"/>
    <w:lvl w:ilvl="0">
      <w:start w:val="1"/>
      <w:numFmt w:val="upperLetter"/>
      <w:pStyle w:val="legalRecital1"/>
      <w:lvlText w:val="%1."/>
      <w:lvlJc w:val="left"/>
      <w:pPr>
        <w:ind w:left="851" w:hanging="851"/>
      </w:pPr>
      <w:rPr>
        <w:rFonts w:ascii="Arial" w:hAnsi="Arial" w:hint="default"/>
        <w:b w:val="0"/>
        <w:i w:val="0"/>
        <w:sz w:val="20"/>
        <w:szCs w:val="20"/>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2552"/>
        </w:tabs>
        <w:ind w:left="2552" w:hanging="851"/>
      </w:pPr>
      <w:rPr>
        <w:rFonts w:hint="default"/>
      </w:rPr>
    </w:lvl>
    <w:lvl w:ilvl="3">
      <w:start w:val="1"/>
      <w:numFmt w:val="decimal"/>
      <w:lvlText w:val="%1.%2.%3.%4"/>
      <w:lvlJc w:val="left"/>
      <w:pPr>
        <w:tabs>
          <w:tab w:val="num" w:pos="3686"/>
        </w:tabs>
        <w:ind w:left="3686" w:hanging="1134"/>
      </w:pPr>
      <w:rPr>
        <w:rFonts w:hint="default"/>
      </w:rPr>
    </w:lvl>
    <w:lvl w:ilvl="4">
      <w:start w:val="1"/>
      <w:numFmt w:val="decimal"/>
      <w:lvlText w:val="%1.%2.%3.%4.%5"/>
      <w:lvlJc w:val="left"/>
      <w:pPr>
        <w:tabs>
          <w:tab w:val="num" w:pos="4820"/>
        </w:tabs>
        <w:ind w:left="4820" w:hanging="1134"/>
      </w:pPr>
      <w:rPr>
        <w:rFonts w:hint="default"/>
      </w:rPr>
    </w:lvl>
    <w:lvl w:ilvl="5">
      <w:start w:val="1"/>
      <w:numFmt w:val="decimal"/>
      <w:lvlText w:val="%1.%2.%3.%4.%5.%6."/>
      <w:lvlJc w:val="left"/>
      <w:pPr>
        <w:tabs>
          <w:tab w:val="num" w:pos="0"/>
        </w:tabs>
        <w:ind w:left="4532" w:hanging="708"/>
      </w:pPr>
      <w:rPr>
        <w:rFonts w:hint="default"/>
      </w:rPr>
    </w:lvl>
    <w:lvl w:ilvl="6">
      <w:start w:val="1"/>
      <w:numFmt w:val="decimal"/>
      <w:lvlText w:val="%1.%2.%3.%4.%5.%6.%7."/>
      <w:lvlJc w:val="left"/>
      <w:pPr>
        <w:tabs>
          <w:tab w:val="num" w:pos="0"/>
        </w:tabs>
        <w:ind w:left="5240" w:hanging="708"/>
      </w:pPr>
      <w:rPr>
        <w:rFonts w:hint="default"/>
      </w:rPr>
    </w:lvl>
    <w:lvl w:ilvl="7">
      <w:start w:val="1"/>
      <w:numFmt w:val="decimal"/>
      <w:lvlText w:val="%1.%2.%3.%4.%5.%6.%7.%8."/>
      <w:lvlJc w:val="left"/>
      <w:pPr>
        <w:tabs>
          <w:tab w:val="num" w:pos="0"/>
        </w:tabs>
        <w:ind w:left="5948" w:hanging="708"/>
      </w:pPr>
      <w:rPr>
        <w:rFonts w:hint="default"/>
      </w:rPr>
    </w:lvl>
    <w:lvl w:ilvl="8">
      <w:start w:val="1"/>
      <w:numFmt w:val="decimal"/>
      <w:lvlText w:val="%1.%2.%3.%4.%5.%6.%7.%8.%9."/>
      <w:lvlJc w:val="left"/>
      <w:pPr>
        <w:tabs>
          <w:tab w:val="num" w:pos="0"/>
        </w:tabs>
        <w:ind w:left="6656" w:hanging="708"/>
      </w:pPr>
      <w:rPr>
        <w:rFonts w:hint="default"/>
      </w:rPr>
    </w:lvl>
  </w:abstractNum>
  <w:abstractNum w:abstractNumId="11" w15:restartNumberingAfterBreak="0">
    <w:nsid w:val="12450951"/>
    <w:multiLevelType w:val="hybridMultilevel"/>
    <w:tmpl w:val="2C901368"/>
    <w:lvl w:ilvl="0" w:tplc="0C090019">
      <w:start w:val="1"/>
      <w:numFmt w:val="lowerLetter"/>
      <w:lvlText w:val="%1."/>
      <w:lvlJc w:val="left"/>
      <w:pPr>
        <w:ind w:left="723" w:hanging="360"/>
      </w:pPr>
    </w:lvl>
    <w:lvl w:ilvl="1" w:tplc="0C090019">
      <w:start w:val="1"/>
      <w:numFmt w:val="lowerLetter"/>
      <w:lvlText w:val="%2."/>
      <w:lvlJc w:val="left"/>
      <w:pPr>
        <w:ind w:left="1443" w:hanging="360"/>
      </w:pPr>
    </w:lvl>
    <w:lvl w:ilvl="2" w:tplc="0C09001B">
      <w:start w:val="1"/>
      <w:numFmt w:val="lowerRoman"/>
      <w:lvlText w:val="%3."/>
      <w:lvlJc w:val="right"/>
      <w:pPr>
        <w:ind w:left="2163" w:hanging="180"/>
      </w:pPr>
    </w:lvl>
    <w:lvl w:ilvl="3" w:tplc="0C09000F">
      <w:start w:val="1"/>
      <w:numFmt w:val="decimal"/>
      <w:lvlText w:val="%4."/>
      <w:lvlJc w:val="left"/>
      <w:pPr>
        <w:ind w:left="2883" w:hanging="360"/>
      </w:pPr>
    </w:lvl>
    <w:lvl w:ilvl="4" w:tplc="0C090019">
      <w:start w:val="1"/>
      <w:numFmt w:val="lowerLetter"/>
      <w:lvlText w:val="%5."/>
      <w:lvlJc w:val="left"/>
      <w:pPr>
        <w:ind w:left="3603" w:hanging="360"/>
      </w:pPr>
    </w:lvl>
    <w:lvl w:ilvl="5" w:tplc="0C09001B">
      <w:start w:val="1"/>
      <w:numFmt w:val="lowerRoman"/>
      <w:lvlText w:val="%6."/>
      <w:lvlJc w:val="right"/>
      <w:pPr>
        <w:ind w:left="4323" w:hanging="180"/>
      </w:pPr>
    </w:lvl>
    <w:lvl w:ilvl="6" w:tplc="0C09000F">
      <w:start w:val="1"/>
      <w:numFmt w:val="decimal"/>
      <w:lvlText w:val="%7."/>
      <w:lvlJc w:val="left"/>
      <w:pPr>
        <w:ind w:left="5043" w:hanging="360"/>
      </w:pPr>
    </w:lvl>
    <w:lvl w:ilvl="7" w:tplc="0C090019">
      <w:start w:val="1"/>
      <w:numFmt w:val="lowerLetter"/>
      <w:lvlText w:val="%8."/>
      <w:lvlJc w:val="left"/>
      <w:pPr>
        <w:ind w:left="5763" w:hanging="360"/>
      </w:pPr>
    </w:lvl>
    <w:lvl w:ilvl="8" w:tplc="0C09001B">
      <w:start w:val="1"/>
      <w:numFmt w:val="lowerRoman"/>
      <w:lvlText w:val="%9."/>
      <w:lvlJc w:val="right"/>
      <w:pPr>
        <w:ind w:left="6483" w:hanging="180"/>
      </w:pPr>
    </w:lvl>
  </w:abstractNum>
  <w:abstractNum w:abstractNumId="12" w15:restartNumberingAfterBreak="0">
    <w:nsid w:val="19A86F88"/>
    <w:multiLevelType w:val="hybridMultilevel"/>
    <w:tmpl w:val="9A788F0A"/>
    <w:lvl w:ilvl="0" w:tplc="FFFFFFFF">
      <w:start w:val="1"/>
      <w:numFmt w:val="lowerLetter"/>
      <w:lvlText w:val="%1."/>
      <w:lvlJc w:val="left"/>
      <w:pPr>
        <w:ind w:left="723" w:hanging="360"/>
      </w:pPr>
    </w:lvl>
    <w:lvl w:ilvl="1" w:tplc="FFFFFFFF">
      <w:start w:val="1"/>
      <w:numFmt w:val="bullet"/>
      <w:lvlText w:val="o"/>
      <w:lvlJc w:val="left"/>
      <w:pPr>
        <w:ind w:left="1519" w:hanging="360"/>
      </w:pPr>
      <w:rPr>
        <w:rFonts w:ascii="Courier New" w:hAnsi="Courier New" w:cs="Courier New" w:hint="default"/>
      </w:rPr>
    </w:lvl>
    <w:lvl w:ilvl="2" w:tplc="FFFFFFFF">
      <w:start w:val="1"/>
      <w:numFmt w:val="bullet"/>
      <w:lvlText w:val=""/>
      <w:lvlJc w:val="left"/>
      <w:pPr>
        <w:ind w:left="2239" w:hanging="360"/>
      </w:pPr>
      <w:rPr>
        <w:rFonts w:ascii="Wingdings" w:hAnsi="Wingdings" w:hint="default"/>
      </w:rPr>
    </w:lvl>
    <w:lvl w:ilvl="3" w:tplc="FFFFFFFF">
      <w:start w:val="1"/>
      <w:numFmt w:val="bullet"/>
      <w:lvlText w:val=""/>
      <w:lvlJc w:val="left"/>
      <w:pPr>
        <w:ind w:left="2959" w:hanging="360"/>
      </w:pPr>
      <w:rPr>
        <w:rFonts w:ascii="Symbol" w:hAnsi="Symbol" w:hint="default"/>
      </w:rPr>
    </w:lvl>
    <w:lvl w:ilvl="4" w:tplc="FFFFFFFF">
      <w:start w:val="1"/>
      <w:numFmt w:val="bullet"/>
      <w:lvlText w:val="o"/>
      <w:lvlJc w:val="left"/>
      <w:pPr>
        <w:ind w:left="3679" w:hanging="360"/>
      </w:pPr>
      <w:rPr>
        <w:rFonts w:ascii="Courier New" w:hAnsi="Courier New" w:cs="Courier New" w:hint="default"/>
      </w:rPr>
    </w:lvl>
    <w:lvl w:ilvl="5" w:tplc="FFFFFFFF">
      <w:start w:val="1"/>
      <w:numFmt w:val="bullet"/>
      <w:lvlText w:val=""/>
      <w:lvlJc w:val="left"/>
      <w:pPr>
        <w:ind w:left="4399" w:hanging="360"/>
      </w:pPr>
      <w:rPr>
        <w:rFonts w:ascii="Wingdings" w:hAnsi="Wingdings" w:hint="default"/>
      </w:rPr>
    </w:lvl>
    <w:lvl w:ilvl="6" w:tplc="FFFFFFFF">
      <w:start w:val="1"/>
      <w:numFmt w:val="bullet"/>
      <w:lvlText w:val=""/>
      <w:lvlJc w:val="left"/>
      <w:pPr>
        <w:ind w:left="5119" w:hanging="360"/>
      </w:pPr>
      <w:rPr>
        <w:rFonts w:ascii="Symbol" w:hAnsi="Symbol" w:hint="default"/>
      </w:rPr>
    </w:lvl>
    <w:lvl w:ilvl="7" w:tplc="FFFFFFFF">
      <w:start w:val="1"/>
      <w:numFmt w:val="bullet"/>
      <w:lvlText w:val="o"/>
      <w:lvlJc w:val="left"/>
      <w:pPr>
        <w:ind w:left="5839" w:hanging="360"/>
      </w:pPr>
      <w:rPr>
        <w:rFonts w:ascii="Courier New" w:hAnsi="Courier New" w:cs="Courier New" w:hint="default"/>
      </w:rPr>
    </w:lvl>
    <w:lvl w:ilvl="8" w:tplc="FFFFFFFF">
      <w:start w:val="1"/>
      <w:numFmt w:val="bullet"/>
      <w:lvlText w:val=""/>
      <w:lvlJc w:val="left"/>
      <w:pPr>
        <w:ind w:left="6559" w:hanging="360"/>
      </w:pPr>
      <w:rPr>
        <w:rFonts w:ascii="Wingdings" w:hAnsi="Wingdings" w:hint="default"/>
      </w:rPr>
    </w:lvl>
  </w:abstractNum>
  <w:abstractNum w:abstractNumId="13" w15:restartNumberingAfterBreak="0">
    <w:nsid w:val="1A265184"/>
    <w:multiLevelType w:val="multilevel"/>
    <w:tmpl w:val="31A62788"/>
    <w:lvl w:ilvl="0">
      <w:start w:val="1"/>
      <w:numFmt w:val="decimal"/>
      <w:pStyle w:val="legalSchedule"/>
      <w:lvlText w:val="Schedule %1"/>
      <w:lvlJc w:val="left"/>
      <w:pPr>
        <w:ind w:left="3545" w:hanging="2552"/>
      </w:pPr>
      <w:rPr>
        <w:rFonts w:hint="default"/>
        <w:b/>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1D6F5A32"/>
    <w:multiLevelType w:val="hybridMultilevel"/>
    <w:tmpl w:val="F99426F4"/>
    <w:lvl w:ilvl="0" w:tplc="0C090017">
      <w:start w:val="1"/>
      <w:numFmt w:val="lowerLetter"/>
      <w:lvlText w:val="%1)"/>
      <w:lvlJc w:val="left"/>
      <w:pPr>
        <w:ind w:left="2291" w:hanging="360"/>
      </w:pPr>
      <w:rPr>
        <w:rFonts w:hint="default"/>
      </w:rPr>
    </w:lvl>
    <w:lvl w:ilvl="1" w:tplc="FFFFFFFF" w:tentative="1">
      <w:start w:val="1"/>
      <w:numFmt w:val="bullet"/>
      <w:lvlText w:val="o"/>
      <w:lvlJc w:val="left"/>
      <w:pPr>
        <w:ind w:left="3011" w:hanging="360"/>
      </w:pPr>
      <w:rPr>
        <w:rFonts w:ascii="Courier New" w:hAnsi="Courier New" w:cs="Courier New" w:hint="default"/>
      </w:rPr>
    </w:lvl>
    <w:lvl w:ilvl="2" w:tplc="FFFFFFFF" w:tentative="1">
      <w:start w:val="1"/>
      <w:numFmt w:val="bullet"/>
      <w:lvlText w:val=""/>
      <w:lvlJc w:val="left"/>
      <w:pPr>
        <w:ind w:left="3731" w:hanging="360"/>
      </w:pPr>
      <w:rPr>
        <w:rFonts w:ascii="Wingdings" w:hAnsi="Wingdings" w:hint="default"/>
      </w:rPr>
    </w:lvl>
    <w:lvl w:ilvl="3" w:tplc="FFFFFFFF" w:tentative="1">
      <w:start w:val="1"/>
      <w:numFmt w:val="bullet"/>
      <w:lvlText w:val=""/>
      <w:lvlJc w:val="left"/>
      <w:pPr>
        <w:ind w:left="4451" w:hanging="360"/>
      </w:pPr>
      <w:rPr>
        <w:rFonts w:ascii="Symbol" w:hAnsi="Symbol" w:hint="default"/>
      </w:rPr>
    </w:lvl>
    <w:lvl w:ilvl="4" w:tplc="FFFFFFFF" w:tentative="1">
      <w:start w:val="1"/>
      <w:numFmt w:val="bullet"/>
      <w:lvlText w:val="o"/>
      <w:lvlJc w:val="left"/>
      <w:pPr>
        <w:ind w:left="5171" w:hanging="360"/>
      </w:pPr>
      <w:rPr>
        <w:rFonts w:ascii="Courier New" w:hAnsi="Courier New" w:cs="Courier New" w:hint="default"/>
      </w:rPr>
    </w:lvl>
    <w:lvl w:ilvl="5" w:tplc="FFFFFFFF" w:tentative="1">
      <w:start w:val="1"/>
      <w:numFmt w:val="bullet"/>
      <w:lvlText w:val=""/>
      <w:lvlJc w:val="left"/>
      <w:pPr>
        <w:ind w:left="5891" w:hanging="360"/>
      </w:pPr>
      <w:rPr>
        <w:rFonts w:ascii="Wingdings" w:hAnsi="Wingdings" w:hint="default"/>
      </w:rPr>
    </w:lvl>
    <w:lvl w:ilvl="6" w:tplc="FFFFFFFF" w:tentative="1">
      <w:start w:val="1"/>
      <w:numFmt w:val="bullet"/>
      <w:lvlText w:val=""/>
      <w:lvlJc w:val="left"/>
      <w:pPr>
        <w:ind w:left="6611" w:hanging="360"/>
      </w:pPr>
      <w:rPr>
        <w:rFonts w:ascii="Symbol" w:hAnsi="Symbol" w:hint="default"/>
      </w:rPr>
    </w:lvl>
    <w:lvl w:ilvl="7" w:tplc="FFFFFFFF" w:tentative="1">
      <w:start w:val="1"/>
      <w:numFmt w:val="bullet"/>
      <w:lvlText w:val="o"/>
      <w:lvlJc w:val="left"/>
      <w:pPr>
        <w:ind w:left="7331" w:hanging="360"/>
      </w:pPr>
      <w:rPr>
        <w:rFonts w:ascii="Courier New" w:hAnsi="Courier New" w:cs="Courier New" w:hint="default"/>
      </w:rPr>
    </w:lvl>
    <w:lvl w:ilvl="8" w:tplc="FFFFFFFF" w:tentative="1">
      <w:start w:val="1"/>
      <w:numFmt w:val="bullet"/>
      <w:lvlText w:val=""/>
      <w:lvlJc w:val="left"/>
      <w:pPr>
        <w:ind w:left="8051" w:hanging="360"/>
      </w:pPr>
      <w:rPr>
        <w:rFonts w:ascii="Wingdings" w:hAnsi="Wingdings" w:hint="default"/>
      </w:rPr>
    </w:lvl>
  </w:abstractNum>
  <w:abstractNum w:abstractNumId="15" w15:restartNumberingAfterBreak="0">
    <w:nsid w:val="232E4705"/>
    <w:multiLevelType w:val="hybridMultilevel"/>
    <w:tmpl w:val="B8B0C012"/>
    <w:lvl w:ilvl="0" w:tplc="0C090001">
      <w:start w:val="1"/>
      <w:numFmt w:val="bullet"/>
      <w:lvlText w:val=""/>
      <w:lvlJc w:val="left"/>
      <w:pPr>
        <w:ind w:left="1571" w:hanging="360"/>
      </w:pPr>
      <w:rPr>
        <w:rFonts w:ascii="Symbol" w:hAnsi="Symbol" w:hint="default"/>
      </w:rPr>
    </w:lvl>
    <w:lvl w:ilvl="1" w:tplc="0C090003">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6" w15:restartNumberingAfterBreak="0">
    <w:nsid w:val="237C7429"/>
    <w:multiLevelType w:val="hybridMultilevel"/>
    <w:tmpl w:val="533C813E"/>
    <w:lvl w:ilvl="0" w:tplc="0C090001">
      <w:start w:val="1"/>
      <w:numFmt w:val="bullet"/>
      <w:lvlText w:val=""/>
      <w:lvlJc w:val="left"/>
      <w:pPr>
        <w:ind w:left="1931" w:hanging="360"/>
      </w:pPr>
      <w:rPr>
        <w:rFonts w:ascii="Symbol" w:hAnsi="Symbol" w:hint="default"/>
      </w:rPr>
    </w:lvl>
    <w:lvl w:ilvl="1" w:tplc="0C090003" w:tentative="1">
      <w:start w:val="1"/>
      <w:numFmt w:val="bullet"/>
      <w:lvlText w:val="o"/>
      <w:lvlJc w:val="left"/>
      <w:pPr>
        <w:ind w:left="2651" w:hanging="360"/>
      </w:pPr>
      <w:rPr>
        <w:rFonts w:ascii="Courier New" w:hAnsi="Courier New" w:cs="Courier New" w:hint="default"/>
      </w:rPr>
    </w:lvl>
    <w:lvl w:ilvl="2" w:tplc="0C090005" w:tentative="1">
      <w:start w:val="1"/>
      <w:numFmt w:val="bullet"/>
      <w:lvlText w:val=""/>
      <w:lvlJc w:val="left"/>
      <w:pPr>
        <w:ind w:left="3371" w:hanging="360"/>
      </w:pPr>
      <w:rPr>
        <w:rFonts w:ascii="Wingdings" w:hAnsi="Wingdings" w:hint="default"/>
      </w:rPr>
    </w:lvl>
    <w:lvl w:ilvl="3" w:tplc="0C090001" w:tentative="1">
      <w:start w:val="1"/>
      <w:numFmt w:val="bullet"/>
      <w:lvlText w:val=""/>
      <w:lvlJc w:val="left"/>
      <w:pPr>
        <w:ind w:left="4091" w:hanging="360"/>
      </w:pPr>
      <w:rPr>
        <w:rFonts w:ascii="Symbol" w:hAnsi="Symbol" w:hint="default"/>
      </w:rPr>
    </w:lvl>
    <w:lvl w:ilvl="4" w:tplc="0C090003" w:tentative="1">
      <w:start w:val="1"/>
      <w:numFmt w:val="bullet"/>
      <w:lvlText w:val="o"/>
      <w:lvlJc w:val="left"/>
      <w:pPr>
        <w:ind w:left="4811" w:hanging="360"/>
      </w:pPr>
      <w:rPr>
        <w:rFonts w:ascii="Courier New" w:hAnsi="Courier New" w:cs="Courier New" w:hint="default"/>
      </w:rPr>
    </w:lvl>
    <w:lvl w:ilvl="5" w:tplc="0C090005" w:tentative="1">
      <w:start w:val="1"/>
      <w:numFmt w:val="bullet"/>
      <w:lvlText w:val=""/>
      <w:lvlJc w:val="left"/>
      <w:pPr>
        <w:ind w:left="5531" w:hanging="360"/>
      </w:pPr>
      <w:rPr>
        <w:rFonts w:ascii="Wingdings" w:hAnsi="Wingdings" w:hint="default"/>
      </w:rPr>
    </w:lvl>
    <w:lvl w:ilvl="6" w:tplc="0C090001" w:tentative="1">
      <w:start w:val="1"/>
      <w:numFmt w:val="bullet"/>
      <w:lvlText w:val=""/>
      <w:lvlJc w:val="left"/>
      <w:pPr>
        <w:ind w:left="6251" w:hanging="360"/>
      </w:pPr>
      <w:rPr>
        <w:rFonts w:ascii="Symbol" w:hAnsi="Symbol" w:hint="default"/>
      </w:rPr>
    </w:lvl>
    <w:lvl w:ilvl="7" w:tplc="0C090003" w:tentative="1">
      <w:start w:val="1"/>
      <w:numFmt w:val="bullet"/>
      <w:lvlText w:val="o"/>
      <w:lvlJc w:val="left"/>
      <w:pPr>
        <w:ind w:left="6971" w:hanging="360"/>
      </w:pPr>
      <w:rPr>
        <w:rFonts w:ascii="Courier New" w:hAnsi="Courier New" w:cs="Courier New" w:hint="default"/>
      </w:rPr>
    </w:lvl>
    <w:lvl w:ilvl="8" w:tplc="0C090005" w:tentative="1">
      <w:start w:val="1"/>
      <w:numFmt w:val="bullet"/>
      <w:lvlText w:val=""/>
      <w:lvlJc w:val="left"/>
      <w:pPr>
        <w:ind w:left="7691" w:hanging="360"/>
      </w:pPr>
      <w:rPr>
        <w:rFonts w:ascii="Wingdings" w:hAnsi="Wingdings" w:hint="default"/>
      </w:rPr>
    </w:lvl>
  </w:abstractNum>
  <w:abstractNum w:abstractNumId="17" w15:restartNumberingAfterBreak="0">
    <w:nsid w:val="24AC0905"/>
    <w:multiLevelType w:val="hybridMultilevel"/>
    <w:tmpl w:val="7D20C818"/>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8" w15:restartNumberingAfterBreak="0">
    <w:nsid w:val="2578204A"/>
    <w:multiLevelType w:val="hybridMultilevel"/>
    <w:tmpl w:val="C8482418"/>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9" w15:restartNumberingAfterBreak="0">
    <w:nsid w:val="27226A70"/>
    <w:multiLevelType w:val="hybridMultilevel"/>
    <w:tmpl w:val="52F4CC16"/>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0" w15:restartNumberingAfterBreak="0">
    <w:nsid w:val="28127705"/>
    <w:multiLevelType w:val="hybridMultilevel"/>
    <w:tmpl w:val="8D428130"/>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1" w15:restartNumberingAfterBreak="0">
    <w:nsid w:val="28976193"/>
    <w:multiLevelType w:val="hybridMultilevel"/>
    <w:tmpl w:val="0E3EC800"/>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2" w15:restartNumberingAfterBreak="0">
    <w:nsid w:val="297641C8"/>
    <w:multiLevelType w:val="hybridMultilevel"/>
    <w:tmpl w:val="35E611D0"/>
    <w:lvl w:ilvl="0" w:tplc="0C09000F">
      <w:start w:val="1"/>
      <w:numFmt w:val="decimal"/>
      <w:pStyle w:val="Bullet1"/>
      <w:lvlText w:val="%1."/>
      <w:lvlJc w:val="left"/>
      <w:pPr>
        <w:ind w:left="363" w:hanging="360"/>
      </w:pPr>
    </w:lvl>
    <w:lvl w:ilvl="1" w:tplc="0C090003">
      <w:start w:val="1"/>
      <w:numFmt w:val="bullet"/>
      <w:lvlText w:val="o"/>
      <w:lvlJc w:val="left"/>
      <w:pPr>
        <w:ind w:left="1083" w:hanging="360"/>
      </w:pPr>
      <w:rPr>
        <w:rFonts w:ascii="Courier New" w:hAnsi="Courier New" w:cs="Courier New" w:hint="default"/>
      </w:rPr>
    </w:lvl>
    <w:lvl w:ilvl="2" w:tplc="0C090005">
      <w:start w:val="1"/>
      <w:numFmt w:val="bullet"/>
      <w:lvlText w:val=""/>
      <w:lvlJc w:val="left"/>
      <w:pPr>
        <w:ind w:left="1803" w:hanging="360"/>
      </w:pPr>
      <w:rPr>
        <w:rFonts w:ascii="Wingdings" w:hAnsi="Wingdings" w:hint="default"/>
      </w:rPr>
    </w:lvl>
    <w:lvl w:ilvl="3" w:tplc="0C090001">
      <w:start w:val="1"/>
      <w:numFmt w:val="bullet"/>
      <w:lvlText w:val=""/>
      <w:lvlJc w:val="left"/>
      <w:pPr>
        <w:ind w:left="2523" w:hanging="360"/>
      </w:pPr>
      <w:rPr>
        <w:rFonts w:ascii="Symbol" w:hAnsi="Symbol" w:hint="default"/>
      </w:rPr>
    </w:lvl>
    <w:lvl w:ilvl="4" w:tplc="0C090003">
      <w:start w:val="1"/>
      <w:numFmt w:val="bullet"/>
      <w:lvlText w:val="o"/>
      <w:lvlJc w:val="left"/>
      <w:pPr>
        <w:ind w:left="3243" w:hanging="360"/>
      </w:pPr>
      <w:rPr>
        <w:rFonts w:ascii="Courier New" w:hAnsi="Courier New" w:cs="Courier New" w:hint="default"/>
      </w:rPr>
    </w:lvl>
    <w:lvl w:ilvl="5" w:tplc="0C090005">
      <w:start w:val="1"/>
      <w:numFmt w:val="bullet"/>
      <w:lvlText w:val=""/>
      <w:lvlJc w:val="left"/>
      <w:pPr>
        <w:ind w:left="3963" w:hanging="360"/>
      </w:pPr>
      <w:rPr>
        <w:rFonts w:ascii="Wingdings" w:hAnsi="Wingdings" w:hint="default"/>
      </w:rPr>
    </w:lvl>
    <w:lvl w:ilvl="6" w:tplc="0C090001">
      <w:start w:val="1"/>
      <w:numFmt w:val="bullet"/>
      <w:lvlText w:val=""/>
      <w:lvlJc w:val="left"/>
      <w:pPr>
        <w:ind w:left="4683" w:hanging="360"/>
      </w:pPr>
      <w:rPr>
        <w:rFonts w:ascii="Symbol" w:hAnsi="Symbol" w:hint="default"/>
      </w:rPr>
    </w:lvl>
    <w:lvl w:ilvl="7" w:tplc="0C090003">
      <w:start w:val="1"/>
      <w:numFmt w:val="bullet"/>
      <w:lvlText w:val="o"/>
      <w:lvlJc w:val="left"/>
      <w:pPr>
        <w:ind w:left="5403" w:hanging="360"/>
      </w:pPr>
      <w:rPr>
        <w:rFonts w:ascii="Courier New" w:hAnsi="Courier New" w:cs="Courier New" w:hint="default"/>
      </w:rPr>
    </w:lvl>
    <w:lvl w:ilvl="8" w:tplc="0C090005">
      <w:start w:val="1"/>
      <w:numFmt w:val="bullet"/>
      <w:lvlText w:val=""/>
      <w:lvlJc w:val="left"/>
      <w:pPr>
        <w:ind w:left="6123" w:hanging="360"/>
      </w:pPr>
      <w:rPr>
        <w:rFonts w:ascii="Wingdings" w:hAnsi="Wingdings" w:hint="default"/>
      </w:rPr>
    </w:lvl>
  </w:abstractNum>
  <w:abstractNum w:abstractNumId="23" w15:restartNumberingAfterBreak="0">
    <w:nsid w:val="29A67FE6"/>
    <w:multiLevelType w:val="hybridMultilevel"/>
    <w:tmpl w:val="DC2E5FC0"/>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4" w15:restartNumberingAfterBreak="0">
    <w:nsid w:val="319A2A44"/>
    <w:multiLevelType w:val="hybridMultilevel"/>
    <w:tmpl w:val="405202A6"/>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5" w15:restartNumberingAfterBreak="0">
    <w:nsid w:val="38747310"/>
    <w:multiLevelType w:val="hybridMultilevel"/>
    <w:tmpl w:val="1D663E34"/>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6" w15:restartNumberingAfterBreak="0">
    <w:nsid w:val="39FD4F43"/>
    <w:multiLevelType w:val="multilevel"/>
    <w:tmpl w:val="072204FC"/>
    <w:lvl w:ilvl="0">
      <w:start w:val="1"/>
      <w:numFmt w:val="lowerLetter"/>
      <w:lvlText w:val="%1."/>
      <w:lvlJc w:val="left"/>
      <w:pPr>
        <w:ind w:left="723" w:hanging="360"/>
      </w:pPr>
    </w:lvl>
    <w:lvl w:ilvl="1">
      <w:start w:val="1"/>
      <w:numFmt w:val="lowerLetter"/>
      <w:lvlText w:val="%2)"/>
      <w:lvlJc w:val="left"/>
      <w:pPr>
        <w:ind w:left="1083" w:hanging="360"/>
      </w:pPr>
    </w:lvl>
    <w:lvl w:ilvl="2">
      <w:start w:val="1"/>
      <w:numFmt w:val="lowerRoman"/>
      <w:lvlText w:val="%3)"/>
      <w:lvlJc w:val="left"/>
      <w:pPr>
        <w:ind w:left="1443" w:hanging="360"/>
      </w:pPr>
    </w:lvl>
    <w:lvl w:ilvl="3">
      <w:start w:val="1"/>
      <w:numFmt w:val="decimal"/>
      <w:lvlText w:val="(%4)"/>
      <w:lvlJc w:val="left"/>
      <w:pPr>
        <w:ind w:left="1803" w:hanging="360"/>
      </w:pPr>
    </w:lvl>
    <w:lvl w:ilvl="4">
      <w:start w:val="1"/>
      <w:numFmt w:val="lowerLetter"/>
      <w:lvlText w:val="(%5)"/>
      <w:lvlJc w:val="left"/>
      <w:pPr>
        <w:ind w:left="2163" w:hanging="360"/>
      </w:pPr>
    </w:lvl>
    <w:lvl w:ilvl="5">
      <w:start w:val="1"/>
      <w:numFmt w:val="lowerRoman"/>
      <w:lvlText w:val="(%6)"/>
      <w:lvlJc w:val="left"/>
      <w:pPr>
        <w:ind w:left="2523" w:hanging="360"/>
      </w:pPr>
    </w:lvl>
    <w:lvl w:ilvl="6">
      <w:start w:val="1"/>
      <w:numFmt w:val="decimal"/>
      <w:lvlText w:val="%7."/>
      <w:lvlJc w:val="left"/>
      <w:pPr>
        <w:ind w:left="2883" w:hanging="360"/>
      </w:pPr>
    </w:lvl>
    <w:lvl w:ilvl="7">
      <w:start w:val="1"/>
      <w:numFmt w:val="lowerLetter"/>
      <w:lvlText w:val="%8."/>
      <w:lvlJc w:val="left"/>
      <w:pPr>
        <w:ind w:left="3243" w:hanging="360"/>
      </w:pPr>
    </w:lvl>
    <w:lvl w:ilvl="8">
      <w:start w:val="1"/>
      <w:numFmt w:val="lowerRoman"/>
      <w:lvlText w:val="%9."/>
      <w:lvlJc w:val="left"/>
      <w:pPr>
        <w:ind w:left="3603" w:hanging="360"/>
      </w:pPr>
    </w:lvl>
  </w:abstractNum>
  <w:abstractNum w:abstractNumId="27" w15:restartNumberingAfterBreak="0">
    <w:nsid w:val="3AE22101"/>
    <w:multiLevelType w:val="hybridMultilevel"/>
    <w:tmpl w:val="7C682678"/>
    <w:lvl w:ilvl="0" w:tplc="A55C28C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BB54112"/>
    <w:multiLevelType w:val="hybridMultilevel"/>
    <w:tmpl w:val="0D969E96"/>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9" w15:restartNumberingAfterBreak="0">
    <w:nsid w:val="3D5F2951"/>
    <w:multiLevelType w:val="hybridMultilevel"/>
    <w:tmpl w:val="2AB4872C"/>
    <w:lvl w:ilvl="0" w:tplc="0C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0" w15:restartNumberingAfterBreak="0">
    <w:nsid w:val="42B023B9"/>
    <w:multiLevelType w:val="hybridMultilevel"/>
    <w:tmpl w:val="1A102262"/>
    <w:lvl w:ilvl="0" w:tplc="0C090001">
      <w:start w:val="1"/>
      <w:numFmt w:val="bullet"/>
      <w:lvlText w:val=""/>
      <w:lvlJc w:val="left"/>
      <w:pPr>
        <w:ind w:left="1777" w:hanging="360"/>
      </w:pPr>
      <w:rPr>
        <w:rFonts w:ascii="Symbol" w:hAnsi="Symbol" w:hint="default"/>
      </w:rPr>
    </w:lvl>
    <w:lvl w:ilvl="1" w:tplc="0C090003" w:tentative="1">
      <w:start w:val="1"/>
      <w:numFmt w:val="bullet"/>
      <w:lvlText w:val="o"/>
      <w:lvlJc w:val="left"/>
      <w:pPr>
        <w:ind w:left="2497" w:hanging="360"/>
      </w:pPr>
      <w:rPr>
        <w:rFonts w:ascii="Courier New" w:hAnsi="Courier New" w:cs="Courier New" w:hint="default"/>
      </w:rPr>
    </w:lvl>
    <w:lvl w:ilvl="2" w:tplc="0C090005" w:tentative="1">
      <w:start w:val="1"/>
      <w:numFmt w:val="bullet"/>
      <w:lvlText w:val=""/>
      <w:lvlJc w:val="left"/>
      <w:pPr>
        <w:ind w:left="3217" w:hanging="360"/>
      </w:pPr>
      <w:rPr>
        <w:rFonts w:ascii="Wingdings" w:hAnsi="Wingdings" w:hint="default"/>
      </w:rPr>
    </w:lvl>
    <w:lvl w:ilvl="3" w:tplc="0C090001" w:tentative="1">
      <w:start w:val="1"/>
      <w:numFmt w:val="bullet"/>
      <w:lvlText w:val=""/>
      <w:lvlJc w:val="left"/>
      <w:pPr>
        <w:ind w:left="3937" w:hanging="360"/>
      </w:pPr>
      <w:rPr>
        <w:rFonts w:ascii="Symbol" w:hAnsi="Symbol" w:hint="default"/>
      </w:rPr>
    </w:lvl>
    <w:lvl w:ilvl="4" w:tplc="0C090003" w:tentative="1">
      <w:start w:val="1"/>
      <w:numFmt w:val="bullet"/>
      <w:lvlText w:val="o"/>
      <w:lvlJc w:val="left"/>
      <w:pPr>
        <w:ind w:left="4657" w:hanging="360"/>
      </w:pPr>
      <w:rPr>
        <w:rFonts w:ascii="Courier New" w:hAnsi="Courier New" w:cs="Courier New" w:hint="default"/>
      </w:rPr>
    </w:lvl>
    <w:lvl w:ilvl="5" w:tplc="0C090005" w:tentative="1">
      <w:start w:val="1"/>
      <w:numFmt w:val="bullet"/>
      <w:lvlText w:val=""/>
      <w:lvlJc w:val="left"/>
      <w:pPr>
        <w:ind w:left="5377" w:hanging="360"/>
      </w:pPr>
      <w:rPr>
        <w:rFonts w:ascii="Wingdings" w:hAnsi="Wingdings" w:hint="default"/>
      </w:rPr>
    </w:lvl>
    <w:lvl w:ilvl="6" w:tplc="0C090001" w:tentative="1">
      <w:start w:val="1"/>
      <w:numFmt w:val="bullet"/>
      <w:lvlText w:val=""/>
      <w:lvlJc w:val="left"/>
      <w:pPr>
        <w:ind w:left="6097" w:hanging="360"/>
      </w:pPr>
      <w:rPr>
        <w:rFonts w:ascii="Symbol" w:hAnsi="Symbol" w:hint="default"/>
      </w:rPr>
    </w:lvl>
    <w:lvl w:ilvl="7" w:tplc="0C090003" w:tentative="1">
      <w:start w:val="1"/>
      <w:numFmt w:val="bullet"/>
      <w:lvlText w:val="o"/>
      <w:lvlJc w:val="left"/>
      <w:pPr>
        <w:ind w:left="6817" w:hanging="360"/>
      </w:pPr>
      <w:rPr>
        <w:rFonts w:ascii="Courier New" w:hAnsi="Courier New" w:cs="Courier New" w:hint="default"/>
      </w:rPr>
    </w:lvl>
    <w:lvl w:ilvl="8" w:tplc="0C090005" w:tentative="1">
      <w:start w:val="1"/>
      <w:numFmt w:val="bullet"/>
      <w:lvlText w:val=""/>
      <w:lvlJc w:val="left"/>
      <w:pPr>
        <w:ind w:left="7537" w:hanging="360"/>
      </w:pPr>
      <w:rPr>
        <w:rFonts w:ascii="Wingdings" w:hAnsi="Wingdings" w:hint="default"/>
      </w:rPr>
    </w:lvl>
  </w:abstractNum>
  <w:abstractNum w:abstractNumId="31" w15:restartNumberingAfterBreak="0">
    <w:nsid w:val="47874DAD"/>
    <w:multiLevelType w:val="hybridMultilevel"/>
    <w:tmpl w:val="665AF5D2"/>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2" w15:restartNumberingAfterBreak="0">
    <w:nsid w:val="48337EB8"/>
    <w:multiLevelType w:val="hybridMultilevel"/>
    <w:tmpl w:val="9A788F0A"/>
    <w:lvl w:ilvl="0" w:tplc="FFFFFFFF">
      <w:start w:val="1"/>
      <w:numFmt w:val="lowerLetter"/>
      <w:lvlText w:val="%1."/>
      <w:lvlJc w:val="left"/>
      <w:pPr>
        <w:ind w:left="723" w:hanging="360"/>
      </w:pPr>
    </w:lvl>
    <w:lvl w:ilvl="1" w:tplc="FFFFFFFF">
      <w:start w:val="1"/>
      <w:numFmt w:val="bullet"/>
      <w:lvlText w:val="o"/>
      <w:lvlJc w:val="left"/>
      <w:pPr>
        <w:ind w:left="1519" w:hanging="360"/>
      </w:pPr>
      <w:rPr>
        <w:rFonts w:ascii="Courier New" w:hAnsi="Courier New" w:cs="Courier New" w:hint="default"/>
      </w:rPr>
    </w:lvl>
    <w:lvl w:ilvl="2" w:tplc="FFFFFFFF">
      <w:start w:val="1"/>
      <w:numFmt w:val="bullet"/>
      <w:lvlText w:val=""/>
      <w:lvlJc w:val="left"/>
      <w:pPr>
        <w:ind w:left="2239" w:hanging="360"/>
      </w:pPr>
      <w:rPr>
        <w:rFonts w:ascii="Wingdings" w:hAnsi="Wingdings" w:hint="default"/>
      </w:rPr>
    </w:lvl>
    <w:lvl w:ilvl="3" w:tplc="FFFFFFFF">
      <w:start w:val="1"/>
      <w:numFmt w:val="bullet"/>
      <w:lvlText w:val=""/>
      <w:lvlJc w:val="left"/>
      <w:pPr>
        <w:ind w:left="2959" w:hanging="360"/>
      </w:pPr>
      <w:rPr>
        <w:rFonts w:ascii="Symbol" w:hAnsi="Symbol" w:hint="default"/>
      </w:rPr>
    </w:lvl>
    <w:lvl w:ilvl="4" w:tplc="FFFFFFFF">
      <w:start w:val="1"/>
      <w:numFmt w:val="bullet"/>
      <w:lvlText w:val="o"/>
      <w:lvlJc w:val="left"/>
      <w:pPr>
        <w:ind w:left="3679" w:hanging="360"/>
      </w:pPr>
      <w:rPr>
        <w:rFonts w:ascii="Courier New" w:hAnsi="Courier New" w:cs="Courier New" w:hint="default"/>
      </w:rPr>
    </w:lvl>
    <w:lvl w:ilvl="5" w:tplc="FFFFFFFF">
      <w:start w:val="1"/>
      <w:numFmt w:val="bullet"/>
      <w:lvlText w:val=""/>
      <w:lvlJc w:val="left"/>
      <w:pPr>
        <w:ind w:left="4399" w:hanging="360"/>
      </w:pPr>
      <w:rPr>
        <w:rFonts w:ascii="Wingdings" w:hAnsi="Wingdings" w:hint="default"/>
      </w:rPr>
    </w:lvl>
    <w:lvl w:ilvl="6" w:tplc="FFFFFFFF">
      <w:start w:val="1"/>
      <w:numFmt w:val="bullet"/>
      <w:lvlText w:val=""/>
      <w:lvlJc w:val="left"/>
      <w:pPr>
        <w:ind w:left="5119" w:hanging="360"/>
      </w:pPr>
      <w:rPr>
        <w:rFonts w:ascii="Symbol" w:hAnsi="Symbol" w:hint="default"/>
      </w:rPr>
    </w:lvl>
    <w:lvl w:ilvl="7" w:tplc="FFFFFFFF">
      <w:start w:val="1"/>
      <w:numFmt w:val="bullet"/>
      <w:lvlText w:val="o"/>
      <w:lvlJc w:val="left"/>
      <w:pPr>
        <w:ind w:left="5839" w:hanging="360"/>
      </w:pPr>
      <w:rPr>
        <w:rFonts w:ascii="Courier New" w:hAnsi="Courier New" w:cs="Courier New" w:hint="default"/>
      </w:rPr>
    </w:lvl>
    <w:lvl w:ilvl="8" w:tplc="FFFFFFFF">
      <w:start w:val="1"/>
      <w:numFmt w:val="bullet"/>
      <w:lvlText w:val=""/>
      <w:lvlJc w:val="left"/>
      <w:pPr>
        <w:ind w:left="6559" w:hanging="360"/>
      </w:pPr>
      <w:rPr>
        <w:rFonts w:ascii="Wingdings" w:hAnsi="Wingdings" w:hint="default"/>
      </w:rPr>
    </w:lvl>
  </w:abstractNum>
  <w:abstractNum w:abstractNumId="33" w15:restartNumberingAfterBreak="0">
    <w:nsid w:val="48942165"/>
    <w:multiLevelType w:val="hybridMultilevel"/>
    <w:tmpl w:val="C3EE3D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9921F6F"/>
    <w:multiLevelType w:val="multilevel"/>
    <w:tmpl w:val="E4343B56"/>
    <w:lvl w:ilvl="0">
      <w:start w:val="1"/>
      <w:numFmt w:val="decimal"/>
      <w:lvlText w:val="%1."/>
      <w:lvlJc w:val="left"/>
      <w:pPr>
        <w:ind w:left="851" w:hanging="851"/>
      </w:pPr>
      <w:rPr>
        <w:rFonts w:hint="default"/>
        <w:sz w:val="22"/>
        <w:szCs w:val="22"/>
      </w:rPr>
    </w:lvl>
    <w:lvl w:ilvl="1">
      <w:start w:val="1"/>
      <w:numFmt w:val="decimal"/>
      <w:lvlText w:val="%1.%2"/>
      <w:lvlJc w:val="left"/>
      <w:pPr>
        <w:ind w:left="851" w:hanging="851"/>
      </w:pPr>
      <w:rPr>
        <w:rFonts w:hint="default"/>
        <w:b w:val="0"/>
        <w:i w:val="0"/>
        <w:sz w:val="20"/>
        <w:szCs w:val="20"/>
      </w:rPr>
    </w:lvl>
    <w:lvl w:ilvl="2">
      <w:start w:val="1"/>
      <w:numFmt w:val="bullet"/>
      <w:lvlText w:val=""/>
      <w:lvlJc w:val="left"/>
      <w:pPr>
        <w:ind w:left="1211" w:hanging="360"/>
      </w:pPr>
      <w:rPr>
        <w:rFonts w:ascii="Symbol" w:hAnsi="Symbol" w:hint="default"/>
      </w:rPr>
    </w:lvl>
    <w:lvl w:ilvl="3">
      <w:start w:val="1"/>
      <w:numFmt w:val="lowerLetter"/>
      <w:lvlText w:val="(%4)"/>
      <w:lvlJc w:val="left"/>
      <w:pPr>
        <w:ind w:left="2268" w:hanging="567"/>
      </w:pPr>
      <w:rPr>
        <w:rFonts w:ascii="Arial" w:hAnsi="Arial" w:hint="default"/>
        <w:b w:val="0"/>
        <w:i w:val="0"/>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5" w15:restartNumberingAfterBreak="0">
    <w:nsid w:val="4B03018E"/>
    <w:multiLevelType w:val="hybridMultilevel"/>
    <w:tmpl w:val="803C0EE2"/>
    <w:lvl w:ilvl="0" w:tplc="0C090001">
      <w:start w:val="1"/>
      <w:numFmt w:val="bullet"/>
      <w:lvlText w:val=""/>
      <w:lvlJc w:val="left"/>
      <w:pPr>
        <w:ind w:left="1571" w:hanging="360"/>
      </w:pPr>
      <w:rPr>
        <w:rFonts w:ascii="Symbol" w:hAnsi="Symbol" w:hint="default"/>
      </w:rPr>
    </w:lvl>
    <w:lvl w:ilvl="1" w:tplc="0C090003">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6" w15:restartNumberingAfterBreak="0">
    <w:nsid w:val="4BC876B9"/>
    <w:multiLevelType w:val="multilevel"/>
    <w:tmpl w:val="072204FC"/>
    <w:lvl w:ilvl="0">
      <w:start w:val="1"/>
      <w:numFmt w:val="lowerLetter"/>
      <w:lvlText w:val="%1."/>
      <w:lvlJc w:val="left"/>
      <w:pPr>
        <w:ind w:left="723" w:hanging="360"/>
      </w:pPr>
    </w:lvl>
    <w:lvl w:ilvl="1">
      <w:start w:val="1"/>
      <w:numFmt w:val="lowerLetter"/>
      <w:lvlText w:val="%2)"/>
      <w:lvlJc w:val="left"/>
      <w:pPr>
        <w:ind w:left="1083" w:hanging="360"/>
      </w:pPr>
    </w:lvl>
    <w:lvl w:ilvl="2">
      <w:start w:val="1"/>
      <w:numFmt w:val="lowerRoman"/>
      <w:lvlText w:val="%3)"/>
      <w:lvlJc w:val="left"/>
      <w:pPr>
        <w:ind w:left="1443" w:hanging="360"/>
      </w:pPr>
    </w:lvl>
    <w:lvl w:ilvl="3">
      <w:start w:val="1"/>
      <w:numFmt w:val="decimal"/>
      <w:lvlText w:val="(%4)"/>
      <w:lvlJc w:val="left"/>
      <w:pPr>
        <w:ind w:left="1803" w:hanging="360"/>
      </w:pPr>
    </w:lvl>
    <w:lvl w:ilvl="4">
      <w:start w:val="1"/>
      <w:numFmt w:val="lowerLetter"/>
      <w:lvlText w:val="(%5)"/>
      <w:lvlJc w:val="left"/>
      <w:pPr>
        <w:ind w:left="2163" w:hanging="360"/>
      </w:pPr>
    </w:lvl>
    <w:lvl w:ilvl="5">
      <w:start w:val="1"/>
      <w:numFmt w:val="lowerRoman"/>
      <w:lvlText w:val="(%6)"/>
      <w:lvlJc w:val="left"/>
      <w:pPr>
        <w:ind w:left="2523" w:hanging="360"/>
      </w:pPr>
    </w:lvl>
    <w:lvl w:ilvl="6">
      <w:start w:val="1"/>
      <w:numFmt w:val="decimal"/>
      <w:lvlText w:val="%7."/>
      <w:lvlJc w:val="left"/>
      <w:pPr>
        <w:ind w:left="2883" w:hanging="360"/>
      </w:pPr>
    </w:lvl>
    <w:lvl w:ilvl="7">
      <w:start w:val="1"/>
      <w:numFmt w:val="lowerLetter"/>
      <w:lvlText w:val="%8."/>
      <w:lvlJc w:val="left"/>
      <w:pPr>
        <w:ind w:left="3243" w:hanging="360"/>
      </w:pPr>
    </w:lvl>
    <w:lvl w:ilvl="8">
      <w:start w:val="1"/>
      <w:numFmt w:val="lowerRoman"/>
      <w:lvlText w:val="%9."/>
      <w:lvlJc w:val="left"/>
      <w:pPr>
        <w:ind w:left="3603" w:hanging="360"/>
      </w:pPr>
    </w:lvl>
  </w:abstractNum>
  <w:abstractNum w:abstractNumId="37" w15:restartNumberingAfterBreak="0">
    <w:nsid w:val="4C5E650B"/>
    <w:multiLevelType w:val="hybridMultilevel"/>
    <w:tmpl w:val="5F1C2E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4D8367FA"/>
    <w:multiLevelType w:val="hybridMultilevel"/>
    <w:tmpl w:val="D0504B7C"/>
    <w:lvl w:ilvl="0" w:tplc="0C090019">
      <w:start w:val="1"/>
      <w:numFmt w:val="lowerLetter"/>
      <w:lvlText w:val="%1."/>
      <w:lvlJc w:val="left"/>
      <w:pPr>
        <w:ind w:left="723" w:hanging="360"/>
      </w:pPr>
    </w:lvl>
    <w:lvl w:ilvl="1" w:tplc="FFFFFFFF">
      <w:start w:val="1"/>
      <w:numFmt w:val="bullet"/>
      <w:lvlText w:val="o"/>
      <w:lvlJc w:val="left"/>
      <w:pPr>
        <w:ind w:left="1519" w:hanging="360"/>
      </w:pPr>
      <w:rPr>
        <w:rFonts w:ascii="Courier New" w:hAnsi="Courier New" w:cs="Courier New" w:hint="default"/>
      </w:rPr>
    </w:lvl>
    <w:lvl w:ilvl="2" w:tplc="FFFFFFFF">
      <w:start w:val="1"/>
      <w:numFmt w:val="bullet"/>
      <w:lvlText w:val=""/>
      <w:lvlJc w:val="left"/>
      <w:pPr>
        <w:ind w:left="2239" w:hanging="360"/>
      </w:pPr>
      <w:rPr>
        <w:rFonts w:ascii="Wingdings" w:hAnsi="Wingdings" w:hint="default"/>
      </w:rPr>
    </w:lvl>
    <w:lvl w:ilvl="3" w:tplc="FFFFFFFF">
      <w:start w:val="1"/>
      <w:numFmt w:val="bullet"/>
      <w:lvlText w:val=""/>
      <w:lvlJc w:val="left"/>
      <w:pPr>
        <w:ind w:left="2959" w:hanging="360"/>
      </w:pPr>
      <w:rPr>
        <w:rFonts w:ascii="Symbol" w:hAnsi="Symbol" w:hint="default"/>
      </w:rPr>
    </w:lvl>
    <w:lvl w:ilvl="4" w:tplc="FFFFFFFF">
      <w:start w:val="1"/>
      <w:numFmt w:val="bullet"/>
      <w:lvlText w:val="o"/>
      <w:lvlJc w:val="left"/>
      <w:pPr>
        <w:ind w:left="3679" w:hanging="360"/>
      </w:pPr>
      <w:rPr>
        <w:rFonts w:ascii="Courier New" w:hAnsi="Courier New" w:cs="Courier New" w:hint="default"/>
      </w:rPr>
    </w:lvl>
    <w:lvl w:ilvl="5" w:tplc="FFFFFFFF">
      <w:start w:val="1"/>
      <w:numFmt w:val="bullet"/>
      <w:lvlText w:val=""/>
      <w:lvlJc w:val="left"/>
      <w:pPr>
        <w:ind w:left="4399" w:hanging="360"/>
      </w:pPr>
      <w:rPr>
        <w:rFonts w:ascii="Wingdings" w:hAnsi="Wingdings" w:hint="default"/>
      </w:rPr>
    </w:lvl>
    <w:lvl w:ilvl="6" w:tplc="FFFFFFFF">
      <w:start w:val="1"/>
      <w:numFmt w:val="bullet"/>
      <w:lvlText w:val=""/>
      <w:lvlJc w:val="left"/>
      <w:pPr>
        <w:ind w:left="5119" w:hanging="360"/>
      </w:pPr>
      <w:rPr>
        <w:rFonts w:ascii="Symbol" w:hAnsi="Symbol" w:hint="default"/>
      </w:rPr>
    </w:lvl>
    <w:lvl w:ilvl="7" w:tplc="FFFFFFFF">
      <w:start w:val="1"/>
      <w:numFmt w:val="bullet"/>
      <w:lvlText w:val="o"/>
      <w:lvlJc w:val="left"/>
      <w:pPr>
        <w:ind w:left="5839" w:hanging="360"/>
      </w:pPr>
      <w:rPr>
        <w:rFonts w:ascii="Courier New" w:hAnsi="Courier New" w:cs="Courier New" w:hint="default"/>
      </w:rPr>
    </w:lvl>
    <w:lvl w:ilvl="8" w:tplc="FFFFFFFF">
      <w:start w:val="1"/>
      <w:numFmt w:val="bullet"/>
      <w:lvlText w:val=""/>
      <w:lvlJc w:val="left"/>
      <w:pPr>
        <w:ind w:left="6559" w:hanging="360"/>
      </w:pPr>
      <w:rPr>
        <w:rFonts w:ascii="Wingdings" w:hAnsi="Wingdings" w:hint="default"/>
      </w:rPr>
    </w:lvl>
  </w:abstractNum>
  <w:abstractNum w:abstractNumId="39" w15:restartNumberingAfterBreak="0">
    <w:nsid w:val="51BE1DA0"/>
    <w:multiLevelType w:val="hybridMultilevel"/>
    <w:tmpl w:val="62F23624"/>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0" w15:restartNumberingAfterBreak="0">
    <w:nsid w:val="54102775"/>
    <w:multiLevelType w:val="hybridMultilevel"/>
    <w:tmpl w:val="F35A8A44"/>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1" w15:restartNumberingAfterBreak="0">
    <w:nsid w:val="5448285C"/>
    <w:multiLevelType w:val="hybridMultilevel"/>
    <w:tmpl w:val="D61ED5F2"/>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59D337D7"/>
    <w:multiLevelType w:val="hybridMultilevel"/>
    <w:tmpl w:val="ED9AEF3C"/>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3" w15:restartNumberingAfterBreak="0">
    <w:nsid w:val="5A5D7786"/>
    <w:multiLevelType w:val="hybridMultilevel"/>
    <w:tmpl w:val="3BA23F40"/>
    <w:lvl w:ilvl="0" w:tplc="0C090001">
      <w:start w:val="1"/>
      <w:numFmt w:val="bullet"/>
      <w:lvlText w:val=""/>
      <w:lvlJc w:val="left"/>
      <w:pPr>
        <w:ind w:left="1574" w:hanging="360"/>
      </w:pPr>
      <w:rPr>
        <w:rFonts w:ascii="Symbol" w:hAnsi="Symbol" w:hint="default"/>
      </w:rPr>
    </w:lvl>
    <w:lvl w:ilvl="1" w:tplc="0C090003" w:tentative="1">
      <w:start w:val="1"/>
      <w:numFmt w:val="bullet"/>
      <w:lvlText w:val="o"/>
      <w:lvlJc w:val="left"/>
      <w:pPr>
        <w:ind w:left="2294" w:hanging="360"/>
      </w:pPr>
      <w:rPr>
        <w:rFonts w:ascii="Courier New" w:hAnsi="Courier New" w:cs="Courier New" w:hint="default"/>
      </w:rPr>
    </w:lvl>
    <w:lvl w:ilvl="2" w:tplc="0C090005" w:tentative="1">
      <w:start w:val="1"/>
      <w:numFmt w:val="bullet"/>
      <w:lvlText w:val=""/>
      <w:lvlJc w:val="left"/>
      <w:pPr>
        <w:ind w:left="3014" w:hanging="360"/>
      </w:pPr>
      <w:rPr>
        <w:rFonts w:ascii="Wingdings" w:hAnsi="Wingdings" w:hint="default"/>
      </w:rPr>
    </w:lvl>
    <w:lvl w:ilvl="3" w:tplc="0C090001" w:tentative="1">
      <w:start w:val="1"/>
      <w:numFmt w:val="bullet"/>
      <w:lvlText w:val=""/>
      <w:lvlJc w:val="left"/>
      <w:pPr>
        <w:ind w:left="3734" w:hanging="360"/>
      </w:pPr>
      <w:rPr>
        <w:rFonts w:ascii="Symbol" w:hAnsi="Symbol" w:hint="default"/>
      </w:rPr>
    </w:lvl>
    <w:lvl w:ilvl="4" w:tplc="0C090003" w:tentative="1">
      <w:start w:val="1"/>
      <w:numFmt w:val="bullet"/>
      <w:lvlText w:val="o"/>
      <w:lvlJc w:val="left"/>
      <w:pPr>
        <w:ind w:left="4454" w:hanging="360"/>
      </w:pPr>
      <w:rPr>
        <w:rFonts w:ascii="Courier New" w:hAnsi="Courier New" w:cs="Courier New" w:hint="default"/>
      </w:rPr>
    </w:lvl>
    <w:lvl w:ilvl="5" w:tplc="0C090005" w:tentative="1">
      <w:start w:val="1"/>
      <w:numFmt w:val="bullet"/>
      <w:lvlText w:val=""/>
      <w:lvlJc w:val="left"/>
      <w:pPr>
        <w:ind w:left="5174" w:hanging="360"/>
      </w:pPr>
      <w:rPr>
        <w:rFonts w:ascii="Wingdings" w:hAnsi="Wingdings" w:hint="default"/>
      </w:rPr>
    </w:lvl>
    <w:lvl w:ilvl="6" w:tplc="0C090001" w:tentative="1">
      <w:start w:val="1"/>
      <w:numFmt w:val="bullet"/>
      <w:lvlText w:val=""/>
      <w:lvlJc w:val="left"/>
      <w:pPr>
        <w:ind w:left="5894" w:hanging="360"/>
      </w:pPr>
      <w:rPr>
        <w:rFonts w:ascii="Symbol" w:hAnsi="Symbol" w:hint="default"/>
      </w:rPr>
    </w:lvl>
    <w:lvl w:ilvl="7" w:tplc="0C090003" w:tentative="1">
      <w:start w:val="1"/>
      <w:numFmt w:val="bullet"/>
      <w:lvlText w:val="o"/>
      <w:lvlJc w:val="left"/>
      <w:pPr>
        <w:ind w:left="6614" w:hanging="360"/>
      </w:pPr>
      <w:rPr>
        <w:rFonts w:ascii="Courier New" w:hAnsi="Courier New" w:cs="Courier New" w:hint="default"/>
      </w:rPr>
    </w:lvl>
    <w:lvl w:ilvl="8" w:tplc="0C090005" w:tentative="1">
      <w:start w:val="1"/>
      <w:numFmt w:val="bullet"/>
      <w:lvlText w:val=""/>
      <w:lvlJc w:val="left"/>
      <w:pPr>
        <w:ind w:left="7334" w:hanging="360"/>
      </w:pPr>
      <w:rPr>
        <w:rFonts w:ascii="Wingdings" w:hAnsi="Wingdings" w:hint="default"/>
      </w:rPr>
    </w:lvl>
  </w:abstractNum>
  <w:abstractNum w:abstractNumId="44" w15:restartNumberingAfterBreak="0">
    <w:nsid w:val="5ADB414A"/>
    <w:multiLevelType w:val="hybridMultilevel"/>
    <w:tmpl w:val="05A26C08"/>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5" w15:restartNumberingAfterBreak="0">
    <w:nsid w:val="5EDC70D7"/>
    <w:multiLevelType w:val="hybridMultilevel"/>
    <w:tmpl w:val="5E4288EA"/>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6" w15:restartNumberingAfterBreak="0">
    <w:nsid w:val="5F062F77"/>
    <w:multiLevelType w:val="hybridMultilevel"/>
    <w:tmpl w:val="119E242A"/>
    <w:lvl w:ilvl="0" w:tplc="0C090001">
      <w:start w:val="1"/>
      <w:numFmt w:val="bullet"/>
      <w:lvlText w:val=""/>
      <w:lvlJc w:val="left"/>
      <w:pPr>
        <w:ind w:left="1211" w:hanging="360"/>
      </w:pPr>
      <w:rPr>
        <w:rFonts w:ascii="Symbol" w:hAnsi="Symbol" w:hint="default"/>
      </w:rPr>
    </w:lvl>
    <w:lvl w:ilvl="1" w:tplc="0C090003">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47" w15:restartNumberingAfterBreak="0">
    <w:nsid w:val="61111F75"/>
    <w:multiLevelType w:val="hybridMultilevel"/>
    <w:tmpl w:val="F99426F4"/>
    <w:lvl w:ilvl="0" w:tplc="FFFFFFFF">
      <w:start w:val="1"/>
      <w:numFmt w:val="lowerLetter"/>
      <w:lvlText w:val="%1)"/>
      <w:lvlJc w:val="left"/>
      <w:pPr>
        <w:ind w:left="1276" w:hanging="360"/>
      </w:pPr>
      <w:rPr>
        <w:rFonts w:hint="default"/>
      </w:rPr>
    </w:lvl>
    <w:lvl w:ilvl="1" w:tplc="FFFFFFFF" w:tentative="1">
      <w:start w:val="1"/>
      <w:numFmt w:val="bullet"/>
      <w:lvlText w:val="o"/>
      <w:lvlJc w:val="left"/>
      <w:pPr>
        <w:ind w:left="1996" w:hanging="360"/>
      </w:pPr>
      <w:rPr>
        <w:rFonts w:ascii="Courier New" w:hAnsi="Courier New" w:cs="Courier New" w:hint="default"/>
      </w:rPr>
    </w:lvl>
    <w:lvl w:ilvl="2" w:tplc="FFFFFFFF" w:tentative="1">
      <w:start w:val="1"/>
      <w:numFmt w:val="bullet"/>
      <w:lvlText w:val=""/>
      <w:lvlJc w:val="left"/>
      <w:pPr>
        <w:ind w:left="2716" w:hanging="360"/>
      </w:pPr>
      <w:rPr>
        <w:rFonts w:ascii="Wingdings" w:hAnsi="Wingdings" w:hint="default"/>
      </w:rPr>
    </w:lvl>
    <w:lvl w:ilvl="3" w:tplc="FFFFFFFF" w:tentative="1">
      <w:start w:val="1"/>
      <w:numFmt w:val="bullet"/>
      <w:lvlText w:val=""/>
      <w:lvlJc w:val="left"/>
      <w:pPr>
        <w:ind w:left="3436" w:hanging="360"/>
      </w:pPr>
      <w:rPr>
        <w:rFonts w:ascii="Symbol" w:hAnsi="Symbol" w:hint="default"/>
      </w:rPr>
    </w:lvl>
    <w:lvl w:ilvl="4" w:tplc="FFFFFFFF" w:tentative="1">
      <w:start w:val="1"/>
      <w:numFmt w:val="bullet"/>
      <w:lvlText w:val="o"/>
      <w:lvlJc w:val="left"/>
      <w:pPr>
        <w:ind w:left="4156" w:hanging="360"/>
      </w:pPr>
      <w:rPr>
        <w:rFonts w:ascii="Courier New" w:hAnsi="Courier New" w:cs="Courier New" w:hint="default"/>
      </w:rPr>
    </w:lvl>
    <w:lvl w:ilvl="5" w:tplc="FFFFFFFF" w:tentative="1">
      <w:start w:val="1"/>
      <w:numFmt w:val="bullet"/>
      <w:lvlText w:val=""/>
      <w:lvlJc w:val="left"/>
      <w:pPr>
        <w:ind w:left="4876" w:hanging="360"/>
      </w:pPr>
      <w:rPr>
        <w:rFonts w:ascii="Wingdings" w:hAnsi="Wingdings" w:hint="default"/>
      </w:rPr>
    </w:lvl>
    <w:lvl w:ilvl="6" w:tplc="FFFFFFFF" w:tentative="1">
      <w:start w:val="1"/>
      <w:numFmt w:val="bullet"/>
      <w:lvlText w:val=""/>
      <w:lvlJc w:val="left"/>
      <w:pPr>
        <w:ind w:left="5596" w:hanging="360"/>
      </w:pPr>
      <w:rPr>
        <w:rFonts w:ascii="Symbol" w:hAnsi="Symbol" w:hint="default"/>
      </w:rPr>
    </w:lvl>
    <w:lvl w:ilvl="7" w:tplc="FFFFFFFF" w:tentative="1">
      <w:start w:val="1"/>
      <w:numFmt w:val="bullet"/>
      <w:lvlText w:val="o"/>
      <w:lvlJc w:val="left"/>
      <w:pPr>
        <w:ind w:left="6316" w:hanging="360"/>
      </w:pPr>
      <w:rPr>
        <w:rFonts w:ascii="Courier New" w:hAnsi="Courier New" w:cs="Courier New" w:hint="default"/>
      </w:rPr>
    </w:lvl>
    <w:lvl w:ilvl="8" w:tplc="FFFFFFFF" w:tentative="1">
      <w:start w:val="1"/>
      <w:numFmt w:val="bullet"/>
      <w:lvlText w:val=""/>
      <w:lvlJc w:val="left"/>
      <w:pPr>
        <w:ind w:left="7036" w:hanging="360"/>
      </w:pPr>
      <w:rPr>
        <w:rFonts w:ascii="Wingdings" w:hAnsi="Wingdings" w:hint="default"/>
      </w:rPr>
    </w:lvl>
  </w:abstractNum>
  <w:abstractNum w:abstractNumId="48" w15:restartNumberingAfterBreak="0">
    <w:nsid w:val="63324C9C"/>
    <w:multiLevelType w:val="hybridMultilevel"/>
    <w:tmpl w:val="F99426F4"/>
    <w:lvl w:ilvl="0" w:tplc="FFFFFFFF">
      <w:start w:val="1"/>
      <w:numFmt w:val="lowerLetter"/>
      <w:lvlText w:val="%1)"/>
      <w:lvlJc w:val="left"/>
      <w:pPr>
        <w:ind w:left="1276" w:hanging="360"/>
      </w:pPr>
      <w:rPr>
        <w:rFonts w:hint="default"/>
      </w:rPr>
    </w:lvl>
    <w:lvl w:ilvl="1" w:tplc="FFFFFFFF" w:tentative="1">
      <w:start w:val="1"/>
      <w:numFmt w:val="bullet"/>
      <w:lvlText w:val="o"/>
      <w:lvlJc w:val="left"/>
      <w:pPr>
        <w:ind w:left="1996" w:hanging="360"/>
      </w:pPr>
      <w:rPr>
        <w:rFonts w:ascii="Courier New" w:hAnsi="Courier New" w:cs="Courier New" w:hint="default"/>
      </w:rPr>
    </w:lvl>
    <w:lvl w:ilvl="2" w:tplc="FFFFFFFF" w:tentative="1">
      <w:start w:val="1"/>
      <w:numFmt w:val="bullet"/>
      <w:lvlText w:val=""/>
      <w:lvlJc w:val="left"/>
      <w:pPr>
        <w:ind w:left="2716" w:hanging="360"/>
      </w:pPr>
      <w:rPr>
        <w:rFonts w:ascii="Wingdings" w:hAnsi="Wingdings" w:hint="default"/>
      </w:rPr>
    </w:lvl>
    <w:lvl w:ilvl="3" w:tplc="FFFFFFFF" w:tentative="1">
      <w:start w:val="1"/>
      <w:numFmt w:val="bullet"/>
      <w:lvlText w:val=""/>
      <w:lvlJc w:val="left"/>
      <w:pPr>
        <w:ind w:left="3436" w:hanging="360"/>
      </w:pPr>
      <w:rPr>
        <w:rFonts w:ascii="Symbol" w:hAnsi="Symbol" w:hint="default"/>
      </w:rPr>
    </w:lvl>
    <w:lvl w:ilvl="4" w:tplc="FFFFFFFF" w:tentative="1">
      <w:start w:val="1"/>
      <w:numFmt w:val="bullet"/>
      <w:lvlText w:val="o"/>
      <w:lvlJc w:val="left"/>
      <w:pPr>
        <w:ind w:left="4156" w:hanging="360"/>
      </w:pPr>
      <w:rPr>
        <w:rFonts w:ascii="Courier New" w:hAnsi="Courier New" w:cs="Courier New" w:hint="default"/>
      </w:rPr>
    </w:lvl>
    <w:lvl w:ilvl="5" w:tplc="FFFFFFFF" w:tentative="1">
      <w:start w:val="1"/>
      <w:numFmt w:val="bullet"/>
      <w:lvlText w:val=""/>
      <w:lvlJc w:val="left"/>
      <w:pPr>
        <w:ind w:left="4876" w:hanging="360"/>
      </w:pPr>
      <w:rPr>
        <w:rFonts w:ascii="Wingdings" w:hAnsi="Wingdings" w:hint="default"/>
      </w:rPr>
    </w:lvl>
    <w:lvl w:ilvl="6" w:tplc="FFFFFFFF" w:tentative="1">
      <w:start w:val="1"/>
      <w:numFmt w:val="bullet"/>
      <w:lvlText w:val=""/>
      <w:lvlJc w:val="left"/>
      <w:pPr>
        <w:ind w:left="5596" w:hanging="360"/>
      </w:pPr>
      <w:rPr>
        <w:rFonts w:ascii="Symbol" w:hAnsi="Symbol" w:hint="default"/>
      </w:rPr>
    </w:lvl>
    <w:lvl w:ilvl="7" w:tplc="FFFFFFFF" w:tentative="1">
      <w:start w:val="1"/>
      <w:numFmt w:val="bullet"/>
      <w:lvlText w:val="o"/>
      <w:lvlJc w:val="left"/>
      <w:pPr>
        <w:ind w:left="6316" w:hanging="360"/>
      </w:pPr>
      <w:rPr>
        <w:rFonts w:ascii="Courier New" w:hAnsi="Courier New" w:cs="Courier New" w:hint="default"/>
      </w:rPr>
    </w:lvl>
    <w:lvl w:ilvl="8" w:tplc="FFFFFFFF" w:tentative="1">
      <w:start w:val="1"/>
      <w:numFmt w:val="bullet"/>
      <w:lvlText w:val=""/>
      <w:lvlJc w:val="left"/>
      <w:pPr>
        <w:ind w:left="7036" w:hanging="360"/>
      </w:pPr>
      <w:rPr>
        <w:rFonts w:ascii="Wingdings" w:hAnsi="Wingdings" w:hint="default"/>
      </w:rPr>
    </w:lvl>
  </w:abstractNum>
  <w:abstractNum w:abstractNumId="49" w15:restartNumberingAfterBreak="0">
    <w:nsid w:val="633A62F9"/>
    <w:multiLevelType w:val="multilevel"/>
    <w:tmpl w:val="E4343B56"/>
    <w:lvl w:ilvl="0">
      <w:start w:val="1"/>
      <w:numFmt w:val="decimal"/>
      <w:lvlText w:val="%1."/>
      <w:lvlJc w:val="left"/>
      <w:pPr>
        <w:ind w:left="851" w:hanging="851"/>
      </w:pPr>
      <w:rPr>
        <w:rFonts w:hint="default"/>
        <w:sz w:val="22"/>
        <w:szCs w:val="22"/>
      </w:rPr>
    </w:lvl>
    <w:lvl w:ilvl="1">
      <w:start w:val="1"/>
      <w:numFmt w:val="decimal"/>
      <w:lvlText w:val="%1.%2"/>
      <w:lvlJc w:val="left"/>
      <w:pPr>
        <w:ind w:left="851" w:hanging="851"/>
      </w:pPr>
      <w:rPr>
        <w:rFonts w:hint="default"/>
        <w:b w:val="0"/>
        <w:i w:val="0"/>
        <w:sz w:val="20"/>
        <w:szCs w:val="20"/>
      </w:rPr>
    </w:lvl>
    <w:lvl w:ilvl="2">
      <w:start w:val="1"/>
      <w:numFmt w:val="bullet"/>
      <w:lvlText w:val=""/>
      <w:lvlJc w:val="left"/>
      <w:pPr>
        <w:ind w:left="1211" w:hanging="360"/>
      </w:pPr>
      <w:rPr>
        <w:rFonts w:ascii="Symbol" w:hAnsi="Symbol" w:hint="default"/>
      </w:rPr>
    </w:lvl>
    <w:lvl w:ilvl="3">
      <w:start w:val="1"/>
      <w:numFmt w:val="lowerLetter"/>
      <w:lvlText w:val="(%4)"/>
      <w:lvlJc w:val="left"/>
      <w:pPr>
        <w:ind w:left="2268" w:hanging="567"/>
      </w:pPr>
      <w:rPr>
        <w:rFonts w:ascii="Arial" w:hAnsi="Arial" w:hint="default"/>
        <w:b w:val="0"/>
        <w:i w:val="0"/>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0" w15:restartNumberingAfterBreak="0">
    <w:nsid w:val="63DA6A5D"/>
    <w:multiLevelType w:val="multilevel"/>
    <w:tmpl w:val="37342B86"/>
    <w:lvl w:ilvl="0">
      <w:start w:val="1"/>
      <w:numFmt w:val="bullet"/>
      <w:pStyle w:val="Bullet3"/>
      <w:lvlText w:val=""/>
      <w:lvlJc w:val="left"/>
      <w:pPr>
        <w:ind w:left="2268" w:hanging="567"/>
      </w:pPr>
      <w:rPr>
        <w:rFonts w:ascii="Wingdings" w:hAnsi="Wingdings"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0E373E6"/>
    <w:multiLevelType w:val="hybridMultilevel"/>
    <w:tmpl w:val="37922C44"/>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2" w15:restartNumberingAfterBreak="0">
    <w:nsid w:val="71C30E73"/>
    <w:multiLevelType w:val="multilevel"/>
    <w:tmpl w:val="91166E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71D66930"/>
    <w:multiLevelType w:val="hybridMultilevel"/>
    <w:tmpl w:val="42BEDF68"/>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4" w15:restartNumberingAfterBreak="0">
    <w:nsid w:val="786E7240"/>
    <w:multiLevelType w:val="multilevel"/>
    <w:tmpl w:val="8A8C8786"/>
    <w:lvl w:ilvl="0">
      <w:start w:val="1"/>
      <w:numFmt w:val="lowerLetter"/>
      <w:pStyle w:val="legalDefinition"/>
      <w:lvlText w:val="(%1)"/>
      <w:lvlJc w:val="left"/>
      <w:pPr>
        <w:ind w:left="1701" w:hanging="850"/>
      </w:pPr>
      <w:rPr>
        <w:rFonts w:ascii="Arial" w:hAnsi="Arial" w:hint="default"/>
        <w:b w:val="0"/>
        <w:i w:val="0"/>
        <w:sz w:val="20"/>
        <w:szCs w:val="20"/>
      </w:rPr>
    </w:lvl>
    <w:lvl w:ilvl="1">
      <w:start w:val="1"/>
      <w:numFmt w:val="lowerRoman"/>
      <w:lvlText w:val="(%2)"/>
      <w:lvlJc w:val="left"/>
      <w:pPr>
        <w:ind w:left="2552" w:hanging="851"/>
      </w:pPr>
      <w:rPr>
        <w:rFonts w:hint="default"/>
      </w:rPr>
    </w:lvl>
    <w:lvl w:ilvl="2">
      <w:start w:val="1"/>
      <w:numFmt w:val="none"/>
      <w:lvlText w:val="%3."/>
      <w:lvlJc w:val="right"/>
      <w:pPr>
        <w:tabs>
          <w:tab w:val="num" w:pos="5280"/>
        </w:tabs>
        <w:ind w:left="-32767" w:firstLine="0"/>
      </w:pPr>
      <w:rPr>
        <w:rFonts w:hint="default"/>
      </w:rPr>
    </w:lvl>
    <w:lvl w:ilvl="3">
      <w:start w:val="1"/>
      <w:numFmt w:val="none"/>
      <w:lvlText w:val="%4."/>
      <w:lvlJc w:val="left"/>
      <w:pPr>
        <w:tabs>
          <w:tab w:val="num" w:pos="6000"/>
        </w:tabs>
        <w:ind w:left="-32767" w:firstLine="0"/>
      </w:pPr>
      <w:rPr>
        <w:rFonts w:hint="default"/>
      </w:rPr>
    </w:lvl>
    <w:lvl w:ilvl="4">
      <w:start w:val="1"/>
      <w:numFmt w:val="none"/>
      <w:lvlText w:val="%5."/>
      <w:lvlJc w:val="left"/>
      <w:pPr>
        <w:tabs>
          <w:tab w:val="num" w:pos="6720"/>
        </w:tabs>
        <w:ind w:left="-32767" w:firstLine="0"/>
      </w:pPr>
      <w:rPr>
        <w:rFonts w:hint="default"/>
      </w:rPr>
    </w:lvl>
    <w:lvl w:ilvl="5">
      <w:start w:val="1"/>
      <w:numFmt w:val="none"/>
      <w:lvlText w:val=""/>
      <w:lvlJc w:val="right"/>
      <w:pPr>
        <w:tabs>
          <w:tab w:val="num" w:pos="7440"/>
        </w:tabs>
        <w:ind w:left="-32767" w:firstLine="0"/>
      </w:pPr>
      <w:rPr>
        <w:rFonts w:hint="default"/>
      </w:rPr>
    </w:lvl>
    <w:lvl w:ilvl="6">
      <w:start w:val="1"/>
      <w:numFmt w:val="none"/>
      <w:lvlText w:val=""/>
      <w:lvlJc w:val="left"/>
      <w:pPr>
        <w:tabs>
          <w:tab w:val="num" w:pos="8160"/>
        </w:tabs>
        <w:ind w:left="-32767" w:hanging="24969"/>
      </w:pPr>
      <w:rPr>
        <w:rFonts w:hint="default"/>
      </w:rPr>
    </w:lvl>
    <w:lvl w:ilvl="7">
      <w:start w:val="1"/>
      <w:numFmt w:val="none"/>
      <w:lvlText w:val=""/>
      <w:lvlJc w:val="left"/>
      <w:pPr>
        <w:tabs>
          <w:tab w:val="num" w:pos="8880"/>
        </w:tabs>
        <w:ind w:left="-32767" w:firstLine="0"/>
      </w:pPr>
      <w:rPr>
        <w:rFonts w:hint="default"/>
      </w:rPr>
    </w:lvl>
    <w:lvl w:ilvl="8">
      <w:start w:val="1"/>
      <w:numFmt w:val="none"/>
      <w:lvlText w:val=""/>
      <w:lvlJc w:val="right"/>
      <w:pPr>
        <w:tabs>
          <w:tab w:val="num" w:pos="9600"/>
        </w:tabs>
        <w:ind w:left="-32767" w:firstLine="0"/>
      </w:pPr>
      <w:rPr>
        <w:rFonts w:hint="default"/>
      </w:rPr>
    </w:lvl>
  </w:abstractNum>
  <w:abstractNum w:abstractNumId="55" w15:restartNumberingAfterBreak="0">
    <w:nsid w:val="7A130F9B"/>
    <w:multiLevelType w:val="multilevel"/>
    <w:tmpl w:val="B6CE7426"/>
    <w:lvl w:ilvl="0">
      <w:start w:val="1"/>
      <w:numFmt w:val="bullet"/>
      <w:pStyle w:val="Bullet10"/>
      <w:lvlText w:val=""/>
      <w:lvlJc w:val="left"/>
      <w:pPr>
        <w:ind w:left="1702" w:hanging="851"/>
      </w:pPr>
      <w:rPr>
        <w:rFonts w:ascii="Symbol" w:hAnsi="Symbol" w:hint="default"/>
        <w:sz w:val="20"/>
        <w:szCs w:val="20"/>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56" w15:restartNumberingAfterBreak="0">
    <w:nsid w:val="7A3F0F4B"/>
    <w:multiLevelType w:val="hybridMultilevel"/>
    <w:tmpl w:val="A12C7ED0"/>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7" w15:restartNumberingAfterBreak="0">
    <w:nsid w:val="7C74439D"/>
    <w:multiLevelType w:val="hybridMultilevel"/>
    <w:tmpl w:val="5704BCE8"/>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8" w15:restartNumberingAfterBreak="0">
    <w:nsid w:val="7E6A05D5"/>
    <w:multiLevelType w:val="hybridMultilevel"/>
    <w:tmpl w:val="B80AE7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9" w15:restartNumberingAfterBreak="0">
    <w:nsid w:val="7FB062E3"/>
    <w:multiLevelType w:val="hybridMultilevel"/>
    <w:tmpl w:val="B8F2C018"/>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num w:numId="1" w16cid:durableId="967589924">
    <w:abstractNumId w:val="55"/>
  </w:num>
  <w:num w:numId="2" w16cid:durableId="512257294">
    <w:abstractNumId w:val="1"/>
  </w:num>
  <w:num w:numId="3" w16cid:durableId="1242527902">
    <w:abstractNumId w:val="10"/>
  </w:num>
  <w:num w:numId="4" w16cid:durableId="623318005">
    <w:abstractNumId w:val="13"/>
  </w:num>
  <w:num w:numId="5" w16cid:durableId="836306251">
    <w:abstractNumId w:val="7"/>
  </w:num>
  <w:num w:numId="6" w16cid:durableId="677080188">
    <w:abstractNumId w:val="4"/>
  </w:num>
  <w:num w:numId="7" w16cid:durableId="694430996">
    <w:abstractNumId w:val="50"/>
  </w:num>
  <w:num w:numId="8" w16cid:durableId="1941331326">
    <w:abstractNumId w:val="3"/>
  </w:num>
  <w:num w:numId="9" w16cid:durableId="1287809494">
    <w:abstractNumId w:val="54"/>
  </w:num>
  <w:num w:numId="10" w16cid:durableId="644503944">
    <w:abstractNumId w:val="2"/>
  </w:num>
  <w:num w:numId="11" w16cid:durableId="1310206322">
    <w:abstractNumId w:val="22"/>
    <w:lvlOverride w:ilvl="0">
      <w:startOverride w:val="1"/>
    </w:lvlOverride>
    <w:lvlOverride w:ilvl="1"/>
    <w:lvlOverride w:ilvl="2"/>
    <w:lvlOverride w:ilvl="3"/>
    <w:lvlOverride w:ilvl="4"/>
    <w:lvlOverride w:ilvl="5"/>
    <w:lvlOverride w:ilvl="6"/>
    <w:lvlOverride w:ilvl="7"/>
    <w:lvlOverride w:ilvl="8"/>
  </w:num>
  <w:num w:numId="12" w16cid:durableId="63055097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9490331">
    <w:abstractNumId w:val="22"/>
    <w:lvlOverride w:ilvl="0">
      <w:startOverride w:val="1"/>
    </w:lvlOverride>
    <w:lvlOverride w:ilvl="1"/>
    <w:lvlOverride w:ilvl="2"/>
    <w:lvlOverride w:ilvl="3"/>
    <w:lvlOverride w:ilvl="4"/>
    <w:lvlOverride w:ilvl="5"/>
    <w:lvlOverride w:ilvl="6"/>
    <w:lvlOverride w:ilvl="7"/>
    <w:lvlOverride w:ilvl="8"/>
  </w:num>
  <w:num w:numId="14" w16cid:durableId="1604025933">
    <w:abstractNumId w:val="38"/>
    <w:lvlOverride w:ilvl="0">
      <w:startOverride w:val="1"/>
    </w:lvlOverride>
    <w:lvlOverride w:ilvl="1"/>
    <w:lvlOverride w:ilvl="2"/>
    <w:lvlOverride w:ilvl="3"/>
    <w:lvlOverride w:ilvl="4"/>
    <w:lvlOverride w:ilvl="5"/>
    <w:lvlOverride w:ilvl="6"/>
    <w:lvlOverride w:ilvl="7"/>
    <w:lvlOverride w:ilvl="8"/>
  </w:num>
  <w:num w:numId="15" w16cid:durableId="6869089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66127705">
    <w:abstractNumId w:val="32"/>
    <w:lvlOverride w:ilvl="0">
      <w:startOverride w:val="1"/>
    </w:lvlOverride>
    <w:lvlOverride w:ilvl="1"/>
    <w:lvlOverride w:ilvl="2"/>
    <w:lvlOverride w:ilvl="3"/>
    <w:lvlOverride w:ilvl="4"/>
    <w:lvlOverride w:ilvl="5"/>
    <w:lvlOverride w:ilvl="6"/>
    <w:lvlOverride w:ilvl="7"/>
    <w:lvlOverride w:ilvl="8"/>
  </w:num>
  <w:num w:numId="17" w16cid:durableId="1969772955">
    <w:abstractNumId w:val="12"/>
    <w:lvlOverride w:ilvl="0">
      <w:startOverride w:val="1"/>
    </w:lvlOverride>
    <w:lvlOverride w:ilvl="1"/>
    <w:lvlOverride w:ilvl="2"/>
    <w:lvlOverride w:ilvl="3"/>
    <w:lvlOverride w:ilvl="4"/>
    <w:lvlOverride w:ilvl="5"/>
    <w:lvlOverride w:ilvl="6"/>
    <w:lvlOverride w:ilvl="7"/>
    <w:lvlOverride w:ilvl="8"/>
  </w:num>
  <w:num w:numId="18" w16cid:durableId="1540507895">
    <w:abstractNumId w:val="5"/>
    <w:lvlOverride w:ilvl="0">
      <w:startOverride w:val="1"/>
    </w:lvlOverride>
    <w:lvlOverride w:ilvl="1"/>
    <w:lvlOverride w:ilvl="2"/>
    <w:lvlOverride w:ilvl="3"/>
    <w:lvlOverride w:ilvl="4"/>
    <w:lvlOverride w:ilvl="5"/>
    <w:lvlOverride w:ilvl="6"/>
    <w:lvlOverride w:ilvl="7"/>
    <w:lvlOverride w:ilvl="8"/>
  </w:num>
  <w:num w:numId="19" w16cid:durableId="247545093">
    <w:abstractNumId w:val="58"/>
  </w:num>
  <w:num w:numId="20" w16cid:durableId="159085295">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55944880">
    <w:abstractNumId w:val="41"/>
  </w:num>
  <w:num w:numId="22" w16cid:durableId="2084402892">
    <w:abstractNumId w:val="52"/>
  </w:num>
  <w:num w:numId="23" w16cid:durableId="1594632832">
    <w:abstractNumId w:val="36"/>
  </w:num>
  <w:num w:numId="24" w16cid:durableId="1661276683">
    <w:abstractNumId w:val="20"/>
  </w:num>
  <w:num w:numId="25" w16cid:durableId="1810828216">
    <w:abstractNumId w:val="14"/>
  </w:num>
  <w:num w:numId="26" w16cid:durableId="1989048230">
    <w:abstractNumId w:val="44"/>
  </w:num>
  <w:num w:numId="27" w16cid:durableId="151020456">
    <w:abstractNumId w:val="53"/>
  </w:num>
  <w:num w:numId="28" w16cid:durableId="238448620">
    <w:abstractNumId w:val="8"/>
  </w:num>
  <w:num w:numId="29" w16cid:durableId="199364207">
    <w:abstractNumId w:val="56"/>
  </w:num>
  <w:num w:numId="30" w16cid:durableId="2032796334">
    <w:abstractNumId w:val="57"/>
  </w:num>
  <w:num w:numId="31" w16cid:durableId="1218396196">
    <w:abstractNumId w:val="49"/>
  </w:num>
  <w:num w:numId="32" w16cid:durableId="653144874">
    <w:abstractNumId w:val="9"/>
  </w:num>
  <w:num w:numId="33" w16cid:durableId="1283078477">
    <w:abstractNumId w:val="51"/>
  </w:num>
  <w:num w:numId="34" w16cid:durableId="938565551">
    <w:abstractNumId w:val="6"/>
  </w:num>
  <w:num w:numId="35" w16cid:durableId="4323640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75070277">
    <w:abstractNumId w:val="40"/>
  </w:num>
  <w:num w:numId="37" w16cid:durableId="680739078">
    <w:abstractNumId w:val="39"/>
  </w:num>
  <w:num w:numId="38" w16cid:durableId="583686262">
    <w:abstractNumId w:val="34"/>
  </w:num>
  <w:num w:numId="39" w16cid:durableId="612440109">
    <w:abstractNumId w:val="17"/>
  </w:num>
  <w:num w:numId="40" w16cid:durableId="1603107875">
    <w:abstractNumId w:val="19"/>
  </w:num>
  <w:num w:numId="41" w16cid:durableId="902957708">
    <w:abstractNumId w:val="35"/>
  </w:num>
  <w:num w:numId="42" w16cid:durableId="933319339">
    <w:abstractNumId w:val="18"/>
  </w:num>
  <w:num w:numId="43" w16cid:durableId="1124617389">
    <w:abstractNumId w:val="37"/>
  </w:num>
  <w:num w:numId="44" w16cid:durableId="1730835303">
    <w:abstractNumId w:val="59"/>
  </w:num>
  <w:num w:numId="45" w16cid:durableId="1463645667">
    <w:abstractNumId w:val="42"/>
  </w:num>
  <w:num w:numId="46" w16cid:durableId="1507555394">
    <w:abstractNumId w:val="45"/>
  </w:num>
  <w:num w:numId="47" w16cid:durableId="997534958">
    <w:abstractNumId w:val="27"/>
  </w:num>
  <w:num w:numId="48" w16cid:durableId="133332087">
    <w:abstractNumId w:val="15"/>
  </w:num>
  <w:num w:numId="49" w16cid:durableId="659230822">
    <w:abstractNumId w:val="30"/>
  </w:num>
  <w:num w:numId="50" w16cid:durableId="1177111961">
    <w:abstractNumId w:val="23"/>
  </w:num>
  <w:num w:numId="51" w16cid:durableId="558322694">
    <w:abstractNumId w:val="16"/>
  </w:num>
  <w:num w:numId="52" w16cid:durableId="1475948034">
    <w:abstractNumId w:val="24"/>
  </w:num>
  <w:num w:numId="53" w16cid:durableId="1359547494">
    <w:abstractNumId w:val="43"/>
  </w:num>
  <w:num w:numId="54" w16cid:durableId="832449329">
    <w:abstractNumId w:val="0"/>
  </w:num>
  <w:num w:numId="55" w16cid:durableId="154807192">
    <w:abstractNumId w:val="21"/>
  </w:num>
  <w:num w:numId="56" w16cid:durableId="1812867048">
    <w:abstractNumId w:val="28"/>
  </w:num>
  <w:num w:numId="57" w16cid:durableId="1397511169">
    <w:abstractNumId w:val="46"/>
  </w:num>
  <w:num w:numId="58" w16cid:durableId="253439452">
    <w:abstractNumId w:val="47"/>
  </w:num>
  <w:num w:numId="59" w16cid:durableId="784815776">
    <w:abstractNumId w:val="48"/>
  </w:num>
  <w:num w:numId="60" w16cid:durableId="366292762">
    <w:abstractNumId w:val="11"/>
  </w:num>
  <w:num w:numId="61" w16cid:durableId="1857231004">
    <w:abstractNumId w:val="31"/>
  </w:num>
  <w:num w:numId="62" w16cid:durableId="89129444">
    <w:abstractNumId w:val="25"/>
  </w:num>
  <w:num w:numId="63" w16cid:durableId="1423186035">
    <w:abstractNumId w:val="1"/>
  </w:num>
  <w:num w:numId="64" w16cid:durableId="555312433">
    <w:abstractNumId w:val="1"/>
  </w:num>
  <w:num w:numId="65" w16cid:durableId="2018195056">
    <w:abstractNumId w:val="1"/>
  </w:num>
  <w:num w:numId="66" w16cid:durableId="1272069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510223515">
    <w:abstractNumId w:val="3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85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A92"/>
    <w:rsid w:val="000011D9"/>
    <w:rsid w:val="00001344"/>
    <w:rsid w:val="00001C9E"/>
    <w:rsid w:val="00001CD1"/>
    <w:rsid w:val="00001DFF"/>
    <w:rsid w:val="000021A5"/>
    <w:rsid w:val="00002377"/>
    <w:rsid w:val="00002571"/>
    <w:rsid w:val="0000327B"/>
    <w:rsid w:val="000032F2"/>
    <w:rsid w:val="000035B3"/>
    <w:rsid w:val="0000392C"/>
    <w:rsid w:val="00003EE3"/>
    <w:rsid w:val="000043AE"/>
    <w:rsid w:val="00004490"/>
    <w:rsid w:val="00004700"/>
    <w:rsid w:val="00005952"/>
    <w:rsid w:val="0000595A"/>
    <w:rsid w:val="00006133"/>
    <w:rsid w:val="000065E4"/>
    <w:rsid w:val="00006D55"/>
    <w:rsid w:val="00006D65"/>
    <w:rsid w:val="00006F89"/>
    <w:rsid w:val="0000732A"/>
    <w:rsid w:val="000073E0"/>
    <w:rsid w:val="00007838"/>
    <w:rsid w:val="000101CB"/>
    <w:rsid w:val="0001066A"/>
    <w:rsid w:val="00010CC9"/>
    <w:rsid w:val="00010CCB"/>
    <w:rsid w:val="0001136A"/>
    <w:rsid w:val="0001175C"/>
    <w:rsid w:val="00011C92"/>
    <w:rsid w:val="00011DD0"/>
    <w:rsid w:val="0001220A"/>
    <w:rsid w:val="00012B5E"/>
    <w:rsid w:val="00013138"/>
    <w:rsid w:val="000137C3"/>
    <w:rsid w:val="00013B56"/>
    <w:rsid w:val="000144BE"/>
    <w:rsid w:val="00014D3D"/>
    <w:rsid w:val="00014D5A"/>
    <w:rsid w:val="000154CE"/>
    <w:rsid w:val="0001653C"/>
    <w:rsid w:val="000179CD"/>
    <w:rsid w:val="0002002E"/>
    <w:rsid w:val="00020605"/>
    <w:rsid w:val="00020C39"/>
    <w:rsid w:val="00020F0A"/>
    <w:rsid w:val="00020F3B"/>
    <w:rsid w:val="00023053"/>
    <w:rsid w:val="00023A7A"/>
    <w:rsid w:val="00023EE9"/>
    <w:rsid w:val="00024020"/>
    <w:rsid w:val="000242DF"/>
    <w:rsid w:val="00024C19"/>
    <w:rsid w:val="00025690"/>
    <w:rsid w:val="0002580B"/>
    <w:rsid w:val="00026A30"/>
    <w:rsid w:val="00027BFE"/>
    <w:rsid w:val="00027E02"/>
    <w:rsid w:val="0003105E"/>
    <w:rsid w:val="000312F7"/>
    <w:rsid w:val="0003153E"/>
    <w:rsid w:val="00031BE5"/>
    <w:rsid w:val="00031C6E"/>
    <w:rsid w:val="00031DA2"/>
    <w:rsid w:val="00031EEA"/>
    <w:rsid w:val="00032110"/>
    <w:rsid w:val="00032390"/>
    <w:rsid w:val="000325AA"/>
    <w:rsid w:val="00032627"/>
    <w:rsid w:val="0003263A"/>
    <w:rsid w:val="00032E62"/>
    <w:rsid w:val="000337CB"/>
    <w:rsid w:val="00033D61"/>
    <w:rsid w:val="00033F00"/>
    <w:rsid w:val="000342A8"/>
    <w:rsid w:val="000342AD"/>
    <w:rsid w:val="000344EF"/>
    <w:rsid w:val="00034611"/>
    <w:rsid w:val="00034B3D"/>
    <w:rsid w:val="00034D6F"/>
    <w:rsid w:val="00036246"/>
    <w:rsid w:val="00036A28"/>
    <w:rsid w:val="00036E79"/>
    <w:rsid w:val="000374B1"/>
    <w:rsid w:val="000417D9"/>
    <w:rsid w:val="000418D0"/>
    <w:rsid w:val="00041B6B"/>
    <w:rsid w:val="00041DFF"/>
    <w:rsid w:val="000422C0"/>
    <w:rsid w:val="000426BE"/>
    <w:rsid w:val="00043092"/>
    <w:rsid w:val="00043218"/>
    <w:rsid w:val="0004360A"/>
    <w:rsid w:val="00043E28"/>
    <w:rsid w:val="00044063"/>
    <w:rsid w:val="00044682"/>
    <w:rsid w:val="0004487E"/>
    <w:rsid w:val="0004488E"/>
    <w:rsid w:val="0004497F"/>
    <w:rsid w:val="000452EE"/>
    <w:rsid w:val="00045843"/>
    <w:rsid w:val="00046162"/>
    <w:rsid w:val="00046F26"/>
    <w:rsid w:val="00047168"/>
    <w:rsid w:val="00047997"/>
    <w:rsid w:val="00047A00"/>
    <w:rsid w:val="0005150F"/>
    <w:rsid w:val="000515B8"/>
    <w:rsid w:val="0005210B"/>
    <w:rsid w:val="00052BFC"/>
    <w:rsid w:val="00052CC2"/>
    <w:rsid w:val="00053378"/>
    <w:rsid w:val="000546E0"/>
    <w:rsid w:val="00054BE1"/>
    <w:rsid w:val="00054D60"/>
    <w:rsid w:val="00054F65"/>
    <w:rsid w:val="000553B8"/>
    <w:rsid w:val="000554FB"/>
    <w:rsid w:val="00055B3A"/>
    <w:rsid w:val="00055F00"/>
    <w:rsid w:val="000567DA"/>
    <w:rsid w:val="00057A31"/>
    <w:rsid w:val="0006021B"/>
    <w:rsid w:val="000602EB"/>
    <w:rsid w:val="0006096E"/>
    <w:rsid w:val="0006164C"/>
    <w:rsid w:val="00061BEF"/>
    <w:rsid w:val="00061FB7"/>
    <w:rsid w:val="00062297"/>
    <w:rsid w:val="000625B6"/>
    <w:rsid w:val="000626BD"/>
    <w:rsid w:val="0006289B"/>
    <w:rsid w:val="00062C2C"/>
    <w:rsid w:val="00063ED3"/>
    <w:rsid w:val="00064D45"/>
    <w:rsid w:val="00065594"/>
    <w:rsid w:val="000657E8"/>
    <w:rsid w:val="00065C2F"/>
    <w:rsid w:val="00065C82"/>
    <w:rsid w:val="00066A09"/>
    <w:rsid w:val="00066D07"/>
    <w:rsid w:val="0006772D"/>
    <w:rsid w:val="0006798F"/>
    <w:rsid w:val="00067C78"/>
    <w:rsid w:val="000711C9"/>
    <w:rsid w:val="0007446F"/>
    <w:rsid w:val="00074E37"/>
    <w:rsid w:val="00074F88"/>
    <w:rsid w:val="00075AE5"/>
    <w:rsid w:val="00075D90"/>
    <w:rsid w:val="00076774"/>
    <w:rsid w:val="00076AF5"/>
    <w:rsid w:val="00076B03"/>
    <w:rsid w:val="00077114"/>
    <w:rsid w:val="0007748F"/>
    <w:rsid w:val="00077579"/>
    <w:rsid w:val="00077A8D"/>
    <w:rsid w:val="000814FE"/>
    <w:rsid w:val="00081608"/>
    <w:rsid w:val="00081C75"/>
    <w:rsid w:val="000822FA"/>
    <w:rsid w:val="00082C53"/>
    <w:rsid w:val="00082D23"/>
    <w:rsid w:val="000830A6"/>
    <w:rsid w:val="000842C2"/>
    <w:rsid w:val="000854A9"/>
    <w:rsid w:val="00085977"/>
    <w:rsid w:val="00085EE8"/>
    <w:rsid w:val="00086159"/>
    <w:rsid w:val="000862FC"/>
    <w:rsid w:val="00086353"/>
    <w:rsid w:val="0008649B"/>
    <w:rsid w:val="00086C6F"/>
    <w:rsid w:val="00087542"/>
    <w:rsid w:val="00087F4C"/>
    <w:rsid w:val="00087F92"/>
    <w:rsid w:val="00090672"/>
    <w:rsid w:val="00091054"/>
    <w:rsid w:val="0009139F"/>
    <w:rsid w:val="00091BB1"/>
    <w:rsid w:val="00091F44"/>
    <w:rsid w:val="000923CD"/>
    <w:rsid w:val="0009287B"/>
    <w:rsid w:val="00092BAB"/>
    <w:rsid w:val="00093B96"/>
    <w:rsid w:val="00093C8F"/>
    <w:rsid w:val="00094155"/>
    <w:rsid w:val="0009530E"/>
    <w:rsid w:val="00095A07"/>
    <w:rsid w:val="00095EE5"/>
    <w:rsid w:val="00095F14"/>
    <w:rsid w:val="00095F1D"/>
    <w:rsid w:val="00096085"/>
    <w:rsid w:val="0009663F"/>
    <w:rsid w:val="00097372"/>
    <w:rsid w:val="00097691"/>
    <w:rsid w:val="000A017A"/>
    <w:rsid w:val="000A1531"/>
    <w:rsid w:val="000A16B4"/>
    <w:rsid w:val="000A1995"/>
    <w:rsid w:val="000A1AE0"/>
    <w:rsid w:val="000A1FC9"/>
    <w:rsid w:val="000A2022"/>
    <w:rsid w:val="000A23B8"/>
    <w:rsid w:val="000A3A9A"/>
    <w:rsid w:val="000A40EB"/>
    <w:rsid w:val="000A4490"/>
    <w:rsid w:val="000A4964"/>
    <w:rsid w:val="000A4A3E"/>
    <w:rsid w:val="000A4C6F"/>
    <w:rsid w:val="000A5314"/>
    <w:rsid w:val="000A584B"/>
    <w:rsid w:val="000A5FE5"/>
    <w:rsid w:val="000A6E3E"/>
    <w:rsid w:val="000A70C9"/>
    <w:rsid w:val="000A7F19"/>
    <w:rsid w:val="000B16E3"/>
    <w:rsid w:val="000B1839"/>
    <w:rsid w:val="000B1C2C"/>
    <w:rsid w:val="000B1C98"/>
    <w:rsid w:val="000B1F26"/>
    <w:rsid w:val="000B1F92"/>
    <w:rsid w:val="000B2049"/>
    <w:rsid w:val="000B243D"/>
    <w:rsid w:val="000B2637"/>
    <w:rsid w:val="000B300C"/>
    <w:rsid w:val="000B3ADA"/>
    <w:rsid w:val="000B4073"/>
    <w:rsid w:val="000B4197"/>
    <w:rsid w:val="000B4341"/>
    <w:rsid w:val="000B48A5"/>
    <w:rsid w:val="000B588B"/>
    <w:rsid w:val="000B5A33"/>
    <w:rsid w:val="000B5C9E"/>
    <w:rsid w:val="000B608B"/>
    <w:rsid w:val="000B60AA"/>
    <w:rsid w:val="000B6303"/>
    <w:rsid w:val="000B6649"/>
    <w:rsid w:val="000B7370"/>
    <w:rsid w:val="000B7CB7"/>
    <w:rsid w:val="000B7DE7"/>
    <w:rsid w:val="000C00D5"/>
    <w:rsid w:val="000C0261"/>
    <w:rsid w:val="000C02EB"/>
    <w:rsid w:val="000C0315"/>
    <w:rsid w:val="000C07A1"/>
    <w:rsid w:val="000C07B8"/>
    <w:rsid w:val="000C0D1B"/>
    <w:rsid w:val="000C184A"/>
    <w:rsid w:val="000C250A"/>
    <w:rsid w:val="000C278D"/>
    <w:rsid w:val="000C2B0E"/>
    <w:rsid w:val="000C2F8F"/>
    <w:rsid w:val="000C2FD2"/>
    <w:rsid w:val="000C32E4"/>
    <w:rsid w:val="000C33E6"/>
    <w:rsid w:val="000C34F5"/>
    <w:rsid w:val="000C3856"/>
    <w:rsid w:val="000C4004"/>
    <w:rsid w:val="000C471A"/>
    <w:rsid w:val="000C485C"/>
    <w:rsid w:val="000C4F82"/>
    <w:rsid w:val="000C5186"/>
    <w:rsid w:val="000C5262"/>
    <w:rsid w:val="000C55A2"/>
    <w:rsid w:val="000C6300"/>
    <w:rsid w:val="000C76E8"/>
    <w:rsid w:val="000D00EF"/>
    <w:rsid w:val="000D08B0"/>
    <w:rsid w:val="000D0E4C"/>
    <w:rsid w:val="000D0EDA"/>
    <w:rsid w:val="000D15C3"/>
    <w:rsid w:val="000D16CA"/>
    <w:rsid w:val="000D2025"/>
    <w:rsid w:val="000D2827"/>
    <w:rsid w:val="000D2995"/>
    <w:rsid w:val="000D2E0B"/>
    <w:rsid w:val="000D3027"/>
    <w:rsid w:val="000D3074"/>
    <w:rsid w:val="000D33A5"/>
    <w:rsid w:val="000D344A"/>
    <w:rsid w:val="000D39A0"/>
    <w:rsid w:val="000D3D62"/>
    <w:rsid w:val="000D4422"/>
    <w:rsid w:val="000D4634"/>
    <w:rsid w:val="000D4B87"/>
    <w:rsid w:val="000D4F11"/>
    <w:rsid w:val="000D5176"/>
    <w:rsid w:val="000D54F7"/>
    <w:rsid w:val="000D5D72"/>
    <w:rsid w:val="000D5EED"/>
    <w:rsid w:val="000D6344"/>
    <w:rsid w:val="000D69CC"/>
    <w:rsid w:val="000D6D36"/>
    <w:rsid w:val="000D6FE3"/>
    <w:rsid w:val="000D6FE9"/>
    <w:rsid w:val="000D7BF4"/>
    <w:rsid w:val="000D7E08"/>
    <w:rsid w:val="000E0292"/>
    <w:rsid w:val="000E0FF5"/>
    <w:rsid w:val="000E18E1"/>
    <w:rsid w:val="000E1D7D"/>
    <w:rsid w:val="000E22B1"/>
    <w:rsid w:val="000E268F"/>
    <w:rsid w:val="000E2830"/>
    <w:rsid w:val="000E2C11"/>
    <w:rsid w:val="000E42F8"/>
    <w:rsid w:val="000E4322"/>
    <w:rsid w:val="000E45D9"/>
    <w:rsid w:val="000E4612"/>
    <w:rsid w:val="000E4C63"/>
    <w:rsid w:val="000E5105"/>
    <w:rsid w:val="000E5899"/>
    <w:rsid w:val="000E5BBC"/>
    <w:rsid w:val="000E5BE7"/>
    <w:rsid w:val="000E6F3E"/>
    <w:rsid w:val="000E711A"/>
    <w:rsid w:val="000E77BA"/>
    <w:rsid w:val="000E7FA1"/>
    <w:rsid w:val="000F02A1"/>
    <w:rsid w:val="000F030E"/>
    <w:rsid w:val="000F0358"/>
    <w:rsid w:val="000F046C"/>
    <w:rsid w:val="000F065E"/>
    <w:rsid w:val="000F104D"/>
    <w:rsid w:val="000F21A8"/>
    <w:rsid w:val="000F2B20"/>
    <w:rsid w:val="000F4428"/>
    <w:rsid w:val="000F44DF"/>
    <w:rsid w:val="000F4803"/>
    <w:rsid w:val="000F4FCA"/>
    <w:rsid w:val="000F4FDE"/>
    <w:rsid w:val="000F6191"/>
    <w:rsid w:val="000F689E"/>
    <w:rsid w:val="000F7362"/>
    <w:rsid w:val="000F796B"/>
    <w:rsid w:val="000F7978"/>
    <w:rsid w:val="001004F0"/>
    <w:rsid w:val="00100BF0"/>
    <w:rsid w:val="00100F61"/>
    <w:rsid w:val="00101A94"/>
    <w:rsid w:val="001022DE"/>
    <w:rsid w:val="0010349A"/>
    <w:rsid w:val="00103F3D"/>
    <w:rsid w:val="001048DF"/>
    <w:rsid w:val="00104AB0"/>
    <w:rsid w:val="001051B4"/>
    <w:rsid w:val="001053FA"/>
    <w:rsid w:val="00106912"/>
    <w:rsid w:val="001073F0"/>
    <w:rsid w:val="001076BD"/>
    <w:rsid w:val="001078B4"/>
    <w:rsid w:val="001078D7"/>
    <w:rsid w:val="00110299"/>
    <w:rsid w:val="0011039C"/>
    <w:rsid w:val="00110AF1"/>
    <w:rsid w:val="00110B08"/>
    <w:rsid w:val="00110B36"/>
    <w:rsid w:val="00110F79"/>
    <w:rsid w:val="00111B27"/>
    <w:rsid w:val="0011220B"/>
    <w:rsid w:val="001142AD"/>
    <w:rsid w:val="00114465"/>
    <w:rsid w:val="001148FF"/>
    <w:rsid w:val="00114E20"/>
    <w:rsid w:val="00114F02"/>
    <w:rsid w:val="001150C2"/>
    <w:rsid w:val="00115E09"/>
    <w:rsid w:val="00116881"/>
    <w:rsid w:val="001169F4"/>
    <w:rsid w:val="00116FD9"/>
    <w:rsid w:val="001201B7"/>
    <w:rsid w:val="00120467"/>
    <w:rsid w:val="0012047D"/>
    <w:rsid w:val="001206B9"/>
    <w:rsid w:val="00120DAA"/>
    <w:rsid w:val="00120DF1"/>
    <w:rsid w:val="00121024"/>
    <w:rsid w:val="00121589"/>
    <w:rsid w:val="00122293"/>
    <w:rsid w:val="0012285B"/>
    <w:rsid w:val="0012293C"/>
    <w:rsid w:val="00123BC8"/>
    <w:rsid w:val="00123C85"/>
    <w:rsid w:val="00123DC4"/>
    <w:rsid w:val="0012419F"/>
    <w:rsid w:val="00124DAA"/>
    <w:rsid w:val="00125020"/>
    <w:rsid w:val="00125314"/>
    <w:rsid w:val="001255B6"/>
    <w:rsid w:val="00125A83"/>
    <w:rsid w:val="00125D84"/>
    <w:rsid w:val="001265F9"/>
    <w:rsid w:val="00126D31"/>
    <w:rsid w:val="001272C4"/>
    <w:rsid w:val="001301FE"/>
    <w:rsid w:val="001308C2"/>
    <w:rsid w:val="00130F01"/>
    <w:rsid w:val="00131590"/>
    <w:rsid w:val="00131A58"/>
    <w:rsid w:val="00132490"/>
    <w:rsid w:val="00132A26"/>
    <w:rsid w:val="00133259"/>
    <w:rsid w:val="001339F7"/>
    <w:rsid w:val="001346E4"/>
    <w:rsid w:val="00135871"/>
    <w:rsid w:val="00135A92"/>
    <w:rsid w:val="00135F2C"/>
    <w:rsid w:val="00136C99"/>
    <w:rsid w:val="00136F95"/>
    <w:rsid w:val="001375A3"/>
    <w:rsid w:val="001376FD"/>
    <w:rsid w:val="001377BC"/>
    <w:rsid w:val="0013798D"/>
    <w:rsid w:val="00137B1E"/>
    <w:rsid w:val="001403BD"/>
    <w:rsid w:val="0014045E"/>
    <w:rsid w:val="00140FD5"/>
    <w:rsid w:val="001415D8"/>
    <w:rsid w:val="00141F44"/>
    <w:rsid w:val="001425B7"/>
    <w:rsid w:val="001426DA"/>
    <w:rsid w:val="00142866"/>
    <w:rsid w:val="0014320B"/>
    <w:rsid w:val="00143ACB"/>
    <w:rsid w:val="00143C34"/>
    <w:rsid w:val="00143FAB"/>
    <w:rsid w:val="00144681"/>
    <w:rsid w:val="00145543"/>
    <w:rsid w:val="00145D3F"/>
    <w:rsid w:val="0014644E"/>
    <w:rsid w:val="00146D5F"/>
    <w:rsid w:val="00146E21"/>
    <w:rsid w:val="0015009E"/>
    <w:rsid w:val="001500AA"/>
    <w:rsid w:val="001501F5"/>
    <w:rsid w:val="00150DBB"/>
    <w:rsid w:val="001510C6"/>
    <w:rsid w:val="001518F9"/>
    <w:rsid w:val="001530C3"/>
    <w:rsid w:val="0015312C"/>
    <w:rsid w:val="001534C3"/>
    <w:rsid w:val="0015353D"/>
    <w:rsid w:val="001539F7"/>
    <w:rsid w:val="00153D1B"/>
    <w:rsid w:val="001547D3"/>
    <w:rsid w:val="00155E1B"/>
    <w:rsid w:val="00157185"/>
    <w:rsid w:val="00157972"/>
    <w:rsid w:val="0016009F"/>
    <w:rsid w:val="001600E8"/>
    <w:rsid w:val="00160158"/>
    <w:rsid w:val="00160271"/>
    <w:rsid w:val="00160968"/>
    <w:rsid w:val="001617DE"/>
    <w:rsid w:val="001618CA"/>
    <w:rsid w:val="0016215A"/>
    <w:rsid w:val="00164843"/>
    <w:rsid w:val="00165243"/>
    <w:rsid w:val="00165D81"/>
    <w:rsid w:val="00165E86"/>
    <w:rsid w:val="001676AB"/>
    <w:rsid w:val="00167831"/>
    <w:rsid w:val="001679A6"/>
    <w:rsid w:val="00171167"/>
    <w:rsid w:val="001715F3"/>
    <w:rsid w:val="0017198C"/>
    <w:rsid w:val="00171A41"/>
    <w:rsid w:val="00172581"/>
    <w:rsid w:val="001728BC"/>
    <w:rsid w:val="00172FD9"/>
    <w:rsid w:val="00173432"/>
    <w:rsid w:val="0017378F"/>
    <w:rsid w:val="00173AB3"/>
    <w:rsid w:val="00174BB8"/>
    <w:rsid w:val="00174BE8"/>
    <w:rsid w:val="00174C2A"/>
    <w:rsid w:val="001754D2"/>
    <w:rsid w:val="001768F5"/>
    <w:rsid w:val="00176FE0"/>
    <w:rsid w:val="001774AB"/>
    <w:rsid w:val="00180C87"/>
    <w:rsid w:val="00180CFC"/>
    <w:rsid w:val="00180E98"/>
    <w:rsid w:val="0018103A"/>
    <w:rsid w:val="00181724"/>
    <w:rsid w:val="00181A3C"/>
    <w:rsid w:val="00181E97"/>
    <w:rsid w:val="00182574"/>
    <w:rsid w:val="001831FE"/>
    <w:rsid w:val="00183741"/>
    <w:rsid w:val="00184A40"/>
    <w:rsid w:val="0018542A"/>
    <w:rsid w:val="001860B4"/>
    <w:rsid w:val="00187FA8"/>
    <w:rsid w:val="00190DDC"/>
    <w:rsid w:val="0019170B"/>
    <w:rsid w:val="00191F46"/>
    <w:rsid w:val="001923DE"/>
    <w:rsid w:val="00192F8A"/>
    <w:rsid w:val="00192FEE"/>
    <w:rsid w:val="00193289"/>
    <w:rsid w:val="0019344A"/>
    <w:rsid w:val="00194516"/>
    <w:rsid w:val="00194D47"/>
    <w:rsid w:val="001953E4"/>
    <w:rsid w:val="001955DF"/>
    <w:rsid w:val="001958CD"/>
    <w:rsid w:val="0019699F"/>
    <w:rsid w:val="00196A17"/>
    <w:rsid w:val="001972F8"/>
    <w:rsid w:val="00197D86"/>
    <w:rsid w:val="00197EC8"/>
    <w:rsid w:val="001A02F9"/>
    <w:rsid w:val="001A0347"/>
    <w:rsid w:val="001A03C7"/>
    <w:rsid w:val="001A0D81"/>
    <w:rsid w:val="001A138C"/>
    <w:rsid w:val="001A142E"/>
    <w:rsid w:val="001A1572"/>
    <w:rsid w:val="001A1A5E"/>
    <w:rsid w:val="001A29EB"/>
    <w:rsid w:val="001A2ABC"/>
    <w:rsid w:val="001A2BFC"/>
    <w:rsid w:val="001A310D"/>
    <w:rsid w:val="001A3D5F"/>
    <w:rsid w:val="001A5E32"/>
    <w:rsid w:val="001A628D"/>
    <w:rsid w:val="001A6C26"/>
    <w:rsid w:val="001A7387"/>
    <w:rsid w:val="001A7AC6"/>
    <w:rsid w:val="001A7D18"/>
    <w:rsid w:val="001B0BA8"/>
    <w:rsid w:val="001B0E9A"/>
    <w:rsid w:val="001B1C89"/>
    <w:rsid w:val="001B1F99"/>
    <w:rsid w:val="001B2043"/>
    <w:rsid w:val="001B208B"/>
    <w:rsid w:val="001B2D11"/>
    <w:rsid w:val="001B3086"/>
    <w:rsid w:val="001B44F3"/>
    <w:rsid w:val="001B4800"/>
    <w:rsid w:val="001B48C0"/>
    <w:rsid w:val="001B5EE3"/>
    <w:rsid w:val="001B68DF"/>
    <w:rsid w:val="001B6B2F"/>
    <w:rsid w:val="001B6C7E"/>
    <w:rsid w:val="001B6CFA"/>
    <w:rsid w:val="001B7383"/>
    <w:rsid w:val="001B78FE"/>
    <w:rsid w:val="001C03DB"/>
    <w:rsid w:val="001C0FD6"/>
    <w:rsid w:val="001C186B"/>
    <w:rsid w:val="001C200C"/>
    <w:rsid w:val="001C2085"/>
    <w:rsid w:val="001C24A0"/>
    <w:rsid w:val="001C2C66"/>
    <w:rsid w:val="001C3B37"/>
    <w:rsid w:val="001C424B"/>
    <w:rsid w:val="001C43BD"/>
    <w:rsid w:val="001C4513"/>
    <w:rsid w:val="001C453E"/>
    <w:rsid w:val="001C52FD"/>
    <w:rsid w:val="001C584F"/>
    <w:rsid w:val="001C5B97"/>
    <w:rsid w:val="001C5F4C"/>
    <w:rsid w:val="001C62B3"/>
    <w:rsid w:val="001C6367"/>
    <w:rsid w:val="001C6537"/>
    <w:rsid w:val="001C6DE1"/>
    <w:rsid w:val="001C6EA2"/>
    <w:rsid w:val="001C6EBD"/>
    <w:rsid w:val="001C70A2"/>
    <w:rsid w:val="001C7722"/>
    <w:rsid w:val="001D01F3"/>
    <w:rsid w:val="001D0781"/>
    <w:rsid w:val="001D0972"/>
    <w:rsid w:val="001D19CC"/>
    <w:rsid w:val="001D2080"/>
    <w:rsid w:val="001D221D"/>
    <w:rsid w:val="001D22F0"/>
    <w:rsid w:val="001D33D4"/>
    <w:rsid w:val="001D38E1"/>
    <w:rsid w:val="001D3BE3"/>
    <w:rsid w:val="001D3E1C"/>
    <w:rsid w:val="001D4145"/>
    <w:rsid w:val="001D4484"/>
    <w:rsid w:val="001D4551"/>
    <w:rsid w:val="001D4575"/>
    <w:rsid w:val="001D5554"/>
    <w:rsid w:val="001D5A70"/>
    <w:rsid w:val="001D6995"/>
    <w:rsid w:val="001D7A97"/>
    <w:rsid w:val="001D7F37"/>
    <w:rsid w:val="001E028B"/>
    <w:rsid w:val="001E0891"/>
    <w:rsid w:val="001E08F6"/>
    <w:rsid w:val="001E0C0F"/>
    <w:rsid w:val="001E0C2D"/>
    <w:rsid w:val="001E1D54"/>
    <w:rsid w:val="001E2250"/>
    <w:rsid w:val="001E284E"/>
    <w:rsid w:val="001E2B2B"/>
    <w:rsid w:val="001E3666"/>
    <w:rsid w:val="001E394E"/>
    <w:rsid w:val="001E47BA"/>
    <w:rsid w:val="001E5C32"/>
    <w:rsid w:val="001E60CC"/>
    <w:rsid w:val="001E64DE"/>
    <w:rsid w:val="001E67A8"/>
    <w:rsid w:val="001E6A9A"/>
    <w:rsid w:val="001E74B1"/>
    <w:rsid w:val="001E7754"/>
    <w:rsid w:val="001F01A7"/>
    <w:rsid w:val="001F0B57"/>
    <w:rsid w:val="001F33CB"/>
    <w:rsid w:val="001F3414"/>
    <w:rsid w:val="001F38FA"/>
    <w:rsid w:val="001F42C1"/>
    <w:rsid w:val="001F4DCC"/>
    <w:rsid w:val="001F4E1B"/>
    <w:rsid w:val="001F5259"/>
    <w:rsid w:val="001F5356"/>
    <w:rsid w:val="001F619F"/>
    <w:rsid w:val="001F61B8"/>
    <w:rsid w:val="001F6A42"/>
    <w:rsid w:val="001F73BA"/>
    <w:rsid w:val="001F79A6"/>
    <w:rsid w:val="00200326"/>
    <w:rsid w:val="00200505"/>
    <w:rsid w:val="00200E97"/>
    <w:rsid w:val="00200F9B"/>
    <w:rsid w:val="002013C8"/>
    <w:rsid w:val="0020181A"/>
    <w:rsid w:val="00201AA2"/>
    <w:rsid w:val="00201BBB"/>
    <w:rsid w:val="00201E18"/>
    <w:rsid w:val="0020332F"/>
    <w:rsid w:val="002036E9"/>
    <w:rsid w:val="002039AF"/>
    <w:rsid w:val="00203AC1"/>
    <w:rsid w:val="002041F0"/>
    <w:rsid w:val="0020448B"/>
    <w:rsid w:val="002044B6"/>
    <w:rsid w:val="00204EE9"/>
    <w:rsid w:val="0020507D"/>
    <w:rsid w:val="0020545E"/>
    <w:rsid w:val="00205562"/>
    <w:rsid w:val="00205ED4"/>
    <w:rsid w:val="002062EE"/>
    <w:rsid w:val="002071BF"/>
    <w:rsid w:val="002071F9"/>
    <w:rsid w:val="002073A3"/>
    <w:rsid w:val="002074B1"/>
    <w:rsid w:val="00207A16"/>
    <w:rsid w:val="00207BF5"/>
    <w:rsid w:val="00207C9E"/>
    <w:rsid w:val="0021173D"/>
    <w:rsid w:val="00212902"/>
    <w:rsid w:val="00212DE4"/>
    <w:rsid w:val="002135FA"/>
    <w:rsid w:val="00213647"/>
    <w:rsid w:val="00213857"/>
    <w:rsid w:val="00213FED"/>
    <w:rsid w:val="00214026"/>
    <w:rsid w:val="00214AC3"/>
    <w:rsid w:val="002160C8"/>
    <w:rsid w:val="002160DB"/>
    <w:rsid w:val="00217041"/>
    <w:rsid w:val="0021708C"/>
    <w:rsid w:val="00220151"/>
    <w:rsid w:val="002201E1"/>
    <w:rsid w:val="00220314"/>
    <w:rsid w:val="00220674"/>
    <w:rsid w:val="002206AF"/>
    <w:rsid w:val="00220C23"/>
    <w:rsid w:val="00220D11"/>
    <w:rsid w:val="0022186C"/>
    <w:rsid w:val="00221C03"/>
    <w:rsid w:val="00221C33"/>
    <w:rsid w:val="00222C0B"/>
    <w:rsid w:val="002238E9"/>
    <w:rsid w:val="00223D80"/>
    <w:rsid w:val="00223DF0"/>
    <w:rsid w:val="00224889"/>
    <w:rsid w:val="00224B50"/>
    <w:rsid w:val="00224CA5"/>
    <w:rsid w:val="00224E27"/>
    <w:rsid w:val="00224E46"/>
    <w:rsid w:val="00225312"/>
    <w:rsid w:val="00225E3B"/>
    <w:rsid w:val="00226FA6"/>
    <w:rsid w:val="00227491"/>
    <w:rsid w:val="00227648"/>
    <w:rsid w:val="002300A3"/>
    <w:rsid w:val="002318A4"/>
    <w:rsid w:val="00231B25"/>
    <w:rsid w:val="002328E2"/>
    <w:rsid w:val="00232FBA"/>
    <w:rsid w:val="00233869"/>
    <w:rsid w:val="002341C0"/>
    <w:rsid w:val="002341DA"/>
    <w:rsid w:val="00234A26"/>
    <w:rsid w:val="002355A2"/>
    <w:rsid w:val="00235AAE"/>
    <w:rsid w:val="00235D7E"/>
    <w:rsid w:val="0023605C"/>
    <w:rsid w:val="00236635"/>
    <w:rsid w:val="002368B2"/>
    <w:rsid w:val="00236907"/>
    <w:rsid w:val="00236D6D"/>
    <w:rsid w:val="00236EEA"/>
    <w:rsid w:val="00240813"/>
    <w:rsid w:val="00240A9F"/>
    <w:rsid w:val="00240D11"/>
    <w:rsid w:val="00241204"/>
    <w:rsid w:val="0024121B"/>
    <w:rsid w:val="002417CD"/>
    <w:rsid w:val="00241C5D"/>
    <w:rsid w:val="00242758"/>
    <w:rsid w:val="002427BE"/>
    <w:rsid w:val="00243E02"/>
    <w:rsid w:val="00243F2E"/>
    <w:rsid w:val="002448E7"/>
    <w:rsid w:val="00244D92"/>
    <w:rsid w:val="002461D5"/>
    <w:rsid w:val="002503BF"/>
    <w:rsid w:val="0025040D"/>
    <w:rsid w:val="0025045E"/>
    <w:rsid w:val="00250BD8"/>
    <w:rsid w:val="00251ACC"/>
    <w:rsid w:val="002523B3"/>
    <w:rsid w:val="00253AF8"/>
    <w:rsid w:val="00253CAE"/>
    <w:rsid w:val="002543AF"/>
    <w:rsid w:val="002554E0"/>
    <w:rsid w:val="00255685"/>
    <w:rsid w:val="00255B9D"/>
    <w:rsid w:val="00256314"/>
    <w:rsid w:val="00256A09"/>
    <w:rsid w:val="00257379"/>
    <w:rsid w:val="00257AB4"/>
    <w:rsid w:val="00257F09"/>
    <w:rsid w:val="00257F77"/>
    <w:rsid w:val="002602F9"/>
    <w:rsid w:val="0026069E"/>
    <w:rsid w:val="00260E43"/>
    <w:rsid w:val="002613C3"/>
    <w:rsid w:val="00261BB3"/>
    <w:rsid w:val="00261DA5"/>
    <w:rsid w:val="00261E81"/>
    <w:rsid w:val="0026234B"/>
    <w:rsid w:val="00262689"/>
    <w:rsid w:val="0026421F"/>
    <w:rsid w:val="002646C3"/>
    <w:rsid w:val="00264BFF"/>
    <w:rsid w:val="00264CA2"/>
    <w:rsid w:val="00264CAC"/>
    <w:rsid w:val="0026528E"/>
    <w:rsid w:val="0026531E"/>
    <w:rsid w:val="0026627F"/>
    <w:rsid w:val="002662D4"/>
    <w:rsid w:val="002663B0"/>
    <w:rsid w:val="00266549"/>
    <w:rsid w:val="0026686F"/>
    <w:rsid w:val="00266C3A"/>
    <w:rsid w:val="0026703C"/>
    <w:rsid w:val="0026704A"/>
    <w:rsid w:val="00267378"/>
    <w:rsid w:val="002675A7"/>
    <w:rsid w:val="00267729"/>
    <w:rsid w:val="00267D94"/>
    <w:rsid w:val="00267F0B"/>
    <w:rsid w:val="002703E6"/>
    <w:rsid w:val="00270446"/>
    <w:rsid w:val="00270A1B"/>
    <w:rsid w:val="002714AE"/>
    <w:rsid w:val="0027239B"/>
    <w:rsid w:val="00272D3D"/>
    <w:rsid w:val="00273287"/>
    <w:rsid w:val="002734DC"/>
    <w:rsid w:val="002736B8"/>
    <w:rsid w:val="00273F79"/>
    <w:rsid w:val="002742A8"/>
    <w:rsid w:val="0027483A"/>
    <w:rsid w:val="002768AE"/>
    <w:rsid w:val="00276B7F"/>
    <w:rsid w:val="00277066"/>
    <w:rsid w:val="0027712E"/>
    <w:rsid w:val="00280250"/>
    <w:rsid w:val="00280267"/>
    <w:rsid w:val="00280F50"/>
    <w:rsid w:val="00281129"/>
    <w:rsid w:val="0028133D"/>
    <w:rsid w:val="00281731"/>
    <w:rsid w:val="00282A9B"/>
    <w:rsid w:val="00282F1A"/>
    <w:rsid w:val="00282F2D"/>
    <w:rsid w:val="00283100"/>
    <w:rsid w:val="002832B7"/>
    <w:rsid w:val="00284257"/>
    <w:rsid w:val="002850B3"/>
    <w:rsid w:val="002851A4"/>
    <w:rsid w:val="0028592D"/>
    <w:rsid w:val="00285C98"/>
    <w:rsid w:val="00286300"/>
    <w:rsid w:val="00286DE2"/>
    <w:rsid w:val="0028766E"/>
    <w:rsid w:val="002877F8"/>
    <w:rsid w:val="002906C4"/>
    <w:rsid w:val="00290C5C"/>
    <w:rsid w:val="002914D3"/>
    <w:rsid w:val="00291A0D"/>
    <w:rsid w:val="0029226D"/>
    <w:rsid w:val="002924D8"/>
    <w:rsid w:val="002925F7"/>
    <w:rsid w:val="00292D4C"/>
    <w:rsid w:val="0029307B"/>
    <w:rsid w:val="00293888"/>
    <w:rsid w:val="002939AF"/>
    <w:rsid w:val="00293CC1"/>
    <w:rsid w:val="00294256"/>
    <w:rsid w:val="00294489"/>
    <w:rsid w:val="002945C9"/>
    <w:rsid w:val="00294978"/>
    <w:rsid w:val="00294C03"/>
    <w:rsid w:val="00294E5D"/>
    <w:rsid w:val="00294FCA"/>
    <w:rsid w:val="002954EE"/>
    <w:rsid w:val="00295FCD"/>
    <w:rsid w:val="00296487"/>
    <w:rsid w:val="0029697B"/>
    <w:rsid w:val="002972CB"/>
    <w:rsid w:val="00297447"/>
    <w:rsid w:val="00297CFC"/>
    <w:rsid w:val="002A094D"/>
    <w:rsid w:val="002A0DF2"/>
    <w:rsid w:val="002A0EB5"/>
    <w:rsid w:val="002A12AE"/>
    <w:rsid w:val="002A15DA"/>
    <w:rsid w:val="002A2144"/>
    <w:rsid w:val="002A2293"/>
    <w:rsid w:val="002A232A"/>
    <w:rsid w:val="002A23AE"/>
    <w:rsid w:val="002A24D2"/>
    <w:rsid w:val="002A2D8F"/>
    <w:rsid w:val="002A2ECF"/>
    <w:rsid w:val="002A35E2"/>
    <w:rsid w:val="002A4185"/>
    <w:rsid w:val="002A57F7"/>
    <w:rsid w:val="002A60C3"/>
    <w:rsid w:val="002A6B30"/>
    <w:rsid w:val="002A754C"/>
    <w:rsid w:val="002A7B41"/>
    <w:rsid w:val="002B1A75"/>
    <w:rsid w:val="002B1F90"/>
    <w:rsid w:val="002B3877"/>
    <w:rsid w:val="002B4686"/>
    <w:rsid w:val="002B4B91"/>
    <w:rsid w:val="002B4D3B"/>
    <w:rsid w:val="002B61CF"/>
    <w:rsid w:val="002B6B89"/>
    <w:rsid w:val="002B6C61"/>
    <w:rsid w:val="002B6E46"/>
    <w:rsid w:val="002B71A4"/>
    <w:rsid w:val="002B7920"/>
    <w:rsid w:val="002B7E8A"/>
    <w:rsid w:val="002B7EF4"/>
    <w:rsid w:val="002C04D7"/>
    <w:rsid w:val="002C1300"/>
    <w:rsid w:val="002C1933"/>
    <w:rsid w:val="002C2103"/>
    <w:rsid w:val="002C23E9"/>
    <w:rsid w:val="002C2538"/>
    <w:rsid w:val="002C3666"/>
    <w:rsid w:val="002C39B5"/>
    <w:rsid w:val="002C3C90"/>
    <w:rsid w:val="002C3E8A"/>
    <w:rsid w:val="002C4098"/>
    <w:rsid w:val="002C48C7"/>
    <w:rsid w:val="002C5034"/>
    <w:rsid w:val="002C53BC"/>
    <w:rsid w:val="002C5C49"/>
    <w:rsid w:val="002C61FB"/>
    <w:rsid w:val="002C6DBC"/>
    <w:rsid w:val="002C79A8"/>
    <w:rsid w:val="002C7C21"/>
    <w:rsid w:val="002C7F74"/>
    <w:rsid w:val="002D0398"/>
    <w:rsid w:val="002D0639"/>
    <w:rsid w:val="002D077C"/>
    <w:rsid w:val="002D0E42"/>
    <w:rsid w:val="002D1769"/>
    <w:rsid w:val="002D1A88"/>
    <w:rsid w:val="002D2360"/>
    <w:rsid w:val="002D2960"/>
    <w:rsid w:val="002D29AA"/>
    <w:rsid w:val="002D3073"/>
    <w:rsid w:val="002D3611"/>
    <w:rsid w:val="002D368D"/>
    <w:rsid w:val="002D4140"/>
    <w:rsid w:val="002D5862"/>
    <w:rsid w:val="002D5D4E"/>
    <w:rsid w:val="002D60F6"/>
    <w:rsid w:val="002D61A0"/>
    <w:rsid w:val="002D6707"/>
    <w:rsid w:val="002D7289"/>
    <w:rsid w:val="002D79FE"/>
    <w:rsid w:val="002D7BDC"/>
    <w:rsid w:val="002D7D94"/>
    <w:rsid w:val="002E1065"/>
    <w:rsid w:val="002E13BF"/>
    <w:rsid w:val="002E160E"/>
    <w:rsid w:val="002E2AA9"/>
    <w:rsid w:val="002E2BD0"/>
    <w:rsid w:val="002E3C8A"/>
    <w:rsid w:val="002E4B11"/>
    <w:rsid w:val="002E4F85"/>
    <w:rsid w:val="002E5688"/>
    <w:rsid w:val="002E5733"/>
    <w:rsid w:val="002E5742"/>
    <w:rsid w:val="002E5D2F"/>
    <w:rsid w:val="002E6912"/>
    <w:rsid w:val="002E732B"/>
    <w:rsid w:val="002E77AE"/>
    <w:rsid w:val="002E7B6E"/>
    <w:rsid w:val="002E7DE1"/>
    <w:rsid w:val="002E7EC2"/>
    <w:rsid w:val="002F0058"/>
    <w:rsid w:val="002F0309"/>
    <w:rsid w:val="002F087F"/>
    <w:rsid w:val="002F0D19"/>
    <w:rsid w:val="002F0EA0"/>
    <w:rsid w:val="002F1497"/>
    <w:rsid w:val="002F1DBF"/>
    <w:rsid w:val="002F1DE8"/>
    <w:rsid w:val="002F2F56"/>
    <w:rsid w:val="002F3E48"/>
    <w:rsid w:val="002F4BAD"/>
    <w:rsid w:val="002F4DE1"/>
    <w:rsid w:val="002F4FD5"/>
    <w:rsid w:val="002F5473"/>
    <w:rsid w:val="002F6A5B"/>
    <w:rsid w:val="002F6D46"/>
    <w:rsid w:val="002F7823"/>
    <w:rsid w:val="002F784E"/>
    <w:rsid w:val="00300724"/>
    <w:rsid w:val="00300DBB"/>
    <w:rsid w:val="00301041"/>
    <w:rsid w:val="00301F60"/>
    <w:rsid w:val="00302605"/>
    <w:rsid w:val="0030261F"/>
    <w:rsid w:val="00302A6D"/>
    <w:rsid w:val="0030303C"/>
    <w:rsid w:val="0030331A"/>
    <w:rsid w:val="00303566"/>
    <w:rsid w:val="00303E0A"/>
    <w:rsid w:val="00304233"/>
    <w:rsid w:val="003043BA"/>
    <w:rsid w:val="0030451A"/>
    <w:rsid w:val="003049AA"/>
    <w:rsid w:val="00304C2D"/>
    <w:rsid w:val="00304EBA"/>
    <w:rsid w:val="003054BA"/>
    <w:rsid w:val="00305805"/>
    <w:rsid w:val="00306051"/>
    <w:rsid w:val="0030673B"/>
    <w:rsid w:val="003077CB"/>
    <w:rsid w:val="00307923"/>
    <w:rsid w:val="00310AD3"/>
    <w:rsid w:val="00310FE4"/>
    <w:rsid w:val="0031123C"/>
    <w:rsid w:val="0031198C"/>
    <w:rsid w:val="00311F13"/>
    <w:rsid w:val="00312156"/>
    <w:rsid w:val="00312E06"/>
    <w:rsid w:val="00313568"/>
    <w:rsid w:val="00313C4A"/>
    <w:rsid w:val="003143F9"/>
    <w:rsid w:val="00314BFE"/>
    <w:rsid w:val="00314E5A"/>
    <w:rsid w:val="00314E8B"/>
    <w:rsid w:val="00314FD5"/>
    <w:rsid w:val="00315194"/>
    <w:rsid w:val="00315B83"/>
    <w:rsid w:val="00316932"/>
    <w:rsid w:val="00316BF4"/>
    <w:rsid w:val="0031710E"/>
    <w:rsid w:val="00317FEE"/>
    <w:rsid w:val="0032119C"/>
    <w:rsid w:val="003212D6"/>
    <w:rsid w:val="003213FE"/>
    <w:rsid w:val="00321690"/>
    <w:rsid w:val="00321707"/>
    <w:rsid w:val="00323347"/>
    <w:rsid w:val="003233DE"/>
    <w:rsid w:val="00323541"/>
    <w:rsid w:val="00323783"/>
    <w:rsid w:val="00323821"/>
    <w:rsid w:val="00324738"/>
    <w:rsid w:val="00325863"/>
    <w:rsid w:val="00326205"/>
    <w:rsid w:val="003263AB"/>
    <w:rsid w:val="00326D3B"/>
    <w:rsid w:val="00327A8C"/>
    <w:rsid w:val="00327B43"/>
    <w:rsid w:val="00327B9E"/>
    <w:rsid w:val="00330401"/>
    <w:rsid w:val="00330BB7"/>
    <w:rsid w:val="00331871"/>
    <w:rsid w:val="00331C87"/>
    <w:rsid w:val="00331F7C"/>
    <w:rsid w:val="00332118"/>
    <w:rsid w:val="00332779"/>
    <w:rsid w:val="00333DC4"/>
    <w:rsid w:val="003341A1"/>
    <w:rsid w:val="003349F1"/>
    <w:rsid w:val="00334B0D"/>
    <w:rsid w:val="003359E1"/>
    <w:rsid w:val="00335F1B"/>
    <w:rsid w:val="00335F70"/>
    <w:rsid w:val="003360A2"/>
    <w:rsid w:val="003372F2"/>
    <w:rsid w:val="00337BCD"/>
    <w:rsid w:val="0034004E"/>
    <w:rsid w:val="003405B4"/>
    <w:rsid w:val="00340BC0"/>
    <w:rsid w:val="0034130D"/>
    <w:rsid w:val="003414EF"/>
    <w:rsid w:val="00341F33"/>
    <w:rsid w:val="00342440"/>
    <w:rsid w:val="0034268F"/>
    <w:rsid w:val="003427FB"/>
    <w:rsid w:val="00342E49"/>
    <w:rsid w:val="003433BA"/>
    <w:rsid w:val="0034405C"/>
    <w:rsid w:val="0034506D"/>
    <w:rsid w:val="00345ECB"/>
    <w:rsid w:val="00345F71"/>
    <w:rsid w:val="00346837"/>
    <w:rsid w:val="00346D96"/>
    <w:rsid w:val="00347770"/>
    <w:rsid w:val="00347E94"/>
    <w:rsid w:val="00350BD1"/>
    <w:rsid w:val="00351130"/>
    <w:rsid w:val="003512C9"/>
    <w:rsid w:val="00351761"/>
    <w:rsid w:val="00351F99"/>
    <w:rsid w:val="0035263A"/>
    <w:rsid w:val="003531CE"/>
    <w:rsid w:val="00353410"/>
    <w:rsid w:val="00353A72"/>
    <w:rsid w:val="00353E6F"/>
    <w:rsid w:val="00354153"/>
    <w:rsid w:val="00354689"/>
    <w:rsid w:val="00354719"/>
    <w:rsid w:val="003550F5"/>
    <w:rsid w:val="0035547A"/>
    <w:rsid w:val="0035572C"/>
    <w:rsid w:val="00355C16"/>
    <w:rsid w:val="00356355"/>
    <w:rsid w:val="0035681D"/>
    <w:rsid w:val="0035795D"/>
    <w:rsid w:val="00357C53"/>
    <w:rsid w:val="00360279"/>
    <w:rsid w:val="00360297"/>
    <w:rsid w:val="003603E6"/>
    <w:rsid w:val="003606B5"/>
    <w:rsid w:val="003610F8"/>
    <w:rsid w:val="0036156F"/>
    <w:rsid w:val="00362422"/>
    <w:rsid w:val="00362737"/>
    <w:rsid w:val="00362A6D"/>
    <w:rsid w:val="00362BAC"/>
    <w:rsid w:val="00362FE6"/>
    <w:rsid w:val="0036403F"/>
    <w:rsid w:val="003651D1"/>
    <w:rsid w:val="00365783"/>
    <w:rsid w:val="00365E0C"/>
    <w:rsid w:val="003662AD"/>
    <w:rsid w:val="0036659F"/>
    <w:rsid w:val="0036670D"/>
    <w:rsid w:val="003668DF"/>
    <w:rsid w:val="003676AF"/>
    <w:rsid w:val="00367D9D"/>
    <w:rsid w:val="0037001C"/>
    <w:rsid w:val="00370059"/>
    <w:rsid w:val="0037016D"/>
    <w:rsid w:val="00370BF0"/>
    <w:rsid w:val="003733B4"/>
    <w:rsid w:val="00373429"/>
    <w:rsid w:val="0037365B"/>
    <w:rsid w:val="00373FA1"/>
    <w:rsid w:val="00374080"/>
    <w:rsid w:val="00374F21"/>
    <w:rsid w:val="003755BB"/>
    <w:rsid w:val="0037599F"/>
    <w:rsid w:val="00376629"/>
    <w:rsid w:val="003767AA"/>
    <w:rsid w:val="00376B0F"/>
    <w:rsid w:val="0037746B"/>
    <w:rsid w:val="00377866"/>
    <w:rsid w:val="00377E5F"/>
    <w:rsid w:val="00380560"/>
    <w:rsid w:val="003809D2"/>
    <w:rsid w:val="00380A4C"/>
    <w:rsid w:val="00380B75"/>
    <w:rsid w:val="00381322"/>
    <w:rsid w:val="00381BC0"/>
    <w:rsid w:val="00381FAE"/>
    <w:rsid w:val="0038215C"/>
    <w:rsid w:val="003826F0"/>
    <w:rsid w:val="00383EFF"/>
    <w:rsid w:val="00384422"/>
    <w:rsid w:val="00384545"/>
    <w:rsid w:val="00384AA8"/>
    <w:rsid w:val="00384C7A"/>
    <w:rsid w:val="003851B8"/>
    <w:rsid w:val="0038529B"/>
    <w:rsid w:val="00385899"/>
    <w:rsid w:val="00385C26"/>
    <w:rsid w:val="00385EB2"/>
    <w:rsid w:val="003862DA"/>
    <w:rsid w:val="00386E45"/>
    <w:rsid w:val="003873F0"/>
    <w:rsid w:val="003906FA"/>
    <w:rsid w:val="00390FCA"/>
    <w:rsid w:val="00391539"/>
    <w:rsid w:val="003916C5"/>
    <w:rsid w:val="00392B22"/>
    <w:rsid w:val="00394910"/>
    <w:rsid w:val="00394CA5"/>
    <w:rsid w:val="003953F1"/>
    <w:rsid w:val="003959F5"/>
    <w:rsid w:val="00395F9D"/>
    <w:rsid w:val="0039686B"/>
    <w:rsid w:val="00396952"/>
    <w:rsid w:val="0039784B"/>
    <w:rsid w:val="00397BEA"/>
    <w:rsid w:val="00397D0F"/>
    <w:rsid w:val="003A0F43"/>
    <w:rsid w:val="003A1CA1"/>
    <w:rsid w:val="003A1FF0"/>
    <w:rsid w:val="003A2712"/>
    <w:rsid w:val="003A2FDA"/>
    <w:rsid w:val="003A34D9"/>
    <w:rsid w:val="003A362C"/>
    <w:rsid w:val="003A467A"/>
    <w:rsid w:val="003A5941"/>
    <w:rsid w:val="003A6326"/>
    <w:rsid w:val="003A6DDC"/>
    <w:rsid w:val="003A6E31"/>
    <w:rsid w:val="003A7F62"/>
    <w:rsid w:val="003A7F6C"/>
    <w:rsid w:val="003B076A"/>
    <w:rsid w:val="003B08B6"/>
    <w:rsid w:val="003B19C5"/>
    <w:rsid w:val="003B1AF1"/>
    <w:rsid w:val="003B1B41"/>
    <w:rsid w:val="003B237C"/>
    <w:rsid w:val="003B2406"/>
    <w:rsid w:val="003B24EF"/>
    <w:rsid w:val="003B25DC"/>
    <w:rsid w:val="003B2799"/>
    <w:rsid w:val="003B2903"/>
    <w:rsid w:val="003B2AA0"/>
    <w:rsid w:val="003B4047"/>
    <w:rsid w:val="003B4B84"/>
    <w:rsid w:val="003B537F"/>
    <w:rsid w:val="003B5830"/>
    <w:rsid w:val="003B7366"/>
    <w:rsid w:val="003B745C"/>
    <w:rsid w:val="003B7DBC"/>
    <w:rsid w:val="003C022B"/>
    <w:rsid w:val="003C032F"/>
    <w:rsid w:val="003C05DB"/>
    <w:rsid w:val="003C0BF7"/>
    <w:rsid w:val="003C0D7B"/>
    <w:rsid w:val="003C1C1D"/>
    <w:rsid w:val="003C1CCB"/>
    <w:rsid w:val="003C2659"/>
    <w:rsid w:val="003C2843"/>
    <w:rsid w:val="003C2DF8"/>
    <w:rsid w:val="003C2F41"/>
    <w:rsid w:val="003C331C"/>
    <w:rsid w:val="003C3449"/>
    <w:rsid w:val="003C34BD"/>
    <w:rsid w:val="003C383F"/>
    <w:rsid w:val="003C3D8D"/>
    <w:rsid w:val="003C4E0C"/>
    <w:rsid w:val="003C4ED7"/>
    <w:rsid w:val="003C5FC2"/>
    <w:rsid w:val="003C6307"/>
    <w:rsid w:val="003C6702"/>
    <w:rsid w:val="003C67CF"/>
    <w:rsid w:val="003C79DF"/>
    <w:rsid w:val="003C7C6A"/>
    <w:rsid w:val="003C7ECF"/>
    <w:rsid w:val="003D0359"/>
    <w:rsid w:val="003D1479"/>
    <w:rsid w:val="003D150A"/>
    <w:rsid w:val="003D270B"/>
    <w:rsid w:val="003D30BA"/>
    <w:rsid w:val="003D376E"/>
    <w:rsid w:val="003D395A"/>
    <w:rsid w:val="003D4592"/>
    <w:rsid w:val="003D489C"/>
    <w:rsid w:val="003D4BEC"/>
    <w:rsid w:val="003D52CD"/>
    <w:rsid w:val="003D5430"/>
    <w:rsid w:val="003D6158"/>
    <w:rsid w:val="003D6643"/>
    <w:rsid w:val="003D6A91"/>
    <w:rsid w:val="003D7A91"/>
    <w:rsid w:val="003E066A"/>
    <w:rsid w:val="003E0E40"/>
    <w:rsid w:val="003E0ED2"/>
    <w:rsid w:val="003E0F9A"/>
    <w:rsid w:val="003E156D"/>
    <w:rsid w:val="003E16AF"/>
    <w:rsid w:val="003E186D"/>
    <w:rsid w:val="003E1BE3"/>
    <w:rsid w:val="003E1D40"/>
    <w:rsid w:val="003E2ACE"/>
    <w:rsid w:val="003E2F34"/>
    <w:rsid w:val="003E4126"/>
    <w:rsid w:val="003E48A7"/>
    <w:rsid w:val="003E48C1"/>
    <w:rsid w:val="003E4A52"/>
    <w:rsid w:val="003E52A5"/>
    <w:rsid w:val="003E5300"/>
    <w:rsid w:val="003E58B1"/>
    <w:rsid w:val="003E674C"/>
    <w:rsid w:val="003E6A03"/>
    <w:rsid w:val="003E6A46"/>
    <w:rsid w:val="003E7028"/>
    <w:rsid w:val="003E7461"/>
    <w:rsid w:val="003E74C0"/>
    <w:rsid w:val="003E75B6"/>
    <w:rsid w:val="003E7B9B"/>
    <w:rsid w:val="003E7CAC"/>
    <w:rsid w:val="003F0514"/>
    <w:rsid w:val="003F1798"/>
    <w:rsid w:val="003F19FB"/>
    <w:rsid w:val="003F2307"/>
    <w:rsid w:val="003F2E89"/>
    <w:rsid w:val="003F3194"/>
    <w:rsid w:val="003F36D2"/>
    <w:rsid w:val="003F3E84"/>
    <w:rsid w:val="003F489F"/>
    <w:rsid w:val="003F57C3"/>
    <w:rsid w:val="003F613F"/>
    <w:rsid w:val="003F6603"/>
    <w:rsid w:val="003F7529"/>
    <w:rsid w:val="003F7A2B"/>
    <w:rsid w:val="003F7FE3"/>
    <w:rsid w:val="0040028E"/>
    <w:rsid w:val="004004F6"/>
    <w:rsid w:val="004006FE"/>
    <w:rsid w:val="00400D86"/>
    <w:rsid w:val="00400EB5"/>
    <w:rsid w:val="00401223"/>
    <w:rsid w:val="004013D7"/>
    <w:rsid w:val="004015EB"/>
    <w:rsid w:val="00401BA2"/>
    <w:rsid w:val="00401C46"/>
    <w:rsid w:val="00402841"/>
    <w:rsid w:val="0040422E"/>
    <w:rsid w:val="004046AF"/>
    <w:rsid w:val="004068BD"/>
    <w:rsid w:val="00406CDE"/>
    <w:rsid w:val="00406FCF"/>
    <w:rsid w:val="00407110"/>
    <w:rsid w:val="00407513"/>
    <w:rsid w:val="00407554"/>
    <w:rsid w:val="0040765E"/>
    <w:rsid w:val="00407CC2"/>
    <w:rsid w:val="00407CD0"/>
    <w:rsid w:val="00407ED0"/>
    <w:rsid w:val="00407F39"/>
    <w:rsid w:val="00410953"/>
    <w:rsid w:val="00410A40"/>
    <w:rsid w:val="00411473"/>
    <w:rsid w:val="004114F2"/>
    <w:rsid w:val="00411E61"/>
    <w:rsid w:val="004121BD"/>
    <w:rsid w:val="00412C77"/>
    <w:rsid w:val="00412D38"/>
    <w:rsid w:val="0041353F"/>
    <w:rsid w:val="00413622"/>
    <w:rsid w:val="004138BF"/>
    <w:rsid w:val="00413E9F"/>
    <w:rsid w:val="004140F4"/>
    <w:rsid w:val="004146B7"/>
    <w:rsid w:val="00414BA6"/>
    <w:rsid w:val="00415484"/>
    <w:rsid w:val="00415786"/>
    <w:rsid w:val="00416F27"/>
    <w:rsid w:val="00417DD1"/>
    <w:rsid w:val="004201FA"/>
    <w:rsid w:val="0042027B"/>
    <w:rsid w:val="004202CB"/>
    <w:rsid w:val="00420E7B"/>
    <w:rsid w:val="00420EF0"/>
    <w:rsid w:val="00420F63"/>
    <w:rsid w:val="004213EA"/>
    <w:rsid w:val="00421A85"/>
    <w:rsid w:val="00421F9B"/>
    <w:rsid w:val="00422264"/>
    <w:rsid w:val="004227CF"/>
    <w:rsid w:val="004228B9"/>
    <w:rsid w:val="004228D1"/>
    <w:rsid w:val="00423CB7"/>
    <w:rsid w:val="0042426A"/>
    <w:rsid w:val="00424893"/>
    <w:rsid w:val="00424E04"/>
    <w:rsid w:val="00424FFA"/>
    <w:rsid w:val="0042581E"/>
    <w:rsid w:val="00425A40"/>
    <w:rsid w:val="00425BAC"/>
    <w:rsid w:val="00426C92"/>
    <w:rsid w:val="00427309"/>
    <w:rsid w:val="0042784D"/>
    <w:rsid w:val="0043059E"/>
    <w:rsid w:val="00430909"/>
    <w:rsid w:val="00430C18"/>
    <w:rsid w:val="00430CF7"/>
    <w:rsid w:val="00431036"/>
    <w:rsid w:val="00431504"/>
    <w:rsid w:val="0043178D"/>
    <w:rsid w:val="00431DC8"/>
    <w:rsid w:val="004326EB"/>
    <w:rsid w:val="0043298A"/>
    <w:rsid w:val="00433C70"/>
    <w:rsid w:val="00433F9B"/>
    <w:rsid w:val="0043414B"/>
    <w:rsid w:val="00435659"/>
    <w:rsid w:val="004359C0"/>
    <w:rsid w:val="00435CA6"/>
    <w:rsid w:val="004368A8"/>
    <w:rsid w:val="00436AAC"/>
    <w:rsid w:val="004372AE"/>
    <w:rsid w:val="00437879"/>
    <w:rsid w:val="00437C1A"/>
    <w:rsid w:val="00437E56"/>
    <w:rsid w:val="00440131"/>
    <w:rsid w:val="00440260"/>
    <w:rsid w:val="00440EB2"/>
    <w:rsid w:val="00440F5B"/>
    <w:rsid w:val="00441523"/>
    <w:rsid w:val="00441689"/>
    <w:rsid w:val="00441AC9"/>
    <w:rsid w:val="00442404"/>
    <w:rsid w:val="00445D90"/>
    <w:rsid w:val="0044626B"/>
    <w:rsid w:val="004464E2"/>
    <w:rsid w:val="00446C63"/>
    <w:rsid w:val="00447527"/>
    <w:rsid w:val="004478E8"/>
    <w:rsid w:val="00447D47"/>
    <w:rsid w:val="0045010A"/>
    <w:rsid w:val="004503C2"/>
    <w:rsid w:val="00450484"/>
    <w:rsid w:val="00450E00"/>
    <w:rsid w:val="00451A7F"/>
    <w:rsid w:val="00451E59"/>
    <w:rsid w:val="00452240"/>
    <w:rsid w:val="004528AF"/>
    <w:rsid w:val="00452AC6"/>
    <w:rsid w:val="00453131"/>
    <w:rsid w:val="00453B94"/>
    <w:rsid w:val="0045437B"/>
    <w:rsid w:val="0045477E"/>
    <w:rsid w:val="00455181"/>
    <w:rsid w:val="00455677"/>
    <w:rsid w:val="00455701"/>
    <w:rsid w:val="00455BC8"/>
    <w:rsid w:val="00456390"/>
    <w:rsid w:val="004568ED"/>
    <w:rsid w:val="00456995"/>
    <w:rsid w:val="0045741A"/>
    <w:rsid w:val="004577A8"/>
    <w:rsid w:val="004612E2"/>
    <w:rsid w:val="00462348"/>
    <w:rsid w:val="00462DE1"/>
    <w:rsid w:val="00463C9D"/>
    <w:rsid w:val="00464069"/>
    <w:rsid w:val="0046489A"/>
    <w:rsid w:val="00464CA1"/>
    <w:rsid w:val="00465495"/>
    <w:rsid w:val="0046584A"/>
    <w:rsid w:val="00465A11"/>
    <w:rsid w:val="00467D63"/>
    <w:rsid w:val="00474217"/>
    <w:rsid w:val="00474C12"/>
    <w:rsid w:val="004753A0"/>
    <w:rsid w:val="00475AB2"/>
    <w:rsid w:val="00476E3D"/>
    <w:rsid w:val="004771E3"/>
    <w:rsid w:val="00477436"/>
    <w:rsid w:val="00477B13"/>
    <w:rsid w:val="00477EF3"/>
    <w:rsid w:val="004803E1"/>
    <w:rsid w:val="004804EF"/>
    <w:rsid w:val="004819EE"/>
    <w:rsid w:val="00481DC7"/>
    <w:rsid w:val="0048280D"/>
    <w:rsid w:val="00482B00"/>
    <w:rsid w:val="0048361B"/>
    <w:rsid w:val="00483756"/>
    <w:rsid w:val="00483AAA"/>
    <w:rsid w:val="004843C0"/>
    <w:rsid w:val="00485CCA"/>
    <w:rsid w:val="00486A1B"/>
    <w:rsid w:val="00486E7C"/>
    <w:rsid w:val="004870EC"/>
    <w:rsid w:val="00487442"/>
    <w:rsid w:val="00487938"/>
    <w:rsid w:val="00490029"/>
    <w:rsid w:val="00490A3B"/>
    <w:rsid w:val="00492295"/>
    <w:rsid w:val="00492672"/>
    <w:rsid w:val="004926CF"/>
    <w:rsid w:val="00492737"/>
    <w:rsid w:val="00492A62"/>
    <w:rsid w:val="0049312E"/>
    <w:rsid w:val="00493991"/>
    <w:rsid w:val="00493C0B"/>
    <w:rsid w:val="00493FE4"/>
    <w:rsid w:val="004942B8"/>
    <w:rsid w:val="00494563"/>
    <w:rsid w:val="00495450"/>
    <w:rsid w:val="00495EB7"/>
    <w:rsid w:val="00495EE5"/>
    <w:rsid w:val="00496358"/>
    <w:rsid w:val="00496447"/>
    <w:rsid w:val="004972AA"/>
    <w:rsid w:val="00497790"/>
    <w:rsid w:val="00497AD8"/>
    <w:rsid w:val="00497C11"/>
    <w:rsid w:val="004A09F2"/>
    <w:rsid w:val="004A0BB0"/>
    <w:rsid w:val="004A0C46"/>
    <w:rsid w:val="004A1171"/>
    <w:rsid w:val="004A1ED0"/>
    <w:rsid w:val="004A2032"/>
    <w:rsid w:val="004A2C2A"/>
    <w:rsid w:val="004A323A"/>
    <w:rsid w:val="004A3426"/>
    <w:rsid w:val="004A3826"/>
    <w:rsid w:val="004A486B"/>
    <w:rsid w:val="004A4C24"/>
    <w:rsid w:val="004A5784"/>
    <w:rsid w:val="004A58C2"/>
    <w:rsid w:val="004A592B"/>
    <w:rsid w:val="004A62E1"/>
    <w:rsid w:val="004A6A98"/>
    <w:rsid w:val="004A74F2"/>
    <w:rsid w:val="004A758A"/>
    <w:rsid w:val="004A75BB"/>
    <w:rsid w:val="004B019A"/>
    <w:rsid w:val="004B0382"/>
    <w:rsid w:val="004B1428"/>
    <w:rsid w:val="004B1BEC"/>
    <w:rsid w:val="004B1C02"/>
    <w:rsid w:val="004B1CB4"/>
    <w:rsid w:val="004B29C0"/>
    <w:rsid w:val="004B2E01"/>
    <w:rsid w:val="004B30A9"/>
    <w:rsid w:val="004B3218"/>
    <w:rsid w:val="004B3315"/>
    <w:rsid w:val="004B3663"/>
    <w:rsid w:val="004B4511"/>
    <w:rsid w:val="004B4673"/>
    <w:rsid w:val="004B4C6D"/>
    <w:rsid w:val="004B5ABB"/>
    <w:rsid w:val="004B6062"/>
    <w:rsid w:val="004B60DD"/>
    <w:rsid w:val="004B617F"/>
    <w:rsid w:val="004B6396"/>
    <w:rsid w:val="004B696D"/>
    <w:rsid w:val="004B6A85"/>
    <w:rsid w:val="004B6C09"/>
    <w:rsid w:val="004B6C39"/>
    <w:rsid w:val="004B6E8F"/>
    <w:rsid w:val="004B78FF"/>
    <w:rsid w:val="004B7ADA"/>
    <w:rsid w:val="004C000E"/>
    <w:rsid w:val="004C0114"/>
    <w:rsid w:val="004C0910"/>
    <w:rsid w:val="004C0E49"/>
    <w:rsid w:val="004C1326"/>
    <w:rsid w:val="004C20E1"/>
    <w:rsid w:val="004C219A"/>
    <w:rsid w:val="004C2C04"/>
    <w:rsid w:val="004C2DDE"/>
    <w:rsid w:val="004C467D"/>
    <w:rsid w:val="004C5034"/>
    <w:rsid w:val="004C52DE"/>
    <w:rsid w:val="004C58E7"/>
    <w:rsid w:val="004C5AC4"/>
    <w:rsid w:val="004C5C7E"/>
    <w:rsid w:val="004C6B1B"/>
    <w:rsid w:val="004C6D79"/>
    <w:rsid w:val="004C780B"/>
    <w:rsid w:val="004C78F1"/>
    <w:rsid w:val="004C7EB9"/>
    <w:rsid w:val="004D0CCC"/>
    <w:rsid w:val="004D0DF6"/>
    <w:rsid w:val="004D113B"/>
    <w:rsid w:val="004D11C2"/>
    <w:rsid w:val="004D18B7"/>
    <w:rsid w:val="004D18C1"/>
    <w:rsid w:val="004D318C"/>
    <w:rsid w:val="004D3F23"/>
    <w:rsid w:val="004D41ED"/>
    <w:rsid w:val="004D4464"/>
    <w:rsid w:val="004D463E"/>
    <w:rsid w:val="004D4B5A"/>
    <w:rsid w:val="004D52FA"/>
    <w:rsid w:val="004D534B"/>
    <w:rsid w:val="004D57AE"/>
    <w:rsid w:val="004D5A8B"/>
    <w:rsid w:val="004D5DD1"/>
    <w:rsid w:val="004D630E"/>
    <w:rsid w:val="004D6E70"/>
    <w:rsid w:val="004D7123"/>
    <w:rsid w:val="004D7C6F"/>
    <w:rsid w:val="004E14F9"/>
    <w:rsid w:val="004E221C"/>
    <w:rsid w:val="004E2260"/>
    <w:rsid w:val="004E2914"/>
    <w:rsid w:val="004E2A29"/>
    <w:rsid w:val="004E302F"/>
    <w:rsid w:val="004E3A2A"/>
    <w:rsid w:val="004E3D86"/>
    <w:rsid w:val="004E403A"/>
    <w:rsid w:val="004E44E8"/>
    <w:rsid w:val="004E4CFC"/>
    <w:rsid w:val="004E6081"/>
    <w:rsid w:val="004E6E48"/>
    <w:rsid w:val="004E72DF"/>
    <w:rsid w:val="004E7945"/>
    <w:rsid w:val="004E7961"/>
    <w:rsid w:val="004F040E"/>
    <w:rsid w:val="004F0A79"/>
    <w:rsid w:val="004F0C95"/>
    <w:rsid w:val="004F0FCB"/>
    <w:rsid w:val="004F14C0"/>
    <w:rsid w:val="004F1647"/>
    <w:rsid w:val="004F17D5"/>
    <w:rsid w:val="004F190C"/>
    <w:rsid w:val="004F222A"/>
    <w:rsid w:val="004F26BA"/>
    <w:rsid w:val="004F2CFB"/>
    <w:rsid w:val="004F422F"/>
    <w:rsid w:val="004F4AFD"/>
    <w:rsid w:val="004F582A"/>
    <w:rsid w:val="004F5A70"/>
    <w:rsid w:val="004F5B5E"/>
    <w:rsid w:val="004F5E2E"/>
    <w:rsid w:val="004F6807"/>
    <w:rsid w:val="004F6CE8"/>
    <w:rsid w:val="004F77FF"/>
    <w:rsid w:val="004F7952"/>
    <w:rsid w:val="004F7D32"/>
    <w:rsid w:val="0050049F"/>
    <w:rsid w:val="00500781"/>
    <w:rsid w:val="0050098E"/>
    <w:rsid w:val="00500BC3"/>
    <w:rsid w:val="00500D49"/>
    <w:rsid w:val="00500FEA"/>
    <w:rsid w:val="005010D9"/>
    <w:rsid w:val="00501E73"/>
    <w:rsid w:val="00501F58"/>
    <w:rsid w:val="00502072"/>
    <w:rsid w:val="00502B23"/>
    <w:rsid w:val="00502B41"/>
    <w:rsid w:val="00503075"/>
    <w:rsid w:val="00503D74"/>
    <w:rsid w:val="0050424B"/>
    <w:rsid w:val="0050466F"/>
    <w:rsid w:val="005046B8"/>
    <w:rsid w:val="005048FC"/>
    <w:rsid w:val="00504A17"/>
    <w:rsid w:val="00504B5B"/>
    <w:rsid w:val="005062E3"/>
    <w:rsid w:val="00506D4D"/>
    <w:rsid w:val="00507A54"/>
    <w:rsid w:val="00507B36"/>
    <w:rsid w:val="00510122"/>
    <w:rsid w:val="005109A7"/>
    <w:rsid w:val="00511876"/>
    <w:rsid w:val="00511A89"/>
    <w:rsid w:val="00512030"/>
    <w:rsid w:val="005121E4"/>
    <w:rsid w:val="005122FD"/>
    <w:rsid w:val="0051288D"/>
    <w:rsid w:val="00512BF6"/>
    <w:rsid w:val="00512DCE"/>
    <w:rsid w:val="00513AC0"/>
    <w:rsid w:val="00513D95"/>
    <w:rsid w:val="00513E29"/>
    <w:rsid w:val="0051459C"/>
    <w:rsid w:val="00514644"/>
    <w:rsid w:val="00514FD4"/>
    <w:rsid w:val="00515D7A"/>
    <w:rsid w:val="005162A8"/>
    <w:rsid w:val="0051686A"/>
    <w:rsid w:val="00517177"/>
    <w:rsid w:val="00520160"/>
    <w:rsid w:val="00520219"/>
    <w:rsid w:val="00520385"/>
    <w:rsid w:val="00521A67"/>
    <w:rsid w:val="00521E50"/>
    <w:rsid w:val="0052273E"/>
    <w:rsid w:val="005229A8"/>
    <w:rsid w:val="005229B7"/>
    <w:rsid w:val="00523000"/>
    <w:rsid w:val="00523011"/>
    <w:rsid w:val="00523427"/>
    <w:rsid w:val="0052343C"/>
    <w:rsid w:val="00523DA8"/>
    <w:rsid w:val="005246AB"/>
    <w:rsid w:val="00524D2D"/>
    <w:rsid w:val="00524E90"/>
    <w:rsid w:val="00525176"/>
    <w:rsid w:val="005252D3"/>
    <w:rsid w:val="005252D5"/>
    <w:rsid w:val="00525E2C"/>
    <w:rsid w:val="00526041"/>
    <w:rsid w:val="005267A9"/>
    <w:rsid w:val="00526DD7"/>
    <w:rsid w:val="00527150"/>
    <w:rsid w:val="00527869"/>
    <w:rsid w:val="00530016"/>
    <w:rsid w:val="005303F8"/>
    <w:rsid w:val="00530C6F"/>
    <w:rsid w:val="005315F8"/>
    <w:rsid w:val="005318B2"/>
    <w:rsid w:val="00531CA8"/>
    <w:rsid w:val="005321EC"/>
    <w:rsid w:val="005323A2"/>
    <w:rsid w:val="005323AA"/>
    <w:rsid w:val="005328F0"/>
    <w:rsid w:val="00532B16"/>
    <w:rsid w:val="00532B63"/>
    <w:rsid w:val="00533914"/>
    <w:rsid w:val="00533A81"/>
    <w:rsid w:val="00534B70"/>
    <w:rsid w:val="00534C79"/>
    <w:rsid w:val="00535209"/>
    <w:rsid w:val="00535580"/>
    <w:rsid w:val="005356EE"/>
    <w:rsid w:val="00535AEC"/>
    <w:rsid w:val="005364F8"/>
    <w:rsid w:val="005368F1"/>
    <w:rsid w:val="00536C51"/>
    <w:rsid w:val="005372D7"/>
    <w:rsid w:val="0053781B"/>
    <w:rsid w:val="00537A34"/>
    <w:rsid w:val="00537E83"/>
    <w:rsid w:val="00537FB8"/>
    <w:rsid w:val="005409A2"/>
    <w:rsid w:val="00540E12"/>
    <w:rsid w:val="00541BC3"/>
    <w:rsid w:val="00542945"/>
    <w:rsid w:val="00543444"/>
    <w:rsid w:val="00544239"/>
    <w:rsid w:val="00544689"/>
    <w:rsid w:val="00545C15"/>
    <w:rsid w:val="00545F0A"/>
    <w:rsid w:val="0054615F"/>
    <w:rsid w:val="0054749D"/>
    <w:rsid w:val="0054772A"/>
    <w:rsid w:val="00547F0C"/>
    <w:rsid w:val="00550473"/>
    <w:rsid w:val="005504B6"/>
    <w:rsid w:val="005506D1"/>
    <w:rsid w:val="00551074"/>
    <w:rsid w:val="005512ED"/>
    <w:rsid w:val="0055151D"/>
    <w:rsid w:val="00551917"/>
    <w:rsid w:val="00551978"/>
    <w:rsid w:val="00551A46"/>
    <w:rsid w:val="00551B0E"/>
    <w:rsid w:val="00551E20"/>
    <w:rsid w:val="00552302"/>
    <w:rsid w:val="0055260C"/>
    <w:rsid w:val="00552C47"/>
    <w:rsid w:val="00553E06"/>
    <w:rsid w:val="0055441C"/>
    <w:rsid w:val="00555A58"/>
    <w:rsid w:val="00555D68"/>
    <w:rsid w:val="00555E24"/>
    <w:rsid w:val="00555E7B"/>
    <w:rsid w:val="0055730D"/>
    <w:rsid w:val="00557E8E"/>
    <w:rsid w:val="00560327"/>
    <w:rsid w:val="0056263D"/>
    <w:rsid w:val="0056290D"/>
    <w:rsid w:val="005634AA"/>
    <w:rsid w:val="005636B3"/>
    <w:rsid w:val="00563E56"/>
    <w:rsid w:val="00564092"/>
    <w:rsid w:val="0056485A"/>
    <w:rsid w:val="0056520D"/>
    <w:rsid w:val="00565348"/>
    <w:rsid w:val="005655BC"/>
    <w:rsid w:val="005659AA"/>
    <w:rsid w:val="005660B9"/>
    <w:rsid w:val="00566821"/>
    <w:rsid w:val="005668FB"/>
    <w:rsid w:val="00566D5C"/>
    <w:rsid w:val="00567155"/>
    <w:rsid w:val="00567B85"/>
    <w:rsid w:val="00570A8F"/>
    <w:rsid w:val="00570C0D"/>
    <w:rsid w:val="00570D6A"/>
    <w:rsid w:val="005720B8"/>
    <w:rsid w:val="00572D0D"/>
    <w:rsid w:val="00572F4A"/>
    <w:rsid w:val="005742DF"/>
    <w:rsid w:val="0057462F"/>
    <w:rsid w:val="005749A2"/>
    <w:rsid w:val="00574C4C"/>
    <w:rsid w:val="00574F84"/>
    <w:rsid w:val="005750BE"/>
    <w:rsid w:val="005755C6"/>
    <w:rsid w:val="00575746"/>
    <w:rsid w:val="00575C74"/>
    <w:rsid w:val="00575D86"/>
    <w:rsid w:val="00575E81"/>
    <w:rsid w:val="00575ED5"/>
    <w:rsid w:val="00576445"/>
    <w:rsid w:val="00576960"/>
    <w:rsid w:val="0057739B"/>
    <w:rsid w:val="00577890"/>
    <w:rsid w:val="00580CCE"/>
    <w:rsid w:val="00580D64"/>
    <w:rsid w:val="00580E75"/>
    <w:rsid w:val="00580F2B"/>
    <w:rsid w:val="00581194"/>
    <w:rsid w:val="005815FF"/>
    <w:rsid w:val="00581C21"/>
    <w:rsid w:val="005822A5"/>
    <w:rsid w:val="00582384"/>
    <w:rsid w:val="005828FE"/>
    <w:rsid w:val="005829D2"/>
    <w:rsid w:val="00582AE6"/>
    <w:rsid w:val="00582F08"/>
    <w:rsid w:val="0058305E"/>
    <w:rsid w:val="00583974"/>
    <w:rsid w:val="00586E12"/>
    <w:rsid w:val="0058724C"/>
    <w:rsid w:val="00587C4B"/>
    <w:rsid w:val="00587D77"/>
    <w:rsid w:val="00587DEC"/>
    <w:rsid w:val="005904F7"/>
    <w:rsid w:val="005906D3"/>
    <w:rsid w:val="005907D9"/>
    <w:rsid w:val="005911D9"/>
    <w:rsid w:val="005921A9"/>
    <w:rsid w:val="0059264A"/>
    <w:rsid w:val="00592755"/>
    <w:rsid w:val="00592F32"/>
    <w:rsid w:val="00593183"/>
    <w:rsid w:val="00593A9A"/>
    <w:rsid w:val="005940AD"/>
    <w:rsid w:val="0059480A"/>
    <w:rsid w:val="00594927"/>
    <w:rsid w:val="005952E0"/>
    <w:rsid w:val="00595782"/>
    <w:rsid w:val="00595BE3"/>
    <w:rsid w:val="00595CA3"/>
    <w:rsid w:val="005A027A"/>
    <w:rsid w:val="005A0444"/>
    <w:rsid w:val="005A048D"/>
    <w:rsid w:val="005A07D2"/>
    <w:rsid w:val="005A0975"/>
    <w:rsid w:val="005A12CE"/>
    <w:rsid w:val="005A1872"/>
    <w:rsid w:val="005A2924"/>
    <w:rsid w:val="005A2A3F"/>
    <w:rsid w:val="005A2C96"/>
    <w:rsid w:val="005A319E"/>
    <w:rsid w:val="005A31FC"/>
    <w:rsid w:val="005A46A6"/>
    <w:rsid w:val="005A4CAE"/>
    <w:rsid w:val="005A58E0"/>
    <w:rsid w:val="005A5A2C"/>
    <w:rsid w:val="005A6E4C"/>
    <w:rsid w:val="005A6EFE"/>
    <w:rsid w:val="005A7261"/>
    <w:rsid w:val="005A7A2B"/>
    <w:rsid w:val="005A7D79"/>
    <w:rsid w:val="005A7D9A"/>
    <w:rsid w:val="005A7FCF"/>
    <w:rsid w:val="005B07E9"/>
    <w:rsid w:val="005B0C02"/>
    <w:rsid w:val="005B16BB"/>
    <w:rsid w:val="005B1C64"/>
    <w:rsid w:val="005B1F5F"/>
    <w:rsid w:val="005B2009"/>
    <w:rsid w:val="005B2820"/>
    <w:rsid w:val="005B2AE3"/>
    <w:rsid w:val="005B42D5"/>
    <w:rsid w:val="005B4BF1"/>
    <w:rsid w:val="005B4D0A"/>
    <w:rsid w:val="005B4E00"/>
    <w:rsid w:val="005B51A2"/>
    <w:rsid w:val="005B5571"/>
    <w:rsid w:val="005B5EEF"/>
    <w:rsid w:val="005B62BD"/>
    <w:rsid w:val="005B6FBF"/>
    <w:rsid w:val="005B781C"/>
    <w:rsid w:val="005C1081"/>
    <w:rsid w:val="005C1567"/>
    <w:rsid w:val="005C17B6"/>
    <w:rsid w:val="005C1EDF"/>
    <w:rsid w:val="005C22AC"/>
    <w:rsid w:val="005C2335"/>
    <w:rsid w:val="005C2518"/>
    <w:rsid w:val="005C36D9"/>
    <w:rsid w:val="005C36FB"/>
    <w:rsid w:val="005C43FE"/>
    <w:rsid w:val="005C5ED6"/>
    <w:rsid w:val="005C5F9F"/>
    <w:rsid w:val="005C62D3"/>
    <w:rsid w:val="005C6813"/>
    <w:rsid w:val="005C7380"/>
    <w:rsid w:val="005D00B2"/>
    <w:rsid w:val="005D0648"/>
    <w:rsid w:val="005D0D7F"/>
    <w:rsid w:val="005D15B9"/>
    <w:rsid w:val="005D252C"/>
    <w:rsid w:val="005D2583"/>
    <w:rsid w:val="005D25FB"/>
    <w:rsid w:val="005D2CCB"/>
    <w:rsid w:val="005D2CFB"/>
    <w:rsid w:val="005D339E"/>
    <w:rsid w:val="005D3400"/>
    <w:rsid w:val="005D3A48"/>
    <w:rsid w:val="005D3A5C"/>
    <w:rsid w:val="005D3AC3"/>
    <w:rsid w:val="005D3D9A"/>
    <w:rsid w:val="005D4005"/>
    <w:rsid w:val="005D5548"/>
    <w:rsid w:val="005D6193"/>
    <w:rsid w:val="005D6A7F"/>
    <w:rsid w:val="005D6AF5"/>
    <w:rsid w:val="005D7298"/>
    <w:rsid w:val="005D799C"/>
    <w:rsid w:val="005D7D55"/>
    <w:rsid w:val="005E0204"/>
    <w:rsid w:val="005E0304"/>
    <w:rsid w:val="005E0460"/>
    <w:rsid w:val="005E08EF"/>
    <w:rsid w:val="005E1399"/>
    <w:rsid w:val="005E1A24"/>
    <w:rsid w:val="005E1A2B"/>
    <w:rsid w:val="005E26DE"/>
    <w:rsid w:val="005E2754"/>
    <w:rsid w:val="005E3385"/>
    <w:rsid w:val="005E4007"/>
    <w:rsid w:val="005E401D"/>
    <w:rsid w:val="005E4327"/>
    <w:rsid w:val="005E553D"/>
    <w:rsid w:val="005E5BF2"/>
    <w:rsid w:val="005E6165"/>
    <w:rsid w:val="005E61C3"/>
    <w:rsid w:val="005E64BC"/>
    <w:rsid w:val="005E7B9E"/>
    <w:rsid w:val="005F08FD"/>
    <w:rsid w:val="005F0B0C"/>
    <w:rsid w:val="005F1188"/>
    <w:rsid w:val="005F11AF"/>
    <w:rsid w:val="005F133C"/>
    <w:rsid w:val="005F1353"/>
    <w:rsid w:val="005F1BA9"/>
    <w:rsid w:val="005F1DD9"/>
    <w:rsid w:val="005F23A0"/>
    <w:rsid w:val="005F2614"/>
    <w:rsid w:val="005F275E"/>
    <w:rsid w:val="005F28AF"/>
    <w:rsid w:val="005F2BB7"/>
    <w:rsid w:val="005F2CD1"/>
    <w:rsid w:val="005F2F83"/>
    <w:rsid w:val="005F3959"/>
    <w:rsid w:val="005F3B32"/>
    <w:rsid w:val="005F4369"/>
    <w:rsid w:val="005F5B4E"/>
    <w:rsid w:val="005F5F08"/>
    <w:rsid w:val="005F6B58"/>
    <w:rsid w:val="005F7722"/>
    <w:rsid w:val="005F7760"/>
    <w:rsid w:val="005F7846"/>
    <w:rsid w:val="005F7D31"/>
    <w:rsid w:val="005F7F8A"/>
    <w:rsid w:val="006004AB"/>
    <w:rsid w:val="00600AED"/>
    <w:rsid w:val="00600E12"/>
    <w:rsid w:val="00600EC0"/>
    <w:rsid w:val="00600F21"/>
    <w:rsid w:val="0060141E"/>
    <w:rsid w:val="006028C2"/>
    <w:rsid w:val="00602DF5"/>
    <w:rsid w:val="00603121"/>
    <w:rsid w:val="00603FB1"/>
    <w:rsid w:val="00604E90"/>
    <w:rsid w:val="0060555D"/>
    <w:rsid w:val="0060574E"/>
    <w:rsid w:val="0060589F"/>
    <w:rsid w:val="00605E3F"/>
    <w:rsid w:val="00606079"/>
    <w:rsid w:val="006060BE"/>
    <w:rsid w:val="00606594"/>
    <w:rsid w:val="00606726"/>
    <w:rsid w:val="00606946"/>
    <w:rsid w:val="0060743C"/>
    <w:rsid w:val="00607455"/>
    <w:rsid w:val="00607B08"/>
    <w:rsid w:val="00607B1F"/>
    <w:rsid w:val="00607CCE"/>
    <w:rsid w:val="00607D9B"/>
    <w:rsid w:val="00610002"/>
    <w:rsid w:val="00610338"/>
    <w:rsid w:val="00610442"/>
    <w:rsid w:val="006104FB"/>
    <w:rsid w:val="006105F7"/>
    <w:rsid w:val="00610B41"/>
    <w:rsid w:val="006110A7"/>
    <w:rsid w:val="00611321"/>
    <w:rsid w:val="006115B8"/>
    <w:rsid w:val="00612284"/>
    <w:rsid w:val="00612294"/>
    <w:rsid w:val="0061248E"/>
    <w:rsid w:val="0061261E"/>
    <w:rsid w:val="006126C0"/>
    <w:rsid w:val="00612719"/>
    <w:rsid w:val="006129D4"/>
    <w:rsid w:val="00613344"/>
    <w:rsid w:val="00613345"/>
    <w:rsid w:val="00613932"/>
    <w:rsid w:val="006139E5"/>
    <w:rsid w:val="00613AB3"/>
    <w:rsid w:val="00613EC4"/>
    <w:rsid w:val="00614474"/>
    <w:rsid w:val="0061498B"/>
    <w:rsid w:val="00614D39"/>
    <w:rsid w:val="006158D9"/>
    <w:rsid w:val="00615D3F"/>
    <w:rsid w:val="006176A3"/>
    <w:rsid w:val="00617C17"/>
    <w:rsid w:val="00620A9E"/>
    <w:rsid w:val="00620DA3"/>
    <w:rsid w:val="006229A5"/>
    <w:rsid w:val="00622DF1"/>
    <w:rsid w:val="00623346"/>
    <w:rsid w:val="006234E8"/>
    <w:rsid w:val="006235A9"/>
    <w:rsid w:val="006237BF"/>
    <w:rsid w:val="00626342"/>
    <w:rsid w:val="0062643E"/>
    <w:rsid w:val="0062690C"/>
    <w:rsid w:val="00626C8C"/>
    <w:rsid w:val="00626DCF"/>
    <w:rsid w:val="0062711A"/>
    <w:rsid w:val="00627223"/>
    <w:rsid w:val="00627A5C"/>
    <w:rsid w:val="00627E2E"/>
    <w:rsid w:val="00630960"/>
    <w:rsid w:val="006311BA"/>
    <w:rsid w:val="006317E3"/>
    <w:rsid w:val="006328ED"/>
    <w:rsid w:val="0063303E"/>
    <w:rsid w:val="00633149"/>
    <w:rsid w:val="00634057"/>
    <w:rsid w:val="006347EB"/>
    <w:rsid w:val="0063497F"/>
    <w:rsid w:val="00634B2B"/>
    <w:rsid w:val="0063514F"/>
    <w:rsid w:val="00635E91"/>
    <w:rsid w:val="00636527"/>
    <w:rsid w:val="0063728D"/>
    <w:rsid w:val="00637613"/>
    <w:rsid w:val="00637877"/>
    <w:rsid w:val="0064147F"/>
    <w:rsid w:val="006420C6"/>
    <w:rsid w:val="006440BF"/>
    <w:rsid w:val="00644CBB"/>
    <w:rsid w:val="00645D06"/>
    <w:rsid w:val="00646236"/>
    <w:rsid w:val="00646317"/>
    <w:rsid w:val="006463F8"/>
    <w:rsid w:val="00646761"/>
    <w:rsid w:val="006468F3"/>
    <w:rsid w:val="00646BCB"/>
    <w:rsid w:val="00647687"/>
    <w:rsid w:val="006476DB"/>
    <w:rsid w:val="00650D03"/>
    <w:rsid w:val="00651889"/>
    <w:rsid w:val="00651FAE"/>
    <w:rsid w:val="00653058"/>
    <w:rsid w:val="00653142"/>
    <w:rsid w:val="0065364C"/>
    <w:rsid w:val="00654867"/>
    <w:rsid w:val="00654EEA"/>
    <w:rsid w:val="0065539F"/>
    <w:rsid w:val="00655DB7"/>
    <w:rsid w:val="00657377"/>
    <w:rsid w:val="0065749F"/>
    <w:rsid w:val="00657D4A"/>
    <w:rsid w:val="0066058D"/>
    <w:rsid w:val="006615D5"/>
    <w:rsid w:val="00661DCD"/>
    <w:rsid w:val="00662565"/>
    <w:rsid w:val="006627C7"/>
    <w:rsid w:val="00662D04"/>
    <w:rsid w:val="00663397"/>
    <w:rsid w:val="00663AEC"/>
    <w:rsid w:val="00663DFD"/>
    <w:rsid w:val="00663EA9"/>
    <w:rsid w:val="0066405A"/>
    <w:rsid w:val="00664890"/>
    <w:rsid w:val="00664F43"/>
    <w:rsid w:val="00665251"/>
    <w:rsid w:val="006652C7"/>
    <w:rsid w:val="00665C97"/>
    <w:rsid w:val="0066638E"/>
    <w:rsid w:val="006665F2"/>
    <w:rsid w:val="006666B5"/>
    <w:rsid w:val="00666A47"/>
    <w:rsid w:val="00666E3B"/>
    <w:rsid w:val="0066704E"/>
    <w:rsid w:val="006676B0"/>
    <w:rsid w:val="00670BC9"/>
    <w:rsid w:val="00670BDB"/>
    <w:rsid w:val="006715FC"/>
    <w:rsid w:val="00671F80"/>
    <w:rsid w:val="006720A6"/>
    <w:rsid w:val="0067252A"/>
    <w:rsid w:val="0067252E"/>
    <w:rsid w:val="00672918"/>
    <w:rsid w:val="00673012"/>
    <w:rsid w:val="00674021"/>
    <w:rsid w:val="0067468F"/>
    <w:rsid w:val="006746B0"/>
    <w:rsid w:val="00674D89"/>
    <w:rsid w:val="00675060"/>
    <w:rsid w:val="00675114"/>
    <w:rsid w:val="00675377"/>
    <w:rsid w:val="00675C61"/>
    <w:rsid w:val="00676220"/>
    <w:rsid w:val="00676225"/>
    <w:rsid w:val="006768D0"/>
    <w:rsid w:val="006769F2"/>
    <w:rsid w:val="00676A28"/>
    <w:rsid w:val="00676D28"/>
    <w:rsid w:val="00680982"/>
    <w:rsid w:val="00680EB3"/>
    <w:rsid w:val="00681A7B"/>
    <w:rsid w:val="00681DCC"/>
    <w:rsid w:val="00682106"/>
    <w:rsid w:val="00682F2D"/>
    <w:rsid w:val="00683424"/>
    <w:rsid w:val="00684E0E"/>
    <w:rsid w:val="00686A2D"/>
    <w:rsid w:val="00686BED"/>
    <w:rsid w:val="0069001D"/>
    <w:rsid w:val="00690449"/>
    <w:rsid w:val="00690A73"/>
    <w:rsid w:val="00690FE1"/>
    <w:rsid w:val="0069159E"/>
    <w:rsid w:val="00692730"/>
    <w:rsid w:val="0069294F"/>
    <w:rsid w:val="00693773"/>
    <w:rsid w:val="0069413A"/>
    <w:rsid w:val="00694910"/>
    <w:rsid w:val="00694E2F"/>
    <w:rsid w:val="006950F1"/>
    <w:rsid w:val="0069531F"/>
    <w:rsid w:val="00695888"/>
    <w:rsid w:val="006959AB"/>
    <w:rsid w:val="00695B9C"/>
    <w:rsid w:val="00696228"/>
    <w:rsid w:val="00696E99"/>
    <w:rsid w:val="006972D5"/>
    <w:rsid w:val="00697A1C"/>
    <w:rsid w:val="00697A20"/>
    <w:rsid w:val="00697B32"/>
    <w:rsid w:val="00697CA4"/>
    <w:rsid w:val="00697EC4"/>
    <w:rsid w:val="006A005C"/>
    <w:rsid w:val="006A0326"/>
    <w:rsid w:val="006A08EA"/>
    <w:rsid w:val="006A09D4"/>
    <w:rsid w:val="006A0CC8"/>
    <w:rsid w:val="006A0EAC"/>
    <w:rsid w:val="006A1A16"/>
    <w:rsid w:val="006A1DA8"/>
    <w:rsid w:val="006A2595"/>
    <w:rsid w:val="006A2852"/>
    <w:rsid w:val="006A50DE"/>
    <w:rsid w:val="006A58FC"/>
    <w:rsid w:val="006A5D62"/>
    <w:rsid w:val="006A64F5"/>
    <w:rsid w:val="006A6978"/>
    <w:rsid w:val="006A6E9A"/>
    <w:rsid w:val="006A70CE"/>
    <w:rsid w:val="006A714A"/>
    <w:rsid w:val="006A76A3"/>
    <w:rsid w:val="006A7811"/>
    <w:rsid w:val="006B0582"/>
    <w:rsid w:val="006B099F"/>
    <w:rsid w:val="006B0EE4"/>
    <w:rsid w:val="006B14B9"/>
    <w:rsid w:val="006B17F5"/>
    <w:rsid w:val="006B1C31"/>
    <w:rsid w:val="006B201D"/>
    <w:rsid w:val="006B215F"/>
    <w:rsid w:val="006B31FE"/>
    <w:rsid w:val="006B35FE"/>
    <w:rsid w:val="006B4446"/>
    <w:rsid w:val="006B46B3"/>
    <w:rsid w:val="006B4BF4"/>
    <w:rsid w:val="006B52BF"/>
    <w:rsid w:val="006B5353"/>
    <w:rsid w:val="006B5CF0"/>
    <w:rsid w:val="006B6127"/>
    <w:rsid w:val="006B64F2"/>
    <w:rsid w:val="006B7597"/>
    <w:rsid w:val="006B7CF9"/>
    <w:rsid w:val="006C031F"/>
    <w:rsid w:val="006C0804"/>
    <w:rsid w:val="006C1140"/>
    <w:rsid w:val="006C182B"/>
    <w:rsid w:val="006C20C2"/>
    <w:rsid w:val="006C2E4C"/>
    <w:rsid w:val="006C354D"/>
    <w:rsid w:val="006C3EC0"/>
    <w:rsid w:val="006C4B78"/>
    <w:rsid w:val="006C5081"/>
    <w:rsid w:val="006C51C6"/>
    <w:rsid w:val="006C5241"/>
    <w:rsid w:val="006C57A9"/>
    <w:rsid w:val="006C5D26"/>
    <w:rsid w:val="006C60AF"/>
    <w:rsid w:val="006C622F"/>
    <w:rsid w:val="006C655A"/>
    <w:rsid w:val="006C76FC"/>
    <w:rsid w:val="006D04C2"/>
    <w:rsid w:val="006D053B"/>
    <w:rsid w:val="006D061B"/>
    <w:rsid w:val="006D099E"/>
    <w:rsid w:val="006D14A8"/>
    <w:rsid w:val="006D18C0"/>
    <w:rsid w:val="006D213B"/>
    <w:rsid w:val="006D27AA"/>
    <w:rsid w:val="006D2AFA"/>
    <w:rsid w:val="006D3CC6"/>
    <w:rsid w:val="006D4720"/>
    <w:rsid w:val="006D47DE"/>
    <w:rsid w:val="006D4823"/>
    <w:rsid w:val="006D56C9"/>
    <w:rsid w:val="006D58F6"/>
    <w:rsid w:val="006D5F0E"/>
    <w:rsid w:val="006D68A3"/>
    <w:rsid w:val="006D6FE5"/>
    <w:rsid w:val="006D7568"/>
    <w:rsid w:val="006D77FB"/>
    <w:rsid w:val="006D7ADA"/>
    <w:rsid w:val="006E0656"/>
    <w:rsid w:val="006E1333"/>
    <w:rsid w:val="006E1777"/>
    <w:rsid w:val="006E2C7E"/>
    <w:rsid w:val="006E38AB"/>
    <w:rsid w:val="006E3924"/>
    <w:rsid w:val="006E41CE"/>
    <w:rsid w:val="006E50E6"/>
    <w:rsid w:val="006E5338"/>
    <w:rsid w:val="006E5833"/>
    <w:rsid w:val="006E5986"/>
    <w:rsid w:val="006E59B3"/>
    <w:rsid w:val="006E5F1D"/>
    <w:rsid w:val="006E65F2"/>
    <w:rsid w:val="006E6B91"/>
    <w:rsid w:val="006E722A"/>
    <w:rsid w:val="006E7E4B"/>
    <w:rsid w:val="006E7E9E"/>
    <w:rsid w:val="006E7F3A"/>
    <w:rsid w:val="006F00BE"/>
    <w:rsid w:val="006F0425"/>
    <w:rsid w:val="006F117A"/>
    <w:rsid w:val="006F12F0"/>
    <w:rsid w:val="006F17BF"/>
    <w:rsid w:val="006F1BE7"/>
    <w:rsid w:val="006F2453"/>
    <w:rsid w:val="006F26DA"/>
    <w:rsid w:val="006F2921"/>
    <w:rsid w:val="006F2D0E"/>
    <w:rsid w:val="006F2FE7"/>
    <w:rsid w:val="006F37B5"/>
    <w:rsid w:val="006F3990"/>
    <w:rsid w:val="006F3CCA"/>
    <w:rsid w:val="006F42EF"/>
    <w:rsid w:val="006F4F57"/>
    <w:rsid w:val="006F6573"/>
    <w:rsid w:val="006F6E07"/>
    <w:rsid w:val="006F6E20"/>
    <w:rsid w:val="006F767E"/>
    <w:rsid w:val="006F78FE"/>
    <w:rsid w:val="00700127"/>
    <w:rsid w:val="007005E5"/>
    <w:rsid w:val="00700F7C"/>
    <w:rsid w:val="007012E3"/>
    <w:rsid w:val="007038BF"/>
    <w:rsid w:val="00704032"/>
    <w:rsid w:val="007055F5"/>
    <w:rsid w:val="007057ED"/>
    <w:rsid w:val="00705A05"/>
    <w:rsid w:val="00706271"/>
    <w:rsid w:val="00706BFA"/>
    <w:rsid w:val="00707635"/>
    <w:rsid w:val="0070764F"/>
    <w:rsid w:val="0070765E"/>
    <w:rsid w:val="00707E36"/>
    <w:rsid w:val="00710F20"/>
    <w:rsid w:val="007112CC"/>
    <w:rsid w:val="00711874"/>
    <w:rsid w:val="00711A77"/>
    <w:rsid w:val="00711DCB"/>
    <w:rsid w:val="0071236D"/>
    <w:rsid w:val="007124CB"/>
    <w:rsid w:val="007127E4"/>
    <w:rsid w:val="00712EE7"/>
    <w:rsid w:val="00712F31"/>
    <w:rsid w:val="00713510"/>
    <w:rsid w:val="007135B9"/>
    <w:rsid w:val="0071390F"/>
    <w:rsid w:val="00713AF0"/>
    <w:rsid w:val="00713C13"/>
    <w:rsid w:val="007142CA"/>
    <w:rsid w:val="0071491B"/>
    <w:rsid w:val="00714E50"/>
    <w:rsid w:val="00716433"/>
    <w:rsid w:val="00716CE9"/>
    <w:rsid w:val="007175AC"/>
    <w:rsid w:val="00717CBA"/>
    <w:rsid w:val="00720215"/>
    <w:rsid w:val="00720961"/>
    <w:rsid w:val="00720FEE"/>
    <w:rsid w:val="007212BF"/>
    <w:rsid w:val="007216AD"/>
    <w:rsid w:val="007219E5"/>
    <w:rsid w:val="00721C32"/>
    <w:rsid w:val="007228D3"/>
    <w:rsid w:val="00722C6A"/>
    <w:rsid w:val="00722C90"/>
    <w:rsid w:val="00722E44"/>
    <w:rsid w:val="007239A6"/>
    <w:rsid w:val="00723B45"/>
    <w:rsid w:val="00723EFF"/>
    <w:rsid w:val="007247B7"/>
    <w:rsid w:val="00725522"/>
    <w:rsid w:val="00726C04"/>
    <w:rsid w:val="007273A8"/>
    <w:rsid w:val="00727527"/>
    <w:rsid w:val="00731330"/>
    <w:rsid w:val="00731814"/>
    <w:rsid w:val="00731EB3"/>
    <w:rsid w:val="00731F2B"/>
    <w:rsid w:val="007322E0"/>
    <w:rsid w:val="00732CFA"/>
    <w:rsid w:val="00733136"/>
    <w:rsid w:val="00733FE6"/>
    <w:rsid w:val="0073416F"/>
    <w:rsid w:val="007344A8"/>
    <w:rsid w:val="007357C3"/>
    <w:rsid w:val="0073591B"/>
    <w:rsid w:val="00735972"/>
    <w:rsid w:val="00735D41"/>
    <w:rsid w:val="00735DE1"/>
    <w:rsid w:val="0073652F"/>
    <w:rsid w:val="0073731B"/>
    <w:rsid w:val="00737E48"/>
    <w:rsid w:val="0074008D"/>
    <w:rsid w:val="00740646"/>
    <w:rsid w:val="00740F31"/>
    <w:rsid w:val="00740F7D"/>
    <w:rsid w:val="007410E6"/>
    <w:rsid w:val="007414C4"/>
    <w:rsid w:val="0074184B"/>
    <w:rsid w:val="0074284F"/>
    <w:rsid w:val="00742B7F"/>
    <w:rsid w:val="00744A13"/>
    <w:rsid w:val="00744BDD"/>
    <w:rsid w:val="00744D9B"/>
    <w:rsid w:val="00745018"/>
    <w:rsid w:val="0074582D"/>
    <w:rsid w:val="007458E5"/>
    <w:rsid w:val="00745EF9"/>
    <w:rsid w:val="0074647E"/>
    <w:rsid w:val="007468E2"/>
    <w:rsid w:val="0074720D"/>
    <w:rsid w:val="0074755F"/>
    <w:rsid w:val="00747736"/>
    <w:rsid w:val="007477A9"/>
    <w:rsid w:val="00747E95"/>
    <w:rsid w:val="00750214"/>
    <w:rsid w:val="00750BF5"/>
    <w:rsid w:val="0075159E"/>
    <w:rsid w:val="007515D7"/>
    <w:rsid w:val="007516B2"/>
    <w:rsid w:val="00751DD5"/>
    <w:rsid w:val="007531D6"/>
    <w:rsid w:val="0075327C"/>
    <w:rsid w:val="007533AD"/>
    <w:rsid w:val="00753902"/>
    <w:rsid w:val="00753BE9"/>
    <w:rsid w:val="007544D0"/>
    <w:rsid w:val="007550FA"/>
    <w:rsid w:val="00755EE1"/>
    <w:rsid w:val="0075623D"/>
    <w:rsid w:val="007569F8"/>
    <w:rsid w:val="00757090"/>
    <w:rsid w:val="007572DD"/>
    <w:rsid w:val="00757E45"/>
    <w:rsid w:val="007604D4"/>
    <w:rsid w:val="0076073D"/>
    <w:rsid w:val="00760A9E"/>
    <w:rsid w:val="00761733"/>
    <w:rsid w:val="007622CA"/>
    <w:rsid w:val="00762563"/>
    <w:rsid w:val="00762615"/>
    <w:rsid w:val="00763B4E"/>
    <w:rsid w:val="00763B7B"/>
    <w:rsid w:val="00765534"/>
    <w:rsid w:val="00765B7A"/>
    <w:rsid w:val="00766418"/>
    <w:rsid w:val="007667DA"/>
    <w:rsid w:val="0076685C"/>
    <w:rsid w:val="00767498"/>
    <w:rsid w:val="00767582"/>
    <w:rsid w:val="00767735"/>
    <w:rsid w:val="0076797B"/>
    <w:rsid w:val="00767B87"/>
    <w:rsid w:val="00771B0D"/>
    <w:rsid w:val="00772110"/>
    <w:rsid w:val="0077236F"/>
    <w:rsid w:val="00772899"/>
    <w:rsid w:val="0077336E"/>
    <w:rsid w:val="00774054"/>
    <w:rsid w:val="0077422D"/>
    <w:rsid w:val="007745E3"/>
    <w:rsid w:val="0077492E"/>
    <w:rsid w:val="00774D52"/>
    <w:rsid w:val="00774D5B"/>
    <w:rsid w:val="00774EF5"/>
    <w:rsid w:val="0077500A"/>
    <w:rsid w:val="00775681"/>
    <w:rsid w:val="00775BF1"/>
    <w:rsid w:val="00775E61"/>
    <w:rsid w:val="00776309"/>
    <w:rsid w:val="007766AA"/>
    <w:rsid w:val="0077694E"/>
    <w:rsid w:val="007776C5"/>
    <w:rsid w:val="00777D18"/>
    <w:rsid w:val="0078048F"/>
    <w:rsid w:val="007806B9"/>
    <w:rsid w:val="007806F0"/>
    <w:rsid w:val="00780A2A"/>
    <w:rsid w:val="00780AB4"/>
    <w:rsid w:val="00780CA6"/>
    <w:rsid w:val="00781299"/>
    <w:rsid w:val="0078151B"/>
    <w:rsid w:val="00781933"/>
    <w:rsid w:val="00781C84"/>
    <w:rsid w:val="00782869"/>
    <w:rsid w:val="00782CAF"/>
    <w:rsid w:val="007838DA"/>
    <w:rsid w:val="00784DB9"/>
    <w:rsid w:val="00784EF3"/>
    <w:rsid w:val="007852B1"/>
    <w:rsid w:val="007859D1"/>
    <w:rsid w:val="00785E53"/>
    <w:rsid w:val="00786403"/>
    <w:rsid w:val="007867E6"/>
    <w:rsid w:val="00786B16"/>
    <w:rsid w:val="00786DD0"/>
    <w:rsid w:val="0078702C"/>
    <w:rsid w:val="007873A9"/>
    <w:rsid w:val="007874A7"/>
    <w:rsid w:val="00790150"/>
    <w:rsid w:val="00791CFE"/>
    <w:rsid w:val="00792E55"/>
    <w:rsid w:val="00792EFB"/>
    <w:rsid w:val="00793829"/>
    <w:rsid w:val="00793AF6"/>
    <w:rsid w:val="007947C4"/>
    <w:rsid w:val="007947E2"/>
    <w:rsid w:val="00794F02"/>
    <w:rsid w:val="00794F65"/>
    <w:rsid w:val="00795054"/>
    <w:rsid w:val="007953AF"/>
    <w:rsid w:val="007954BC"/>
    <w:rsid w:val="00795D98"/>
    <w:rsid w:val="00795E59"/>
    <w:rsid w:val="00795FAC"/>
    <w:rsid w:val="00796A47"/>
    <w:rsid w:val="00796C30"/>
    <w:rsid w:val="00797020"/>
    <w:rsid w:val="00797835"/>
    <w:rsid w:val="00797E4C"/>
    <w:rsid w:val="00797FB4"/>
    <w:rsid w:val="007A08DB"/>
    <w:rsid w:val="007A0D39"/>
    <w:rsid w:val="007A14EE"/>
    <w:rsid w:val="007A1B1D"/>
    <w:rsid w:val="007A1E5A"/>
    <w:rsid w:val="007A20E1"/>
    <w:rsid w:val="007A2266"/>
    <w:rsid w:val="007A2379"/>
    <w:rsid w:val="007A284B"/>
    <w:rsid w:val="007A30D2"/>
    <w:rsid w:val="007A3624"/>
    <w:rsid w:val="007A366D"/>
    <w:rsid w:val="007A3C94"/>
    <w:rsid w:val="007A3F75"/>
    <w:rsid w:val="007A41EF"/>
    <w:rsid w:val="007A4272"/>
    <w:rsid w:val="007A4C54"/>
    <w:rsid w:val="007A51B3"/>
    <w:rsid w:val="007A662E"/>
    <w:rsid w:val="007A6A34"/>
    <w:rsid w:val="007A7B83"/>
    <w:rsid w:val="007B03E1"/>
    <w:rsid w:val="007B04F4"/>
    <w:rsid w:val="007B0560"/>
    <w:rsid w:val="007B13EE"/>
    <w:rsid w:val="007B1984"/>
    <w:rsid w:val="007B1F4B"/>
    <w:rsid w:val="007B2014"/>
    <w:rsid w:val="007B21DD"/>
    <w:rsid w:val="007B2355"/>
    <w:rsid w:val="007B2757"/>
    <w:rsid w:val="007B2ECB"/>
    <w:rsid w:val="007B3862"/>
    <w:rsid w:val="007B39EA"/>
    <w:rsid w:val="007B453C"/>
    <w:rsid w:val="007B489F"/>
    <w:rsid w:val="007B4C42"/>
    <w:rsid w:val="007B514F"/>
    <w:rsid w:val="007B5450"/>
    <w:rsid w:val="007B5903"/>
    <w:rsid w:val="007B5961"/>
    <w:rsid w:val="007B5B9B"/>
    <w:rsid w:val="007B6447"/>
    <w:rsid w:val="007B665B"/>
    <w:rsid w:val="007B6934"/>
    <w:rsid w:val="007B74D3"/>
    <w:rsid w:val="007B7F20"/>
    <w:rsid w:val="007C0148"/>
    <w:rsid w:val="007C05A0"/>
    <w:rsid w:val="007C1794"/>
    <w:rsid w:val="007C22D6"/>
    <w:rsid w:val="007C2449"/>
    <w:rsid w:val="007C313A"/>
    <w:rsid w:val="007C3AA7"/>
    <w:rsid w:val="007C3CB3"/>
    <w:rsid w:val="007C404B"/>
    <w:rsid w:val="007C4460"/>
    <w:rsid w:val="007C452E"/>
    <w:rsid w:val="007C4659"/>
    <w:rsid w:val="007C4717"/>
    <w:rsid w:val="007C4746"/>
    <w:rsid w:val="007C57EA"/>
    <w:rsid w:val="007C5E37"/>
    <w:rsid w:val="007C600B"/>
    <w:rsid w:val="007C62E2"/>
    <w:rsid w:val="007C6AB8"/>
    <w:rsid w:val="007C7B9B"/>
    <w:rsid w:val="007D0056"/>
    <w:rsid w:val="007D077D"/>
    <w:rsid w:val="007D1573"/>
    <w:rsid w:val="007D187A"/>
    <w:rsid w:val="007D18A1"/>
    <w:rsid w:val="007D2267"/>
    <w:rsid w:val="007D296C"/>
    <w:rsid w:val="007D29B6"/>
    <w:rsid w:val="007D344E"/>
    <w:rsid w:val="007D3E4E"/>
    <w:rsid w:val="007D45D3"/>
    <w:rsid w:val="007D4A2D"/>
    <w:rsid w:val="007D623A"/>
    <w:rsid w:val="007D62C0"/>
    <w:rsid w:val="007D630B"/>
    <w:rsid w:val="007D6EA5"/>
    <w:rsid w:val="007D71E4"/>
    <w:rsid w:val="007D7473"/>
    <w:rsid w:val="007D764F"/>
    <w:rsid w:val="007D7D1B"/>
    <w:rsid w:val="007D7FBD"/>
    <w:rsid w:val="007E0DC7"/>
    <w:rsid w:val="007E1739"/>
    <w:rsid w:val="007E2ED3"/>
    <w:rsid w:val="007E3039"/>
    <w:rsid w:val="007E52C4"/>
    <w:rsid w:val="007E54F9"/>
    <w:rsid w:val="007E5E1B"/>
    <w:rsid w:val="007E6486"/>
    <w:rsid w:val="007E6B09"/>
    <w:rsid w:val="007E7271"/>
    <w:rsid w:val="007F093F"/>
    <w:rsid w:val="007F097C"/>
    <w:rsid w:val="007F0E53"/>
    <w:rsid w:val="007F1662"/>
    <w:rsid w:val="007F1C7A"/>
    <w:rsid w:val="007F243A"/>
    <w:rsid w:val="007F3205"/>
    <w:rsid w:val="007F36D5"/>
    <w:rsid w:val="007F3F03"/>
    <w:rsid w:val="007F48ED"/>
    <w:rsid w:val="007F5892"/>
    <w:rsid w:val="007F6148"/>
    <w:rsid w:val="007F6FC1"/>
    <w:rsid w:val="008006EF"/>
    <w:rsid w:val="00800B73"/>
    <w:rsid w:val="00800C46"/>
    <w:rsid w:val="008011A0"/>
    <w:rsid w:val="00801A4B"/>
    <w:rsid w:val="00801B6B"/>
    <w:rsid w:val="00801BD6"/>
    <w:rsid w:val="00801CA4"/>
    <w:rsid w:val="00803105"/>
    <w:rsid w:val="008043C0"/>
    <w:rsid w:val="00804CCF"/>
    <w:rsid w:val="00804E09"/>
    <w:rsid w:val="00806408"/>
    <w:rsid w:val="00806963"/>
    <w:rsid w:val="00807FCE"/>
    <w:rsid w:val="008106D2"/>
    <w:rsid w:val="00810F99"/>
    <w:rsid w:val="00810FF9"/>
    <w:rsid w:val="00811168"/>
    <w:rsid w:val="0081127C"/>
    <w:rsid w:val="0081197C"/>
    <w:rsid w:val="00811F3C"/>
    <w:rsid w:val="00812078"/>
    <w:rsid w:val="00812170"/>
    <w:rsid w:val="0081332D"/>
    <w:rsid w:val="00813B7D"/>
    <w:rsid w:val="00814513"/>
    <w:rsid w:val="008156B3"/>
    <w:rsid w:val="008156E0"/>
    <w:rsid w:val="00815855"/>
    <w:rsid w:val="00815926"/>
    <w:rsid w:val="00815960"/>
    <w:rsid w:val="00815AD0"/>
    <w:rsid w:val="00815BC8"/>
    <w:rsid w:val="00815E3B"/>
    <w:rsid w:val="0081773E"/>
    <w:rsid w:val="00817C2A"/>
    <w:rsid w:val="0082050E"/>
    <w:rsid w:val="008210FC"/>
    <w:rsid w:val="008215BD"/>
    <w:rsid w:val="0082181A"/>
    <w:rsid w:val="00822195"/>
    <w:rsid w:val="0082242A"/>
    <w:rsid w:val="008228BA"/>
    <w:rsid w:val="00823152"/>
    <w:rsid w:val="00823244"/>
    <w:rsid w:val="008233E8"/>
    <w:rsid w:val="008237C6"/>
    <w:rsid w:val="0082394C"/>
    <w:rsid w:val="0082406F"/>
    <w:rsid w:val="0082441D"/>
    <w:rsid w:val="00825353"/>
    <w:rsid w:val="008264EB"/>
    <w:rsid w:val="0082652D"/>
    <w:rsid w:val="00826576"/>
    <w:rsid w:val="00826AB0"/>
    <w:rsid w:val="0082717F"/>
    <w:rsid w:val="00830384"/>
    <w:rsid w:val="008308CC"/>
    <w:rsid w:val="00830D84"/>
    <w:rsid w:val="0083136D"/>
    <w:rsid w:val="0083149E"/>
    <w:rsid w:val="0083195D"/>
    <w:rsid w:val="00831A46"/>
    <w:rsid w:val="008323A0"/>
    <w:rsid w:val="00832AB6"/>
    <w:rsid w:val="0083374E"/>
    <w:rsid w:val="008339B5"/>
    <w:rsid w:val="00833CC9"/>
    <w:rsid w:val="00833E06"/>
    <w:rsid w:val="00834751"/>
    <w:rsid w:val="00834E74"/>
    <w:rsid w:val="008352B2"/>
    <w:rsid w:val="00835428"/>
    <w:rsid w:val="00835792"/>
    <w:rsid w:val="00835ACC"/>
    <w:rsid w:val="00835D6C"/>
    <w:rsid w:val="0083690D"/>
    <w:rsid w:val="008373E4"/>
    <w:rsid w:val="008373F4"/>
    <w:rsid w:val="00837C96"/>
    <w:rsid w:val="00837D2D"/>
    <w:rsid w:val="00840079"/>
    <w:rsid w:val="00840D70"/>
    <w:rsid w:val="008414B6"/>
    <w:rsid w:val="00842107"/>
    <w:rsid w:val="00842522"/>
    <w:rsid w:val="008428A0"/>
    <w:rsid w:val="00842D31"/>
    <w:rsid w:val="00842FD7"/>
    <w:rsid w:val="00843CFB"/>
    <w:rsid w:val="0084472B"/>
    <w:rsid w:val="0084483D"/>
    <w:rsid w:val="00844B59"/>
    <w:rsid w:val="00844DDE"/>
    <w:rsid w:val="00844E8F"/>
    <w:rsid w:val="00844ED7"/>
    <w:rsid w:val="00845FB7"/>
    <w:rsid w:val="0084663E"/>
    <w:rsid w:val="00846DEC"/>
    <w:rsid w:val="00846E21"/>
    <w:rsid w:val="00847DE4"/>
    <w:rsid w:val="0085043E"/>
    <w:rsid w:val="00850D4C"/>
    <w:rsid w:val="00851CE8"/>
    <w:rsid w:val="00852DDB"/>
    <w:rsid w:val="008538B8"/>
    <w:rsid w:val="00853F5B"/>
    <w:rsid w:val="008564DA"/>
    <w:rsid w:val="00856BB8"/>
    <w:rsid w:val="00856EB5"/>
    <w:rsid w:val="00856F11"/>
    <w:rsid w:val="00856FF2"/>
    <w:rsid w:val="00857125"/>
    <w:rsid w:val="0085726A"/>
    <w:rsid w:val="00857EB8"/>
    <w:rsid w:val="00860298"/>
    <w:rsid w:val="008602DA"/>
    <w:rsid w:val="00860326"/>
    <w:rsid w:val="00860D0C"/>
    <w:rsid w:val="008611F9"/>
    <w:rsid w:val="0086150F"/>
    <w:rsid w:val="008617C5"/>
    <w:rsid w:val="0086197F"/>
    <w:rsid w:val="00861A90"/>
    <w:rsid w:val="008621AF"/>
    <w:rsid w:val="008625FB"/>
    <w:rsid w:val="0086274C"/>
    <w:rsid w:val="008627EC"/>
    <w:rsid w:val="00862C4F"/>
    <w:rsid w:val="00862DAC"/>
    <w:rsid w:val="008631ED"/>
    <w:rsid w:val="00863C45"/>
    <w:rsid w:val="00863D82"/>
    <w:rsid w:val="00864257"/>
    <w:rsid w:val="00864C32"/>
    <w:rsid w:val="008653B3"/>
    <w:rsid w:val="00865E2F"/>
    <w:rsid w:val="00867936"/>
    <w:rsid w:val="00867AB4"/>
    <w:rsid w:val="00870411"/>
    <w:rsid w:val="008719BD"/>
    <w:rsid w:val="00871BC0"/>
    <w:rsid w:val="00872124"/>
    <w:rsid w:val="00872329"/>
    <w:rsid w:val="00873B52"/>
    <w:rsid w:val="00874657"/>
    <w:rsid w:val="00874E52"/>
    <w:rsid w:val="00876A43"/>
    <w:rsid w:val="00876AA8"/>
    <w:rsid w:val="00877597"/>
    <w:rsid w:val="0088020E"/>
    <w:rsid w:val="008805B8"/>
    <w:rsid w:val="00881237"/>
    <w:rsid w:val="008818D0"/>
    <w:rsid w:val="00881CCC"/>
    <w:rsid w:val="00881FDE"/>
    <w:rsid w:val="008829CB"/>
    <w:rsid w:val="00883402"/>
    <w:rsid w:val="0088370B"/>
    <w:rsid w:val="0088491A"/>
    <w:rsid w:val="008853F7"/>
    <w:rsid w:val="00885880"/>
    <w:rsid w:val="008864C8"/>
    <w:rsid w:val="00886C81"/>
    <w:rsid w:val="00890049"/>
    <w:rsid w:val="0089062A"/>
    <w:rsid w:val="0089077F"/>
    <w:rsid w:val="00891133"/>
    <w:rsid w:val="00891599"/>
    <w:rsid w:val="00891C83"/>
    <w:rsid w:val="00892088"/>
    <w:rsid w:val="0089220E"/>
    <w:rsid w:val="00892863"/>
    <w:rsid w:val="00892A3B"/>
    <w:rsid w:val="00893DFB"/>
    <w:rsid w:val="008942E8"/>
    <w:rsid w:val="008943D4"/>
    <w:rsid w:val="00894695"/>
    <w:rsid w:val="008962BE"/>
    <w:rsid w:val="00896AC9"/>
    <w:rsid w:val="00896C1F"/>
    <w:rsid w:val="00897785"/>
    <w:rsid w:val="00897CB6"/>
    <w:rsid w:val="00897FCC"/>
    <w:rsid w:val="008A071C"/>
    <w:rsid w:val="008A0C58"/>
    <w:rsid w:val="008A11D3"/>
    <w:rsid w:val="008A1201"/>
    <w:rsid w:val="008A1307"/>
    <w:rsid w:val="008A1367"/>
    <w:rsid w:val="008A13C7"/>
    <w:rsid w:val="008A1DB8"/>
    <w:rsid w:val="008A33AB"/>
    <w:rsid w:val="008A3492"/>
    <w:rsid w:val="008A37EF"/>
    <w:rsid w:val="008A42FA"/>
    <w:rsid w:val="008A456B"/>
    <w:rsid w:val="008A4B56"/>
    <w:rsid w:val="008A585D"/>
    <w:rsid w:val="008A5931"/>
    <w:rsid w:val="008A6447"/>
    <w:rsid w:val="008A6541"/>
    <w:rsid w:val="008A69EC"/>
    <w:rsid w:val="008A6B8A"/>
    <w:rsid w:val="008A6F4A"/>
    <w:rsid w:val="008A787E"/>
    <w:rsid w:val="008A7C93"/>
    <w:rsid w:val="008B07F9"/>
    <w:rsid w:val="008B0F80"/>
    <w:rsid w:val="008B1153"/>
    <w:rsid w:val="008B15F2"/>
    <w:rsid w:val="008B1B01"/>
    <w:rsid w:val="008B2331"/>
    <w:rsid w:val="008B2354"/>
    <w:rsid w:val="008B2793"/>
    <w:rsid w:val="008B3038"/>
    <w:rsid w:val="008B40D9"/>
    <w:rsid w:val="008B414C"/>
    <w:rsid w:val="008B42C4"/>
    <w:rsid w:val="008B4320"/>
    <w:rsid w:val="008B4649"/>
    <w:rsid w:val="008B493E"/>
    <w:rsid w:val="008B539A"/>
    <w:rsid w:val="008B53FC"/>
    <w:rsid w:val="008B5DCD"/>
    <w:rsid w:val="008B60BB"/>
    <w:rsid w:val="008B68CE"/>
    <w:rsid w:val="008B6AFF"/>
    <w:rsid w:val="008B6E85"/>
    <w:rsid w:val="008B714E"/>
    <w:rsid w:val="008B7707"/>
    <w:rsid w:val="008B7A44"/>
    <w:rsid w:val="008B7A50"/>
    <w:rsid w:val="008C033F"/>
    <w:rsid w:val="008C0390"/>
    <w:rsid w:val="008C0B3E"/>
    <w:rsid w:val="008C1278"/>
    <w:rsid w:val="008C12DE"/>
    <w:rsid w:val="008C1400"/>
    <w:rsid w:val="008C1A8B"/>
    <w:rsid w:val="008C1E46"/>
    <w:rsid w:val="008C20F4"/>
    <w:rsid w:val="008C2CCF"/>
    <w:rsid w:val="008C337A"/>
    <w:rsid w:val="008C4527"/>
    <w:rsid w:val="008C4A97"/>
    <w:rsid w:val="008C586B"/>
    <w:rsid w:val="008C6701"/>
    <w:rsid w:val="008C6E59"/>
    <w:rsid w:val="008C75FE"/>
    <w:rsid w:val="008C7A69"/>
    <w:rsid w:val="008D00D3"/>
    <w:rsid w:val="008D0BA0"/>
    <w:rsid w:val="008D0C47"/>
    <w:rsid w:val="008D1DDB"/>
    <w:rsid w:val="008D1E64"/>
    <w:rsid w:val="008D215C"/>
    <w:rsid w:val="008D2527"/>
    <w:rsid w:val="008D2584"/>
    <w:rsid w:val="008D2937"/>
    <w:rsid w:val="008D35F9"/>
    <w:rsid w:val="008D39D7"/>
    <w:rsid w:val="008D3BF7"/>
    <w:rsid w:val="008D4BB1"/>
    <w:rsid w:val="008D534C"/>
    <w:rsid w:val="008D59A5"/>
    <w:rsid w:val="008D5BB7"/>
    <w:rsid w:val="008D5E72"/>
    <w:rsid w:val="008D6187"/>
    <w:rsid w:val="008D7217"/>
    <w:rsid w:val="008D76DC"/>
    <w:rsid w:val="008D7A85"/>
    <w:rsid w:val="008D7AB1"/>
    <w:rsid w:val="008E0454"/>
    <w:rsid w:val="008E0ED9"/>
    <w:rsid w:val="008E1948"/>
    <w:rsid w:val="008E1A08"/>
    <w:rsid w:val="008E1ECD"/>
    <w:rsid w:val="008E22E9"/>
    <w:rsid w:val="008E2316"/>
    <w:rsid w:val="008E2516"/>
    <w:rsid w:val="008E3341"/>
    <w:rsid w:val="008E36FA"/>
    <w:rsid w:val="008E3D51"/>
    <w:rsid w:val="008E40E2"/>
    <w:rsid w:val="008E5086"/>
    <w:rsid w:val="008E5113"/>
    <w:rsid w:val="008E5C3C"/>
    <w:rsid w:val="008E6834"/>
    <w:rsid w:val="008E74CF"/>
    <w:rsid w:val="008E7524"/>
    <w:rsid w:val="008F059A"/>
    <w:rsid w:val="008F0923"/>
    <w:rsid w:val="008F10A1"/>
    <w:rsid w:val="008F130A"/>
    <w:rsid w:val="008F1C04"/>
    <w:rsid w:val="008F2788"/>
    <w:rsid w:val="008F2BA4"/>
    <w:rsid w:val="008F2F90"/>
    <w:rsid w:val="008F444D"/>
    <w:rsid w:val="008F4535"/>
    <w:rsid w:val="008F4847"/>
    <w:rsid w:val="008F5321"/>
    <w:rsid w:val="008F6AD1"/>
    <w:rsid w:val="008F71FE"/>
    <w:rsid w:val="008F7282"/>
    <w:rsid w:val="008F7A02"/>
    <w:rsid w:val="008F7F52"/>
    <w:rsid w:val="0090096A"/>
    <w:rsid w:val="00900A89"/>
    <w:rsid w:val="00901017"/>
    <w:rsid w:val="00901EA2"/>
    <w:rsid w:val="00902284"/>
    <w:rsid w:val="009023D4"/>
    <w:rsid w:val="00902CE5"/>
    <w:rsid w:val="00903260"/>
    <w:rsid w:val="009042AC"/>
    <w:rsid w:val="00904B6B"/>
    <w:rsid w:val="00904EA2"/>
    <w:rsid w:val="0090509A"/>
    <w:rsid w:val="00905888"/>
    <w:rsid w:val="00905923"/>
    <w:rsid w:val="00907C64"/>
    <w:rsid w:val="0091069C"/>
    <w:rsid w:val="00910AB4"/>
    <w:rsid w:val="00910ABE"/>
    <w:rsid w:val="00910CA5"/>
    <w:rsid w:val="00910DEC"/>
    <w:rsid w:val="00911176"/>
    <w:rsid w:val="009113F4"/>
    <w:rsid w:val="009124DF"/>
    <w:rsid w:val="00913075"/>
    <w:rsid w:val="009134E8"/>
    <w:rsid w:val="00913C9A"/>
    <w:rsid w:val="00914022"/>
    <w:rsid w:val="00914060"/>
    <w:rsid w:val="0091419E"/>
    <w:rsid w:val="00914A6C"/>
    <w:rsid w:val="00914C20"/>
    <w:rsid w:val="00914D79"/>
    <w:rsid w:val="00914F92"/>
    <w:rsid w:val="0091546F"/>
    <w:rsid w:val="009158F8"/>
    <w:rsid w:val="009159CF"/>
    <w:rsid w:val="009161DC"/>
    <w:rsid w:val="00916AF8"/>
    <w:rsid w:val="00916F3B"/>
    <w:rsid w:val="00916FB1"/>
    <w:rsid w:val="00917229"/>
    <w:rsid w:val="009203F0"/>
    <w:rsid w:val="00920D10"/>
    <w:rsid w:val="00920F1A"/>
    <w:rsid w:val="00921278"/>
    <w:rsid w:val="00921BF2"/>
    <w:rsid w:val="009227B4"/>
    <w:rsid w:val="009229C8"/>
    <w:rsid w:val="00923099"/>
    <w:rsid w:val="0092391A"/>
    <w:rsid w:val="00923D29"/>
    <w:rsid w:val="00923F82"/>
    <w:rsid w:val="0092407E"/>
    <w:rsid w:val="009249B8"/>
    <w:rsid w:val="00924BAF"/>
    <w:rsid w:val="009253A5"/>
    <w:rsid w:val="00925A34"/>
    <w:rsid w:val="00925C7F"/>
    <w:rsid w:val="00925E83"/>
    <w:rsid w:val="00926169"/>
    <w:rsid w:val="00927BA7"/>
    <w:rsid w:val="00930385"/>
    <w:rsid w:val="00930A57"/>
    <w:rsid w:val="00930DA1"/>
    <w:rsid w:val="00930F20"/>
    <w:rsid w:val="009310A0"/>
    <w:rsid w:val="0093143E"/>
    <w:rsid w:val="00931CAC"/>
    <w:rsid w:val="00931D64"/>
    <w:rsid w:val="009328A4"/>
    <w:rsid w:val="00932A41"/>
    <w:rsid w:val="00932B28"/>
    <w:rsid w:val="00932C61"/>
    <w:rsid w:val="00933309"/>
    <w:rsid w:val="0093370B"/>
    <w:rsid w:val="00933DE3"/>
    <w:rsid w:val="009348CE"/>
    <w:rsid w:val="00934A27"/>
    <w:rsid w:val="0093512B"/>
    <w:rsid w:val="009354DD"/>
    <w:rsid w:val="00935F39"/>
    <w:rsid w:val="0093689B"/>
    <w:rsid w:val="00936F99"/>
    <w:rsid w:val="0093745A"/>
    <w:rsid w:val="00937B1A"/>
    <w:rsid w:val="00937F36"/>
    <w:rsid w:val="00937F98"/>
    <w:rsid w:val="009402BC"/>
    <w:rsid w:val="00940BC7"/>
    <w:rsid w:val="00940F61"/>
    <w:rsid w:val="009415B6"/>
    <w:rsid w:val="009416CB"/>
    <w:rsid w:val="00941995"/>
    <w:rsid w:val="00942534"/>
    <w:rsid w:val="00942691"/>
    <w:rsid w:val="009428E5"/>
    <w:rsid w:val="00942BF6"/>
    <w:rsid w:val="00942FDE"/>
    <w:rsid w:val="00943053"/>
    <w:rsid w:val="0094335B"/>
    <w:rsid w:val="009438B2"/>
    <w:rsid w:val="00943AF7"/>
    <w:rsid w:val="009440E7"/>
    <w:rsid w:val="00944171"/>
    <w:rsid w:val="00944261"/>
    <w:rsid w:val="00944528"/>
    <w:rsid w:val="00945ECC"/>
    <w:rsid w:val="0094613E"/>
    <w:rsid w:val="00946436"/>
    <w:rsid w:val="00946AFF"/>
    <w:rsid w:val="00946CE2"/>
    <w:rsid w:val="009475E9"/>
    <w:rsid w:val="009478B1"/>
    <w:rsid w:val="009479F7"/>
    <w:rsid w:val="00947D9C"/>
    <w:rsid w:val="00950A18"/>
    <w:rsid w:val="00952767"/>
    <w:rsid w:val="00952F3F"/>
    <w:rsid w:val="00953324"/>
    <w:rsid w:val="00953519"/>
    <w:rsid w:val="00953AD1"/>
    <w:rsid w:val="00953EE9"/>
    <w:rsid w:val="009541CE"/>
    <w:rsid w:val="009545DE"/>
    <w:rsid w:val="00954979"/>
    <w:rsid w:val="00954A09"/>
    <w:rsid w:val="00954A41"/>
    <w:rsid w:val="00954C57"/>
    <w:rsid w:val="00955256"/>
    <w:rsid w:val="009557E6"/>
    <w:rsid w:val="00955DD1"/>
    <w:rsid w:val="00956346"/>
    <w:rsid w:val="00956B6B"/>
    <w:rsid w:val="0095732A"/>
    <w:rsid w:val="009607EF"/>
    <w:rsid w:val="00960973"/>
    <w:rsid w:val="00960D81"/>
    <w:rsid w:val="0096104B"/>
    <w:rsid w:val="0096183E"/>
    <w:rsid w:val="00962AD7"/>
    <w:rsid w:val="00962EB3"/>
    <w:rsid w:val="00963B2B"/>
    <w:rsid w:val="00963CAF"/>
    <w:rsid w:val="009645AA"/>
    <w:rsid w:val="00965028"/>
    <w:rsid w:val="0096646E"/>
    <w:rsid w:val="009664DD"/>
    <w:rsid w:val="00966551"/>
    <w:rsid w:val="00966995"/>
    <w:rsid w:val="00966AB8"/>
    <w:rsid w:val="00966F9A"/>
    <w:rsid w:val="00967768"/>
    <w:rsid w:val="0096798A"/>
    <w:rsid w:val="00967EAA"/>
    <w:rsid w:val="009709A7"/>
    <w:rsid w:val="009709FB"/>
    <w:rsid w:val="009711A7"/>
    <w:rsid w:val="00971DA4"/>
    <w:rsid w:val="009722F9"/>
    <w:rsid w:val="00973532"/>
    <w:rsid w:val="00974217"/>
    <w:rsid w:val="0097482F"/>
    <w:rsid w:val="00974A75"/>
    <w:rsid w:val="00975546"/>
    <w:rsid w:val="00975C44"/>
    <w:rsid w:val="00975C82"/>
    <w:rsid w:val="00976368"/>
    <w:rsid w:val="00976F78"/>
    <w:rsid w:val="009771AB"/>
    <w:rsid w:val="009774BF"/>
    <w:rsid w:val="00980490"/>
    <w:rsid w:val="009804B3"/>
    <w:rsid w:val="009807B8"/>
    <w:rsid w:val="0098095F"/>
    <w:rsid w:val="00980DE6"/>
    <w:rsid w:val="00981289"/>
    <w:rsid w:val="00981880"/>
    <w:rsid w:val="00981975"/>
    <w:rsid w:val="0098199E"/>
    <w:rsid w:val="00982A15"/>
    <w:rsid w:val="00982A68"/>
    <w:rsid w:val="00982FC4"/>
    <w:rsid w:val="00983933"/>
    <w:rsid w:val="00983CA9"/>
    <w:rsid w:val="009843EC"/>
    <w:rsid w:val="00984C50"/>
    <w:rsid w:val="00985AEC"/>
    <w:rsid w:val="00985B86"/>
    <w:rsid w:val="0098635C"/>
    <w:rsid w:val="0098639D"/>
    <w:rsid w:val="009866C9"/>
    <w:rsid w:val="00986BCA"/>
    <w:rsid w:val="00986E07"/>
    <w:rsid w:val="0098754C"/>
    <w:rsid w:val="00990411"/>
    <w:rsid w:val="009907E7"/>
    <w:rsid w:val="00991B59"/>
    <w:rsid w:val="00992C0C"/>
    <w:rsid w:val="0099465A"/>
    <w:rsid w:val="009948BA"/>
    <w:rsid w:val="009956EF"/>
    <w:rsid w:val="009968C2"/>
    <w:rsid w:val="009968DA"/>
    <w:rsid w:val="009969B6"/>
    <w:rsid w:val="00996C40"/>
    <w:rsid w:val="009973BA"/>
    <w:rsid w:val="009974DB"/>
    <w:rsid w:val="0099755B"/>
    <w:rsid w:val="00997EDA"/>
    <w:rsid w:val="009A0091"/>
    <w:rsid w:val="009A00C6"/>
    <w:rsid w:val="009A025E"/>
    <w:rsid w:val="009A034A"/>
    <w:rsid w:val="009A09E8"/>
    <w:rsid w:val="009A0DE7"/>
    <w:rsid w:val="009A1726"/>
    <w:rsid w:val="009A2273"/>
    <w:rsid w:val="009A26B6"/>
    <w:rsid w:val="009A26F9"/>
    <w:rsid w:val="009A2D1E"/>
    <w:rsid w:val="009A2D6F"/>
    <w:rsid w:val="009A47C1"/>
    <w:rsid w:val="009A54EB"/>
    <w:rsid w:val="009A56B7"/>
    <w:rsid w:val="009A5F2C"/>
    <w:rsid w:val="009A7550"/>
    <w:rsid w:val="009A7E82"/>
    <w:rsid w:val="009B031E"/>
    <w:rsid w:val="009B0510"/>
    <w:rsid w:val="009B1F6B"/>
    <w:rsid w:val="009B241A"/>
    <w:rsid w:val="009B2420"/>
    <w:rsid w:val="009B2FFA"/>
    <w:rsid w:val="009B35BD"/>
    <w:rsid w:val="009B3CE1"/>
    <w:rsid w:val="009B3D62"/>
    <w:rsid w:val="009B3E34"/>
    <w:rsid w:val="009B3EF9"/>
    <w:rsid w:val="009B4108"/>
    <w:rsid w:val="009B4450"/>
    <w:rsid w:val="009B4E26"/>
    <w:rsid w:val="009B50BC"/>
    <w:rsid w:val="009B5C88"/>
    <w:rsid w:val="009B62EE"/>
    <w:rsid w:val="009B65BA"/>
    <w:rsid w:val="009B67E7"/>
    <w:rsid w:val="009B6826"/>
    <w:rsid w:val="009B6A78"/>
    <w:rsid w:val="009B73EE"/>
    <w:rsid w:val="009B7CDD"/>
    <w:rsid w:val="009B7D88"/>
    <w:rsid w:val="009C15C0"/>
    <w:rsid w:val="009C1836"/>
    <w:rsid w:val="009C2403"/>
    <w:rsid w:val="009C36AD"/>
    <w:rsid w:val="009C4742"/>
    <w:rsid w:val="009C48E9"/>
    <w:rsid w:val="009C4AD1"/>
    <w:rsid w:val="009C5417"/>
    <w:rsid w:val="009C59C9"/>
    <w:rsid w:val="009C6A3E"/>
    <w:rsid w:val="009C6DB6"/>
    <w:rsid w:val="009C73F6"/>
    <w:rsid w:val="009C7405"/>
    <w:rsid w:val="009C7592"/>
    <w:rsid w:val="009C7964"/>
    <w:rsid w:val="009C79D1"/>
    <w:rsid w:val="009C79F1"/>
    <w:rsid w:val="009C7E41"/>
    <w:rsid w:val="009D0035"/>
    <w:rsid w:val="009D0083"/>
    <w:rsid w:val="009D07EE"/>
    <w:rsid w:val="009D1287"/>
    <w:rsid w:val="009D1E26"/>
    <w:rsid w:val="009D4043"/>
    <w:rsid w:val="009D41DD"/>
    <w:rsid w:val="009D57A2"/>
    <w:rsid w:val="009D6129"/>
    <w:rsid w:val="009E00C4"/>
    <w:rsid w:val="009E12B3"/>
    <w:rsid w:val="009E15C5"/>
    <w:rsid w:val="009E163B"/>
    <w:rsid w:val="009E1BF4"/>
    <w:rsid w:val="009E1E3C"/>
    <w:rsid w:val="009E2F63"/>
    <w:rsid w:val="009E396C"/>
    <w:rsid w:val="009E3B7E"/>
    <w:rsid w:val="009E46E3"/>
    <w:rsid w:val="009E481F"/>
    <w:rsid w:val="009E51EF"/>
    <w:rsid w:val="009E5349"/>
    <w:rsid w:val="009E536B"/>
    <w:rsid w:val="009E5540"/>
    <w:rsid w:val="009E5CBC"/>
    <w:rsid w:val="009E62E4"/>
    <w:rsid w:val="009E6AA9"/>
    <w:rsid w:val="009E6CB8"/>
    <w:rsid w:val="009F1200"/>
    <w:rsid w:val="009F1262"/>
    <w:rsid w:val="009F18B8"/>
    <w:rsid w:val="009F2341"/>
    <w:rsid w:val="009F2818"/>
    <w:rsid w:val="009F28D5"/>
    <w:rsid w:val="009F2990"/>
    <w:rsid w:val="009F2F42"/>
    <w:rsid w:val="009F34E3"/>
    <w:rsid w:val="009F35F6"/>
    <w:rsid w:val="009F399A"/>
    <w:rsid w:val="009F4169"/>
    <w:rsid w:val="009F4350"/>
    <w:rsid w:val="009F4947"/>
    <w:rsid w:val="009F4C78"/>
    <w:rsid w:val="009F50E5"/>
    <w:rsid w:val="009F5BB3"/>
    <w:rsid w:val="009F5DDA"/>
    <w:rsid w:val="009F5FFC"/>
    <w:rsid w:val="009F622D"/>
    <w:rsid w:val="009F64B2"/>
    <w:rsid w:val="009F670F"/>
    <w:rsid w:val="009F6B15"/>
    <w:rsid w:val="009F76A4"/>
    <w:rsid w:val="009F7B24"/>
    <w:rsid w:val="009F7B4D"/>
    <w:rsid w:val="009F7F9E"/>
    <w:rsid w:val="00A0130F"/>
    <w:rsid w:val="00A014C3"/>
    <w:rsid w:val="00A02A64"/>
    <w:rsid w:val="00A04140"/>
    <w:rsid w:val="00A04874"/>
    <w:rsid w:val="00A04C9E"/>
    <w:rsid w:val="00A04FDF"/>
    <w:rsid w:val="00A05300"/>
    <w:rsid w:val="00A06897"/>
    <w:rsid w:val="00A06948"/>
    <w:rsid w:val="00A06CD3"/>
    <w:rsid w:val="00A07583"/>
    <w:rsid w:val="00A077A2"/>
    <w:rsid w:val="00A103F0"/>
    <w:rsid w:val="00A1055C"/>
    <w:rsid w:val="00A10B75"/>
    <w:rsid w:val="00A10DFC"/>
    <w:rsid w:val="00A113E1"/>
    <w:rsid w:val="00A13135"/>
    <w:rsid w:val="00A13610"/>
    <w:rsid w:val="00A13777"/>
    <w:rsid w:val="00A14B0F"/>
    <w:rsid w:val="00A14E20"/>
    <w:rsid w:val="00A1501C"/>
    <w:rsid w:val="00A154D0"/>
    <w:rsid w:val="00A15B15"/>
    <w:rsid w:val="00A164F5"/>
    <w:rsid w:val="00A16523"/>
    <w:rsid w:val="00A16656"/>
    <w:rsid w:val="00A167E5"/>
    <w:rsid w:val="00A16EC3"/>
    <w:rsid w:val="00A1743F"/>
    <w:rsid w:val="00A178AF"/>
    <w:rsid w:val="00A17958"/>
    <w:rsid w:val="00A17D6A"/>
    <w:rsid w:val="00A17E5B"/>
    <w:rsid w:val="00A20054"/>
    <w:rsid w:val="00A201B0"/>
    <w:rsid w:val="00A2023E"/>
    <w:rsid w:val="00A20704"/>
    <w:rsid w:val="00A21C6A"/>
    <w:rsid w:val="00A21EA6"/>
    <w:rsid w:val="00A21F67"/>
    <w:rsid w:val="00A2299D"/>
    <w:rsid w:val="00A233F0"/>
    <w:rsid w:val="00A237D8"/>
    <w:rsid w:val="00A23995"/>
    <w:rsid w:val="00A2450D"/>
    <w:rsid w:val="00A24660"/>
    <w:rsid w:val="00A249EC"/>
    <w:rsid w:val="00A24A4E"/>
    <w:rsid w:val="00A25058"/>
    <w:rsid w:val="00A25118"/>
    <w:rsid w:val="00A2636E"/>
    <w:rsid w:val="00A26577"/>
    <w:rsid w:val="00A26D65"/>
    <w:rsid w:val="00A271C0"/>
    <w:rsid w:val="00A31B33"/>
    <w:rsid w:val="00A32052"/>
    <w:rsid w:val="00A322AE"/>
    <w:rsid w:val="00A32953"/>
    <w:rsid w:val="00A32A2F"/>
    <w:rsid w:val="00A330D0"/>
    <w:rsid w:val="00A3365B"/>
    <w:rsid w:val="00A337FB"/>
    <w:rsid w:val="00A33952"/>
    <w:rsid w:val="00A33E46"/>
    <w:rsid w:val="00A33F59"/>
    <w:rsid w:val="00A34858"/>
    <w:rsid w:val="00A34A21"/>
    <w:rsid w:val="00A34C90"/>
    <w:rsid w:val="00A34CB1"/>
    <w:rsid w:val="00A34E25"/>
    <w:rsid w:val="00A34FCB"/>
    <w:rsid w:val="00A35E93"/>
    <w:rsid w:val="00A35E9F"/>
    <w:rsid w:val="00A36359"/>
    <w:rsid w:val="00A36A0D"/>
    <w:rsid w:val="00A374D7"/>
    <w:rsid w:val="00A40464"/>
    <w:rsid w:val="00A4064D"/>
    <w:rsid w:val="00A40ABA"/>
    <w:rsid w:val="00A41068"/>
    <w:rsid w:val="00A412EA"/>
    <w:rsid w:val="00A41737"/>
    <w:rsid w:val="00A426B6"/>
    <w:rsid w:val="00A427C9"/>
    <w:rsid w:val="00A42898"/>
    <w:rsid w:val="00A42F8B"/>
    <w:rsid w:val="00A43754"/>
    <w:rsid w:val="00A43C12"/>
    <w:rsid w:val="00A4417B"/>
    <w:rsid w:val="00A442B9"/>
    <w:rsid w:val="00A444C0"/>
    <w:rsid w:val="00A453DD"/>
    <w:rsid w:val="00A455CF"/>
    <w:rsid w:val="00A45607"/>
    <w:rsid w:val="00A45869"/>
    <w:rsid w:val="00A458A7"/>
    <w:rsid w:val="00A46C15"/>
    <w:rsid w:val="00A46D49"/>
    <w:rsid w:val="00A47828"/>
    <w:rsid w:val="00A4796D"/>
    <w:rsid w:val="00A47F3D"/>
    <w:rsid w:val="00A50388"/>
    <w:rsid w:val="00A511CF"/>
    <w:rsid w:val="00A512D6"/>
    <w:rsid w:val="00A524B2"/>
    <w:rsid w:val="00A5260E"/>
    <w:rsid w:val="00A53108"/>
    <w:rsid w:val="00A5387A"/>
    <w:rsid w:val="00A5462B"/>
    <w:rsid w:val="00A54761"/>
    <w:rsid w:val="00A54ADA"/>
    <w:rsid w:val="00A54CA2"/>
    <w:rsid w:val="00A55850"/>
    <w:rsid w:val="00A55A44"/>
    <w:rsid w:val="00A55FDC"/>
    <w:rsid w:val="00A56580"/>
    <w:rsid w:val="00A56FB2"/>
    <w:rsid w:val="00A5716A"/>
    <w:rsid w:val="00A576DD"/>
    <w:rsid w:val="00A60057"/>
    <w:rsid w:val="00A609D2"/>
    <w:rsid w:val="00A60EE9"/>
    <w:rsid w:val="00A61758"/>
    <w:rsid w:val="00A62022"/>
    <w:rsid w:val="00A6213E"/>
    <w:rsid w:val="00A62148"/>
    <w:rsid w:val="00A6226A"/>
    <w:rsid w:val="00A62282"/>
    <w:rsid w:val="00A6257C"/>
    <w:rsid w:val="00A627CA"/>
    <w:rsid w:val="00A62B0A"/>
    <w:rsid w:val="00A63D2C"/>
    <w:rsid w:val="00A63DF3"/>
    <w:rsid w:val="00A63FD9"/>
    <w:rsid w:val="00A64465"/>
    <w:rsid w:val="00A64797"/>
    <w:rsid w:val="00A64BB4"/>
    <w:rsid w:val="00A6539D"/>
    <w:rsid w:val="00A65A64"/>
    <w:rsid w:val="00A66091"/>
    <w:rsid w:val="00A664D2"/>
    <w:rsid w:val="00A66868"/>
    <w:rsid w:val="00A66879"/>
    <w:rsid w:val="00A66906"/>
    <w:rsid w:val="00A67F39"/>
    <w:rsid w:val="00A70F0D"/>
    <w:rsid w:val="00A716AB"/>
    <w:rsid w:val="00A71714"/>
    <w:rsid w:val="00A71CDD"/>
    <w:rsid w:val="00A7283C"/>
    <w:rsid w:val="00A72BE0"/>
    <w:rsid w:val="00A72E65"/>
    <w:rsid w:val="00A73B61"/>
    <w:rsid w:val="00A73FC7"/>
    <w:rsid w:val="00A73FDA"/>
    <w:rsid w:val="00A744B2"/>
    <w:rsid w:val="00A745AB"/>
    <w:rsid w:val="00A74A5A"/>
    <w:rsid w:val="00A7572F"/>
    <w:rsid w:val="00A7575D"/>
    <w:rsid w:val="00A75833"/>
    <w:rsid w:val="00A75DAD"/>
    <w:rsid w:val="00A75FE6"/>
    <w:rsid w:val="00A76713"/>
    <w:rsid w:val="00A76958"/>
    <w:rsid w:val="00A7707B"/>
    <w:rsid w:val="00A77534"/>
    <w:rsid w:val="00A77A25"/>
    <w:rsid w:val="00A77DF5"/>
    <w:rsid w:val="00A8065A"/>
    <w:rsid w:val="00A809ED"/>
    <w:rsid w:val="00A810E3"/>
    <w:rsid w:val="00A81FF7"/>
    <w:rsid w:val="00A82005"/>
    <w:rsid w:val="00A826D7"/>
    <w:rsid w:val="00A82ADB"/>
    <w:rsid w:val="00A82F7F"/>
    <w:rsid w:val="00A83349"/>
    <w:rsid w:val="00A839C3"/>
    <w:rsid w:val="00A83A0E"/>
    <w:rsid w:val="00A84A9D"/>
    <w:rsid w:val="00A84EFC"/>
    <w:rsid w:val="00A85126"/>
    <w:rsid w:val="00A8541F"/>
    <w:rsid w:val="00A85ED6"/>
    <w:rsid w:val="00A8610E"/>
    <w:rsid w:val="00A863B5"/>
    <w:rsid w:val="00A86470"/>
    <w:rsid w:val="00A864C0"/>
    <w:rsid w:val="00A86896"/>
    <w:rsid w:val="00A86E08"/>
    <w:rsid w:val="00A87501"/>
    <w:rsid w:val="00A875B0"/>
    <w:rsid w:val="00A91590"/>
    <w:rsid w:val="00A93003"/>
    <w:rsid w:val="00A9426F"/>
    <w:rsid w:val="00A956B3"/>
    <w:rsid w:val="00A9585B"/>
    <w:rsid w:val="00A96974"/>
    <w:rsid w:val="00A9769A"/>
    <w:rsid w:val="00A97EC7"/>
    <w:rsid w:val="00AA0405"/>
    <w:rsid w:val="00AA099A"/>
    <w:rsid w:val="00AA119C"/>
    <w:rsid w:val="00AA19E4"/>
    <w:rsid w:val="00AA1DF1"/>
    <w:rsid w:val="00AA2055"/>
    <w:rsid w:val="00AA20A2"/>
    <w:rsid w:val="00AA284A"/>
    <w:rsid w:val="00AA2D9D"/>
    <w:rsid w:val="00AA2DF0"/>
    <w:rsid w:val="00AA38BF"/>
    <w:rsid w:val="00AA46AE"/>
    <w:rsid w:val="00AA5667"/>
    <w:rsid w:val="00AA5B35"/>
    <w:rsid w:val="00AA5FEB"/>
    <w:rsid w:val="00AA6371"/>
    <w:rsid w:val="00AA704D"/>
    <w:rsid w:val="00AA705A"/>
    <w:rsid w:val="00AA722B"/>
    <w:rsid w:val="00AA7693"/>
    <w:rsid w:val="00AB06DF"/>
    <w:rsid w:val="00AB1298"/>
    <w:rsid w:val="00AB1F9B"/>
    <w:rsid w:val="00AB2054"/>
    <w:rsid w:val="00AB24A7"/>
    <w:rsid w:val="00AB2F67"/>
    <w:rsid w:val="00AB387C"/>
    <w:rsid w:val="00AB3BDC"/>
    <w:rsid w:val="00AB4567"/>
    <w:rsid w:val="00AB4AF2"/>
    <w:rsid w:val="00AB5812"/>
    <w:rsid w:val="00AB5EAC"/>
    <w:rsid w:val="00AB66C1"/>
    <w:rsid w:val="00AB6AA3"/>
    <w:rsid w:val="00AB735C"/>
    <w:rsid w:val="00AB7B66"/>
    <w:rsid w:val="00AC017D"/>
    <w:rsid w:val="00AC0D83"/>
    <w:rsid w:val="00AC1210"/>
    <w:rsid w:val="00AC123E"/>
    <w:rsid w:val="00AC1892"/>
    <w:rsid w:val="00AC3F43"/>
    <w:rsid w:val="00AC4232"/>
    <w:rsid w:val="00AC4BA7"/>
    <w:rsid w:val="00AC4D0A"/>
    <w:rsid w:val="00AC5282"/>
    <w:rsid w:val="00AC59A6"/>
    <w:rsid w:val="00AC5CA5"/>
    <w:rsid w:val="00AC5E7E"/>
    <w:rsid w:val="00AC6388"/>
    <w:rsid w:val="00AC672E"/>
    <w:rsid w:val="00AC6F3F"/>
    <w:rsid w:val="00AC6F73"/>
    <w:rsid w:val="00AC7D09"/>
    <w:rsid w:val="00AD0A2B"/>
    <w:rsid w:val="00AD0B04"/>
    <w:rsid w:val="00AD0DF3"/>
    <w:rsid w:val="00AD0EEC"/>
    <w:rsid w:val="00AD1152"/>
    <w:rsid w:val="00AD1CEB"/>
    <w:rsid w:val="00AD21D5"/>
    <w:rsid w:val="00AD2735"/>
    <w:rsid w:val="00AD2FE0"/>
    <w:rsid w:val="00AD3015"/>
    <w:rsid w:val="00AD378B"/>
    <w:rsid w:val="00AD3CC5"/>
    <w:rsid w:val="00AD42A6"/>
    <w:rsid w:val="00AD454C"/>
    <w:rsid w:val="00AD48F8"/>
    <w:rsid w:val="00AD4909"/>
    <w:rsid w:val="00AD4B3D"/>
    <w:rsid w:val="00AD5049"/>
    <w:rsid w:val="00AD5C77"/>
    <w:rsid w:val="00AD602E"/>
    <w:rsid w:val="00AD6635"/>
    <w:rsid w:val="00AD7110"/>
    <w:rsid w:val="00AD72A9"/>
    <w:rsid w:val="00AD739C"/>
    <w:rsid w:val="00AE1592"/>
    <w:rsid w:val="00AE1C9E"/>
    <w:rsid w:val="00AE2A1F"/>
    <w:rsid w:val="00AE4565"/>
    <w:rsid w:val="00AE4719"/>
    <w:rsid w:val="00AE4A1A"/>
    <w:rsid w:val="00AE5371"/>
    <w:rsid w:val="00AE5C4B"/>
    <w:rsid w:val="00AE5DC5"/>
    <w:rsid w:val="00AE703F"/>
    <w:rsid w:val="00AE7435"/>
    <w:rsid w:val="00AE7A49"/>
    <w:rsid w:val="00AE7BB9"/>
    <w:rsid w:val="00AF01A4"/>
    <w:rsid w:val="00AF0299"/>
    <w:rsid w:val="00AF0495"/>
    <w:rsid w:val="00AF09CD"/>
    <w:rsid w:val="00AF0EDA"/>
    <w:rsid w:val="00AF154D"/>
    <w:rsid w:val="00AF1576"/>
    <w:rsid w:val="00AF1632"/>
    <w:rsid w:val="00AF1683"/>
    <w:rsid w:val="00AF1891"/>
    <w:rsid w:val="00AF204C"/>
    <w:rsid w:val="00AF226D"/>
    <w:rsid w:val="00AF24E6"/>
    <w:rsid w:val="00AF2F7B"/>
    <w:rsid w:val="00AF316C"/>
    <w:rsid w:val="00AF35AD"/>
    <w:rsid w:val="00AF3E3C"/>
    <w:rsid w:val="00AF3EC1"/>
    <w:rsid w:val="00AF3F68"/>
    <w:rsid w:val="00AF468D"/>
    <w:rsid w:val="00AF47A3"/>
    <w:rsid w:val="00AF4CAA"/>
    <w:rsid w:val="00AF5302"/>
    <w:rsid w:val="00AF5C15"/>
    <w:rsid w:val="00AF66E4"/>
    <w:rsid w:val="00AF711E"/>
    <w:rsid w:val="00AF718C"/>
    <w:rsid w:val="00AF7801"/>
    <w:rsid w:val="00B01BAD"/>
    <w:rsid w:val="00B02A46"/>
    <w:rsid w:val="00B02F6A"/>
    <w:rsid w:val="00B02FFE"/>
    <w:rsid w:val="00B03382"/>
    <w:rsid w:val="00B033D4"/>
    <w:rsid w:val="00B038DB"/>
    <w:rsid w:val="00B03A12"/>
    <w:rsid w:val="00B047B2"/>
    <w:rsid w:val="00B04F89"/>
    <w:rsid w:val="00B05020"/>
    <w:rsid w:val="00B053D2"/>
    <w:rsid w:val="00B05D6A"/>
    <w:rsid w:val="00B063DF"/>
    <w:rsid w:val="00B06535"/>
    <w:rsid w:val="00B067F8"/>
    <w:rsid w:val="00B070E4"/>
    <w:rsid w:val="00B10544"/>
    <w:rsid w:val="00B1084A"/>
    <w:rsid w:val="00B1118F"/>
    <w:rsid w:val="00B11338"/>
    <w:rsid w:val="00B12641"/>
    <w:rsid w:val="00B130D8"/>
    <w:rsid w:val="00B1371B"/>
    <w:rsid w:val="00B13F83"/>
    <w:rsid w:val="00B1456D"/>
    <w:rsid w:val="00B1501A"/>
    <w:rsid w:val="00B15228"/>
    <w:rsid w:val="00B154BF"/>
    <w:rsid w:val="00B154ED"/>
    <w:rsid w:val="00B15704"/>
    <w:rsid w:val="00B1687D"/>
    <w:rsid w:val="00B16EBB"/>
    <w:rsid w:val="00B17709"/>
    <w:rsid w:val="00B17977"/>
    <w:rsid w:val="00B20151"/>
    <w:rsid w:val="00B20194"/>
    <w:rsid w:val="00B207A5"/>
    <w:rsid w:val="00B21075"/>
    <w:rsid w:val="00B213FF"/>
    <w:rsid w:val="00B21429"/>
    <w:rsid w:val="00B216AA"/>
    <w:rsid w:val="00B22909"/>
    <w:rsid w:val="00B23179"/>
    <w:rsid w:val="00B2457B"/>
    <w:rsid w:val="00B24D70"/>
    <w:rsid w:val="00B25B6B"/>
    <w:rsid w:val="00B260EE"/>
    <w:rsid w:val="00B264D5"/>
    <w:rsid w:val="00B2656B"/>
    <w:rsid w:val="00B2660F"/>
    <w:rsid w:val="00B266CD"/>
    <w:rsid w:val="00B2685C"/>
    <w:rsid w:val="00B276E5"/>
    <w:rsid w:val="00B27D41"/>
    <w:rsid w:val="00B3024E"/>
    <w:rsid w:val="00B3048F"/>
    <w:rsid w:val="00B304B3"/>
    <w:rsid w:val="00B30B05"/>
    <w:rsid w:val="00B3262A"/>
    <w:rsid w:val="00B32B2B"/>
    <w:rsid w:val="00B32C23"/>
    <w:rsid w:val="00B32F5C"/>
    <w:rsid w:val="00B3362D"/>
    <w:rsid w:val="00B33852"/>
    <w:rsid w:val="00B33B6A"/>
    <w:rsid w:val="00B34742"/>
    <w:rsid w:val="00B34AEE"/>
    <w:rsid w:val="00B34F54"/>
    <w:rsid w:val="00B35817"/>
    <w:rsid w:val="00B35F83"/>
    <w:rsid w:val="00B3630E"/>
    <w:rsid w:val="00B36746"/>
    <w:rsid w:val="00B367D7"/>
    <w:rsid w:val="00B36890"/>
    <w:rsid w:val="00B36CEA"/>
    <w:rsid w:val="00B36DCA"/>
    <w:rsid w:val="00B37B3D"/>
    <w:rsid w:val="00B402C3"/>
    <w:rsid w:val="00B4042F"/>
    <w:rsid w:val="00B40BB3"/>
    <w:rsid w:val="00B40BDC"/>
    <w:rsid w:val="00B419DE"/>
    <w:rsid w:val="00B424A9"/>
    <w:rsid w:val="00B4274E"/>
    <w:rsid w:val="00B42A1E"/>
    <w:rsid w:val="00B42DD2"/>
    <w:rsid w:val="00B44A8B"/>
    <w:rsid w:val="00B44C0E"/>
    <w:rsid w:val="00B469B3"/>
    <w:rsid w:val="00B472A6"/>
    <w:rsid w:val="00B4746C"/>
    <w:rsid w:val="00B47F94"/>
    <w:rsid w:val="00B50B9F"/>
    <w:rsid w:val="00B50C82"/>
    <w:rsid w:val="00B50F39"/>
    <w:rsid w:val="00B5154D"/>
    <w:rsid w:val="00B51FA9"/>
    <w:rsid w:val="00B5201F"/>
    <w:rsid w:val="00B521A5"/>
    <w:rsid w:val="00B52C7D"/>
    <w:rsid w:val="00B53400"/>
    <w:rsid w:val="00B53CF4"/>
    <w:rsid w:val="00B540DF"/>
    <w:rsid w:val="00B54B33"/>
    <w:rsid w:val="00B54C5A"/>
    <w:rsid w:val="00B54CE0"/>
    <w:rsid w:val="00B54DA8"/>
    <w:rsid w:val="00B555BD"/>
    <w:rsid w:val="00B55AAB"/>
    <w:rsid w:val="00B55C3D"/>
    <w:rsid w:val="00B55E99"/>
    <w:rsid w:val="00B55FF8"/>
    <w:rsid w:val="00B5607E"/>
    <w:rsid w:val="00B56A59"/>
    <w:rsid w:val="00B6012A"/>
    <w:rsid w:val="00B60888"/>
    <w:rsid w:val="00B60BE2"/>
    <w:rsid w:val="00B61103"/>
    <w:rsid w:val="00B612EC"/>
    <w:rsid w:val="00B6137E"/>
    <w:rsid w:val="00B615F8"/>
    <w:rsid w:val="00B61C74"/>
    <w:rsid w:val="00B62B54"/>
    <w:rsid w:val="00B65200"/>
    <w:rsid w:val="00B6545F"/>
    <w:rsid w:val="00B65FD0"/>
    <w:rsid w:val="00B662CB"/>
    <w:rsid w:val="00B66579"/>
    <w:rsid w:val="00B67400"/>
    <w:rsid w:val="00B67C0D"/>
    <w:rsid w:val="00B70119"/>
    <w:rsid w:val="00B70466"/>
    <w:rsid w:val="00B70491"/>
    <w:rsid w:val="00B706EC"/>
    <w:rsid w:val="00B714A2"/>
    <w:rsid w:val="00B71CC0"/>
    <w:rsid w:val="00B72143"/>
    <w:rsid w:val="00B729CE"/>
    <w:rsid w:val="00B73137"/>
    <w:rsid w:val="00B73567"/>
    <w:rsid w:val="00B7399A"/>
    <w:rsid w:val="00B73D76"/>
    <w:rsid w:val="00B7441C"/>
    <w:rsid w:val="00B744AB"/>
    <w:rsid w:val="00B74574"/>
    <w:rsid w:val="00B75939"/>
    <w:rsid w:val="00B75A5C"/>
    <w:rsid w:val="00B75EF0"/>
    <w:rsid w:val="00B77136"/>
    <w:rsid w:val="00B7735D"/>
    <w:rsid w:val="00B77733"/>
    <w:rsid w:val="00B77A03"/>
    <w:rsid w:val="00B77CA6"/>
    <w:rsid w:val="00B803CB"/>
    <w:rsid w:val="00B803E0"/>
    <w:rsid w:val="00B8044D"/>
    <w:rsid w:val="00B80DAA"/>
    <w:rsid w:val="00B81130"/>
    <w:rsid w:val="00B815E5"/>
    <w:rsid w:val="00B827DF"/>
    <w:rsid w:val="00B82C62"/>
    <w:rsid w:val="00B83211"/>
    <w:rsid w:val="00B83218"/>
    <w:rsid w:val="00B837CD"/>
    <w:rsid w:val="00B837EB"/>
    <w:rsid w:val="00B83A15"/>
    <w:rsid w:val="00B84885"/>
    <w:rsid w:val="00B8533F"/>
    <w:rsid w:val="00B85586"/>
    <w:rsid w:val="00B86161"/>
    <w:rsid w:val="00B86C8F"/>
    <w:rsid w:val="00B86DF5"/>
    <w:rsid w:val="00B900DD"/>
    <w:rsid w:val="00B90583"/>
    <w:rsid w:val="00B910DE"/>
    <w:rsid w:val="00B9114E"/>
    <w:rsid w:val="00B91C2E"/>
    <w:rsid w:val="00B91D66"/>
    <w:rsid w:val="00B92032"/>
    <w:rsid w:val="00B92837"/>
    <w:rsid w:val="00B92948"/>
    <w:rsid w:val="00B930C2"/>
    <w:rsid w:val="00B94FF6"/>
    <w:rsid w:val="00B95200"/>
    <w:rsid w:val="00B9532B"/>
    <w:rsid w:val="00B95629"/>
    <w:rsid w:val="00B9566C"/>
    <w:rsid w:val="00B95BCE"/>
    <w:rsid w:val="00B9676A"/>
    <w:rsid w:val="00B97859"/>
    <w:rsid w:val="00BA008C"/>
    <w:rsid w:val="00BA02D6"/>
    <w:rsid w:val="00BA0D18"/>
    <w:rsid w:val="00BA12F9"/>
    <w:rsid w:val="00BA15B0"/>
    <w:rsid w:val="00BA1D3E"/>
    <w:rsid w:val="00BA20EE"/>
    <w:rsid w:val="00BA2374"/>
    <w:rsid w:val="00BA2478"/>
    <w:rsid w:val="00BA2C34"/>
    <w:rsid w:val="00BA33DA"/>
    <w:rsid w:val="00BA3EF0"/>
    <w:rsid w:val="00BA458B"/>
    <w:rsid w:val="00BA5859"/>
    <w:rsid w:val="00BA59BB"/>
    <w:rsid w:val="00BA5DEA"/>
    <w:rsid w:val="00BA60E0"/>
    <w:rsid w:val="00BA644A"/>
    <w:rsid w:val="00BA6B3E"/>
    <w:rsid w:val="00BA7A23"/>
    <w:rsid w:val="00BA7A9C"/>
    <w:rsid w:val="00BA7E07"/>
    <w:rsid w:val="00BB003F"/>
    <w:rsid w:val="00BB020D"/>
    <w:rsid w:val="00BB0683"/>
    <w:rsid w:val="00BB0763"/>
    <w:rsid w:val="00BB23E1"/>
    <w:rsid w:val="00BB26A7"/>
    <w:rsid w:val="00BB2CA1"/>
    <w:rsid w:val="00BB2ED5"/>
    <w:rsid w:val="00BB2F1A"/>
    <w:rsid w:val="00BB43E7"/>
    <w:rsid w:val="00BB4E58"/>
    <w:rsid w:val="00BB66F2"/>
    <w:rsid w:val="00BB6C67"/>
    <w:rsid w:val="00BB6D02"/>
    <w:rsid w:val="00BB6F10"/>
    <w:rsid w:val="00BB7036"/>
    <w:rsid w:val="00BB7E40"/>
    <w:rsid w:val="00BC0B19"/>
    <w:rsid w:val="00BC17BB"/>
    <w:rsid w:val="00BC1CD2"/>
    <w:rsid w:val="00BC42C1"/>
    <w:rsid w:val="00BC45F6"/>
    <w:rsid w:val="00BC562F"/>
    <w:rsid w:val="00BC571F"/>
    <w:rsid w:val="00BC6529"/>
    <w:rsid w:val="00BC677E"/>
    <w:rsid w:val="00BC6F3A"/>
    <w:rsid w:val="00BC6FAB"/>
    <w:rsid w:val="00BC71CD"/>
    <w:rsid w:val="00BC7A5A"/>
    <w:rsid w:val="00BD003E"/>
    <w:rsid w:val="00BD0A8A"/>
    <w:rsid w:val="00BD0EEA"/>
    <w:rsid w:val="00BD10AF"/>
    <w:rsid w:val="00BD1200"/>
    <w:rsid w:val="00BD1BB0"/>
    <w:rsid w:val="00BD21F8"/>
    <w:rsid w:val="00BD2752"/>
    <w:rsid w:val="00BD2E66"/>
    <w:rsid w:val="00BD399E"/>
    <w:rsid w:val="00BD413E"/>
    <w:rsid w:val="00BD4676"/>
    <w:rsid w:val="00BD4AE8"/>
    <w:rsid w:val="00BD5069"/>
    <w:rsid w:val="00BD52AE"/>
    <w:rsid w:val="00BD57A6"/>
    <w:rsid w:val="00BD5E9F"/>
    <w:rsid w:val="00BD623E"/>
    <w:rsid w:val="00BD708D"/>
    <w:rsid w:val="00BD726D"/>
    <w:rsid w:val="00BD7822"/>
    <w:rsid w:val="00BD786A"/>
    <w:rsid w:val="00BD7C34"/>
    <w:rsid w:val="00BD7CAA"/>
    <w:rsid w:val="00BD7D84"/>
    <w:rsid w:val="00BE15CB"/>
    <w:rsid w:val="00BE1A97"/>
    <w:rsid w:val="00BE2191"/>
    <w:rsid w:val="00BE2E77"/>
    <w:rsid w:val="00BE313E"/>
    <w:rsid w:val="00BE3954"/>
    <w:rsid w:val="00BE44CB"/>
    <w:rsid w:val="00BE4ED4"/>
    <w:rsid w:val="00BE522D"/>
    <w:rsid w:val="00BE6233"/>
    <w:rsid w:val="00BE62C6"/>
    <w:rsid w:val="00BE67DA"/>
    <w:rsid w:val="00BE68DE"/>
    <w:rsid w:val="00BE7A5F"/>
    <w:rsid w:val="00BE7E58"/>
    <w:rsid w:val="00BF05FE"/>
    <w:rsid w:val="00BF060F"/>
    <w:rsid w:val="00BF0EAE"/>
    <w:rsid w:val="00BF19A7"/>
    <w:rsid w:val="00BF1CB1"/>
    <w:rsid w:val="00BF368D"/>
    <w:rsid w:val="00BF3FC9"/>
    <w:rsid w:val="00BF489D"/>
    <w:rsid w:val="00BF4C2B"/>
    <w:rsid w:val="00BF5665"/>
    <w:rsid w:val="00BF5A5D"/>
    <w:rsid w:val="00BF5A95"/>
    <w:rsid w:val="00BF5C03"/>
    <w:rsid w:val="00BF61BC"/>
    <w:rsid w:val="00BF67BD"/>
    <w:rsid w:val="00BF6D3B"/>
    <w:rsid w:val="00BF79C9"/>
    <w:rsid w:val="00BF7B6A"/>
    <w:rsid w:val="00C01B91"/>
    <w:rsid w:val="00C01D1E"/>
    <w:rsid w:val="00C02892"/>
    <w:rsid w:val="00C028D8"/>
    <w:rsid w:val="00C02993"/>
    <w:rsid w:val="00C03397"/>
    <w:rsid w:val="00C03624"/>
    <w:rsid w:val="00C036C3"/>
    <w:rsid w:val="00C03B0E"/>
    <w:rsid w:val="00C03E7F"/>
    <w:rsid w:val="00C03FFB"/>
    <w:rsid w:val="00C04107"/>
    <w:rsid w:val="00C04DAE"/>
    <w:rsid w:val="00C05673"/>
    <w:rsid w:val="00C05819"/>
    <w:rsid w:val="00C05E1E"/>
    <w:rsid w:val="00C06310"/>
    <w:rsid w:val="00C06443"/>
    <w:rsid w:val="00C0653C"/>
    <w:rsid w:val="00C0690B"/>
    <w:rsid w:val="00C07985"/>
    <w:rsid w:val="00C07D2D"/>
    <w:rsid w:val="00C07E11"/>
    <w:rsid w:val="00C121B8"/>
    <w:rsid w:val="00C12A62"/>
    <w:rsid w:val="00C12F1D"/>
    <w:rsid w:val="00C13480"/>
    <w:rsid w:val="00C137B9"/>
    <w:rsid w:val="00C137F6"/>
    <w:rsid w:val="00C13BA2"/>
    <w:rsid w:val="00C14F78"/>
    <w:rsid w:val="00C154CB"/>
    <w:rsid w:val="00C158E6"/>
    <w:rsid w:val="00C15E01"/>
    <w:rsid w:val="00C15F55"/>
    <w:rsid w:val="00C15F8C"/>
    <w:rsid w:val="00C160E6"/>
    <w:rsid w:val="00C1646C"/>
    <w:rsid w:val="00C16E5A"/>
    <w:rsid w:val="00C16EC2"/>
    <w:rsid w:val="00C171A8"/>
    <w:rsid w:val="00C1748B"/>
    <w:rsid w:val="00C17ABF"/>
    <w:rsid w:val="00C17B18"/>
    <w:rsid w:val="00C17B72"/>
    <w:rsid w:val="00C17FF9"/>
    <w:rsid w:val="00C20899"/>
    <w:rsid w:val="00C21328"/>
    <w:rsid w:val="00C219DA"/>
    <w:rsid w:val="00C2294B"/>
    <w:rsid w:val="00C22BAE"/>
    <w:rsid w:val="00C22CCD"/>
    <w:rsid w:val="00C23785"/>
    <w:rsid w:val="00C23B9A"/>
    <w:rsid w:val="00C247BE"/>
    <w:rsid w:val="00C24E5B"/>
    <w:rsid w:val="00C258D5"/>
    <w:rsid w:val="00C2662B"/>
    <w:rsid w:val="00C27107"/>
    <w:rsid w:val="00C275D6"/>
    <w:rsid w:val="00C30EB0"/>
    <w:rsid w:val="00C316A2"/>
    <w:rsid w:val="00C31844"/>
    <w:rsid w:val="00C31A31"/>
    <w:rsid w:val="00C31A59"/>
    <w:rsid w:val="00C31E02"/>
    <w:rsid w:val="00C32395"/>
    <w:rsid w:val="00C325E9"/>
    <w:rsid w:val="00C334B7"/>
    <w:rsid w:val="00C33796"/>
    <w:rsid w:val="00C33A39"/>
    <w:rsid w:val="00C33CA6"/>
    <w:rsid w:val="00C34298"/>
    <w:rsid w:val="00C34F4C"/>
    <w:rsid w:val="00C350EE"/>
    <w:rsid w:val="00C358FB"/>
    <w:rsid w:val="00C35CE7"/>
    <w:rsid w:val="00C35F8C"/>
    <w:rsid w:val="00C3627B"/>
    <w:rsid w:val="00C365B3"/>
    <w:rsid w:val="00C3668E"/>
    <w:rsid w:val="00C367B9"/>
    <w:rsid w:val="00C370FB"/>
    <w:rsid w:val="00C408E7"/>
    <w:rsid w:val="00C40964"/>
    <w:rsid w:val="00C40F35"/>
    <w:rsid w:val="00C40F92"/>
    <w:rsid w:val="00C41589"/>
    <w:rsid w:val="00C42590"/>
    <w:rsid w:val="00C42958"/>
    <w:rsid w:val="00C43B47"/>
    <w:rsid w:val="00C43EBB"/>
    <w:rsid w:val="00C446ED"/>
    <w:rsid w:val="00C4494D"/>
    <w:rsid w:val="00C44B65"/>
    <w:rsid w:val="00C44B76"/>
    <w:rsid w:val="00C44C7C"/>
    <w:rsid w:val="00C45D06"/>
    <w:rsid w:val="00C45DD9"/>
    <w:rsid w:val="00C45EB0"/>
    <w:rsid w:val="00C46B16"/>
    <w:rsid w:val="00C46E2E"/>
    <w:rsid w:val="00C4701D"/>
    <w:rsid w:val="00C4742E"/>
    <w:rsid w:val="00C4797E"/>
    <w:rsid w:val="00C5037C"/>
    <w:rsid w:val="00C50D27"/>
    <w:rsid w:val="00C512F5"/>
    <w:rsid w:val="00C5177E"/>
    <w:rsid w:val="00C51852"/>
    <w:rsid w:val="00C5192E"/>
    <w:rsid w:val="00C522E7"/>
    <w:rsid w:val="00C53CAE"/>
    <w:rsid w:val="00C54064"/>
    <w:rsid w:val="00C541A3"/>
    <w:rsid w:val="00C541B4"/>
    <w:rsid w:val="00C5437F"/>
    <w:rsid w:val="00C54949"/>
    <w:rsid w:val="00C55C3B"/>
    <w:rsid w:val="00C5661E"/>
    <w:rsid w:val="00C567FD"/>
    <w:rsid w:val="00C56907"/>
    <w:rsid w:val="00C569E7"/>
    <w:rsid w:val="00C56C0B"/>
    <w:rsid w:val="00C5707D"/>
    <w:rsid w:val="00C57BB6"/>
    <w:rsid w:val="00C57D3D"/>
    <w:rsid w:val="00C60558"/>
    <w:rsid w:val="00C6149D"/>
    <w:rsid w:val="00C61664"/>
    <w:rsid w:val="00C61BD4"/>
    <w:rsid w:val="00C620E8"/>
    <w:rsid w:val="00C627BA"/>
    <w:rsid w:val="00C62880"/>
    <w:rsid w:val="00C62916"/>
    <w:rsid w:val="00C62A4D"/>
    <w:rsid w:val="00C62F39"/>
    <w:rsid w:val="00C63B12"/>
    <w:rsid w:val="00C649AA"/>
    <w:rsid w:val="00C651DA"/>
    <w:rsid w:val="00C65C14"/>
    <w:rsid w:val="00C65C38"/>
    <w:rsid w:val="00C66334"/>
    <w:rsid w:val="00C676D7"/>
    <w:rsid w:val="00C67E34"/>
    <w:rsid w:val="00C709ED"/>
    <w:rsid w:val="00C70BE3"/>
    <w:rsid w:val="00C70CBC"/>
    <w:rsid w:val="00C71619"/>
    <w:rsid w:val="00C72975"/>
    <w:rsid w:val="00C72C0D"/>
    <w:rsid w:val="00C7312C"/>
    <w:rsid w:val="00C736AA"/>
    <w:rsid w:val="00C73A26"/>
    <w:rsid w:val="00C748A9"/>
    <w:rsid w:val="00C74CC5"/>
    <w:rsid w:val="00C74DCA"/>
    <w:rsid w:val="00C752A9"/>
    <w:rsid w:val="00C75A62"/>
    <w:rsid w:val="00C75AE0"/>
    <w:rsid w:val="00C76802"/>
    <w:rsid w:val="00C76A92"/>
    <w:rsid w:val="00C76A98"/>
    <w:rsid w:val="00C76E11"/>
    <w:rsid w:val="00C77733"/>
    <w:rsid w:val="00C77ED5"/>
    <w:rsid w:val="00C77F09"/>
    <w:rsid w:val="00C80380"/>
    <w:rsid w:val="00C8081D"/>
    <w:rsid w:val="00C809C5"/>
    <w:rsid w:val="00C80DA0"/>
    <w:rsid w:val="00C80E95"/>
    <w:rsid w:val="00C81850"/>
    <w:rsid w:val="00C82191"/>
    <w:rsid w:val="00C8264D"/>
    <w:rsid w:val="00C8292F"/>
    <w:rsid w:val="00C82948"/>
    <w:rsid w:val="00C82BA2"/>
    <w:rsid w:val="00C82D59"/>
    <w:rsid w:val="00C82D81"/>
    <w:rsid w:val="00C844B0"/>
    <w:rsid w:val="00C84E20"/>
    <w:rsid w:val="00C850C0"/>
    <w:rsid w:val="00C85993"/>
    <w:rsid w:val="00C86211"/>
    <w:rsid w:val="00C864BC"/>
    <w:rsid w:val="00C864DE"/>
    <w:rsid w:val="00C868BF"/>
    <w:rsid w:val="00C869A1"/>
    <w:rsid w:val="00C900F8"/>
    <w:rsid w:val="00C9019F"/>
    <w:rsid w:val="00C90C12"/>
    <w:rsid w:val="00C91DAE"/>
    <w:rsid w:val="00C91E05"/>
    <w:rsid w:val="00C921D8"/>
    <w:rsid w:val="00C92B4F"/>
    <w:rsid w:val="00C9308F"/>
    <w:rsid w:val="00C93466"/>
    <w:rsid w:val="00C939FC"/>
    <w:rsid w:val="00C93B66"/>
    <w:rsid w:val="00C94207"/>
    <w:rsid w:val="00C945C7"/>
    <w:rsid w:val="00C948F7"/>
    <w:rsid w:val="00C956F5"/>
    <w:rsid w:val="00C9585E"/>
    <w:rsid w:val="00C95A1F"/>
    <w:rsid w:val="00C95B20"/>
    <w:rsid w:val="00C95BC6"/>
    <w:rsid w:val="00C96675"/>
    <w:rsid w:val="00C97BE3"/>
    <w:rsid w:val="00CA052C"/>
    <w:rsid w:val="00CA0934"/>
    <w:rsid w:val="00CA0BF8"/>
    <w:rsid w:val="00CA0D7B"/>
    <w:rsid w:val="00CA113D"/>
    <w:rsid w:val="00CA1223"/>
    <w:rsid w:val="00CA199D"/>
    <w:rsid w:val="00CA1AE4"/>
    <w:rsid w:val="00CA1CB3"/>
    <w:rsid w:val="00CA247A"/>
    <w:rsid w:val="00CA280C"/>
    <w:rsid w:val="00CA2B39"/>
    <w:rsid w:val="00CA328C"/>
    <w:rsid w:val="00CA35E7"/>
    <w:rsid w:val="00CA4118"/>
    <w:rsid w:val="00CA4B4A"/>
    <w:rsid w:val="00CA4CD0"/>
    <w:rsid w:val="00CA5186"/>
    <w:rsid w:val="00CA5EDE"/>
    <w:rsid w:val="00CA5F10"/>
    <w:rsid w:val="00CA70D9"/>
    <w:rsid w:val="00CA72CE"/>
    <w:rsid w:val="00CA77B5"/>
    <w:rsid w:val="00CA7C8F"/>
    <w:rsid w:val="00CB0A10"/>
    <w:rsid w:val="00CB0B42"/>
    <w:rsid w:val="00CB0F18"/>
    <w:rsid w:val="00CB170C"/>
    <w:rsid w:val="00CB22C9"/>
    <w:rsid w:val="00CB22FE"/>
    <w:rsid w:val="00CB2723"/>
    <w:rsid w:val="00CB2F06"/>
    <w:rsid w:val="00CB329C"/>
    <w:rsid w:val="00CB34D3"/>
    <w:rsid w:val="00CB354E"/>
    <w:rsid w:val="00CB36CF"/>
    <w:rsid w:val="00CB39B6"/>
    <w:rsid w:val="00CB3E00"/>
    <w:rsid w:val="00CB43A1"/>
    <w:rsid w:val="00CB46AA"/>
    <w:rsid w:val="00CB59FD"/>
    <w:rsid w:val="00CB5A64"/>
    <w:rsid w:val="00CB6046"/>
    <w:rsid w:val="00CB60F4"/>
    <w:rsid w:val="00CB6A8E"/>
    <w:rsid w:val="00CB6AB0"/>
    <w:rsid w:val="00CB6EE7"/>
    <w:rsid w:val="00CB6F9E"/>
    <w:rsid w:val="00CB79AA"/>
    <w:rsid w:val="00CC021C"/>
    <w:rsid w:val="00CC0618"/>
    <w:rsid w:val="00CC0CE8"/>
    <w:rsid w:val="00CC1319"/>
    <w:rsid w:val="00CC1A05"/>
    <w:rsid w:val="00CC1C46"/>
    <w:rsid w:val="00CC1F5A"/>
    <w:rsid w:val="00CC26A2"/>
    <w:rsid w:val="00CC2F10"/>
    <w:rsid w:val="00CC3268"/>
    <w:rsid w:val="00CC4DF8"/>
    <w:rsid w:val="00CC63DC"/>
    <w:rsid w:val="00CC69E3"/>
    <w:rsid w:val="00CC729D"/>
    <w:rsid w:val="00CC79A4"/>
    <w:rsid w:val="00CC7EFB"/>
    <w:rsid w:val="00CD0A30"/>
    <w:rsid w:val="00CD123B"/>
    <w:rsid w:val="00CD13E2"/>
    <w:rsid w:val="00CD1506"/>
    <w:rsid w:val="00CD1DD7"/>
    <w:rsid w:val="00CD1FD6"/>
    <w:rsid w:val="00CD212F"/>
    <w:rsid w:val="00CD2862"/>
    <w:rsid w:val="00CD29FE"/>
    <w:rsid w:val="00CD2A3D"/>
    <w:rsid w:val="00CD3657"/>
    <w:rsid w:val="00CD3C79"/>
    <w:rsid w:val="00CD44E4"/>
    <w:rsid w:val="00CD458B"/>
    <w:rsid w:val="00CD49DA"/>
    <w:rsid w:val="00CD4AB3"/>
    <w:rsid w:val="00CD5FA0"/>
    <w:rsid w:val="00CD6055"/>
    <w:rsid w:val="00CD6906"/>
    <w:rsid w:val="00CD6A76"/>
    <w:rsid w:val="00CE0415"/>
    <w:rsid w:val="00CE1C68"/>
    <w:rsid w:val="00CE1EDB"/>
    <w:rsid w:val="00CE1EE3"/>
    <w:rsid w:val="00CE3022"/>
    <w:rsid w:val="00CE3BDB"/>
    <w:rsid w:val="00CE4077"/>
    <w:rsid w:val="00CE4151"/>
    <w:rsid w:val="00CE43D7"/>
    <w:rsid w:val="00CE4453"/>
    <w:rsid w:val="00CE4D83"/>
    <w:rsid w:val="00CE5128"/>
    <w:rsid w:val="00CE5505"/>
    <w:rsid w:val="00CE5AB6"/>
    <w:rsid w:val="00CE6451"/>
    <w:rsid w:val="00CE6E85"/>
    <w:rsid w:val="00CE71E9"/>
    <w:rsid w:val="00CE73F6"/>
    <w:rsid w:val="00CE78E7"/>
    <w:rsid w:val="00CF07D1"/>
    <w:rsid w:val="00CF0B6E"/>
    <w:rsid w:val="00CF1344"/>
    <w:rsid w:val="00CF1875"/>
    <w:rsid w:val="00CF1C50"/>
    <w:rsid w:val="00CF212B"/>
    <w:rsid w:val="00CF254C"/>
    <w:rsid w:val="00CF2A71"/>
    <w:rsid w:val="00CF310E"/>
    <w:rsid w:val="00CF3AC1"/>
    <w:rsid w:val="00CF3CED"/>
    <w:rsid w:val="00CF3E3B"/>
    <w:rsid w:val="00CF4401"/>
    <w:rsid w:val="00CF49EE"/>
    <w:rsid w:val="00CF4D09"/>
    <w:rsid w:val="00CF55D9"/>
    <w:rsid w:val="00CF5701"/>
    <w:rsid w:val="00CF6FE3"/>
    <w:rsid w:val="00CF752F"/>
    <w:rsid w:val="00CF79A4"/>
    <w:rsid w:val="00D00B78"/>
    <w:rsid w:val="00D00C5A"/>
    <w:rsid w:val="00D00CE7"/>
    <w:rsid w:val="00D01787"/>
    <w:rsid w:val="00D0229E"/>
    <w:rsid w:val="00D025DB"/>
    <w:rsid w:val="00D02A25"/>
    <w:rsid w:val="00D02A2A"/>
    <w:rsid w:val="00D038A1"/>
    <w:rsid w:val="00D038A5"/>
    <w:rsid w:val="00D041C0"/>
    <w:rsid w:val="00D0489B"/>
    <w:rsid w:val="00D04DA0"/>
    <w:rsid w:val="00D05E16"/>
    <w:rsid w:val="00D06269"/>
    <w:rsid w:val="00D065D8"/>
    <w:rsid w:val="00D066DA"/>
    <w:rsid w:val="00D06988"/>
    <w:rsid w:val="00D07866"/>
    <w:rsid w:val="00D07B48"/>
    <w:rsid w:val="00D07E3F"/>
    <w:rsid w:val="00D10081"/>
    <w:rsid w:val="00D102F5"/>
    <w:rsid w:val="00D1091A"/>
    <w:rsid w:val="00D10B2C"/>
    <w:rsid w:val="00D10D2F"/>
    <w:rsid w:val="00D11038"/>
    <w:rsid w:val="00D1195A"/>
    <w:rsid w:val="00D11AD1"/>
    <w:rsid w:val="00D11C2A"/>
    <w:rsid w:val="00D12586"/>
    <w:rsid w:val="00D12B19"/>
    <w:rsid w:val="00D12C7E"/>
    <w:rsid w:val="00D135FB"/>
    <w:rsid w:val="00D13621"/>
    <w:rsid w:val="00D141B7"/>
    <w:rsid w:val="00D15ADC"/>
    <w:rsid w:val="00D16259"/>
    <w:rsid w:val="00D1634A"/>
    <w:rsid w:val="00D168A0"/>
    <w:rsid w:val="00D16ACC"/>
    <w:rsid w:val="00D17192"/>
    <w:rsid w:val="00D172E7"/>
    <w:rsid w:val="00D17322"/>
    <w:rsid w:val="00D17A7B"/>
    <w:rsid w:val="00D17B28"/>
    <w:rsid w:val="00D200D9"/>
    <w:rsid w:val="00D20C9B"/>
    <w:rsid w:val="00D20EAD"/>
    <w:rsid w:val="00D210EB"/>
    <w:rsid w:val="00D22D71"/>
    <w:rsid w:val="00D22DD4"/>
    <w:rsid w:val="00D23CF8"/>
    <w:rsid w:val="00D2404C"/>
    <w:rsid w:val="00D248DC"/>
    <w:rsid w:val="00D248EB"/>
    <w:rsid w:val="00D24A75"/>
    <w:rsid w:val="00D2552A"/>
    <w:rsid w:val="00D26095"/>
    <w:rsid w:val="00D2652F"/>
    <w:rsid w:val="00D26D44"/>
    <w:rsid w:val="00D27EBA"/>
    <w:rsid w:val="00D30A11"/>
    <w:rsid w:val="00D31EDE"/>
    <w:rsid w:val="00D32563"/>
    <w:rsid w:val="00D32B1A"/>
    <w:rsid w:val="00D33EE3"/>
    <w:rsid w:val="00D34358"/>
    <w:rsid w:val="00D3437E"/>
    <w:rsid w:val="00D34A93"/>
    <w:rsid w:val="00D34BCE"/>
    <w:rsid w:val="00D34ED3"/>
    <w:rsid w:val="00D353F0"/>
    <w:rsid w:val="00D366D7"/>
    <w:rsid w:val="00D37DA2"/>
    <w:rsid w:val="00D400A4"/>
    <w:rsid w:val="00D40BC4"/>
    <w:rsid w:val="00D41895"/>
    <w:rsid w:val="00D41DE3"/>
    <w:rsid w:val="00D42152"/>
    <w:rsid w:val="00D422C0"/>
    <w:rsid w:val="00D42631"/>
    <w:rsid w:val="00D42633"/>
    <w:rsid w:val="00D42A0F"/>
    <w:rsid w:val="00D42F62"/>
    <w:rsid w:val="00D4331A"/>
    <w:rsid w:val="00D43728"/>
    <w:rsid w:val="00D4398F"/>
    <w:rsid w:val="00D43E81"/>
    <w:rsid w:val="00D4407F"/>
    <w:rsid w:val="00D4479C"/>
    <w:rsid w:val="00D449B7"/>
    <w:rsid w:val="00D44F55"/>
    <w:rsid w:val="00D450C0"/>
    <w:rsid w:val="00D453A4"/>
    <w:rsid w:val="00D453E3"/>
    <w:rsid w:val="00D4551D"/>
    <w:rsid w:val="00D462E1"/>
    <w:rsid w:val="00D46500"/>
    <w:rsid w:val="00D46AC6"/>
    <w:rsid w:val="00D4714A"/>
    <w:rsid w:val="00D47908"/>
    <w:rsid w:val="00D479FB"/>
    <w:rsid w:val="00D47D67"/>
    <w:rsid w:val="00D5058D"/>
    <w:rsid w:val="00D50699"/>
    <w:rsid w:val="00D506E5"/>
    <w:rsid w:val="00D5076A"/>
    <w:rsid w:val="00D5093B"/>
    <w:rsid w:val="00D50CFA"/>
    <w:rsid w:val="00D50EE3"/>
    <w:rsid w:val="00D525AF"/>
    <w:rsid w:val="00D526C9"/>
    <w:rsid w:val="00D53DE0"/>
    <w:rsid w:val="00D54633"/>
    <w:rsid w:val="00D551DB"/>
    <w:rsid w:val="00D55B2E"/>
    <w:rsid w:val="00D5667D"/>
    <w:rsid w:val="00D57499"/>
    <w:rsid w:val="00D57811"/>
    <w:rsid w:val="00D57B4E"/>
    <w:rsid w:val="00D602B7"/>
    <w:rsid w:val="00D602CD"/>
    <w:rsid w:val="00D614AB"/>
    <w:rsid w:val="00D62202"/>
    <w:rsid w:val="00D623E2"/>
    <w:rsid w:val="00D625FE"/>
    <w:rsid w:val="00D62C93"/>
    <w:rsid w:val="00D63AC4"/>
    <w:rsid w:val="00D63FD0"/>
    <w:rsid w:val="00D642F7"/>
    <w:rsid w:val="00D64524"/>
    <w:rsid w:val="00D648F1"/>
    <w:rsid w:val="00D653FE"/>
    <w:rsid w:val="00D65A1B"/>
    <w:rsid w:val="00D65CFB"/>
    <w:rsid w:val="00D65DD3"/>
    <w:rsid w:val="00D65EA1"/>
    <w:rsid w:val="00D664D3"/>
    <w:rsid w:val="00D6744B"/>
    <w:rsid w:val="00D67B1A"/>
    <w:rsid w:val="00D701BB"/>
    <w:rsid w:val="00D703F5"/>
    <w:rsid w:val="00D70797"/>
    <w:rsid w:val="00D70A73"/>
    <w:rsid w:val="00D70A78"/>
    <w:rsid w:val="00D70F7B"/>
    <w:rsid w:val="00D71A1C"/>
    <w:rsid w:val="00D71B12"/>
    <w:rsid w:val="00D71DD2"/>
    <w:rsid w:val="00D7284B"/>
    <w:rsid w:val="00D72A16"/>
    <w:rsid w:val="00D72A4A"/>
    <w:rsid w:val="00D734FC"/>
    <w:rsid w:val="00D74B50"/>
    <w:rsid w:val="00D75155"/>
    <w:rsid w:val="00D755B1"/>
    <w:rsid w:val="00D76A60"/>
    <w:rsid w:val="00D7757B"/>
    <w:rsid w:val="00D7798D"/>
    <w:rsid w:val="00D77D8C"/>
    <w:rsid w:val="00D804CB"/>
    <w:rsid w:val="00D80566"/>
    <w:rsid w:val="00D8077D"/>
    <w:rsid w:val="00D80965"/>
    <w:rsid w:val="00D80E16"/>
    <w:rsid w:val="00D8127A"/>
    <w:rsid w:val="00D82008"/>
    <w:rsid w:val="00D8205F"/>
    <w:rsid w:val="00D8235E"/>
    <w:rsid w:val="00D82893"/>
    <w:rsid w:val="00D828F5"/>
    <w:rsid w:val="00D82A6F"/>
    <w:rsid w:val="00D82E05"/>
    <w:rsid w:val="00D835C4"/>
    <w:rsid w:val="00D838EE"/>
    <w:rsid w:val="00D83ECD"/>
    <w:rsid w:val="00D8445A"/>
    <w:rsid w:val="00D84D7C"/>
    <w:rsid w:val="00D84E4C"/>
    <w:rsid w:val="00D86690"/>
    <w:rsid w:val="00D868C1"/>
    <w:rsid w:val="00D86B70"/>
    <w:rsid w:val="00D86D9F"/>
    <w:rsid w:val="00D87385"/>
    <w:rsid w:val="00D87763"/>
    <w:rsid w:val="00D87AA5"/>
    <w:rsid w:val="00D87DBC"/>
    <w:rsid w:val="00D90A8F"/>
    <w:rsid w:val="00D90DCB"/>
    <w:rsid w:val="00D91175"/>
    <w:rsid w:val="00D91895"/>
    <w:rsid w:val="00D9211F"/>
    <w:rsid w:val="00D92A2E"/>
    <w:rsid w:val="00D92F95"/>
    <w:rsid w:val="00D93237"/>
    <w:rsid w:val="00D93294"/>
    <w:rsid w:val="00D935FE"/>
    <w:rsid w:val="00D93DC8"/>
    <w:rsid w:val="00D94106"/>
    <w:rsid w:val="00D9559B"/>
    <w:rsid w:val="00D95A32"/>
    <w:rsid w:val="00D966DA"/>
    <w:rsid w:val="00D96A3E"/>
    <w:rsid w:val="00D97EF7"/>
    <w:rsid w:val="00D97FF9"/>
    <w:rsid w:val="00DA04F5"/>
    <w:rsid w:val="00DA1DF7"/>
    <w:rsid w:val="00DA1FA0"/>
    <w:rsid w:val="00DA2E3F"/>
    <w:rsid w:val="00DA3144"/>
    <w:rsid w:val="00DA31B1"/>
    <w:rsid w:val="00DA3228"/>
    <w:rsid w:val="00DA34CF"/>
    <w:rsid w:val="00DA3537"/>
    <w:rsid w:val="00DA35BF"/>
    <w:rsid w:val="00DA3935"/>
    <w:rsid w:val="00DA39DB"/>
    <w:rsid w:val="00DA3CCD"/>
    <w:rsid w:val="00DA4CB4"/>
    <w:rsid w:val="00DA4E4A"/>
    <w:rsid w:val="00DA5996"/>
    <w:rsid w:val="00DA5D7A"/>
    <w:rsid w:val="00DA6A72"/>
    <w:rsid w:val="00DA6D5F"/>
    <w:rsid w:val="00DA6E75"/>
    <w:rsid w:val="00DA7142"/>
    <w:rsid w:val="00DA722A"/>
    <w:rsid w:val="00DA739C"/>
    <w:rsid w:val="00DB00F2"/>
    <w:rsid w:val="00DB0443"/>
    <w:rsid w:val="00DB0B75"/>
    <w:rsid w:val="00DB101B"/>
    <w:rsid w:val="00DB1059"/>
    <w:rsid w:val="00DB1211"/>
    <w:rsid w:val="00DB18E9"/>
    <w:rsid w:val="00DB1A12"/>
    <w:rsid w:val="00DB1E0B"/>
    <w:rsid w:val="00DB27F7"/>
    <w:rsid w:val="00DB2806"/>
    <w:rsid w:val="00DB2CFB"/>
    <w:rsid w:val="00DB3182"/>
    <w:rsid w:val="00DB3557"/>
    <w:rsid w:val="00DB39A7"/>
    <w:rsid w:val="00DB39BB"/>
    <w:rsid w:val="00DB3F7C"/>
    <w:rsid w:val="00DB519A"/>
    <w:rsid w:val="00DB56C2"/>
    <w:rsid w:val="00DB57BC"/>
    <w:rsid w:val="00DB620C"/>
    <w:rsid w:val="00DB6350"/>
    <w:rsid w:val="00DB6687"/>
    <w:rsid w:val="00DB6729"/>
    <w:rsid w:val="00DB7BCB"/>
    <w:rsid w:val="00DC0862"/>
    <w:rsid w:val="00DC0D4C"/>
    <w:rsid w:val="00DC168D"/>
    <w:rsid w:val="00DC243F"/>
    <w:rsid w:val="00DC28F2"/>
    <w:rsid w:val="00DC2DD4"/>
    <w:rsid w:val="00DC3C69"/>
    <w:rsid w:val="00DC4630"/>
    <w:rsid w:val="00DC4B78"/>
    <w:rsid w:val="00DC507F"/>
    <w:rsid w:val="00DC5715"/>
    <w:rsid w:val="00DC618E"/>
    <w:rsid w:val="00DC62CD"/>
    <w:rsid w:val="00DC6974"/>
    <w:rsid w:val="00DC7061"/>
    <w:rsid w:val="00DC70AA"/>
    <w:rsid w:val="00DC72D1"/>
    <w:rsid w:val="00DC76E2"/>
    <w:rsid w:val="00DC7702"/>
    <w:rsid w:val="00DC79EE"/>
    <w:rsid w:val="00DC7FC0"/>
    <w:rsid w:val="00DD02F0"/>
    <w:rsid w:val="00DD06C9"/>
    <w:rsid w:val="00DD29AD"/>
    <w:rsid w:val="00DD339D"/>
    <w:rsid w:val="00DD3BED"/>
    <w:rsid w:val="00DD4185"/>
    <w:rsid w:val="00DD4E73"/>
    <w:rsid w:val="00DD5565"/>
    <w:rsid w:val="00DD5914"/>
    <w:rsid w:val="00DD61B9"/>
    <w:rsid w:val="00DD6490"/>
    <w:rsid w:val="00DD6791"/>
    <w:rsid w:val="00DD6C9D"/>
    <w:rsid w:val="00DD6EA9"/>
    <w:rsid w:val="00DD721B"/>
    <w:rsid w:val="00DD7469"/>
    <w:rsid w:val="00DD7598"/>
    <w:rsid w:val="00DD7B16"/>
    <w:rsid w:val="00DE0B84"/>
    <w:rsid w:val="00DE0EBD"/>
    <w:rsid w:val="00DE1F60"/>
    <w:rsid w:val="00DE227A"/>
    <w:rsid w:val="00DE287E"/>
    <w:rsid w:val="00DE29C6"/>
    <w:rsid w:val="00DE2B44"/>
    <w:rsid w:val="00DE2C98"/>
    <w:rsid w:val="00DE32E1"/>
    <w:rsid w:val="00DE37E5"/>
    <w:rsid w:val="00DE3E6D"/>
    <w:rsid w:val="00DE4EC7"/>
    <w:rsid w:val="00DE548C"/>
    <w:rsid w:val="00DE5604"/>
    <w:rsid w:val="00DE5656"/>
    <w:rsid w:val="00DE5694"/>
    <w:rsid w:val="00DE6AF9"/>
    <w:rsid w:val="00DE7582"/>
    <w:rsid w:val="00DE7732"/>
    <w:rsid w:val="00DF00CC"/>
    <w:rsid w:val="00DF09B1"/>
    <w:rsid w:val="00DF0A8B"/>
    <w:rsid w:val="00DF0A96"/>
    <w:rsid w:val="00DF0DFF"/>
    <w:rsid w:val="00DF106A"/>
    <w:rsid w:val="00DF188D"/>
    <w:rsid w:val="00DF192E"/>
    <w:rsid w:val="00DF2C8C"/>
    <w:rsid w:val="00DF2C94"/>
    <w:rsid w:val="00DF3950"/>
    <w:rsid w:val="00DF39AF"/>
    <w:rsid w:val="00DF3B42"/>
    <w:rsid w:val="00DF3BA7"/>
    <w:rsid w:val="00DF3D9D"/>
    <w:rsid w:val="00DF4CE7"/>
    <w:rsid w:val="00DF4D0A"/>
    <w:rsid w:val="00DF53A2"/>
    <w:rsid w:val="00DF567C"/>
    <w:rsid w:val="00DF5AC0"/>
    <w:rsid w:val="00DF5B4D"/>
    <w:rsid w:val="00DF5B8F"/>
    <w:rsid w:val="00DF6C5D"/>
    <w:rsid w:val="00DF767F"/>
    <w:rsid w:val="00DF77C4"/>
    <w:rsid w:val="00E00CE6"/>
    <w:rsid w:val="00E01A91"/>
    <w:rsid w:val="00E02197"/>
    <w:rsid w:val="00E02249"/>
    <w:rsid w:val="00E02ABF"/>
    <w:rsid w:val="00E0338A"/>
    <w:rsid w:val="00E0359B"/>
    <w:rsid w:val="00E037F0"/>
    <w:rsid w:val="00E04C67"/>
    <w:rsid w:val="00E05197"/>
    <w:rsid w:val="00E05284"/>
    <w:rsid w:val="00E05BF1"/>
    <w:rsid w:val="00E05ED3"/>
    <w:rsid w:val="00E05F98"/>
    <w:rsid w:val="00E06EA0"/>
    <w:rsid w:val="00E101AB"/>
    <w:rsid w:val="00E101F8"/>
    <w:rsid w:val="00E1064A"/>
    <w:rsid w:val="00E107BA"/>
    <w:rsid w:val="00E1097E"/>
    <w:rsid w:val="00E11155"/>
    <w:rsid w:val="00E113A7"/>
    <w:rsid w:val="00E11898"/>
    <w:rsid w:val="00E11C28"/>
    <w:rsid w:val="00E1207D"/>
    <w:rsid w:val="00E1405C"/>
    <w:rsid w:val="00E143AF"/>
    <w:rsid w:val="00E14CA8"/>
    <w:rsid w:val="00E15452"/>
    <w:rsid w:val="00E15626"/>
    <w:rsid w:val="00E15CA8"/>
    <w:rsid w:val="00E16F4B"/>
    <w:rsid w:val="00E17259"/>
    <w:rsid w:val="00E17A1B"/>
    <w:rsid w:val="00E17D6A"/>
    <w:rsid w:val="00E202F2"/>
    <w:rsid w:val="00E21CAA"/>
    <w:rsid w:val="00E21E1C"/>
    <w:rsid w:val="00E21FAC"/>
    <w:rsid w:val="00E22120"/>
    <w:rsid w:val="00E223BD"/>
    <w:rsid w:val="00E229A4"/>
    <w:rsid w:val="00E22AFE"/>
    <w:rsid w:val="00E22DA6"/>
    <w:rsid w:val="00E2362E"/>
    <w:rsid w:val="00E23E2E"/>
    <w:rsid w:val="00E2444A"/>
    <w:rsid w:val="00E24CA4"/>
    <w:rsid w:val="00E25D48"/>
    <w:rsid w:val="00E25D7E"/>
    <w:rsid w:val="00E260C7"/>
    <w:rsid w:val="00E26338"/>
    <w:rsid w:val="00E27E47"/>
    <w:rsid w:val="00E30E54"/>
    <w:rsid w:val="00E30E85"/>
    <w:rsid w:val="00E30F23"/>
    <w:rsid w:val="00E316A4"/>
    <w:rsid w:val="00E324B6"/>
    <w:rsid w:val="00E32517"/>
    <w:rsid w:val="00E325EA"/>
    <w:rsid w:val="00E32F1F"/>
    <w:rsid w:val="00E32F65"/>
    <w:rsid w:val="00E332AA"/>
    <w:rsid w:val="00E33A1E"/>
    <w:rsid w:val="00E33DE8"/>
    <w:rsid w:val="00E341B7"/>
    <w:rsid w:val="00E3448F"/>
    <w:rsid w:val="00E3539E"/>
    <w:rsid w:val="00E358F3"/>
    <w:rsid w:val="00E35D3C"/>
    <w:rsid w:val="00E362E9"/>
    <w:rsid w:val="00E3686B"/>
    <w:rsid w:val="00E36F57"/>
    <w:rsid w:val="00E375AB"/>
    <w:rsid w:val="00E37D69"/>
    <w:rsid w:val="00E40240"/>
    <w:rsid w:val="00E412CC"/>
    <w:rsid w:val="00E4146E"/>
    <w:rsid w:val="00E420E5"/>
    <w:rsid w:val="00E42516"/>
    <w:rsid w:val="00E42F10"/>
    <w:rsid w:val="00E42F92"/>
    <w:rsid w:val="00E432EF"/>
    <w:rsid w:val="00E4351D"/>
    <w:rsid w:val="00E43656"/>
    <w:rsid w:val="00E44036"/>
    <w:rsid w:val="00E4486C"/>
    <w:rsid w:val="00E44929"/>
    <w:rsid w:val="00E44AFB"/>
    <w:rsid w:val="00E45C05"/>
    <w:rsid w:val="00E45FD0"/>
    <w:rsid w:val="00E460AB"/>
    <w:rsid w:val="00E46E75"/>
    <w:rsid w:val="00E47966"/>
    <w:rsid w:val="00E47A03"/>
    <w:rsid w:val="00E5072F"/>
    <w:rsid w:val="00E50750"/>
    <w:rsid w:val="00E507BF"/>
    <w:rsid w:val="00E51DE4"/>
    <w:rsid w:val="00E52178"/>
    <w:rsid w:val="00E52CBE"/>
    <w:rsid w:val="00E53F88"/>
    <w:rsid w:val="00E556C6"/>
    <w:rsid w:val="00E56669"/>
    <w:rsid w:val="00E568F0"/>
    <w:rsid w:val="00E570E6"/>
    <w:rsid w:val="00E60558"/>
    <w:rsid w:val="00E60C36"/>
    <w:rsid w:val="00E6100F"/>
    <w:rsid w:val="00E6133F"/>
    <w:rsid w:val="00E613CA"/>
    <w:rsid w:val="00E6151F"/>
    <w:rsid w:val="00E61A0C"/>
    <w:rsid w:val="00E61F1D"/>
    <w:rsid w:val="00E625DA"/>
    <w:rsid w:val="00E625ED"/>
    <w:rsid w:val="00E62B2B"/>
    <w:rsid w:val="00E63ABD"/>
    <w:rsid w:val="00E63C1B"/>
    <w:rsid w:val="00E63C92"/>
    <w:rsid w:val="00E63F8B"/>
    <w:rsid w:val="00E63FD9"/>
    <w:rsid w:val="00E6440F"/>
    <w:rsid w:val="00E64503"/>
    <w:rsid w:val="00E650BB"/>
    <w:rsid w:val="00E6525A"/>
    <w:rsid w:val="00E65337"/>
    <w:rsid w:val="00E6565B"/>
    <w:rsid w:val="00E66107"/>
    <w:rsid w:val="00E66735"/>
    <w:rsid w:val="00E668D3"/>
    <w:rsid w:val="00E672FB"/>
    <w:rsid w:val="00E673C1"/>
    <w:rsid w:val="00E678EF"/>
    <w:rsid w:val="00E67C2B"/>
    <w:rsid w:val="00E713CB"/>
    <w:rsid w:val="00E7197D"/>
    <w:rsid w:val="00E71D4D"/>
    <w:rsid w:val="00E722E3"/>
    <w:rsid w:val="00E732CA"/>
    <w:rsid w:val="00E73322"/>
    <w:rsid w:val="00E75137"/>
    <w:rsid w:val="00E75202"/>
    <w:rsid w:val="00E7543A"/>
    <w:rsid w:val="00E75533"/>
    <w:rsid w:val="00E77388"/>
    <w:rsid w:val="00E774B4"/>
    <w:rsid w:val="00E7764A"/>
    <w:rsid w:val="00E77918"/>
    <w:rsid w:val="00E80406"/>
    <w:rsid w:val="00E80585"/>
    <w:rsid w:val="00E80596"/>
    <w:rsid w:val="00E80C0A"/>
    <w:rsid w:val="00E80D75"/>
    <w:rsid w:val="00E80EEB"/>
    <w:rsid w:val="00E8152F"/>
    <w:rsid w:val="00E817DA"/>
    <w:rsid w:val="00E82278"/>
    <w:rsid w:val="00E82661"/>
    <w:rsid w:val="00E827BB"/>
    <w:rsid w:val="00E836C6"/>
    <w:rsid w:val="00E8373D"/>
    <w:rsid w:val="00E840E4"/>
    <w:rsid w:val="00E84D12"/>
    <w:rsid w:val="00E8523B"/>
    <w:rsid w:val="00E85435"/>
    <w:rsid w:val="00E85499"/>
    <w:rsid w:val="00E854EE"/>
    <w:rsid w:val="00E86566"/>
    <w:rsid w:val="00E86D87"/>
    <w:rsid w:val="00E875D9"/>
    <w:rsid w:val="00E875EE"/>
    <w:rsid w:val="00E87C6C"/>
    <w:rsid w:val="00E87EC2"/>
    <w:rsid w:val="00E911E6"/>
    <w:rsid w:val="00E91ABE"/>
    <w:rsid w:val="00E91AD6"/>
    <w:rsid w:val="00E91C15"/>
    <w:rsid w:val="00E91DBD"/>
    <w:rsid w:val="00E91FA6"/>
    <w:rsid w:val="00E9260C"/>
    <w:rsid w:val="00E931AB"/>
    <w:rsid w:val="00E93D0A"/>
    <w:rsid w:val="00E943C6"/>
    <w:rsid w:val="00E94455"/>
    <w:rsid w:val="00E94EF0"/>
    <w:rsid w:val="00E9579F"/>
    <w:rsid w:val="00E9679E"/>
    <w:rsid w:val="00E97B41"/>
    <w:rsid w:val="00E97C2C"/>
    <w:rsid w:val="00E97CF7"/>
    <w:rsid w:val="00EA01B9"/>
    <w:rsid w:val="00EA0465"/>
    <w:rsid w:val="00EA06A1"/>
    <w:rsid w:val="00EA07B5"/>
    <w:rsid w:val="00EA1307"/>
    <w:rsid w:val="00EA1413"/>
    <w:rsid w:val="00EA178B"/>
    <w:rsid w:val="00EA3605"/>
    <w:rsid w:val="00EA38A7"/>
    <w:rsid w:val="00EA4681"/>
    <w:rsid w:val="00EA47BA"/>
    <w:rsid w:val="00EA528D"/>
    <w:rsid w:val="00EA5617"/>
    <w:rsid w:val="00EA5E30"/>
    <w:rsid w:val="00EA6509"/>
    <w:rsid w:val="00EA66D2"/>
    <w:rsid w:val="00EA6B6A"/>
    <w:rsid w:val="00EB0883"/>
    <w:rsid w:val="00EB0F84"/>
    <w:rsid w:val="00EB1874"/>
    <w:rsid w:val="00EB2925"/>
    <w:rsid w:val="00EB4567"/>
    <w:rsid w:val="00EB4B5D"/>
    <w:rsid w:val="00EB6466"/>
    <w:rsid w:val="00EB68E2"/>
    <w:rsid w:val="00EB6EE7"/>
    <w:rsid w:val="00EB72EA"/>
    <w:rsid w:val="00EB7506"/>
    <w:rsid w:val="00EB76DD"/>
    <w:rsid w:val="00EB7D36"/>
    <w:rsid w:val="00EC0CD8"/>
    <w:rsid w:val="00EC203D"/>
    <w:rsid w:val="00EC2319"/>
    <w:rsid w:val="00EC2CF1"/>
    <w:rsid w:val="00EC2FDE"/>
    <w:rsid w:val="00EC3620"/>
    <w:rsid w:val="00EC3EED"/>
    <w:rsid w:val="00EC4C06"/>
    <w:rsid w:val="00EC4D67"/>
    <w:rsid w:val="00EC5411"/>
    <w:rsid w:val="00EC577A"/>
    <w:rsid w:val="00EC5B59"/>
    <w:rsid w:val="00EC5D77"/>
    <w:rsid w:val="00EC64F1"/>
    <w:rsid w:val="00EC6643"/>
    <w:rsid w:val="00EC6872"/>
    <w:rsid w:val="00EC6D9F"/>
    <w:rsid w:val="00EC7127"/>
    <w:rsid w:val="00EC7FA5"/>
    <w:rsid w:val="00ED29DB"/>
    <w:rsid w:val="00ED2CE0"/>
    <w:rsid w:val="00ED304F"/>
    <w:rsid w:val="00ED32BA"/>
    <w:rsid w:val="00ED38C9"/>
    <w:rsid w:val="00ED44C5"/>
    <w:rsid w:val="00ED45E0"/>
    <w:rsid w:val="00ED4C74"/>
    <w:rsid w:val="00ED67F4"/>
    <w:rsid w:val="00ED6A24"/>
    <w:rsid w:val="00ED6A8A"/>
    <w:rsid w:val="00ED6A9C"/>
    <w:rsid w:val="00ED6B20"/>
    <w:rsid w:val="00ED6C26"/>
    <w:rsid w:val="00ED6F31"/>
    <w:rsid w:val="00ED6F87"/>
    <w:rsid w:val="00EE00FE"/>
    <w:rsid w:val="00EE0192"/>
    <w:rsid w:val="00EE0527"/>
    <w:rsid w:val="00EE065B"/>
    <w:rsid w:val="00EE0830"/>
    <w:rsid w:val="00EE12DD"/>
    <w:rsid w:val="00EE1FC0"/>
    <w:rsid w:val="00EE2062"/>
    <w:rsid w:val="00EE20F9"/>
    <w:rsid w:val="00EE2934"/>
    <w:rsid w:val="00EE2CD5"/>
    <w:rsid w:val="00EE35CC"/>
    <w:rsid w:val="00EE3F44"/>
    <w:rsid w:val="00EE4174"/>
    <w:rsid w:val="00EE4DB7"/>
    <w:rsid w:val="00EE5C18"/>
    <w:rsid w:val="00EE5C9F"/>
    <w:rsid w:val="00EE62E4"/>
    <w:rsid w:val="00EE643C"/>
    <w:rsid w:val="00EE714F"/>
    <w:rsid w:val="00EE7D1F"/>
    <w:rsid w:val="00EE7EDD"/>
    <w:rsid w:val="00EF04B5"/>
    <w:rsid w:val="00EF0ED0"/>
    <w:rsid w:val="00EF10E4"/>
    <w:rsid w:val="00EF1221"/>
    <w:rsid w:val="00EF14C9"/>
    <w:rsid w:val="00EF1D8C"/>
    <w:rsid w:val="00EF224B"/>
    <w:rsid w:val="00EF2BD7"/>
    <w:rsid w:val="00EF2DA5"/>
    <w:rsid w:val="00EF3CED"/>
    <w:rsid w:val="00EF4C55"/>
    <w:rsid w:val="00EF4E29"/>
    <w:rsid w:val="00EF4E6F"/>
    <w:rsid w:val="00EF5A47"/>
    <w:rsid w:val="00EF6A91"/>
    <w:rsid w:val="00EF6E12"/>
    <w:rsid w:val="00EF6E2B"/>
    <w:rsid w:val="00EF6E6A"/>
    <w:rsid w:val="00EF75AF"/>
    <w:rsid w:val="00F00044"/>
    <w:rsid w:val="00F00860"/>
    <w:rsid w:val="00F01089"/>
    <w:rsid w:val="00F013D2"/>
    <w:rsid w:val="00F0289B"/>
    <w:rsid w:val="00F029F7"/>
    <w:rsid w:val="00F02EF9"/>
    <w:rsid w:val="00F03192"/>
    <w:rsid w:val="00F03C89"/>
    <w:rsid w:val="00F03D0B"/>
    <w:rsid w:val="00F04361"/>
    <w:rsid w:val="00F044A0"/>
    <w:rsid w:val="00F04AF7"/>
    <w:rsid w:val="00F051DE"/>
    <w:rsid w:val="00F05581"/>
    <w:rsid w:val="00F05BF1"/>
    <w:rsid w:val="00F05CCD"/>
    <w:rsid w:val="00F05CD4"/>
    <w:rsid w:val="00F05D13"/>
    <w:rsid w:val="00F05E3D"/>
    <w:rsid w:val="00F064A9"/>
    <w:rsid w:val="00F06ED4"/>
    <w:rsid w:val="00F0731F"/>
    <w:rsid w:val="00F07AA1"/>
    <w:rsid w:val="00F1004D"/>
    <w:rsid w:val="00F10479"/>
    <w:rsid w:val="00F108B1"/>
    <w:rsid w:val="00F109F2"/>
    <w:rsid w:val="00F10E15"/>
    <w:rsid w:val="00F1196A"/>
    <w:rsid w:val="00F12412"/>
    <w:rsid w:val="00F128FB"/>
    <w:rsid w:val="00F14806"/>
    <w:rsid w:val="00F14931"/>
    <w:rsid w:val="00F149F1"/>
    <w:rsid w:val="00F15462"/>
    <w:rsid w:val="00F156C2"/>
    <w:rsid w:val="00F15CB8"/>
    <w:rsid w:val="00F15CC0"/>
    <w:rsid w:val="00F15E1A"/>
    <w:rsid w:val="00F15EA9"/>
    <w:rsid w:val="00F15EAD"/>
    <w:rsid w:val="00F160DF"/>
    <w:rsid w:val="00F167C0"/>
    <w:rsid w:val="00F17187"/>
    <w:rsid w:val="00F174C4"/>
    <w:rsid w:val="00F20E71"/>
    <w:rsid w:val="00F21D2A"/>
    <w:rsid w:val="00F221FF"/>
    <w:rsid w:val="00F22363"/>
    <w:rsid w:val="00F2290A"/>
    <w:rsid w:val="00F22D83"/>
    <w:rsid w:val="00F22D9A"/>
    <w:rsid w:val="00F22DE2"/>
    <w:rsid w:val="00F2367F"/>
    <w:rsid w:val="00F23CBE"/>
    <w:rsid w:val="00F23CE3"/>
    <w:rsid w:val="00F24116"/>
    <w:rsid w:val="00F25218"/>
    <w:rsid w:val="00F2550D"/>
    <w:rsid w:val="00F25719"/>
    <w:rsid w:val="00F25C4F"/>
    <w:rsid w:val="00F267EE"/>
    <w:rsid w:val="00F2720E"/>
    <w:rsid w:val="00F279CE"/>
    <w:rsid w:val="00F27BFD"/>
    <w:rsid w:val="00F27E03"/>
    <w:rsid w:val="00F27F45"/>
    <w:rsid w:val="00F30043"/>
    <w:rsid w:val="00F30902"/>
    <w:rsid w:val="00F30BA9"/>
    <w:rsid w:val="00F319E5"/>
    <w:rsid w:val="00F31CAC"/>
    <w:rsid w:val="00F32FAA"/>
    <w:rsid w:val="00F335B0"/>
    <w:rsid w:val="00F3377A"/>
    <w:rsid w:val="00F34E6F"/>
    <w:rsid w:val="00F35D7C"/>
    <w:rsid w:val="00F360C5"/>
    <w:rsid w:val="00F36273"/>
    <w:rsid w:val="00F36E52"/>
    <w:rsid w:val="00F36F6D"/>
    <w:rsid w:val="00F37C32"/>
    <w:rsid w:val="00F414D1"/>
    <w:rsid w:val="00F41789"/>
    <w:rsid w:val="00F4251F"/>
    <w:rsid w:val="00F42D42"/>
    <w:rsid w:val="00F439E6"/>
    <w:rsid w:val="00F43B9B"/>
    <w:rsid w:val="00F43B9C"/>
    <w:rsid w:val="00F43DE5"/>
    <w:rsid w:val="00F44F63"/>
    <w:rsid w:val="00F45308"/>
    <w:rsid w:val="00F4679C"/>
    <w:rsid w:val="00F470EF"/>
    <w:rsid w:val="00F47C3C"/>
    <w:rsid w:val="00F50548"/>
    <w:rsid w:val="00F507A2"/>
    <w:rsid w:val="00F5243E"/>
    <w:rsid w:val="00F52734"/>
    <w:rsid w:val="00F52AAD"/>
    <w:rsid w:val="00F52D8B"/>
    <w:rsid w:val="00F53623"/>
    <w:rsid w:val="00F536ED"/>
    <w:rsid w:val="00F53CFD"/>
    <w:rsid w:val="00F53D1F"/>
    <w:rsid w:val="00F5400D"/>
    <w:rsid w:val="00F54B33"/>
    <w:rsid w:val="00F54B54"/>
    <w:rsid w:val="00F54D1E"/>
    <w:rsid w:val="00F553FC"/>
    <w:rsid w:val="00F556B6"/>
    <w:rsid w:val="00F55B9D"/>
    <w:rsid w:val="00F56E04"/>
    <w:rsid w:val="00F57C29"/>
    <w:rsid w:val="00F57C96"/>
    <w:rsid w:val="00F60519"/>
    <w:rsid w:val="00F60CF1"/>
    <w:rsid w:val="00F61FDD"/>
    <w:rsid w:val="00F62426"/>
    <w:rsid w:val="00F62DAC"/>
    <w:rsid w:val="00F63370"/>
    <w:rsid w:val="00F635DE"/>
    <w:rsid w:val="00F64C7B"/>
    <w:rsid w:val="00F652C2"/>
    <w:rsid w:val="00F668F0"/>
    <w:rsid w:val="00F66908"/>
    <w:rsid w:val="00F67AEF"/>
    <w:rsid w:val="00F7051C"/>
    <w:rsid w:val="00F7183C"/>
    <w:rsid w:val="00F71EDA"/>
    <w:rsid w:val="00F72210"/>
    <w:rsid w:val="00F732FB"/>
    <w:rsid w:val="00F73CB2"/>
    <w:rsid w:val="00F745C4"/>
    <w:rsid w:val="00F75253"/>
    <w:rsid w:val="00F75D5E"/>
    <w:rsid w:val="00F773D1"/>
    <w:rsid w:val="00F77425"/>
    <w:rsid w:val="00F77961"/>
    <w:rsid w:val="00F77B3D"/>
    <w:rsid w:val="00F77BA0"/>
    <w:rsid w:val="00F80998"/>
    <w:rsid w:val="00F8130E"/>
    <w:rsid w:val="00F81981"/>
    <w:rsid w:val="00F819A3"/>
    <w:rsid w:val="00F81A05"/>
    <w:rsid w:val="00F82888"/>
    <w:rsid w:val="00F836E1"/>
    <w:rsid w:val="00F83766"/>
    <w:rsid w:val="00F83A48"/>
    <w:rsid w:val="00F841B6"/>
    <w:rsid w:val="00F8451D"/>
    <w:rsid w:val="00F846E1"/>
    <w:rsid w:val="00F84B47"/>
    <w:rsid w:val="00F85016"/>
    <w:rsid w:val="00F85457"/>
    <w:rsid w:val="00F8558A"/>
    <w:rsid w:val="00F85782"/>
    <w:rsid w:val="00F857DB"/>
    <w:rsid w:val="00F86174"/>
    <w:rsid w:val="00F86229"/>
    <w:rsid w:val="00F865F4"/>
    <w:rsid w:val="00F87148"/>
    <w:rsid w:val="00F87618"/>
    <w:rsid w:val="00F9056D"/>
    <w:rsid w:val="00F9158F"/>
    <w:rsid w:val="00F9194B"/>
    <w:rsid w:val="00F9252D"/>
    <w:rsid w:val="00F926F4"/>
    <w:rsid w:val="00F928C6"/>
    <w:rsid w:val="00F93E14"/>
    <w:rsid w:val="00F93F54"/>
    <w:rsid w:val="00F94AB5"/>
    <w:rsid w:val="00F94F60"/>
    <w:rsid w:val="00F951F5"/>
    <w:rsid w:val="00F9556D"/>
    <w:rsid w:val="00F95975"/>
    <w:rsid w:val="00F95CF5"/>
    <w:rsid w:val="00F969F4"/>
    <w:rsid w:val="00F96B97"/>
    <w:rsid w:val="00F96D8E"/>
    <w:rsid w:val="00F974DF"/>
    <w:rsid w:val="00F9755E"/>
    <w:rsid w:val="00F977EA"/>
    <w:rsid w:val="00F978DB"/>
    <w:rsid w:val="00F97C31"/>
    <w:rsid w:val="00FA0612"/>
    <w:rsid w:val="00FA1290"/>
    <w:rsid w:val="00FA1584"/>
    <w:rsid w:val="00FA200E"/>
    <w:rsid w:val="00FA20B8"/>
    <w:rsid w:val="00FA2178"/>
    <w:rsid w:val="00FA32F7"/>
    <w:rsid w:val="00FA3489"/>
    <w:rsid w:val="00FA37F3"/>
    <w:rsid w:val="00FA403E"/>
    <w:rsid w:val="00FA43BE"/>
    <w:rsid w:val="00FA49F9"/>
    <w:rsid w:val="00FA4E64"/>
    <w:rsid w:val="00FA4FBF"/>
    <w:rsid w:val="00FA52ED"/>
    <w:rsid w:val="00FA5488"/>
    <w:rsid w:val="00FA5794"/>
    <w:rsid w:val="00FA5F60"/>
    <w:rsid w:val="00FA640B"/>
    <w:rsid w:val="00FA67EF"/>
    <w:rsid w:val="00FA6C11"/>
    <w:rsid w:val="00FA79E5"/>
    <w:rsid w:val="00FA7BBE"/>
    <w:rsid w:val="00FA7FEE"/>
    <w:rsid w:val="00FB0DD2"/>
    <w:rsid w:val="00FB1348"/>
    <w:rsid w:val="00FB17EF"/>
    <w:rsid w:val="00FB1807"/>
    <w:rsid w:val="00FB19DE"/>
    <w:rsid w:val="00FB27A1"/>
    <w:rsid w:val="00FB32C1"/>
    <w:rsid w:val="00FB35E4"/>
    <w:rsid w:val="00FB3800"/>
    <w:rsid w:val="00FB3AE6"/>
    <w:rsid w:val="00FB3CC0"/>
    <w:rsid w:val="00FB4A14"/>
    <w:rsid w:val="00FB5192"/>
    <w:rsid w:val="00FB5299"/>
    <w:rsid w:val="00FB581B"/>
    <w:rsid w:val="00FB5830"/>
    <w:rsid w:val="00FB6F1A"/>
    <w:rsid w:val="00FB7546"/>
    <w:rsid w:val="00FB762B"/>
    <w:rsid w:val="00FB77FA"/>
    <w:rsid w:val="00FB79DA"/>
    <w:rsid w:val="00FC0114"/>
    <w:rsid w:val="00FC0231"/>
    <w:rsid w:val="00FC08C7"/>
    <w:rsid w:val="00FC0ABE"/>
    <w:rsid w:val="00FC1365"/>
    <w:rsid w:val="00FC1368"/>
    <w:rsid w:val="00FC16D0"/>
    <w:rsid w:val="00FC1819"/>
    <w:rsid w:val="00FC18E4"/>
    <w:rsid w:val="00FC1F4E"/>
    <w:rsid w:val="00FC240A"/>
    <w:rsid w:val="00FC25D8"/>
    <w:rsid w:val="00FC2F02"/>
    <w:rsid w:val="00FC519C"/>
    <w:rsid w:val="00FC52C4"/>
    <w:rsid w:val="00FC53BC"/>
    <w:rsid w:val="00FC54F0"/>
    <w:rsid w:val="00FC5C3C"/>
    <w:rsid w:val="00FC69AD"/>
    <w:rsid w:val="00FC6DE6"/>
    <w:rsid w:val="00FC72DB"/>
    <w:rsid w:val="00FD07A1"/>
    <w:rsid w:val="00FD0D63"/>
    <w:rsid w:val="00FD0FBA"/>
    <w:rsid w:val="00FD12B1"/>
    <w:rsid w:val="00FD1418"/>
    <w:rsid w:val="00FD1768"/>
    <w:rsid w:val="00FD193A"/>
    <w:rsid w:val="00FD1CB8"/>
    <w:rsid w:val="00FD247E"/>
    <w:rsid w:val="00FD29D2"/>
    <w:rsid w:val="00FD29FD"/>
    <w:rsid w:val="00FD2B68"/>
    <w:rsid w:val="00FD3A4C"/>
    <w:rsid w:val="00FD3D76"/>
    <w:rsid w:val="00FD3E72"/>
    <w:rsid w:val="00FD4267"/>
    <w:rsid w:val="00FD4B6E"/>
    <w:rsid w:val="00FD6100"/>
    <w:rsid w:val="00FD7405"/>
    <w:rsid w:val="00FD7711"/>
    <w:rsid w:val="00FE05C1"/>
    <w:rsid w:val="00FE0DC2"/>
    <w:rsid w:val="00FE10D4"/>
    <w:rsid w:val="00FE1329"/>
    <w:rsid w:val="00FE13FE"/>
    <w:rsid w:val="00FE18F6"/>
    <w:rsid w:val="00FE1C0D"/>
    <w:rsid w:val="00FE1E32"/>
    <w:rsid w:val="00FE2491"/>
    <w:rsid w:val="00FE2980"/>
    <w:rsid w:val="00FE2F8E"/>
    <w:rsid w:val="00FE3F4D"/>
    <w:rsid w:val="00FE420F"/>
    <w:rsid w:val="00FE4CE0"/>
    <w:rsid w:val="00FE5DDD"/>
    <w:rsid w:val="00FE6DEE"/>
    <w:rsid w:val="00FE6E2F"/>
    <w:rsid w:val="00FE7D83"/>
    <w:rsid w:val="00FE7E65"/>
    <w:rsid w:val="00FF017A"/>
    <w:rsid w:val="00FF1528"/>
    <w:rsid w:val="00FF15FD"/>
    <w:rsid w:val="00FF1939"/>
    <w:rsid w:val="00FF1F55"/>
    <w:rsid w:val="00FF24D9"/>
    <w:rsid w:val="00FF2722"/>
    <w:rsid w:val="00FF2870"/>
    <w:rsid w:val="00FF2A1C"/>
    <w:rsid w:val="00FF3134"/>
    <w:rsid w:val="00FF340F"/>
    <w:rsid w:val="00FF3BEC"/>
    <w:rsid w:val="00FF4191"/>
    <w:rsid w:val="00FF4B3B"/>
    <w:rsid w:val="00FF4DE1"/>
    <w:rsid w:val="00FF52E7"/>
    <w:rsid w:val="00FF5D1C"/>
    <w:rsid w:val="00FF6684"/>
    <w:rsid w:val="00FF7499"/>
    <w:rsid w:val="00FF7B68"/>
    <w:rsid w:val="00FF7E1E"/>
    <w:rsid w:val="025E9337"/>
    <w:rsid w:val="0290D819"/>
    <w:rsid w:val="02DD19D2"/>
    <w:rsid w:val="03036D0E"/>
    <w:rsid w:val="057B3770"/>
    <w:rsid w:val="075F31F9"/>
    <w:rsid w:val="095740F6"/>
    <w:rsid w:val="09DFE2B4"/>
    <w:rsid w:val="09E3DFCC"/>
    <w:rsid w:val="0B772166"/>
    <w:rsid w:val="0E0A8208"/>
    <w:rsid w:val="0E28493F"/>
    <w:rsid w:val="0EB02540"/>
    <w:rsid w:val="0F418E1E"/>
    <w:rsid w:val="0F916CD2"/>
    <w:rsid w:val="0FAA6376"/>
    <w:rsid w:val="116FD1EA"/>
    <w:rsid w:val="11C32942"/>
    <w:rsid w:val="12BF21ED"/>
    <w:rsid w:val="14D7E6D1"/>
    <w:rsid w:val="170F5E66"/>
    <w:rsid w:val="1744B886"/>
    <w:rsid w:val="184F4B84"/>
    <w:rsid w:val="18E0C3E0"/>
    <w:rsid w:val="18F17F28"/>
    <w:rsid w:val="19FB499C"/>
    <w:rsid w:val="1A0C9600"/>
    <w:rsid w:val="1B665B3B"/>
    <w:rsid w:val="1B9EFC70"/>
    <w:rsid w:val="1D0FB174"/>
    <w:rsid w:val="1DC1F993"/>
    <w:rsid w:val="216888C7"/>
    <w:rsid w:val="24C85AE4"/>
    <w:rsid w:val="24D0D22D"/>
    <w:rsid w:val="28568427"/>
    <w:rsid w:val="2AD16A53"/>
    <w:rsid w:val="2FE3B9FE"/>
    <w:rsid w:val="30DAF1CD"/>
    <w:rsid w:val="33FDF838"/>
    <w:rsid w:val="34FAE845"/>
    <w:rsid w:val="35C6ECBB"/>
    <w:rsid w:val="365778F9"/>
    <w:rsid w:val="3773317A"/>
    <w:rsid w:val="3848360D"/>
    <w:rsid w:val="38CDED6B"/>
    <w:rsid w:val="397C3750"/>
    <w:rsid w:val="3B912EA4"/>
    <w:rsid w:val="3D667F04"/>
    <w:rsid w:val="3DC3443D"/>
    <w:rsid w:val="3E1BF70D"/>
    <w:rsid w:val="3FB3A41A"/>
    <w:rsid w:val="3FC13F1D"/>
    <w:rsid w:val="4237E26D"/>
    <w:rsid w:val="42DDCA75"/>
    <w:rsid w:val="4502EC63"/>
    <w:rsid w:val="47ADA951"/>
    <w:rsid w:val="47C1EF75"/>
    <w:rsid w:val="48338AC5"/>
    <w:rsid w:val="486B131D"/>
    <w:rsid w:val="487F2797"/>
    <w:rsid w:val="494FC12E"/>
    <w:rsid w:val="4A37AEC2"/>
    <w:rsid w:val="4D325098"/>
    <w:rsid w:val="4EE881D8"/>
    <w:rsid w:val="514DE8A9"/>
    <w:rsid w:val="55001252"/>
    <w:rsid w:val="5696AD8E"/>
    <w:rsid w:val="59EF645D"/>
    <w:rsid w:val="5C68ECF7"/>
    <w:rsid w:val="5D396048"/>
    <w:rsid w:val="5F0EA25F"/>
    <w:rsid w:val="6025C58E"/>
    <w:rsid w:val="61C389EC"/>
    <w:rsid w:val="63D59402"/>
    <w:rsid w:val="640D7DB9"/>
    <w:rsid w:val="648AE2E3"/>
    <w:rsid w:val="65CD3DEF"/>
    <w:rsid w:val="6611026A"/>
    <w:rsid w:val="6ACA75A1"/>
    <w:rsid w:val="6B8985E5"/>
    <w:rsid w:val="6CDFFC29"/>
    <w:rsid w:val="6CEDB22C"/>
    <w:rsid w:val="6DE62BAC"/>
    <w:rsid w:val="703E9D87"/>
    <w:rsid w:val="7161C058"/>
    <w:rsid w:val="74469F2A"/>
    <w:rsid w:val="7470E893"/>
    <w:rsid w:val="75957EDC"/>
    <w:rsid w:val="77A9C4CF"/>
    <w:rsid w:val="79C7BA2A"/>
    <w:rsid w:val="7AAFC03D"/>
    <w:rsid w:val="7E91D077"/>
    <w:rsid w:val="7F248D1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776B25"/>
  <w15:chartTrackingRefBased/>
  <w15:docId w15:val="{A03AEC93-F58D-41CA-96A4-4778B7ABD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heme="minorBidi"/>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uiPriority="1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8E4"/>
  </w:style>
  <w:style w:type="paragraph" w:styleId="Heading1">
    <w:name w:val="heading 1"/>
    <w:basedOn w:val="Normal"/>
    <w:next w:val="BodyIndent1"/>
    <w:link w:val="Heading1Char"/>
    <w:rsid w:val="00A46D49"/>
    <w:pPr>
      <w:keepNext/>
      <w:numPr>
        <w:numId w:val="2"/>
      </w:numPr>
      <w:pBdr>
        <w:top w:val="single" w:sz="4" w:space="6" w:color="auto"/>
      </w:pBdr>
      <w:spacing w:before="480"/>
      <w:outlineLvl w:val="0"/>
    </w:pPr>
    <w:rPr>
      <w:b/>
      <w:kern w:val="28"/>
      <w:sz w:val="22"/>
    </w:rPr>
  </w:style>
  <w:style w:type="paragraph" w:styleId="Heading2">
    <w:name w:val="heading 2"/>
    <w:basedOn w:val="Normal"/>
    <w:next w:val="BodyIndent1"/>
    <w:link w:val="Heading2Char"/>
    <w:rsid w:val="003610F8"/>
    <w:pPr>
      <w:keepNext/>
      <w:numPr>
        <w:ilvl w:val="1"/>
        <w:numId w:val="2"/>
      </w:numPr>
      <w:spacing w:before="240"/>
      <w:outlineLvl w:val="1"/>
    </w:pPr>
    <w:rPr>
      <w:b/>
    </w:rPr>
  </w:style>
  <w:style w:type="paragraph" w:styleId="Heading3">
    <w:name w:val="heading 3"/>
    <w:basedOn w:val="Normal"/>
    <w:link w:val="Heading3Char"/>
    <w:qFormat/>
    <w:rsid w:val="003610F8"/>
    <w:pPr>
      <w:numPr>
        <w:ilvl w:val="2"/>
        <w:numId w:val="2"/>
      </w:numPr>
      <w:spacing w:before="240"/>
      <w:outlineLvl w:val="2"/>
    </w:pPr>
  </w:style>
  <w:style w:type="paragraph" w:styleId="Heading4">
    <w:name w:val="heading 4"/>
    <w:basedOn w:val="Normal"/>
    <w:link w:val="Heading4Char"/>
    <w:qFormat/>
    <w:rsid w:val="003610F8"/>
    <w:pPr>
      <w:numPr>
        <w:ilvl w:val="3"/>
        <w:numId w:val="2"/>
      </w:numPr>
      <w:spacing w:before="240"/>
      <w:outlineLvl w:val="3"/>
    </w:pPr>
  </w:style>
  <w:style w:type="paragraph" w:styleId="Heading5">
    <w:name w:val="heading 5"/>
    <w:basedOn w:val="Normal"/>
    <w:link w:val="Heading5Char"/>
    <w:semiHidden/>
    <w:qFormat/>
    <w:rsid w:val="003610F8"/>
    <w:pPr>
      <w:numPr>
        <w:ilvl w:val="4"/>
        <w:numId w:val="2"/>
      </w:numPr>
      <w:spacing w:before="240"/>
      <w:outlineLvl w:val="4"/>
    </w:pPr>
  </w:style>
  <w:style w:type="paragraph" w:styleId="Heading6">
    <w:name w:val="heading 6"/>
    <w:basedOn w:val="Normal"/>
    <w:next w:val="Normal"/>
    <w:link w:val="Heading6Char"/>
    <w:semiHidden/>
    <w:rsid w:val="008C6E59"/>
    <w:pPr>
      <w:outlineLvl w:val="5"/>
    </w:pPr>
  </w:style>
  <w:style w:type="paragraph" w:styleId="Heading7">
    <w:name w:val="heading 7"/>
    <w:basedOn w:val="Normal"/>
    <w:next w:val="Normal"/>
    <w:link w:val="Heading7Char"/>
    <w:semiHidden/>
    <w:rsid w:val="008C6E59"/>
    <w:pPr>
      <w:outlineLvl w:val="6"/>
    </w:pPr>
  </w:style>
  <w:style w:type="paragraph" w:styleId="Heading8">
    <w:name w:val="heading 8"/>
    <w:basedOn w:val="Normal"/>
    <w:next w:val="Normal"/>
    <w:link w:val="Heading8Char"/>
    <w:semiHidden/>
    <w:rsid w:val="008C6E59"/>
    <w:pPr>
      <w:outlineLvl w:val="7"/>
    </w:pPr>
  </w:style>
  <w:style w:type="paragraph" w:styleId="Heading9">
    <w:name w:val="heading 9"/>
    <w:basedOn w:val="Normal"/>
    <w:next w:val="Normal"/>
    <w:link w:val="Heading9Char"/>
    <w:semiHidden/>
    <w:rsid w:val="008C6E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Indent1">
    <w:name w:val="Body Indent 1"/>
    <w:basedOn w:val="Normal"/>
    <w:qFormat/>
    <w:rsid w:val="008C6E59"/>
    <w:pPr>
      <w:spacing w:before="240"/>
      <w:ind w:left="851"/>
    </w:pPr>
    <w:rPr>
      <w:rFonts w:cs="Arial"/>
    </w:rPr>
  </w:style>
  <w:style w:type="paragraph" w:customStyle="1" w:styleId="BodyIndent2">
    <w:name w:val="Body Indent 2"/>
    <w:basedOn w:val="Normal"/>
    <w:qFormat/>
    <w:rsid w:val="008C6E59"/>
    <w:pPr>
      <w:spacing w:before="240"/>
      <w:ind w:left="1701"/>
    </w:pPr>
    <w:rPr>
      <w:rFonts w:cs="Arial"/>
    </w:rPr>
  </w:style>
  <w:style w:type="paragraph" w:customStyle="1" w:styleId="BodyIndent3">
    <w:name w:val="Body Indent 3"/>
    <w:basedOn w:val="Normal"/>
    <w:qFormat/>
    <w:rsid w:val="008C6E59"/>
    <w:pPr>
      <w:spacing w:before="240"/>
      <w:ind w:left="2268"/>
    </w:pPr>
    <w:rPr>
      <w:rFonts w:cs="Arial"/>
    </w:rPr>
  </w:style>
  <w:style w:type="paragraph" w:customStyle="1" w:styleId="Bullet10">
    <w:name w:val="Bullet1"/>
    <w:basedOn w:val="Normal"/>
    <w:qFormat/>
    <w:rsid w:val="00EB4B5D"/>
    <w:pPr>
      <w:numPr>
        <w:numId w:val="1"/>
      </w:numPr>
      <w:spacing w:before="240"/>
    </w:pPr>
    <w:rPr>
      <w:rFonts w:cs="Arial"/>
    </w:rPr>
  </w:style>
  <w:style w:type="paragraph" w:customStyle="1" w:styleId="Bullet2">
    <w:name w:val="Bullet2"/>
    <w:basedOn w:val="Normal"/>
    <w:qFormat/>
    <w:rsid w:val="00A46D49"/>
    <w:pPr>
      <w:numPr>
        <w:numId w:val="6"/>
      </w:numPr>
      <w:spacing w:before="240"/>
    </w:pPr>
  </w:style>
  <w:style w:type="paragraph" w:customStyle="1" w:styleId="Bullet3">
    <w:name w:val="Bullet3"/>
    <w:basedOn w:val="Normal"/>
    <w:qFormat/>
    <w:rsid w:val="00A46D49"/>
    <w:pPr>
      <w:numPr>
        <w:numId w:val="7"/>
      </w:numPr>
      <w:spacing w:before="240"/>
    </w:pPr>
  </w:style>
  <w:style w:type="paragraph" w:customStyle="1" w:styleId="correspQuote">
    <w:name w:val="correspQuote"/>
    <w:basedOn w:val="Normal"/>
    <w:qFormat/>
    <w:rsid w:val="008C6E59"/>
    <w:pPr>
      <w:spacing w:before="240"/>
      <w:ind w:left="851" w:right="851"/>
    </w:pPr>
    <w:rPr>
      <w:rFonts w:cs="Arial"/>
      <w:sz w:val="18"/>
    </w:rPr>
  </w:style>
  <w:style w:type="paragraph" w:customStyle="1" w:styleId="covBodyText">
    <w:name w:val="covBodyText"/>
    <w:basedOn w:val="Normal"/>
    <w:qFormat/>
    <w:rsid w:val="00A46D49"/>
    <w:pPr>
      <w:ind w:left="397"/>
    </w:pPr>
    <w:rPr>
      <w:rFonts w:cs="Times New Roman"/>
      <w:sz w:val="22"/>
      <w:lang w:eastAsia="en-AU"/>
    </w:rPr>
  </w:style>
  <w:style w:type="paragraph" w:customStyle="1" w:styleId="covSubTitle">
    <w:name w:val="covSubTitle"/>
    <w:basedOn w:val="Normal"/>
    <w:next w:val="covBodyText"/>
    <w:rsid w:val="00A46D49"/>
    <w:pPr>
      <w:ind w:left="397"/>
    </w:pPr>
    <w:rPr>
      <w:rFonts w:cs="Times New Roman"/>
      <w:b/>
      <w:sz w:val="22"/>
      <w:lang w:eastAsia="en-AU"/>
    </w:rPr>
  </w:style>
  <w:style w:type="paragraph" w:customStyle="1" w:styleId="covTitle">
    <w:name w:val="covTitle"/>
    <w:basedOn w:val="Normal"/>
    <w:next w:val="covBodyText"/>
    <w:qFormat/>
    <w:rsid w:val="0077422D"/>
    <w:pPr>
      <w:spacing w:before="3600"/>
      <w:ind w:left="397"/>
    </w:pPr>
    <w:rPr>
      <w:rFonts w:cs="Times New Roman"/>
      <w:b/>
      <w:sz w:val="34"/>
      <w:lang w:eastAsia="en-AU"/>
    </w:rPr>
  </w:style>
  <w:style w:type="character" w:customStyle="1" w:styleId="Heading1Char">
    <w:name w:val="Heading 1 Char"/>
    <w:basedOn w:val="DefaultParagraphFont"/>
    <w:link w:val="Heading1"/>
    <w:rsid w:val="00A46D49"/>
    <w:rPr>
      <w:b/>
      <w:kern w:val="28"/>
      <w:sz w:val="22"/>
    </w:rPr>
  </w:style>
  <w:style w:type="character" w:customStyle="1" w:styleId="Heading2Char">
    <w:name w:val="Heading 2 Char"/>
    <w:basedOn w:val="DefaultParagraphFont"/>
    <w:link w:val="Heading2"/>
    <w:rsid w:val="003610F8"/>
    <w:rPr>
      <w:b/>
    </w:rPr>
  </w:style>
  <w:style w:type="character" w:customStyle="1" w:styleId="Heading3Char">
    <w:name w:val="Heading 3 Char"/>
    <w:basedOn w:val="DefaultParagraphFont"/>
    <w:link w:val="Heading3"/>
    <w:rsid w:val="003610F8"/>
  </w:style>
  <w:style w:type="character" w:customStyle="1" w:styleId="Heading4Char">
    <w:name w:val="Heading 4 Char"/>
    <w:basedOn w:val="DefaultParagraphFont"/>
    <w:link w:val="Heading4"/>
    <w:rsid w:val="003610F8"/>
  </w:style>
  <w:style w:type="character" w:customStyle="1" w:styleId="Heading5Char">
    <w:name w:val="Heading 5 Char"/>
    <w:basedOn w:val="DefaultParagraphFont"/>
    <w:link w:val="Heading5"/>
    <w:semiHidden/>
    <w:rsid w:val="00FC18E4"/>
  </w:style>
  <w:style w:type="character" w:customStyle="1" w:styleId="Heading6Char">
    <w:name w:val="Heading 6 Char"/>
    <w:basedOn w:val="DefaultParagraphFont"/>
    <w:link w:val="Heading6"/>
    <w:semiHidden/>
    <w:rsid w:val="000344EF"/>
    <w:rPr>
      <w:rFonts w:ascii="Arial" w:hAnsi="Arial" w:cs="Times New Roman"/>
      <w:sz w:val="20"/>
      <w:szCs w:val="20"/>
      <w:lang w:eastAsia="en-AU"/>
    </w:rPr>
  </w:style>
  <w:style w:type="character" w:customStyle="1" w:styleId="Heading7Char">
    <w:name w:val="Heading 7 Char"/>
    <w:basedOn w:val="DefaultParagraphFont"/>
    <w:link w:val="Heading7"/>
    <w:semiHidden/>
    <w:rsid w:val="000344EF"/>
    <w:rPr>
      <w:rFonts w:ascii="Arial" w:hAnsi="Arial" w:cs="Times New Roman"/>
      <w:sz w:val="20"/>
      <w:szCs w:val="20"/>
      <w:lang w:eastAsia="en-AU"/>
    </w:rPr>
  </w:style>
  <w:style w:type="character" w:customStyle="1" w:styleId="Heading8Char">
    <w:name w:val="Heading 8 Char"/>
    <w:basedOn w:val="DefaultParagraphFont"/>
    <w:link w:val="Heading8"/>
    <w:semiHidden/>
    <w:rsid w:val="000344EF"/>
    <w:rPr>
      <w:rFonts w:ascii="Arial" w:hAnsi="Arial" w:cs="Times New Roman"/>
      <w:sz w:val="20"/>
      <w:szCs w:val="20"/>
      <w:lang w:eastAsia="en-AU"/>
    </w:rPr>
  </w:style>
  <w:style w:type="character" w:customStyle="1" w:styleId="Heading9Char">
    <w:name w:val="Heading 9 Char"/>
    <w:basedOn w:val="DefaultParagraphFont"/>
    <w:link w:val="Heading9"/>
    <w:semiHidden/>
    <w:rsid w:val="000344EF"/>
    <w:rPr>
      <w:rFonts w:ascii="Arial" w:hAnsi="Arial" w:cs="Times New Roman"/>
      <w:sz w:val="20"/>
      <w:szCs w:val="20"/>
      <w:lang w:eastAsia="en-AU"/>
    </w:rPr>
  </w:style>
  <w:style w:type="paragraph" w:customStyle="1" w:styleId="Headingpara2">
    <w:name w:val="Headingpara2"/>
    <w:basedOn w:val="Heading2"/>
    <w:qFormat/>
    <w:rsid w:val="00255B9D"/>
    <w:pPr>
      <w:keepNext w:val="0"/>
    </w:pPr>
    <w:rPr>
      <w:b w:val="0"/>
    </w:rPr>
  </w:style>
  <w:style w:type="paragraph" w:customStyle="1" w:styleId="legalDefinition">
    <w:name w:val="legalDefinition"/>
    <w:basedOn w:val="Normal"/>
    <w:qFormat/>
    <w:rsid w:val="00A71CDD"/>
    <w:pPr>
      <w:numPr>
        <w:numId w:val="9"/>
      </w:numPr>
      <w:spacing w:before="240"/>
    </w:pPr>
    <w:rPr>
      <w:rFonts w:cs="Times New Roman"/>
    </w:rPr>
  </w:style>
  <w:style w:type="paragraph" w:customStyle="1" w:styleId="legalRecital1">
    <w:name w:val="legalRecital1"/>
    <w:basedOn w:val="Normal"/>
    <w:qFormat/>
    <w:rsid w:val="003610F8"/>
    <w:pPr>
      <w:numPr>
        <w:numId w:val="3"/>
      </w:numPr>
      <w:spacing w:before="240"/>
    </w:pPr>
  </w:style>
  <w:style w:type="paragraph" w:customStyle="1" w:styleId="legalSchedule">
    <w:name w:val="legalSchedule"/>
    <w:basedOn w:val="Normal"/>
    <w:next w:val="Normal"/>
    <w:qFormat/>
    <w:rsid w:val="001A138C"/>
    <w:pPr>
      <w:pageBreakBefore/>
      <w:numPr>
        <w:numId w:val="4"/>
      </w:numPr>
      <w:pBdr>
        <w:top w:val="single" w:sz="4" w:space="1" w:color="auto"/>
      </w:pBdr>
    </w:pPr>
    <w:rPr>
      <w:rFonts w:cs="Times New Roman"/>
      <w:b/>
      <w:sz w:val="34"/>
    </w:rPr>
  </w:style>
  <w:style w:type="paragraph" w:customStyle="1" w:styleId="legalScheduleDesc">
    <w:name w:val="legalScheduleDesc"/>
    <w:basedOn w:val="Normal"/>
    <w:next w:val="Normal"/>
    <w:qFormat/>
    <w:rsid w:val="00517177"/>
    <w:pPr>
      <w:keepNext/>
      <w:spacing w:before="240"/>
    </w:pPr>
    <w:rPr>
      <w:rFonts w:cs="Times New Roman"/>
      <w:b/>
      <w:sz w:val="22"/>
    </w:rPr>
  </w:style>
  <w:style w:type="paragraph" w:customStyle="1" w:styleId="legalTitleDescription">
    <w:name w:val="legalTitleDescription"/>
    <w:basedOn w:val="Normal"/>
    <w:next w:val="Normal"/>
    <w:qFormat/>
    <w:rsid w:val="00517177"/>
    <w:pPr>
      <w:spacing w:before="240"/>
    </w:pPr>
    <w:rPr>
      <w:rFonts w:cs="Times New Roman"/>
      <w:b/>
      <w:sz w:val="22"/>
    </w:rPr>
  </w:style>
  <w:style w:type="paragraph" w:customStyle="1" w:styleId="mainTitle">
    <w:name w:val="mainTitle"/>
    <w:basedOn w:val="Normal"/>
    <w:next w:val="Normal"/>
    <w:qFormat/>
    <w:rsid w:val="008C6E59"/>
    <w:pPr>
      <w:pBdr>
        <w:top w:val="single" w:sz="4" w:space="1" w:color="auto"/>
      </w:pBdr>
    </w:pPr>
    <w:rPr>
      <w:b/>
      <w:sz w:val="34"/>
    </w:rPr>
  </w:style>
  <w:style w:type="paragraph" w:customStyle="1" w:styleId="Numpara1">
    <w:name w:val="Numpara1"/>
    <w:basedOn w:val="Normal"/>
    <w:link w:val="Numpara1Char"/>
    <w:qFormat/>
    <w:rsid w:val="003610F8"/>
    <w:pPr>
      <w:numPr>
        <w:numId w:val="10"/>
      </w:numPr>
      <w:spacing w:before="240"/>
    </w:pPr>
    <w:rPr>
      <w:rFonts w:cs="Arial"/>
      <w:szCs w:val="22"/>
    </w:rPr>
  </w:style>
  <w:style w:type="paragraph" w:customStyle="1" w:styleId="Numpara2">
    <w:name w:val="Numpara2"/>
    <w:basedOn w:val="Normal"/>
    <w:qFormat/>
    <w:rsid w:val="003610F8"/>
    <w:pPr>
      <w:numPr>
        <w:ilvl w:val="1"/>
        <w:numId w:val="10"/>
      </w:numPr>
      <w:spacing w:before="240"/>
    </w:pPr>
    <w:rPr>
      <w:rFonts w:cs="Arial"/>
      <w:szCs w:val="22"/>
    </w:rPr>
  </w:style>
  <w:style w:type="paragraph" w:customStyle="1" w:styleId="Numpara3">
    <w:name w:val="Numpara3"/>
    <w:basedOn w:val="Normal"/>
    <w:qFormat/>
    <w:rsid w:val="003610F8"/>
    <w:pPr>
      <w:numPr>
        <w:ilvl w:val="2"/>
        <w:numId w:val="10"/>
      </w:numPr>
      <w:spacing w:before="240"/>
    </w:pPr>
    <w:rPr>
      <w:rFonts w:cs="Arial"/>
      <w:szCs w:val="22"/>
    </w:rPr>
  </w:style>
  <w:style w:type="paragraph" w:customStyle="1" w:styleId="Numpara4">
    <w:name w:val="Numpara4"/>
    <w:basedOn w:val="Normal"/>
    <w:qFormat/>
    <w:rsid w:val="003610F8"/>
    <w:pPr>
      <w:numPr>
        <w:ilvl w:val="3"/>
        <w:numId w:val="10"/>
      </w:numPr>
      <w:spacing w:before="240"/>
    </w:pPr>
    <w:rPr>
      <w:rFonts w:cs="Arial"/>
      <w:szCs w:val="22"/>
    </w:rPr>
  </w:style>
  <w:style w:type="paragraph" w:customStyle="1" w:styleId="pageNumber">
    <w:name w:val="pageNumber"/>
    <w:basedOn w:val="Normal"/>
    <w:qFormat/>
    <w:rsid w:val="003610F8"/>
    <w:pPr>
      <w:tabs>
        <w:tab w:val="right" w:pos="9072"/>
      </w:tabs>
    </w:pPr>
    <w:rPr>
      <w:sz w:val="14"/>
      <w:szCs w:val="14"/>
    </w:rPr>
  </w:style>
  <w:style w:type="paragraph" w:styleId="TOC1">
    <w:name w:val="toc 1"/>
    <w:next w:val="Normal"/>
    <w:autoRedefine/>
    <w:uiPriority w:val="39"/>
    <w:rsid w:val="00101A94"/>
    <w:pPr>
      <w:tabs>
        <w:tab w:val="left" w:pos="851"/>
        <w:tab w:val="right" w:leader="dot" w:pos="9072"/>
      </w:tabs>
      <w:spacing w:before="120" w:after="120"/>
      <w:ind w:left="851" w:hanging="851"/>
    </w:pPr>
    <w:rPr>
      <w:rFonts w:cs="Times New Roman"/>
      <w:b/>
    </w:rPr>
  </w:style>
  <w:style w:type="paragraph" w:styleId="TOC2">
    <w:name w:val="toc 2"/>
    <w:next w:val="Normal"/>
    <w:autoRedefine/>
    <w:uiPriority w:val="39"/>
    <w:rsid w:val="00304C2D"/>
    <w:pPr>
      <w:tabs>
        <w:tab w:val="left" w:pos="1702"/>
        <w:tab w:val="right" w:leader="dot" w:pos="9072"/>
      </w:tabs>
      <w:ind w:left="1702" w:hanging="851"/>
    </w:pPr>
    <w:rPr>
      <w:rFonts w:cs="Times New Roman"/>
    </w:rPr>
  </w:style>
  <w:style w:type="table" w:customStyle="1" w:styleId="MadTabPlumGrid">
    <w:name w:val="MadTabPlumGrid"/>
    <w:basedOn w:val="TableNormal"/>
    <w:uiPriority w:val="99"/>
    <w:rsid w:val="00D5058D"/>
    <w:pPr>
      <w:spacing w:before="60" w:after="60"/>
    </w:pPr>
    <w:rPr>
      <w:rFonts w:cs="Times New Roman"/>
      <w:lang w:eastAsia="en-AU"/>
    </w:rPr>
    <w:tblPr>
      <w:tblBorders>
        <w:top w:val="single" w:sz="4" w:space="0" w:color="82002A"/>
        <w:bottom w:val="single" w:sz="4" w:space="0" w:color="82002A"/>
        <w:insideH w:val="single" w:sz="4" w:space="0" w:color="82002A"/>
        <w:insideV w:val="single" w:sz="4" w:space="0" w:color="82002A"/>
      </w:tblBorders>
    </w:tblPr>
    <w:tcPr>
      <w:vAlign w:val="center"/>
    </w:tcPr>
    <w:tblStylePr w:type="firstRow">
      <w:pPr>
        <w:wordWrap/>
        <w:spacing w:beforeLines="0" w:before="60" w:beforeAutospacing="0" w:afterLines="0" w:after="60" w:afterAutospacing="0"/>
        <w:jc w:val="left"/>
      </w:pPr>
      <w:rPr>
        <w:rFonts w:ascii="Arial" w:hAnsi="Arial"/>
        <w:b/>
        <w:i w:val="0"/>
        <w:color w:val="82002A"/>
        <w:sz w:val="20"/>
      </w:rPr>
      <w:tblPr/>
      <w:tcPr>
        <w:tcBorders>
          <w:top w:val="nil"/>
          <w:left w:val="nil"/>
          <w:bottom w:val="nil"/>
          <w:right w:val="nil"/>
          <w:insideH w:val="nil"/>
          <w:insideV w:val="nil"/>
          <w:tl2br w:val="nil"/>
          <w:tr2bl w:val="nil"/>
        </w:tcBorders>
      </w:tcPr>
    </w:tblStylePr>
  </w:style>
  <w:style w:type="table" w:customStyle="1" w:styleId="MadTabPlumShade">
    <w:name w:val="MadTabPlumShade"/>
    <w:basedOn w:val="TableNormal"/>
    <w:uiPriority w:val="99"/>
    <w:rsid w:val="00D5058D"/>
    <w:pPr>
      <w:spacing w:before="60" w:after="60"/>
    </w:pPr>
    <w:rPr>
      <w:rFonts w:cs="Times New Roman"/>
      <w:lang w:eastAsia="en-AU"/>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2F2F2"/>
      <w:vAlign w:val="center"/>
    </w:tcPr>
    <w:tblStylePr w:type="firstRow">
      <w:pPr>
        <w:wordWrap/>
        <w:spacing w:beforeLines="0" w:before="60" w:beforeAutospacing="0" w:afterLines="0" w:after="60" w:afterAutospacing="0"/>
        <w:jc w:val="left"/>
      </w:pPr>
      <w:rPr>
        <w:rFonts w:ascii="Arial" w:hAnsi="Arial"/>
        <w:b/>
        <w:color w:val="FFFFFF"/>
        <w:sz w:val="20"/>
      </w:rPr>
      <w:tblPr/>
      <w:tcPr>
        <w:shd w:val="clear" w:color="auto" w:fill="82002A"/>
      </w:tcPr>
    </w:tblStylePr>
    <w:tblStylePr w:type="firstCol">
      <w:pPr>
        <w:wordWrap/>
        <w:spacing w:beforeLines="0" w:before="60" w:beforeAutospacing="0" w:afterLines="60" w:after="60" w:afterAutospacing="0"/>
      </w:pPr>
      <w:rPr>
        <w:rFonts w:ascii="Arial" w:hAnsi="Arial"/>
        <w:b/>
        <w:color w:val="auto"/>
        <w:sz w:val="20"/>
      </w:rPr>
      <w:tblPr/>
      <w:tcPr>
        <w:shd w:val="clear" w:color="auto" w:fill="D9D9D9"/>
      </w:tcPr>
    </w:tblStylePr>
  </w:style>
  <w:style w:type="paragraph" w:styleId="Footer">
    <w:name w:val="footer"/>
    <w:basedOn w:val="Normal"/>
    <w:link w:val="FooterChar"/>
    <w:uiPriority w:val="99"/>
    <w:semiHidden/>
    <w:rsid w:val="009F2818"/>
    <w:pPr>
      <w:tabs>
        <w:tab w:val="center" w:pos="4513"/>
        <w:tab w:val="right" w:pos="9026"/>
      </w:tabs>
    </w:pPr>
  </w:style>
  <w:style w:type="character" w:customStyle="1" w:styleId="FooterChar">
    <w:name w:val="Footer Char"/>
    <w:basedOn w:val="DefaultParagraphFont"/>
    <w:link w:val="Footer"/>
    <w:uiPriority w:val="99"/>
    <w:semiHidden/>
    <w:rsid w:val="009F2818"/>
    <w:rPr>
      <w:rFonts w:ascii="Arial" w:hAnsi="Arial" w:cs="Times New Roman"/>
      <w:sz w:val="20"/>
      <w:szCs w:val="20"/>
      <w:lang w:eastAsia="en-AU"/>
    </w:rPr>
  </w:style>
  <w:style w:type="character" w:styleId="FootnoteReference">
    <w:name w:val="footnote reference"/>
    <w:basedOn w:val="DefaultParagraphFont"/>
    <w:uiPriority w:val="99"/>
    <w:semiHidden/>
    <w:rsid w:val="00651889"/>
    <w:rPr>
      <w:vertAlign w:val="superscript"/>
    </w:rPr>
  </w:style>
  <w:style w:type="paragraph" w:styleId="FootnoteText">
    <w:name w:val="footnote text"/>
    <w:basedOn w:val="Normal"/>
    <w:link w:val="FootnoteTextChar"/>
    <w:uiPriority w:val="99"/>
    <w:semiHidden/>
    <w:rsid w:val="00651889"/>
    <w:rPr>
      <w:sz w:val="18"/>
    </w:rPr>
  </w:style>
  <w:style w:type="character" w:customStyle="1" w:styleId="FootnoteTextChar">
    <w:name w:val="Footnote Text Char"/>
    <w:basedOn w:val="DefaultParagraphFont"/>
    <w:link w:val="FootnoteText"/>
    <w:uiPriority w:val="99"/>
    <w:semiHidden/>
    <w:rsid w:val="00651889"/>
    <w:rPr>
      <w:rFonts w:ascii="Arial" w:hAnsi="Arial" w:cs="Times New Roman"/>
      <w:sz w:val="18"/>
      <w:szCs w:val="20"/>
      <w:lang w:eastAsia="en-AU"/>
    </w:rPr>
  </w:style>
  <w:style w:type="paragraph" w:customStyle="1" w:styleId="legalAttachment">
    <w:name w:val="legalAttachment"/>
    <w:basedOn w:val="Normal"/>
    <w:next w:val="Normal"/>
    <w:qFormat/>
    <w:rsid w:val="001A138C"/>
    <w:pPr>
      <w:pageBreakBefore/>
      <w:numPr>
        <w:numId w:val="5"/>
      </w:numPr>
      <w:pBdr>
        <w:top w:val="single" w:sz="4" w:space="1" w:color="auto"/>
      </w:pBdr>
    </w:pPr>
    <w:rPr>
      <w:rFonts w:cs="Times New Roman"/>
      <w:b/>
      <w:sz w:val="34"/>
    </w:rPr>
  </w:style>
  <w:style w:type="paragraph" w:customStyle="1" w:styleId="legalPart">
    <w:name w:val="legalPart"/>
    <w:basedOn w:val="Normal"/>
    <w:next w:val="Normal"/>
    <w:qFormat/>
    <w:rsid w:val="00380B75"/>
    <w:pPr>
      <w:keepNext/>
      <w:numPr>
        <w:numId w:val="8"/>
      </w:numPr>
      <w:pBdr>
        <w:top w:val="single" w:sz="4" w:space="6" w:color="82002A"/>
      </w:pBdr>
      <w:spacing w:before="480" w:after="480"/>
    </w:pPr>
    <w:rPr>
      <w:rFonts w:cs="Times New Roman"/>
      <w:b/>
      <w:color w:val="82002A"/>
      <w:sz w:val="22"/>
    </w:rPr>
  </w:style>
  <w:style w:type="paragraph" w:styleId="TOC3">
    <w:name w:val="toc 3"/>
    <w:next w:val="Normal"/>
    <w:autoRedefine/>
    <w:uiPriority w:val="39"/>
    <w:unhideWhenUsed/>
    <w:rsid w:val="00D5058D"/>
    <w:pPr>
      <w:tabs>
        <w:tab w:val="left" w:pos="851"/>
        <w:tab w:val="right" w:leader="dot" w:pos="9060"/>
      </w:tabs>
      <w:spacing w:before="240"/>
    </w:pPr>
    <w:rPr>
      <w:rFonts w:cs="Times New Roman"/>
      <w:b/>
      <w:color w:val="82002A"/>
      <w:sz w:val="22"/>
    </w:rPr>
  </w:style>
  <w:style w:type="paragraph" w:styleId="Header">
    <w:name w:val="header"/>
    <w:basedOn w:val="Normal"/>
    <w:link w:val="HeaderChar"/>
    <w:uiPriority w:val="99"/>
    <w:unhideWhenUsed/>
    <w:rsid w:val="00C76A92"/>
    <w:pPr>
      <w:tabs>
        <w:tab w:val="center" w:pos="4513"/>
        <w:tab w:val="right" w:pos="9026"/>
      </w:tabs>
    </w:pPr>
  </w:style>
  <w:style w:type="character" w:customStyle="1" w:styleId="HeaderChar">
    <w:name w:val="Header Char"/>
    <w:basedOn w:val="DefaultParagraphFont"/>
    <w:link w:val="Header"/>
    <w:uiPriority w:val="99"/>
    <w:rsid w:val="00C76A92"/>
  </w:style>
  <w:style w:type="character" w:styleId="Hyperlink">
    <w:name w:val="Hyperlink"/>
    <w:basedOn w:val="DefaultParagraphFont"/>
    <w:uiPriority w:val="99"/>
    <w:unhideWhenUsed/>
    <w:rsid w:val="00535AEC"/>
    <w:rPr>
      <w:color w:val="CD5C3D" w:themeColor="hyperlink"/>
      <w:u w:val="single"/>
    </w:rPr>
  </w:style>
  <w:style w:type="paragraph" w:customStyle="1" w:styleId="Default">
    <w:name w:val="Default"/>
    <w:rsid w:val="005B07E9"/>
    <w:pPr>
      <w:autoSpaceDE w:val="0"/>
      <w:autoSpaceDN w:val="0"/>
      <w:adjustRightInd w:val="0"/>
    </w:pPr>
    <w:rPr>
      <w:rFonts w:cs="Arial"/>
      <w:color w:val="000000"/>
      <w:sz w:val="24"/>
      <w:szCs w:val="24"/>
    </w:rPr>
  </w:style>
  <w:style w:type="character" w:styleId="CommentReference">
    <w:name w:val="annotation reference"/>
    <w:basedOn w:val="DefaultParagraphFont"/>
    <w:uiPriority w:val="99"/>
    <w:semiHidden/>
    <w:unhideWhenUsed/>
    <w:rsid w:val="00A74A5A"/>
    <w:rPr>
      <w:sz w:val="16"/>
      <w:szCs w:val="16"/>
    </w:rPr>
  </w:style>
  <w:style w:type="paragraph" w:styleId="CommentText">
    <w:name w:val="annotation text"/>
    <w:basedOn w:val="Normal"/>
    <w:link w:val="CommentTextChar"/>
    <w:uiPriority w:val="99"/>
    <w:unhideWhenUsed/>
    <w:rsid w:val="00A74A5A"/>
  </w:style>
  <w:style w:type="character" w:customStyle="1" w:styleId="CommentTextChar">
    <w:name w:val="Comment Text Char"/>
    <w:basedOn w:val="DefaultParagraphFont"/>
    <w:link w:val="CommentText"/>
    <w:uiPriority w:val="99"/>
    <w:rsid w:val="00A74A5A"/>
  </w:style>
  <w:style w:type="paragraph" w:styleId="CommentSubject">
    <w:name w:val="annotation subject"/>
    <w:basedOn w:val="CommentText"/>
    <w:next w:val="CommentText"/>
    <w:link w:val="CommentSubjectChar"/>
    <w:uiPriority w:val="99"/>
    <w:semiHidden/>
    <w:unhideWhenUsed/>
    <w:rsid w:val="00A74A5A"/>
    <w:rPr>
      <w:b/>
      <w:bCs/>
    </w:rPr>
  </w:style>
  <w:style w:type="character" w:customStyle="1" w:styleId="CommentSubjectChar">
    <w:name w:val="Comment Subject Char"/>
    <w:basedOn w:val="CommentTextChar"/>
    <w:link w:val="CommentSubject"/>
    <w:uiPriority w:val="99"/>
    <w:semiHidden/>
    <w:rsid w:val="00A74A5A"/>
    <w:rPr>
      <w:b/>
      <w:bCs/>
    </w:rPr>
  </w:style>
  <w:style w:type="paragraph" w:styleId="BalloonText">
    <w:name w:val="Balloon Text"/>
    <w:basedOn w:val="Normal"/>
    <w:link w:val="BalloonTextChar"/>
    <w:uiPriority w:val="99"/>
    <w:semiHidden/>
    <w:unhideWhenUsed/>
    <w:rsid w:val="00A74A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A5A"/>
    <w:rPr>
      <w:rFonts w:ascii="Segoe UI" w:hAnsi="Segoe UI" w:cs="Segoe UI"/>
      <w:sz w:val="18"/>
      <w:szCs w:val="18"/>
    </w:rPr>
  </w:style>
  <w:style w:type="character" w:customStyle="1" w:styleId="UnresolvedMention1">
    <w:name w:val="Unresolved Mention1"/>
    <w:basedOn w:val="DefaultParagraphFont"/>
    <w:uiPriority w:val="99"/>
    <w:semiHidden/>
    <w:unhideWhenUsed/>
    <w:rsid w:val="00EE4174"/>
    <w:rPr>
      <w:color w:val="605E5C"/>
      <w:shd w:val="clear" w:color="auto" w:fill="E1DFDD"/>
    </w:rPr>
  </w:style>
  <w:style w:type="paragraph" w:styleId="BodyText">
    <w:name w:val="Body Text"/>
    <w:basedOn w:val="Normal"/>
    <w:link w:val="BodyTextChar"/>
    <w:uiPriority w:val="1"/>
    <w:qFormat/>
    <w:rsid w:val="00B35F83"/>
    <w:pPr>
      <w:widowControl w:val="0"/>
      <w:autoSpaceDE w:val="0"/>
      <w:autoSpaceDN w:val="0"/>
    </w:pPr>
    <w:rPr>
      <w:rFonts w:eastAsia="Arial" w:cs="Arial"/>
      <w:sz w:val="22"/>
      <w:szCs w:val="22"/>
      <w:lang w:eastAsia="en-AU" w:bidi="en-AU"/>
    </w:rPr>
  </w:style>
  <w:style w:type="character" w:customStyle="1" w:styleId="BodyTextChar">
    <w:name w:val="Body Text Char"/>
    <w:basedOn w:val="DefaultParagraphFont"/>
    <w:link w:val="BodyText"/>
    <w:uiPriority w:val="1"/>
    <w:rsid w:val="00B35F83"/>
    <w:rPr>
      <w:rFonts w:eastAsia="Arial" w:cs="Arial"/>
      <w:sz w:val="22"/>
      <w:szCs w:val="22"/>
      <w:lang w:eastAsia="en-AU" w:bidi="en-AU"/>
    </w:rPr>
  </w:style>
  <w:style w:type="paragraph" w:styleId="ListParagraph">
    <w:name w:val="List Paragraph"/>
    <w:aliases w:val="Bullet"/>
    <w:basedOn w:val="Normal"/>
    <w:link w:val="ListParagraphChar"/>
    <w:uiPriority w:val="34"/>
    <w:qFormat/>
    <w:rsid w:val="00B35F83"/>
    <w:pPr>
      <w:widowControl w:val="0"/>
      <w:autoSpaceDE w:val="0"/>
      <w:autoSpaceDN w:val="0"/>
      <w:ind w:left="820" w:hanging="360"/>
    </w:pPr>
    <w:rPr>
      <w:rFonts w:eastAsia="Arial" w:cs="Arial"/>
      <w:sz w:val="22"/>
      <w:szCs w:val="22"/>
      <w:lang w:eastAsia="en-AU" w:bidi="en-AU"/>
    </w:rPr>
  </w:style>
  <w:style w:type="character" w:styleId="FollowedHyperlink">
    <w:name w:val="FollowedHyperlink"/>
    <w:basedOn w:val="DefaultParagraphFont"/>
    <w:uiPriority w:val="99"/>
    <w:semiHidden/>
    <w:unhideWhenUsed/>
    <w:rsid w:val="00FF7B68"/>
    <w:rPr>
      <w:color w:val="C40040" w:themeColor="followedHyperlink"/>
      <w:u w:val="single"/>
    </w:rPr>
  </w:style>
  <w:style w:type="paragraph" w:styleId="NormalWeb">
    <w:name w:val="Normal (Web)"/>
    <w:basedOn w:val="Normal"/>
    <w:uiPriority w:val="99"/>
    <w:semiHidden/>
    <w:unhideWhenUsed/>
    <w:rsid w:val="00C62F39"/>
    <w:pPr>
      <w:spacing w:before="100" w:beforeAutospacing="1" w:after="100" w:afterAutospacing="1"/>
    </w:pPr>
    <w:rPr>
      <w:rFonts w:ascii="Times New Roman" w:hAnsi="Times New Roman" w:cs="Times New Roman"/>
      <w:sz w:val="24"/>
      <w:szCs w:val="24"/>
      <w:lang w:eastAsia="en-AU"/>
    </w:rPr>
  </w:style>
  <w:style w:type="character" w:styleId="Strong">
    <w:name w:val="Strong"/>
    <w:basedOn w:val="DefaultParagraphFont"/>
    <w:uiPriority w:val="22"/>
    <w:qFormat/>
    <w:rsid w:val="00C62F39"/>
    <w:rPr>
      <w:b/>
      <w:bCs/>
    </w:rPr>
  </w:style>
  <w:style w:type="paragraph" w:customStyle="1" w:styleId="paragraph">
    <w:name w:val="paragraph"/>
    <w:aliases w:val="a"/>
    <w:basedOn w:val="Normal"/>
    <w:link w:val="paragraphChar"/>
    <w:rsid w:val="00E94EF0"/>
    <w:pPr>
      <w:tabs>
        <w:tab w:val="right" w:pos="1531"/>
      </w:tabs>
      <w:spacing w:before="40"/>
      <w:ind w:left="1644" w:hanging="1644"/>
    </w:pPr>
    <w:rPr>
      <w:rFonts w:ascii="Times New Roman" w:hAnsi="Times New Roman" w:cs="Times New Roman"/>
      <w:sz w:val="22"/>
      <w:lang w:eastAsia="en-AU"/>
    </w:rPr>
  </w:style>
  <w:style w:type="character" w:customStyle="1" w:styleId="paragraphChar">
    <w:name w:val="paragraph Char"/>
    <w:aliases w:val="a Char"/>
    <w:basedOn w:val="DefaultParagraphFont"/>
    <w:link w:val="paragraph"/>
    <w:locked/>
    <w:rsid w:val="00E94EF0"/>
    <w:rPr>
      <w:rFonts w:ascii="Times New Roman" w:hAnsi="Times New Roman" w:cs="Times New Roman"/>
      <w:sz w:val="22"/>
      <w:lang w:eastAsia="en-AU"/>
    </w:rPr>
  </w:style>
  <w:style w:type="paragraph" w:customStyle="1" w:styleId="ActHead5">
    <w:name w:val="ActHead 5"/>
    <w:aliases w:val="s"/>
    <w:basedOn w:val="Normal"/>
    <w:next w:val="subsection"/>
    <w:link w:val="ActHead5Char"/>
    <w:qFormat/>
    <w:rsid w:val="00CB3E00"/>
    <w:pPr>
      <w:keepNext/>
      <w:keepLines/>
      <w:spacing w:before="280"/>
      <w:ind w:left="1134" w:hanging="1134"/>
      <w:outlineLvl w:val="4"/>
    </w:pPr>
    <w:rPr>
      <w:rFonts w:ascii="Times New Roman" w:hAnsi="Times New Roman" w:cs="Times New Roman"/>
      <w:b/>
      <w:kern w:val="28"/>
      <w:sz w:val="24"/>
      <w:lang w:eastAsia="en-AU"/>
    </w:rPr>
  </w:style>
  <w:style w:type="character" w:customStyle="1" w:styleId="CharSectno">
    <w:name w:val="CharSectno"/>
    <w:basedOn w:val="DefaultParagraphFont"/>
    <w:qFormat/>
    <w:rsid w:val="00CB3E00"/>
  </w:style>
  <w:style w:type="paragraph" w:customStyle="1" w:styleId="notetext">
    <w:name w:val="note(text)"/>
    <w:aliases w:val="n"/>
    <w:basedOn w:val="Normal"/>
    <w:link w:val="notetextChar"/>
    <w:rsid w:val="00CB3E00"/>
    <w:pPr>
      <w:spacing w:before="122"/>
      <w:ind w:left="1985" w:hanging="851"/>
    </w:pPr>
    <w:rPr>
      <w:rFonts w:ascii="Times New Roman" w:hAnsi="Times New Roman" w:cs="Times New Roman"/>
      <w:sz w:val="18"/>
      <w:lang w:eastAsia="en-AU"/>
    </w:rPr>
  </w:style>
  <w:style w:type="paragraph" w:customStyle="1" w:styleId="subsection">
    <w:name w:val="subsection"/>
    <w:aliases w:val="ss"/>
    <w:basedOn w:val="Normal"/>
    <w:link w:val="subsectionChar"/>
    <w:rsid w:val="00CB3E00"/>
    <w:pPr>
      <w:tabs>
        <w:tab w:val="right" w:pos="1021"/>
      </w:tabs>
      <w:spacing w:before="180"/>
      <w:ind w:left="1134" w:hanging="1134"/>
    </w:pPr>
    <w:rPr>
      <w:rFonts w:ascii="Times New Roman" w:hAnsi="Times New Roman" w:cs="Times New Roman"/>
      <w:sz w:val="22"/>
      <w:lang w:eastAsia="en-AU"/>
    </w:rPr>
  </w:style>
  <w:style w:type="character" w:customStyle="1" w:styleId="subsectionChar">
    <w:name w:val="subsection Char"/>
    <w:aliases w:val="ss Char"/>
    <w:basedOn w:val="DefaultParagraphFont"/>
    <w:link w:val="subsection"/>
    <w:rsid w:val="00CB3E00"/>
    <w:rPr>
      <w:rFonts w:ascii="Times New Roman" w:hAnsi="Times New Roman" w:cs="Times New Roman"/>
      <w:sz w:val="22"/>
      <w:lang w:eastAsia="en-AU"/>
    </w:rPr>
  </w:style>
  <w:style w:type="character" w:customStyle="1" w:styleId="ActHead5Char">
    <w:name w:val="ActHead 5 Char"/>
    <w:aliases w:val="s Char"/>
    <w:link w:val="ActHead5"/>
    <w:locked/>
    <w:rsid w:val="00CB3E00"/>
    <w:rPr>
      <w:rFonts w:ascii="Times New Roman" w:hAnsi="Times New Roman" w:cs="Times New Roman"/>
      <w:b/>
      <w:kern w:val="28"/>
      <w:sz w:val="24"/>
      <w:lang w:eastAsia="en-AU"/>
    </w:rPr>
  </w:style>
  <w:style w:type="character" w:customStyle="1" w:styleId="notetextChar">
    <w:name w:val="note(text) Char"/>
    <w:aliases w:val="n Char"/>
    <w:basedOn w:val="DefaultParagraphFont"/>
    <w:link w:val="notetext"/>
    <w:rsid w:val="00CB3E00"/>
    <w:rPr>
      <w:rFonts w:ascii="Times New Roman" w:hAnsi="Times New Roman" w:cs="Times New Roman"/>
      <w:sz w:val="18"/>
      <w:lang w:eastAsia="en-AU"/>
    </w:rPr>
  </w:style>
  <w:style w:type="paragraph" w:customStyle="1" w:styleId="CTA2a">
    <w:name w:val="CTA 2(a)"/>
    <w:basedOn w:val="Normal"/>
    <w:rsid w:val="00D34ED3"/>
    <w:pPr>
      <w:tabs>
        <w:tab w:val="right" w:pos="482"/>
      </w:tabs>
      <w:spacing w:before="40" w:line="240" w:lineRule="atLeast"/>
      <w:ind w:left="748" w:hanging="748"/>
    </w:pPr>
    <w:rPr>
      <w:rFonts w:ascii="Times New Roman" w:hAnsi="Times New Roman" w:cs="Times New Roman"/>
      <w:lang w:eastAsia="en-AU"/>
    </w:rPr>
  </w:style>
  <w:style w:type="paragraph" w:customStyle="1" w:styleId="paragraphsub">
    <w:name w:val="paragraph(sub)"/>
    <w:aliases w:val="aa"/>
    <w:basedOn w:val="Normal"/>
    <w:rsid w:val="00D34ED3"/>
    <w:pPr>
      <w:tabs>
        <w:tab w:val="right" w:pos="1985"/>
      </w:tabs>
      <w:spacing w:before="40"/>
      <w:ind w:left="2098" w:hanging="2098"/>
    </w:pPr>
    <w:rPr>
      <w:rFonts w:ascii="Times New Roman" w:hAnsi="Times New Roman" w:cs="Times New Roman"/>
      <w:sz w:val="22"/>
      <w:lang w:eastAsia="en-AU"/>
    </w:rPr>
  </w:style>
  <w:style w:type="paragraph" w:customStyle="1" w:styleId="noteParlAmend">
    <w:name w:val="note(ParlAmend)"/>
    <w:aliases w:val="npp"/>
    <w:basedOn w:val="Normal"/>
    <w:next w:val="Normal"/>
    <w:rsid w:val="00910CA5"/>
    <w:pPr>
      <w:jc w:val="right"/>
    </w:pPr>
    <w:rPr>
      <w:rFonts w:cs="Times New Roman"/>
      <w:b/>
      <w:i/>
      <w:sz w:val="22"/>
      <w:lang w:eastAsia="en-AU"/>
    </w:rPr>
  </w:style>
  <w:style w:type="paragraph" w:customStyle="1" w:styleId="subsection2">
    <w:name w:val="subsection2"/>
    <w:aliases w:val="ss2"/>
    <w:basedOn w:val="Normal"/>
    <w:next w:val="subsection"/>
    <w:rsid w:val="00910CA5"/>
    <w:pPr>
      <w:spacing w:before="40"/>
      <w:ind w:left="1134"/>
    </w:pPr>
    <w:rPr>
      <w:rFonts w:ascii="Times New Roman" w:hAnsi="Times New Roman" w:cs="Times New Roman"/>
      <w:sz w:val="22"/>
      <w:lang w:eastAsia="en-AU"/>
    </w:rPr>
  </w:style>
  <w:style w:type="paragraph" w:customStyle="1" w:styleId="CTACAPS">
    <w:name w:val="CTA CAPS"/>
    <w:basedOn w:val="Normal"/>
    <w:rsid w:val="004B6396"/>
    <w:pPr>
      <w:spacing w:before="60" w:line="240" w:lineRule="atLeast"/>
    </w:pPr>
    <w:rPr>
      <w:rFonts w:ascii="Times New Roman" w:hAnsi="Times New Roman" w:cs="Times New Roman"/>
      <w:lang w:eastAsia="en-AU"/>
    </w:rPr>
  </w:style>
  <w:style w:type="paragraph" w:customStyle="1" w:styleId="SubsectionHead">
    <w:name w:val="SubsectionHead"/>
    <w:aliases w:val="ssh"/>
    <w:basedOn w:val="Normal"/>
    <w:next w:val="subsection"/>
    <w:rsid w:val="00D12586"/>
    <w:pPr>
      <w:keepNext/>
      <w:keepLines/>
      <w:spacing w:before="240"/>
      <w:ind w:left="1134"/>
    </w:pPr>
    <w:rPr>
      <w:rFonts w:ascii="Times New Roman" w:hAnsi="Times New Roman" w:cs="Times New Roman"/>
      <w:i/>
      <w:sz w:val="22"/>
      <w:lang w:eastAsia="en-AU"/>
    </w:rPr>
  </w:style>
  <w:style w:type="paragraph" w:customStyle="1" w:styleId="CTA2ai">
    <w:name w:val="CTA 2(a)(i)"/>
    <w:basedOn w:val="Normal"/>
    <w:rsid w:val="009C4742"/>
    <w:pPr>
      <w:tabs>
        <w:tab w:val="right" w:pos="1089"/>
      </w:tabs>
      <w:spacing w:before="40" w:line="240" w:lineRule="atLeast"/>
      <w:ind w:left="1327" w:hanging="1327"/>
    </w:pPr>
    <w:rPr>
      <w:rFonts w:ascii="Times New Roman" w:hAnsi="Times New Roman" w:cs="Times New Roman"/>
      <w:lang w:eastAsia="en-AU"/>
    </w:rPr>
  </w:style>
  <w:style w:type="character" w:customStyle="1" w:styleId="ListParagraphChar">
    <w:name w:val="List Paragraph Char"/>
    <w:aliases w:val="Bullet Char"/>
    <w:basedOn w:val="DefaultParagraphFont"/>
    <w:link w:val="ListParagraph"/>
    <w:uiPriority w:val="34"/>
    <w:locked/>
    <w:rsid w:val="00362FE6"/>
    <w:rPr>
      <w:rFonts w:eastAsia="Arial" w:cs="Arial"/>
      <w:sz w:val="22"/>
      <w:szCs w:val="22"/>
      <w:lang w:eastAsia="en-AU" w:bidi="en-AU"/>
    </w:rPr>
  </w:style>
  <w:style w:type="paragraph" w:customStyle="1" w:styleId="Bullet1">
    <w:name w:val="Bullet 1"/>
    <w:basedOn w:val="ListParagraph"/>
    <w:next w:val="Normal"/>
    <w:uiPriority w:val="14"/>
    <w:semiHidden/>
    <w:qFormat/>
    <w:rsid w:val="003D1479"/>
    <w:pPr>
      <w:widowControl/>
      <w:numPr>
        <w:numId w:val="11"/>
      </w:numPr>
      <w:tabs>
        <w:tab w:val="num" w:pos="360"/>
      </w:tabs>
      <w:autoSpaceDE/>
      <w:autoSpaceDN/>
      <w:spacing w:before="40" w:after="40"/>
      <w:ind w:left="0" w:firstLine="0"/>
    </w:pPr>
    <w:rPr>
      <w:rFonts w:asciiTheme="minorHAnsi" w:eastAsiaTheme="minorHAnsi" w:hAnsiTheme="minorHAnsi" w:cstheme="minorHAnsi"/>
      <w:bCs/>
      <w:szCs w:val="24"/>
      <w:lang w:eastAsia="en-US" w:bidi="ar-SA"/>
    </w:rPr>
  </w:style>
  <w:style w:type="paragraph" w:styleId="EndnoteText">
    <w:name w:val="endnote text"/>
    <w:basedOn w:val="Normal"/>
    <w:link w:val="EndnoteTextChar"/>
    <w:uiPriority w:val="99"/>
    <w:semiHidden/>
    <w:unhideWhenUsed/>
    <w:rsid w:val="00B1118F"/>
  </w:style>
  <w:style w:type="character" w:customStyle="1" w:styleId="EndnoteTextChar">
    <w:name w:val="Endnote Text Char"/>
    <w:basedOn w:val="DefaultParagraphFont"/>
    <w:link w:val="EndnoteText"/>
    <w:uiPriority w:val="99"/>
    <w:semiHidden/>
    <w:rsid w:val="00B1118F"/>
  </w:style>
  <w:style w:type="character" w:styleId="EndnoteReference">
    <w:name w:val="endnote reference"/>
    <w:basedOn w:val="DefaultParagraphFont"/>
    <w:uiPriority w:val="99"/>
    <w:semiHidden/>
    <w:unhideWhenUsed/>
    <w:rsid w:val="00B1118F"/>
    <w:rPr>
      <w:vertAlign w:val="superscript"/>
    </w:rPr>
  </w:style>
  <w:style w:type="character" w:styleId="UnresolvedMention">
    <w:name w:val="Unresolved Mention"/>
    <w:basedOn w:val="DefaultParagraphFont"/>
    <w:uiPriority w:val="99"/>
    <w:semiHidden/>
    <w:unhideWhenUsed/>
    <w:rsid w:val="0084483D"/>
    <w:rPr>
      <w:color w:val="605E5C"/>
      <w:shd w:val="clear" w:color="auto" w:fill="E1DFDD"/>
    </w:rPr>
  </w:style>
  <w:style w:type="paragraph" w:styleId="NoSpacing">
    <w:name w:val="No Spacing"/>
    <w:link w:val="NoSpacingChar"/>
    <w:uiPriority w:val="1"/>
    <w:qFormat/>
    <w:rsid w:val="00CA5EDE"/>
    <w:rPr>
      <w:rFonts w:asciiTheme="minorHAnsi" w:eastAsiaTheme="minorEastAsia" w:hAnsiTheme="minorHAnsi"/>
      <w:sz w:val="22"/>
      <w:szCs w:val="22"/>
      <w:lang w:val="en-US"/>
    </w:rPr>
  </w:style>
  <w:style w:type="character" w:customStyle="1" w:styleId="NoSpacingChar">
    <w:name w:val="No Spacing Char"/>
    <w:basedOn w:val="DefaultParagraphFont"/>
    <w:link w:val="NoSpacing"/>
    <w:uiPriority w:val="1"/>
    <w:rsid w:val="00CA5EDE"/>
    <w:rPr>
      <w:rFonts w:asciiTheme="minorHAnsi" w:eastAsiaTheme="minorEastAsia" w:hAnsiTheme="minorHAnsi"/>
      <w:sz w:val="22"/>
      <w:szCs w:val="22"/>
      <w:lang w:val="en-US"/>
    </w:rPr>
  </w:style>
  <w:style w:type="table" w:styleId="TableGrid">
    <w:name w:val="Table Grid"/>
    <w:basedOn w:val="TableNormal"/>
    <w:uiPriority w:val="39"/>
    <w:rsid w:val="005010D9"/>
    <w:rPr>
      <w:rFonts w:asciiTheme="minorHAnsi" w:eastAsiaTheme="minorHAnsi" w:hAnsiTheme="minorHAnsi"/>
      <w:szCs w:val="24"/>
      <w:lang w:val="en-GB"/>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color w:val="FFFFFF" w:themeColor="background1"/>
      </w:rPr>
      <w:tblPr/>
      <w:tcPr>
        <w:shd w:val="clear" w:color="auto" w:fill="960030" w:themeFill="accent2"/>
      </w:tcPr>
    </w:tblStylePr>
    <w:tblStylePr w:type="firstCol">
      <w:rPr>
        <w:color w:val="333333" w:themeColor="text1"/>
      </w:rPr>
    </w:tblStylePr>
  </w:style>
  <w:style w:type="paragraph" w:customStyle="1" w:styleId="TableHead">
    <w:name w:val="Table Head"/>
    <w:basedOn w:val="Normal"/>
    <w:qFormat/>
    <w:rsid w:val="005010D9"/>
    <w:pPr>
      <w:spacing w:after="120"/>
    </w:pPr>
    <w:rPr>
      <w:rFonts w:asciiTheme="minorHAnsi" w:eastAsiaTheme="minorHAnsi" w:hAnsiTheme="minorHAnsi"/>
      <w:b/>
      <w:color w:val="FFFFFF" w:themeColor="background1"/>
      <w:sz w:val="22"/>
      <w:szCs w:val="24"/>
    </w:rPr>
  </w:style>
  <w:style w:type="paragraph" w:customStyle="1" w:styleId="Tablebody">
    <w:name w:val="Table body"/>
    <w:basedOn w:val="Normal"/>
    <w:qFormat/>
    <w:rsid w:val="005010D9"/>
    <w:pPr>
      <w:spacing w:before="60" w:after="60"/>
    </w:pPr>
    <w:rPr>
      <w:rFonts w:asciiTheme="minorHAnsi" w:eastAsiaTheme="minorHAnsi" w:hAnsiTheme="minorHAnsi"/>
      <w:sz w:val="22"/>
      <w:szCs w:val="24"/>
    </w:rPr>
  </w:style>
  <w:style w:type="paragraph" w:styleId="Revision">
    <w:name w:val="Revision"/>
    <w:hidden/>
    <w:uiPriority w:val="99"/>
    <w:semiHidden/>
    <w:rsid w:val="009B3D62"/>
  </w:style>
  <w:style w:type="table" w:styleId="TableGridLight">
    <w:name w:val="Grid Table Light"/>
    <w:basedOn w:val="TableNormal"/>
    <w:uiPriority w:val="40"/>
    <w:rsid w:val="00B070E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B070E4"/>
    <w:tblPr>
      <w:tblStyleRowBandSize w:val="1"/>
      <w:tblStyleColBandSize w:val="1"/>
      <w:tblBorders>
        <w:top w:val="single" w:sz="4" w:space="0" w:color="989898" w:themeColor="text1" w:themeTint="80"/>
        <w:bottom w:val="single" w:sz="4" w:space="0" w:color="989898" w:themeColor="text1" w:themeTint="80"/>
      </w:tblBorders>
    </w:tblPr>
    <w:tblStylePr w:type="firstRow">
      <w:rPr>
        <w:b/>
        <w:bCs/>
      </w:rPr>
      <w:tblPr/>
      <w:tcPr>
        <w:tcBorders>
          <w:bottom w:val="single" w:sz="4" w:space="0" w:color="989898" w:themeColor="text1" w:themeTint="80"/>
        </w:tcBorders>
      </w:tcPr>
    </w:tblStylePr>
    <w:tblStylePr w:type="lastRow">
      <w:rPr>
        <w:b/>
        <w:bCs/>
      </w:rPr>
      <w:tblPr/>
      <w:tcPr>
        <w:tcBorders>
          <w:top w:val="single" w:sz="4" w:space="0" w:color="989898" w:themeColor="text1" w:themeTint="80"/>
        </w:tcBorders>
      </w:tcPr>
    </w:tblStylePr>
    <w:tblStylePr w:type="firstCol">
      <w:rPr>
        <w:b/>
        <w:bCs/>
      </w:rPr>
    </w:tblStylePr>
    <w:tblStylePr w:type="lastCol">
      <w:rPr>
        <w:b/>
        <w:bCs/>
      </w:rPr>
    </w:tblStylePr>
    <w:tblStylePr w:type="band1Vert">
      <w:tblPr/>
      <w:tcPr>
        <w:tcBorders>
          <w:left w:val="single" w:sz="4" w:space="0" w:color="989898" w:themeColor="text1" w:themeTint="80"/>
          <w:right w:val="single" w:sz="4" w:space="0" w:color="989898" w:themeColor="text1" w:themeTint="80"/>
        </w:tcBorders>
      </w:tcPr>
    </w:tblStylePr>
    <w:tblStylePr w:type="band2Vert">
      <w:tblPr/>
      <w:tcPr>
        <w:tcBorders>
          <w:left w:val="single" w:sz="4" w:space="0" w:color="989898" w:themeColor="text1" w:themeTint="80"/>
          <w:right w:val="single" w:sz="4" w:space="0" w:color="989898" w:themeColor="text1" w:themeTint="80"/>
        </w:tcBorders>
      </w:tcPr>
    </w:tblStylePr>
    <w:tblStylePr w:type="band1Horz">
      <w:tblPr/>
      <w:tcPr>
        <w:tcBorders>
          <w:top w:val="single" w:sz="4" w:space="0" w:color="989898" w:themeColor="text1" w:themeTint="80"/>
          <w:bottom w:val="single" w:sz="4" w:space="0" w:color="989898" w:themeColor="text1" w:themeTint="80"/>
        </w:tcBorders>
      </w:tcPr>
    </w:tblStylePr>
  </w:style>
  <w:style w:type="table" w:styleId="PlainTable3">
    <w:name w:val="Plain Table 3"/>
    <w:basedOn w:val="TableNormal"/>
    <w:uiPriority w:val="43"/>
    <w:rsid w:val="00B070E4"/>
    <w:tblPr>
      <w:tblStyleRowBandSize w:val="1"/>
      <w:tblStyleColBandSize w:val="1"/>
    </w:tblPr>
    <w:tblStylePr w:type="firstRow">
      <w:rPr>
        <w:b/>
        <w:bCs/>
        <w:caps/>
      </w:rPr>
      <w:tblPr/>
      <w:tcPr>
        <w:tcBorders>
          <w:bottom w:val="single" w:sz="4" w:space="0" w:color="989898"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89898"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B070E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89898"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89898"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89898"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89898"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B070E4"/>
    <w:tblPr>
      <w:tblStyleRowBandSize w:val="1"/>
      <w:tblStyleColBandSize w:val="1"/>
      <w:tblBorders>
        <w:top w:val="single" w:sz="4" w:space="0" w:color="ADADAD" w:themeColor="text1" w:themeTint="66"/>
        <w:left w:val="single" w:sz="4" w:space="0" w:color="ADADAD" w:themeColor="text1" w:themeTint="66"/>
        <w:bottom w:val="single" w:sz="4" w:space="0" w:color="ADADAD" w:themeColor="text1" w:themeTint="66"/>
        <w:right w:val="single" w:sz="4" w:space="0" w:color="ADADAD" w:themeColor="text1" w:themeTint="66"/>
        <w:insideH w:val="single" w:sz="4" w:space="0" w:color="ADADAD" w:themeColor="text1" w:themeTint="66"/>
        <w:insideV w:val="single" w:sz="4" w:space="0" w:color="ADADAD" w:themeColor="text1" w:themeTint="66"/>
      </w:tblBorders>
    </w:tblPr>
    <w:tblStylePr w:type="firstRow">
      <w:rPr>
        <w:b/>
        <w:bCs/>
      </w:rPr>
      <w:tblPr/>
      <w:tcPr>
        <w:tcBorders>
          <w:bottom w:val="single" w:sz="12" w:space="0" w:color="848484" w:themeColor="text1" w:themeTint="99"/>
        </w:tcBorders>
      </w:tcPr>
    </w:tblStylePr>
    <w:tblStylePr w:type="lastRow">
      <w:rPr>
        <w:b/>
        <w:bCs/>
      </w:rPr>
      <w:tblPr/>
      <w:tcPr>
        <w:tcBorders>
          <w:top w:val="double" w:sz="2" w:space="0" w:color="848484"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070E4"/>
    <w:tblPr>
      <w:tblStyleRowBandSize w:val="1"/>
      <w:tblStyleColBandSize w:val="1"/>
      <w:tblBorders>
        <w:top w:val="single" w:sz="4" w:space="0" w:color="FF6F9C" w:themeColor="accent2" w:themeTint="66"/>
        <w:left w:val="single" w:sz="4" w:space="0" w:color="FF6F9C" w:themeColor="accent2" w:themeTint="66"/>
        <w:bottom w:val="single" w:sz="4" w:space="0" w:color="FF6F9C" w:themeColor="accent2" w:themeTint="66"/>
        <w:right w:val="single" w:sz="4" w:space="0" w:color="FF6F9C" w:themeColor="accent2" w:themeTint="66"/>
        <w:insideH w:val="single" w:sz="4" w:space="0" w:color="FF6F9C" w:themeColor="accent2" w:themeTint="66"/>
        <w:insideV w:val="single" w:sz="4" w:space="0" w:color="FF6F9C" w:themeColor="accent2" w:themeTint="66"/>
      </w:tblBorders>
    </w:tblPr>
    <w:tblStylePr w:type="firstRow">
      <w:rPr>
        <w:b/>
        <w:bCs/>
      </w:rPr>
      <w:tblPr/>
      <w:tcPr>
        <w:tcBorders>
          <w:bottom w:val="single" w:sz="12" w:space="0" w:color="FF276B" w:themeColor="accent2" w:themeTint="99"/>
        </w:tcBorders>
      </w:tcPr>
    </w:tblStylePr>
    <w:tblStylePr w:type="lastRow">
      <w:rPr>
        <w:b/>
        <w:bCs/>
      </w:rPr>
      <w:tblPr/>
      <w:tcPr>
        <w:tcBorders>
          <w:top w:val="double" w:sz="2" w:space="0" w:color="FF276B" w:themeColor="accent2"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070E4"/>
    <w:tblPr>
      <w:tblStyleRowBandSize w:val="1"/>
      <w:tblStyleColBandSize w:val="1"/>
      <w:tblBorders>
        <w:top w:val="single" w:sz="4" w:space="0" w:color="ADADAD" w:themeColor="accent4" w:themeTint="66"/>
        <w:left w:val="single" w:sz="4" w:space="0" w:color="ADADAD" w:themeColor="accent4" w:themeTint="66"/>
        <w:bottom w:val="single" w:sz="4" w:space="0" w:color="ADADAD" w:themeColor="accent4" w:themeTint="66"/>
        <w:right w:val="single" w:sz="4" w:space="0" w:color="ADADAD" w:themeColor="accent4" w:themeTint="66"/>
        <w:insideH w:val="single" w:sz="4" w:space="0" w:color="ADADAD" w:themeColor="accent4" w:themeTint="66"/>
        <w:insideV w:val="single" w:sz="4" w:space="0" w:color="ADADAD" w:themeColor="accent4" w:themeTint="66"/>
      </w:tblBorders>
    </w:tblPr>
    <w:tblStylePr w:type="firstRow">
      <w:rPr>
        <w:b/>
        <w:bCs/>
      </w:rPr>
      <w:tblPr/>
      <w:tcPr>
        <w:tcBorders>
          <w:bottom w:val="single" w:sz="12" w:space="0" w:color="848484" w:themeColor="accent4" w:themeTint="99"/>
        </w:tcBorders>
      </w:tcPr>
    </w:tblStylePr>
    <w:tblStylePr w:type="lastRow">
      <w:rPr>
        <w:b/>
        <w:bCs/>
      </w:rPr>
      <w:tblPr/>
      <w:tcPr>
        <w:tcBorders>
          <w:top w:val="double" w:sz="2" w:space="0" w:color="848484" w:themeColor="accent4" w:themeTint="99"/>
        </w:tcBorders>
      </w:tcPr>
    </w:tblStylePr>
    <w:tblStylePr w:type="firstCol">
      <w:rPr>
        <w:b/>
        <w:bCs/>
      </w:rPr>
    </w:tblStylePr>
    <w:tblStylePr w:type="lastCol">
      <w:rPr>
        <w:b/>
        <w:bCs/>
      </w:rPr>
    </w:tblStylePr>
  </w:style>
  <w:style w:type="character" w:customStyle="1" w:styleId="Numpara1Char">
    <w:name w:val="Numpara1 Char"/>
    <w:link w:val="Numpara1"/>
    <w:rsid w:val="008339B5"/>
    <w:rPr>
      <w:rFonts w:cs="Arial"/>
      <w:szCs w:val="22"/>
    </w:rPr>
  </w:style>
  <w:style w:type="paragraph" w:customStyle="1" w:styleId="DraftHeading1">
    <w:name w:val="Draft Heading 1"/>
    <w:basedOn w:val="Normal"/>
    <w:next w:val="Normal"/>
    <w:link w:val="DraftHeading1Char"/>
    <w:rsid w:val="008339B5"/>
    <w:pPr>
      <w:overflowPunct w:val="0"/>
      <w:autoSpaceDE w:val="0"/>
      <w:autoSpaceDN w:val="0"/>
      <w:adjustRightInd w:val="0"/>
      <w:spacing w:before="120"/>
      <w:textAlignment w:val="baseline"/>
      <w:outlineLvl w:val="2"/>
    </w:pPr>
    <w:rPr>
      <w:rFonts w:ascii="Times New Roman" w:hAnsi="Times New Roman" w:cs="Times New Roman"/>
      <w:b/>
      <w:sz w:val="24"/>
    </w:rPr>
  </w:style>
  <w:style w:type="paragraph" w:customStyle="1" w:styleId="DraftHeading2">
    <w:name w:val="Draft Heading 2"/>
    <w:basedOn w:val="Normal"/>
    <w:next w:val="Normal"/>
    <w:link w:val="DraftHeading2Char"/>
    <w:rsid w:val="008339B5"/>
    <w:pPr>
      <w:overflowPunct w:val="0"/>
      <w:autoSpaceDE w:val="0"/>
      <w:autoSpaceDN w:val="0"/>
      <w:adjustRightInd w:val="0"/>
      <w:spacing w:before="120"/>
      <w:textAlignment w:val="baseline"/>
    </w:pPr>
    <w:rPr>
      <w:rFonts w:ascii="Times New Roman" w:hAnsi="Times New Roman" w:cs="Times New Roman"/>
      <w:sz w:val="24"/>
    </w:rPr>
  </w:style>
  <w:style w:type="paragraph" w:customStyle="1" w:styleId="DraftHeading3">
    <w:name w:val="Draft Heading 3"/>
    <w:basedOn w:val="Normal"/>
    <w:next w:val="Normal"/>
    <w:rsid w:val="008339B5"/>
    <w:pPr>
      <w:overflowPunct w:val="0"/>
      <w:autoSpaceDE w:val="0"/>
      <w:autoSpaceDN w:val="0"/>
      <w:adjustRightInd w:val="0"/>
      <w:spacing w:before="120"/>
      <w:textAlignment w:val="baseline"/>
    </w:pPr>
    <w:rPr>
      <w:rFonts w:ascii="Times New Roman" w:hAnsi="Times New Roman" w:cs="Times New Roman"/>
      <w:sz w:val="24"/>
    </w:rPr>
  </w:style>
  <w:style w:type="paragraph" w:customStyle="1" w:styleId="DraftHeading4">
    <w:name w:val="Draft Heading 4"/>
    <w:basedOn w:val="Normal"/>
    <w:next w:val="Normal"/>
    <w:rsid w:val="008339B5"/>
    <w:pPr>
      <w:overflowPunct w:val="0"/>
      <w:autoSpaceDE w:val="0"/>
      <w:autoSpaceDN w:val="0"/>
      <w:adjustRightInd w:val="0"/>
      <w:spacing w:before="120"/>
      <w:textAlignment w:val="baseline"/>
    </w:pPr>
    <w:rPr>
      <w:rFonts w:ascii="Times New Roman" w:hAnsi="Times New Roman" w:cs="Times New Roman"/>
      <w:sz w:val="24"/>
    </w:rPr>
  </w:style>
  <w:style w:type="paragraph" w:styleId="ListNumber2">
    <w:name w:val="List Number 2"/>
    <w:basedOn w:val="Normal"/>
    <w:rsid w:val="008339B5"/>
    <w:pPr>
      <w:numPr>
        <w:numId w:val="54"/>
      </w:numPr>
      <w:suppressLineNumbers/>
      <w:overflowPunct w:val="0"/>
      <w:autoSpaceDE w:val="0"/>
      <w:autoSpaceDN w:val="0"/>
      <w:adjustRightInd w:val="0"/>
      <w:spacing w:before="120"/>
      <w:textAlignment w:val="baseline"/>
    </w:pPr>
    <w:rPr>
      <w:rFonts w:ascii="Times New Roman" w:hAnsi="Times New Roman" w:cs="Times New Roman"/>
      <w:sz w:val="24"/>
    </w:rPr>
  </w:style>
  <w:style w:type="character" w:customStyle="1" w:styleId="DraftHeading1Char">
    <w:name w:val="Draft Heading 1 Char"/>
    <w:basedOn w:val="DefaultParagraphFont"/>
    <w:link w:val="DraftHeading1"/>
    <w:locked/>
    <w:rsid w:val="008339B5"/>
    <w:rPr>
      <w:rFonts w:ascii="Times New Roman" w:hAnsi="Times New Roman" w:cs="Times New Roman"/>
      <w:b/>
      <w:sz w:val="24"/>
    </w:rPr>
  </w:style>
  <w:style w:type="character" w:customStyle="1" w:styleId="DraftHeading2Char">
    <w:name w:val="Draft Heading 2 Char"/>
    <w:basedOn w:val="DefaultParagraphFont"/>
    <w:link w:val="DraftHeading2"/>
    <w:rsid w:val="008339B5"/>
    <w:rPr>
      <w:rFonts w:ascii="Times New Roman" w:hAnsi="Times New Roman" w:cs="Times New Roman"/>
      <w:sz w:val="24"/>
    </w:rPr>
  </w:style>
  <w:style w:type="character" w:styleId="Mention">
    <w:name w:val="Mention"/>
    <w:basedOn w:val="DefaultParagraphFont"/>
    <w:uiPriority w:val="99"/>
    <w:unhideWhenUsed/>
    <w:rsid w:val="00B5607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61441">
      <w:bodyDiv w:val="1"/>
      <w:marLeft w:val="0"/>
      <w:marRight w:val="0"/>
      <w:marTop w:val="0"/>
      <w:marBottom w:val="0"/>
      <w:divBdr>
        <w:top w:val="none" w:sz="0" w:space="0" w:color="auto"/>
        <w:left w:val="none" w:sz="0" w:space="0" w:color="auto"/>
        <w:bottom w:val="none" w:sz="0" w:space="0" w:color="auto"/>
        <w:right w:val="none" w:sz="0" w:space="0" w:color="auto"/>
      </w:divBdr>
    </w:div>
    <w:div w:id="152919300">
      <w:bodyDiv w:val="1"/>
      <w:marLeft w:val="0"/>
      <w:marRight w:val="0"/>
      <w:marTop w:val="0"/>
      <w:marBottom w:val="0"/>
      <w:divBdr>
        <w:top w:val="none" w:sz="0" w:space="0" w:color="auto"/>
        <w:left w:val="none" w:sz="0" w:space="0" w:color="auto"/>
        <w:bottom w:val="none" w:sz="0" w:space="0" w:color="auto"/>
        <w:right w:val="none" w:sz="0" w:space="0" w:color="auto"/>
      </w:divBdr>
    </w:div>
    <w:div w:id="302389759">
      <w:bodyDiv w:val="1"/>
      <w:marLeft w:val="0"/>
      <w:marRight w:val="0"/>
      <w:marTop w:val="0"/>
      <w:marBottom w:val="0"/>
      <w:divBdr>
        <w:top w:val="none" w:sz="0" w:space="0" w:color="auto"/>
        <w:left w:val="none" w:sz="0" w:space="0" w:color="auto"/>
        <w:bottom w:val="none" w:sz="0" w:space="0" w:color="auto"/>
        <w:right w:val="none" w:sz="0" w:space="0" w:color="auto"/>
      </w:divBdr>
    </w:div>
    <w:div w:id="307832604">
      <w:bodyDiv w:val="1"/>
      <w:marLeft w:val="0"/>
      <w:marRight w:val="0"/>
      <w:marTop w:val="0"/>
      <w:marBottom w:val="0"/>
      <w:divBdr>
        <w:top w:val="none" w:sz="0" w:space="0" w:color="auto"/>
        <w:left w:val="none" w:sz="0" w:space="0" w:color="auto"/>
        <w:bottom w:val="none" w:sz="0" w:space="0" w:color="auto"/>
        <w:right w:val="none" w:sz="0" w:space="0" w:color="auto"/>
      </w:divBdr>
    </w:div>
    <w:div w:id="370150307">
      <w:bodyDiv w:val="1"/>
      <w:marLeft w:val="0"/>
      <w:marRight w:val="0"/>
      <w:marTop w:val="0"/>
      <w:marBottom w:val="0"/>
      <w:divBdr>
        <w:top w:val="none" w:sz="0" w:space="0" w:color="auto"/>
        <w:left w:val="none" w:sz="0" w:space="0" w:color="auto"/>
        <w:bottom w:val="none" w:sz="0" w:space="0" w:color="auto"/>
        <w:right w:val="none" w:sz="0" w:space="0" w:color="auto"/>
      </w:divBdr>
    </w:div>
    <w:div w:id="377898954">
      <w:bodyDiv w:val="1"/>
      <w:marLeft w:val="0"/>
      <w:marRight w:val="0"/>
      <w:marTop w:val="0"/>
      <w:marBottom w:val="0"/>
      <w:divBdr>
        <w:top w:val="none" w:sz="0" w:space="0" w:color="auto"/>
        <w:left w:val="none" w:sz="0" w:space="0" w:color="auto"/>
        <w:bottom w:val="none" w:sz="0" w:space="0" w:color="auto"/>
        <w:right w:val="none" w:sz="0" w:space="0" w:color="auto"/>
      </w:divBdr>
    </w:div>
    <w:div w:id="388040836">
      <w:bodyDiv w:val="1"/>
      <w:marLeft w:val="0"/>
      <w:marRight w:val="0"/>
      <w:marTop w:val="0"/>
      <w:marBottom w:val="0"/>
      <w:divBdr>
        <w:top w:val="none" w:sz="0" w:space="0" w:color="auto"/>
        <w:left w:val="none" w:sz="0" w:space="0" w:color="auto"/>
        <w:bottom w:val="none" w:sz="0" w:space="0" w:color="auto"/>
        <w:right w:val="none" w:sz="0" w:space="0" w:color="auto"/>
      </w:divBdr>
    </w:div>
    <w:div w:id="400374794">
      <w:bodyDiv w:val="1"/>
      <w:marLeft w:val="0"/>
      <w:marRight w:val="0"/>
      <w:marTop w:val="0"/>
      <w:marBottom w:val="0"/>
      <w:divBdr>
        <w:top w:val="none" w:sz="0" w:space="0" w:color="auto"/>
        <w:left w:val="none" w:sz="0" w:space="0" w:color="auto"/>
        <w:bottom w:val="none" w:sz="0" w:space="0" w:color="auto"/>
        <w:right w:val="none" w:sz="0" w:space="0" w:color="auto"/>
      </w:divBdr>
    </w:div>
    <w:div w:id="517080046">
      <w:bodyDiv w:val="1"/>
      <w:marLeft w:val="0"/>
      <w:marRight w:val="0"/>
      <w:marTop w:val="0"/>
      <w:marBottom w:val="0"/>
      <w:divBdr>
        <w:top w:val="none" w:sz="0" w:space="0" w:color="auto"/>
        <w:left w:val="none" w:sz="0" w:space="0" w:color="auto"/>
        <w:bottom w:val="none" w:sz="0" w:space="0" w:color="auto"/>
        <w:right w:val="none" w:sz="0" w:space="0" w:color="auto"/>
      </w:divBdr>
    </w:div>
    <w:div w:id="543442792">
      <w:bodyDiv w:val="1"/>
      <w:marLeft w:val="0"/>
      <w:marRight w:val="0"/>
      <w:marTop w:val="0"/>
      <w:marBottom w:val="0"/>
      <w:divBdr>
        <w:top w:val="none" w:sz="0" w:space="0" w:color="auto"/>
        <w:left w:val="none" w:sz="0" w:space="0" w:color="auto"/>
        <w:bottom w:val="none" w:sz="0" w:space="0" w:color="auto"/>
        <w:right w:val="none" w:sz="0" w:space="0" w:color="auto"/>
      </w:divBdr>
    </w:div>
    <w:div w:id="564608229">
      <w:bodyDiv w:val="1"/>
      <w:marLeft w:val="0"/>
      <w:marRight w:val="0"/>
      <w:marTop w:val="0"/>
      <w:marBottom w:val="0"/>
      <w:divBdr>
        <w:top w:val="none" w:sz="0" w:space="0" w:color="auto"/>
        <w:left w:val="none" w:sz="0" w:space="0" w:color="auto"/>
        <w:bottom w:val="none" w:sz="0" w:space="0" w:color="auto"/>
        <w:right w:val="none" w:sz="0" w:space="0" w:color="auto"/>
      </w:divBdr>
    </w:div>
    <w:div w:id="571937771">
      <w:bodyDiv w:val="1"/>
      <w:marLeft w:val="0"/>
      <w:marRight w:val="0"/>
      <w:marTop w:val="0"/>
      <w:marBottom w:val="0"/>
      <w:divBdr>
        <w:top w:val="none" w:sz="0" w:space="0" w:color="auto"/>
        <w:left w:val="none" w:sz="0" w:space="0" w:color="auto"/>
        <w:bottom w:val="none" w:sz="0" w:space="0" w:color="auto"/>
        <w:right w:val="none" w:sz="0" w:space="0" w:color="auto"/>
      </w:divBdr>
    </w:div>
    <w:div w:id="592513479">
      <w:bodyDiv w:val="1"/>
      <w:marLeft w:val="0"/>
      <w:marRight w:val="0"/>
      <w:marTop w:val="0"/>
      <w:marBottom w:val="0"/>
      <w:divBdr>
        <w:top w:val="none" w:sz="0" w:space="0" w:color="auto"/>
        <w:left w:val="none" w:sz="0" w:space="0" w:color="auto"/>
        <w:bottom w:val="none" w:sz="0" w:space="0" w:color="auto"/>
        <w:right w:val="none" w:sz="0" w:space="0" w:color="auto"/>
      </w:divBdr>
    </w:div>
    <w:div w:id="611281147">
      <w:bodyDiv w:val="1"/>
      <w:marLeft w:val="0"/>
      <w:marRight w:val="0"/>
      <w:marTop w:val="0"/>
      <w:marBottom w:val="0"/>
      <w:divBdr>
        <w:top w:val="none" w:sz="0" w:space="0" w:color="auto"/>
        <w:left w:val="none" w:sz="0" w:space="0" w:color="auto"/>
        <w:bottom w:val="none" w:sz="0" w:space="0" w:color="auto"/>
        <w:right w:val="none" w:sz="0" w:space="0" w:color="auto"/>
      </w:divBdr>
    </w:div>
    <w:div w:id="614290027">
      <w:bodyDiv w:val="1"/>
      <w:marLeft w:val="0"/>
      <w:marRight w:val="0"/>
      <w:marTop w:val="0"/>
      <w:marBottom w:val="0"/>
      <w:divBdr>
        <w:top w:val="none" w:sz="0" w:space="0" w:color="auto"/>
        <w:left w:val="none" w:sz="0" w:space="0" w:color="auto"/>
        <w:bottom w:val="none" w:sz="0" w:space="0" w:color="auto"/>
        <w:right w:val="none" w:sz="0" w:space="0" w:color="auto"/>
      </w:divBdr>
    </w:div>
    <w:div w:id="615257878">
      <w:bodyDiv w:val="1"/>
      <w:marLeft w:val="0"/>
      <w:marRight w:val="0"/>
      <w:marTop w:val="0"/>
      <w:marBottom w:val="0"/>
      <w:divBdr>
        <w:top w:val="none" w:sz="0" w:space="0" w:color="auto"/>
        <w:left w:val="none" w:sz="0" w:space="0" w:color="auto"/>
        <w:bottom w:val="none" w:sz="0" w:space="0" w:color="auto"/>
        <w:right w:val="none" w:sz="0" w:space="0" w:color="auto"/>
      </w:divBdr>
    </w:div>
    <w:div w:id="728456851">
      <w:bodyDiv w:val="1"/>
      <w:marLeft w:val="0"/>
      <w:marRight w:val="0"/>
      <w:marTop w:val="0"/>
      <w:marBottom w:val="0"/>
      <w:divBdr>
        <w:top w:val="none" w:sz="0" w:space="0" w:color="auto"/>
        <w:left w:val="none" w:sz="0" w:space="0" w:color="auto"/>
        <w:bottom w:val="none" w:sz="0" w:space="0" w:color="auto"/>
        <w:right w:val="none" w:sz="0" w:space="0" w:color="auto"/>
      </w:divBdr>
    </w:div>
    <w:div w:id="774208007">
      <w:bodyDiv w:val="1"/>
      <w:marLeft w:val="0"/>
      <w:marRight w:val="0"/>
      <w:marTop w:val="0"/>
      <w:marBottom w:val="0"/>
      <w:divBdr>
        <w:top w:val="none" w:sz="0" w:space="0" w:color="auto"/>
        <w:left w:val="none" w:sz="0" w:space="0" w:color="auto"/>
        <w:bottom w:val="none" w:sz="0" w:space="0" w:color="auto"/>
        <w:right w:val="none" w:sz="0" w:space="0" w:color="auto"/>
      </w:divBdr>
    </w:div>
    <w:div w:id="804617303">
      <w:bodyDiv w:val="1"/>
      <w:marLeft w:val="0"/>
      <w:marRight w:val="0"/>
      <w:marTop w:val="0"/>
      <w:marBottom w:val="0"/>
      <w:divBdr>
        <w:top w:val="none" w:sz="0" w:space="0" w:color="auto"/>
        <w:left w:val="none" w:sz="0" w:space="0" w:color="auto"/>
        <w:bottom w:val="none" w:sz="0" w:space="0" w:color="auto"/>
        <w:right w:val="none" w:sz="0" w:space="0" w:color="auto"/>
      </w:divBdr>
    </w:div>
    <w:div w:id="812798586">
      <w:bodyDiv w:val="1"/>
      <w:marLeft w:val="0"/>
      <w:marRight w:val="0"/>
      <w:marTop w:val="0"/>
      <w:marBottom w:val="0"/>
      <w:divBdr>
        <w:top w:val="none" w:sz="0" w:space="0" w:color="auto"/>
        <w:left w:val="none" w:sz="0" w:space="0" w:color="auto"/>
        <w:bottom w:val="none" w:sz="0" w:space="0" w:color="auto"/>
        <w:right w:val="none" w:sz="0" w:space="0" w:color="auto"/>
      </w:divBdr>
    </w:div>
    <w:div w:id="871117661">
      <w:bodyDiv w:val="1"/>
      <w:marLeft w:val="0"/>
      <w:marRight w:val="0"/>
      <w:marTop w:val="0"/>
      <w:marBottom w:val="0"/>
      <w:divBdr>
        <w:top w:val="none" w:sz="0" w:space="0" w:color="auto"/>
        <w:left w:val="none" w:sz="0" w:space="0" w:color="auto"/>
        <w:bottom w:val="none" w:sz="0" w:space="0" w:color="auto"/>
        <w:right w:val="none" w:sz="0" w:space="0" w:color="auto"/>
      </w:divBdr>
    </w:div>
    <w:div w:id="895975204">
      <w:bodyDiv w:val="1"/>
      <w:marLeft w:val="0"/>
      <w:marRight w:val="0"/>
      <w:marTop w:val="0"/>
      <w:marBottom w:val="0"/>
      <w:divBdr>
        <w:top w:val="none" w:sz="0" w:space="0" w:color="auto"/>
        <w:left w:val="none" w:sz="0" w:space="0" w:color="auto"/>
        <w:bottom w:val="none" w:sz="0" w:space="0" w:color="auto"/>
        <w:right w:val="none" w:sz="0" w:space="0" w:color="auto"/>
      </w:divBdr>
    </w:div>
    <w:div w:id="1052465111">
      <w:bodyDiv w:val="1"/>
      <w:marLeft w:val="0"/>
      <w:marRight w:val="0"/>
      <w:marTop w:val="0"/>
      <w:marBottom w:val="0"/>
      <w:divBdr>
        <w:top w:val="none" w:sz="0" w:space="0" w:color="auto"/>
        <w:left w:val="none" w:sz="0" w:space="0" w:color="auto"/>
        <w:bottom w:val="none" w:sz="0" w:space="0" w:color="auto"/>
        <w:right w:val="none" w:sz="0" w:space="0" w:color="auto"/>
      </w:divBdr>
    </w:div>
    <w:div w:id="1067530738">
      <w:bodyDiv w:val="1"/>
      <w:marLeft w:val="0"/>
      <w:marRight w:val="0"/>
      <w:marTop w:val="0"/>
      <w:marBottom w:val="0"/>
      <w:divBdr>
        <w:top w:val="none" w:sz="0" w:space="0" w:color="auto"/>
        <w:left w:val="none" w:sz="0" w:space="0" w:color="auto"/>
        <w:bottom w:val="none" w:sz="0" w:space="0" w:color="auto"/>
        <w:right w:val="none" w:sz="0" w:space="0" w:color="auto"/>
      </w:divBdr>
    </w:div>
    <w:div w:id="1145661081">
      <w:bodyDiv w:val="1"/>
      <w:marLeft w:val="0"/>
      <w:marRight w:val="0"/>
      <w:marTop w:val="0"/>
      <w:marBottom w:val="0"/>
      <w:divBdr>
        <w:top w:val="none" w:sz="0" w:space="0" w:color="auto"/>
        <w:left w:val="none" w:sz="0" w:space="0" w:color="auto"/>
        <w:bottom w:val="none" w:sz="0" w:space="0" w:color="auto"/>
        <w:right w:val="none" w:sz="0" w:space="0" w:color="auto"/>
      </w:divBdr>
    </w:div>
    <w:div w:id="1200389268">
      <w:bodyDiv w:val="1"/>
      <w:marLeft w:val="0"/>
      <w:marRight w:val="0"/>
      <w:marTop w:val="0"/>
      <w:marBottom w:val="0"/>
      <w:divBdr>
        <w:top w:val="none" w:sz="0" w:space="0" w:color="auto"/>
        <w:left w:val="none" w:sz="0" w:space="0" w:color="auto"/>
        <w:bottom w:val="none" w:sz="0" w:space="0" w:color="auto"/>
        <w:right w:val="none" w:sz="0" w:space="0" w:color="auto"/>
      </w:divBdr>
    </w:div>
    <w:div w:id="1211459733">
      <w:bodyDiv w:val="1"/>
      <w:marLeft w:val="0"/>
      <w:marRight w:val="0"/>
      <w:marTop w:val="0"/>
      <w:marBottom w:val="0"/>
      <w:divBdr>
        <w:top w:val="none" w:sz="0" w:space="0" w:color="auto"/>
        <w:left w:val="none" w:sz="0" w:space="0" w:color="auto"/>
        <w:bottom w:val="none" w:sz="0" w:space="0" w:color="auto"/>
        <w:right w:val="none" w:sz="0" w:space="0" w:color="auto"/>
      </w:divBdr>
    </w:div>
    <w:div w:id="1285427183">
      <w:bodyDiv w:val="1"/>
      <w:marLeft w:val="0"/>
      <w:marRight w:val="0"/>
      <w:marTop w:val="0"/>
      <w:marBottom w:val="0"/>
      <w:divBdr>
        <w:top w:val="none" w:sz="0" w:space="0" w:color="auto"/>
        <w:left w:val="none" w:sz="0" w:space="0" w:color="auto"/>
        <w:bottom w:val="none" w:sz="0" w:space="0" w:color="auto"/>
        <w:right w:val="none" w:sz="0" w:space="0" w:color="auto"/>
      </w:divBdr>
    </w:div>
    <w:div w:id="1366978917">
      <w:bodyDiv w:val="1"/>
      <w:marLeft w:val="0"/>
      <w:marRight w:val="0"/>
      <w:marTop w:val="0"/>
      <w:marBottom w:val="0"/>
      <w:divBdr>
        <w:top w:val="none" w:sz="0" w:space="0" w:color="auto"/>
        <w:left w:val="none" w:sz="0" w:space="0" w:color="auto"/>
        <w:bottom w:val="none" w:sz="0" w:space="0" w:color="auto"/>
        <w:right w:val="none" w:sz="0" w:space="0" w:color="auto"/>
      </w:divBdr>
    </w:div>
    <w:div w:id="1464033889">
      <w:bodyDiv w:val="1"/>
      <w:marLeft w:val="0"/>
      <w:marRight w:val="0"/>
      <w:marTop w:val="0"/>
      <w:marBottom w:val="0"/>
      <w:divBdr>
        <w:top w:val="none" w:sz="0" w:space="0" w:color="auto"/>
        <w:left w:val="none" w:sz="0" w:space="0" w:color="auto"/>
        <w:bottom w:val="none" w:sz="0" w:space="0" w:color="auto"/>
        <w:right w:val="none" w:sz="0" w:space="0" w:color="auto"/>
      </w:divBdr>
    </w:div>
    <w:div w:id="1512715869">
      <w:bodyDiv w:val="1"/>
      <w:marLeft w:val="0"/>
      <w:marRight w:val="0"/>
      <w:marTop w:val="0"/>
      <w:marBottom w:val="0"/>
      <w:divBdr>
        <w:top w:val="none" w:sz="0" w:space="0" w:color="auto"/>
        <w:left w:val="none" w:sz="0" w:space="0" w:color="auto"/>
        <w:bottom w:val="none" w:sz="0" w:space="0" w:color="auto"/>
        <w:right w:val="none" w:sz="0" w:space="0" w:color="auto"/>
      </w:divBdr>
    </w:div>
    <w:div w:id="1621109704">
      <w:bodyDiv w:val="1"/>
      <w:marLeft w:val="0"/>
      <w:marRight w:val="0"/>
      <w:marTop w:val="0"/>
      <w:marBottom w:val="0"/>
      <w:divBdr>
        <w:top w:val="none" w:sz="0" w:space="0" w:color="auto"/>
        <w:left w:val="none" w:sz="0" w:space="0" w:color="auto"/>
        <w:bottom w:val="none" w:sz="0" w:space="0" w:color="auto"/>
        <w:right w:val="none" w:sz="0" w:space="0" w:color="auto"/>
      </w:divBdr>
    </w:div>
    <w:div w:id="1686662880">
      <w:bodyDiv w:val="1"/>
      <w:marLeft w:val="0"/>
      <w:marRight w:val="0"/>
      <w:marTop w:val="0"/>
      <w:marBottom w:val="0"/>
      <w:divBdr>
        <w:top w:val="none" w:sz="0" w:space="0" w:color="auto"/>
        <w:left w:val="none" w:sz="0" w:space="0" w:color="auto"/>
        <w:bottom w:val="none" w:sz="0" w:space="0" w:color="auto"/>
        <w:right w:val="none" w:sz="0" w:space="0" w:color="auto"/>
      </w:divBdr>
    </w:div>
    <w:div w:id="1750687921">
      <w:bodyDiv w:val="1"/>
      <w:marLeft w:val="0"/>
      <w:marRight w:val="0"/>
      <w:marTop w:val="0"/>
      <w:marBottom w:val="0"/>
      <w:divBdr>
        <w:top w:val="none" w:sz="0" w:space="0" w:color="auto"/>
        <w:left w:val="none" w:sz="0" w:space="0" w:color="auto"/>
        <w:bottom w:val="none" w:sz="0" w:space="0" w:color="auto"/>
        <w:right w:val="none" w:sz="0" w:space="0" w:color="auto"/>
      </w:divBdr>
    </w:div>
    <w:div w:id="1845852800">
      <w:bodyDiv w:val="1"/>
      <w:marLeft w:val="0"/>
      <w:marRight w:val="0"/>
      <w:marTop w:val="0"/>
      <w:marBottom w:val="0"/>
      <w:divBdr>
        <w:top w:val="none" w:sz="0" w:space="0" w:color="auto"/>
        <w:left w:val="none" w:sz="0" w:space="0" w:color="auto"/>
        <w:bottom w:val="none" w:sz="0" w:space="0" w:color="auto"/>
        <w:right w:val="none" w:sz="0" w:space="0" w:color="auto"/>
      </w:divBdr>
    </w:div>
    <w:div w:id="1923831452">
      <w:bodyDiv w:val="1"/>
      <w:marLeft w:val="0"/>
      <w:marRight w:val="0"/>
      <w:marTop w:val="0"/>
      <w:marBottom w:val="0"/>
      <w:divBdr>
        <w:top w:val="none" w:sz="0" w:space="0" w:color="auto"/>
        <w:left w:val="none" w:sz="0" w:space="0" w:color="auto"/>
        <w:bottom w:val="none" w:sz="0" w:space="0" w:color="auto"/>
        <w:right w:val="none" w:sz="0" w:space="0" w:color="auto"/>
      </w:divBdr>
    </w:div>
    <w:div w:id="1996100951">
      <w:bodyDiv w:val="1"/>
      <w:marLeft w:val="0"/>
      <w:marRight w:val="0"/>
      <w:marTop w:val="0"/>
      <w:marBottom w:val="0"/>
      <w:divBdr>
        <w:top w:val="none" w:sz="0" w:space="0" w:color="auto"/>
        <w:left w:val="none" w:sz="0" w:space="0" w:color="auto"/>
        <w:bottom w:val="none" w:sz="0" w:space="0" w:color="auto"/>
        <w:right w:val="none" w:sz="0" w:space="0" w:color="auto"/>
      </w:divBdr>
    </w:div>
    <w:div w:id="2043554861">
      <w:bodyDiv w:val="1"/>
      <w:marLeft w:val="0"/>
      <w:marRight w:val="0"/>
      <w:marTop w:val="0"/>
      <w:marBottom w:val="0"/>
      <w:divBdr>
        <w:top w:val="none" w:sz="0" w:space="0" w:color="auto"/>
        <w:left w:val="none" w:sz="0" w:space="0" w:color="auto"/>
        <w:bottom w:val="none" w:sz="0" w:space="0" w:color="auto"/>
        <w:right w:val="none" w:sz="0" w:space="0" w:color="auto"/>
      </w:divBdr>
    </w:div>
    <w:div w:id="2056274511">
      <w:bodyDiv w:val="1"/>
      <w:marLeft w:val="0"/>
      <w:marRight w:val="0"/>
      <w:marTop w:val="0"/>
      <w:marBottom w:val="0"/>
      <w:divBdr>
        <w:top w:val="none" w:sz="0" w:space="0" w:color="auto"/>
        <w:left w:val="none" w:sz="0" w:space="0" w:color="auto"/>
        <w:bottom w:val="none" w:sz="0" w:space="0" w:color="auto"/>
        <w:right w:val="none" w:sz="0" w:space="0" w:color="auto"/>
      </w:divBdr>
      <w:divsChild>
        <w:div w:id="639728929">
          <w:marLeft w:val="0"/>
          <w:marRight w:val="0"/>
          <w:marTop w:val="0"/>
          <w:marBottom w:val="0"/>
          <w:divBdr>
            <w:top w:val="none" w:sz="0" w:space="0" w:color="auto"/>
            <w:left w:val="none" w:sz="0" w:space="0" w:color="auto"/>
            <w:bottom w:val="none" w:sz="0" w:space="0" w:color="auto"/>
            <w:right w:val="none" w:sz="0" w:space="0" w:color="auto"/>
          </w:divBdr>
          <w:divsChild>
            <w:div w:id="955449738">
              <w:marLeft w:val="0"/>
              <w:marRight w:val="0"/>
              <w:marTop w:val="0"/>
              <w:marBottom w:val="0"/>
              <w:divBdr>
                <w:top w:val="none" w:sz="0" w:space="0" w:color="auto"/>
                <w:left w:val="none" w:sz="0" w:space="0" w:color="auto"/>
                <w:bottom w:val="none" w:sz="0" w:space="0" w:color="auto"/>
                <w:right w:val="none" w:sz="0" w:space="0" w:color="auto"/>
              </w:divBdr>
              <w:divsChild>
                <w:div w:id="1377965623">
                  <w:marLeft w:val="0"/>
                  <w:marRight w:val="0"/>
                  <w:marTop w:val="0"/>
                  <w:marBottom w:val="0"/>
                  <w:divBdr>
                    <w:top w:val="none" w:sz="0" w:space="0" w:color="auto"/>
                    <w:left w:val="none" w:sz="0" w:space="0" w:color="auto"/>
                    <w:bottom w:val="none" w:sz="0" w:space="0" w:color="auto"/>
                    <w:right w:val="none" w:sz="0" w:space="0" w:color="auto"/>
                  </w:divBdr>
                  <w:divsChild>
                    <w:div w:id="65329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260447">
      <w:bodyDiv w:val="1"/>
      <w:marLeft w:val="0"/>
      <w:marRight w:val="0"/>
      <w:marTop w:val="0"/>
      <w:marBottom w:val="0"/>
      <w:divBdr>
        <w:top w:val="none" w:sz="0" w:space="0" w:color="auto"/>
        <w:left w:val="none" w:sz="0" w:space="0" w:color="auto"/>
        <w:bottom w:val="none" w:sz="0" w:space="0" w:color="auto"/>
        <w:right w:val="none" w:sz="0" w:space="0" w:color="auto"/>
      </w:divBdr>
    </w:div>
    <w:div w:id="2135324195">
      <w:bodyDiv w:val="1"/>
      <w:marLeft w:val="0"/>
      <w:marRight w:val="0"/>
      <w:marTop w:val="0"/>
      <w:marBottom w:val="0"/>
      <w:divBdr>
        <w:top w:val="none" w:sz="0" w:space="0" w:color="auto"/>
        <w:left w:val="none" w:sz="0" w:space="0" w:color="auto"/>
        <w:bottom w:val="none" w:sz="0" w:space="0" w:color="auto"/>
        <w:right w:val="none" w:sz="0" w:space="0" w:color="auto"/>
      </w:divBdr>
    </w:div>
    <w:div w:id="213794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hansard.parliament.vic.gov.au/search/?LDMS=Y&amp;IW_DATABASE=*&amp;IW_FIELD_ADVANCE_PHRASE=&amp;IW_FIELD_IN_SpeechTitle=Education+and+Training+Reform+Amendment+Protection+of+School+Communities+Bill+2021&amp;IW_FIELD_IN_HOUSENAME=ASSEMBLY&amp;IW_FIELD_IN_ACTIVITYTYPE=Statement+of+compatibility&amp;IW_FIELD_IN_SittingYear=2021&amp;IW_FIELD_IN_SittingMonth=May&amp;IW_FIELD_IN_SittingDay=5"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hansard.parliament.vic.gov.au/search/?LDMS=Y&amp;IW_DATABASE=*&amp;IW_FIELD_ADVANCE_PHRASE=be+now+read+a+second+time&amp;IW_FIELD_IN_SpeechTitle=Education+and+Training+Reform+Amendment+Protection+of+School+Communities+Bill+2021&amp;IW_FIELD_IN_HOUSENAME=ASSEMBLY&amp;IW_FIELD_IN_ACTIVITYTYPE=Second+reading&amp;IW_FIELD_IN_SittingYear=2021&amp;IW_FIELD_IN_SittingMonth=May&amp;IW_FIELD_IN_SittingDay=5"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content.legislation.vic.gov.au/sites/default/files/bills/591245exi1.pdf"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content.legislation.vic.gov.au/sites/default/files/2021-06/591245bs1.pdf" TargetMode="External"/><Relationship Id="rId28" Type="http://schemas.openxmlformats.org/officeDocument/2006/relationships/hyperlink" Target="https://www2.education.vic.gov.au/pal/school-community-safety-orders/policy" TargetMode="Externa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legislation.vic.gov.au/in-force/acts/education-and-training-reform-act-2006/101" TargetMode="External"/><Relationship Id="rId27" Type="http://schemas.openxmlformats.org/officeDocument/2006/relationships/hyperlink" Target="https://content.vic.gov.au/sites/default/files/2022-06/School%20Community%20Safety%20Order%20Scheme%20Ministerial%20Guidelines.pdf" TargetMode="Externa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addocks plum">
      <a:dk1>
        <a:srgbClr val="333333"/>
      </a:dk1>
      <a:lt1>
        <a:srgbClr val="FFFFFF"/>
      </a:lt1>
      <a:dk2>
        <a:srgbClr val="333333"/>
      </a:dk2>
      <a:lt2>
        <a:srgbClr val="F2F2F2"/>
      </a:lt2>
      <a:accent1>
        <a:srgbClr val="82002A"/>
      </a:accent1>
      <a:accent2>
        <a:srgbClr val="960030"/>
      </a:accent2>
      <a:accent3>
        <a:srgbClr val="A00035"/>
      </a:accent3>
      <a:accent4>
        <a:srgbClr val="333333"/>
      </a:accent4>
      <a:accent5>
        <a:srgbClr val="504242"/>
      </a:accent5>
      <a:accent6>
        <a:srgbClr val="5E5656"/>
      </a:accent6>
      <a:hlink>
        <a:srgbClr val="CD5C3D"/>
      </a:hlink>
      <a:folHlink>
        <a:srgbClr val="C40040"/>
      </a:folHlink>
    </a:clrScheme>
    <a:fontScheme name="Maddfo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28575">
          <a:solidFill>
            <a:srgbClr val="333333"/>
          </a:solidFill>
          <a:tailEnd type="triangle" w="lg" len="med"/>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roperties xmlns="http://www.imanage.com/work/xmlschema">
  <documentid>MATTERS!50406722.1</documentid>
  <senderid>AMIT</senderid>
  <senderemail>ALANNA.MITCHELL@MADDOCKS.COM.AU</senderemail>
  <lastmodified>2025-10-08T19:21:00.0000000+11:00</lastmodified>
  <database>MATTERS</database>
</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Props1.xml><?xml version="1.0" encoding="utf-8"?>
<ds:datastoreItem xmlns:ds="http://schemas.openxmlformats.org/officeDocument/2006/customXml" ds:itemID="{DACE15F0-2145-49FE-90D5-F05934A0E1F0}"/>
</file>

<file path=customXml/itemProps2.xml><?xml version="1.0" encoding="utf-8"?>
<ds:datastoreItem xmlns:ds="http://schemas.openxmlformats.org/officeDocument/2006/customXml" ds:itemID="{01D525C5-0424-4B6C-B0C0-EC569268B8BE}">
  <ds:schemaRefs>
    <ds:schemaRef ds:uri="http://schemas.microsoft.com/sharepoint/v3/contenttype/forms"/>
  </ds:schemaRefs>
</ds:datastoreItem>
</file>

<file path=customXml/itemProps3.xml><?xml version="1.0" encoding="utf-8"?>
<ds:datastoreItem xmlns:ds="http://schemas.openxmlformats.org/officeDocument/2006/customXml" ds:itemID="{E1A8FD25-2F97-43AF-9944-1FEDA510053C}">
  <ds:schemaRefs>
    <ds:schemaRef ds:uri="http://www.imanage.com/work/xmlschema"/>
  </ds:schemaRefs>
</ds:datastoreItem>
</file>

<file path=customXml/itemProps4.xml><?xml version="1.0" encoding="utf-8"?>
<ds:datastoreItem xmlns:ds="http://schemas.openxmlformats.org/officeDocument/2006/customXml" ds:itemID="{908E77C4-0162-49B1-8001-CBFAC6B2E8A3}">
  <ds:schemaRefs>
    <ds:schemaRef ds:uri="http://schemas.openxmlformats.org/officeDocument/2006/bibliography"/>
  </ds:schemaRefs>
</ds:datastoreItem>
</file>

<file path=customXml/itemProps5.xml><?xml version="1.0" encoding="utf-8"?>
<ds:datastoreItem xmlns:ds="http://schemas.openxmlformats.org/officeDocument/2006/customXml" ds:itemID="{F3A57005-17A7-4E1A-A363-08EB4D0616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64</Pages>
  <Words>23337</Words>
  <Characters>127647</Characters>
  <Application>Microsoft Office Word</Application>
  <DocSecurity>0</DocSecurity>
  <Lines>1063</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150683</CharactersWithSpaces>
  <SharedDoc>false</SharedDoc>
  <HLinks>
    <vt:vector size="258" baseType="variant">
      <vt:variant>
        <vt:i4>7995506</vt:i4>
      </vt:variant>
      <vt:variant>
        <vt:i4>249</vt:i4>
      </vt:variant>
      <vt:variant>
        <vt:i4>0</vt:i4>
      </vt:variant>
      <vt:variant>
        <vt:i4>5</vt:i4>
      </vt:variant>
      <vt:variant>
        <vt:lpwstr>https://www2.education.vic.gov.au/pal/school-community-safety-orders/policy</vt:lpwstr>
      </vt:variant>
      <vt:variant>
        <vt:lpwstr/>
      </vt:variant>
      <vt:variant>
        <vt:i4>2293871</vt:i4>
      </vt:variant>
      <vt:variant>
        <vt:i4>246</vt:i4>
      </vt:variant>
      <vt:variant>
        <vt:i4>0</vt:i4>
      </vt:variant>
      <vt:variant>
        <vt:i4>5</vt:i4>
      </vt:variant>
      <vt:variant>
        <vt:lpwstr>https://content.vic.gov.au/sites/default/files/2022-06/School Community Safety Order Scheme Ministerial Guidelines.pdf</vt:lpwstr>
      </vt:variant>
      <vt:variant>
        <vt:lpwstr/>
      </vt:variant>
      <vt:variant>
        <vt:i4>2228296</vt:i4>
      </vt:variant>
      <vt:variant>
        <vt:i4>243</vt:i4>
      </vt:variant>
      <vt:variant>
        <vt:i4>0</vt:i4>
      </vt:variant>
      <vt:variant>
        <vt:i4>5</vt:i4>
      </vt:variant>
      <vt:variant>
        <vt:lpwstr>https://hansard.parliament.vic.gov.au/search/?LDMS=Y&amp;IW_DATABASE=*&amp;IW_FIELD_ADVANCE_PHRASE=&amp;IW_FIELD_IN_SpeechTitle=Education+and+Training+Reform+Amendment+Protection+of+School+Communities+Bill+2021&amp;IW_FIELD_IN_HOUSENAME=ASSEMBLY&amp;IW_FIELD_IN_ACTIVITYTYPE=Statement+of+compatibility&amp;IW_FIELD_IN_SittingYear=2021&amp;IW_FIELD_IN_SittingMonth=May&amp;IW_FIELD_IN_SittingDay=5</vt:lpwstr>
      </vt:variant>
      <vt:variant>
        <vt:lpwstr/>
      </vt:variant>
      <vt:variant>
        <vt:i4>1376324</vt:i4>
      </vt:variant>
      <vt:variant>
        <vt:i4>240</vt:i4>
      </vt:variant>
      <vt:variant>
        <vt:i4>0</vt:i4>
      </vt:variant>
      <vt:variant>
        <vt:i4>5</vt:i4>
      </vt:variant>
      <vt:variant>
        <vt:lpwstr>https://hansard.parliament.vic.gov.au/search/?LDMS=Y&amp;IW_DATABASE=*&amp;IW_FIELD_ADVANCE_PHRASE=be+now+read+a+second+time&amp;IW_FIELD_IN_SpeechTitle=Education+and+Training+Reform+Amendment+Protection+of+School+Communities+Bill+2021&amp;IW_FIELD_IN_HOUSENAME=ASSEMBLY&amp;IW_FIELD_IN_ACTIVITYTYPE=Second+reading&amp;IW_FIELD_IN_SittingYear=2021&amp;IW_FIELD_IN_SittingMonth=May&amp;IW_FIELD_IN_SittingDay=5</vt:lpwstr>
      </vt:variant>
      <vt:variant>
        <vt:lpwstr/>
      </vt:variant>
      <vt:variant>
        <vt:i4>6881378</vt:i4>
      </vt:variant>
      <vt:variant>
        <vt:i4>237</vt:i4>
      </vt:variant>
      <vt:variant>
        <vt:i4>0</vt:i4>
      </vt:variant>
      <vt:variant>
        <vt:i4>5</vt:i4>
      </vt:variant>
      <vt:variant>
        <vt:lpwstr>https://content.legislation.vic.gov.au/sites/default/files/bills/591245exi1.pdf</vt:lpwstr>
      </vt:variant>
      <vt:variant>
        <vt:lpwstr/>
      </vt:variant>
      <vt:variant>
        <vt:i4>786518</vt:i4>
      </vt:variant>
      <vt:variant>
        <vt:i4>234</vt:i4>
      </vt:variant>
      <vt:variant>
        <vt:i4>0</vt:i4>
      </vt:variant>
      <vt:variant>
        <vt:i4>5</vt:i4>
      </vt:variant>
      <vt:variant>
        <vt:lpwstr>https://content.legislation.vic.gov.au/sites/default/files/2021-06/591245bs1.pdf</vt:lpwstr>
      </vt:variant>
      <vt:variant>
        <vt:lpwstr/>
      </vt:variant>
      <vt:variant>
        <vt:i4>3997796</vt:i4>
      </vt:variant>
      <vt:variant>
        <vt:i4>231</vt:i4>
      </vt:variant>
      <vt:variant>
        <vt:i4>0</vt:i4>
      </vt:variant>
      <vt:variant>
        <vt:i4>5</vt:i4>
      </vt:variant>
      <vt:variant>
        <vt:lpwstr>https://www.legislation.vic.gov.au/in-force/acts/education-and-training-reform-act-2006/101</vt:lpwstr>
      </vt:variant>
      <vt:variant>
        <vt:lpwstr/>
      </vt:variant>
      <vt:variant>
        <vt:i4>1441841</vt:i4>
      </vt:variant>
      <vt:variant>
        <vt:i4>212</vt:i4>
      </vt:variant>
      <vt:variant>
        <vt:i4>0</vt:i4>
      </vt:variant>
      <vt:variant>
        <vt:i4>5</vt:i4>
      </vt:variant>
      <vt:variant>
        <vt:lpwstr/>
      </vt:variant>
      <vt:variant>
        <vt:lpwstr>_Toc210053637</vt:lpwstr>
      </vt:variant>
      <vt:variant>
        <vt:i4>1441841</vt:i4>
      </vt:variant>
      <vt:variant>
        <vt:i4>206</vt:i4>
      </vt:variant>
      <vt:variant>
        <vt:i4>0</vt:i4>
      </vt:variant>
      <vt:variant>
        <vt:i4>5</vt:i4>
      </vt:variant>
      <vt:variant>
        <vt:lpwstr/>
      </vt:variant>
      <vt:variant>
        <vt:lpwstr>_Toc210053636</vt:lpwstr>
      </vt:variant>
      <vt:variant>
        <vt:i4>1441841</vt:i4>
      </vt:variant>
      <vt:variant>
        <vt:i4>200</vt:i4>
      </vt:variant>
      <vt:variant>
        <vt:i4>0</vt:i4>
      </vt:variant>
      <vt:variant>
        <vt:i4>5</vt:i4>
      </vt:variant>
      <vt:variant>
        <vt:lpwstr/>
      </vt:variant>
      <vt:variant>
        <vt:lpwstr>_Toc210053635</vt:lpwstr>
      </vt:variant>
      <vt:variant>
        <vt:i4>1441841</vt:i4>
      </vt:variant>
      <vt:variant>
        <vt:i4>194</vt:i4>
      </vt:variant>
      <vt:variant>
        <vt:i4>0</vt:i4>
      </vt:variant>
      <vt:variant>
        <vt:i4>5</vt:i4>
      </vt:variant>
      <vt:variant>
        <vt:lpwstr/>
      </vt:variant>
      <vt:variant>
        <vt:lpwstr>_Toc210053634</vt:lpwstr>
      </vt:variant>
      <vt:variant>
        <vt:i4>1441841</vt:i4>
      </vt:variant>
      <vt:variant>
        <vt:i4>188</vt:i4>
      </vt:variant>
      <vt:variant>
        <vt:i4>0</vt:i4>
      </vt:variant>
      <vt:variant>
        <vt:i4>5</vt:i4>
      </vt:variant>
      <vt:variant>
        <vt:lpwstr/>
      </vt:variant>
      <vt:variant>
        <vt:lpwstr>_Toc210053633</vt:lpwstr>
      </vt:variant>
      <vt:variant>
        <vt:i4>1441841</vt:i4>
      </vt:variant>
      <vt:variant>
        <vt:i4>182</vt:i4>
      </vt:variant>
      <vt:variant>
        <vt:i4>0</vt:i4>
      </vt:variant>
      <vt:variant>
        <vt:i4>5</vt:i4>
      </vt:variant>
      <vt:variant>
        <vt:lpwstr/>
      </vt:variant>
      <vt:variant>
        <vt:lpwstr>_Toc210053632</vt:lpwstr>
      </vt:variant>
      <vt:variant>
        <vt:i4>1441841</vt:i4>
      </vt:variant>
      <vt:variant>
        <vt:i4>176</vt:i4>
      </vt:variant>
      <vt:variant>
        <vt:i4>0</vt:i4>
      </vt:variant>
      <vt:variant>
        <vt:i4>5</vt:i4>
      </vt:variant>
      <vt:variant>
        <vt:lpwstr/>
      </vt:variant>
      <vt:variant>
        <vt:lpwstr>_Toc210053631</vt:lpwstr>
      </vt:variant>
      <vt:variant>
        <vt:i4>1441841</vt:i4>
      </vt:variant>
      <vt:variant>
        <vt:i4>170</vt:i4>
      </vt:variant>
      <vt:variant>
        <vt:i4>0</vt:i4>
      </vt:variant>
      <vt:variant>
        <vt:i4>5</vt:i4>
      </vt:variant>
      <vt:variant>
        <vt:lpwstr/>
      </vt:variant>
      <vt:variant>
        <vt:lpwstr>_Toc210053630</vt:lpwstr>
      </vt:variant>
      <vt:variant>
        <vt:i4>1507377</vt:i4>
      </vt:variant>
      <vt:variant>
        <vt:i4>164</vt:i4>
      </vt:variant>
      <vt:variant>
        <vt:i4>0</vt:i4>
      </vt:variant>
      <vt:variant>
        <vt:i4>5</vt:i4>
      </vt:variant>
      <vt:variant>
        <vt:lpwstr/>
      </vt:variant>
      <vt:variant>
        <vt:lpwstr>_Toc210053629</vt:lpwstr>
      </vt:variant>
      <vt:variant>
        <vt:i4>1507377</vt:i4>
      </vt:variant>
      <vt:variant>
        <vt:i4>158</vt:i4>
      </vt:variant>
      <vt:variant>
        <vt:i4>0</vt:i4>
      </vt:variant>
      <vt:variant>
        <vt:i4>5</vt:i4>
      </vt:variant>
      <vt:variant>
        <vt:lpwstr/>
      </vt:variant>
      <vt:variant>
        <vt:lpwstr>_Toc210053628</vt:lpwstr>
      </vt:variant>
      <vt:variant>
        <vt:i4>1507377</vt:i4>
      </vt:variant>
      <vt:variant>
        <vt:i4>152</vt:i4>
      </vt:variant>
      <vt:variant>
        <vt:i4>0</vt:i4>
      </vt:variant>
      <vt:variant>
        <vt:i4>5</vt:i4>
      </vt:variant>
      <vt:variant>
        <vt:lpwstr/>
      </vt:variant>
      <vt:variant>
        <vt:lpwstr>_Toc210053627</vt:lpwstr>
      </vt:variant>
      <vt:variant>
        <vt:i4>1507377</vt:i4>
      </vt:variant>
      <vt:variant>
        <vt:i4>146</vt:i4>
      </vt:variant>
      <vt:variant>
        <vt:i4>0</vt:i4>
      </vt:variant>
      <vt:variant>
        <vt:i4>5</vt:i4>
      </vt:variant>
      <vt:variant>
        <vt:lpwstr/>
      </vt:variant>
      <vt:variant>
        <vt:lpwstr>_Toc210053626</vt:lpwstr>
      </vt:variant>
      <vt:variant>
        <vt:i4>1507377</vt:i4>
      </vt:variant>
      <vt:variant>
        <vt:i4>140</vt:i4>
      </vt:variant>
      <vt:variant>
        <vt:i4>0</vt:i4>
      </vt:variant>
      <vt:variant>
        <vt:i4>5</vt:i4>
      </vt:variant>
      <vt:variant>
        <vt:lpwstr/>
      </vt:variant>
      <vt:variant>
        <vt:lpwstr>_Toc210053625</vt:lpwstr>
      </vt:variant>
      <vt:variant>
        <vt:i4>1507377</vt:i4>
      </vt:variant>
      <vt:variant>
        <vt:i4>134</vt:i4>
      </vt:variant>
      <vt:variant>
        <vt:i4>0</vt:i4>
      </vt:variant>
      <vt:variant>
        <vt:i4>5</vt:i4>
      </vt:variant>
      <vt:variant>
        <vt:lpwstr/>
      </vt:variant>
      <vt:variant>
        <vt:lpwstr>_Toc210053624</vt:lpwstr>
      </vt:variant>
      <vt:variant>
        <vt:i4>1507377</vt:i4>
      </vt:variant>
      <vt:variant>
        <vt:i4>128</vt:i4>
      </vt:variant>
      <vt:variant>
        <vt:i4>0</vt:i4>
      </vt:variant>
      <vt:variant>
        <vt:i4>5</vt:i4>
      </vt:variant>
      <vt:variant>
        <vt:lpwstr/>
      </vt:variant>
      <vt:variant>
        <vt:lpwstr>_Toc210053623</vt:lpwstr>
      </vt:variant>
      <vt:variant>
        <vt:i4>1507377</vt:i4>
      </vt:variant>
      <vt:variant>
        <vt:i4>122</vt:i4>
      </vt:variant>
      <vt:variant>
        <vt:i4>0</vt:i4>
      </vt:variant>
      <vt:variant>
        <vt:i4>5</vt:i4>
      </vt:variant>
      <vt:variant>
        <vt:lpwstr/>
      </vt:variant>
      <vt:variant>
        <vt:lpwstr>_Toc210053622</vt:lpwstr>
      </vt:variant>
      <vt:variant>
        <vt:i4>1507377</vt:i4>
      </vt:variant>
      <vt:variant>
        <vt:i4>116</vt:i4>
      </vt:variant>
      <vt:variant>
        <vt:i4>0</vt:i4>
      </vt:variant>
      <vt:variant>
        <vt:i4>5</vt:i4>
      </vt:variant>
      <vt:variant>
        <vt:lpwstr/>
      </vt:variant>
      <vt:variant>
        <vt:lpwstr>_Toc210053621</vt:lpwstr>
      </vt:variant>
      <vt:variant>
        <vt:i4>1507377</vt:i4>
      </vt:variant>
      <vt:variant>
        <vt:i4>110</vt:i4>
      </vt:variant>
      <vt:variant>
        <vt:i4>0</vt:i4>
      </vt:variant>
      <vt:variant>
        <vt:i4>5</vt:i4>
      </vt:variant>
      <vt:variant>
        <vt:lpwstr/>
      </vt:variant>
      <vt:variant>
        <vt:lpwstr>_Toc210053620</vt:lpwstr>
      </vt:variant>
      <vt:variant>
        <vt:i4>1310769</vt:i4>
      </vt:variant>
      <vt:variant>
        <vt:i4>104</vt:i4>
      </vt:variant>
      <vt:variant>
        <vt:i4>0</vt:i4>
      </vt:variant>
      <vt:variant>
        <vt:i4>5</vt:i4>
      </vt:variant>
      <vt:variant>
        <vt:lpwstr/>
      </vt:variant>
      <vt:variant>
        <vt:lpwstr>_Toc210053619</vt:lpwstr>
      </vt:variant>
      <vt:variant>
        <vt:i4>1310769</vt:i4>
      </vt:variant>
      <vt:variant>
        <vt:i4>98</vt:i4>
      </vt:variant>
      <vt:variant>
        <vt:i4>0</vt:i4>
      </vt:variant>
      <vt:variant>
        <vt:i4>5</vt:i4>
      </vt:variant>
      <vt:variant>
        <vt:lpwstr/>
      </vt:variant>
      <vt:variant>
        <vt:lpwstr>_Toc210053618</vt:lpwstr>
      </vt:variant>
      <vt:variant>
        <vt:i4>1310769</vt:i4>
      </vt:variant>
      <vt:variant>
        <vt:i4>92</vt:i4>
      </vt:variant>
      <vt:variant>
        <vt:i4>0</vt:i4>
      </vt:variant>
      <vt:variant>
        <vt:i4>5</vt:i4>
      </vt:variant>
      <vt:variant>
        <vt:lpwstr/>
      </vt:variant>
      <vt:variant>
        <vt:lpwstr>_Toc210053617</vt:lpwstr>
      </vt:variant>
      <vt:variant>
        <vt:i4>1310769</vt:i4>
      </vt:variant>
      <vt:variant>
        <vt:i4>86</vt:i4>
      </vt:variant>
      <vt:variant>
        <vt:i4>0</vt:i4>
      </vt:variant>
      <vt:variant>
        <vt:i4>5</vt:i4>
      </vt:variant>
      <vt:variant>
        <vt:lpwstr/>
      </vt:variant>
      <vt:variant>
        <vt:lpwstr>_Toc210053616</vt:lpwstr>
      </vt:variant>
      <vt:variant>
        <vt:i4>1310769</vt:i4>
      </vt:variant>
      <vt:variant>
        <vt:i4>80</vt:i4>
      </vt:variant>
      <vt:variant>
        <vt:i4>0</vt:i4>
      </vt:variant>
      <vt:variant>
        <vt:i4>5</vt:i4>
      </vt:variant>
      <vt:variant>
        <vt:lpwstr/>
      </vt:variant>
      <vt:variant>
        <vt:lpwstr>_Toc210053615</vt:lpwstr>
      </vt:variant>
      <vt:variant>
        <vt:i4>1310769</vt:i4>
      </vt:variant>
      <vt:variant>
        <vt:i4>74</vt:i4>
      </vt:variant>
      <vt:variant>
        <vt:i4>0</vt:i4>
      </vt:variant>
      <vt:variant>
        <vt:i4>5</vt:i4>
      </vt:variant>
      <vt:variant>
        <vt:lpwstr/>
      </vt:variant>
      <vt:variant>
        <vt:lpwstr>_Toc210053614</vt:lpwstr>
      </vt:variant>
      <vt:variant>
        <vt:i4>1310769</vt:i4>
      </vt:variant>
      <vt:variant>
        <vt:i4>68</vt:i4>
      </vt:variant>
      <vt:variant>
        <vt:i4>0</vt:i4>
      </vt:variant>
      <vt:variant>
        <vt:i4>5</vt:i4>
      </vt:variant>
      <vt:variant>
        <vt:lpwstr/>
      </vt:variant>
      <vt:variant>
        <vt:lpwstr>_Toc210053613</vt:lpwstr>
      </vt:variant>
      <vt:variant>
        <vt:i4>1310769</vt:i4>
      </vt:variant>
      <vt:variant>
        <vt:i4>62</vt:i4>
      </vt:variant>
      <vt:variant>
        <vt:i4>0</vt:i4>
      </vt:variant>
      <vt:variant>
        <vt:i4>5</vt:i4>
      </vt:variant>
      <vt:variant>
        <vt:lpwstr/>
      </vt:variant>
      <vt:variant>
        <vt:lpwstr>_Toc210053612</vt:lpwstr>
      </vt:variant>
      <vt:variant>
        <vt:i4>1310769</vt:i4>
      </vt:variant>
      <vt:variant>
        <vt:i4>56</vt:i4>
      </vt:variant>
      <vt:variant>
        <vt:i4>0</vt:i4>
      </vt:variant>
      <vt:variant>
        <vt:i4>5</vt:i4>
      </vt:variant>
      <vt:variant>
        <vt:lpwstr/>
      </vt:variant>
      <vt:variant>
        <vt:lpwstr>_Toc210053611</vt:lpwstr>
      </vt:variant>
      <vt:variant>
        <vt:i4>1310769</vt:i4>
      </vt:variant>
      <vt:variant>
        <vt:i4>50</vt:i4>
      </vt:variant>
      <vt:variant>
        <vt:i4>0</vt:i4>
      </vt:variant>
      <vt:variant>
        <vt:i4>5</vt:i4>
      </vt:variant>
      <vt:variant>
        <vt:lpwstr/>
      </vt:variant>
      <vt:variant>
        <vt:lpwstr>_Toc210053610</vt:lpwstr>
      </vt:variant>
      <vt:variant>
        <vt:i4>1376305</vt:i4>
      </vt:variant>
      <vt:variant>
        <vt:i4>44</vt:i4>
      </vt:variant>
      <vt:variant>
        <vt:i4>0</vt:i4>
      </vt:variant>
      <vt:variant>
        <vt:i4>5</vt:i4>
      </vt:variant>
      <vt:variant>
        <vt:lpwstr/>
      </vt:variant>
      <vt:variant>
        <vt:lpwstr>_Toc210053609</vt:lpwstr>
      </vt:variant>
      <vt:variant>
        <vt:i4>1376305</vt:i4>
      </vt:variant>
      <vt:variant>
        <vt:i4>38</vt:i4>
      </vt:variant>
      <vt:variant>
        <vt:i4>0</vt:i4>
      </vt:variant>
      <vt:variant>
        <vt:i4>5</vt:i4>
      </vt:variant>
      <vt:variant>
        <vt:lpwstr/>
      </vt:variant>
      <vt:variant>
        <vt:lpwstr>_Toc210053608</vt:lpwstr>
      </vt:variant>
      <vt:variant>
        <vt:i4>1376305</vt:i4>
      </vt:variant>
      <vt:variant>
        <vt:i4>32</vt:i4>
      </vt:variant>
      <vt:variant>
        <vt:i4>0</vt:i4>
      </vt:variant>
      <vt:variant>
        <vt:i4>5</vt:i4>
      </vt:variant>
      <vt:variant>
        <vt:lpwstr/>
      </vt:variant>
      <vt:variant>
        <vt:lpwstr>_Toc210053607</vt:lpwstr>
      </vt:variant>
      <vt:variant>
        <vt:i4>1376305</vt:i4>
      </vt:variant>
      <vt:variant>
        <vt:i4>26</vt:i4>
      </vt:variant>
      <vt:variant>
        <vt:i4>0</vt:i4>
      </vt:variant>
      <vt:variant>
        <vt:i4>5</vt:i4>
      </vt:variant>
      <vt:variant>
        <vt:lpwstr/>
      </vt:variant>
      <vt:variant>
        <vt:lpwstr>_Toc210053606</vt:lpwstr>
      </vt:variant>
      <vt:variant>
        <vt:i4>1376305</vt:i4>
      </vt:variant>
      <vt:variant>
        <vt:i4>20</vt:i4>
      </vt:variant>
      <vt:variant>
        <vt:i4>0</vt:i4>
      </vt:variant>
      <vt:variant>
        <vt:i4>5</vt:i4>
      </vt:variant>
      <vt:variant>
        <vt:lpwstr/>
      </vt:variant>
      <vt:variant>
        <vt:lpwstr>_Toc210053605</vt:lpwstr>
      </vt:variant>
      <vt:variant>
        <vt:i4>1376305</vt:i4>
      </vt:variant>
      <vt:variant>
        <vt:i4>14</vt:i4>
      </vt:variant>
      <vt:variant>
        <vt:i4>0</vt:i4>
      </vt:variant>
      <vt:variant>
        <vt:i4>5</vt:i4>
      </vt:variant>
      <vt:variant>
        <vt:lpwstr/>
      </vt:variant>
      <vt:variant>
        <vt:lpwstr>_Toc210053604</vt:lpwstr>
      </vt:variant>
      <vt:variant>
        <vt:i4>1376305</vt:i4>
      </vt:variant>
      <vt:variant>
        <vt:i4>8</vt:i4>
      </vt:variant>
      <vt:variant>
        <vt:i4>0</vt:i4>
      </vt:variant>
      <vt:variant>
        <vt:i4>5</vt:i4>
      </vt:variant>
      <vt:variant>
        <vt:lpwstr/>
      </vt:variant>
      <vt:variant>
        <vt:lpwstr>_Toc210053603</vt:lpwstr>
      </vt:variant>
      <vt:variant>
        <vt:i4>1376305</vt:i4>
      </vt:variant>
      <vt:variant>
        <vt:i4>2</vt:i4>
      </vt:variant>
      <vt:variant>
        <vt:i4>0</vt:i4>
      </vt:variant>
      <vt:variant>
        <vt:i4>5</vt:i4>
      </vt:variant>
      <vt:variant>
        <vt:lpwstr/>
      </vt:variant>
      <vt:variant>
        <vt:lpwstr>_Toc210053602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Maddocks</dc:creator>
  <cp:keywords/>
  <dc:description/>
  <cp:lastModifiedBy>Seema Chandra</cp:lastModifiedBy>
  <cp:revision>8</cp:revision>
  <cp:lastPrinted>2025-05-05T08:50:00Z</cp:lastPrinted>
  <dcterms:created xsi:type="dcterms:W3CDTF">2025-10-09T01:22:00Z</dcterms:created>
  <dcterms:modified xsi:type="dcterms:W3CDTF">2025-10-09T02:16:00Z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MediaServiceImageTags">
    <vt:lpwstr/>
  </property>
  <property fmtid="{D5CDD505-2E9C-101B-9397-08002B2CF9AE}" pid="4" name="DET_EDRMS_SecClassTaxHTField0">
    <vt:lpwstr/>
  </property>
  <property fmtid="{D5CDD505-2E9C-101B-9397-08002B2CF9AE}" pid="5" name="DET_EDRMS_SecClass">
    <vt:lpwstr/>
  </property>
  <property fmtid="{D5CDD505-2E9C-101B-9397-08002B2CF9AE}" pid="6" name="iManageFooter">
    <vt:lpwstr>[9561607:50406722_1]</vt:lpwstr>
  </property>
  <property fmtid="{D5CDD505-2E9C-101B-9397-08002B2CF9AE}" pid="7" name="Order">
    <vt:r8>843200</vt:r8>
  </property>
  <property fmtid="{D5CDD505-2E9C-101B-9397-08002B2CF9AE}" pid="8" name="xd_Signature">
    <vt:bool>false</vt:bool>
  </property>
  <property fmtid="{D5CDD505-2E9C-101B-9397-08002B2CF9AE}" pid="9" name="xd_ProgID">
    <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DEECD_Author">
    <vt:lpwstr>94;#Education|5232e41c-5101-41fe-b638-7d41d1371531</vt:lpwstr>
  </property>
  <property fmtid="{D5CDD505-2E9C-101B-9397-08002B2CF9AE}" pid="15" name="DEECD_SubjectCategory">
    <vt:lpwstr/>
  </property>
  <property fmtid="{D5CDD505-2E9C-101B-9397-08002B2CF9AE}" pid="16" name="DEECD_ItemType">
    <vt:lpwstr>101;#Page|eb523acf-a821-456c-a76b-7607578309d7</vt:lpwstr>
  </property>
  <property fmtid="{D5CDD505-2E9C-101B-9397-08002B2CF9AE}" pid="17" name="DEECD_Audience">
    <vt:lpwstr/>
  </property>
</Properties>
</file>