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60D10" w14:textId="53FC9C5D" w:rsidR="00145A17" w:rsidRDefault="00145A17" w:rsidP="00145A17">
      <w:pPr>
        <w:pStyle w:val="Coversubtitle"/>
        <w:rPr>
          <w:bCs w:val="0"/>
          <w:sz w:val="48"/>
          <w:szCs w:val="48"/>
        </w:rPr>
      </w:pPr>
    </w:p>
    <w:p w14:paraId="5AAA4BF8" w14:textId="180B0D3F" w:rsidR="00A63D55" w:rsidRPr="001B78D5" w:rsidRDefault="00145A17" w:rsidP="000061CE">
      <w:pPr>
        <w:pStyle w:val="Covertitle"/>
      </w:pPr>
      <w:r w:rsidRPr="00E6432C">
        <w:t>Specialist school eligibility review</w:t>
      </w:r>
    </w:p>
    <w:p w14:paraId="2774CFDF" w14:textId="77777777" w:rsidR="00145A17" w:rsidRPr="001B78D5" w:rsidRDefault="00145A17" w:rsidP="00145A17">
      <w:pPr>
        <w:pStyle w:val="Coversubtitle"/>
      </w:pPr>
      <w:r>
        <w:t>Report summary</w:t>
      </w:r>
    </w:p>
    <w:p w14:paraId="4820AE24" w14:textId="77777777" w:rsidR="00DA3218" w:rsidRDefault="00DA3218" w:rsidP="00955D50">
      <w:pPr>
        <w:pStyle w:val="Heading1"/>
        <w:sectPr w:rsidR="00DA3218" w:rsidSect="00463A1D">
          <w:headerReference w:type="default" r:id="rId11"/>
          <w:footerReference w:type="even" r:id="rId12"/>
          <w:footerReference w:type="default" r:id="rId13"/>
          <w:pgSz w:w="11900" w:h="16840"/>
          <w:pgMar w:top="2128" w:right="1134" w:bottom="1701" w:left="1134" w:header="227" w:footer="709" w:gutter="0"/>
          <w:cols w:space="708"/>
          <w:docGrid w:linePitch="360"/>
        </w:sectPr>
      </w:pPr>
    </w:p>
    <w:p w14:paraId="28C57764" w14:textId="77777777" w:rsidR="00DA3218" w:rsidRPr="006F44D8" w:rsidRDefault="00144FD5" w:rsidP="00955D50">
      <w:pPr>
        <w:pStyle w:val="TOCHeading"/>
      </w:pPr>
      <w:bookmarkStart w:id="0" w:name="_Toc176332542"/>
      <w:r w:rsidRPr="006F44D8">
        <w:lastRenderedPageBreak/>
        <w:t>Contents</w:t>
      </w:r>
      <w:bookmarkEnd w:id="0"/>
    </w:p>
    <w:p w14:paraId="3A8208C7" w14:textId="77777777" w:rsidR="00DA3218" w:rsidRDefault="00DA3218" w:rsidP="001B78D5"/>
    <w:p w14:paraId="2F00539D" w14:textId="51CF56A1" w:rsidR="00720B36" w:rsidRDefault="00DA3218">
      <w:pPr>
        <w:pStyle w:val="TOC1"/>
        <w:rPr>
          <w:rFonts w:eastAsiaTheme="minorEastAsia" w:cstheme="minorBidi"/>
          <w:bCs w:val="0"/>
          <w:iCs w:val="0"/>
          <w:kern w:val="2"/>
          <w:sz w:val="24"/>
          <w:szCs w:val="24"/>
          <w:lang w:eastAsia="en-AU"/>
          <w14:ligatures w14:val="standardContextual"/>
        </w:rPr>
      </w:pPr>
      <w:r>
        <w:rPr>
          <w:rFonts w:ascii="Arial" w:eastAsiaTheme="minorEastAsia" w:hAnsi="Arial" w:cs="Arial"/>
          <w:b/>
          <w:color w:val="AF272F"/>
          <w:szCs w:val="18"/>
          <w:lang w:val="en-US"/>
        </w:rPr>
        <w:fldChar w:fldCharType="begin"/>
      </w:r>
      <w:r>
        <w:instrText xml:space="preserve"> TOC \t "HEADING 1,1,HEADING 2,2,Heading 3,3" </w:instrText>
      </w:r>
      <w:r>
        <w:rPr>
          <w:rFonts w:ascii="Arial" w:eastAsiaTheme="minorEastAsia" w:hAnsi="Arial" w:cs="Arial"/>
          <w:b/>
          <w:color w:val="AF272F"/>
          <w:szCs w:val="18"/>
          <w:lang w:val="en-US"/>
        </w:rPr>
        <w:fldChar w:fldCharType="separate"/>
      </w:r>
      <w:r w:rsidR="00720B36">
        <w:t>Overview</w:t>
      </w:r>
      <w:r w:rsidR="00720B36">
        <w:tab/>
      </w:r>
      <w:r w:rsidR="007A5AEC">
        <w:t>3</w:t>
      </w:r>
    </w:p>
    <w:p w14:paraId="6BBAF5BF" w14:textId="6F59A440" w:rsidR="00720B36" w:rsidRDefault="00720B36" w:rsidP="007A5AEC">
      <w:pPr>
        <w:pStyle w:val="TOC2"/>
        <w:ind w:left="0"/>
        <w:rPr>
          <w:rFonts w:eastAsiaTheme="minorEastAsia" w:cstheme="minorBidi"/>
          <w:bCs w:val="0"/>
          <w:kern w:val="2"/>
          <w:sz w:val="24"/>
          <w:szCs w:val="24"/>
          <w:lang w:eastAsia="en-AU"/>
          <w14:ligatures w14:val="standardContextual"/>
        </w:rPr>
      </w:pPr>
      <w:r>
        <w:t>Background</w:t>
      </w:r>
      <w:r>
        <w:tab/>
      </w:r>
      <w:r w:rsidR="007A5AEC">
        <w:t>3</w:t>
      </w:r>
    </w:p>
    <w:p w14:paraId="7E729F50" w14:textId="42F6A11D" w:rsidR="00720B36" w:rsidRDefault="00720B36" w:rsidP="007A5AEC">
      <w:pPr>
        <w:pStyle w:val="TOC2"/>
        <w:ind w:left="0"/>
        <w:rPr>
          <w:rFonts w:eastAsiaTheme="minorEastAsia" w:cstheme="minorBidi"/>
          <w:bCs w:val="0"/>
          <w:kern w:val="2"/>
          <w:sz w:val="24"/>
          <w:szCs w:val="24"/>
          <w:lang w:eastAsia="en-AU"/>
          <w14:ligatures w14:val="standardContextual"/>
        </w:rPr>
      </w:pPr>
      <w:r>
        <w:t>Purpose</w:t>
      </w:r>
      <w:r>
        <w:tab/>
      </w:r>
      <w:r w:rsidR="007A5AEC">
        <w:t>3</w:t>
      </w:r>
    </w:p>
    <w:p w14:paraId="5501E16B" w14:textId="4533A874" w:rsidR="00720B36" w:rsidRDefault="00720B36" w:rsidP="007A5AEC">
      <w:pPr>
        <w:pStyle w:val="TOC2"/>
        <w:ind w:left="0"/>
        <w:rPr>
          <w:rFonts w:eastAsiaTheme="minorEastAsia" w:cstheme="minorBidi"/>
          <w:bCs w:val="0"/>
          <w:kern w:val="2"/>
          <w:sz w:val="24"/>
          <w:szCs w:val="24"/>
          <w:lang w:eastAsia="en-AU"/>
          <w14:ligatures w14:val="standardContextual"/>
        </w:rPr>
      </w:pPr>
      <w:r>
        <w:t>How the review was undertaken</w:t>
      </w:r>
      <w:r>
        <w:tab/>
      </w:r>
      <w:r w:rsidR="007A5AEC">
        <w:t>4</w:t>
      </w:r>
    </w:p>
    <w:p w14:paraId="3F755308" w14:textId="4108770E" w:rsidR="00720B36" w:rsidRDefault="00720B36" w:rsidP="007A5AEC">
      <w:pPr>
        <w:pStyle w:val="TOC2"/>
        <w:ind w:left="0"/>
        <w:rPr>
          <w:rFonts w:eastAsiaTheme="minorEastAsia" w:cstheme="minorBidi"/>
          <w:bCs w:val="0"/>
          <w:kern w:val="2"/>
          <w:sz w:val="24"/>
          <w:szCs w:val="24"/>
          <w:lang w:eastAsia="en-AU"/>
          <w14:ligatures w14:val="standardContextual"/>
        </w:rPr>
      </w:pPr>
      <w:r>
        <w:t>Review findings</w:t>
      </w:r>
      <w:r>
        <w:tab/>
      </w:r>
      <w:r w:rsidR="007A5AEC">
        <w:t>4</w:t>
      </w:r>
    </w:p>
    <w:p w14:paraId="04035889" w14:textId="28674A93" w:rsidR="00720B36" w:rsidRDefault="00720B36" w:rsidP="007A5AEC">
      <w:pPr>
        <w:pStyle w:val="TOC2"/>
        <w:ind w:left="0"/>
        <w:rPr>
          <w:rFonts w:eastAsiaTheme="minorEastAsia" w:cstheme="minorBidi"/>
          <w:bCs w:val="0"/>
          <w:kern w:val="2"/>
          <w:sz w:val="24"/>
          <w:szCs w:val="24"/>
          <w:lang w:eastAsia="en-AU"/>
          <w14:ligatures w14:val="standardContextual"/>
        </w:rPr>
      </w:pPr>
      <w:r>
        <w:t>Review recommendations</w:t>
      </w:r>
      <w:r>
        <w:tab/>
      </w:r>
      <w:r w:rsidR="007A5AEC">
        <w:t>6</w:t>
      </w:r>
    </w:p>
    <w:p w14:paraId="3AFBF293" w14:textId="6123EBA4" w:rsidR="00720B36" w:rsidRDefault="00720B36" w:rsidP="007A5AEC">
      <w:pPr>
        <w:pStyle w:val="TOC2"/>
        <w:ind w:left="0"/>
        <w:rPr>
          <w:rFonts w:eastAsiaTheme="minorEastAsia" w:cstheme="minorBidi"/>
          <w:bCs w:val="0"/>
          <w:kern w:val="2"/>
          <w:sz w:val="24"/>
          <w:szCs w:val="24"/>
          <w:lang w:eastAsia="en-AU"/>
          <w14:ligatures w14:val="standardContextual"/>
        </w:rPr>
      </w:pPr>
      <w:r>
        <w:t>Government response to recommendations</w:t>
      </w:r>
      <w:r>
        <w:tab/>
      </w:r>
      <w:r w:rsidR="007A5AEC">
        <w:t>7</w:t>
      </w:r>
    </w:p>
    <w:p w14:paraId="6E95D488" w14:textId="5274F858" w:rsidR="00720B36" w:rsidRDefault="00720B36" w:rsidP="007A5AEC">
      <w:pPr>
        <w:pStyle w:val="TOC2"/>
        <w:ind w:left="0"/>
        <w:rPr>
          <w:rFonts w:eastAsiaTheme="minorEastAsia" w:cstheme="minorBidi"/>
          <w:bCs w:val="0"/>
          <w:kern w:val="2"/>
          <w:sz w:val="24"/>
          <w:szCs w:val="24"/>
          <w:lang w:eastAsia="en-AU"/>
          <w14:ligatures w14:val="standardContextual"/>
        </w:rPr>
      </w:pPr>
      <w:r>
        <w:t>Contact for further information</w:t>
      </w:r>
      <w:r>
        <w:tab/>
      </w:r>
      <w:r>
        <w:fldChar w:fldCharType="begin"/>
      </w:r>
      <w:r>
        <w:instrText xml:space="preserve"> PAGEREF _Toc209685597 \h </w:instrText>
      </w:r>
      <w:r>
        <w:fldChar w:fldCharType="separate"/>
      </w:r>
      <w:r w:rsidR="002666C6">
        <w:t>9</w:t>
      </w:r>
      <w:r>
        <w:fldChar w:fldCharType="end"/>
      </w:r>
    </w:p>
    <w:p w14:paraId="6B8C339E" w14:textId="05074B2A" w:rsidR="00DA3218" w:rsidRPr="00DF7020" w:rsidRDefault="00DA3218" w:rsidP="001B78D5">
      <w:pPr>
        <w:sectPr w:rsidR="00DA3218" w:rsidRPr="00DF7020" w:rsidSect="001B78D5">
          <w:headerReference w:type="even" r:id="rId14"/>
          <w:headerReference w:type="default" r:id="rId15"/>
          <w:footerReference w:type="default" r:id="rId16"/>
          <w:headerReference w:type="first" r:id="rId17"/>
          <w:pgSz w:w="11900" w:h="16840"/>
          <w:pgMar w:top="1134" w:right="1134" w:bottom="1701" w:left="1134" w:header="709" w:footer="289" w:gutter="0"/>
          <w:cols w:space="708"/>
          <w:docGrid w:linePitch="360"/>
        </w:sectPr>
      </w:pPr>
      <w:r>
        <w:fldChar w:fldCharType="end"/>
      </w:r>
    </w:p>
    <w:p w14:paraId="5D20C99C" w14:textId="77777777" w:rsidR="00076D2A" w:rsidRPr="001B78D5" w:rsidRDefault="00076D2A" w:rsidP="00076D2A">
      <w:pPr>
        <w:pStyle w:val="Heading1"/>
      </w:pPr>
      <w:bookmarkStart w:id="1" w:name="_Toc209015142"/>
      <w:bookmarkStart w:id="2" w:name="_Toc209685569"/>
      <w:r>
        <w:lastRenderedPageBreak/>
        <w:t>Overview</w:t>
      </w:r>
      <w:bookmarkEnd w:id="1"/>
      <w:bookmarkEnd w:id="2"/>
    </w:p>
    <w:p w14:paraId="4DE34DBF" w14:textId="77777777" w:rsidR="00076D2A" w:rsidRDefault="00076D2A" w:rsidP="00076D2A">
      <w:pPr>
        <w:pStyle w:val="Heading2"/>
        <w:spacing w:line="240" w:lineRule="exact"/>
        <w:rPr>
          <w:rFonts w:asciiTheme="minorHAnsi" w:eastAsiaTheme="minorHAnsi" w:hAnsiTheme="minorHAnsi" w:cs="Times New Roman (Body CS)"/>
          <w:sz w:val="24"/>
          <w:szCs w:val="20"/>
        </w:rPr>
      </w:pPr>
      <w:bookmarkStart w:id="3" w:name="_Toc209015143"/>
      <w:bookmarkStart w:id="4" w:name="_Toc209685570"/>
      <w:r>
        <w:rPr>
          <w:rFonts w:asciiTheme="minorHAnsi" w:eastAsiaTheme="minorHAnsi" w:hAnsiTheme="minorHAnsi" w:cs="Times New Roman (Body CS)"/>
          <w:sz w:val="24"/>
          <w:szCs w:val="20"/>
        </w:rPr>
        <w:t>This summary provides an overview of the specialist school eligibility review. It outlines the findings, recommendations and the Victorian Government response.</w:t>
      </w:r>
      <w:bookmarkEnd w:id="3"/>
      <w:bookmarkEnd w:id="4"/>
      <w:r>
        <w:rPr>
          <w:rFonts w:asciiTheme="minorHAnsi" w:eastAsiaTheme="minorHAnsi" w:hAnsiTheme="minorHAnsi" w:cs="Times New Roman (Body CS)"/>
          <w:sz w:val="24"/>
          <w:szCs w:val="20"/>
        </w:rPr>
        <w:t xml:space="preserve"> </w:t>
      </w:r>
    </w:p>
    <w:p w14:paraId="168D25A3" w14:textId="77777777" w:rsidR="005E4A6A" w:rsidRPr="001B78D5" w:rsidRDefault="005E4A6A" w:rsidP="005E4A6A">
      <w:pPr>
        <w:pStyle w:val="Heading2"/>
        <w:spacing w:line="240" w:lineRule="exact"/>
      </w:pPr>
      <w:bookmarkStart w:id="5" w:name="_Toc209015144"/>
      <w:bookmarkStart w:id="6" w:name="_Toc209685571"/>
      <w:r>
        <w:t>Background</w:t>
      </w:r>
      <w:bookmarkEnd w:id="5"/>
      <w:bookmarkEnd w:id="6"/>
    </w:p>
    <w:p w14:paraId="3FE98E18" w14:textId="77777777" w:rsidR="005E4A6A" w:rsidRPr="00587F17" w:rsidRDefault="005E4A6A" w:rsidP="1E23E889">
      <w:pPr>
        <w:spacing w:before="360" w:line="240" w:lineRule="exact"/>
        <w:rPr>
          <w:rFonts w:eastAsia="Arial"/>
          <w:u w:val="single"/>
        </w:rPr>
      </w:pPr>
      <w:bookmarkStart w:id="7" w:name="_Toc209015145"/>
      <w:r>
        <w:t>In Victoria, specialist schools play an important role in providing school options for students with disability. Specialist schools cater for students with specific types of disability and high needs. There are 4 types of Victorian government specialist schools. They are:</w:t>
      </w:r>
      <w:r w:rsidRPr="41202B4C">
        <w:rPr>
          <w:rFonts w:eastAsia="Arial"/>
          <w:u w:val="single"/>
        </w:rPr>
        <w:t xml:space="preserve"> </w:t>
      </w:r>
    </w:p>
    <w:p w14:paraId="7DFD0B2D" w14:textId="77777777" w:rsidR="005E4A6A" w:rsidRPr="009B6564" w:rsidRDefault="005E4A6A" w:rsidP="1E23E889">
      <w:pPr>
        <w:pStyle w:val="ListParagraph"/>
        <w:numPr>
          <w:ilvl w:val="0"/>
          <w:numId w:val="21"/>
        </w:numPr>
        <w:spacing w:before="360" w:line="240" w:lineRule="exact"/>
      </w:pPr>
      <w:r>
        <w:t xml:space="preserve">schools for students with intellectual disability </w:t>
      </w:r>
    </w:p>
    <w:p w14:paraId="6FA2C318" w14:textId="49A5FE9F" w:rsidR="005E4A6A" w:rsidRPr="005B1589" w:rsidRDefault="0082114D" w:rsidP="1E23E889">
      <w:pPr>
        <w:pStyle w:val="ListParagraph"/>
        <w:numPr>
          <w:ilvl w:val="0"/>
          <w:numId w:val="21"/>
        </w:numPr>
        <w:spacing w:before="360" w:line="240" w:lineRule="exact"/>
      </w:pPr>
      <w:r>
        <w:t>schools for autistic students</w:t>
      </w:r>
    </w:p>
    <w:p w14:paraId="52235266" w14:textId="77777777" w:rsidR="005E4A6A" w:rsidRPr="009B6564" w:rsidRDefault="005E4A6A" w:rsidP="1E23E889">
      <w:pPr>
        <w:pStyle w:val="ListParagraph"/>
        <w:numPr>
          <w:ilvl w:val="0"/>
          <w:numId w:val="21"/>
        </w:numPr>
        <w:spacing w:before="360" w:line="240" w:lineRule="exact"/>
      </w:pPr>
      <w:r>
        <w:t>schools for students with physical disability</w:t>
      </w:r>
    </w:p>
    <w:p w14:paraId="301CF570" w14:textId="77777777" w:rsidR="005E4A6A" w:rsidRPr="00587F17" w:rsidRDefault="005E4A6A" w:rsidP="1E23E889">
      <w:pPr>
        <w:pStyle w:val="ListParagraph"/>
        <w:numPr>
          <w:ilvl w:val="0"/>
          <w:numId w:val="21"/>
        </w:numPr>
        <w:spacing w:before="360" w:line="240" w:lineRule="exact"/>
        <w:rPr>
          <w:b/>
          <w:bCs/>
        </w:rPr>
      </w:pPr>
      <w:r w:rsidRPr="1E23E889">
        <w:rPr>
          <w:lang w:val="en-US"/>
        </w:rPr>
        <w:t xml:space="preserve">deaf schools and deaf facilities for deaf and hard of hearing students. </w:t>
      </w:r>
    </w:p>
    <w:p w14:paraId="6200901E" w14:textId="6ED93551" w:rsidR="005E4A6A" w:rsidRDefault="00C12E59" w:rsidP="005E4A6A">
      <w:pPr>
        <w:spacing w:before="360" w:line="240" w:lineRule="exact"/>
      </w:pPr>
      <w:r>
        <w:t>All students have the right to attend their</w:t>
      </w:r>
      <w:r w:rsidR="00B16871">
        <w:t xml:space="preserve"> designated neighbourhood school (known as their local school)</w:t>
      </w:r>
      <w:r w:rsidR="00851F12">
        <w:t>.</w:t>
      </w:r>
      <w:r>
        <w:t xml:space="preserve"> </w:t>
      </w:r>
      <w:r w:rsidR="00EB2622">
        <w:t>M</w:t>
      </w:r>
      <w:r w:rsidR="005E4A6A">
        <w:t xml:space="preserve">ost Victorian students with disability and high needs attend </w:t>
      </w:r>
      <w:r w:rsidR="00C574EE">
        <w:t xml:space="preserve">inclusive </w:t>
      </w:r>
      <w:r w:rsidR="005E4A6A">
        <w:t>local schools</w:t>
      </w:r>
      <w:r w:rsidR="00EB2622">
        <w:t>.</w:t>
      </w:r>
      <w:r w:rsidR="005E4A6A">
        <w:t xml:space="preserve"> </w:t>
      </w:r>
      <w:r w:rsidR="00936ADF">
        <w:t>F</w:t>
      </w:r>
      <w:r w:rsidR="005E4A6A">
        <w:t xml:space="preserve">amilies </w:t>
      </w:r>
      <w:r w:rsidR="00160E48">
        <w:t xml:space="preserve">also </w:t>
      </w:r>
      <w:r w:rsidR="005E4A6A">
        <w:t>have the choice to seek to enrol their child in a Victorian government specialist school. Enrolment in specialist schools is subject to specific eligibility and enrolment criteria, and the availability of places at the school.</w:t>
      </w:r>
    </w:p>
    <w:p w14:paraId="4AA5C536" w14:textId="77777777" w:rsidR="005E4A6A" w:rsidRPr="001B78D5" w:rsidRDefault="005E4A6A" w:rsidP="005E4A6A">
      <w:pPr>
        <w:pStyle w:val="Heading2"/>
      </w:pPr>
      <w:bookmarkStart w:id="8" w:name="_Toc209685572"/>
      <w:r>
        <w:t>Purpose</w:t>
      </w:r>
      <w:bookmarkEnd w:id="8"/>
    </w:p>
    <w:p w14:paraId="548B7B30" w14:textId="77777777" w:rsidR="005E4A6A" w:rsidRDefault="005E4A6A" w:rsidP="005E4A6A">
      <w:pPr>
        <w:pStyle w:val="Heading3"/>
        <w:rPr>
          <w:rFonts w:asciiTheme="minorHAnsi" w:eastAsiaTheme="minorHAnsi" w:hAnsiTheme="minorHAnsi" w:cstheme="minorBidi"/>
          <w:bCs w:val="0"/>
          <w:color w:val="auto"/>
          <w:sz w:val="20"/>
        </w:rPr>
      </w:pPr>
      <w:bookmarkStart w:id="9" w:name="_Toc209685573"/>
      <w:r w:rsidRPr="00F31B57">
        <w:rPr>
          <w:rFonts w:asciiTheme="minorHAnsi" w:eastAsiaTheme="minorHAnsi" w:hAnsiTheme="minorHAnsi" w:cstheme="minorBidi"/>
          <w:bCs w:val="0"/>
          <w:color w:val="auto"/>
          <w:sz w:val="20"/>
        </w:rPr>
        <w:t>As part of the Victorian Government’s election commitment, through the Fighting for Students with Disability and their Families initiative, the Department of Education (department) commissioned a review. The review focused on the eligibility processes for Victorian government specialist schools. The goal was to help more families choose the right school for their child's needs.</w:t>
      </w:r>
      <w:bookmarkEnd w:id="9"/>
      <w:r w:rsidRPr="00F31B57">
        <w:rPr>
          <w:rFonts w:asciiTheme="minorHAnsi" w:eastAsiaTheme="minorHAnsi" w:hAnsiTheme="minorHAnsi" w:cstheme="minorBidi"/>
          <w:bCs w:val="0"/>
          <w:color w:val="auto"/>
          <w:sz w:val="20"/>
        </w:rPr>
        <w:t xml:space="preserve"> </w:t>
      </w:r>
    </w:p>
    <w:p w14:paraId="0601C0B9" w14:textId="77777777" w:rsidR="005E4A6A" w:rsidRPr="00F31B57" w:rsidRDefault="005E4A6A" w:rsidP="005E4A6A">
      <w:pPr>
        <w:pStyle w:val="Heading3"/>
        <w:rPr>
          <w:rFonts w:asciiTheme="minorHAnsi" w:eastAsiaTheme="minorHAnsi" w:hAnsiTheme="minorHAnsi" w:cstheme="minorBidi"/>
          <w:bCs w:val="0"/>
          <w:color w:val="auto"/>
          <w:sz w:val="20"/>
        </w:rPr>
      </w:pPr>
      <w:bookmarkStart w:id="10" w:name="_Toc209685574"/>
      <w:r w:rsidRPr="00F31B57">
        <w:rPr>
          <w:rFonts w:asciiTheme="minorHAnsi" w:eastAsiaTheme="minorHAnsi" w:hAnsiTheme="minorHAnsi" w:cstheme="minorBidi"/>
          <w:bCs w:val="0"/>
          <w:color w:val="auto"/>
          <w:sz w:val="20"/>
        </w:rPr>
        <w:t>The review sought to understand whether specialist school eligibility criteria and processes are practical and based on best practice. It also explored opportunities to improve issues. It looked into:</w:t>
      </w:r>
      <w:bookmarkEnd w:id="10"/>
      <w:r w:rsidRPr="00F31B57">
        <w:rPr>
          <w:rFonts w:asciiTheme="minorHAnsi" w:eastAsiaTheme="minorHAnsi" w:hAnsiTheme="minorHAnsi" w:cstheme="minorBidi"/>
          <w:bCs w:val="0"/>
          <w:color w:val="auto"/>
          <w:sz w:val="20"/>
        </w:rPr>
        <w:t xml:space="preserve"> </w:t>
      </w:r>
    </w:p>
    <w:p w14:paraId="0C4B3C59" w14:textId="77777777" w:rsidR="005E4A6A" w:rsidRPr="00F31B57" w:rsidRDefault="005E4A6A" w:rsidP="005E4A6A">
      <w:pPr>
        <w:pStyle w:val="Heading3"/>
        <w:rPr>
          <w:rFonts w:asciiTheme="minorHAnsi" w:eastAsiaTheme="minorHAnsi" w:hAnsiTheme="minorHAnsi" w:cstheme="minorBidi"/>
          <w:bCs w:val="0"/>
          <w:color w:val="auto"/>
          <w:sz w:val="20"/>
        </w:rPr>
      </w:pPr>
      <w:bookmarkStart w:id="11" w:name="_Toc209685575"/>
      <w:r w:rsidRPr="00F31B57">
        <w:rPr>
          <w:rFonts w:asciiTheme="minorHAnsi" w:eastAsiaTheme="minorHAnsi" w:hAnsiTheme="minorHAnsi" w:cstheme="minorBidi"/>
          <w:bCs w:val="0"/>
          <w:color w:val="auto"/>
          <w:sz w:val="20"/>
        </w:rPr>
        <w:t>•</w:t>
      </w:r>
      <w:r w:rsidRPr="00F31B57">
        <w:rPr>
          <w:rFonts w:asciiTheme="minorHAnsi" w:eastAsiaTheme="minorHAnsi" w:hAnsiTheme="minorHAnsi" w:cstheme="minorBidi"/>
          <w:bCs w:val="0"/>
          <w:color w:val="auto"/>
          <w:sz w:val="20"/>
        </w:rPr>
        <w:tab/>
        <w:t>current diagnostic thresholds (or cut-offs)</w:t>
      </w:r>
      <w:bookmarkEnd w:id="11"/>
    </w:p>
    <w:p w14:paraId="3D56CC38" w14:textId="77777777" w:rsidR="005E4A6A" w:rsidRPr="00F31B57" w:rsidRDefault="005E4A6A" w:rsidP="005E4A6A">
      <w:pPr>
        <w:pStyle w:val="Heading3"/>
        <w:rPr>
          <w:rFonts w:asciiTheme="minorHAnsi" w:eastAsiaTheme="minorHAnsi" w:hAnsiTheme="minorHAnsi" w:cstheme="minorBidi"/>
          <w:bCs w:val="0"/>
          <w:color w:val="auto"/>
          <w:sz w:val="20"/>
        </w:rPr>
      </w:pPr>
      <w:bookmarkStart w:id="12" w:name="_Toc209685576"/>
      <w:r w:rsidRPr="00F31B57">
        <w:rPr>
          <w:rFonts w:asciiTheme="minorHAnsi" w:eastAsiaTheme="minorHAnsi" w:hAnsiTheme="minorHAnsi" w:cstheme="minorBidi"/>
          <w:bCs w:val="0"/>
          <w:color w:val="auto"/>
          <w:sz w:val="20"/>
        </w:rPr>
        <w:t>•</w:t>
      </w:r>
      <w:r w:rsidRPr="00F31B57">
        <w:rPr>
          <w:rFonts w:asciiTheme="minorHAnsi" w:eastAsiaTheme="minorHAnsi" w:hAnsiTheme="minorHAnsi" w:cstheme="minorBidi"/>
          <w:bCs w:val="0"/>
          <w:color w:val="auto"/>
          <w:sz w:val="20"/>
        </w:rPr>
        <w:tab/>
        <w:t>how user-friendly the eligibility process is</w:t>
      </w:r>
      <w:bookmarkEnd w:id="12"/>
    </w:p>
    <w:p w14:paraId="45E5486D" w14:textId="77777777" w:rsidR="005E4A6A" w:rsidRDefault="005E4A6A" w:rsidP="005E4A6A">
      <w:pPr>
        <w:pStyle w:val="Heading3"/>
        <w:rPr>
          <w:rFonts w:asciiTheme="minorHAnsi" w:eastAsiaTheme="minorHAnsi" w:hAnsiTheme="minorHAnsi" w:cstheme="minorBidi"/>
          <w:bCs w:val="0"/>
          <w:color w:val="auto"/>
          <w:sz w:val="20"/>
        </w:rPr>
      </w:pPr>
      <w:bookmarkStart w:id="13" w:name="_Toc209685577"/>
      <w:r w:rsidRPr="00F31B57">
        <w:rPr>
          <w:rFonts w:asciiTheme="minorHAnsi" w:eastAsiaTheme="minorHAnsi" w:hAnsiTheme="minorHAnsi" w:cstheme="minorBidi"/>
          <w:bCs w:val="0"/>
          <w:color w:val="auto"/>
          <w:sz w:val="20"/>
        </w:rPr>
        <w:t>•</w:t>
      </w:r>
      <w:r w:rsidRPr="00F31B57">
        <w:rPr>
          <w:rFonts w:asciiTheme="minorHAnsi" w:eastAsiaTheme="minorHAnsi" w:hAnsiTheme="minorHAnsi" w:cstheme="minorBidi"/>
          <w:bCs w:val="0"/>
          <w:color w:val="auto"/>
          <w:sz w:val="20"/>
        </w:rPr>
        <w:tab/>
        <w:t>barriers for students enrolling in their chosen schools.</w:t>
      </w:r>
      <w:bookmarkEnd w:id="13"/>
    </w:p>
    <w:p w14:paraId="08184D66" w14:textId="77777777" w:rsidR="005E4A6A" w:rsidRDefault="005E4A6A" w:rsidP="005E4A6A">
      <w:pPr>
        <w:spacing w:before="360" w:line="240" w:lineRule="exact"/>
      </w:pPr>
    </w:p>
    <w:p w14:paraId="275E06B1" w14:textId="77777777" w:rsidR="005E4A6A" w:rsidRPr="001B78D5" w:rsidRDefault="005E4A6A" w:rsidP="005E4A6A">
      <w:pPr>
        <w:pStyle w:val="Heading2"/>
      </w:pPr>
      <w:bookmarkStart w:id="14" w:name="_Toc209015149"/>
      <w:bookmarkStart w:id="15" w:name="_Toc209685578"/>
      <w:bookmarkEnd w:id="7"/>
      <w:r>
        <w:lastRenderedPageBreak/>
        <w:t>How the review was undertaken</w:t>
      </w:r>
      <w:bookmarkEnd w:id="14"/>
      <w:bookmarkEnd w:id="15"/>
    </w:p>
    <w:p w14:paraId="5D337676" w14:textId="3997DDA1" w:rsidR="005E4A6A" w:rsidRDefault="005E4A6A" w:rsidP="005E4A6A">
      <w:pPr>
        <w:pStyle w:val="Heading3"/>
        <w:rPr>
          <w:rFonts w:asciiTheme="minorHAnsi" w:eastAsiaTheme="minorHAnsi" w:hAnsiTheme="minorHAnsi" w:cstheme="minorBidi"/>
          <w:bCs w:val="0"/>
          <w:color w:val="auto"/>
          <w:sz w:val="20"/>
        </w:rPr>
      </w:pPr>
      <w:bookmarkStart w:id="16" w:name="_Toc209015150"/>
      <w:bookmarkStart w:id="17" w:name="_Toc209685579"/>
      <w:r w:rsidRPr="00DC6FFF">
        <w:rPr>
          <w:rFonts w:asciiTheme="minorHAnsi" w:eastAsiaTheme="minorHAnsi" w:hAnsiTheme="minorHAnsi" w:cstheme="minorBidi"/>
          <w:bCs w:val="0"/>
          <w:color w:val="auto"/>
          <w:sz w:val="20"/>
        </w:rPr>
        <w:t xml:space="preserve">Ernst &amp; Young carried out the review. It included a literature review, </w:t>
      </w:r>
      <w:r w:rsidR="00AF79ED">
        <w:rPr>
          <w:rFonts w:asciiTheme="minorHAnsi" w:eastAsiaTheme="minorHAnsi" w:hAnsiTheme="minorHAnsi" w:cstheme="minorBidi"/>
          <w:bCs w:val="0"/>
          <w:color w:val="auto"/>
          <w:sz w:val="20"/>
        </w:rPr>
        <w:t xml:space="preserve">seeing how things work in other </w:t>
      </w:r>
      <w:r w:rsidR="00191E00">
        <w:rPr>
          <w:rFonts w:asciiTheme="minorHAnsi" w:eastAsiaTheme="minorHAnsi" w:hAnsiTheme="minorHAnsi" w:cstheme="minorBidi"/>
          <w:bCs w:val="0"/>
          <w:color w:val="auto"/>
          <w:sz w:val="20"/>
        </w:rPr>
        <w:t>states and countries</w:t>
      </w:r>
      <w:r w:rsidRPr="00DC6FFF">
        <w:rPr>
          <w:rFonts w:asciiTheme="minorHAnsi" w:eastAsiaTheme="minorHAnsi" w:hAnsiTheme="minorHAnsi" w:cstheme="minorBidi"/>
          <w:bCs w:val="0"/>
          <w:color w:val="auto"/>
          <w:sz w:val="20"/>
        </w:rPr>
        <w:t>, and stakeholder consultations. An advisory group guided the process. It was made up of people with disability, clinicians, principals and department representatives. The review was completed in October 2024.</w:t>
      </w:r>
      <w:bookmarkEnd w:id="16"/>
      <w:bookmarkEnd w:id="17"/>
    </w:p>
    <w:p w14:paraId="1A54759F" w14:textId="77777777" w:rsidR="005E4A6A" w:rsidRPr="001B78D5" w:rsidRDefault="005E4A6A" w:rsidP="005E4A6A">
      <w:pPr>
        <w:pStyle w:val="Heading2"/>
      </w:pPr>
      <w:bookmarkStart w:id="18" w:name="_Toc209015151"/>
      <w:bookmarkStart w:id="19" w:name="_Toc209685580"/>
      <w:r>
        <w:t>Review findings</w:t>
      </w:r>
      <w:bookmarkEnd w:id="18"/>
      <w:bookmarkEnd w:id="19"/>
    </w:p>
    <w:p w14:paraId="353105B1" w14:textId="1285DCA9" w:rsidR="005E4A6A" w:rsidRPr="00CF28E5" w:rsidRDefault="005E4A6A" w:rsidP="41202B4C">
      <w:pPr>
        <w:pStyle w:val="Heading2"/>
        <w:rPr>
          <w:rFonts w:asciiTheme="minorHAnsi" w:eastAsiaTheme="minorEastAsia" w:hAnsiTheme="minorHAnsi" w:cstheme="minorBidi"/>
          <w:color w:val="auto"/>
          <w:sz w:val="20"/>
          <w:szCs w:val="20"/>
        </w:rPr>
      </w:pPr>
      <w:bookmarkStart w:id="20" w:name="_Toc209015152"/>
      <w:bookmarkStart w:id="21" w:name="_Toc209685581"/>
      <w:r w:rsidRPr="41202B4C">
        <w:rPr>
          <w:rFonts w:asciiTheme="minorHAnsi" w:eastAsiaTheme="minorEastAsia" w:hAnsiTheme="minorHAnsi" w:cstheme="minorBidi"/>
          <w:color w:val="auto"/>
          <w:sz w:val="20"/>
          <w:szCs w:val="20"/>
        </w:rPr>
        <w:t xml:space="preserve">The review revealed that the current eligibility process helps schools to provide targeted programs. Yet, many parents and carers find the process complex and stressful. They believe there is a lack of clear information </w:t>
      </w:r>
      <w:r w:rsidR="00191E00" w:rsidRPr="41202B4C">
        <w:rPr>
          <w:rFonts w:asciiTheme="minorHAnsi" w:eastAsiaTheme="minorEastAsia" w:hAnsiTheme="minorHAnsi" w:cstheme="minorBidi"/>
          <w:color w:val="auto"/>
          <w:sz w:val="20"/>
          <w:szCs w:val="20"/>
        </w:rPr>
        <w:t xml:space="preserve">about </w:t>
      </w:r>
      <w:r w:rsidRPr="41202B4C">
        <w:rPr>
          <w:rFonts w:asciiTheme="minorHAnsi" w:eastAsiaTheme="minorEastAsia" w:hAnsiTheme="minorHAnsi" w:cstheme="minorBidi"/>
          <w:color w:val="auto"/>
          <w:sz w:val="20"/>
          <w:szCs w:val="20"/>
        </w:rPr>
        <w:t xml:space="preserve">enrolment. A more complete understanding of educational needs is necessary </w:t>
      </w:r>
      <w:r w:rsidR="00191E00" w:rsidRPr="41202B4C">
        <w:rPr>
          <w:rFonts w:asciiTheme="minorHAnsi" w:eastAsiaTheme="minorEastAsia" w:hAnsiTheme="minorHAnsi" w:cstheme="minorBidi"/>
          <w:color w:val="auto"/>
          <w:sz w:val="20"/>
          <w:szCs w:val="20"/>
        </w:rPr>
        <w:t>to guide</w:t>
      </w:r>
      <w:r w:rsidRPr="41202B4C">
        <w:rPr>
          <w:rFonts w:asciiTheme="minorHAnsi" w:eastAsiaTheme="minorEastAsia" w:hAnsiTheme="minorHAnsi" w:cstheme="minorBidi"/>
          <w:color w:val="auto"/>
          <w:sz w:val="20"/>
          <w:szCs w:val="20"/>
        </w:rPr>
        <w:t xml:space="preserve"> enrolment decisions.</w:t>
      </w:r>
      <w:bookmarkEnd w:id="20"/>
      <w:bookmarkEnd w:id="21"/>
    </w:p>
    <w:p w14:paraId="34B4223B" w14:textId="77777777" w:rsidR="005E4A6A" w:rsidRPr="00CF28E5" w:rsidRDefault="005E4A6A" w:rsidP="005E4A6A">
      <w:pPr>
        <w:pStyle w:val="Heading2"/>
        <w:rPr>
          <w:rFonts w:asciiTheme="minorHAnsi" w:eastAsiaTheme="minorHAnsi" w:hAnsiTheme="minorHAnsi" w:cstheme="minorBidi"/>
          <w:color w:val="auto"/>
          <w:sz w:val="20"/>
          <w:szCs w:val="20"/>
        </w:rPr>
      </w:pPr>
      <w:bookmarkStart w:id="22" w:name="_Toc209015153"/>
      <w:bookmarkStart w:id="23" w:name="_Toc209685582"/>
      <w:r w:rsidRPr="00CF28E5">
        <w:rPr>
          <w:rFonts w:asciiTheme="minorHAnsi" w:eastAsiaTheme="minorHAnsi" w:hAnsiTheme="minorHAnsi" w:cstheme="minorBidi"/>
          <w:color w:val="auto"/>
          <w:sz w:val="20"/>
          <w:szCs w:val="20"/>
        </w:rPr>
        <w:t>Specifically, the eligibility determination and enrolment processes:</w:t>
      </w:r>
      <w:bookmarkEnd w:id="22"/>
      <w:bookmarkEnd w:id="23"/>
    </w:p>
    <w:p w14:paraId="7D91FD7B" w14:textId="77777777" w:rsidR="005E4A6A" w:rsidRPr="00CF28E5" w:rsidRDefault="005E4A6A" w:rsidP="005E4A6A">
      <w:pPr>
        <w:pStyle w:val="Heading2"/>
        <w:rPr>
          <w:rFonts w:asciiTheme="minorHAnsi" w:eastAsiaTheme="minorHAnsi" w:hAnsiTheme="minorHAnsi" w:cstheme="minorBidi"/>
          <w:color w:val="auto"/>
          <w:sz w:val="20"/>
          <w:szCs w:val="20"/>
        </w:rPr>
      </w:pPr>
      <w:bookmarkStart w:id="24" w:name="_Toc209015154"/>
      <w:bookmarkStart w:id="25" w:name="_Toc209685583"/>
      <w:r w:rsidRPr="00CF28E5">
        <w:rPr>
          <w:rFonts w:asciiTheme="minorHAnsi" w:eastAsiaTheme="minorHAnsi" w:hAnsiTheme="minorHAnsi" w:cstheme="minorBidi"/>
          <w:color w:val="auto"/>
          <w:sz w:val="20"/>
          <w:szCs w:val="20"/>
        </w:rPr>
        <w:t>•</w:t>
      </w:r>
      <w:r w:rsidRPr="00CF28E5">
        <w:rPr>
          <w:rFonts w:asciiTheme="minorHAnsi" w:eastAsiaTheme="minorHAnsi" w:hAnsiTheme="minorHAnsi" w:cstheme="minorBidi"/>
          <w:color w:val="auto"/>
          <w:sz w:val="20"/>
          <w:szCs w:val="20"/>
        </w:rPr>
        <w:tab/>
        <w:t>lack clear information and communication</w:t>
      </w:r>
      <w:bookmarkEnd w:id="24"/>
      <w:bookmarkEnd w:id="25"/>
      <w:r w:rsidRPr="00CF28E5">
        <w:rPr>
          <w:rFonts w:asciiTheme="minorHAnsi" w:eastAsiaTheme="minorHAnsi" w:hAnsiTheme="minorHAnsi" w:cstheme="minorBidi"/>
          <w:color w:val="auto"/>
          <w:sz w:val="20"/>
          <w:szCs w:val="20"/>
        </w:rPr>
        <w:t xml:space="preserve"> </w:t>
      </w:r>
    </w:p>
    <w:p w14:paraId="64B665E5" w14:textId="77777777" w:rsidR="005E4A6A" w:rsidRPr="00CF28E5" w:rsidRDefault="005E4A6A" w:rsidP="005E4A6A">
      <w:pPr>
        <w:pStyle w:val="Heading2"/>
        <w:rPr>
          <w:rFonts w:asciiTheme="minorHAnsi" w:eastAsiaTheme="minorHAnsi" w:hAnsiTheme="minorHAnsi" w:cstheme="minorBidi"/>
          <w:color w:val="auto"/>
          <w:sz w:val="20"/>
          <w:szCs w:val="20"/>
        </w:rPr>
      </w:pPr>
      <w:bookmarkStart w:id="26" w:name="_Toc209015155"/>
      <w:bookmarkStart w:id="27" w:name="_Toc209685584"/>
      <w:r w:rsidRPr="00CF28E5">
        <w:rPr>
          <w:rFonts w:asciiTheme="minorHAnsi" w:eastAsiaTheme="minorHAnsi" w:hAnsiTheme="minorHAnsi" w:cstheme="minorBidi"/>
          <w:color w:val="auto"/>
          <w:sz w:val="20"/>
          <w:szCs w:val="20"/>
        </w:rPr>
        <w:t>•</w:t>
      </w:r>
      <w:r w:rsidRPr="00CF28E5">
        <w:rPr>
          <w:rFonts w:asciiTheme="minorHAnsi" w:eastAsiaTheme="minorHAnsi" w:hAnsiTheme="minorHAnsi" w:cstheme="minorBidi"/>
          <w:color w:val="auto"/>
          <w:sz w:val="20"/>
          <w:szCs w:val="20"/>
        </w:rPr>
        <w:tab/>
        <w:t>can be complex, confusing, time-consuming, and stressful for parents and carers</w:t>
      </w:r>
      <w:bookmarkEnd w:id="26"/>
      <w:bookmarkEnd w:id="27"/>
      <w:r w:rsidRPr="00CF28E5">
        <w:rPr>
          <w:rFonts w:asciiTheme="minorHAnsi" w:eastAsiaTheme="minorHAnsi" w:hAnsiTheme="minorHAnsi" w:cstheme="minorBidi"/>
          <w:color w:val="auto"/>
          <w:sz w:val="20"/>
          <w:szCs w:val="20"/>
        </w:rPr>
        <w:t xml:space="preserve"> </w:t>
      </w:r>
    </w:p>
    <w:p w14:paraId="446FF91A" w14:textId="77777777" w:rsidR="005E4A6A" w:rsidRPr="00CF28E5" w:rsidRDefault="005E4A6A" w:rsidP="005E4A6A">
      <w:pPr>
        <w:pStyle w:val="Heading2"/>
        <w:rPr>
          <w:rFonts w:asciiTheme="minorHAnsi" w:eastAsiaTheme="minorHAnsi" w:hAnsiTheme="minorHAnsi" w:cstheme="minorBidi"/>
          <w:color w:val="auto"/>
          <w:sz w:val="20"/>
          <w:szCs w:val="20"/>
        </w:rPr>
      </w:pPr>
      <w:bookmarkStart w:id="28" w:name="_Toc209015156"/>
      <w:bookmarkStart w:id="29" w:name="_Toc209685585"/>
      <w:r w:rsidRPr="00CF28E5">
        <w:rPr>
          <w:rFonts w:asciiTheme="minorHAnsi" w:eastAsiaTheme="minorHAnsi" w:hAnsiTheme="minorHAnsi" w:cstheme="minorBidi"/>
          <w:color w:val="auto"/>
          <w:sz w:val="20"/>
          <w:szCs w:val="20"/>
        </w:rPr>
        <w:t>•</w:t>
      </w:r>
      <w:r w:rsidRPr="00CF28E5">
        <w:rPr>
          <w:rFonts w:asciiTheme="minorHAnsi" w:eastAsiaTheme="minorHAnsi" w:hAnsiTheme="minorHAnsi" w:cstheme="minorBidi"/>
          <w:color w:val="auto"/>
          <w:sz w:val="20"/>
          <w:szCs w:val="20"/>
        </w:rPr>
        <w:tab/>
        <w:t>do not always provide a complete view of a child's educational needs.</w:t>
      </w:r>
      <w:bookmarkEnd w:id="28"/>
      <w:bookmarkEnd w:id="29"/>
    </w:p>
    <w:p w14:paraId="16B43E67" w14:textId="77777777" w:rsidR="005E4A6A" w:rsidRPr="00CF28E5" w:rsidRDefault="005E4A6A" w:rsidP="005E4A6A">
      <w:pPr>
        <w:pStyle w:val="Heading2"/>
        <w:rPr>
          <w:rFonts w:asciiTheme="minorHAnsi" w:eastAsiaTheme="minorHAnsi" w:hAnsiTheme="minorHAnsi" w:cstheme="minorBidi"/>
          <w:color w:val="auto"/>
          <w:sz w:val="20"/>
          <w:szCs w:val="20"/>
        </w:rPr>
      </w:pPr>
      <w:bookmarkStart w:id="30" w:name="_Toc209015157"/>
      <w:bookmarkStart w:id="31" w:name="_Toc209685586"/>
      <w:r w:rsidRPr="00CF28E5">
        <w:rPr>
          <w:rFonts w:asciiTheme="minorHAnsi" w:eastAsiaTheme="minorHAnsi" w:hAnsiTheme="minorHAnsi" w:cstheme="minorBidi"/>
          <w:color w:val="auto"/>
          <w:sz w:val="20"/>
          <w:szCs w:val="20"/>
        </w:rPr>
        <w:t xml:space="preserve">The review also found gaps in eligibility and enrolment data. Data collection varies </w:t>
      </w:r>
      <w:r>
        <w:rPr>
          <w:rFonts w:asciiTheme="minorHAnsi" w:eastAsiaTheme="minorHAnsi" w:hAnsiTheme="minorHAnsi" w:cstheme="minorBidi"/>
          <w:color w:val="auto"/>
          <w:sz w:val="20"/>
          <w:szCs w:val="20"/>
        </w:rPr>
        <w:t>within the department</w:t>
      </w:r>
      <w:r w:rsidRPr="00CF28E5">
        <w:rPr>
          <w:rFonts w:asciiTheme="minorHAnsi" w:eastAsiaTheme="minorHAnsi" w:hAnsiTheme="minorHAnsi" w:cstheme="minorBidi"/>
          <w:color w:val="auto"/>
          <w:sz w:val="20"/>
          <w:szCs w:val="20"/>
        </w:rPr>
        <w:t xml:space="preserve">. There are </w:t>
      </w:r>
      <w:r>
        <w:rPr>
          <w:rFonts w:asciiTheme="minorHAnsi" w:eastAsiaTheme="minorHAnsi" w:hAnsiTheme="minorHAnsi" w:cstheme="minorBidi"/>
          <w:color w:val="auto"/>
          <w:sz w:val="20"/>
          <w:szCs w:val="20"/>
        </w:rPr>
        <w:t xml:space="preserve">also </w:t>
      </w:r>
      <w:r w:rsidRPr="00CF28E5">
        <w:rPr>
          <w:rFonts w:asciiTheme="minorHAnsi" w:eastAsiaTheme="minorHAnsi" w:hAnsiTheme="minorHAnsi" w:cstheme="minorBidi"/>
          <w:color w:val="auto"/>
          <w:sz w:val="20"/>
          <w:szCs w:val="20"/>
        </w:rPr>
        <w:t xml:space="preserve">issues with oversight of data </w:t>
      </w:r>
      <w:bookmarkEnd w:id="30"/>
      <w:r>
        <w:rPr>
          <w:rFonts w:asciiTheme="minorHAnsi" w:eastAsiaTheme="minorHAnsi" w:hAnsiTheme="minorHAnsi" w:cstheme="minorBidi"/>
          <w:color w:val="auto"/>
          <w:sz w:val="20"/>
          <w:szCs w:val="20"/>
        </w:rPr>
        <w:t>within the department.</w:t>
      </w:r>
      <w:bookmarkEnd w:id="31"/>
      <w:r>
        <w:rPr>
          <w:rFonts w:asciiTheme="minorHAnsi" w:eastAsiaTheme="minorHAnsi" w:hAnsiTheme="minorHAnsi" w:cstheme="minorBidi"/>
          <w:color w:val="auto"/>
          <w:sz w:val="20"/>
          <w:szCs w:val="20"/>
        </w:rPr>
        <w:t xml:space="preserve"> </w:t>
      </w:r>
    </w:p>
    <w:p w14:paraId="1BCAB4BC" w14:textId="77777777" w:rsidR="005E4A6A" w:rsidRDefault="005E4A6A" w:rsidP="005E4A6A">
      <w:pPr>
        <w:pStyle w:val="Heading2"/>
        <w:rPr>
          <w:rFonts w:asciiTheme="minorHAnsi" w:eastAsiaTheme="minorHAnsi" w:hAnsiTheme="minorHAnsi" w:cstheme="minorBidi"/>
          <w:color w:val="auto"/>
          <w:sz w:val="20"/>
          <w:szCs w:val="20"/>
        </w:rPr>
      </w:pPr>
      <w:bookmarkStart w:id="32" w:name="_Toc209015158"/>
      <w:bookmarkStart w:id="33" w:name="_Toc209685587"/>
      <w:r w:rsidRPr="00CF28E5">
        <w:rPr>
          <w:rFonts w:asciiTheme="minorHAnsi" w:eastAsiaTheme="minorHAnsi" w:hAnsiTheme="minorHAnsi" w:cstheme="minorBidi"/>
          <w:color w:val="auto"/>
          <w:sz w:val="20"/>
          <w:szCs w:val="20"/>
        </w:rPr>
        <w:t>The review identified 11 key findings. They show what parents, carers, and students are concerned about in specialist school enrolments. They relate to information, eligibility criteria, processes, and data collection. Read the key findings in Table 1.</w:t>
      </w:r>
      <w:bookmarkEnd w:id="32"/>
      <w:bookmarkEnd w:id="33"/>
      <w:r w:rsidRPr="00CF28E5">
        <w:rPr>
          <w:rFonts w:asciiTheme="minorHAnsi" w:eastAsiaTheme="minorHAnsi" w:hAnsiTheme="minorHAnsi" w:cstheme="minorBidi"/>
          <w:color w:val="auto"/>
          <w:sz w:val="20"/>
          <w:szCs w:val="20"/>
        </w:rPr>
        <w:t xml:space="preserve"> </w:t>
      </w:r>
    </w:p>
    <w:p w14:paraId="5ECACEBB" w14:textId="77777777" w:rsidR="00720B36" w:rsidRPr="00720B36" w:rsidRDefault="00720B36" w:rsidP="00720B36"/>
    <w:p w14:paraId="6BEBBA02" w14:textId="77777777" w:rsidR="00946DF3" w:rsidRDefault="00946DF3" w:rsidP="00946DF3">
      <w:pPr>
        <w:pStyle w:val="Heading5"/>
      </w:pPr>
      <w:r>
        <w:t>Table 1. Key findings of the review</w:t>
      </w:r>
    </w:p>
    <w:p w14:paraId="4D4BE0A7" w14:textId="77777777" w:rsidR="00946DF3" w:rsidRPr="00FD7F19" w:rsidRDefault="00946DF3" w:rsidP="00946DF3"/>
    <w:tbl>
      <w:tblPr>
        <w:tblStyle w:val="TableGrid"/>
        <w:tblW w:w="0" w:type="auto"/>
        <w:tblLook w:val="04A0" w:firstRow="1" w:lastRow="0" w:firstColumn="1" w:lastColumn="0" w:noHBand="0" w:noVBand="1"/>
      </w:tblPr>
      <w:tblGrid>
        <w:gridCol w:w="2030"/>
        <w:gridCol w:w="6943"/>
      </w:tblGrid>
      <w:tr w:rsidR="00946DF3" w14:paraId="2D648ED8" w14:textId="77777777" w:rsidTr="05026582">
        <w:trPr>
          <w:cnfStyle w:val="100000000000" w:firstRow="1" w:lastRow="0" w:firstColumn="0" w:lastColumn="0" w:oddVBand="0" w:evenVBand="0" w:oddHBand="0" w:evenHBand="0" w:firstRowFirstColumn="0" w:firstRowLastColumn="0" w:lastRowFirstColumn="0" w:lastRowLastColumn="0"/>
          <w:trHeight w:val="478"/>
          <w:tblHeader/>
        </w:trPr>
        <w:tc>
          <w:tcPr>
            <w:cnfStyle w:val="001000000000" w:firstRow="0" w:lastRow="0" w:firstColumn="1" w:lastColumn="0" w:oddVBand="0" w:evenVBand="0" w:oddHBand="0" w:evenHBand="0" w:firstRowFirstColumn="0" w:firstRowLastColumn="0" w:lastRowFirstColumn="0" w:lastRowLastColumn="0"/>
            <w:tcW w:w="2030" w:type="dxa"/>
            <w:tcBorders>
              <w:top w:val="nil"/>
              <w:left w:val="nil"/>
              <w:bottom w:val="single" w:sz="4" w:space="0" w:color="1F1646" w:themeColor="accent3"/>
              <w:right w:val="single" w:sz="4" w:space="0" w:color="CFF0F2" w:themeColor="accent6" w:themeTint="66"/>
            </w:tcBorders>
          </w:tcPr>
          <w:p w14:paraId="72F63F4E" w14:textId="77777777" w:rsidR="00946DF3" w:rsidRPr="00CD0C81" w:rsidRDefault="00946DF3" w:rsidP="00B308D3">
            <w:pPr>
              <w:pStyle w:val="TableHead"/>
              <w:rPr>
                <w:b/>
              </w:rPr>
            </w:pPr>
            <w:r w:rsidRPr="002E70C8">
              <w:rPr>
                <w:rFonts w:ascii="Arial" w:hAnsi="Arial" w:cs="Arial"/>
                <w:b/>
              </w:rPr>
              <w:t>Theme</w:t>
            </w:r>
          </w:p>
        </w:tc>
        <w:tc>
          <w:tcPr>
            <w:tcW w:w="6943" w:type="dxa"/>
            <w:tcBorders>
              <w:top w:val="nil"/>
              <w:left w:val="single" w:sz="4" w:space="0" w:color="CFF0F2" w:themeColor="accent6" w:themeTint="66"/>
              <w:bottom w:val="single" w:sz="4" w:space="0" w:color="1F1646" w:themeColor="accent3"/>
            </w:tcBorders>
          </w:tcPr>
          <w:p w14:paraId="6BE78EF7" w14:textId="77777777" w:rsidR="00946DF3" w:rsidRPr="00FD5DFD" w:rsidRDefault="00946DF3" w:rsidP="00B308D3">
            <w:pPr>
              <w:cnfStyle w:val="100000000000" w:firstRow="1" w:lastRow="0" w:firstColumn="0" w:lastColumn="0" w:oddVBand="0" w:evenVBand="0" w:oddHBand="0" w:evenHBand="0" w:firstRowFirstColumn="0" w:firstRowLastColumn="0" w:lastRowFirstColumn="0" w:lastRowLastColumn="0"/>
              <w:rPr>
                <w:rFonts w:ascii="Arial" w:hAnsi="Arial" w:cs="Arial"/>
                <w:b w:val="0"/>
                <w:bCs/>
              </w:rPr>
            </w:pPr>
            <w:r w:rsidRPr="002E70C8">
              <w:rPr>
                <w:rFonts w:ascii="Arial" w:hAnsi="Arial" w:cs="Arial"/>
                <w:bCs/>
              </w:rPr>
              <w:t>Key Finding</w:t>
            </w:r>
          </w:p>
        </w:tc>
      </w:tr>
      <w:tr w:rsidR="00946DF3" w14:paraId="6B8C0126" w14:textId="77777777" w:rsidTr="05026582">
        <w:trPr>
          <w:trHeight w:val="466"/>
        </w:trPr>
        <w:tc>
          <w:tcPr>
            <w:cnfStyle w:val="001000000000" w:firstRow="0" w:lastRow="0" w:firstColumn="1" w:lastColumn="0" w:oddVBand="0" w:evenVBand="0" w:oddHBand="0" w:evenHBand="0" w:firstRowFirstColumn="0" w:firstRowLastColumn="0" w:lastRowFirstColumn="0" w:lastRowLastColumn="0"/>
            <w:tcW w:w="2030" w:type="dxa"/>
            <w:tcBorders>
              <w:top w:val="single" w:sz="4" w:space="0" w:color="1F1646" w:themeColor="accent3"/>
            </w:tcBorders>
          </w:tcPr>
          <w:p w14:paraId="05C8CAB7" w14:textId="77777777" w:rsidR="00946DF3" w:rsidRPr="00CD0C81" w:rsidRDefault="00946DF3" w:rsidP="00B308D3">
            <w:pPr>
              <w:pStyle w:val="TableHead"/>
            </w:pPr>
            <w:r>
              <w:rPr>
                <w:rFonts w:ascii="Arial" w:hAnsi="Arial" w:cs="Arial"/>
              </w:rPr>
              <w:t>Communication and information</w:t>
            </w:r>
          </w:p>
        </w:tc>
        <w:tc>
          <w:tcPr>
            <w:tcW w:w="6943" w:type="dxa"/>
            <w:tcBorders>
              <w:top w:val="single" w:sz="4" w:space="0" w:color="1F1646" w:themeColor="accent3"/>
            </w:tcBorders>
          </w:tcPr>
          <w:p w14:paraId="03158495" w14:textId="77777777" w:rsidR="00946DF3" w:rsidRPr="00276BF1" w:rsidRDefault="00946DF3" w:rsidP="00946DF3">
            <w:pPr>
              <w:pStyle w:val="ListParagraph"/>
              <w:numPr>
                <w:ilvl w:val="0"/>
                <w:numId w:val="22"/>
              </w:numPr>
              <w:cnfStyle w:val="000000000000" w:firstRow="0" w:lastRow="0" w:firstColumn="0" w:lastColumn="0" w:oddVBand="0" w:evenVBand="0" w:oddHBand="0" w:evenHBand="0" w:firstRowFirstColumn="0" w:firstRowLastColumn="0" w:lastRowFirstColumn="0" w:lastRowLastColumn="0"/>
            </w:pPr>
            <w:r w:rsidRPr="00276BF1">
              <w:rPr>
                <w:rFonts w:ascii="Arial" w:hAnsi="Arial" w:cs="Arial"/>
              </w:rPr>
              <w:t>It is difficult for parents/carers to access high-quality information about school options for their children with disability and high needs.</w:t>
            </w:r>
          </w:p>
        </w:tc>
      </w:tr>
      <w:tr w:rsidR="00946DF3" w14:paraId="68BFC4DF" w14:textId="77777777" w:rsidTr="05026582">
        <w:trPr>
          <w:trHeight w:val="478"/>
        </w:trPr>
        <w:tc>
          <w:tcPr>
            <w:cnfStyle w:val="001000000000" w:firstRow="0" w:lastRow="0" w:firstColumn="1" w:lastColumn="0" w:oddVBand="0" w:evenVBand="0" w:oddHBand="0" w:evenHBand="0" w:firstRowFirstColumn="0" w:firstRowLastColumn="0" w:lastRowFirstColumn="0" w:lastRowLastColumn="0"/>
            <w:tcW w:w="2030" w:type="dxa"/>
            <w:tcBorders>
              <w:top w:val="single" w:sz="4" w:space="0" w:color="1F1646" w:themeColor="accent3"/>
            </w:tcBorders>
          </w:tcPr>
          <w:p w14:paraId="7514F169" w14:textId="77777777" w:rsidR="00946DF3" w:rsidRPr="00CD0C81" w:rsidRDefault="00946DF3" w:rsidP="00B308D3">
            <w:pPr>
              <w:pStyle w:val="TableHead"/>
            </w:pPr>
            <w:r>
              <w:rPr>
                <w:rFonts w:ascii="Arial" w:hAnsi="Arial" w:cs="Arial"/>
              </w:rPr>
              <w:t>Eligibility Criteria</w:t>
            </w:r>
          </w:p>
        </w:tc>
        <w:tc>
          <w:tcPr>
            <w:tcW w:w="6943" w:type="dxa"/>
            <w:tcBorders>
              <w:top w:val="single" w:sz="4" w:space="0" w:color="1F1646" w:themeColor="accent3"/>
            </w:tcBorders>
          </w:tcPr>
          <w:p w14:paraId="3F7E3B8F" w14:textId="691756B4" w:rsidR="00946DF3" w:rsidRPr="00276BF1" w:rsidRDefault="00946DF3" w:rsidP="00946DF3">
            <w:pPr>
              <w:pStyle w:val="ListParagraph"/>
              <w:numPr>
                <w:ilvl w:val="0"/>
                <w:numId w:val="22"/>
              </w:numPr>
              <w:cnfStyle w:val="000000000000" w:firstRow="0" w:lastRow="0" w:firstColumn="0" w:lastColumn="0" w:oddVBand="0" w:evenVBand="0" w:oddHBand="0" w:evenHBand="0" w:firstRowFirstColumn="0" w:firstRowLastColumn="0" w:lastRowFirstColumn="0" w:lastRowLastColumn="0"/>
            </w:pPr>
            <w:r w:rsidRPr="05026582">
              <w:rPr>
                <w:rFonts w:ascii="Arial" w:hAnsi="Arial" w:cs="Arial"/>
              </w:rPr>
              <w:t xml:space="preserve">The current criteria for all specialist schools focus on </w:t>
            </w:r>
            <w:bookmarkStart w:id="34" w:name="_Int_i3BdFjLJ"/>
            <w:r w:rsidRPr="05026582">
              <w:rPr>
                <w:rFonts w:ascii="Arial" w:hAnsi="Arial" w:cs="Arial"/>
              </w:rPr>
              <w:t>diagnostic based</w:t>
            </w:r>
            <w:bookmarkEnd w:id="34"/>
            <w:r w:rsidRPr="05026582">
              <w:rPr>
                <w:rFonts w:ascii="Arial" w:hAnsi="Arial" w:cs="Arial"/>
              </w:rPr>
              <w:t xml:space="preserve"> information rather than a holistic evaluation of a child’s educational needs, making it difficult to </w:t>
            </w:r>
            <w:r w:rsidR="00A62916" w:rsidRPr="05026582">
              <w:rPr>
                <w:rFonts w:ascii="Arial" w:hAnsi="Arial" w:cs="Arial"/>
              </w:rPr>
              <w:t>appropriately enrol</w:t>
            </w:r>
            <w:r w:rsidRPr="05026582">
              <w:rPr>
                <w:rFonts w:ascii="Arial" w:hAnsi="Arial" w:cs="Arial"/>
              </w:rPr>
              <w:t xml:space="preserve"> a small number of students with complex needs.</w:t>
            </w:r>
          </w:p>
        </w:tc>
      </w:tr>
      <w:tr w:rsidR="00946DF3" w14:paraId="354283AB" w14:textId="77777777" w:rsidTr="05026582">
        <w:trPr>
          <w:trHeight w:val="466"/>
        </w:trPr>
        <w:tc>
          <w:tcPr>
            <w:cnfStyle w:val="001000000000" w:firstRow="0" w:lastRow="0" w:firstColumn="1" w:lastColumn="0" w:oddVBand="0" w:evenVBand="0" w:oddHBand="0" w:evenHBand="0" w:firstRowFirstColumn="0" w:firstRowLastColumn="0" w:lastRowFirstColumn="0" w:lastRowLastColumn="0"/>
            <w:tcW w:w="2030" w:type="dxa"/>
          </w:tcPr>
          <w:p w14:paraId="1FF09CBE" w14:textId="77777777" w:rsidR="00946DF3" w:rsidRPr="00CD0C81" w:rsidRDefault="00946DF3" w:rsidP="00B308D3">
            <w:pPr>
              <w:pStyle w:val="TableHead"/>
            </w:pPr>
          </w:p>
        </w:tc>
        <w:tc>
          <w:tcPr>
            <w:tcW w:w="6943" w:type="dxa"/>
            <w:tcBorders>
              <w:top w:val="single" w:sz="4" w:space="0" w:color="1F1646" w:themeColor="accent3"/>
            </w:tcBorders>
          </w:tcPr>
          <w:p w14:paraId="6CB9F6EB" w14:textId="77777777" w:rsidR="00946DF3" w:rsidRPr="00276BF1" w:rsidRDefault="00946DF3" w:rsidP="00946DF3">
            <w:pPr>
              <w:pStyle w:val="ListParagraph"/>
              <w:numPr>
                <w:ilvl w:val="0"/>
                <w:numId w:val="22"/>
              </w:numPr>
              <w:cnfStyle w:val="000000000000" w:firstRow="0" w:lastRow="0" w:firstColumn="0" w:lastColumn="0" w:oddVBand="0" w:evenVBand="0" w:oddHBand="0" w:evenHBand="0" w:firstRowFirstColumn="0" w:firstRowLastColumn="0" w:lastRowFirstColumn="0" w:lastRowLastColumn="0"/>
            </w:pPr>
            <w:r w:rsidRPr="00276BF1">
              <w:rPr>
                <w:rFonts w:ascii="Arial" w:hAnsi="Arial" w:cs="Arial"/>
              </w:rPr>
              <w:t xml:space="preserve">Non-standard enrolments allow students’ functional needs to be considered </w:t>
            </w:r>
            <w:r w:rsidRPr="00276BF1">
              <w:rPr>
                <w:rFonts w:ascii="Arial" w:hAnsi="Arial" w:cs="Arial"/>
                <w:lang w:val="en-GB"/>
              </w:rPr>
              <w:t>where they do not meet (diagnostic-based) eligibility criteria. But</w:t>
            </w:r>
            <w:r w:rsidRPr="00276BF1">
              <w:rPr>
                <w:rFonts w:ascii="Arial" w:hAnsi="Arial" w:cs="Arial"/>
              </w:rPr>
              <w:t xml:space="preserve"> the non-standard enrolment process can be applied inconsistently, and it can be confusing and burdensome.</w:t>
            </w:r>
          </w:p>
        </w:tc>
      </w:tr>
      <w:tr w:rsidR="00946DF3" w14:paraId="7D3F1F02" w14:textId="77777777" w:rsidTr="05026582">
        <w:trPr>
          <w:trHeight w:val="478"/>
        </w:trPr>
        <w:tc>
          <w:tcPr>
            <w:cnfStyle w:val="001000000000" w:firstRow="0" w:lastRow="0" w:firstColumn="1" w:lastColumn="0" w:oddVBand="0" w:evenVBand="0" w:oddHBand="0" w:evenHBand="0" w:firstRowFirstColumn="0" w:firstRowLastColumn="0" w:lastRowFirstColumn="0" w:lastRowLastColumn="0"/>
            <w:tcW w:w="2030" w:type="dxa"/>
          </w:tcPr>
          <w:p w14:paraId="53C1F8FB" w14:textId="77777777" w:rsidR="00946DF3" w:rsidRPr="00CD0C81" w:rsidRDefault="00946DF3" w:rsidP="00B308D3">
            <w:pPr>
              <w:pStyle w:val="TableHead"/>
            </w:pPr>
          </w:p>
        </w:tc>
        <w:tc>
          <w:tcPr>
            <w:tcW w:w="6943" w:type="dxa"/>
            <w:tcBorders>
              <w:top w:val="single" w:sz="4" w:space="0" w:color="1F1646" w:themeColor="accent3"/>
            </w:tcBorders>
          </w:tcPr>
          <w:p w14:paraId="5379A86C" w14:textId="77777777" w:rsidR="00946DF3" w:rsidRPr="00276BF1" w:rsidRDefault="00946DF3" w:rsidP="00946DF3">
            <w:pPr>
              <w:pStyle w:val="ListParagraph"/>
              <w:numPr>
                <w:ilvl w:val="0"/>
                <w:numId w:val="22"/>
              </w:numPr>
              <w:cnfStyle w:val="000000000000" w:firstRow="0" w:lastRow="0" w:firstColumn="0" w:lastColumn="0" w:oddVBand="0" w:evenVBand="0" w:oddHBand="0" w:evenHBand="0" w:firstRowFirstColumn="0" w:firstRowLastColumn="0" w:lastRowFirstColumn="0" w:lastRowLastColumn="0"/>
            </w:pPr>
            <w:r w:rsidRPr="00276BF1">
              <w:rPr>
                <w:rFonts w:ascii="Arial" w:hAnsi="Arial" w:cs="Arial"/>
              </w:rPr>
              <w:t>The eligibility criteria for schools for students with intellectual disability use specific score cut-offs, which risk excluding students who would benefit from specialist education support.</w:t>
            </w:r>
          </w:p>
        </w:tc>
      </w:tr>
      <w:tr w:rsidR="00946DF3" w14:paraId="69DAAEC2" w14:textId="77777777" w:rsidTr="05026582">
        <w:trPr>
          <w:trHeight w:val="466"/>
        </w:trPr>
        <w:tc>
          <w:tcPr>
            <w:cnfStyle w:val="001000000000" w:firstRow="0" w:lastRow="0" w:firstColumn="1" w:lastColumn="0" w:oddVBand="0" w:evenVBand="0" w:oddHBand="0" w:evenHBand="0" w:firstRowFirstColumn="0" w:firstRowLastColumn="0" w:lastRowFirstColumn="0" w:lastRowLastColumn="0"/>
            <w:tcW w:w="2030" w:type="dxa"/>
          </w:tcPr>
          <w:p w14:paraId="79957F84" w14:textId="77777777" w:rsidR="00946DF3" w:rsidRPr="00CD0C81" w:rsidRDefault="00946DF3" w:rsidP="00B308D3">
            <w:pPr>
              <w:pStyle w:val="TableHead"/>
            </w:pPr>
          </w:p>
        </w:tc>
        <w:tc>
          <w:tcPr>
            <w:tcW w:w="6943" w:type="dxa"/>
            <w:tcBorders>
              <w:top w:val="single" w:sz="4" w:space="0" w:color="1F1646" w:themeColor="accent3"/>
            </w:tcBorders>
          </w:tcPr>
          <w:p w14:paraId="7749EB74" w14:textId="6A9768B0" w:rsidR="00946DF3" w:rsidRPr="00276BF1" w:rsidRDefault="00946DF3" w:rsidP="00946DF3">
            <w:pPr>
              <w:pStyle w:val="ListParagraph"/>
              <w:numPr>
                <w:ilvl w:val="0"/>
                <w:numId w:val="22"/>
              </w:numPr>
              <w:cnfStyle w:val="000000000000" w:firstRow="0" w:lastRow="0" w:firstColumn="0" w:lastColumn="0" w:oddVBand="0" w:evenVBand="0" w:oddHBand="0" w:evenHBand="0" w:firstRowFirstColumn="0" w:firstRowLastColumn="0" w:lastRowFirstColumn="0" w:lastRowLastColumn="0"/>
            </w:pPr>
            <w:r w:rsidRPr="00276BF1">
              <w:rPr>
                <w:rFonts w:ascii="Arial" w:hAnsi="Arial" w:cs="Arial"/>
              </w:rPr>
              <w:t>The eligibility criteria for autism schools require evidence from a multidisciplinary diagnostic assessment, which can place significant burden on parents/carers.</w:t>
            </w:r>
          </w:p>
        </w:tc>
      </w:tr>
      <w:tr w:rsidR="00946DF3" w14:paraId="066079ED" w14:textId="77777777" w:rsidTr="05026582">
        <w:trPr>
          <w:trHeight w:val="478"/>
        </w:trPr>
        <w:tc>
          <w:tcPr>
            <w:cnfStyle w:val="001000000000" w:firstRow="0" w:lastRow="0" w:firstColumn="1" w:lastColumn="0" w:oddVBand="0" w:evenVBand="0" w:oddHBand="0" w:evenHBand="0" w:firstRowFirstColumn="0" w:firstRowLastColumn="0" w:lastRowFirstColumn="0" w:lastRowLastColumn="0"/>
            <w:tcW w:w="2030" w:type="dxa"/>
          </w:tcPr>
          <w:p w14:paraId="056F3ECB" w14:textId="77777777" w:rsidR="00946DF3" w:rsidRPr="00CD0C81" w:rsidRDefault="00946DF3" w:rsidP="00B308D3">
            <w:pPr>
              <w:pStyle w:val="TableHead"/>
            </w:pPr>
          </w:p>
        </w:tc>
        <w:tc>
          <w:tcPr>
            <w:tcW w:w="6943" w:type="dxa"/>
            <w:tcBorders>
              <w:top w:val="single" w:sz="4" w:space="0" w:color="1F1646" w:themeColor="accent3"/>
            </w:tcBorders>
          </w:tcPr>
          <w:p w14:paraId="17C89DF5" w14:textId="77777777" w:rsidR="00946DF3" w:rsidRPr="00276BF1" w:rsidRDefault="00946DF3" w:rsidP="00946DF3">
            <w:pPr>
              <w:pStyle w:val="ListParagraph"/>
              <w:numPr>
                <w:ilvl w:val="0"/>
                <w:numId w:val="22"/>
              </w:numPr>
              <w:cnfStyle w:val="000000000000" w:firstRow="0" w:lastRow="0" w:firstColumn="0" w:lastColumn="0" w:oddVBand="0" w:evenVBand="0" w:oddHBand="0" w:evenHBand="0" w:firstRowFirstColumn="0" w:firstRowLastColumn="0" w:lastRowFirstColumn="0" w:lastRowLastColumn="0"/>
            </w:pPr>
            <w:r w:rsidRPr="00276BF1">
              <w:rPr>
                <w:rFonts w:ascii="Arial" w:hAnsi="Arial" w:cs="Arial"/>
              </w:rPr>
              <w:t>Eligibility criteria for schools for students with physical disability are often interpreted as requiring evidence from paediatricians, which is difficult to obtain.</w:t>
            </w:r>
          </w:p>
        </w:tc>
      </w:tr>
      <w:tr w:rsidR="00946DF3" w14:paraId="5E4B8670" w14:textId="77777777" w:rsidTr="05026582">
        <w:trPr>
          <w:trHeight w:val="466"/>
        </w:trPr>
        <w:tc>
          <w:tcPr>
            <w:cnfStyle w:val="001000000000" w:firstRow="0" w:lastRow="0" w:firstColumn="1" w:lastColumn="0" w:oddVBand="0" w:evenVBand="0" w:oddHBand="0" w:evenHBand="0" w:firstRowFirstColumn="0" w:firstRowLastColumn="0" w:lastRowFirstColumn="0" w:lastRowLastColumn="0"/>
            <w:tcW w:w="2030" w:type="dxa"/>
          </w:tcPr>
          <w:p w14:paraId="3E323C3C" w14:textId="77777777" w:rsidR="00946DF3" w:rsidRPr="00CD0C81" w:rsidRDefault="00946DF3" w:rsidP="00B308D3">
            <w:pPr>
              <w:pStyle w:val="TableHead"/>
            </w:pPr>
          </w:p>
        </w:tc>
        <w:tc>
          <w:tcPr>
            <w:tcW w:w="6943" w:type="dxa"/>
            <w:tcBorders>
              <w:top w:val="single" w:sz="4" w:space="0" w:color="1F1646" w:themeColor="accent3"/>
            </w:tcBorders>
          </w:tcPr>
          <w:p w14:paraId="283D9A0C" w14:textId="77777777" w:rsidR="00946DF3" w:rsidRPr="00276BF1" w:rsidRDefault="00946DF3" w:rsidP="00946DF3">
            <w:pPr>
              <w:pStyle w:val="ListParagraph"/>
              <w:numPr>
                <w:ilvl w:val="0"/>
                <w:numId w:val="22"/>
              </w:numPr>
              <w:cnfStyle w:val="000000000000" w:firstRow="0" w:lastRow="0" w:firstColumn="0" w:lastColumn="0" w:oddVBand="0" w:evenVBand="0" w:oddHBand="0" w:evenHBand="0" w:firstRowFirstColumn="0" w:firstRowLastColumn="0" w:lastRowFirstColumn="0" w:lastRowLastColumn="0"/>
            </w:pPr>
            <w:r w:rsidRPr="00276BF1">
              <w:rPr>
                <w:rFonts w:ascii="Arial" w:hAnsi="Arial" w:cs="Arial"/>
              </w:rPr>
              <w:t>The eligibility criteria for deaf schools and facilities are based on evidence from an audiogram, which provides limited information about educational needs.</w:t>
            </w:r>
          </w:p>
        </w:tc>
      </w:tr>
      <w:tr w:rsidR="00946DF3" w14:paraId="04F1CC8B" w14:textId="77777777" w:rsidTr="05026582">
        <w:trPr>
          <w:trHeight w:val="466"/>
        </w:trPr>
        <w:tc>
          <w:tcPr>
            <w:cnfStyle w:val="001000000000" w:firstRow="0" w:lastRow="0" w:firstColumn="1" w:lastColumn="0" w:oddVBand="0" w:evenVBand="0" w:oddHBand="0" w:evenHBand="0" w:firstRowFirstColumn="0" w:firstRowLastColumn="0" w:lastRowFirstColumn="0" w:lastRowLastColumn="0"/>
            <w:tcW w:w="2030" w:type="dxa"/>
          </w:tcPr>
          <w:p w14:paraId="12716CDA" w14:textId="77777777" w:rsidR="00946DF3" w:rsidRPr="00CD0C81" w:rsidRDefault="00946DF3" w:rsidP="00B308D3">
            <w:pPr>
              <w:pStyle w:val="TableHead"/>
            </w:pPr>
          </w:p>
        </w:tc>
        <w:tc>
          <w:tcPr>
            <w:tcW w:w="6943" w:type="dxa"/>
            <w:tcBorders>
              <w:top w:val="single" w:sz="4" w:space="0" w:color="1F1646" w:themeColor="accent3"/>
            </w:tcBorders>
          </w:tcPr>
          <w:p w14:paraId="2469ABD5" w14:textId="4281C9AB" w:rsidR="00946DF3" w:rsidRPr="00276BF1" w:rsidRDefault="00946DF3" w:rsidP="00946DF3">
            <w:pPr>
              <w:pStyle w:val="ListParagraph"/>
              <w:numPr>
                <w:ilvl w:val="0"/>
                <w:numId w:val="22"/>
              </w:numPr>
              <w:cnfStyle w:val="000000000000" w:firstRow="0" w:lastRow="0" w:firstColumn="0" w:lastColumn="0" w:oddVBand="0" w:evenVBand="0" w:oddHBand="0" w:evenHBand="0" w:firstRowFirstColumn="0" w:firstRowLastColumn="0" w:lastRowFirstColumn="0" w:lastRowLastColumn="0"/>
            </w:pPr>
            <w:r w:rsidRPr="00276BF1">
              <w:rPr>
                <w:rFonts w:ascii="Arial" w:hAnsi="Arial" w:cs="Arial"/>
              </w:rPr>
              <w:t>Eligibility criteria, such as specific cut-offs on diagnostic assessment scores, can vary between schools of the same type, causing confusion and risking inequitable</w:t>
            </w:r>
            <w:r w:rsidR="00A62916">
              <w:rPr>
                <w:rFonts w:ascii="Arial" w:hAnsi="Arial" w:cs="Arial"/>
              </w:rPr>
              <w:t xml:space="preserve"> enrolment</w:t>
            </w:r>
            <w:r w:rsidRPr="00276BF1">
              <w:rPr>
                <w:rFonts w:ascii="Arial" w:hAnsi="Arial" w:cs="Arial"/>
              </w:rPr>
              <w:t xml:space="preserve"> outcomes for students.</w:t>
            </w:r>
          </w:p>
        </w:tc>
      </w:tr>
      <w:tr w:rsidR="00946DF3" w14:paraId="1127709F" w14:textId="77777777" w:rsidTr="05026582">
        <w:trPr>
          <w:trHeight w:val="478"/>
        </w:trPr>
        <w:tc>
          <w:tcPr>
            <w:cnfStyle w:val="001000000000" w:firstRow="0" w:lastRow="0" w:firstColumn="1" w:lastColumn="0" w:oddVBand="0" w:evenVBand="0" w:oddHBand="0" w:evenHBand="0" w:firstRowFirstColumn="0" w:firstRowLastColumn="0" w:lastRowFirstColumn="0" w:lastRowLastColumn="0"/>
            <w:tcW w:w="2030" w:type="dxa"/>
            <w:tcBorders>
              <w:top w:val="single" w:sz="4" w:space="0" w:color="1F1646" w:themeColor="accent3"/>
            </w:tcBorders>
          </w:tcPr>
          <w:p w14:paraId="4B40B2E2" w14:textId="77777777" w:rsidR="00946DF3" w:rsidRPr="00CD0C81" w:rsidRDefault="00946DF3" w:rsidP="00B308D3">
            <w:pPr>
              <w:pStyle w:val="TableHead"/>
            </w:pPr>
            <w:r>
              <w:rPr>
                <w:rFonts w:ascii="Arial" w:hAnsi="Arial" w:cs="Arial"/>
              </w:rPr>
              <w:t>Eligibility Processes</w:t>
            </w:r>
          </w:p>
        </w:tc>
        <w:tc>
          <w:tcPr>
            <w:tcW w:w="6943" w:type="dxa"/>
            <w:tcBorders>
              <w:top w:val="single" w:sz="4" w:space="0" w:color="1F1646" w:themeColor="accent3"/>
            </w:tcBorders>
          </w:tcPr>
          <w:p w14:paraId="0C1B5F66" w14:textId="77777777" w:rsidR="00946DF3" w:rsidRPr="00276BF1" w:rsidRDefault="00946DF3" w:rsidP="00946DF3">
            <w:pPr>
              <w:pStyle w:val="ListParagraph"/>
              <w:numPr>
                <w:ilvl w:val="0"/>
                <w:numId w:val="22"/>
              </w:numPr>
              <w:cnfStyle w:val="000000000000" w:firstRow="0" w:lastRow="0" w:firstColumn="0" w:lastColumn="0" w:oddVBand="0" w:evenVBand="0" w:oddHBand="0" w:evenHBand="0" w:firstRowFirstColumn="0" w:firstRowLastColumn="0" w:lastRowFirstColumn="0" w:lastRowLastColumn="0"/>
            </w:pPr>
            <w:r w:rsidRPr="00276BF1">
              <w:rPr>
                <w:rFonts w:ascii="Arial" w:hAnsi="Arial" w:cs="Arial"/>
              </w:rPr>
              <w:t>The process of determining eligibility can be complex, confusing, time-intensive, expensive and stressful for parents/carers.</w:t>
            </w:r>
          </w:p>
        </w:tc>
      </w:tr>
      <w:tr w:rsidR="00946DF3" w14:paraId="745AA0E7" w14:textId="77777777" w:rsidTr="05026582">
        <w:trPr>
          <w:trHeight w:val="466"/>
        </w:trPr>
        <w:tc>
          <w:tcPr>
            <w:cnfStyle w:val="001000000000" w:firstRow="0" w:lastRow="0" w:firstColumn="1" w:lastColumn="0" w:oddVBand="0" w:evenVBand="0" w:oddHBand="0" w:evenHBand="0" w:firstRowFirstColumn="0" w:firstRowLastColumn="0" w:lastRowFirstColumn="0" w:lastRowLastColumn="0"/>
            <w:tcW w:w="2030" w:type="dxa"/>
            <w:tcBorders>
              <w:bottom w:val="single" w:sz="4" w:space="0" w:color="1F1646" w:themeColor="accent3"/>
            </w:tcBorders>
          </w:tcPr>
          <w:p w14:paraId="31184FD1" w14:textId="77777777" w:rsidR="00946DF3" w:rsidRPr="00CD0C81" w:rsidRDefault="00946DF3" w:rsidP="00B308D3">
            <w:pPr>
              <w:pStyle w:val="TableHead"/>
            </w:pPr>
          </w:p>
        </w:tc>
        <w:tc>
          <w:tcPr>
            <w:tcW w:w="6943" w:type="dxa"/>
            <w:tcBorders>
              <w:top w:val="single" w:sz="4" w:space="0" w:color="1F1646" w:themeColor="accent3"/>
              <w:bottom w:val="single" w:sz="4" w:space="0" w:color="1F1646" w:themeColor="accent3"/>
            </w:tcBorders>
          </w:tcPr>
          <w:p w14:paraId="0CBAC66B" w14:textId="77777777" w:rsidR="00946DF3" w:rsidRPr="00276BF1" w:rsidRDefault="00946DF3" w:rsidP="00946DF3">
            <w:pPr>
              <w:pStyle w:val="ListParagraph"/>
              <w:numPr>
                <w:ilvl w:val="0"/>
                <w:numId w:val="22"/>
              </w:numPr>
              <w:cnfStyle w:val="000000000000" w:firstRow="0" w:lastRow="0" w:firstColumn="0" w:lastColumn="0" w:oddVBand="0" w:evenVBand="0" w:oddHBand="0" w:evenHBand="0" w:firstRowFirstColumn="0" w:firstRowLastColumn="0" w:lastRowFirstColumn="0" w:lastRowLastColumn="0"/>
            </w:pPr>
            <w:r w:rsidRPr="00276BF1">
              <w:rPr>
                <w:rFonts w:ascii="Arial" w:hAnsi="Arial" w:cs="Arial"/>
              </w:rPr>
              <w:t>The potential for eligibility reviews to result in a student’s enrolment being revoked often causes stress for students and parents/carers.</w:t>
            </w:r>
          </w:p>
        </w:tc>
      </w:tr>
      <w:tr w:rsidR="00946DF3" w14:paraId="64D39DCA" w14:textId="77777777" w:rsidTr="05026582">
        <w:trPr>
          <w:trHeight w:val="478"/>
        </w:trPr>
        <w:tc>
          <w:tcPr>
            <w:cnfStyle w:val="001000000000" w:firstRow="0" w:lastRow="0" w:firstColumn="1" w:lastColumn="0" w:oddVBand="0" w:evenVBand="0" w:oddHBand="0" w:evenHBand="0" w:firstRowFirstColumn="0" w:firstRowLastColumn="0" w:lastRowFirstColumn="0" w:lastRowLastColumn="0"/>
            <w:tcW w:w="2030" w:type="dxa"/>
            <w:tcBorders>
              <w:top w:val="single" w:sz="4" w:space="0" w:color="1F1646" w:themeColor="accent3"/>
              <w:bottom w:val="single" w:sz="4" w:space="0" w:color="auto"/>
            </w:tcBorders>
          </w:tcPr>
          <w:p w14:paraId="53DBBA4C" w14:textId="77777777" w:rsidR="00946DF3" w:rsidRPr="00CD0C81" w:rsidRDefault="00946DF3" w:rsidP="00B308D3">
            <w:pPr>
              <w:pStyle w:val="TableHead"/>
            </w:pPr>
            <w:r>
              <w:rPr>
                <w:rFonts w:ascii="Arial" w:hAnsi="Arial" w:cs="Arial"/>
              </w:rPr>
              <w:t>Data Collection</w:t>
            </w:r>
          </w:p>
        </w:tc>
        <w:tc>
          <w:tcPr>
            <w:tcW w:w="6943" w:type="dxa"/>
            <w:tcBorders>
              <w:top w:val="single" w:sz="4" w:space="0" w:color="1F1646" w:themeColor="accent3"/>
              <w:bottom w:val="single" w:sz="4" w:space="0" w:color="auto"/>
            </w:tcBorders>
          </w:tcPr>
          <w:p w14:paraId="2F86E388" w14:textId="77777777" w:rsidR="00946DF3" w:rsidRPr="00276BF1" w:rsidRDefault="00946DF3" w:rsidP="00946DF3">
            <w:pPr>
              <w:pStyle w:val="ListParagraph"/>
              <w:numPr>
                <w:ilvl w:val="0"/>
                <w:numId w:val="22"/>
              </w:numPr>
              <w:cnfStyle w:val="000000000000" w:firstRow="0" w:lastRow="0" w:firstColumn="0" w:lastColumn="0" w:oddVBand="0" w:evenVBand="0" w:oddHBand="0" w:evenHBand="0" w:firstRowFirstColumn="0" w:firstRowLastColumn="0" w:lastRowFirstColumn="0" w:lastRowLastColumn="0"/>
            </w:pPr>
            <w:r w:rsidRPr="00276BF1">
              <w:rPr>
                <w:rFonts w:ascii="Arial" w:hAnsi="Arial" w:cs="Arial"/>
              </w:rPr>
              <w:t>Data collection relating to specialist schools is relatively fragmented, limiting visibility of important aspects of the system.</w:t>
            </w:r>
          </w:p>
        </w:tc>
      </w:tr>
    </w:tbl>
    <w:p w14:paraId="71A3284C" w14:textId="77777777" w:rsidR="00720B36" w:rsidRPr="001B78D5" w:rsidRDefault="00720B36" w:rsidP="00720B36">
      <w:pPr>
        <w:pStyle w:val="Heading2"/>
      </w:pPr>
      <w:bookmarkStart w:id="35" w:name="_Toc209015159"/>
      <w:bookmarkStart w:id="36" w:name="_Toc209685588"/>
      <w:r>
        <w:lastRenderedPageBreak/>
        <w:t>Review recommendations</w:t>
      </w:r>
      <w:bookmarkEnd w:id="35"/>
      <w:bookmarkEnd w:id="36"/>
    </w:p>
    <w:p w14:paraId="1B4DD93B" w14:textId="77777777" w:rsidR="00720B36" w:rsidRPr="001A3A86" w:rsidRDefault="00720B36" w:rsidP="00720B36">
      <w:pPr>
        <w:pStyle w:val="Heading2"/>
        <w:rPr>
          <w:rFonts w:asciiTheme="minorHAnsi" w:eastAsiaTheme="minorHAnsi" w:hAnsiTheme="minorHAnsi" w:cstheme="minorBidi"/>
          <w:color w:val="auto"/>
          <w:sz w:val="20"/>
          <w:szCs w:val="20"/>
        </w:rPr>
      </w:pPr>
      <w:bookmarkStart w:id="37" w:name="_Toc209015160"/>
      <w:bookmarkStart w:id="38" w:name="_Toc209685589"/>
      <w:r w:rsidRPr="001A3A86">
        <w:rPr>
          <w:rFonts w:asciiTheme="minorHAnsi" w:eastAsiaTheme="minorHAnsi" w:hAnsiTheme="minorHAnsi" w:cstheme="minorBidi"/>
          <w:color w:val="auto"/>
          <w:sz w:val="20"/>
          <w:szCs w:val="20"/>
        </w:rPr>
        <w:t>The review made 11 recommendations to improve the specialist school enrolment system. These are listed in Table 2.</w:t>
      </w:r>
      <w:bookmarkEnd w:id="37"/>
      <w:bookmarkEnd w:id="38"/>
      <w:r w:rsidRPr="001A3A86">
        <w:rPr>
          <w:rFonts w:asciiTheme="minorHAnsi" w:eastAsiaTheme="minorHAnsi" w:hAnsiTheme="minorHAnsi" w:cstheme="minorBidi"/>
          <w:color w:val="auto"/>
          <w:sz w:val="20"/>
          <w:szCs w:val="20"/>
        </w:rPr>
        <w:t xml:space="preserve"> </w:t>
      </w:r>
    </w:p>
    <w:p w14:paraId="14937C63" w14:textId="77777777" w:rsidR="00720B36" w:rsidRPr="001A3A86" w:rsidRDefault="00720B36" w:rsidP="00720B36">
      <w:pPr>
        <w:pStyle w:val="Heading2"/>
        <w:rPr>
          <w:rFonts w:asciiTheme="minorHAnsi" w:eastAsiaTheme="minorHAnsi" w:hAnsiTheme="minorHAnsi" w:cstheme="minorBidi"/>
          <w:color w:val="auto"/>
          <w:sz w:val="20"/>
          <w:szCs w:val="20"/>
        </w:rPr>
      </w:pPr>
      <w:bookmarkStart w:id="39" w:name="_Toc209015161"/>
      <w:bookmarkStart w:id="40" w:name="_Toc209685590"/>
      <w:r w:rsidRPr="001A3A86">
        <w:rPr>
          <w:rFonts w:asciiTheme="minorHAnsi" w:eastAsiaTheme="minorHAnsi" w:hAnsiTheme="minorHAnsi" w:cstheme="minorBidi"/>
          <w:color w:val="auto"/>
          <w:sz w:val="20"/>
          <w:szCs w:val="20"/>
        </w:rPr>
        <w:t>The recommendations aim to improve family experiences</w:t>
      </w:r>
      <w:r>
        <w:rPr>
          <w:rFonts w:asciiTheme="minorHAnsi" w:eastAsiaTheme="minorHAnsi" w:hAnsiTheme="minorHAnsi" w:cstheme="minorBidi"/>
          <w:color w:val="auto"/>
          <w:sz w:val="20"/>
          <w:szCs w:val="20"/>
        </w:rPr>
        <w:t xml:space="preserve"> and </w:t>
      </w:r>
      <w:r w:rsidRPr="001A3A86">
        <w:rPr>
          <w:rFonts w:asciiTheme="minorHAnsi" w:eastAsiaTheme="minorHAnsi" w:hAnsiTheme="minorHAnsi" w:cstheme="minorBidi"/>
          <w:color w:val="auto"/>
          <w:sz w:val="20"/>
          <w:szCs w:val="20"/>
        </w:rPr>
        <w:t>better inform families about their choices when enrolling in specialist schools. The recommendations will also strengthen the department's ability to manage enrolments.</w:t>
      </w:r>
      <w:bookmarkEnd w:id="39"/>
      <w:bookmarkEnd w:id="40"/>
    </w:p>
    <w:p w14:paraId="79178E2B" w14:textId="77777777" w:rsidR="00720B36" w:rsidRPr="001A3A86" w:rsidRDefault="00720B36" w:rsidP="00720B36">
      <w:pPr>
        <w:pStyle w:val="Heading2"/>
        <w:rPr>
          <w:rFonts w:asciiTheme="minorHAnsi" w:eastAsiaTheme="minorHAnsi" w:hAnsiTheme="minorHAnsi" w:cstheme="minorBidi"/>
          <w:color w:val="auto"/>
          <w:sz w:val="20"/>
          <w:szCs w:val="20"/>
        </w:rPr>
      </w:pPr>
      <w:bookmarkStart w:id="41" w:name="_Toc209015162"/>
      <w:bookmarkStart w:id="42" w:name="_Toc209685591"/>
      <w:r w:rsidRPr="001A3A86">
        <w:rPr>
          <w:rFonts w:asciiTheme="minorHAnsi" w:eastAsiaTheme="minorHAnsi" w:hAnsiTheme="minorHAnsi" w:cstheme="minorBidi"/>
          <w:color w:val="auto"/>
          <w:sz w:val="20"/>
          <w:szCs w:val="20"/>
        </w:rPr>
        <w:t xml:space="preserve">The recommendations are grouped into </w:t>
      </w:r>
      <w:r>
        <w:rPr>
          <w:rFonts w:asciiTheme="minorHAnsi" w:eastAsiaTheme="minorHAnsi" w:hAnsiTheme="minorHAnsi" w:cstheme="minorBidi"/>
          <w:color w:val="auto"/>
          <w:sz w:val="20"/>
          <w:szCs w:val="20"/>
        </w:rPr>
        <w:t>4</w:t>
      </w:r>
      <w:r w:rsidRPr="001A3A86">
        <w:rPr>
          <w:rFonts w:asciiTheme="minorHAnsi" w:eastAsiaTheme="minorHAnsi" w:hAnsiTheme="minorHAnsi" w:cstheme="minorBidi"/>
          <w:color w:val="auto"/>
          <w:sz w:val="20"/>
          <w:szCs w:val="20"/>
        </w:rPr>
        <w:t xml:space="preserve"> main themes:</w:t>
      </w:r>
      <w:bookmarkEnd w:id="41"/>
      <w:bookmarkEnd w:id="42"/>
    </w:p>
    <w:p w14:paraId="17B60E45" w14:textId="44C9CB1B" w:rsidR="00720B36" w:rsidRPr="001A3A86" w:rsidRDefault="00720B36" w:rsidP="41202B4C">
      <w:pPr>
        <w:pStyle w:val="Heading2"/>
        <w:rPr>
          <w:rFonts w:asciiTheme="minorHAnsi" w:eastAsiaTheme="minorEastAsia" w:hAnsiTheme="minorHAnsi" w:cstheme="minorBidi"/>
          <w:color w:val="auto"/>
          <w:sz w:val="20"/>
          <w:szCs w:val="20"/>
        </w:rPr>
      </w:pPr>
      <w:bookmarkStart w:id="43" w:name="_Toc209015163"/>
      <w:bookmarkStart w:id="44" w:name="_Toc209685592"/>
      <w:r w:rsidRPr="41202B4C">
        <w:rPr>
          <w:rFonts w:asciiTheme="minorHAnsi" w:eastAsiaTheme="minorEastAsia" w:hAnsiTheme="minorHAnsi" w:cstheme="minorBidi"/>
          <w:color w:val="auto"/>
          <w:sz w:val="20"/>
          <w:szCs w:val="20"/>
        </w:rPr>
        <w:t>•</w:t>
      </w:r>
      <w:r>
        <w:tab/>
      </w:r>
      <w:r w:rsidR="001A0F54" w:rsidRPr="41202B4C">
        <w:rPr>
          <w:rFonts w:asciiTheme="minorHAnsi" w:eastAsiaTheme="minorEastAsia" w:hAnsiTheme="minorHAnsi" w:cstheme="minorBidi"/>
          <w:color w:val="auto"/>
          <w:sz w:val="20"/>
          <w:szCs w:val="20"/>
        </w:rPr>
        <w:t>Improve a</w:t>
      </w:r>
      <w:r w:rsidRPr="41202B4C">
        <w:rPr>
          <w:rFonts w:asciiTheme="minorHAnsi" w:eastAsiaTheme="minorEastAsia" w:hAnsiTheme="minorHAnsi" w:cstheme="minorBidi"/>
          <w:color w:val="auto"/>
          <w:sz w:val="20"/>
          <w:szCs w:val="20"/>
        </w:rPr>
        <w:t>ccess to information about school options for students with disability and high needs.</w:t>
      </w:r>
      <w:bookmarkEnd w:id="43"/>
      <w:bookmarkEnd w:id="44"/>
    </w:p>
    <w:p w14:paraId="3E4E3047" w14:textId="77777777" w:rsidR="00720B36" w:rsidRPr="001A3A86" w:rsidRDefault="00720B36" w:rsidP="00720B36">
      <w:pPr>
        <w:pStyle w:val="Heading2"/>
        <w:rPr>
          <w:rFonts w:asciiTheme="minorHAnsi" w:eastAsiaTheme="minorHAnsi" w:hAnsiTheme="minorHAnsi" w:cstheme="minorBidi"/>
          <w:color w:val="auto"/>
          <w:sz w:val="20"/>
          <w:szCs w:val="20"/>
        </w:rPr>
      </w:pPr>
      <w:bookmarkStart w:id="45" w:name="_Toc209015164"/>
      <w:bookmarkStart w:id="46" w:name="_Toc209685593"/>
      <w:r w:rsidRPr="001A3A86">
        <w:rPr>
          <w:rFonts w:asciiTheme="minorHAnsi" w:eastAsiaTheme="minorHAnsi" w:hAnsiTheme="minorHAnsi" w:cstheme="minorBidi"/>
          <w:color w:val="auto"/>
          <w:sz w:val="20"/>
          <w:szCs w:val="20"/>
        </w:rPr>
        <w:t>•</w:t>
      </w:r>
      <w:r w:rsidRPr="001A3A86">
        <w:rPr>
          <w:rFonts w:asciiTheme="minorHAnsi" w:eastAsiaTheme="minorHAnsi" w:hAnsiTheme="minorHAnsi" w:cstheme="minorBidi"/>
          <w:color w:val="auto"/>
          <w:sz w:val="20"/>
          <w:szCs w:val="20"/>
        </w:rPr>
        <w:tab/>
        <w:t>Update eligibility criteria to reflect best practice and focus on students' holistic needs</w:t>
      </w:r>
      <w:bookmarkEnd w:id="45"/>
      <w:r>
        <w:rPr>
          <w:rFonts w:asciiTheme="minorHAnsi" w:eastAsiaTheme="minorHAnsi" w:hAnsiTheme="minorHAnsi" w:cstheme="minorBidi"/>
          <w:color w:val="auto"/>
          <w:sz w:val="20"/>
          <w:szCs w:val="20"/>
        </w:rPr>
        <w:t>.</w:t>
      </w:r>
      <w:bookmarkEnd w:id="46"/>
      <w:r w:rsidRPr="001A3A86">
        <w:rPr>
          <w:rFonts w:asciiTheme="minorHAnsi" w:eastAsiaTheme="minorHAnsi" w:hAnsiTheme="minorHAnsi" w:cstheme="minorBidi"/>
          <w:color w:val="auto"/>
          <w:sz w:val="20"/>
          <w:szCs w:val="20"/>
        </w:rPr>
        <w:t xml:space="preserve"> </w:t>
      </w:r>
    </w:p>
    <w:p w14:paraId="589EEB02" w14:textId="77777777" w:rsidR="00720B36" w:rsidRPr="001A3A86" w:rsidRDefault="00720B36" w:rsidP="6C3E4F37">
      <w:pPr>
        <w:pStyle w:val="Heading2"/>
        <w:rPr>
          <w:rFonts w:asciiTheme="minorHAnsi" w:eastAsiaTheme="minorEastAsia" w:hAnsiTheme="minorHAnsi" w:cstheme="minorBidi"/>
          <w:color w:val="auto"/>
          <w:sz w:val="20"/>
          <w:szCs w:val="20"/>
        </w:rPr>
      </w:pPr>
      <w:bookmarkStart w:id="47" w:name="_Toc209015165"/>
      <w:bookmarkStart w:id="48" w:name="_Toc209685594"/>
      <w:r w:rsidRPr="6C3E4F37">
        <w:rPr>
          <w:rFonts w:asciiTheme="minorHAnsi" w:eastAsiaTheme="minorEastAsia" w:hAnsiTheme="minorHAnsi" w:cstheme="minorBidi"/>
          <w:color w:val="auto"/>
          <w:sz w:val="20"/>
          <w:szCs w:val="20"/>
        </w:rPr>
        <w:t>•</w:t>
      </w:r>
      <w:r>
        <w:tab/>
      </w:r>
      <w:r w:rsidRPr="6C3E4F37">
        <w:rPr>
          <w:rFonts w:asciiTheme="minorHAnsi" w:eastAsiaTheme="minorEastAsia" w:hAnsiTheme="minorHAnsi" w:cstheme="minorBidi"/>
          <w:color w:val="auto"/>
          <w:sz w:val="20"/>
          <w:szCs w:val="20"/>
        </w:rPr>
        <w:t>Streamline enrolment processes and make them consistent across all specialist schools</w:t>
      </w:r>
      <w:bookmarkEnd w:id="47"/>
      <w:r w:rsidRPr="6C3E4F37">
        <w:rPr>
          <w:rFonts w:asciiTheme="minorHAnsi" w:eastAsiaTheme="minorEastAsia" w:hAnsiTheme="minorHAnsi" w:cstheme="minorBidi"/>
          <w:color w:val="auto"/>
          <w:sz w:val="20"/>
          <w:szCs w:val="20"/>
        </w:rPr>
        <w:t>.</w:t>
      </w:r>
      <w:bookmarkEnd w:id="48"/>
      <w:r w:rsidRPr="6C3E4F37">
        <w:rPr>
          <w:rFonts w:asciiTheme="minorHAnsi" w:eastAsiaTheme="minorEastAsia" w:hAnsiTheme="minorHAnsi" w:cstheme="minorBidi"/>
          <w:color w:val="auto"/>
          <w:sz w:val="20"/>
          <w:szCs w:val="20"/>
        </w:rPr>
        <w:t xml:space="preserve"> </w:t>
      </w:r>
    </w:p>
    <w:p w14:paraId="63AA960C" w14:textId="77777777" w:rsidR="00720B36" w:rsidRDefault="00720B36" w:rsidP="00720B36">
      <w:pPr>
        <w:pStyle w:val="Heading2"/>
        <w:rPr>
          <w:rFonts w:asciiTheme="minorHAnsi" w:eastAsiaTheme="minorHAnsi" w:hAnsiTheme="minorHAnsi" w:cstheme="minorBidi"/>
          <w:color w:val="auto"/>
          <w:sz w:val="20"/>
          <w:szCs w:val="20"/>
        </w:rPr>
      </w:pPr>
      <w:bookmarkStart w:id="49" w:name="_Toc209015166"/>
      <w:bookmarkStart w:id="50" w:name="_Toc209685595"/>
      <w:r w:rsidRPr="001A3A86">
        <w:rPr>
          <w:rFonts w:asciiTheme="minorHAnsi" w:eastAsiaTheme="minorHAnsi" w:hAnsiTheme="minorHAnsi" w:cstheme="minorBidi"/>
          <w:color w:val="auto"/>
          <w:sz w:val="20"/>
          <w:szCs w:val="20"/>
        </w:rPr>
        <w:t>•</w:t>
      </w:r>
      <w:r w:rsidRPr="001A3A86">
        <w:rPr>
          <w:rFonts w:asciiTheme="minorHAnsi" w:eastAsiaTheme="minorHAnsi" w:hAnsiTheme="minorHAnsi" w:cstheme="minorBidi"/>
          <w:color w:val="auto"/>
          <w:sz w:val="20"/>
          <w:szCs w:val="20"/>
        </w:rPr>
        <w:tab/>
        <w:t>Enhance data collection to improve monitoring of eligibility and enrolment decisions.</w:t>
      </w:r>
      <w:bookmarkEnd w:id="49"/>
      <w:bookmarkEnd w:id="50"/>
    </w:p>
    <w:p w14:paraId="224B40E6" w14:textId="77777777" w:rsidR="00720B36" w:rsidRDefault="00720B36" w:rsidP="00720B36"/>
    <w:p w14:paraId="3C0578AB" w14:textId="77777777" w:rsidR="00720B36" w:rsidRDefault="00720B36" w:rsidP="00720B36">
      <w:pPr>
        <w:pStyle w:val="Heading5"/>
      </w:pPr>
      <w:r>
        <w:t>Table 2. Review recommendations</w:t>
      </w:r>
    </w:p>
    <w:p w14:paraId="38F30C0B" w14:textId="77777777" w:rsidR="00720B36" w:rsidRDefault="00720B36" w:rsidP="00720B36"/>
    <w:tbl>
      <w:tblPr>
        <w:tblStyle w:val="TableGrid"/>
        <w:tblW w:w="0" w:type="auto"/>
        <w:tblLook w:val="04A0" w:firstRow="1" w:lastRow="0" w:firstColumn="1" w:lastColumn="0" w:noHBand="0" w:noVBand="1"/>
      </w:tblPr>
      <w:tblGrid>
        <w:gridCol w:w="1985"/>
        <w:gridCol w:w="6943"/>
      </w:tblGrid>
      <w:tr w:rsidR="00720B36" w14:paraId="2A2A0563" w14:textId="77777777" w:rsidTr="00B308D3">
        <w:trPr>
          <w:cnfStyle w:val="100000000000" w:firstRow="1" w:lastRow="0" w:firstColumn="0" w:lastColumn="0" w:oddVBand="0" w:evenVBand="0" w:oddHBand="0" w:evenHBand="0" w:firstRowFirstColumn="0" w:firstRowLastColumn="0" w:lastRowFirstColumn="0" w:lastRowLastColumn="0"/>
          <w:trHeight w:val="478"/>
          <w:tblHeader/>
        </w:trPr>
        <w:tc>
          <w:tcPr>
            <w:cnfStyle w:val="001000000000" w:firstRow="0" w:lastRow="0" w:firstColumn="1" w:lastColumn="0" w:oddVBand="0" w:evenVBand="0" w:oddHBand="0" w:evenHBand="0" w:firstRowFirstColumn="0" w:firstRowLastColumn="0" w:lastRowFirstColumn="0" w:lastRowLastColumn="0"/>
            <w:tcW w:w="1985" w:type="dxa"/>
            <w:tcBorders>
              <w:top w:val="nil"/>
              <w:left w:val="nil"/>
              <w:bottom w:val="single" w:sz="4" w:space="0" w:color="1F1646"/>
              <w:right w:val="single" w:sz="4" w:space="0" w:color="CFF0F2"/>
            </w:tcBorders>
          </w:tcPr>
          <w:p w14:paraId="5F21C641" w14:textId="77777777" w:rsidR="00720B36" w:rsidRPr="00CD0C81" w:rsidRDefault="00720B36" w:rsidP="00B308D3">
            <w:pPr>
              <w:pStyle w:val="TableHead"/>
              <w:rPr>
                <w:b/>
              </w:rPr>
            </w:pPr>
            <w:r w:rsidRPr="002E70C8">
              <w:rPr>
                <w:rFonts w:ascii="Arial" w:hAnsi="Arial" w:cs="Arial"/>
                <w:b/>
              </w:rPr>
              <w:t>Theme</w:t>
            </w:r>
          </w:p>
        </w:tc>
        <w:tc>
          <w:tcPr>
            <w:tcW w:w="6943" w:type="dxa"/>
            <w:tcBorders>
              <w:top w:val="nil"/>
              <w:left w:val="single" w:sz="4" w:space="0" w:color="CFF0F2"/>
              <w:bottom w:val="single" w:sz="4" w:space="0" w:color="1F1646"/>
              <w:right w:val="single" w:sz="4" w:space="0" w:color="CFF0F2"/>
            </w:tcBorders>
          </w:tcPr>
          <w:p w14:paraId="2DBF97A9" w14:textId="77777777" w:rsidR="00720B36" w:rsidRPr="00FD5DFD" w:rsidRDefault="00720B36" w:rsidP="00B308D3">
            <w:pPr>
              <w:cnfStyle w:val="100000000000" w:firstRow="1" w:lastRow="0" w:firstColumn="0" w:lastColumn="0" w:oddVBand="0" w:evenVBand="0" w:oddHBand="0" w:evenHBand="0" w:firstRowFirstColumn="0" w:firstRowLastColumn="0" w:lastRowFirstColumn="0" w:lastRowLastColumn="0"/>
              <w:rPr>
                <w:rFonts w:ascii="Arial" w:hAnsi="Arial" w:cs="Arial"/>
                <w:b w:val="0"/>
                <w:bCs/>
              </w:rPr>
            </w:pPr>
            <w:r>
              <w:rPr>
                <w:rFonts w:ascii="Arial" w:hAnsi="Arial" w:cs="Arial"/>
                <w:bCs/>
              </w:rPr>
              <w:t>Recommendation</w:t>
            </w:r>
          </w:p>
        </w:tc>
      </w:tr>
      <w:tr w:rsidR="00720B36" w14:paraId="1B8E5D12" w14:textId="77777777" w:rsidTr="00B308D3">
        <w:trPr>
          <w:trHeight w:val="466"/>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1F1646"/>
              <w:bottom w:val="single" w:sz="4" w:space="0" w:color="1F1646"/>
            </w:tcBorders>
          </w:tcPr>
          <w:p w14:paraId="291D7C63" w14:textId="77777777" w:rsidR="00720B36" w:rsidRPr="00CD0C81" w:rsidRDefault="00720B36" w:rsidP="00B308D3">
            <w:pPr>
              <w:pStyle w:val="TableHead"/>
            </w:pPr>
            <w:r w:rsidRPr="00E1096A">
              <w:rPr>
                <w:rFonts w:ascii="Arial" w:hAnsi="Arial" w:cs="Arial"/>
              </w:rPr>
              <w:t>Improve Access to Information</w:t>
            </w:r>
          </w:p>
        </w:tc>
        <w:tc>
          <w:tcPr>
            <w:tcW w:w="6943" w:type="dxa"/>
            <w:tcBorders>
              <w:top w:val="single" w:sz="4" w:space="0" w:color="1F1646"/>
              <w:bottom w:val="single" w:sz="4" w:space="0" w:color="1F1646"/>
            </w:tcBorders>
          </w:tcPr>
          <w:p w14:paraId="6B399823" w14:textId="77777777" w:rsidR="00720B36" w:rsidRPr="008A5279" w:rsidRDefault="00720B36" w:rsidP="00B308D3">
            <w:pPr>
              <w:pStyle w:val="ListParagraph"/>
              <w:numPr>
                <w:ilvl w:val="0"/>
                <w:numId w:val="23"/>
              </w:numPr>
              <w:cnfStyle w:val="000000000000" w:firstRow="0" w:lastRow="0" w:firstColumn="0" w:lastColumn="0" w:oddVBand="0" w:evenVBand="0" w:oddHBand="0" w:evenHBand="0" w:firstRowFirstColumn="0" w:firstRowLastColumn="0" w:lastRowFirstColumn="0" w:lastRowLastColumn="0"/>
            </w:pPr>
            <w:r w:rsidRPr="008A5279">
              <w:rPr>
                <w:rFonts w:ascii="Arial" w:hAnsi="Arial" w:cs="Arial"/>
              </w:rPr>
              <w:t>Improve access to quality information about school options for students with disability.</w:t>
            </w:r>
          </w:p>
        </w:tc>
      </w:tr>
      <w:tr w:rsidR="00720B36" w14:paraId="1F42E405" w14:textId="77777777" w:rsidTr="00B308D3">
        <w:trPr>
          <w:trHeight w:val="466"/>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1F1646"/>
            </w:tcBorders>
          </w:tcPr>
          <w:p w14:paraId="3F9533D0" w14:textId="77777777" w:rsidR="00720B36" w:rsidRDefault="00720B36" w:rsidP="00B308D3">
            <w:pPr>
              <w:pStyle w:val="TableHead"/>
              <w:rPr>
                <w:rFonts w:ascii="Arial" w:hAnsi="Arial" w:cs="Arial"/>
              </w:rPr>
            </w:pPr>
            <w:r w:rsidRPr="00E1096A">
              <w:rPr>
                <w:rFonts w:ascii="Arial" w:hAnsi="Arial" w:cs="Arial"/>
              </w:rPr>
              <w:t>Update Eligibility Criteria</w:t>
            </w:r>
          </w:p>
        </w:tc>
        <w:tc>
          <w:tcPr>
            <w:tcW w:w="6943" w:type="dxa"/>
            <w:tcBorders>
              <w:top w:val="single" w:sz="4" w:space="0" w:color="1F1646"/>
              <w:bottom w:val="single" w:sz="4" w:space="0" w:color="1F1646"/>
            </w:tcBorders>
          </w:tcPr>
          <w:p w14:paraId="59F175D9" w14:textId="77777777" w:rsidR="00720B36" w:rsidRPr="008A5279" w:rsidRDefault="00720B36" w:rsidP="00B308D3">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8A5279">
              <w:rPr>
                <w:rFonts w:ascii="Arial" w:hAnsi="Arial" w:cs="Arial"/>
              </w:rPr>
              <w:t>Retain the use of eligibility criteria for enrolment in specialist schools.</w:t>
            </w:r>
          </w:p>
        </w:tc>
      </w:tr>
      <w:tr w:rsidR="00720B36" w14:paraId="5B4825B8" w14:textId="77777777" w:rsidTr="00B308D3">
        <w:trPr>
          <w:trHeight w:val="466"/>
        </w:trPr>
        <w:tc>
          <w:tcPr>
            <w:cnfStyle w:val="001000000000" w:firstRow="0" w:lastRow="0" w:firstColumn="1" w:lastColumn="0" w:oddVBand="0" w:evenVBand="0" w:oddHBand="0" w:evenHBand="0" w:firstRowFirstColumn="0" w:firstRowLastColumn="0" w:lastRowFirstColumn="0" w:lastRowLastColumn="0"/>
            <w:tcW w:w="1985" w:type="dxa"/>
          </w:tcPr>
          <w:p w14:paraId="643253A7" w14:textId="77777777" w:rsidR="00720B36" w:rsidRDefault="00720B36" w:rsidP="00B308D3">
            <w:pPr>
              <w:pStyle w:val="TableHead"/>
              <w:rPr>
                <w:rFonts w:ascii="Arial" w:hAnsi="Arial" w:cs="Arial"/>
              </w:rPr>
            </w:pPr>
          </w:p>
        </w:tc>
        <w:tc>
          <w:tcPr>
            <w:tcW w:w="6943" w:type="dxa"/>
            <w:tcBorders>
              <w:top w:val="single" w:sz="4" w:space="0" w:color="1F1646"/>
              <w:bottom w:val="single" w:sz="4" w:space="0" w:color="1F1646"/>
            </w:tcBorders>
          </w:tcPr>
          <w:p w14:paraId="79C02493" w14:textId="0DFD597D" w:rsidR="00720B36" w:rsidRPr="008A5279" w:rsidRDefault="00720B36" w:rsidP="00B308D3">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8A5279">
              <w:rPr>
                <w:rFonts w:ascii="Arial" w:hAnsi="Arial" w:cs="Arial"/>
              </w:rPr>
              <w:t>Retain the use of diagnostic eligibility criteria for enrolment in specialist schools, while updating and improving them.</w:t>
            </w:r>
          </w:p>
        </w:tc>
      </w:tr>
      <w:tr w:rsidR="00720B36" w14:paraId="12B2FCEF" w14:textId="77777777" w:rsidTr="00B308D3">
        <w:trPr>
          <w:trHeight w:val="466"/>
        </w:trPr>
        <w:tc>
          <w:tcPr>
            <w:cnfStyle w:val="001000000000" w:firstRow="0" w:lastRow="0" w:firstColumn="1" w:lastColumn="0" w:oddVBand="0" w:evenVBand="0" w:oddHBand="0" w:evenHBand="0" w:firstRowFirstColumn="0" w:firstRowLastColumn="0" w:lastRowFirstColumn="0" w:lastRowLastColumn="0"/>
            <w:tcW w:w="1985" w:type="dxa"/>
          </w:tcPr>
          <w:p w14:paraId="79DBE9AB" w14:textId="77777777" w:rsidR="00720B36" w:rsidRDefault="00720B36" w:rsidP="00B308D3">
            <w:pPr>
              <w:pStyle w:val="TableHead"/>
              <w:rPr>
                <w:rFonts w:ascii="Arial" w:hAnsi="Arial" w:cs="Arial"/>
              </w:rPr>
            </w:pPr>
          </w:p>
        </w:tc>
        <w:tc>
          <w:tcPr>
            <w:tcW w:w="6943" w:type="dxa"/>
            <w:tcBorders>
              <w:top w:val="single" w:sz="4" w:space="0" w:color="1F1646"/>
              <w:bottom w:val="single" w:sz="4" w:space="0" w:color="1F1646"/>
            </w:tcBorders>
          </w:tcPr>
          <w:p w14:paraId="04A03F8F" w14:textId="7DD53F84" w:rsidR="00720B36" w:rsidRPr="008A5279" w:rsidRDefault="00720B36" w:rsidP="00B308D3">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8A5279">
              <w:rPr>
                <w:rFonts w:ascii="Arial" w:hAnsi="Arial" w:cs="Arial"/>
              </w:rPr>
              <w:t>Develop a decision-making framework to guide consideration of functional needs for students found ineligible according to diagnostic</w:t>
            </w:r>
            <w:r w:rsidR="00150F7B">
              <w:rPr>
                <w:rFonts w:ascii="Arial" w:hAnsi="Arial" w:cs="Arial"/>
              </w:rPr>
              <w:t xml:space="preserve"> </w:t>
            </w:r>
            <w:r w:rsidRPr="008A5279">
              <w:rPr>
                <w:rFonts w:ascii="Arial" w:hAnsi="Arial" w:cs="Arial"/>
              </w:rPr>
              <w:t>criteria.</w:t>
            </w:r>
          </w:p>
        </w:tc>
      </w:tr>
      <w:tr w:rsidR="00720B36" w14:paraId="07292588" w14:textId="77777777" w:rsidTr="00806D00">
        <w:trPr>
          <w:trHeight w:val="466"/>
        </w:trPr>
        <w:tc>
          <w:tcPr>
            <w:cnfStyle w:val="001000000000" w:firstRow="0" w:lastRow="0" w:firstColumn="1" w:lastColumn="0" w:oddVBand="0" w:evenVBand="0" w:oddHBand="0" w:evenHBand="0" w:firstRowFirstColumn="0" w:firstRowLastColumn="0" w:lastRowFirstColumn="0" w:lastRowLastColumn="0"/>
            <w:tcW w:w="1985" w:type="dxa"/>
            <w:tcBorders>
              <w:bottom w:val="single" w:sz="4" w:space="0" w:color="1F1646" w:themeColor="text1"/>
            </w:tcBorders>
          </w:tcPr>
          <w:p w14:paraId="779E2833" w14:textId="77777777" w:rsidR="00720B36" w:rsidRDefault="00720B36" w:rsidP="00B308D3">
            <w:pPr>
              <w:pStyle w:val="TableHead"/>
              <w:rPr>
                <w:rFonts w:ascii="Arial" w:hAnsi="Arial" w:cs="Arial"/>
              </w:rPr>
            </w:pPr>
          </w:p>
        </w:tc>
        <w:tc>
          <w:tcPr>
            <w:tcW w:w="6943" w:type="dxa"/>
            <w:tcBorders>
              <w:top w:val="single" w:sz="4" w:space="0" w:color="1F1646"/>
              <w:bottom w:val="single" w:sz="4" w:space="0" w:color="1F1646"/>
            </w:tcBorders>
          </w:tcPr>
          <w:p w14:paraId="09792265" w14:textId="75BB3222" w:rsidR="00720B36" w:rsidRPr="008A5279" w:rsidRDefault="00720B36" w:rsidP="00B308D3">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8A5279">
              <w:rPr>
                <w:rFonts w:ascii="Arial" w:hAnsi="Arial" w:cs="Arial"/>
              </w:rPr>
              <w:t>Use a diagnosis of intellectual disability (ID) as the threshold for eligibility</w:t>
            </w:r>
            <w:r w:rsidR="00681003">
              <w:rPr>
                <w:rFonts w:ascii="Arial" w:hAnsi="Arial" w:cs="Arial"/>
              </w:rPr>
              <w:t xml:space="preserve"> </w:t>
            </w:r>
            <w:r w:rsidR="00DD07D6">
              <w:rPr>
                <w:rFonts w:ascii="Arial" w:hAnsi="Arial" w:cs="Arial"/>
              </w:rPr>
              <w:t>for</w:t>
            </w:r>
            <w:r w:rsidR="002617BD">
              <w:rPr>
                <w:rFonts w:ascii="Arial" w:hAnsi="Arial" w:cs="Arial"/>
              </w:rPr>
              <w:t xml:space="preserve"> schools for students with </w:t>
            </w:r>
            <w:r w:rsidRPr="008A5279">
              <w:rPr>
                <w:rFonts w:ascii="Arial" w:hAnsi="Arial" w:cs="Arial"/>
              </w:rPr>
              <w:t xml:space="preserve">ID, rather than specific score cut-offs. </w:t>
            </w:r>
          </w:p>
        </w:tc>
      </w:tr>
      <w:tr w:rsidR="00720B36" w14:paraId="0AB947A7" w14:textId="77777777" w:rsidTr="00806D00">
        <w:trPr>
          <w:trHeight w:val="466"/>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1F1646" w:themeColor="text1"/>
              <w:bottom w:val="single" w:sz="4" w:space="0" w:color="auto"/>
            </w:tcBorders>
          </w:tcPr>
          <w:p w14:paraId="509185A8" w14:textId="77777777" w:rsidR="00720B36" w:rsidRDefault="00720B36" w:rsidP="00B308D3">
            <w:pPr>
              <w:pStyle w:val="TableHead"/>
              <w:rPr>
                <w:rFonts w:ascii="Arial" w:hAnsi="Arial" w:cs="Arial"/>
              </w:rPr>
            </w:pPr>
          </w:p>
        </w:tc>
        <w:tc>
          <w:tcPr>
            <w:tcW w:w="6943" w:type="dxa"/>
            <w:tcBorders>
              <w:top w:val="single" w:sz="4" w:space="0" w:color="1F1646"/>
              <w:bottom w:val="single" w:sz="4" w:space="0" w:color="1F1646"/>
            </w:tcBorders>
          </w:tcPr>
          <w:p w14:paraId="79C16128" w14:textId="42864304" w:rsidR="00720B36" w:rsidRPr="008A5279" w:rsidRDefault="00720B36" w:rsidP="00B308D3">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8A5279">
              <w:rPr>
                <w:rFonts w:ascii="Arial" w:hAnsi="Arial" w:cs="Arial"/>
              </w:rPr>
              <w:t>Align the diagnostic</w:t>
            </w:r>
            <w:r w:rsidR="00150F7B">
              <w:rPr>
                <w:rFonts w:ascii="Arial" w:hAnsi="Arial" w:cs="Arial"/>
              </w:rPr>
              <w:t xml:space="preserve"> </w:t>
            </w:r>
            <w:r w:rsidRPr="008A5279">
              <w:rPr>
                <w:rFonts w:ascii="Arial" w:hAnsi="Arial" w:cs="Arial"/>
              </w:rPr>
              <w:t xml:space="preserve">eligibility criteria for schools </w:t>
            </w:r>
            <w:r w:rsidR="00EB6F81">
              <w:rPr>
                <w:rFonts w:ascii="Arial" w:hAnsi="Arial" w:cs="Arial"/>
              </w:rPr>
              <w:t xml:space="preserve">for autistic students </w:t>
            </w:r>
            <w:r w:rsidRPr="008A5279">
              <w:rPr>
                <w:rFonts w:ascii="Arial" w:hAnsi="Arial" w:cs="Arial"/>
              </w:rPr>
              <w:t xml:space="preserve">with contemporary clinical guidelines (which includes considering expanding the department-contracted assessment service to </w:t>
            </w:r>
            <w:r w:rsidRPr="008A5279">
              <w:rPr>
                <w:rFonts w:ascii="Arial" w:hAnsi="Arial" w:cs="Arial"/>
              </w:rPr>
              <w:lastRenderedPageBreak/>
              <w:t>support some or all types of assessments required to establish eligibility in autism schools).</w:t>
            </w:r>
          </w:p>
        </w:tc>
      </w:tr>
      <w:tr w:rsidR="00720B36" w14:paraId="375CEA4C" w14:textId="77777777" w:rsidTr="00806D00">
        <w:trPr>
          <w:trHeight w:val="466"/>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auto"/>
            </w:tcBorders>
          </w:tcPr>
          <w:p w14:paraId="00FE788F" w14:textId="77777777" w:rsidR="00720B36" w:rsidRDefault="00720B36" w:rsidP="00B308D3">
            <w:pPr>
              <w:pStyle w:val="TableHead"/>
              <w:rPr>
                <w:rFonts w:ascii="Arial" w:hAnsi="Arial" w:cs="Arial"/>
              </w:rPr>
            </w:pPr>
          </w:p>
        </w:tc>
        <w:tc>
          <w:tcPr>
            <w:tcW w:w="6943" w:type="dxa"/>
            <w:tcBorders>
              <w:top w:val="single" w:sz="4" w:space="0" w:color="1F1646"/>
              <w:bottom w:val="single" w:sz="4" w:space="0" w:color="1F1646"/>
            </w:tcBorders>
          </w:tcPr>
          <w:p w14:paraId="3D63C3D7" w14:textId="77777777" w:rsidR="00720B36" w:rsidRPr="008A5279" w:rsidRDefault="00720B36" w:rsidP="00B308D3">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8A5279">
              <w:rPr>
                <w:rFonts w:ascii="Arial" w:hAnsi="Arial" w:cs="Arial"/>
              </w:rPr>
              <w:t>Clarify the types of professionals that can submit evidence for applications to schools for students with physical disability.</w:t>
            </w:r>
          </w:p>
        </w:tc>
      </w:tr>
      <w:tr w:rsidR="00720B36" w14:paraId="7BE3C53F" w14:textId="77777777" w:rsidTr="00B308D3">
        <w:trPr>
          <w:trHeight w:val="466"/>
        </w:trPr>
        <w:tc>
          <w:tcPr>
            <w:cnfStyle w:val="001000000000" w:firstRow="0" w:lastRow="0" w:firstColumn="1" w:lastColumn="0" w:oddVBand="0" w:evenVBand="0" w:oddHBand="0" w:evenHBand="0" w:firstRowFirstColumn="0" w:firstRowLastColumn="0" w:lastRowFirstColumn="0" w:lastRowLastColumn="0"/>
            <w:tcW w:w="1985" w:type="dxa"/>
            <w:tcBorders>
              <w:bottom w:val="single" w:sz="4" w:space="0" w:color="1F1646"/>
            </w:tcBorders>
          </w:tcPr>
          <w:p w14:paraId="029526BA" w14:textId="77777777" w:rsidR="00720B36" w:rsidRDefault="00720B36" w:rsidP="00B308D3">
            <w:pPr>
              <w:pStyle w:val="TableHead"/>
              <w:rPr>
                <w:rFonts w:ascii="Arial" w:hAnsi="Arial" w:cs="Arial"/>
              </w:rPr>
            </w:pPr>
          </w:p>
        </w:tc>
        <w:tc>
          <w:tcPr>
            <w:tcW w:w="6943" w:type="dxa"/>
            <w:tcBorders>
              <w:top w:val="single" w:sz="4" w:space="0" w:color="1F1646"/>
              <w:bottom w:val="single" w:sz="4" w:space="0" w:color="1F1646"/>
            </w:tcBorders>
          </w:tcPr>
          <w:p w14:paraId="2EFB5B21" w14:textId="77777777" w:rsidR="00720B36" w:rsidRPr="008A5279" w:rsidRDefault="00720B36" w:rsidP="00B308D3">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8A5279">
              <w:rPr>
                <w:rFonts w:ascii="Arial" w:hAnsi="Arial" w:cs="Arial"/>
              </w:rPr>
              <w:t>Ensure consistent eligibility criteria are used by all schools of the same type as appropriate.</w:t>
            </w:r>
          </w:p>
        </w:tc>
      </w:tr>
      <w:tr w:rsidR="00720B36" w14:paraId="19EBC3BA" w14:textId="77777777" w:rsidTr="00B308D3">
        <w:trPr>
          <w:trHeight w:val="466"/>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1F1646"/>
            </w:tcBorders>
          </w:tcPr>
          <w:p w14:paraId="6C1304EF" w14:textId="77777777" w:rsidR="00720B36" w:rsidRDefault="00720B36" w:rsidP="00B308D3">
            <w:pPr>
              <w:pStyle w:val="TableHead"/>
              <w:rPr>
                <w:rFonts w:ascii="Arial" w:hAnsi="Arial" w:cs="Arial"/>
              </w:rPr>
            </w:pPr>
            <w:r w:rsidRPr="00E1096A">
              <w:rPr>
                <w:rFonts w:ascii="Arial" w:hAnsi="Arial" w:cs="Arial"/>
              </w:rPr>
              <w:t>Update Processes</w:t>
            </w:r>
          </w:p>
        </w:tc>
        <w:tc>
          <w:tcPr>
            <w:tcW w:w="6943" w:type="dxa"/>
            <w:tcBorders>
              <w:top w:val="single" w:sz="4" w:space="0" w:color="1F1646"/>
              <w:bottom w:val="single" w:sz="4" w:space="0" w:color="1F1646"/>
            </w:tcBorders>
          </w:tcPr>
          <w:p w14:paraId="30B13930" w14:textId="77777777" w:rsidR="00720B36" w:rsidRPr="008A5279" w:rsidRDefault="00720B36" w:rsidP="00B308D3">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8A5279">
              <w:rPr>
                <w:rFonts w:ascii="Arial" w:hAnsi="Arial" w:cs="Arial"/>
              </w:rPr>
              <w:t>Define and apply a standardised approach to enrolling students in specialist schools.</w:t>
            </w:r>
          </w:p>
        </w:tc>
      </w:tr>
      <w:tr w:rsidR="00720B36" w14:paraId="6C3ADE50" w14:textId="77777777" w:rsidTr="00B308D3">
        <w:trPr>
          <w:trHeight w:val="466"/>
        </w:trPr>
        <w:tc>
          <w:tcPr>
            <w:cnfStyle w:val="001000000000" w:firstRow="0" w:lastRow="0" w:firstColumn="1" w:lastColumn="0" w:oddVBand="0" w:evenVBand="0" w:oddHBand="0" w:evenHBand="0" w:firstRowFirstColumn="0" w:firstRowLastColumn="0" w:lastRowFirstColumn="0" w:lastRowLastColumn="0"/>
            <w:tcW w:w="1985" w:type="dxa"/>
            <w:tcBorders>
              <w:bottom w:val="single" w:sz="4" w:space="0" w:color="1F1646"/>
            </w:tcBorders>
          </w:tcPr>
          <w:p w14:paraId="04C06F85" w14:textId="77777777" w:rsidR="00720B36" w:rsidRDefault="00720B36" w:rsidP="00B308D3">
            <w:pPr>
              <w:pStyle w:val="TableHead"/>
              <w:rPr>
                <w:rFonts w:ascii="Arial" w:hAnsi="Arial" w:cs="Arial"/>
              </w:rPr>
            </w:pPr>
          </w:p>
        </w:tc>
        <w:tc>
          <w:tcPr>
            <w:tcW w:w="6943" w:type="dxa"/>
            <w:tcBorders>
              <w:top w:val="single" w:sz="4" w:space="0" w:color="1F1646"/>
              <w:bottom w:val="single" w:sz="4" w:space="0" w:color="1F1646"/>
            </w:tcBorders>
          </w:tcPr>
          <w:p w14:paraId="6582F697" w14:textId="77777777" w:rsidR="00720B36" w:rsidRPr="008A5279" w:rsidRDefault="00720B36" w:rsidP="00B308D3">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8A5279">
              <w:rPr>
                <w:rFonts w:ascii="Arial" w:hAnsi="Arial" w:cs="Arial"/>
              </w:rPr>
              <w:t>Adjust the eligibility review process to focus on identifying the educational setting that is best placed to support each student.</w:t>
            </w:r>
          </w:p>
        </w:tc>
      </w:tr>
      <w:tr w:rsidR="00720B36" w14:paraId="56B2E627" w14:textId="77777777" w:rsidTr="00B308D3">
        <w:trPr>
          <w:trHeight w:val="466"/>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1F1646"/>
              <w:bottom w:val="single" w:sz="4" w:space="0" w:color="1F1646"/>
            </w:tcBorders>
          </w:tcPr>
          <w:p w14:paraId="296F8CA3" w14:textId="77777777" w:rsidR="00720B36" w:rsidRDefault="00720B36" w:rsidP="00B308D3">
            <w:pPr>
              <w:pStyle w:val="TableHead"/>
              <w:rPr>
                <w:rFonts w:ascii="Arial" w:hAnsi="Arial" w:cs="Arial"/>
              </w:rPr>
            </w:pPr>
            <w:r w:rsidRPr="00E1096A">
              <w:rPr>
                <w:rFonts w:ascii="Arial" w:hAnsi="Arial" w:cs="Arial"/>
              </w:rPr>
              <w:t>Improve Data Collection</w:t>
            </w:r>
          </w:p>
        </w:tc>
        <w:tc>
          <w:tcPr>
            <w:tcW w:w="6943" w:type="dxa"/>
            <w:tcBorders>
              <w:top w:val="single" w:sz="4" w:space="0" w:color="1F1646"/>
              <w:bottom w:val="single" w:sz="4" w:space="0" w:color="1F1646"/>
            </w:tcBorders>
          </w:tcPr>
          <w:p w14:paraId="37732082" w14:textId="77777777" w:rsidR="00720B36" w:rsidRPr="008A5279" w:rsidRDefault="00720B36" w:rsidP="00B308D3">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8A5279">
              <w:rPr>
                <w:rFonts w:ascii="Arial" w:hAnsi="Arial" w:cs="Arial"/>
              </w:rPr>
              <w:t>Improve the collection of data relating to specialist school enrolment.</w:t>
            </w:r>
          </w:p>
        </w:tc>
      </w:tr>
    </w:tbl>
    <w:p w14:paraId="28345896" w14:textId="77777777" w:rsidR="00720B36" w:rsidRPr="00276BF1" w:rsidRDefault="00720B36" w:rsidP="00720B36"/>
    <w:p w14:paraId="7B3733FA" w14:textId="77777777" w:rsidR="00720B36" w:rsidRPr="001B78D5" w:rsidRDefault="00720B36" w:rsidP="00720B36">
      <w:pPr>
        <w:pStyle w:val="Heading2"/>
      </w:pPr>
      <w:bookmarkStart w:id="51" w:name="_Toc209015167"/>
      <w:bookmarkStart w:id="52" w:name="_Toc209685596"/>
      <w:r>
        <w:t>Government response to recommendations</w:t>
      </w:r>
      <w:bookmarkEnd w:id="51"/>
      <w:bookmarkEnd w:id="52"/>
    </w:p>
    <w:p w14:paraId="0FD1F496" w14:textId="5D302AF2" w:rsidR="00720B36" w:rsidRPr="001A1BA9" w:rsidRDefault="00720B36" w:rsidP="6C3E4F37">
      <w:pPr>
        <w:pStyle w:val="Heading4"/>
        <w:rPr>
          <w:rFonts w:asciiTheme="minorHAnsi" w:eastAsiaTheme="minorEastAsia" w:hAnsiTheme="minorHAnsi" w:cstheme="minorBidi"/>
          <w:color w:val="auto"/>
          <w:sz w:val="20"/>
          <w:szCs w:val="20"/>
        </w:rPr>
      </w:pPr>
      <w:r w:rsidRPr="41202B4C">
        <w:rPr>
          <w:rFonts w:asciiTheme="minorHAnsi" w:eastAsiaTheme="minorEastAsia" w:hAnsiTheme="minorHAnsi" w:cstheme="minorBidi"/>
          <w:color w:val="auto"/>
          <w:sz w:val="20"/>
          <w:szCs w:val="20"/>
        </w:rPr>
        <w:t>The Victorian Government accepts all recommendations. The department plans to implement them by the end of 2027. Read more about this in Table 3.</w:t>
      </w:r>
    </w:p>
    <w:p w14:paraId="04A0CE3A" w14:textId="16EDC74B" w:rsidR="00720B36" w:rsidRDefault="008F5D02" w:rsidP="00720B36">
      <w:pPr>
        <w:pStyle w:val="Heading4"/>
        <w:rPr>
          <w:rFonts w:asciiTheme="minorHAnsi" w:eastAsiaTheme="minorHAnsi" w:hAnsiTheme="minorHAnsi" w:cstheme="minorBidi"/>
          <w:bCs w:val="0"/>
          <w:iCs w:val="0"/>
          <w:color w:val="auto"/>
          <w:sz w:val="20"/>
          <w:szCs w:val="20"/>
        </w:rPr>
      </w:pPr>
      <w:r w:rsidRPr="008F5D02">
        <w:rPr>
          <w:rFonts w:asciiTheme="minorHAnsi" w:eastAsiaTheme="minorHAnsi" w:hAnsiTheme="minorHAnsi" w:cstheme="minorBidi"/>
          <w:bCs w:val="0"/>
          <w:iCs w:val="0"/>
          <w:color w:val="auto"/>
          <w:sz w:val="20"/>
          <w:szCs w:val="20"/>
        </w:rPr>
        <w:t>The</w:t>
      </w:r>
      <w:r>
        <w:rPr>
          <w:rFonts w:asciiTheme="minorHAnsi" w:eastAsiaTheme="minorHAnsi" w:hAnsiTheme="minorHAnsi" w:cstheme="minorBidi"/>
          <w:bCs w:val="0"/>
          <w:iCs w:val="0"/>
          <w:color w:val="auto"/>
          <w:sz w:val="20"/>
          <w:szCs w:val="20"/>
        </w:rPr>
        <w:t>se</w:t>
      </w:r>
      <w:r w:rsidRPr="008F5D02">
        <w:rPr>
          <w:rFonts w:asciiTheme="minorHAnsi" w:eastAsiaTheme="minorHAnsi" w:hAnsiTheme="minorHAnsi" w:cstheme="minorBidi"/>
          <w:bCs w:val="0"/>
          <w:iCs w:val="0"/>
          <w:color w:val="auto"/>
          <w:sz w:val="20"/>
          <w:szCs w:val="20"/>
        </w:rPr>
        <w:t xml:space="preserve"> changes will make it easier for families and schools to identify the best </w:t>
      </w:r>
      <w:r w:rsidR="00893B0E">
        <w:rPr>
          <w:rFonts w:asciiTheme="minorHAnsi" w:eastAsiaTheme="minorHAnsi" w:hAnsiTheme="minorHAnsi" w:cstheme="minorBidi"/>
          <w:bCs w:val="0"/>
          <w:iCs w:val="0"/>
          <w:color w:val="auto"/>
          <w:sz w:val="20"/>
          <w:szCs w:val="20"/>
        </w:rPr>
        <w:t xml:space="preserve">education </w:t>
      </w:r>
      <w:r w:rsidRPr="008F5D02">
        <w:rPr>
          <w:rFonts w:asciiTheme="minorHAnsi" w:eastAsiaTheme="minorHAnsi" w:hAnsiTheme="minorHAnsi" w:cstheme="minorBidi"/>
          <w:bCs w:val="0"/>
          <w:iCs w:val="0"/>
          <w:color w:val="auto"/>
          <w:sz w:val="20"/>
          <w:szCs w:val="20"/>
        </w:rPr>
        <w:t>setting for the</w:t>
      </w:r>
      <w:r w:rsidR="00893B0E">
        <w:rPr>
          <w:rFonts w:asciiTheme="minorHAnsi" w:eastAsiaTheme="minorHAnsi" w:hAnsiTheme="minorHAnsi" w:cstheme="minorBidi"/>
          <w:bCs w:val="0"/>
          <w:iCs w:val="0"/>
          <w:color w:val="auto"/>
          <w:sz w:val="20"/>
          <w:szCs w:val="20"/>
        </w:rPr>
        <w:t xml:space="preserve"> </w:t>
      </w:r>
      <w:r w:rsidRPr="008F5D02">
        <w:rPr>
          <w:rFonts w:asciiTheme="minorHAnsi" w:eastAsiaTheme="minorHAnsi" w:hAnsiTheme="minorHAnsi" w:cstheme="minorBidi"/>
          <w:bCs w:val="0"/>
          <w:iCs w:val="0"/>
          <w:color w:val="auto"/>
          <w:sz w:val="20"/>
          <w:szCs w:val="20"/>
        </w:rPr>
        <w:t>child's needs.</w:t>
      </w:r>
      <w:r>
        <w:rPr>
          <w:rFonts w:asciiTheme="minorHAnsi" w:eastAsiaTheme="minorHAnsi" w:hAnsiTheme="minorHAnsi" w:cstheme="minorBidi"/>
          <w:bCs w:val="0"/>
          <w:iCs w:val="0"/>
          <w:color w:val="auto"/>
          <w:sz w:val="20"/>
          <w:szCs w:val="20"/>
        </w:rPr>
        <w:t xml:space="preserve"> </w:t>
      </w:r>
      <w:r w:rsidR="00720B36" w:rsidRPr="001A1BA9">
        <w:rPr>
          <w:rFonts w:asciiTheme="minorHAnsi" w:eastAsiaTheme="minorHAnsi" w:hAnsiTheme="minorHAnsi" w:cstheme="minorBidi"/>
          <w:bCs w:val="0"/>
          <w:iCs w:val="0"/>
          <w:color w:val="auto"/>
          <w:sz w:val="20"/>
          <w:szCs w:val="20"/>
        </w:rPr>
        <w:t>The changes will help to make the eligibility process for specialist schools clearer. This will make it simpler for families and schools.</w:t>
      </w:r>
    </w:p>
    <w:p w14:paraId="28142F3C" w14:textId="77777777" w:rsidR="00720B36" w:rsidRDefault="00720B36" w:rsidP="00720B36"/>
    <w:p w14:paraId="2964D210" w14:textId="77777777" w:rsidR="00720B36" w:rsidRDefault="00720B36" w:rsidP="00720B36">
      <w:pPr>
        <w:pStyle w:val="Heading5"/>
      </w:pPr>
      <w:r>
        <w:t>Table 3. Review recommendations</w:t>
      </w:r>
    </w:p>
    <w:p w14:paraId="1BDB6B4F" w14:textId="77777777" w:rsidR="00720B36" w:rsidRPr="001152A0" w:rsidRDefault="00720B36" w:rsidP="00720B36"/>
    <w:tbl>
      <w:tblPr>
        <w:tblStyle w:val="TableGrid"/>
        <w:tblW w:w="0" w:type="auto"/>
        <w:tblLook w:val="04A0" w:firstRow="1" w:lastRow="0" w:firstColumn="1" w:lastColumn="0" w:noHBand="0" w:noVBand="1"/>
      </w:tblPr>
      <w:tblGrid>
        <w:gridCol w:w="3209"/>
        <w:gridCol w:w="488"/>
        <w:gridCol w:w="1690"/>
        <w:gridCol w:w="1031"/>
        <w:gridCol w:w="3209"/>
      </w:tblGrid>
      <w:tr w:rsidR="00720B36" w14:paraId="4D6B2FA7" w14:textId="77777777" w:rsidTr="04631B23">
        <w:trPr>
          <w:cnfStyle w:val="100000000000" w:firstRow="1" w:lastRow="0" w:firstColumn="0" w:lastColumn="0" w:oddVBand="0" w:evenVBand="0" w:oddHBand="0" w:evenHBand="0" w:firstRowFirstColumn="0" w:firstRowLastColumn="0" w:lastRowFirstColumn="0" w:lastRowLastColumn="0"/>
          <w:trHeight w:val="478"/>
          <w:tblHeader/>
        </w:trPr>
        <w:tc>
          <w:tcPr>
            <w:cnfStyle w:val="001000000000" w:firstRow="0" w:lastRow="0" w:firstColumn="1" w:lastColumn="0" w:oddVBand="0" w:evenVBand="0" w:oddHBand="0" w:evenHBand="0" w:firstRowFirstColumn="0" w:firstRowLastColumn="0" w:lastRowFirstColumn="0" w:lastRowLastColumn="0"/>
            <w:tcW w:w="3697" w:type="dxa"/>
            <w:gridSpan w:val="2"/>
            <w:tcBorders>
              <w:top w:val="nil"/>
              <w:left w:val="nil"/>
              <w:bottom w:val="single" w:sz="4" w:space="0" w:color="1F1646" w:themeColor="accent3"/>
              <w:right w:val="single" w:sz="4" w:space="0" w:color="CFF0F2" w:themeColor="accent6" w:themeTint="66"/>
            </w:tcBorders>
          </w:tcPr>
          <w:p w14:paraId="4BB071B7" w14:textId="0DF478EB" w:rsidR="00720B36" w:rsidRPr="00257D48" w:rsidRDefault="00720B36" w:rsidP="76BC7317">
            <w:pPr>
              <w:rPr>
                <w:rFonts w:ascii="Arial" w:hAnsi="Arial" w:cs="Arial"/>
                <w:b w:val="0"/>
                <w:sz w:val="24"/>
                <w:szCs w:val="24"/>
              </w:rPr>
            </w:pPr>
            <w:r w:rsidRPr="76BC7317">
              <w:rPr>
                <w:rFonts w:ascii="Arial" w:hAnsi="Arial" w:cs="Arial"/>
                <w:sz w:val="24"/>
                <w:szCs w:val="24"/>
              </w:rPr>
              <w:t>Theme and recommendation</w:t>
            </w:r>
          </w:p>
          <w:p w14:paraId="4B076647" w14:textId="77777777" w:rsidR="00720B36" w:rsidRPr="00257D48" w:rsidRDefault="00720B36" w:rsidP="00B308D3">
            <w:pPr>
              <w:pStyle w:val="TableHead"/>
              <w:rPr>
                <w:b/>
              </w:rPr>
            </w:pPr>
          </w:p>
        </w:tc>
        <w:tc>
          <w:tcPr>
            <w:tcW w:w="1690" w:type="dxa"/>
            <w:tcBorders>
              <w:top w:val="nil"/>
              <w:left w:val="single" w:sz="4" w:space="0" w:color="CFF0F2" w:themeColor="accent6" w:themeTint="66"/>
              <w:bottom w:val="single" w:sz="4" w:space="0" w:color="1F1646" w:themeColor="accent3"/>
              <w:right w:val="single" w:sz="4" w:space="0" w:color="CFF0F2" w:themeColor="accent6" w:themeTint="66"/>
            </w:tcBorders>
          </w:tcPr>
          <w:p w14:paraId="75EB81BD" w14:textId="04D2C090" w:rsidR="00720B36" w:rsidRPr="00257D48" w:rsidRDefault="00720B36" w:rsidP="04631B23">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4631B23">
              <w:rPr>
                <w:rFonts w:ascii="Arial" w:hAnsi="Arial" w:cs="Arial"/>
              </w:rPr>
              <w:t>Government response</w:t>
            </w:r>
          </w:p>
        </w:tc>
        <w:tc>
          <w:tcPr>
            <w:tcW w:w="4240" w:type="dxa"/>
            <w:gridSpan w:val="2"/>
            <w:tcBorders>
              <w:top w:val="nil"/>
              <w:left w:val="single" w:sz="4" w:space="0" w:color="CFF0F2" w:themeColor="accent6" w:themeTint="66"/>
              <w:bottom w:val="single" w:sz="4" w:space="0" w:color="1F1646" w:themeColor="accent3"/>
            </w:tcBorders>
          </w:tcPr>
          <w:p w14:paraId="66DD2898" w14:textId="28C624D0" w:rsidR="00720B36" w:rsidRPr="002E70C8" w:rsidRDefault="00720B36" w:rsidP="04631B23">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4631B23">
              <w:rPr>
                <w:rFonts w:ascii="Arial" w:hAnsi="Arial" w:cs="Arial"/>
              </w:rPr>
              <w:t>Implementation plan</w:t>
            </w:r>
          </w:p>
        </w:tc>
      </w:tr>
      <w:tr w:rsidR="00720B36" w14:paraId="4AFFE56A" w14:textId="77777777" w:rsidTr="04631B23">
        <w:trPr>
          <w:trHeight w:val="466"/>
        </w:trPr>
        <w:tc>
          <w:tcPr>
            <w:cnfStyle w:val="001000000000" w:firstRow="0" w:lastRow="0" w:firstColumn="1" w:lastColumn="0" w:oddVBand="0" w:evenVBand="0" w:oddHBand="0" w:evenHBand="0" w:firstRowFirstColumn="0" w:firstRowLastColumn="0" w:lastRowFirstColumn="0" w:lastRowLastColumn="0"/>
            <w:tcW w:w="3209" w:type="dxa"/>
            <w:tcBorders>
              <w:top w:val="single" w:sz="4" w:space="0" w:color="1F1646" w:themeColor="accent3"/>
            </w:tcBorders>
          </w:tcPr>
          <w:p w14:paraId="240FEABE" w14:textId="77777777" w:rsidR="00720B36" w:rsidRPr="00CE0E56" w:rsidRDefault="00720B36" w:rsidP="00B308D3">
            <w:pPr>
              <w:rPr>
                <w:rFonts w:ascii="Arial" w:hAnsi="Arial" w:cs="Arial"/>
                <w:b/>
                <w:bCs/>
              </w:rPr>
            </w:pPr>
            <w:r w:rsidRPr="00CE0E56">
              <w:rPr>
                <w:rFonts w:ascii="Arial" w:hAnsi="Arial" w:cs="Arial"/>
                <w:b/>
                <w:bCs/>
              </w:rPr>
              <w:t>Theme 1: Improve Access to Information</w:t>
            </w:r>
          </w:p>
        </w:tc>
        <w:tc>
          <w:tcPr>
            <w:tcW w:w="3209" w:type="dxa"/>
            <w:gridSpan w:val="3"/>
            <w:tcBorders>
              <w:top w:val="single" w:sz="4" w:space="0" w:color="1F1646" w:themeColor="accent3"/>
            </w:tcBorders>
          </w:tcPr>
          <w:p w14:paraId="11AD4308" w14:textId="77777777" w:rsidR="00720B36" w:rsidRPr="00CE0E56" w:rsidRDefault="00720B36" w:rsidP="00B308D3">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3209" w:type="dxa"/>
            <w:tcBorders>
              <w:top w:val="single" w:sz="4" w:space="0" w:color="1F1646" w:themeColor="accent3"/>
            </w:tcBorders>
          </w:tcPr>
          <w:p w14:paraId="3EF152BD" w14:textId="77777777" w:rsidR="00720B36" w:rsidRPr="00CE0E56" w:rsidRDefault="00720B36" w:rsidP="00B308D3">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r>
      <w:tr w:rsidR="00720B36" w14:paraId="003A3D12" w14:textId="77777777" w:rsidTr="04631B23">
        <w:trPr>
          <w:trHeight w:val="466"/>
        </w:trPr>
        <w:tc>
          <w:tcPr>
            <w:cnfStyle w:val="001000000000" w:firstRow="0" w:lastRow="0" w:firstColumn="1" w:lastColumn="0" w:oddVBand="0" w:evenVBand="0" w:oddHBand="0" w:evenHBand="0" w:firstRowFirstColumn="0" w:firstRowLastColumn="0" w:lastRowFirstColumn="0" w:lastRowLastColumn="0"/>
            <w:tcW w:w="3697" w:type="dxa"/>
            <w:gridSpan w:val="2"/>
            <w:tcBorders>
              <w:top w:val="single" w:sz="4" w:space="0" w:color="1F1646" w:themeColor="accent3"/>
            </w:tcBorders>
          </w:tcPr>
          <w:p w14:paraId="5610FBA8" w14:textId="77777777" w:rsidR="00720B36" w:rsidRPr="00720B36" w:rsidRDefault="00720B36" w:rsidP="00B308D3">
            <w:pPr>
              <w:pStyle w:val="TableHead"/>
              <w:rPr>
                <w:b w:val="0"/>
                <w:bCs w:val="0"/>
                <w:sz w:val="20"/>
                <w:szCs w:val="20"/>
              </w:rPr>
            </w:pPr>
            <w:r w:rsidRPr="00720B36">
              <w:rPr>
                <w:rFonts w:ascii="Arial" w:hAnsi="Arial" w:cs="Arial"/>
                <w:b w:val="0"/>
                <w:bCs w:val="0"/>
                <w:sz w:val="20"/>
                <w:szCs w:val="20"/>
              </w:rPr>
              <w:t>Rec 1. Improve access to quality information about school options for students with disability</w:t>
            </w:r>
          </w:p>
        </w:tc>
        <w:tc>
          <w:tcPr>
            <w:tcW w:w="1690" w:type="dxa"/>
            <w:tcBorders>
              <w:top w:val="single" w:sz="4" w:space="0" w:color="1F1646" w:themeColor="accent3"/>
            </w:tcBorders>
          </w:tcPr>
          <w:p w14:paraId="6493484D" w14:textId="77777777" w:rsidR="00720B36" w:rsidRPr="00720B36" w:rsidRDefault="00720B36" w:rsidP="00B308D3">
            <w:pPr>
              <w:cnfStyle w:val="000000000000" w:firstRow="0" w:lastRow="0" w:firstColumn="0" w:lastColumn="0" w:oddVBand="0" w:evenVBand="0" w:oddHBand="0" w:evenHBand="0" w:firstRowFirstColumn="0" w:firstRowLastColumn="0" w:lastRowFirstColumn="0" w:lastRowLastColumn="0"/>
            </w:pPr>
            <w:r w:rsidRPr="00720B36">
              <w:rPr>
                <w:rFonts w:ascii="Arial" w:hAnsi="Arial" w:cs="Arial"/>
              </w:rPr>
              <w:t xml:space="preserve">Accept </w:t>
            </w:r>
          </w:p>
        </w:tc>
        <w:tc>
          <w:tcPr>
            <w:tcW w:w="4240" w:type="dxa"/>
            <w:gridSpan w:val="2"/>
            <w:tcBorders>
              <w:top w:val="single" w:sz="4" w:space="0" w:color="1F1646" w:themeColor="accent3"/>
            </w:tcBorders>
          </w:tcPr>
          <w:p w14:paraId="01499DE0" w14:textId="77777777" w:rsidR="00720B36" w:rsidRPr="00720B36" w:rsidRDefault="00720B36" w:rsidP="00B308D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720B36">
              <w:rPr>
                <w:rFonts w:ascii="Arial" w:hAnsi="Arial" w:cs="Arial"/>
              </w:rPr>
              <w:t>The department website will be updated to make it easier to find clear information about school options for students with disability, including specialist schools, eligibility and how to enrol.</w:t>
            </w:r>
          </w:p>
        </w:tc>
      </w:tr>
      <w:tr w:rsidR="00720B36" w14:paraId="2CF8D1F6" w14:textId="77777777" w:rsidTr="04631B23">
        <w:trPr>
          <w:trHeight w:val="466"/>
        </w:trPr>
        <w:tc>
          <w:tcPr>
            <w:cnfStyle w:val="001000000000" w:firstRow="0" w:lastRow="0" w:firstColumn="1" w:lastColumn="0" w:oddVBand="0" w:evenVBand="0" w:oddHBand="0" w:evenHBand="0" w:firstRowFirstColumn="0" w:firstRowLastColumn="0" w:lastRowFirstColumn="0" w:lastRowLastColumn="0"/>
            <w:tcW w:w="3697" w:type="dxa"/>
            <w:gridSpan w:val="2"/>
            <w:tcBorders>
              <w:top w:val="single" w:sz="4" w:space="0" w:color="1F1646" w:themeColor="accent3"/>
            </w:tcBorders>
          </w:tcPr>
          <w:p w14:paraId="554592D6" w14:textId="77777777" w:rsidR="00720B36" w:rsidRPr="00CD0C81" w:rsidRDefault="00720B36" w:rsidP="00B308D3">
            <w:pPr>
              <w:pStyle w:val="TableHead"/>
            </w:pPr>
            <w:r w:rsidRPr="00720B36">
              <w:rPr>
                <w:rFonts w:ascii="Arial" w:hAnsi="Arial" w:cs="Arial"/>
                <w:sz w:val="20"/>
                <w:szCs w:val="20"/>
              </w:rPr>
              <w:t>Theme 2: Update Eligibility Criteria</w:t>
            </w:r>
          </w:p>
        </w:tc>
        <w:tc>
          <w:tcPr>
            <w:tcW w:w="1690" w:type="dxa"/>
            <w:tcBorders>
              <w:top w:val="single" w:sz="4" w:space="0" w:color="1F1646" w:themeColor="accent3"/>
            </w:tcBorders>
          </w:tcPr>
          <w:p w14:paraId="691F0307" w14:textId="77777777" w:rsidR="00720B36" w:rsidRPr="004602F5" w:rsidRDefault="00720B36" w:rsidP="00B308D3">
            <w:pPr>
              <w:cnfStyle w:val="000000000000" w:firstRow="0" w:lastRow="0" w:firstColumn="0" w:lastColumn="0" w:oddVBand="0" w:evenVBand="0" w:oddHBand="0" w:evenHBand="0" w:firstRowFirstColumn="0" w:firstRowLastColumn="0" w:lastRowFirstColumn="0" w:lastRowLastColumn="0"/>
            </w:pPr>
          </w:p>
        </w:tc>
        <w:tc>
          <w:tcPr>
            <w:tcW w:w="4240" w:type="dxa"/>
            <w:gridSpan w:val="2"/>
            <w:tcBorders>
              <w:top w:val="single" w:sz="4" w:space="0" w:color="1F1646" w:themeColor="accent3"/>
            </w:tcBorders>
          </w:tcPr>
          <w:p w14:paraId="65C40B77" w14:textId="77777777" w:rsidR="00720B36" w:rsidRPr="004602F5" w:rsidRDefault="00720B36" w:rsidP="00B308D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20B36" w14:paraId="4796A324" w14:textId="77777777" w:rsidTr="04631B23">
        <w:trPr>
          <w:trHeight w:val="466"/>
        </w:trPr>
        <w:tc>
          <w:tcPr>
            <w:cnfStyle w:val="001000000000" w:firstRow="0" w:lastRow="0" w:firstColumn="1" w:lastColumn="0" w:oddVBand="0" w:evenVBand="0" w:oddHBand="0" w:evenHBand="0" w:firstRowFirstColumn="0" w:firstRowLastColumn="0" w:lastRowFirstColumn="0" w:lastRowLastColumn="0"/>
            <w:tcW w:w="3697" w:type="dxa"/>
            <w:gridSpan w:val="2"/>
            <w:tcBorders>
              <w:top w:val="single" w:sz="4" w:space="0" w:color="1F1646" w:themeColor="accent3"/>
            </w:tcBorders>
          </w:tcPr>
          <w:p w14:paraId="609B9C43" w14:textId="77777777" w:rsidR="00720B36" w:rsidRPr="00720B36" w:rsidRDefault="00720B36" w:rsidP="00B308D3">
            <w:pPr>
              <w:pStyle w:val="TableHead"/>
              <w:rPr>
                <w:b w:val="0"/>
                <w:bCs w:val="0"/>
                <w:sz w:val="20"/>
                <w:szCs w:val="20"/>
              </w:rPr>
            </w:pPr>
            <w:r w:rsidRPr="00720B36">
              <w:rPr>
                <w:rFonts w:ascii="Arial" w:hAnsi="Arial" w:cs="Arial"/>
                <w:b w:val="0"/>
                <w:bCs w:val="0"/>
                <w:sz w:val="20"/>
                <w:szCs w:val="20"/>
              </w:rPr>
              <w:lastRenderedPageBreak/>
              <w:t>Rec. 2. Retain the use of eligibility criteria for enrolment in specialist schools.</w:t>
            </w:r>
          </w:p>
        </w:tc>
        <w:tc>
          <w:tcPr>
            <w:tcW w:w="1690" w:type="dxa"/>
            <w:tcBorders>
              <w:top w:val="single" w:sz="4" w:space="0" w:color="1F1646" w:themeColor="accent3"/>
            </w:tcBorders>
          </w:tcPr>
          <w:p w14:paraId="4CC6A4A2" w14:textId="77777777" w:rsidR="00720B36" w:rsidRPr="00720B36" w:rsidRDefault="00720B36" w:rsidP="00B308D3">
            <w:pPr>
              <w:cnfStyle w:val="000000000000" w:firstRow="0" w:lastRow="0" w:firstColumn="0" w:lastColumn="0" w:oddVBand="0" w:evenVBand="0" w:oddHBand="0" w:evenHBand="0" w:firstRowFirstColumn="0" w:firstRowLastColumn="0" w:lastRowFirstColumn="0" w:lastRowLastColumn="0"/>
            </w:pPr>
            <w:r w:rsidRPr="00720B36">
              <w:rPr>
                <w:rFonts w:ascii="Arial" w:hAnsi="Arial" w:cs="Arial"/>
              </w:rPr>
              <w:t xml:space="preserve">Accept </w:t>
            </w:r>
          </w:p>
        </w:tc>
        <w:tc>
          <w:tcPr>
            <w:tcW w:w="4240" w:type="dxa"/>
            <w:gridSpan w:val="2"/>
            <w:tcBorders>
              <w:top w:val="single" w:sz="4" w:space="0" w:color="1F1646" w:themeColor="accent3"/>
            </w:tcBorders>
          </w:tcPr>
          <w:p w14:paraId="7BA6C313" w14:textId="77777777" w:rsidR="00720B36" w:rsidRPr="00720B36" w:rsidRDefault="00720B36" w:rsidP="00B308D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720B36">
              <w:rPr>
                <w:rFonts w:ascii="Arial" w:hAnsi="Arial" w:cs="Arial"/>
              </w:rPr>
              <w:t>The department will keep eligibility criteria for specialist schools so they can identify the students whose learning and wellbeing can be supported.  </w:t>
            </w:r>
          </w:p>
        </w:tc>
      </w:tr>
      <w:tr w:rsidR="00720B36" w14:paraId="5801C70D" w14:textId="77777777" w:rsidTr="04631B23">
        <w:trPr>
          <w:trHeight w:val="466"/>
        </w:trPr>
        <w:tc>
          <w:tcPr>
            <w:cnfStyle w:val="001000000000" w:firstRow="0" w:lastRow="0" w:firstColumn="1" w:lastColumn="0" w:oddVBand="0" w:evenVBand="0" w:oddHBand="0" w:evenHBand="0" w:firstRowFirstColumn="0" w:firstRowLastColumn="0" w:lastRowFirstColumn="0" w:lastRowLastColumn="0"/>
            <w:tcW w:w="3697" w:type="dxa"/>
            <w:gridSpan w:val="2"/>
            <w:tcBorders>
              <w:top w:val="single" w:sz="4" w:space="0" w:color="1F1646" w:themeColor="accent3"/>
            </w:tcBorders>
          </w:tcPr>
          <w:p w14:paraId="78FD8400" w14:textId="2B3E52AC" w:rsidR="00720B36" w:rsidRPr="00720B36" w:rsidRDefault="00720B36" w:rsidP="00B308D3">
            <w:pPr>
              <w:pStyle w:val="TableHead"/>
              <w:rPr>
                <w:b w:val="0"/>
                <w:bCs w:val="0"/>
                <w:sz w:val="20"/>
                <w:szCs w:val="20"/>
              </w:rPr>
            </w:pPr>
            <w:r w:rsidRPr="00720B36">
              <w:rPr>
                <w:rFonts w:ascii="Arial" w:hAnsi="Arial" w:cs="Arial"/>
                <w:b w:val="0"/>
                <w:bCs w:val="0"/>
                <w:sz w:val="20"/>
                <w:szCs w:val="20"/>
              </w:rPr>
              <w:t>Rec. 3. Retain th</w:t>
            </w:r>
            <w:r w:rsidRPr="00DF1E7B">
              <w:rPr>
                <w:rFonts w:ascii="Arial" w:hAnsi="Arial" w:cs="Arial"/>
                <w:b w:val="0"/>
                <w:bCs w:val="0"/>
                <w:sz w:val="20"/>
                <w:szCs w:val="20"/>
              </w:rPr>
              <w:t>e use of diagnostic eligibility criteria for enrolment in specialist schools, while</w:t>
            </w:r>
            <w:r w:rsidRPr="00720B36">
              <w:rPr>
                <w:rFonts w:ascii="Arial" w:hAnsi="Arial" w:cs="Arial"/>
                <w:b w:val="0"/>
                <w:bCs w:val="0"/>
                <w:sz w:val="20"/>
                <w:szCs w:val="20"/>
              </w:rPr>
              <w:t xml:space="preserve"> updating and improving them.</w:t>
            </w:r>
          </w:p>
        </w:tc>
        <w:tc>
          <w:tcPr>
            <w:tcW w:w="1690" w:type="dxa"/>
            <w:tcBorders>
              <w:top w:val="single" w:sz="4" w:space="0" w:color="1F1646" w:themeColor="accent3"/>
            </w:tcBorders>
          </w:tcPr>
          <w:p w14:paraId="30BDF1BB" w14:textId="77777777" w:rsidR="00720B36" w:rsidRPr="00720B36" w:rsidRDefault="00720B36" w:rsidP="00B308D3">
            <w:pPr>
              <w:cnfStyle w:val="000000000000" w:firstRow="0" w:lastRow="0" w:firstColumn="0" w:lastColumn="0" w:oddVBand="0" w:evenVBand="0" w:oddHBand="0" w:evenHBand="0" w:firstRowFirstColumn="0" w:firstRowLastColumn="0" w:lastRowFirstColumn="0" w:lastRowLastColumn="0"/>
            </w:pPr>
            <w:r w:rsidRPr="00720B36">
              <w:rPr>
                <w:rFonts w:ascii="Arial" w:hAnsi="Arial" w:cs="Arial"/>
              </w:rPr>
              <w:t xml:space="preserve">Accept </w:t>
            </w:r>
          </w:p>
        </w:tc>
        <w:tc>
          <w:tcPr>
            <w:tcW w:w="4240" w:type="dxa"/>
            <w:gridSpan w:val="2"/>
            <w:tcBorders>
              <w:top w:val="single" w:sz="4" w:space="0" w:color="1F1646" w:themeColor="accent3"/>
            </w:tcBorders>
          </w:tcPr>
          <w:p w14:paraId="01EF64FC" w14:textId="7735FA5C" w:rsidR="00720B36" w:rsidRPr="00720B36" w:rsidRDefault="00720B36" w:rsidP="00B308D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720B36">
              <w:rPr>
                <w:rFonts w:ascii="Arial" w:hAnsi="Arial" w:cs="Arial"/>
              </w:rPr>
              <w:t>The department will keep diagnostic eligibility criteria. The review found that they provide clarity, consistency and are an effective way to identify students who would be well-supported by the different specialist school types.</w:t>
            </w:r>
          </w:p>
        </w:tc>
      </w:tr>
      <w:tr w:rsidR="00720B36" w14:paraId="055EDE7A" w14:textId="77777777" w:rsidTr="04631B23">
        <w:trPr>
          <w:trHeight w:val="466"/>
        </w:trPr>
        <w:tc>
          <w:tcPr>
            <w:cnfStyle w:val="001000000000" w:firstRow="0" w:lastRow="0" w:firstColumn="1" w:lastColumn="0" w:oddVBand="0" w:evenVBand="0" w:oddHBand="0" w:evenHBand="0" w:firstRowFirstColumn="0" w:firstRowLastColumn="0" w:lastRowFirstColumn="0" w:lastRowLastColumn="0"/>
            <w:tcW w:w="3697" w:type="dxa"/>
            <w:gridSpan w:val="2"/>
            <w:tcBorders>
              <w:top w:val="single" w:sz="4" w:space="0" w:color="1F1646" w:themeColor="accent3"/>
            </w:tcBorders>
          </w:tcPr>
          <w:p w14:paraId="573E1DB5" w14:textId="6258D896" w:rsidR="00720B36" w:rsidRPr="00720B36" w:rsidRDefault="00720B36" w:rsidP="00B308D3">
            <w:pPr>
              <w:pStyle w:val="TableHead"/>
              <w:rPr>
                <w:b w:val="0"/>
                <w:bCs w:val="0"/>
                <w:sz w:val="20"/>
                <w:szCs w:val="20"/>
              </w:rPr>
            </w:pPr>
            <w:r w:rsidRPr="00720B36">
              <w:rPr>
                <w:rFonts w:ascii="Arial" w:hAnsi="Arial" w:cs="Arial"/>
                <w:b w:val="0"/>
                <w:bCs w:val="0"/>
                <w:sz w:val="20"/>
                <w:szCs w:val="20"/>
              </w:rPr>
              <w:t>Rec. 4. Develop a decision-making framework to guide consideration of functional needs for students found ineligible according to diagnosti</w:t>
            </w:r>
            <w:r w:rsidR="00DF1E7B">
              <w:rPr>
                <w:rFonts w:ascii="Arial" w:hAnsi="Arial" w:cs="Arial"/>
                <w:b w:val="0"/>
                <w:bCs w:val="0"/>
                <w:sz w:val="20"/>
                <w:szCs w:val="20"/>
              </w:rPr>
              <w:t>c</w:t>
            </w:r>
            <w:r w:rsidRPr="00720B36">
              <w:rPr>
                <w:rFonts w:ascii="Arial" w:hAnsi="Arial" w:cs="Arial"/>
                <w:b w:val="0"/>
                <w:bCs w:val="0"/>
                <w:sz w:val="20"/>
                <w:szCs w:val="20"/>
              </w:rPr>
              <w:t xml:space="preserve"> criteria.</w:t>
            </w:r>
          </w:p>
        </w:tc>
        <w:tc>
          <w:tcPr>
            <w:tcW w:w="1690" w:type="dxa"/>
            <w:tcBorders>
              <w:top w:val="single" w:sz="4" w:space="0" w:color="1F1646" w:themeColor="accent3"/>
            </w:tcBorders>
          </w:tcPr>
          <w:p w14:paraId="05068D63" w14:textId="77777777" w:rsidR="00720B36" w:rsidRPr="00720B36" w:rsidRDefault="00720B36" w:rsidP="00B308D3">
            <w:pPr>
              <w:cnfStyle w:val="000000000000" w:firstRow="0" w:lastRow="0" w:firstColumn="0" w:lastColumn="0" w:oddVBand="0" w:evenVBand="0" w:oddHBand="0" w:evenHBand="0" w:firstRowFirstColumn="0" w:firstRowLastColumn="0" w:lastRowFirstColumn="0" w:lastRowLastColumn="0"/>
            </w:pPr>
            <w:r w:rsidRPr="00720B36">
              <w:rPr>
                <w:rFonts w:ascii="Arial" w:hAnsi="Arial" w:cs="Arial"/>
              </w:rPr>
              <w:t xml:space="preserve">Accept </w:t>
            </w:r>
          </w:p>
        </w:tc>
        <w:tc>
          <w:tcPr>
            <w:tcW w:w="4240" w:type="dxa"/>
            <w:gridSpan w:val="2"/>
            <w:tcBorders>
              <w:top w:val="single" w:sz="4" w:space="0" w:color="1F1646" w:themeColor="accent3"/>
            </w:tcBorders>
          </w:tcPr>
          <w:p w14:paraId="676AC044" w14:textId="77777777" w:rsidR="00720B36" w:rsidRPr="00720B36" w:rsidRDefault="00720B36" w:rsidP="00B308D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720B36">
              <w:rPr>
                <w:rFonts w:ascii="Arial" w:hAnsi="Arial" w:cs="Arial"/>
              </w:rPr>
              <w:t>​The department will improve the non-standard enrolment policy guidance to support sch</w:t>
            </w:r>
            <w:r w:rsidRPr="00DF1E7B">
              <w:rPr>
                <w:rFonts w:ascii="Arial" w:hAnsi="Arial" w:cs="Arial"/>
              </w:rPr>
              <w:t>ools to make specialist school enrolment decisions when diagnostic eligibility crite</w:t>
            </w:r>
            <w:r w:rsidRPr="00720B36">
              <w:rPr>
                <w:rFonts w:ascii="Arial" w:hAnsi="Arial" w:cs="Arial"/>
              </w:rPr>
              <w:t>ria are not met.  </w:t>
            </w:r>
          </w:p>
        </w:tc>
      </w:tr>
      <w:tr w:rsidR="00720B36" w14:paraId="28355F7C" w14:textId="77777777" w:rsidTr="04631B23">
        <w:trPr>
          <w:trHeight w:val="466"/>
        </w:trPr>
        <w:tc>
          <w:tcPr>
            <w:cnfStyle w:val="001000000000" w:firstRow="0" w:lastRow="0" w:firstColumn="1" w:lastColumn="0" w:oddVBand="0" w:evenVBand="0" w:oddHBand="0" w:evenHBand="0" w:firstRowFirstColumn="0" w:firstRowLastColumn="0" w:lastRowFirstColumn="0" w:lastRowLastColumn="0"/>
            <w:tcW w:w="3697" w:type="dxa"/>
            <w:gridSpan w:val="2"/>
            <w:tcBorders>
              <w:top w:val="single" w:sz="4" w:space="0" w:color="1F1646" w:themeColor="accent3"/>
            </w:tcBorders>
          </w:tcPr>
          <w:p w14:paraId="2389A5C5" w14:textId="17418A8B" w:rsidR="00720B36" w:rsidRPr="00720B36" w:rsidRDefault="00720B36" w:rsidP="00B308D3">
            <w:pPr>
              <w:pStyle w:val="TableHead"/>
              <w:rPr>
                <w:b w:val="0"/>
                <w:bCs w:val="0"/>
                <w:sz w:val="20"/>
                <w:szCs w:val="20"/>
              </w:rPr>
            </w:pPr>
            <w:r w:rsidRPr="00720B36">
              <w:rPr>
                <w:rFonts w:ascii="Arial" w:hAnsi="Arial" w:cs="Arial"/>
                <w:b w:val="0"/>
                <w:bCs w:val="0"/>
                <w:sz w:val="20"/>
                <w:szCs w:val="20"/>
              </w:rPr>
              <w:t xml:space="preserve">Rec. 5. Use a diagnosis of intellectual disability (ID) as the threshold for eligibility </w:t>
            </w:r>
            <w:r w:rsidR="007848A9">
              <w:rPr>
                <w:rFonts w:ascii="Arial" w:hAnsi="Arial" w:cs="Arial"/>
                <w:b w:val="0"/>
                <w:bCs w:val="0"/>
                <w:sz w:val="20"/>
                <w:szCs w:val="20"/>
              </w:rPr>
              <w:t>for</w:t>
            </w:r>
            <w:r w:rsidR="007848A9" w:rsidRPr="00720B36">
              <w:rPr>
                <w:rFonts w:ascii="Arial" w:hAnsi="Arial" w:cs="Arial"/>
                <w:b w:val="0"/>
                <w:bCs w:val="0"/>
                <w:sz w:val="20"/>
                <w:szCs w:val="20"/>
              </w:rPr>
              <w:t xml:space="preserve"> </w:t>
            </w:r>
            <w:r w:rsidR="000A46FD">
              <w:rPr>
                <w:rFonts w:ascii="Arial" w:hAnsi="Arial" w:cs="Arial"/>
                <w:b w:val="0"/>
                <w:bCs w:val="0"/>
                <w:sz w:val="20"/>
                <w:szCs w:val="20"/>
              </w:rPr>
              <w:t xml:space="preserve">schools for students with </w:t>
            </w:r>
            <w:r w:rsidRPr="00720B36">
              <w:rPr>
                <w:rFonts w:ascii="Arial" w:hAnsi="Arial" w:cs="Arial"/>
                <w:b w:val="0"/>
                <w:bCs w:val="0"/>
                <w:sz w:val="20"/>
                <w:szCs w:val="20"/>
              </w:rPr>
              <w:t xml:space="preserve">ID, rather than specific score cut-offs. </w:t>
            </w:r>
          </w:p>
        </w:tc>
        <w:tc>
          <w:tcPr>
            <w:tcW w:w="1690" w:type="dxa"/>
            <w:tcBorders>
              <w:top w:val="single" w:sz="4" w:space="0" w:color="1F1646" w:themeColor="accent3"/>
            </w:tcBorders>
          </w:tcPr>
          <w:p w14:paraId="72A939ED" w14:textId="77777777" w:rsidR="00720B36" w:rsidRPr="00720B36" w:rsidRDefault="00720B36" w:rsidP="00B308D3">
            <w:pPr>
              <w:cnfStyle w:val="000000000000" w:firstRow="0" w:lastRow="0" w:firstColumn="0" w:lastColumn="0" w:oddVBand="0" w:evenVBand="0" w:oddHBand="0" w:evenHBand="0" w:firstRowFirstColumn="0" w:firstRowLastColumn="0" w:lastRowFirstColumn="0" w:lastRowLastColumn="0"/>
            </w:pPr>
            <w:r w:rsidRPr="00720B36">
              <w:rPr>
                <w:rFonts w:ascii="Arial" w:hAnsi="Arial" w:cs="Arial"/>
              </w:rPr>
              <w:t xml:space="preserve">Accept </w:t>
            </w:r>
          </w:p>
        </w:tc>
        <w:tc>
          <w:tcPr>
            <w:tcW w:w="4240" w:type="dxa"/>
            <w:gridSpan w:val="2"/>
            <w:tcBorders>
              <w:top w:val="single" w:sz="4" w:space="0" w:color="1F1646" w:themeColor="accent3"/>
            </w:tcBorders>
          </w:tcPr>
          <w:p w14:paraId="61201E40" w14:textId="5693F118" w:rsidR="00720B36" w:rsidRPr="00720B36" w:rsidRDefault="00720B36" w:rsidP="00B308D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720B36">
              <w:rPr>
                <w:rFonts w:ascii="Arial" w:hAnsi="Arial" w:cs="Arial"/>
              </w:rPr>
              <w:t>The department will develop criteria that use an ID diagnosis as the eligibility threshold for schools</w:t>
            </w:r>
            <w:r w:rsidR="00EB6F81">
              <w:rPr>
                <w:rFonts w:ascii="Arial" w:hAnsi="Arial" w:cs="Arial"/>
              </w:rPr>
              <w:t xml:space="preserve"> for students with ID</w:t>
            </w:r>
            <w:r w:rsidRPr="00720B36">
              <w:rPr>
                <w:rFonts w:ascii="Arial" w:hAnsi="Arial" w:cs="Arial"/>
              </w:rPr>
              <w:t>. This will mean that the needs of students with an ID are considered more fully.  </w:t>
            </w:r>
          </w:p>
        </w:tc>
      </w:tr>
      <w:tr w:rsidR="00720B36" w14:paraId="66A8E2CD" w14:textId="77777777" w:rsidTr="04631B23">
        <w:trPr>
          <w:trHeight w:val="466"/>
        </w:trPr>
        <w:tc>
          <w:tcPr>
            <w:cnfStyle w:val="001000000000" w:firstRow="0" w:lastRow="0" w:firstColumn="1" w:lastColumn="0" w:oddVBand="0" w:evenVBand="0" w:oddHBand="0" w:evenHBand="0" w:firstRowFirstColumn="0" w:firstRowLastColumn="0" w:lastRowFirstColumn="0" w:lastRowLastColumn="0"/>
            <w:tcW w:w="3697" w:type="dxa"/>
            <w:gridSpan w:val="2"/>
            <w:tcBorders>
              <w:top w:val="single" w:sz="4" w:space="0" w:color="1F1646" w:themeColor="accent3"/>
            </w:tcBorders>
          </w:tcPr>
          <w:p w14:paraId="229CD08C" w14:textId="4C915C46" w:rsidR="00720B36" w:rsidRPr="00720B36" w:rsidRDefault="00720B36" w:rsidP="00B308D3">
            <w:pPr>
              <w:pStyle w:val="TableHead"/>
              <w:rPr>
                <w:b w:val="0"/>
                <w:bCs w:val="0"/>
                <w:sz w:val="20"/>
                <w:szCs w:val="20"/>
              </w:rPr>
            </w:pPr>
            <w:r w:rsidRPr="00720B36">
              <w:rPr>
                <w:rFonts w:ascii="Arial" w:hAnsi="Arial" w:cs="Arial"/>
                <w:b w:val="0"/>
                <w:bCs w:val="0"/>
                <w:sz w:val="20"/>
                <w:szCs w:val="20"/>
              </w:rPr>
              <w:t xml:space="preserve">Rec. 6. Align the diagnostic eligibility criteria for </w:t>
            </w:r>
            <w:r w:rsidR="00EB6F81">
              <w:rPr>
                <w:rFonts w:ascii="Arial" w:hAnsi="Arial" w:cs="Arial"/>
                <w:b w:val="0"/>
                <w:bCs w:val="0"/>
                <w:sz w:val="20"/>
                <w:szCs w:val="20"/>
              </w:rPr>
              <w:t>schools for autistic students</w:t>
            </w:r>
            <w:r w:rsidRPr="00720B36">
              <w:rPr>
                <w:rFonts w:ascii="Arial" w:hAnsi="Arial" w:cs="Arial"/>
                <w:b w:val="0"/>
                <w:bCs w:val="0"/>
                <w:sz w:val="20"/>
                <w:szCs w:val="20"/>
              </w:rPr>
              <w:t xml:space="preserve"> with contemporary clinical guidelines (which includes considering expanding the department-contracted assessment service to support some or all types of assessments required to establish eligibility in autism schools).</w:t>
            </w:r>
          </w:p>
        </w:tc>
        <w:tc>
          <w:tcPr>
            <w:tcW w:w="1690" w:type="dxa"/>
            <w:tcBorders>
              <w:top w:val="single" w:sz="4" w:space="0" w:color="1F1646" w:themeColor="accent3"/>
            </w:tcBorders>
          </w:tcPr>
          <w:p w14:paraId="74F93CAF" w14:textId="77777777" w:rsidR="00720B36" w:rsidRPr="00720B36" w:rsidRDefault="00720B36" w:rsidP="00B308D3">
            <w:pPr>
              <w:cnfStyle w:val="000000000000" w:firstRow="0" w:lastRow="0" w:firstColumn="0" w:lastColumn="0" w:oddVBand="0" w:evenVBand="0" w:oddHBand="0" w:evenHBand="0" w:firstRowFirstColumn="0" w:firstRowLastColumn="0" w:lastRowFirstColumn="0" w:lastRowLastColumn="0"/>
            </w:pPr>
            <w:r w:rsidRPr="00720B36">
              <w:rPr>
                <w:rFonts w:ascii="Arial" w:hAnsi="Arial" w:cs="Arial"/>
              </w:rPr>
              <w:t xml:space="preserve">Accept </w:t>
            </w:r>
          </w:p>
        </w:tc>
        <w:tc>
          <w:tcPr>
            <w:tcW w:w="4240" w:type="dxa"/>
            <w:gridSpan w:val="2"/>
            <w:tcBorders>
              <w:top w:val="single" w:sz="4" w:space="0" w:color="1F1646" w:themeColor="accent3"/>
            </w:tcBorders>
          </w:tcPr>
          <w:p w14:paraId="1899FDC3" w14:textId="389FF3E7" w:rsidR="00720B36" w:rsidRPr="00720B36" w:rsidRDefault="00720B36" w:rsidP="00B308D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720B36">
              <w:rPr>
                <w:rFonts w:ascii="Arial" w:hAnsi="Arial" w:cs="Arial"/>
              </w:rPr>
              <w:t xml:space="preserve">Using current funding, the department will work with expert clinicians to update the eligibility criteria for </w:t>
            </w:r>
            <w:r w:rsidR="00EB6F81">
              <w:rPr>
                <w:rFonts w:ascii="Arial" w:hAnsi="Arial" w:cs="Arial"/>
              </w:rPr>
              <w:t>schools for autistic students</w:t>
            </w:r>
            <w:r w:rsidRPr="00720B36">
              <w:rPr>
                <w:rFonts w:ascii="Arial" w:hAnsi="Arial" w:cs="Arial"/>
              </w:rPr>
              <w:t>, so that it matches with how autism is diagnosed today.  </w:t>
            </w:r>
          </w:p>
        </w:tc>
      </w:tr>
      <w:tr w:rsidR="00720B36" w14:paraId="71B85B1D" w14:textId="77777777" w:rsidTr="04631B23">
        <w:trPr>
          <w:trHeight w:val="466"/>
        </w:trPr>
        <w:tc>
          <w:tcPr>
            <w:cnfStyle w:val="001000000000" w:firstRow="0" w:lastRow="0" w:firstColumn="1" w:lastColumn="0" w:oddVBand="0" w:evenVBand="0" w:oddHBand="0" w:evenHBand="0" w:firstRowFirstColumn="0" w:firstRowLastColumn="0" w:lastRowFirstColumn="0" w:lastRowLastColumn="0"/>
            <w:tcW w:w="3697" w:type="dxa"/>
            <w:gridSpan w:val="2"/>
            <w:tcBorders>
              <w:top w:val="single" w:sz="4" w:space="0" w:color="1F1646" w:themeColor="accent3"/>
            </w:tcBorders>
          </w:tcPr>
          <w:p w14:paraId="7811BED1" w14:textId="77777777" w:rsidR="00720B36" w:rsidRPr="00720B36" w:rsidRDefault="00720B36" w:rsidP="00B308D3">
            <w:pPr>
              <w:pStyle w:val="TableHead"/>
              <w:rPr>
                <w:b w:val="0"/>
                <w:bCs w:val="0"/>
                <w:sz w:val="20"/>
                <w:szCs w:val="20"/>
              </w:rPr>
            </w:pPr>
            <w:r w:rsidRPr="00720B36">
              <w:rPr>
                <w:rFonts w:ascii="Arial" w:hAnsi="Arial" w:cs="Arial"/>
                <w:b w:val="0"/>
                <w:bCs w:val="0"/>
                <w:sz w:val="20"/>
                <w:szCs w:val="20"/>
              </w:rPr>
              <w:t>Rec. 7. Clarify the types of professionals that can submit evidence for applications to schools for students with physical disability.</w:t>
            </w:r>
          </w:p>
        </w:tc>
        <w:tc>
          <w:tcPr>
            <w:tcW w:w="1690" w:type="dxa"/>
            <w:tcBorders>
              <w:top w:val="single" w:sz="4" w:space="0" w:color="1F1646" w:themeColor="accent3"/>
            </w:tcBorders>
          </w:tcPr>
          <w:p w14:paraId="5BD24ACA" w14:textId="77777777" w:rsidR="00720B36" w:rsidRPr="00720B36" w:rsidRDefault="00720B36" w:rsidP="00B308D3">
            <w:pPr>
              <w:cnfStyle w:val="000000000000" w:firstRow="0" w:lastRow="0" w:firstColumn="0" w:lastColumn="0" w:oddVBand="0" w:evenVBand="0" w:oddHBand="0" w:evenHBand="0" w:firstRowFirstColumn="0" w:firstRowLastColumn="0" w:lastRowFirstColumn="0" w:lastRowLastColumn="0"/>
            </w:pPr>
            <w:r w:rsidRPr="00720B36">
              <w:rPr>
                <w:rFonts w:ascii="Arial" w:hAnsi="Arial" w:cs="Arial"/>
              </w:rPr>
              <w:t xml:space="preserve">Accept </w:t>
            </w:r>
          </w:p>
        </w:tc>
        <w:tc>
          <w:tcPr>
            <w:tcW w:w="4240" w:type="dxa"/>
            <w:gridSpan w:val="2"/>
            <w:tcBorders>
              <w:top w:val="single" w:sz="4" w:space="0" w:color="1F1646" w:themeColor="accent3"/>
            </w:tcBorders>
          </w:tcPr>
          <w:p w14:paraId="1964075B" w14:textId="77777777" w:rsidR="00720B36" w:rsidRDefault="00720B36" w:rsidP="00B308D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720B36">
              <w:rPr>
                <w:rFonts w:ascii="Arial" w:hAnsi="Arial" w:cs="Arial"/>
              </w:rPr>
              <w:t>The department will update the enrolment guidance for physical disability schools to clarify the types of professionals that can submit supporting evidence. </w:t>
            </w:r>
          </w:p>
          <w:p w14:paraId="2D8C12C2" w14:textId="77777777" w:rsidR="00806D00" w:rsidRPr="00720B36" w:rsidRDefault="00806D00" w:rsidP="00B308D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20B36" w14:paraId="425C84C6" w14:textId="77777777" w:rsidTr="04631B23">
        <w:trPr>
          <w:trHeight w:val="466"/>
        </w:trPr>
        <w:tc>
          <w:tcPr>
            <w:cnfStyle w:val="001000000000" w:firstRow="0" w:lastRow="0" w:firstColumn="1" w:lastColumn="0" w:oddVBand="0" w:evenVBand="0" w:oddHBand="0" w:evenHBand="0" w:firstRowFirstColumn="0" w:firstRowLastColumn="0" w:lastRowFirstColumn="0" w:lastRowLastColumn="0"/>
            <w:tcW w:w="3697" w:type="dxa"/>
            <w:gridSpan w:val="2"/>
            <w:tcBorders>
              <w:top w:val="single" w:sz="4" w:space="0" w:color="1F1646" w:themeColor="accent3"/>
            </w:tcBorders>
          </w:tcPr>
          <w:p w14:paraId="488C620B" w14:textId="77777777" w:rsidR="00720B36" w:rsidRPr="00720B36" w:rsidRDefault="00720B36" w:rsidP="00B308D3">
            <w:pPr>
              <w:pStyle w:val="TableHead"/>
              <w:rPr>
                <w:b w:val="0"/>
                <w:bCs w:val="0"/>
                <w:sz w:val="20"/>
                <w:szCs w:val="20"/>
              </w:rPr>
            </w:pPr>
            <w:r w:rsidRPr="00720B36">
              <w:rPr>
                <w:rFonts w:ascii="Arial" w:hAnsi="Arial" w:cs="Arial"/>
                <w:b w:val="0"/>
                <w:bCs w:val="0"/>
                <w:sz w:val="20"/>
                <w:szCs w:val="20"/>
              </w:rPr>
              <w:t>Rec. 8. Ensure consistent eligibility criteria are used by all schools of the same type as appropriate.</w:t>
            </w:r>
          </w:p>
        </w:tc>
        <w:tc>
          <w:tcPr>
            <w:tcW w:w="1690" w:type="dxa"/>
            <w:tcBorders>
              <w:top w:val="single" w:sz="4" w:space="0" w:color="1F1646" w:themeColor="accent3"/>
            </w:tcBorders>
          </w:tcPr>
          <w:p w14:paraId="4C9A193C" w14:textId="77777777" w:rsidR="00720B36" w:rsidRPr="00720B36" w:rsidRDefault="00720B36" w:rsidP="00B308D3">
            <w:pPr>
              <w:cnfStyle w:val="000000000000" w:firstRow="0" w:lastRow="0" w:firstColumn="0" w:lastColumn="0" w:oddVBand="0" w:evenVBand="0" w:oddHBand="0" w:evenHBand="0" w:firstRowFirstColumn="0" w:firstRowLastColumn="0" w:lastRowFirstColumn="0" w:lastRowLastColumn="0"/>
            </w:pPr>
            <w:r w:rsidRPr="00720B36">
              <w:rPr>
                <w:rFonts w:ascii="Arial" w:hAnsi="Arial" w:cs="Arial"/>
              </w:rPr>
              <w:t xml:space="preserve">Accept </w:t>
            </w:r>
          </w:p>
        </w:tc>
        <w:tc>
          <w:tcPr>
            <w:tcW w:w="4240" w:type="dxa"/>
            <w:gridSpan w:val="2"/>
            <w:tcBorders>
              <w:top w:val="single" w:sz="4" w:space="0" w:color="1F1646" w:themeColor="accent3"/>
            </w:tcBorders>
          </w:tcPr>
          <w:p w14:paraId="72D5A8DF" w14:textId="77777777" w:rsidR="00720B36" w:rsidRDefault="00720B36" w:rsidP="00B308D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720B36">
              <w:rPr>
                <w:rFonts w:ascii="Arial" w:hAnsi="Arial" w:cs="Arial"/>
              </w:rPr>
              <w:t>The department will keep supporting consistent eligibility criteria among specialist schools, by encouraging them to use the enrolment policy template.</w:t>
            </w:r>
          </w:p>
          <w:p w14:paraId="4EC6F973" w14:textId="77777777" w:rsidR="00806D00" w:rsidRPr="00720B36" w:rsidRDefault="00806D00" w:rsidP="00B308D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20B36" w14:paraId="77684CC7" w14:textId="77777777" w:rsidTr="04631B23">
        <w:trPr>
          <w:trHeight w:val="466"/>
        </w:trPr>
        <w:tc>
          <w:tcPr>
            <w:cnfStyle w:val="001000000000" w:firstRow="0" w:lastRow="0" w:firstColumn="1" w:lastColumn="0" w:oddVBand="0" w:evenVBand="0" w:oddHBand="0" w:evenHBand="0" w:firstRowFirstColumn="0" w:firstRowLastColumn="0" w:lastRowFirstColumn="0" w:lastRowLastColumn="0"/>
            <w:tcW w:w="3697" w:type="dxa"/>
            <w:gridSpan w:val="2"/>
            <w:tcBorders>
              <w:top w:val="single" w:sz="4" w:space="0" w:color="1F1646" w:themeColor="accent3"/>
            </w:tcBorders>
          </w:tcPr>
          <w:p w14:paraId="725E6B28" w14:textId="77777777" w:rsidR="00720B36" w:rsidRPr="00720B36" w:rsidRDefault="00720B36" w:rsidP="00B308D3">
            <w:pPr>
              <w:pStyle w:val="TableHead"/>
              <w:rPr>
                <w:sz w:val="20"/>
                <w:szCs w:val="20"/>
              </w:rPr>
            </w:pPr>
            <w:r w:rsidRPr="00720B36">
              <w:rPr>
                <w:rFonts w:ascii="Arial" w:hAnsi="Arial" w:cs="Arial"/>
                <w:sz w:val="20"/>
                <w:szCs w:val="20"/>
              </w:rPr>
              <w:t>Theme 3: Update Processes</w:t>
            </w:r>
          </w:p>
        </w:tc>
        <w:tc>
          <w:tcPr>
            <w:tcW w:w="1690" w:type="dxa"/>
            <w:tcBorders>
              <w:top w:val="single" w:sz="4" w:space="0" w:color="1F1646" w:themeColor="accent3"/>
            </w:tcBorders>
          </w:tcPr>
          <w:p w14:paraId="2B41C575" w14:textId="77777777" w:rsidR="00720B36" w:rsidRPr="004602F5" w:rsidRDefault="00720B36" w:rsidP="00B308D3">
            <w:pPr>
              <w:cnfStyle w:val="000000000000" w:firstRow="0" w:lastRow="0" w:firstColumn="0" w:lastColumn="0" w:oddVBand="0" w:evenVBand="0" w:oddHBand="0" w:evenHBand="0" w:firstRowFirstColumn="0" w:firstRowLastColumn="0" w:lastRowFirstColumn="0" w:lastRowLastColumn="0"/>
            </w:pPr>
          </w:p>
        </w:tc>
        <w:tc>
          <w:tcPr>
            <w:tcW w:w="4240" w:type="dxa"/>
            <w:gridSpan w:val="2"/>
            <w:tcBorders>
              <w:top w:val="single" w:sz="4" w:space="0" w:color="1F1646" w:themeColor="accent3"/>
            </w:tcBorders>
          </w:tcPr>
          <w:p w14:paraId="1540F0F3" w14:textId="77777777" w:rsidR="00720B36" w:rsidRPr="004602F5" w:rsidRDefault="00720B36" w:rsidP="00B308D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20B36" w14:paraId="209500FE" w14:textId="77777777" w:rsidTr="04631B23">
        <w:trPr>
          <w:trHeight w:val="466"/>
        </w:trPr>
        <w:tc>
          <w:tcPr>
            <w:cnfStyle w:val="001000000000" w:firstRow="0" w:lastRow="0" w:firstColumn="1" w:lastColumn="0" w:oddVBand="0" w:evenVBand="0" w:oddHBand="0" w:evenHBand="0" w:firstRowFirstColumn="0" w:firstRowLastColumn="0" w:lastRowFirstColumn="0" w:lastRowLastColumn="0"/>
            <w:tcW w:w="3697" w:type="dxa"/>
            <w:gridSpan w:val="2"/>
            <w:tcBorders>
              <w:top w:val="single" w:sz="4" w:space="0" w:color="1F1646" w:themeColor="accent3"/>
            </w:tcBorders>
          </w:tcPr>
          <w:p w14:paraId="77565877" w14:textId="77777777" w:rsidR="00720B36" w:rsidRPr="00720B36" w:rsidRDefault="00720B36" w:rsidP="00B308D3">
            <w:pPr>
              <w:pStyle w:val="TableHead"/>
              <w:rPr>
                <w:b w:val="0"/>
                <w:bCs w:val="0"/>
                <w:sz w:val="20"/>
                <w:szCs w:val="20"/>
              </w:rPr>
            </w:pPr>
            <w:r w:rsidRPr="00720B36">
              <w:rPr>
                <w:rFonts w:ascii="Arial" w:hAnsi="Arial" w:cs="Arial"/>
                <w:b w:val="0"/>
                <w:bCs w:val="0"/>
                <w:sz w:val="20"/>
                <w:szCs w:val="20"/>
              </w:rPr>
              <w:lastRenderedPageBreak/>
              <w:t>Rec. 9. Define and apply a standardised approach to enrolling students in specialist schools.</w:t>
            </w:r>
          </w:p>
        </w:tc>
        <w:tc>
          <w:tcPr>
            <w:tcW w:w="1690" w:type="dxa"/>
            <w:tcBorders>
              <w:top w:val="single" w:sz="4" w:space="0" w:color="1F1646" w:themeColor="accent3"/>
            </w:tcBorders>
          </w:tcPr>
          <w:p w14:paraId="468CB5E8" w14:textId="77777777" w:rsidR="00720B36" w:rsidRPr="00720B36" w:rsidRDefault="00720B36" w:rsidP="00B308D3">
            <w:pPr>
              <w:cnfStyle w:val="000000000000" w:firstRow="0" w:lastRow="0" w:firstColumn="0" w:lastColumn="0" w:oddVBand="0" w:evenVBand="0" w:oddHBand="0" w:evenHBand="0" w:firstRowFirstColumn="0" w:firstRowLastColumn="0" w:lastRowFirstColumn="0" w:lastRowLastColumn="0"/>
            </w:pPr>
            <w:r w:rsidRPr="00720B36">
              <w:rPr>
                <w:rFonts w:ascii="Arial" w:hAnsi="Arial" w:cs="Arial"/>
              </w:rPr>
              <w:t xml:space="preserve">Accept </w:t>
            </w:r>
          </w:p>
        </w:tc>
        <w:tc>
          <w:tcPr>
            <w:tcW w:w="4240" w:type="dxa"/>
            <w:gridSpan w:val="2"/>
            <w:tcBorders>
              <w:top w:val="single" w:sz="4" w:space="0" w:color="1F1646" w:themeColor="accent3"/>
            </w:tcBorders>
          </w:tcPr>
          <w:p w14:paraId="1F2B55AE" w14:textId="77777777" w:rsidR="00720B36" w:rsidRPr="00720B36" w:rsidRDefault="00720B36" w:rsidP="00B308D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720B36">
              <w:rPr>
                <w:rFonts w:ascii="Arial" w:hAnsi="Arial" w:cs="Arial"/>
              </w:rPr>
              <w:t>The department will create and apply a standard way to enrol students in specialist schools, so the process is clear, fair and consistent.</w:t>
            </w:r>
          </w:p>
          <w:p w14:paraId="5C82CA3A" w14:textId="72CACB94" w:rsidR="00720B36" w:rsidRPr="00720B36" w:rsidRDefault="00720B36" w:rsidP="00B308D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720B36">
              <w:rPr>
                <w:rFonts w:ascii="Arial" w:hAnsi="Arial" w:cs="Arial"/>
              </w:rPr>
              <w:t>Work will also start on exploring the option of making the timing of enrolment intake</w:t>
            </w:r>
            <w:r w:rsidR="00110438">
              <w:rPr>
                <w:rFonts w:ascii="Arial" w:hAnsi="Arial" w:cs="Arial"/>
              </w:rPr>
              <w:t>s</w:t>
            </w:r>
            <w:r w:rsidRPr="00720B36">
              <w:rPr>
                <w:rFonts w:ascii="Arial" w:hAnsi="Arial" w:cs="Arial"/>
              </w:rPr>
              <w:t xml:space="preserve"> the same across specialist schools, similar to the Year </w:t>
            </w:r>
            <w:r w:rsidR="00110438">
              <w:rPr>
                <w:rFonts w:ascii="Arial" w:hAnsi="Arial" w:cs="Arial"/>
              </w:rPr>
              <w:t xml:space="preserve">6 to </w:t>
            </w:r>
            <w:r w:rsidRPr="00720B36">
              <w:rPr>
                <w:rFonts w:ascii="Arial" w:hAnsi="Arial" w:cs="Arial"/>
              </w:rPr>
              <w:t>7 and Foundation enrolment timeline</w:t>
            </w:r>
            <w:r w:rsidR="00110438">
              <w:rPr>
                <w:rFonts w:ascii="Arial" w:hAnsi="Arial" w:cs="Arial"/>
              </w:rPr>
              <w:t>s</w:t>
            </w:r>
            <w:r w:rsidRPr="00720B36">
              <w:rPr>
                <w:rFonts w:ascii="Arial" w:hAnsi="Arial" w:cs="Arial"/>
              </w:rPr>
              <w:t xml:space="preserve">. This will help schools plan ahead. </w:t>
            </w:r>
          </w:p>
        </w:tc>
      </w:tr>
      <w:tr w:rsidR="00720B36" w14:paraId="7F3CEECF" w14:textId="77777777" w:rsidTr="04631B23">
        <w:trPr>
          <w:trHeight w:val="466"/>
        </w:trPr>
        <w:tc>
          <w:tcPr>
            <w:cnfStyle w:val="001000000000" w:firstRow="0" w:lastRow="0" w:firstColumn="1" w:lastColumn="0" w:oddVBand="0" w:evenVBand="0" w:oddHBand="0" w:evenHBand="0" w:firstRowFirstColumn="0" w:firstRowLastColumn="0" w:lastRowFirstColumn="0" w:lastRowLastColumn="0"/>
            <w:tcW w:w="3697" w:type="dxa"/>
            <w:gridSpan w:val="2"/>
            <w:tcBorders>
              <w:top w:val="single" w:sz="4" w:space="0" w:color="1F1646" w:themeColor="accent3"/>
            </w:tcBorders>
          </w:tcPr>
          <w:p w14:paraId="0F53D5A9" w14:textId="2FF9DD77" w:rsidR="00720B36" w:rsidRPr="00720B36" w:rsidRDefault="00720B36" w:rsidP="00B308D3">
            <w:pPr>
              <w:pStyle w:val="TableHead"/>
              <w:rPr>
                <w:b w:val="0"/>
                <w:bCs w:val="0"/>
                <w:sz w:val="20"/>
                <w:szCs w:val="20"/>
              </w:rPr>
            </w:pPr>
            <w:r w:rsidRPr="05026582">
              <w:rPr>
                <w:rFonts w:ascii="Arial" w:hAnsi="Arial" w:cs="Arial"/>
                <w:b w:val="0"/>
                <w:bCs w:val="0"/>
                <w:sz w:val="20"/>
                <w:szCs w:val="20"/>
              </w:rPr>
              <w:t xml:space="preserve">Rec. 10. Adjust the eligibility review process to focus on identifying the educational setting that is </w:t>
            </w:r>
            <w:r w:rsidR="5E215649" w:rsidRPr="05026582">
              <w:rPr>
                <w:rFonts w:ascii="Arial" w:hAnsi="Arial" w:cs="Arial"/>
                <w:b w:val="0"/>
                <w:bCs w:val="0"/>
                <w:sz w:val="20"/>
                <w:szCs w:val="20"/>
              </w:rPr>
              <w:t>best placed</w:t>
            </w:r>
            <w:r w:rsidRPr="05026582">
              <w:rPr>
                <w:rFonts w:ascii="Arial" w:hAnsi="Arial" w:cs="Arial"/>
                <w:b w:val="0"/>
                <w:bCs w:val="0"/>
                <w:sz w:val="20"/>
                <w:szCs w:val="20"/>
              </w:rPr>
              <w:t xml:space="preserve"> to support each student.</w:t>
            </w:r>
          </w:p>
        </w:tc>
        <w:tc>
          <w:tcPr>
            <w:tcW w:w="1690" w:type="dxa"/>
            <w:tcBorders>
              <w:top w:val="single" w:sz="4" w:space="0" w:color="1F1646" w:themeColor="accent3"/>
            </w:tcBorders>
          </w:tcPr>
          <w:p w14:paraId="1E386F84" w14:textId="77777777" w:rsidR="00720B36" w:rsidRPr="00720B36" w:rsidRDefault="00720B36" w:rsidP="00B308D3">
            <w:pPr>
              <w:cnfStyle w:val="000000000000" w:firstRow="0" w:lastRow="0" w:firstColumn="0" w:lastColumn="0" w:oddVBand="0" w:evenVBand="0" w:oddHBand="0" w:evenHBand="0" w:firstRowFirstColumn="0" w:firstRowLastColumn="0" w:lastRowFirstColumn="0" w:lastRowLastColumn="0"/>
            </w:pPr>
            <w:r w:rsidRPr="00720B36">
              <w:rPr>
                <w:rFonts w:ascii="Arial" w:hAnsi="Arial" w:cs="Arial"/>
              </w:rPr>
              <w:t xml:space="preserve">Accept </w:t>
            </w:r>
          </w:p>
        </w:tc>
        <w:tc>
          <w:tcPr>
            <w:tcW w:w="4240" w:type="dxa"/>
            <w:gridSpan w:val="2"/>
            <w:tcBorders>
              <w:top w:val="single" w:sz="4" w:space="0" w:color="1F1646" w:themeColor="accent3"/>
            </w:tcBorders>
          </w:tcPr>
          <w:p w14:paraId="761ADA7D" w14:textId="77777777" w:rsidR="00720B36" w:rsidRPr="00720B36" w:rsidRDefault="00720B36" w:rsidP="00B308D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720B36">
              <w:rPr>
                <w:rFonts w:ascii="Arial" w:hAnsi="Arial" w:cs="Arial"/>
              </w:rPr>
              <w:t xml:space="preserve">The department will revise the approach to eligibility reviews, so that students won’t have to leave a specialist school based on their IQ score alone, if that school is the best place for their learning needs.  </w:t>
            </w:r>
          </w:p>
        </w:tc>
      </w:tr>
      <w:tr w:rsidR="00720B36" w14:paraId="1A6CA706" w14:textId="77777777" w:rsidTr="04631B23">
        <w:trPr>
          <w:trHeight w:val="466"/>
        </w:trPr>
        <w:tc>
          <w:tcPr>
            <w:cnfStyle w:val="001000000000" w:firstRow="0" w:lastRow="0" w:firstColumn="1" w:lastColumn="0" w:oddVBand="0" w:evenVBand="0" w:oddHBand="0" w:evenHBand="0" w:firstRowFirstColumn="0" w:firstRowLastColumn="0" w:lastRowFirstColumn="0" w:lastRowLastColumn="0"/>
            <w:tcW w:w="3697" w:type="dxa"/>
            <w:gridSpan w:val="2"/>
            <w:tcBorders>
              <w:top w:val="single" w:sz="4" w:space="0" w:color="1F1646" w:themeColor="accent3"/>
              <w:bottom w:val="single" w:sz="4" w:space="0" w:color="1F1646" w:themeColor="accent3"/>
            </w:tcBorders>
          </w:tcPr>
          <w:p w14:paraId="5FA26FB6" w14:textId="77777777" w:rsidR="00720B36" w:rsidRPr="00720B36" w:rsidRDefault="00720B36" w:rsidP="00B308D3">
            <w:pPr>
              <w:pStyle w:val="TableHead"/>
              <w:rPr>
                <w:sz w:val="20"/>
                <w:szCs w:val="20"/>
              </w:rPr>
            </w:pPr>
            <w:r w:rsidRPr="00720B36">
              <w:rPr>
                <w:rFonts w:ascii="Arial" w:hAnsi="Arial" w:cs="Arial"/>
                <w:sz w:val="20"/>
                <w:szCs w:val="20"/>
              </w:rPr>
              <w:t>Theme 4: Improve Data Collection</w:t>
            </w:r>
          </w:p>
        </w:tc>
        <w:tc>
          <w:tcPr>
            <w:tcW w:w="1690" w:type="dxa"/>
            <w:tcBorders>
              <w:top w:val="single" w:sz="4" w:space="0" w:color="1F1646" w:themeColor="accent3"/>
              <w:bottom w:val="single" w:sz="4" w:space="0" w:color="1F1646" w:themeColor="accent3"/>
            </w:tcBorders>
          </w:tcPr>
          <w:p w14:paraId="75A48456" w14:textId="77777777" w:rsidR="00720B36" w:rsidRPr="004602F5" w:rsidRDefault="00720B36" w:rsidP="00B308D3">
            <w:pPr>
              <w:cnfStyle w:val="000000000000" w:firstRow="0" w:lastRow="0" w:firstColumn="0" w:lastColumn="0" w:oddVBand="0" w:evenVBand="0" w:oddHBand="0" w:evenHBand="0" w:firstRowFirstColumn="0" w:firstRowLastColumn="0" w:lastRowFirstColumn="0" w:lastRowLastColumn="0"/>
            </w:pPr>
          </w:p>
        </w:tc>
        <w:tc>
          <w:tcPr>
            <w:tcW w:w="4240" w:type="dxa"/>
            <w:gridSpan w:val="2"/>
            <w:tcBorders>
              <w:top w:val="single" w:sz="4" w:space="0" w:color="1F1646" w:themeColor="accent3"/>
              <w:bottom w:val="single" w:sz="4" w:space="0" w:color="1F1646" w:themeColor="accent3"/>
            </w:tcBorders>
          </w:tcPr>
          <w:p w14:paraId="4375D4AC" w14:textId="77777777" w:rsidR="00720B36" w:rsidRPr="004602F5" w:rsidRDefault="00720B36" w:rsidP="00B308D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20B36" w14:paraId="53A224BE" w14:textId="77777777" w:rsidTr="04631B23">
        <w:trPr>
          <w:trHeight w:val="466"/>
        </w:trPr>
        <w:tc>
          <w:tcPr>
            <w:cnfStyle w:val="001000000000" w:firstRow="0" w:lastRow="0" w:firstColumn="1" w:lastColumn="0" w:oddVBand="0" w:evenVBand="0" w:oddHBand="0" w:evenHBand="0" w:firstRowFirstColumn="0" w:firstRowLastColumn="0" w:lastRowFirstColumn="0" w:lastRowLastColumn="0"/>
            <w:tcW w:w="3697" w:type="dxa"/>
            <w:gridSpan w:val="2"/>
            <w:tcBorders>
              <w:top w:val="single" w:sz="4" w:space="0" w:color="1F1646" w:themeColor="accent3"/>
              <w:bottom w:val="single" w:sz="4" w:space="0" w:color="auto"/>
            </w:tcBorders>
          </w:tcPr>
          <w:p w14:paraId="5550512B" w14:textId="77777777" w:rsidR="00720B36" w:rsidRPr="00720B36" w:rsidRDefault="00720B36" w:rsidP="00B308D3">
            <w:pPr>
              <w:pStyle w:val="TableHead"/>
              <w:rPr>
                <w:b w:val="0"/>
                <w:bCs w:val="0"/>
                <w:sz w:val="20"/>
                <w:szCs w:val="20"/>
              </w:rPr>
            </w:pPr>
            <w:r w:rsidRPr="00720B36">
              <w:rPr>
                <w:rFonts w:ascii="Arial" w:hAnsi="Arial" w:cs="Arial"/>
                <w:b w:val="0"/>
                <w:bCs w:val="0"/>
                <w:sz w:val="20"/>
                <w:szCs w:val="20"/>
              </w:rPr>
              <w:t>Rec. 11. Improve the collection of data relating to specialist school enrolment.</w:t>
            </w:r>
          </w:p>
        </w:tc>
        <w:tc>
          <w:tcPr>
            <w:tcW w:w="1690" w:type="dxa"/>
            <w:tcBorders>
              <w:top w:val="single" w:sz="4" w:space="0" w:color="1F1646" w:themeColor="accent3"/>
              <w:bottom w:val="single" w:sz="4" w:space="0" w:color="auto"/>
            </w:tcBorders>
          </w:tcPr>
          <w:p w14:paraId="0546BD1C" w14:textId="77777777" w:rsidR="00720B36" w:rsidRPr="00720B36" w:rsidRDefault="00720B36" w:rsidP="00B308D3">
            <w:pPr>
              <w:cnfStyle w:val="000000000000" w:firstRow="0" w:lastRow="0" w:firstColumn="0" w:lastColumn="0" w:oddVBand="0" w:evenVBand="0" w:oddHBand="0" w:evenHBand="0" w:firstRowFirstColumn="0" w:firstRowLastColumn="0" w:lastRowFirstColumn="0" w:lastRowLastColumn="0"/>
            </w:pPr>
            <w:r w:rsidRPr="00720B36">
              <w:rPr>
                <w:rFonts w:ascii="Arial" w:hAnsi="Arial" w:cs="Arial"/>
              </w:rPr>
              <w:t xml:space="preserve">Accept </w:t>
            </w:r>
          </w:p>
        </w:tc>
        <w:tc>
          <w:tcPr>
            <w:tcW w:w="4240" w:type="dxa"/>
            <w:gridSpan w:val="2"/>
            <w:tcBorders>
              <w:top w:val="single" w:sz="4" w:space="0" w:color="1F1646" w:themeColor="accent3"/>
              <w:bottom w:val="single" w:sz="4" w:space="0" w:color="auto"/>
            </w:tcBorders>
          </w:tcPr>
          <w:p w14:paraId="05D19086" w14:textId="77777777" w:rsidR="00720B36" w:rsidRPr="00720B36" w:rsidRDefault="00720B36" w:rsidP="00B308D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720B36">
              <w:rPr>
                <w:rFonts w:ascii="Arial" w:hAnsi="Arial" w:cs="Arial"/>
              </w:rPr>
              <w:t xml:space="preserve">The department will improve how specialist school enrolment data is collected. This will allow the department to keep track of non-standard enrolments and better understand patterns for planning and improvement. </w:t>
            </w:r>
          </w:p>
        </w:tc>
      </w:tr>
    </w:tbl>
    <w:p w14:paraId="57FC89E9" w14:textId="77777777" w:rsidR="00720B36" w:rsidRPr="001B78D5" w:rsidRDefault="00720B36" w:rsidP="00720B36">
      <w:pPr>
        <w:pStyle w:val="Heading2"/>
      </w:pPr>
      <w:bookmarkStart w:id="53" w:name="_Toc209685597"/>
      <w:r>
        <w:t>Contact for further information</w:t>
      </w:r>
      <w:bookmarkEnd w:id="53"/>
    </w:p>
    <w:p w14:paraId="500AB7FA" w14:textId="4882CB07" w:rsidR="00720B36" w:rsidRDefault="00720B36" w:rsidP="00806D00">
      <w:pPr>
        <w:spacing w:before="360"/>
        <w:rPr>
          <w:rFonts w:ascii="Arial" w:hAnsi="Arial" w:cs="Arial"/>
        </w:rPr>
      </w:pPr>
      <w:r>
        <w:rPr>
          <w:rFonts w:ascii="Arial" w:hAnsi="Arial" w:cs="Arial"/>
        </w:rPr>
        <w:t>F</w:t>
      </w:r>
      <w:r w:rsidRPr="00720B36">
        <w:rPr>
          <w:rFonts w:ascii="Arial" w:hAnsi="Arial" w:cs="Arial"/>
        </w:rPr>
        <w:t xml:space="preserve">or queries or feedback about the review, please email </w:t>
      </w:r>
      <w:hyperlink r:id="rId18" w:history="1">
        <w:r w:rsidRPr="00720B36">
          <w:rPr>
            <w:rStyle w:val="Hyperlink"/>
            <w:rFonts w:ascii="Arial" w:hAnsi="Arial" w:cs="Arial"/>
          </w:rPr>
          <w:t>disability.inclusion@education.vic.gov.au</w:t>
        </w:r>
      </w:hyperlink>
      <w:r w:rsidRPr="00720B36">
        <w:rPr>
          <w:rFonts w:ascii="Arial" w:hAnsi="Arial" w:cs="Arial"/>
        </w:rPr>
        <w:t>.</w:t>
      </w:r>
    </w:p>
    <w:p w14:paraId="74825EFB" w14:textId="77777777" w:rsidR="00806D00" w:rsidRDefault="00806D00" w:rsidP="00720B36"/>
    <w:p w14:paraId="0DA95CA7" w14:textId="6E560172" w:rsidR="00D417BD" w:rsidRPr="00720B36" w:rsidRDefault="00720B36" w:rsidP="00720B36">
      <w:r w:rsidRPr="00720B36">
        <w:t xml:space="preserve">For more information about the supports available to schools, please see </w:t>
      </w:r>
      <w:hyperlink r:id="rId19">
        <w:r w:rsidRPr="00720B36">
          <w:rPr>
            <w:rStyle w:val="Hyperlink"/>
            <w:rFonts w:cstheme="minorHAnsi"/>
          </w:rPr>
          <w:t>www.education.vic.gov.au/parents/additional-needs/Pages/default.aspx</w:t>
        </w:r>
      </w:hyperlink>
    </w:p>
    <w:p w14:paraId="79B53AB0" w14:textId="77777777" w:rsidR="00D417BD" w:rsidRPr="00720B36" w:rsidRDefault="00D417BD" w:rsidP="00720B36"/>
    <w:sectPr w:rsidR="00D417BD" w:rsidRPr="00720B36" w:rsidSect="001B78D5">
      <w:headerReference w:type="even" r:id="rId20"/>
      <w:headerReference w:type="default" r:id="rId21"/>
      <w:footerReference w:type="default" r:id="rId22"/>
      <w:headerReference w:type="first" r:id="rId23"/>
      <w:pgSz w:w="11900" w:h="16840"/>
      <w:pgMar w:top="1134" w:right="1134" w:bottom="1701" w:left="1134" w:header="709" w:footer="2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72041" w14:textId="77777777" w:rsidR="009A0866" w:rsidRDefault="009A0866" w:rsidP="001B78D5">
      <w:r>
        <w:separator/>
      </w:r>
    </w:p>
  </w:endnote>
  <w:endnote w:type="continuationSeparator" w:id="0">
    <w:p w14:paraId="78F75C63" w14:textId="77777777" w:rsidR="009A0866" w:rsidRDefault="009A0866" w:rsidP="001B7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97655" w14:textId="77777777" w:rsidR="00A31926" w:rsidRDefault="00A31926" w:rsidP="001B78D5">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5FD6669" w14:textId="77777777" w:rsidR="00A31926" w:rsidRDefault="00A31926" w:rsidP="001B78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AC3F4" w14:textId="05BCFFE0" w:rsidR="005B0075" w:rsidRDefault="005B0075">
    <w:pPr>
      <w:pStyle w:val="Footer"/>
    </w:pPr>
    <w:r>
      <w:t>Last updated 21 November 2025</w:t>
    </w:r>
  </w:p>
  <w:p w14:paraId="3093CCCC" w14:textId="77777777" w:rsidR="005B0075" w:rsidRDefault="005B00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D8431" w14:textId="0E5F0B5B" w:rsidR="00714D72" w:rsidRPr="001B78D5" w:rsidRDefault="00973EE6" w:rsidP="001B78D5">
    <w:pPr>
      <w:pStyle w:val="Copyrighttext"/>
      <w:spacing w:line="160" w:lineRule="exact"/>
      <w:rPr>
        <w:sz w:val="13"/>
        <w:szCs w:val="13"/>
      </w:rPr>
    </w:pPr>
    <w:r w:rsidRPr="001B78D5">
      <w:rPr>
        <w:noProof/>
        <w:sz w:val="13"/>
        <w:szCs w:val="13"/>
      </w:rPr>
      <w:drawing>
        <wp:anchor distT="0" distB="0" distL="114300" distR="114300" simplePos="0" relativeHeight="251658241" behindDoc="0" locked="0" layoutInCell="1" allowOverlap="1" wp14:anchorId="1184AF1D" wp14:editId="2A3EB74A">
          <wp:simplePos x="0" y="0"/>
          <wp:positionH relativeFrom="column">
            <wp:posOffset>6350</wp:posOffset>
          </wp:positionH>
          <wp:positionV relativeFrom="paragraph">
            <wp:posOffset>228600</wp:posOffset>
          </wp:positionV>
          <wp:extent cx="485140" cy="172720"/>
          <wp:effectExtent l="0" t="0" r="0" b="5080"/>
          <wp:wrapTopAndBottom/>
          <wp:docPr id="583597797" name="Picture 5835977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485140" cy="172720"/>
                  </a:xfrm>
                  <a:prstGeom prst="rect">
                    <a:avLst/>
                  </a:prstGeom>
                </pic:spPr>
              </pic:pic>
            </a:graphicData>
          </a:graphic>
          <wp14:sizeRelH relativeFrom="page">
            <wp14:pctWidth>0</wp14:pctWidth>
          </wp14:sizeRelH>
          <wp14:sizeRelV relativeFrom="page">
            <wp14:pctHeight>0</wp14:pctHeight>
          </wp14:sizeRelV>
        </wp:anchor>
      </w:drawing>
    </w:r>
    <w:r w:rsidR="00714D72" w:rsidRPr="001B78D5">
      <w:rPr>
        <w:sz w:val="13"/>
        <w:szCs w:val="13"/>
      </w:rPr>
      <w:t xml:space="preserve">© State of Victoria (Department of Education) </w:t>
    </w:r>
    <w:r w:rsidR="00714D72" w:rsidRPr="00BB5C73">
      <w:rPr>
        <w:sz w:val="13"/>
        <w:szCs w:val="13"/>
      </w:rPr>
      <w:t>20</w:t>
    </w:r>
    <w:r w:rsidR="00144FD5" w:rsidRPr="00BB5C73">
      <w:rPr>
        <w:sz w:val="13"/>
        <w:szCs w:val="13"/>
      </w:rPr>
      <w:t>2</w:t>
    </w:r>
    <w:r w:rsidR="007A5AEC" w:rsidRPr="00BB5C73">
      <w:rPr>
        <w:sz w:val="13"/>
        <w:szCs w:val="13"/>
      </w:rPr>
      <w:t>5</w:t>
    </w:r>
  </w:p>
  <w:p w14:paraId="5B94F8C2" w14:textId="762BB31C" w:rsidR="00714D72" w:rsidRPr="001B78D5" w:rsidRDefault="00B23D73" w:rsidP="001B78D5">
    <w:pPr>
      <w:pStyle w:val="Copyrighttext"/>
      <w:spacing w:line="160" w:lineRule="exact"/>
      <w:ind w:right="-7"/>
      <w:rPr>
        <w:sz w:val="13"/>
        <w:szCs w:val="13"/>
      </w:rPr>
    </w:pPr>
    <w:r w:rsidRPr="34068A25">
      <w:rPr>
        <w:sz w:val="13"/>
        <w:szCs w:val="13"/>
      </w:rPr>
      <w:t xml:space="preserve">Specialist School Eligibility Review </w:t>
    </w:r>
    <w:r>
      <w:rPr>
        <w:sz w:val="13"/>
        <w:szCs w:val="13"/>
      </w:rPr>
      <w:t>r</w:t>
    </w:r>
    <w:r w:rsidRPr="34068A25">
      <w:rPr>
        <w:sz w:val="13"/>
        <w:szCs w:val="13"/>
      </w:rPr>
      <w:t xml:space="preserve">eport </w:t>
    </w:r>
    <w:r>
      <w:rPr>
        <w:sz w:val="13"/>
        <w:szCs w:val="13"/>
      </w:rPr>
      <w:t>s</w:t>
    </w:r>
    <w:r w:rsidRPr="34068A25">
      <w:rPr>
        <w:sz w:val="13"/>
        <w:szCs w:val="13"/>
      </w:rPr>
      <w:t>ummary</w:t>
    </w:r>
    <w:r w:rsidR="00714D72" w:rsidRPr="001B78D5">
      <w:rPr>
        <w:sz w:val="13"/>
        <w:szCs w:val="13"/>
      </w:rPr>
      <w:t xml:space="preserve"> is provided under a Creative Commons Attribution 4.0 International licence. You</w:t>
    </w:r>
    <w:r w:rsidR="001B78D5">
      <w:rPr>
        <w:sz w:val="13"/>
        <w:szCs w:val="13"/>
      </w:rPr>
      <w:t xml:space="preserve"> </w:t>
    </w:r>
    <w:r w:rsidR="00714D72" w:rsidRPr="001B78D5">
      <w:rPr>
        <w:sz w:val="13"/>
        <w:szCs w:val="13"/>
      </w:rPr>
      <w:t xml:space="preserve">are free to re-use the work under that licence, on the condition that you credit the State of Victoria (Department of Education), indicate if changes were made and comply with the other licence terms, see: </w:t>
    </w:r>
    <w:hyperlink r:id="rId2" w:history="1">
      <w:r w:rsidR="00714D72" w:rsidRPr="001B78D5">
        <w:rPr>
          <w:rStyle w:val="Hyperlink"/>
          <w:color w:val="auto"/>
          <w:sz w:val="13"/>
          <w:szCs w:val="13"/>
          <w:u w:val="none"/>
        </w:rPr>
        <w:t>Creative Commons Attribution 4.0 International</w:t>
      </w:r>
    </w:hyperlink>
    <w:r w:rsidR="00714D72" w:rsidRPr="001B78D5">
      <w:rPr>
        <w:sz w:val="13"/>
        <w:szCs w:val="13"/>
      </w:rPr>
      <w:t xml:space="preserve"> </w:t>
    </w:r>
  </w:p>
  <w:p w14:paraId="7D1803B7" w14:textId="77777777" w:rsidR="00714D72" w:rsidRPr="001B78D5" w:rsidRDefault="00714D72" w:rsidP="001B78D5">
    <w:pPr>
      <w:pStyle w:val="Copyrighttext"/>
      <w:spacing w:after="0" w:line="160" w:lineRule="exact"/>
      <w:ind w:right="-6"/>
      <w:rPr>
        <w:sz w:val="13"/>
        <w:szCs w:val="13"/>
      </w:rPr>
    </w:pPr>
    <w:r w:rsidRPr="001B78D5">
      <w:rPr>
        <w:sz w:val="13"/>
        <w:szCs w:val="13"/>
      </w:rPr>
      <w:t>The licence does not apply to:</w:t>
    </w:r>
  </w:p>
  <w:p w14:paraId="389A1574" w14:textId="77777777" w:rsidR="00442256" w:rsidRPr="001B78D5" w:rsidRDefault="00442256" w:rsidP="001B78D5">
    <w:pPr>
      <w:pStyle w:val="Bullet1"/>
      <w:spacing w:before="0" w:after="0" w:line="160" w:lineRule="exact"/>
      <w:ind w:right="-6"/>
      <w:rPr>
        <w:sz w:val="13"/>
        <w:szCs w:val="13"/>
      </w:rPr>
    </w:pPr>
    <w:r w:rsidRPr="001B78D5">
      <w:rPr>
        <w:sz w:val="13"/>
        <w:szCs w:val="13"/>
      </w:rPr>
      <w:t>Government logo and the DE logo; and</w:t>
    </w:r>
  </w:p>
  <w:p w14:paraId="0A35DD95" w14:textId="77777777" w:rsidR="00442256" w:rsidRPr="001B78D5" w:rsidRDefault="00442256" w:rsidP="001B78D5">
    <w:pPr>
      <w:pStyle w:val="Bullet1"/>
      <w:spacing w:before="0" w:after="0" w:line="160" w:lineRule="exact"/>
      <w:ind w:right="-6"/>
      <w:rPr>
        <w:sz w:val="13"/>
        <w:szCs w:val="13"/>
      </w:rPr>
    </w:pPr>
    <w:r w:rsidRPr="001B78D5">
      <w:rPr>
        <w:sz w:val="13"/>
        <w:szCs w:val="13"/>
      </w:rPr>
      <w:t>content supplied by third parties.</w:t>
    </w:r>
  </w:p>
  <w:p w14:paraId="09D8F3DE" w14:textId="1641E789" w:rsidR="00A63D55" w:rsidRPr="001B78D5" w:rsidRDefault="00714D72" w:rsidP="001B78D5">
    <w:pPr>
      <w:pStyle w:val="Copyrighttext"/>
      <w:spacing w:line="160" w:lineRule="exact"/>
      <w:ind w:right="-7"/>
      <w:rPr>
        <w:color w:val="201546" w:themeColor="hyperlink"/>
        <w:sz w:val="13"/>
        <w:szCs w:val="13"/>
        <w:u w:val="single"/>
      </w:rPr>
    </w:pPr>
    <w:r w:rsidRPr="001B78D5">
      <w:rPr>
        <w:sz w:val="13"/>
        <w:szCs w:val="13"/>
      </w:rPr>
      <w:t>any images, photographs, trademarks or branding, including the Victorian Copyright queries</w:t>
    </w:r>
    <w:r w:rsidR="00442256" w:rsidRPr="001B78D5">
      <w:rPr>
        <w:sz w:val="13"/>
        <w:szCs w:val="13"/>
      </w:rPr>
      <w:t xml:space="preserve"> </w:t>
    </w:r>
    <w:r w:rsidRPr="001B78D5">
      <w:rPr>
        <w:sz w:val="13"/>
        <w:szCs w:val="13"/>
      </w:rPr>
      <w:t xml:space="preserve">may be directed to </w:t>
    </w:r>
    <w:hyperlink r:id="rId3" w:history="1">
      <w:r w:rsidRPr="001B78D5">
        <w:rPr>
          <w:rStyle w:val="Hyperlink"/>
          <w:sz w:val="13"/>
          <w:szCs w:val="13"/>
        </w:rPr>
        <w:t>copyright@</w:t>
      </w:r>
      <w:r w:rsidR="00144FD5" w:rsidRPr="001B78D5">
        <w:rPr>
          <w:rStyle w:val="Hyperlink"/>
          <w:sz w:val="13"/>
          <w:szCs w:val="13"/>
        </w:rPr>
        <w:t>education.vic.gov.au</w:t>
      </w:r>
    </w:hyperlink>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E3B25" w14:textId="3064F9BD" w:rsidR="00DA5F30" w:rsidRPr="001B78D5" w:rsidRDefault="00DA5F30" w:rsidP="001B78D5">
    <w:pPr>
      <w:pStyle w:val="Footer"/>
      <w:rPr>
        <w:sz w:val="16"/>
        <w:szCs w:val="16"/>
      </w:rPr>
    </w:pPr>
    <w:r w:rsidRPr="001B78D5">
      <w:rPr>
        <w:rStyle w:val="PageNumber"/>
        <w:b/>
        <w:bCs/>
        <w:sz w:val="16"/>
        <w:szCs w:val="16"/>
      </w:rPr>
      <w:fldChar w:fldCharType="begin"/>
    </w:r>
    <w:r w:rsidRPr="001B78D5">
      <w:rPr>
        <w:rStyle w:val="PageNumber"/>
        <w:b/>
        <w:bCs/>
        <w:sz w:val="16"/>
        <w:szCs w:val="16"/>
      </w:rPr>
      <w:instrText xml:space="preserve">PAGE  </w:instrText>
    </w:r>
    <w:r w:rsidRPr="001B78D5">
      <w:rPr>
        <w:rStyle w:val="PageNumber"/>
        <w:b/>
        <w:bCs/>
        <w:sz w:val="16"/>
        <w:szCs w:val="16"/>
      </w:rPr>
      <w:fldChar w:fldCharType="separate"/>
    </w:r>
    <w:r w:rsidR="00635C65" w:rsidRPr="001B78D5">
      <w:rPr>
        <w:rStyle w:val="PageNumber"/>
        <w:b/>
        <w:bCs/>
        <w:noProof/>
        <w:sz w:val="16"/>
        <w:szCs w:val="16"/>
      </w:rPr>
      <w:t>4</w:t>
    </w:r>
    <w:r w:rsidRPr="001B78D5">
      <w:rPr>
        <w:rStyle w:val="PageNumber"/>
        <w:b/>
        <w:bCs/>
        <w:sz w:val="16"/>
        <w:szCs w:val="16"/>
      </w:rPr>
      <w:fldChar w:fldCharType="end"/>
    </w:r>
    <w:r w:rsidR="001B78D5" w:rsidRPr="001B78D5">
      <w:rPr>
        <w:rStyle w:val="PageNumber"/>
        <w:b/>
        <w:bCs/>
        <w:sz w:val="16"/>
        <w:szCs w:val="16"/>
      </w:rPr>
      <w:t xml:space="preserve"> </w:t>
    </w:r>
    <w:r w:rsidR="009563DA" w:rsidRPr="001B78D5">
      <w:rPr>
        <w:rStyle w:val="PageNumber"/>
        <w:sz w:val="16"/>
        <w:szCs w:val="16"/>
      </w:rPr>
      <w:t>|</w:t>
    </w:r>
    <w:r w:rsidR="001B78D5" w:rsidRPr="001B78D5">
      <w:rPr>
        <w:rStyle w:val="PageNumber"/>
        <w:sz w:val="16"/>
        <w:szCs w:val="16"/>
      </w:rPr>
      <w:t xml:space="preserve"> </w:t>
    </w:r>
    <w:r w:rsidR="009563DA" w:rsidRPr="001B78D5">
      <w:rPr>
        <w:sz w:val="16"/>
        <w:szCs w:val="16"/>
      </w:rPr>
      <w:t>Department of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A8EDD" w14:textId="77777777" w:rsidR="009A0866" w:rsidRDefault="009A0866" w:rsidP="001B78D5">
      <w:r>
        <w:separator/>
      </w:r>
    </w:p>
  </w:footnote>
  <w:footnote w:type="continuationSeparator" w:id="0">
    <w:p w14:paraId="6240B5F0" w14:textId="77777777" w:rsidR="009A0866" w:rsidRDefault="009A0866" w:rsidP="001B78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C4FAC" w14:textId="30A8C916" w:rsidR="00DA3218" w:rsidRDefault="00581DEC" w:rsidP="001B78D5">
    <w:pPr>
      <w:pStyle w:val="Header"/>
    </w:pPr>
    <w:r>
      <w:rPr>
        <w:noProof/>
      </w:rPr>
      <w:drawing>
        <wp:anchor distT="0" distB="0" distL="114300" distR="114300" simplePos="0" relativeHeight="251658242" behindDoc="1" locked="1" layoutInCell="1" allowOverlap="1" wp14:anchorId="13F45B13" wp14:editId="6AC33DEA">
          <wp:simplePos x="0" y="0"/>
          <wp:positionH relativeFrom="column">
            <wp:posOffset>6051</wp:posOffset>
          </wp:positionH>
          <wp:positionV relativeFrom="paragraph">
            <wp:posOffset>192031</wp:posOffset>
          </wp:positionV>
          <wp:extent cx="968400" cy="734400"/>
          <wp:effectExtent l="0" t="0" r="0" b="2540"/>
          <wp:wrapNone/>
          <wp:docPr id="350364393" name="Graphic 2" descr="The Education S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350948" name="Graphic 2" descr="The Education State"/>
                  <pic:cNvPicPr/>
                </pic:nvPicPr>
                <pic:blipFill>
                  <a:blip r:embed="rId1">
                    <a:extLst>
                      <a:ext uri="{96DAC541-7B7A-43D3-8B79-37D633B846F1}">
                        <asvg:svgBlip xmlns:asvg="http://schemas.microsoft.com/office/drawing/2016/SVG/main" r:embed="rId2"/>
                      </a:ext>
                    </a:extLst>
                  </a:blip>
                  <a:stretch>
                    <a:fillRect/>
                  </a:stretch>
                </pic:blipFill>
                <pic:spPr>
                  <a:xfrm>
                    <a:off x="0" y="0"/>
                    <a:ext cx="968400" cy="734400"/>
                  </a:xfrm>
                  <a:prstGeom prst="rect">
                    <a:avLst/>
                  </a:prstGeom>
                </pic:spPr>
              </pic:pic>
            </a:graphicData>
          </a:graphic>
          <wp14:sizeRelH relativeFrom="page">
            <wp14:pctWidth>0</wp14:pctWidth>
          </wp14:sizeRelH>
          <wp14:sizeRelV relativeFrom="page">
            <wp14:pctHeight>0</wp14:pctHeight>
          </wp14:sizeRelV>
        </wp:anchor>
      </w:drawing>
    </w:r>
    <w:r w:rsidR="007B3A5A">
      <w:rPr>
        <w:noProof/>
      </w:rPr>
      <w:drawing>
        <wp:anchor distT="0" distB="0" distL="114300" distR="114300" simplePos="0" relativeHeight="251658240" behindDoc="1" locked="1" layoutInCell="1" allowOverlap="1" wp14:anchorId="5623B5E2" wp14:editId="6C3F4C6B">
          <wp:simplePos x="0" y="0"/>
          <wp:positionH relativeFrom="page">
            <wp:posOffset>-10160</wp:posOffset>
          </wp:positionH>
          <wp:positionV relativeFrom="page">
            <wp:posOffset>0</wp:posOffset>
          </wp:positionV>
          <wp:extent cx="7611745" cy="10758170"/>
          <wp:effectExtent l="0" t="0" r="0" b="0"/>
          <wp:wrapNone/>
          <wp:docPr id="1620606041" name="Picture 15" descr="Department of Educa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528737" name="Picture 15" descr="Department of Education">
                    <a:extLst>
                      <a:ext uri="{C183D7F6-B498-43B3-948B-1728B52AA6E4}">
                        <adec:decorative xmlns:adec="http://schemas.microsoft.com/office/drawing/2017/decorative" val="0"/>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7611745" cy="1075817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0083A" w14:textId="77777777" w:rsidR="00AC311C" w:rsidRDefault="00AC311C" w:rsidP="001B78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5F170" w14:textId="57ED585D" w:rsidR="00A63D55" w:rsidRDefault="00A63D55" w:rsidP="001B78D5">
    <w:pPr>
      <w:pStyle w:val="Header"/>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DEF3B" w14:textId="77777777" w:rsidR="00AC311C" w:rsidRDefault="00AC311C" w:rsidP="001B78D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8D1FE" w14:textId="77777777" w:rsidR="00AC311C" w:rsidRDefault="00AC311C" w:rsidP="001B78D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EDD93" w14:textId="4763CBAA" w:rsidR="00DA5F30" w:rsidRDefault="00DA5F30" w:rsidP="001B78D5">
    <w:pPr>
      <w:pStyle w:val="Header"/>
    </w:pP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4E332" w14:textId="77777777" w:rsidR="00AC311C" w:rsidRDefault="00AC311C" w:rsidP="001B78D5">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i3BdFjLJ" int2:invalidationBookmarkName="" int2:hashCode="u0lHBhTk9tMG2i" int2:id="0Eg1FBSs">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8D0F11"/>
    <w:multiLevelType w:val="hybridMultilevel"/>
    <w:tmpl w:val="28BC2626"/>
    <w:lvl w:ilvl="0" w:tplc="E2269256">
      <w:start w:val="1"/>
      <w:numFmt w:val="bullet"/>
      <w:pStyle w:val="Bullet2"/>
      <w:lvlText w:val="–"/>
      <w:lvlJc w:val="left"/>
      <w:pPr>
        <w:ind w:left="644" w:hanging="360"/>
      </w:pPr>
      <w:rPr>
        <w:rFonts w:ascii="Arial" w:hAnsi="Aria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02F5BA7"/>
    <w:multiLevelType w:val="hybridMultilevel"/>
    <w:tmpl w:val="60C841FC"/>
    <w:lvl w:ilvl="0" w:tplc="354C27DA">
      <w:numFmt w:val="bullet"/>
      <w:lvlText w:val="•"/>
      <w:lvlJc w:val="left"/>
      <w:pPr>
        <w:ind w:left="720" w:hanging="72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72456D4"/>
    <w:multiLevelType w:val="multilevel"/>
    <w:tmpl w:val="9BE422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992766D"/>
    <w:multiLevelType w:val="hybridMultilevel"/>
    <w:tmpl w:val="24BEF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A35373"/>
    <w:multiLevelType w:val="hybridMultilevel"/>
    <w:tmpl w:val="467A483A"/>
    <w:lvl w:ilvl="0" w:tplc="1F323846">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6B7CD3"/>
    <w:multiLevelType w:val="hybridMultilevel"/>
    <w:tmpl w:val="D2EAFE46"/>
    <w:lvl w:ilvl="0" w:tplc="093A77C8">
      <w:start w:val="1"/>
      <w:numFmt w:val="bullet"/>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624E43"/>
    <w:multiLevelType w:val="hybridMultilevel"/>
    <w:tmpl w:val="479A46F2"/>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529067D"/>
    <w:multiLevelType w:val="hybridMultilevel"/>
    <w:tmpl w:val="3C8402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CB619BD"/>
    <w:multiLevelType w:val="hybridMultilevel"/>
    <w:tmpl w:val="3070A5AC"/>
    <w:lvl w:ilvl="0" w:tplc="1E68E876">
      <w:start w:val="1"/>
      <w:numFmt w:val="lowerLetter"/>
      <w:pStyle w:val="Alphabetlist"/>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235AEA"/>
    <w:multiLevelType w:val="hybridMultilevel"/>
    <w:tmpl w:val="0DCCA43C"/>
    <w:lvl w:ilvl="0" w:tplc="2B282966">
      <w:start w:val="1"/>
      <w:numFmt w:val="bullet"/>
      <w:lvlText w:val=""/>
      <w:lvlJc w:val="left"/>
      <w:pPr>
        <w:ind w:left="1080" w:hanging="360"/>
      </w:pPr>
      <w:rPr>
        <w:rFonts w:ascii="Symbol" w:hAnsi="Symbol"/>
      </w:rPr>
    </w:lvl>
    <w:lvl w:ilvl="1" w:tplc="83D62F48">
      <w:start w:val="1"/>
      <w:numFmt w:val="bullet"/>
      <w:lvlText w:val=""/>
      <w:lvlJc w:val="left"/>
      <w:pPr>
        <w:ind w:left="1080" w:hanging="360"/>
      </w:pPr>
      <w:rPr>
        <w:rFonts w:ascii="Symbol" w:hAnsi="Symbol"/>
      </w:rPr>
    </w:lvl>
    <w:lvl w:ilvl="2" w:tplc="6AE4163A">
      <w:start w:val="1"/>
      <w:numFmt w:val="bullet"/>
      <w:lvlText w:val=""/>
      <w:lvlJc w:val="left"/>
      <w:pPr>
        <w:ind w:left="1080" w:hanging="360"/>
      </w:pPr>
      <w:rPr>
        <w:rFonts w:ascii="Symbol" w:hAnsi="Symbol"/>
      </w:rPr>
    </w:lvl>
    <w:lvl w:ilvl="3" w:tplc="2F8A2B60">
      <w:start w:val="1"/>
      <w:numFmt w:val="bullet"/>
      <w:lvlText w:val=""/>
      <w:lvlJc w:val="left"/>
      <w:pPr>
        <w:ind w:left="1080" w:hanging="360"/>
      </w:pPr>
      <w:rPr>
        <w:rFonts w:ascii="Symbol" w:hAnsi="Symbol"/>
      </w:rPr>
    </w:lvl>
    <w:lvl w:ilvl="4" w:tplc="59C43208">
      <w:start w:val="1"/>
      <w:numFmt w:val="bullet"/>
      <w:lvlText w:val=""/>
      <w:lvlJc w:val="left"/>
      <w:pPr>
        <w:ind w:left="1080" w:hanging="360"/>
      </w:pPr>
      <w:rPr>
        <w:rFonts w:ascii="Symbol" w:hAnsi="Symbol"/>
      </w:rPr>
    </w:lvl>
    <w:lvl w:ilvl="5" w:tplc="BEB2538E">
      <w:start w:val="1"/>
      <w:numFmt w:val="bullet"/>
      <w:lvlText w:val=""/>
      <w:lvlJc w:val="left"/>
      <w:pPr>
        <w:ind w:left="1080" w:hanging="360"/>
      </w:pPr>
      <w:rPr>
        <w:rFonts w:ascii="Symbol" w:hAnsi="Symbol"/>
      </w:rPr>
    </w:lvl>
    <w:lvl w:ilvl="6" w:tplc="D9FA0132">
      <w:start w:val="1"/>
      <w:numFmt w:val="bullet"/>
      <w:lvlText w:val=""/>
      <w:lvlJc w:val="left"/>
      <w:pPr>
        <w:ind w:left="1080" w:hanging="360"/>
      </w:pPr>
      <w:rPr>
        <w:rFonts w:ascii="Symbol" w:hAnsi="Symbol"/>
      </w:rPr>
    </w:lvl>
    <w:lvl w:ilvl="7" w:tplc="49B4F042">
      <w:start w:val="1"/>
      <w:numFmt w:val="bullet"/>
      <w:lvlText w:val=""/>
      <w:lvlJc w:val="left"/>
      <w:pPr>
        <w:ind w:left="1080" w:hanging="360"/>
      </w:pPr>
      <w:rPr>
        <w:rFonts w:ascii="Symbol" w:hAnsi="Symbol"/>
      </w:rPr>
    </w:lvl>
    <w:lvl w:ilvl="8" w:tplc="A476BCE2">
      <w:start w:val="1"/>
      <w:numFmt w:val="bullet"/>
      <w:lvlText w:val=""/>
      <w:lvlJc w:val="left"/>
      <w:pPr>
        <w:ind w:left="1080" w:hanging="360"/>
      </w:pPr>
      <w:rPr>
        <w:rFonts w:ascii="Symbol" w:hAnsi="Symbol"/>
      </w:rPr>
    </w:lvl>
  </w:abstractNum>
  <w:num w:numId="1" w16cid:durableId="1525049998">
    <w:abstractNumId w:val="0"/>
  </w:num>
  <w:num w:numId="2" w16cid:durableId="1729300302">
    <w:abstractNumId w:val="1"/>
  </w:num>
  <w:num w:numId="3" w16cid:durableId="708334569">
    <w:abstractNumId w:val="2"/>
  </w:num>
  <w:num w:numId="4" w16cid:durableId="1787041742">
    <w:abstractNumId w:val="3"/>
  </w:num>
  <w:num w:numId="5" w16cid:durableId="614366991">
    <w:abstractNumId w:val="4"/>
  </w:num>
  <w:num w:numId="6" w16cid:durableId="260383009">
    <w:abstractNumId w:val="9"/>
  </w:num>
  <w:num w:numId="7" w16cid:durableId="374888884">
    <w:abstractNumId w:val="5"/>
  </w:num>
  <w:num w:numId="8" w16cid:durableId="720634888">
    <w:abstractNumId w:val="6"/>
  </w:num>
  <w:num w:numId="9" w16cid:durableId="644890857">
    <w:abstractNumId w:val="7"/>
  </w:num>
  <w:num w:numId="10" w16cid:durableId="109058733">
    <w:abstractNumId w:val="8"/>
  </w:num>
  <w:num w:numId="11" w16cid:durableId="2051876134">
    <w:abstractNumId w:val="10"/>
  </w:num>
  <w:num w:numId="12" w16cid:durableId="2138251284">
    <w:abstractNumId w:val="16"/>
  </w:num>
  <w:num w:numId="13" w16cid:durableId="992098343">
    <w:abstractNumId w:val="20"/>
  </w:num>
  <w:num w:numId="14" w16cid:durableId="530797963">
    <w:abstractNumId w:val="21"/>
  </w:num>
  <w:num w:numId="15" w16cid:durableId="1673489070">
    <w:abstractNumId w:val="15"/>
  </w:num>
  <w:num w:numId="16" w16cid:durableId="1105466474">
    <w:abstractNumId w:val="15"/>
    <w:lvlOverride w:ilvl="0">
      <w:startOverride w:val="1"/>
    </w:lvlOverride>
  </w:num>
  <w:num w:numId="17" w16cid:durableId="2103407669">
    <w:abstractNumId w:val="19"/>
  </w:num>
  <w:num w:numId="18" w16cid:durableId="6950122">
    <w:abstractNumId w:val="14"/>
  </w:num>
  <w:num w:numId="19" w16cid:durableId="639380831">
    <w:abstractNumId w:val="12"/>
  </w:num>
  <w:num w:numId="20" w16cid:durableId="1085682868">
    <w:abstractNumId w:val="11"/>
  </w:num>
  <w:num w:numId="21" w16cid:durableId="1055158349">
    <w:abstractNumId w:val="13"/>
  </w:num>
  <w:num w:numId="22" w16cid:durableId="788010029">
    <w:abstractNumId w:val="18"/>
  </w:num>
  <w:num w:numId="23" w16cid:durableId="1971012857">
    <w:abstractNumId w:val="17"/>
  </w:num>
  <w:num w:numId="24" w16cid:durableId="184192046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256"/>
    <w:rsid w:val="000061CE"/>
    <w:rsid w:val="00013339"/>
    <w:rsid w:val="0001351E"/>
    <w:rsid w:val="000136A4"/>
    <w:rsid w:val="00024A82"/>
    <w:rsid w:val="00065195"/>
    <w:rsid w:val="00066F68"/>
    <w:rsid w:val="0006773D"/>
    <w:rsid w:val="00076D2A"/>
    <w:rsid w:val="00086F67"/>
    <w:rsid w:val="0009592E"/>
    <w:rsid w:val="000A46FD"/>
    <w:rsid w:val="000A47D4"/>
    <w:rsid w:val="000A5775"/>
    <w:rsid w:val="000B7C73"/>
    <w:rsid w:val="000C36DF"/>
    <w:rsid w:val="000D31F6"/>
    <w:rsid w:val="00110438"/>
    <w:rsid w:val="00122369"/>
    <w:rsid w:val="00124D09"/>
    <w:rsid w:val="00141F23"/>
    <w:rsid w:val="00142D82"/>
    <w:rsid w:val="00143B22"/>
    <w:rsid w:val="00144FD5"/>
    <w:rsid w:val="0014542F"/>
    <w:rsid w:val="00145A17"/>
    <w:rsid w:val="00150F7B"/>
    <w:rsid w:val="00160E48"/>
    <w:rsid w:val="001616D0"/>
    <w:rsid w:val="00191E00"/>
    <w:rsid w:val="00196FEF"/>
    <w:rsid w:val="001A0F54"/>
    <w:rsid w:val="001A1E9C"/>
    <w:rsid w:val="001A452C"/>
    <w:rsid w:val="001B78D5"/>
    <w:rsid w:val="001D24A0"/>
    <w:rsid w:val="001D3CB7"/>
    <w:rsid w:val="001E40A6"/>
    <w:rsid w:val="001E7F72"/>
    <w:rsid w:val="001F0E15"/>
    <w:rsid w:val="00207499"/>
    <w:rsid w:val="00214BAC"/>
    <w:rsid w:val="00240F30"/>
    <w:rsid w:val="002617BD"/>
    <w:rsid w:val="002666C6"/>
    <w:rsid w:val="002810A0"/>
    <w:rsid w:val="00296464"/>
    <w:rsid w:val="002970D9"/>
    <w:rsid w:val="002A0DC0"/>
    <w:rsid w:val="002A4A96"/>
    <w:rsid w:val="002A7261"/>
    <w:rsid w:val="002E1BF2"/>
    <w:rsid w:val="002E3BED"/>
    <w:rsid w:val="002F05E3"/>
    <w:rsid w:val="00304DD9"/>
    <w:rsid w:val="00312720"/>
    <w:rsid w:val="00323DD1"/>
    <w:rsid w:val="00326E53"/>
    <w:rsid w:val="00332E88"/>
    <w:rsid w:val="00336355"/>
    <w:rsid w:val="00343D7F"/>
    <w:rsid w:val="00345D0A"/>
    <w:rsid w:val="00346B28"/>
    <w:rsid w:val="003507F4"/>
    <w:rsid w:val="0036597E"/>
    <w:rsid w:val="003929DF"/>
    <w:rsid w:val="003967DD"/>
    <w:rsid w:val="003A37A3"/>
    <w:rsid w:val="003C0374"/>
    <w:rsid w:val="003C1DAA"/>
    <w:rsid w:val="003D2057"/>
    <w:rsid w:val="003D28A8"/>
    <w:rsid w:val="003F044E"/>
    <w:rsid w:val="003F67F1"/>
    <w:rsid w:val="004206C6"/>
    <w:rsid w:val="00436142"/>
    <w:rsid w:val="0043727E"/>
    <w:rsid w:val="004375B8"/>
    <w:rsid w:val="00442256"/>
    <w:rsid w:val="0045446B"/>
    <w:rsid w:val="00463A1D"/>
    <w:rsid w:val="00467376"/>
    <w:rsid w:val="0047423F"/>
    <w:rsid w:val="00487057"/>
    <w:rsid w:val="004947BC"/>
    <w:rsid w:val="00496FB3"/>
    <w:rsid w:val="004B078F"/>
    <w:rsid w:val="004B2F15"/>
    <w:rsid w:val="004B46C3"/>
    <w:rsid w:val="004D3CD6"/>
    <w:rsid w:val="00507148"/>
    <w:rsid w:val="00520141"/>
    <w:rsid w:val="00537509"/>
    <w:rsid w:val="0054235A"/>
    <w:rsid w:val="00565570"/>
    <w:rsid w:val="005710D4"/>
    <w:rsid w:val="00581DEC"/>
    <w:rsid w:val="00584366"/>
    <w:rsid w:val="005A4368"/>
    <w:rsid w:val="005B0075"/>
    <w:rsid w:val="005B1589"/>
    <w:rsid w:val="005B4AF7"/>
    <w:rsid w:val="005B66F6"/>
    <w:rsid w:val="005C62E8"/>
    <w:rsid w:val="005E4A6A"/>
    <w:rsid w:val="005E7D92"/>
    <w:rsid w:val="005F37CB"/>
    <w:rsid w:val="00620CFE"/>
    <w:rsid w:val="00624A55"/>
    <w:rsid w:val="00626E28"/>
    <w:rsid w:val="00635C65"/>
    <w:rsid w:val="00642AA8"/>
    <w:rsid w:val="006621B2"/>
    <w:rsid w:val="00677430"/>
    <w:rsid w:val="00681003"/>
    <w:rsid w:val="006A25AC"/>
    <w:rsid w:val="006C68CF"/>
    <w:rsid w:val="006F3753"/>
    <w:rsid w:val="006F44D8"/>
    <w:rsid w:val="00703283"/>
    <w:rsid w:val="00704DA3"/>
    <w:rsid w:val="00707C95"/>
    <w:rsid w:val="00714D72"/>
    <w:rsid w:val="00720B36"/>
    <w:rsid w:val="00736FB0"/>
    <w:rsid w:val="00744E46"/>
    <w:rsid w:val="00752099"/>
    <w:rsid w:val="0075587F"/>
    <w:rsid w:val="007848A9"/>
    <w:rsid w:val="00792DC2"/>
    <w:rsid w:val="0079582A"/>
    <w:rsid w:val="00797838"/>
    <w:rsid w:val="007A003F"/>
    <w:rsid w:val="007A3988"/>
    <w:rsid w:val="007A5AEC"/>
    <w:rsid w:val="007B3A5A"/>
    <w:rsid w:val="007B3E8E"/>
    <w:rsid w:val="007B556E"/>
    <w:rsid w:val="007B5834"/>
    <w:rsid w:val="007C0901"/>
    <w:rsid w:val="007C1D93"/>
    <w:rsid w:val="007C3EFC"/>
    <w:rsid w:val="007C69AF"/>
    <w:rsid w:val="007D1FB1"/>
    <w:rsid w:val="007D3E38"/>
    <w:rsid w:val="007D4F22"/>
    <w:rsid w:val="007D6FEC"/>
    <w:rsid w:val="007E5412"/>
    <w:rsid w:val="007F0BF5"/>
    <w:rsid w:val="007F6BAB"/>
    <w:rsid w:val="00806D00"/>
    <w:rsid w:val="0082114D"/>
    <w:rsid w:val="008314C5"/>
    <w:rsid w:val="00843586"/>
    <w:rsid w:val="00851F12"/>
    <w:rsid w:val="00860C43"/>
    <w:rsid w:val="00874EE4"/>
    <w:rsid w:val="00877098"/>
    <w:rsid w:val="00886574"/>
    <w:rsid w:val="00893B0E"/>
    <w:rsid w:val="00897FEE"/>
    <w:rsid w:val="008A169A"/>
    <w:rsid w:val="008A5C7B"/>
    <w:rsid w:val="008B5C45"/>
    <w:rsid w:val="008C1874"/>
    <w:rsid w:val="008C6C2E"/>
    <w:rsid w:val="008C78AF"/>
    <w:rsid w:val="008D0672"/>
    <w:rsid w:val="008D0A61"/>
    <w:rsid w:val="008E21CC"/>
    <w:rsid w:val="008E4B83"/>
    <w:rsid w:val="008E663D"/>
    <w:rsid w:val="008F244E"/>
    <w:rsid w:val="008F494F"/>
    <w:rsid w:val="008F5D02"/>
    <w:rsid w:val="00912275"/>
    <w:rsid w:val="0091413A"/>
    <w:rsid w:val="00936ADF"/>
    <w:rsid w:val="00946DF3"/>
    <w:rsid w:val="00955D50"/>
    <w:rsid w:val="009563DA"/>
    <w:rsid w:val="00973EE6"/>
    <w:rsid w:val="009A0866"/>
    <w:rsid w:val="009A3706"/>
    <w:rsid w:val="009B6564"/>
    <w:rsid w:val="009C1B7A"/>
    <w:rsid w:val="009C5945"/>
    <w:rsid w:val="009D4957"/>
    <w:rsid w:val="009F4D23"/>
    <w:rsid w:val="00A00AAA"/>
    <w:rsid w:val="00A14ACF"/>
    <w:rsid w:val="00A20256"/>
    <w:rsid w:val="00A31926"/>
    <w:rsid w:val="00A40575"/>
    <w:rsid w:val="00A40B99"/>
    <w:rsid w:val="00A4368A"/>
    <w:rsid w:val="00A5001C"/>
    <w:rsid w:val="00A54C4A"/>
    <w:rsid w:val="00A62916"/>
    <w:rsid w:val="00A63D55"/>
    <w:rsid w:val="00A71967"/>
    <w:rsid w:val="00A724F4"/>
    <w:rsid w:val="00A72F41"/>
    <w:rsid w:val="00A73FB5"/>
    <w:rsid w:val="00AA76C6"/>
    <w:rsid w:val="00AB26A5"/>
    <w:rsid w:val="00AB2F0D"/>
    <w:rsid w:val="00AC311C"/>
    <w:rsid w:val="00AC5B53"/>
    <w:rsid w:val="00AE6D8A"/>
    <w:rsid w:val="00AE6E92"/>
    <w:rsid w:val="00AF0ED2"/>
    <w:rsid w:val="00AF6EC6"/>
    <w:rsid w:val="00AF79ED"/>
    <w:rsid w:val="00B04CD2"/>
    <w:rsid w:val="00B12B89"/>
    <w:rsid w:val="00B16871"/>
    <w:rsid w:val="00B211E6"/>
    <w:rsid w:val="00B23D73"/>
    <w:rsid w:val="00B45272"/>
    <w:rsid w:val="00BA5FEC"/>
    <w:rsid w:val="00BB0ABF"/>
    <w:rsid w:val="00BB5707"/>
    <w:rsid w:val="00BB5C73"/>
    <w:rsid w:val="00BB7E9F"/>
    <w:rsid w:val="00BD761E"/>
    <w:rsid w:val="00BE0CBA"/>
    <w:rsid w:val="00BE63CA"/>
    <w:rsid w:val="00BE66E1"/>
    <w:rsid w:val="00C12E59"/>
    <w:rsid w:val="00C14C7C"/>
    <w:rsid w:val="00C30D57"/>
    <w:rsid w:val="00C574EE"/>
    <w:rsid w:val="00C65E3B"/>
    <w:rsid w:val="00C739EF"/>
    <w:rsid w:val="00C82988"/>
    <w:rsid w:val="00C93A30"/>
    <w:rsid w:val="00CC1823"/>
    <w:rsid w:val="00CC3C5E"/>
    <w:rsid w:val="00CC5997"/>
    <w:rsid w:val="00CD0C81"/>
    <w:rsid w:val="00CD12E5"/>
    <w:rsid w:val="00CF0224"/>
    <w:rsid w:val="00CF069B"/>
    <w:rsid w:val="00CF6BE3"/>
    <w:rsid w:val="00D013E1"/>
    <w:rsid w:val="00D03741"/>
    <w:rsid w:val="00D05DA4"/>
    <w:rsid w:val="00D11F4B"/>
    <w:rsid w:val="00D20580"/>
    <w:rsid w:val="00D33851"/>
    <w:rsid w:val="00D417BD"/>
    <w:rsid w:val="00D52831"/>
    <w:rsid w:val="00D84718"/>
    <w:rsid w:val="00DA1D8E"/>
    <w:rsid w:val="00DA2C68"/>
    <w:rsid w:val="00DA3218"/>
    <w:rsid w:val="00DA536E"/>
    <w:rsid w:val="00DA5F30"/>
    <w:rsid w:val="00DB0AB3"/>
    <w:rsid w:val="00DB6CF8"/>
    <w:rsid w:val="00DD07D6"/>
    <w:rsid w:val="00DD09A4"/>
    <w:rsid w:val="00DD11A0"/>
    <w:rsid w:val="00DE156F"/>
    <w:rsid w:val="00DF1E7B"/>
    <w:rsid w:val="00DF3442"/>
    <w:rsid w:val="00DF43D2"/>
    <w:rsid w:val="00DF4977"/>
    <w:rsid w:val="00DF7020"/>
    <w:rsid w:val="00E243DD"/>
    <w:rsid w:val="00E31DF0"/>
    <w:rsid w:val="00E401B6"/>
    <w:rsid w:val="00E5453C"/>
    <w:rsid w:val="00E76670"/>
    <w:rsid w:val="00EB027C"/>
    <w:rsid w:val="00EB0B20"/>
    <w:rsid w:val="00EB2622"/>
    <w:rsid w:val="00EB6F81"/>
    <w:rsid w:val="00EC1137"/>
    <w:rsid w:val="00EC15B0"/>
    <w:rsid w:val="00EC6AEA"/>
    <w:rsid w:val="00EC6FF4"/>
    <w:rsid w:val="00EF197B"/>
    <w:rsid w:val="00F4671F"/>
    <w:rsid w:val="00F5774C"/>
    <w:rsid w:val="00F61949"/>
    <w:rsid w:val="00F80251"/>
    <w:rsid w:val="00F9179D"/>
    <w:rsid w:val="00FA2688"/>
    <w:rsid w:val="00FA5712"/>
    <w:rsid w:val="00FC6392"/>
    <w:rsid w:val="00FC6ED9"/>
    <w:rsid w:val="00FD5F1E"/>
    <w:rsid w:val="04631B23"/>
    <w:rsid w:val="05026582"/>
    <w:rsid w:val="1E23E889"/>
    <w:rsid w:val="41202B4C"/>
    <w:rsid w:val="5E215649"/>
    <w:rsid w:val="6957E0AB"/>
    <w:rsid w:val="6C3E4F37"/>
    <w:rsid w:val="76BC73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981AD"/>
  <w14:defaultImageDpi w14:val="32767"/>
  <w15:chartTrackingRefBased/>
  <w15:docId w15:val="{C3E29CAC-4D9B-484E-8FB3-7C675208E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061CE"/>
    <w:pPr>
      <w:spacing w:before="120" w:after="120" w:line="240" w:lineRule="atLeast"/>
    </w:pPr>
    <w:rPr>
      <w:sz w:val="20"/>
      <w:szCs w:val="20"/>
      <w:lang w:val="en-AU"/>
    </w:rPr>
  </w:style>
  <w:style w:type="paragraph" w:styleId="Heading1">
    <w:name w:val="heading 1"/>
    <w:basedOn w:val="Normal"/>
    <w:next w:val="Normal"/>
    <w:link w:val="Heading1Char"/>
    <w:uiPriority w:val="9"/>
    <w:qFormat/>
    <w:rsid w:val="000061CE"/>
    <w:pPr>
      <w:keepNext/>
      <w:keepLines/>
      <w:spacing w:before="360"/>
      <w:outlineLvl w:val="0"/>
    </w:pPr>
    <w:rPr>
      <w:rFonts w:asciiTheme="majorHAnsi" w:eastAsiaTheme="majorEastAsia" w:hAnsiTheme="majorHAnsi" w:cs="Times New Roman (Headings CS)"/>
      <w:bCs/>
      <w:color w:val="D40032" w:themeColor="text2"/>
      <w:sz w:val="32"/>
      <w:szCs w:val="32"/>
    </w:rPr>
  </w:style>
  <w:style w:type="paragraph" w:styleId="Heading2">
    <w:name w:val="heading 2"/>
    <w:basedOn w:val="Normal"/>
    <w:next w:val="Normal"/>
    <w:link w:val="Heading2Char"/>
    <w:uiPriority w:val="9"/>
    <w:unhideWhenUsed/>
    <w:qFormat/>
    <w:rsid w:val="000061CE"/>
    <w:pPr>
      <w:keepNext/>
      <w:keepLines/>
      <w:spacing w:before="360"/>
      <w:outlineLvl w:val="1"/>
    </w:pPr>
    <w:rPr>
      <w:rFonts w:asciiTheme="majorHAnsi" w:eastAsiaTheme="majorEastAsia" w:hAnsiTheme="majorHAnsi" w:cs="Times New Roman (Headings CS)"/>
      <w:color w:val="1F1646" w:themeColor="text1"/>
      <w:sz w:val="28"/>
      <w:szCs w:val="28"/>
    </w:rPr>
  </w:style>
  <w:style w:type="paragraph" w:styleId="Heading3">
    <w:name w:val="heading 3"/>
    <w:basedOn w:val="Normal"/>
    <w:next w:val="Normal"/>
    <w:link w:val="Heading3Char"/>
    <w:uiPriority w:val="9"/>
    <w:unhideWhenUsed/>
    <w:qFormat/>
    <w:rsid w:val="000061CE"/>
    <w:pPr>
      <w:keepNext/>
      <w:keepLines/>
      <w:spacing w:before="360"/>
      <w:outlineLvl w:val="2"/>
    </w:pPr>
    <w:rPr>
      <w:rFonts w:asciiTheme="majorHAnsi" w:eastAsiaTheme="majorEastAsia" w:hAnsiTheme="majorHAnsi" w:cstheme="majorBidi"/>
      <w:bCs/>
      <w:color w:val="1F1646" w:themeColor="text1"/>
      <w:sz w:val="24"/>
    </w:rPr>
  </w:style>
  <w:style w:type="paragraph" w:styleId="Heading4">
    <w:name w:val="heading 4"/>
    <w:basedOn w:val="Normal"/>
    <w:next w:val="Normal"/>
    <w:link w:val="Heading4Char"/>
    <w:uiPriority w:val="9"/>
    <w:unhideWhenUsed/>
    <w:qFormat/>
    <w:rsid w:val="001B78D5"/>
    <w:pPr>
      <w:keepNext/>
      <w:keepLines/>
      <w:spacing w:before="360" w:line="240" w:lineRule="exact"/>
      <w:outlineLvl w:val="3"/>
    </w:pPr>
    <w:rPr>
      <w:rFonts w:asciiTheme="majorHAnsi" w:eastAsiaTheme="majorEastAsia" w:hAnsiTheme="majorHAnsi" w:cstheme="majorBidi"/>
      <w:bCs/>
      <w:iCs/>
      <w:color w:val="1F1646" w:themeColor="text1"/>
      <w:sz w:val="22"/>
      <w:szCs w:val="22"/>
    </w:rPr>
  </w:style>
  <w:style w:type="paragraph" w:styleId="Heading5">
    <w:name w:val="heading 5"/>
    <w:basedOn w:val="Normal"/>
    <w:next w:val="Normal"/>
    <w:link w:val="Heading5Char"/>
    <w:uiPriority w:val="9"/>
    <w:unhideWhenUsed/>
    <w:qFormat/>
    <w:rsid w:val="00955D50"/>
    <w:pPr>
      <w:keepNext/>
      <w:keepLines/>
      <w:spacing w:before="40" w:after="0"/>
      <w:outlineLvl w:val="4"/>
    </w:pPr>
    <w:rPr>
      <w:rFonts w:asciiTheme="majorHAnsi" w:eastAsiaTheme="majorEastAsia" w:hAnsiTheme="majorHAnsi" w:cstheme="majorBidi"/>
      <w:i/>
      <w:iCs/>
      <w:color w:val="1F1646" w:themeColor="text1"/>
    </w:rPr>
  </w:style>
  <w:style w:type="paragraph" w:styleId="Heading6">
    <w:name w:val="heading 6"/>
    <w:basedOn w:val="Normal"/>
    <w:next w:val="Normal"/>
    <w:link w:val="Heading6Char"/>
    <w:uiPriority w:val="9"/>
    <w:semiHidden/>
    <w:unhideWhenUsed/>
    <w:qFormat/>
    <w:rsid w:val="00955D50"/>
    <w:pPr>
      <w:keepNext/>
      <w:keepLines/>
      <w:spacing w:before="40" w:after="0"/>
      <w:outlineLvl w:val="5"/>
    </w:pPr>
    <w:rPr>
      <w:rFonts w:asciiTheme="majorHAnsi" w:eastAsiaTheme="majorEastAsia" w:hAnsiTheme="majorHAnsi" w:cstheme="majorBidi"/>
      <w:color w:val="1F1646"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0061CE"/>
    <w:rPr>
      <w:rFonts w:asciiTheme="majorHAnsi" w:eastAsiaTheme="majorEastAsia" w:hAnsiTheme="majorHAnsi" w:cs="Times New Roman (Headings CS)"/>
      <w:bCs/>
      <w:color w:val="D40032" w:themeColor="text2"/>
      <w:sz w:val="32"/>
      <w:szCs w:val="32"/>
      <w:lang w:val="en-AU"/>
    </w:rPr>
  </w:style>
  <w:style w:type="paragraph" w:customStyle="1" w:styleId="Intro">
    <w:name w:val="Intro"/>
    <w:basedOn w:val="Normal"/>
    <w:qFormat/>
    <w:rsid w:val="001B78D5"/>
    <w:pPr>
      <w:spacing w:before="360" w:after="360"/>
    </w:pPr>
    <w:rPr>
      <w:rFonts w:cs="Times New Roman (Body CS)"/>
      <w:color w:val="1F1646" w:themeColor="text1"/>
      <w:sz w:val="24"/>
    </w:rPr>
  </w:style>
  <w:style w:type="character" w:customStyle="1" w:styleId="Heading2Char">
    <w:name w:val="Heading 2 Char"/>
    <w:basedOn w:val="DefaultParagraphFont"/>
    <w:link w:val="Heading2"/>
    <w:uiPriority w:val="9"/>
    <w:rsid w:val="000061CE"/>
    <w:rPr>
      <w:rFonts w:asciiTheme="majorHAnsi" w:eastAsiaTheme="majorEastAsia" w:hAnsiTheme="majorHAnsi" w:cs="Times New Roman (Headings CS)"/>
      <w:color w:val="1F1646" w:themeColor="text1"/>
      <w:sz w:val="28"/>
      <w:szCs w:val="28"/>
      <w:lang w:val="en-AU"/>
    </w:rPr>
  </w:style>
  <w:style w:type="character" w:customStyle="1" w:styleId="Heading3Char">
    <w:name w:val="Heading 3 Char"/>
    <w:basedOn w:val="DefaultParagraphFont"/>
    <w:link w:val="Heading3"/>
    <w:uiPriority w:val="9"/>
    <w:rsid w:val="000061CE"/>
    <w:rPr>
      <w:rFonts w:asciiTheme="majorHAnsi" w:eastAsiaTheme="majorEastAsia" w:hAnsiTheme="majorHAnsi" w:cstheme="majorBidi"/>
      <w:bCs/>
      <w:color w:val="1F1646" w:themeColor="text1"/>
      <w:szCs w:val="20"/>
      <w:lang w:val="en-AU"/>
    </w:rPr>
  </w:style>
  <w:style w:type="paragraph" w:styleId="Quote">
    <w:name w:val="Quote"/>
    <w:basedOn w:val="Normal"/>
    <w:next w:val="Normal"/>
    <w:link w:val="QuoteChar"/>
    <w:uiPriority w:val="29"/>
    <w:qFormat/>
    <w:rsid w:val="000061CE"/>
    <w:pPr>
      <w:spacing w:before="240" w:after="240"/>
      <w:ind w:left="284" w:right="284"/>
    </w:pPr>
    <w:rPr>
      <w:i/>
      <w:iCs/>
      <w:color w:val="1F1646" w:themeColor="text1"/>
      <w:sz w:val="24"/>
      <w:szCs w:val="24"/>
    </w:rPr>
  </w:style>
  <w:style w:type="character" w:customStyle="1" w:styleId="QuoteChar">
    <w:name w:val="Quote Char"/>
    <w:basedOn w:val="DefaultParagraphFont"/>
    <w:link w:val="Quote"/>
    <w:uiPriority w:val="29"/>
    <w:rsid w:val="000061CE"/>
    <w:rPr>
      <w:i/>
      <w:iCs/>
      <w:color w:val="1F1646" w:themeColor="text1"/>
      <w:lang w:val="en-AU"/>
    </w:rPr>
  </w:style>
  <w:style w:type="paragraph" w:customStyle="1" w:styleId="Bullet1">
    <w:name w:val="Bullet 1"/>
    <w:basedOn w:val="Normal"/>
    <w:next w:val="Normal"/>
    <w:qFormat/>
    <w:rsid w:val="000061CE"/>
    <w:pPr>
      <w:numPr>
        <w:numId w:val="14"/>
      </w:numPr>
      <w:ind w:left="284" w:hanging="284"/>
    </w:pPr>
  </w:style>
  <w:style w:type="paragraph" w:customStyle="1" w:styleId="Bullet2">
    <w:name w:val="Bullet 2"/>
    <w:basedOn w:val="Bullet1"/>
    <w:qFormat/>
    <w:rsid w:val="002E3BED"/>
    <w:pPr>
      <w:numPr>
        <w:numId w:val="20"/>
      </w:numPr>
    </w:pPr>
  </w:style>
  <w:style w:type="paragraph" w:customStyle="1" w:styleId="Numberlist">
    <w:name w:val="Number list"/>
    <w:basedOn w:val="Normal"/>
    <w:next w:val="Normal"/>
    <w:qFormat/>
    <w:rsid w:val="000061CE"/>
    <w:pPr>
      <w:numPr>
        <w:numId w:val="15"/>
      </w:numPr>
      <w:ind w:left="284" w:hanging="284"/>
    </w:pPr>
  </w:style>
  <w:style w:type="table" w:styleId="TableGrid">
    <w:name w:val="Table Grid"/>
    <w:basedOn w:val="TableNormal"/>
    <w:uiPriority w:val="39"/>
    <w:rsid w:val="00CD0C81"/>
    <w:rPr>
      <w:color w:val="1F1646" w:themeColor="text1"/>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1F1646" w:themeColor="text1"/>
        <w:insideV w:val="single" w:sz="4" w:space="0" w:color="FFFFFF" w:themeColor="background1"/>
      </w:tblBorders>
    </w:tblPr>
    <w:tcPr>
      <w:shd w:val="clear" w:color="auto" w:fill="auto"/>
      <w:tcMar>
        <w:top w:w="57" w:type="dxa"/>
        <w:bottom w:w="57" w:type="dxa"/>
      </w:tcMar>
    </w:tcPr>
    <w:tblStylePr w:type="firstRow">
      <w:rPr>
        <w:rFonts w:asciiTheme="minorHAnsi" w:hAnsiTheme="minorHAnsi"/>
        <w:b/>
        <w:color w:val="1F1646" w:themeColor="text1"/>
        <w:sz w:val="22"/>
      </w:rPr>
      <w:tblPr/>
      <w:tcPr>
        <w:tcBorders>
          <w:left w:val="single" w:sz="4" w:space="0" w:color="CFF0F2" w:themeColor="accent6" w:themeTint="66"/>
          <w:right w:val="single" w:sz="4" w:space="0" w:color="CFF0F2" w:themeColor="accent6" w:themeTint="66"/>
        </w:tcBorders>
        <w:shd w:val="clear" w:color="auto" w:fill="CFF0F2" w:themeFill="accent6" w:themeFillTint="66"/>
      </w:tcPr>
    </w:tblStylePr>
    <w:tblStylePr w:type="firstCol">
      <w:rPr>
        <w:rFonts w:asciiTheme="minorHAnsi" w:hAnsiTheme="minorHAnsi"/>
        <w:color w:val="1F1646" w:themeColor="text1"/>
        <w:sz w:val="22"/>
      </w:rPr>
    </w:tblStylePr>
    <w:tblStylePr w:type="lastCol">
      <w:tblPr/>
      <w:tcPr>
        <w:tcBorders>
          <w:left w:val="nil"/>
        </w:tcBorders>
        <w:shd w:val="clear" w:color="auto" w:fill="auto"/>
      </w:tcPr>
    </w:tblStylePr>
    <w:tblStylePr w:type="band1Vert">
      <w:tblPr/>
      <w:tcPr>
        <w:tcBorders>
          <w:left w:val="nil"/>
          <w:right w:val="nil"/>
        </w:tcBorders>
        <w:shd w:val="clear" w:color="auto" w:fill="auto"/>
      </w:tcPr>
    </w:tblStylePr>
  </w:style>
  <w:style w:type="paragraph" w:customStyle="1" w:styleId="TableHead">
    <w:name w:val="Table Head"/>
    <w:basedOn w:val="Normal"/>
    <w:qFormat/>
    <w:rsid w:val="00955D50"/>
    <w:rPr>
      <w:b/>
      <w:bCs/>
      <w:color w:val="1F1646" w:themeColor="text1"/>
      <w:sz w:val="24"/>
      <w:szCs w:val="24"/>
    </w:rPr>
  </w:style>
  <w:style w:type="paragraph" w:customStyle="1" w:styleId="Tablebody">
    <w:name w:val="Table body"/>
    <w:basedOn w:val="Normal"/>
    <w:qFormat/>
    <w:rsid w:val="00A31926"/>
    <w:pPr>
      <w:spacing w:before="60" w:after="60"/>
    </w:p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spacing w:before="0" w:after="0"/>
      <w:ind w:left="440"/>
    </w:pPr>
    <w:rPr>
      <w:rFonts w:cstheme="minorHAnsi"/>
    </w:rPr>
  </w:style>
  <w:style w:type="paragraph" w:styleId="TOC1">
    <w:name w:val="toc 1"/>
    <w:basedOn w:val="Normal"/>
    <w:next w:val="Normal"/>
    <w:autoRedefine/>
    <w:uiPriority w:val="39"/>
    <w:unhideWhenUsed/>
    <w:qFormat/>
    <w:rsid w:val="00442256"/>
    <w:pPr>
      <w:tabs>
        <w:tab w:val="right" w:leader="dot" w:pos="9622"/>
      </w:tabs>
      <w:spacing w:after="0"/>
    </w:pPr>
    <w:rPr>
      <w:rFonts w:cstheme="minorHAnsi"/>
      <w:bCs/>
      <w:iCs/>
      <w:noProof/>
    </w:rPr>
  </w:style>
  <w:style w:type="paragraph" w:styleId="TOC2">
    <w:name w:val="toc 2"/>
    <w:basedOn w:val="Normal"/>
    <w:next w:val="Normal"/>
    <w:autoRedefine/>
    <w:uiPriority w:val="39"/>
    <w:unhideWhenUsed/>
    <w:qFormat/>
    <w:rsid w:val="00442256"/>
    <w:pPr>
      <w:tabs>
        <w:tab w:val="right" w:leader="dot" w:pos="9622"/>
      </w:tabs>
      <w:spacing w:after="0"/>
      <w:ind w:left="220"/>
    </w:pPr>
    <w:rPr>
      <w:rFonts w:cstheme="minorHAnsi"/>
      <w:bCs/>
      <w:noProof/>
      <w:szCs w:val="22"/>
    </w:rPr>
  </w:style>
  <w:style w:type="paragraph" w:customStyle="1" w:styleId="Figuretitle">
    <w:name w:val="Figure title"/>
    <w:basedOn w:val="Normal"/>
    <w:qFormat/>
    <w:rsid w:val="000061CE"/>
    <w:pPr>
      <w:keepNext/>
      <w:keepLines/>
    </w:pPr>
    <w:rPr>
      <w:b/>
      <w:color w:val="1F1646" w:themeColor="text1"/>
      <w:sz w:val="18"/>
      <w:szCs w:val="18"/>
    </w:rPr>
  </w:style>
  <w:style w:type="paragraph" w:styleId="FootnoteText">
    <w:name w:val="footnote text"/>
    <w:basedOn w:val="Normal"/>
    <w:link w:val="FootnoteTextChar"/>
    <w:autoRedefine/>
    <w:uiPriority w:val="99"/>
    <w:unhideWhenUsed/>
    <w:qFormat/>
    <w:rsid w:val="00CD0C81"/>
    <w:pPr>
      <w:spacing w:after="40"/>
    </w:pPr>
    <w:rPr>
      <w:rFonts w:ascii="Arial" w:eastAsiaTheme="minorEastAsia" w:hAnsi="Arial" w:cs="Arial"/>
      <w:sz w:val="18"/>
      <w:szCs w:val="11"/>
      <w:lang w:val="en-US"/>
    </w:rPr>
  </w:style>
  <w:style w:type="character" w:customStyle="1" w:styleId="FootnoteTextChar">
    <w:name w:val="Footnote Text Char"/>
    <w:basedOn w:val="DefaultParagraphFont"/>
    <w:link w:val="FootnoteText"/>
    <w:uiPriority w:val="99"/>
    <w:rsid w:val="00CD0C81"/>
    <w:rPr>
      <w:rFonts w:ascii="Arial" w:eastAsiaTheme="minorEastAsia" w:hAnsi="Arial" w:cs="Arial"/>
      <w:sz w:val="18"/>
      <w:szCs w:val="11"/>
      <w:lang w:val="en-US"/>
    </w:rPr>
  </w:style>
  <w:style w:type="character" w:styleId="FootnoteReference">
    <w:name w:val="footnote reference"/>
    <w:basedOn w:val="DefaultParagraphFont"/>
    <w:uiPriority w:val="99"/>
    <w:unhideWhenUsed/>
    <w:qFormat/>
    <w:rsid w:val="00CD0C81"/>
    <w:rPr>
      <w:rFonts w:asciiTheme="minorHAnsi" w:hAnsiTheme="minorHAnsi"/>
      <w:color w:val="2C060B"/>
      <w:sz w:val="18"/>
      <w:szCs w:val="18"/>
      <w:vertAlign w:val="superscript"/>
    </w:rPr>
  </w:style>
  <w:style w:type="paragraph" w:customStyle="1" w:styleId="Covertitle">
    <w:name w:val="Cover title"/>
    <w:basedOn w:val="Title"/>
    <w:qFormat/>
    <w:rsid w:val="001B78D5"/>
    <w:pPr>
      <w:spacing w:line="500" w:lineRule="exact"/>
    </w:pPr>
    <w:rPr>
      <w:sz w:val="48"/>
      <w:szCs w:val="48"/>
    </w:rPr>
  </w:style>
  <w:style w:type="paragraph" w:customStyle="1" w:styleId="Coversubtitle">
    <w:name w:val="Cover subtitle"/>
    <w:basedOn w:val="Covertitle"/>
    <w:qFormat/>
    <w:rsid w:val="001B78D5"/>
    <w:pPr>
      <w:spacing w:line="340" w:lineRule="exact"/>
    </w:pPr>
    <w:rPr>
      <w:bCs/>
      <w:sz w:val="32"/>
      <w:szCs w:val="32"/>
    </w:rPr>
  </w:style>
  <w:style w:type="paragraph" w:customStyle="1" w:styleId="Alphabetlist">
    <w:name w:val="Alphabet list"/>
    <w:basedOn w:val="Normal"/>
    <w:qFormat/>
    <w:rsid w:val="000061CE"/>
    <w:pPr>
      <w:numPr>
        <w:numId w:val="17"/>
      </w:numPr>
      <w:ind w:left="568" w:hanging="284"/>
    </w:pPr>
  </w:style>
  <w:style w:type="character" w:styleId="Hyperlink">
    <w:name w:val="Hyperlink"/>
    <w:basedOn w:val="DefaultParagraphFont"/>
    <w:uiPriority w:val="99"/>
    <w:unhideWhenUsed/>
    <w:rsid w:val="008B5C45"/>
    <w:rPr>
      <w:color w:val="201546" w:themeColor="hyperlink"/>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973EE6"/>
  </w:style>
  <w:style w:type="character" w:styleId="IntenseEmphasis">
    <w:name w:val="Intense Emphasis"/>
    <w:basedOn w:val="DefaultParagraphFont"/>
    <w:uiPriority w:val="21"/>
    <w:qFormat/>
    <w:rsid w:val="009563DA"/>
    <w:rPr>
      <w:b/>
      <w:i w:val="0"/>
      <w:iCs/>
      <w:color w:val="1F1646" w:themeColor="text1"/>
    </w:rPr>
  </w:style>
  <w:style w:type="paragraph" w:styleId="IntenseQuote">
    <w:name w:val="Intense Quote"/>
    <w:basedOn w:val="Normal"/>
    <w:next w:val="Normal"/>
    <w:link w:val="IntenseQuoteChar"/>
    <w:uiPriority w:val="30"/>
    <w:qFormat/>
    <w:rsid w:val="006F44D8"/>
    <w:pPr>
      <w:pBdr>
        <w:top w:val="single" w:sz="4" w:space="10" w:color="1F1646" w:themeColor="text1"/>
        <w:bottom w:val="single" w:sz="4" w:space="10" w:color="1F1646" w:themeColor="text1"/>
      </w:pBdr>
      <w:spacing w:before="360" w:after="360"/>
    </w:pPr>
    <w:rPr>
      <w:b/>
      <w:iCs/>
      <w:color w:val="1F1646" w:themeColor="text1"/>
    </w:rPr>
  </w:style>
  <w:style w:type="character" w:customStyle="1" w:styleId="IntenseQuoteChar">
    <w:name w:val="Intense Quote Char"/>
    <w:basedOn w:val="DefaultParagraphFont"/>
    <w:link w:val="IntenseQuote"/>
    <w:uiPriority w:val="30"/>
    <w:rsid w:val="006F44D8"/>
    <w:rPr>
      <w:b/>
      <w:iCs/>
      <w:color w:val="1F1646" w:themeColor="text1"/>
      <w:sz w:val="22"/>
    </w:rPr>
  </w:style>
  <w:style w:type="character" w:customStyle="1" w:styleId="Heading4Char">
    <w:name w:val="Heading 4 Char"/>
    <w:basedOn w:val="DefaultParagraphFont"/>
    <w:link w:val="Heading4"/>
    <w:uiPriority w:val="9"/>
    <w:rsid w:val="001B78D5"/>
    <w:rPr>
      <w:rFonts w:asciiTheme="majorHAnsi" w:eastAsiaTheme="majorEastAsia" w:hAnsiTheme="majorHAnsi" w:cstheme="majorBidi"/>
      <w:bCs/>
      <w:iCs/>
      <w:color w:val="1F1646" w:themeColor="text1"/>
      <w:sz w:val="22"/>
      <w:szCs w:val="22"/>
      <w:lang w:val="en-AU"/>
    </w:rPr>
  </w:style>
  <w:style w:type="paragraph" w:styleId="Subtitle">
    <w:name w:val="Subtitle"/>
    <w:basedOn w:val="Normal"/>
    <w:next w:val="Normal"/>
    <w:link w:val="SubtitleChar"/>
    <w:uiPriority w:val="11"/>
    <w:qFormat/>
    <w:rsid w:val="00326E53"/>
    <w:pPr>
      <w:numPr>
        <w:ilvl w:val="1"/>
      </w:numPr>
      <w:spacing w:after="160"/>
    </w:pPr>
    <w:rPr>
      <w:rFonts w:eastAsiaTheme="minorEastAsia"/>
      <w:color w:val="1F1646" w:themeColor="text1"/>
      <w:spacing w:val="15"/>
      <w:szCs w:val="22"/>
    </w:rPr>
  </w:style>
  <w:style w:type="character" w:customStyle="1" w:styleId="SubtitleChar">
    <w:name w:val="Subtitle Char"/>
    <w:basedOn w:val="DefaultParagraphFont"/>
    <w:link w:val="Subtitle"/>
    <w:uiPriority w:val="11"/>
    <w:rsid w:val="00326E53"/>
    <w:rPr>
      <w:rFonts w:eastAsiaTheme="minorEastAsia"/>
      <w:color w:val="1F1646" w:themeColor="text1"/>
      <w:spacing w:val="15"/>
      <w:sz w:val="22"/>
      <w:szCs w:val="22"/>
    </w:rPr>
  </w:style>
  <w:style w:type="character" w:styleId="SubtleEmphasis">
    <w:name w:val="Subtle Emphasis"/>
    <w:basedOn w:val="DefaultParagraphFont"/>
    <w:uiPriority w:val="19"/>
    <w:qFormat/>
    <w:rsid w:val="00326E53"/>
    <w:rPr>
      <w:i/>
      <w:iCs/>
      <w:color w:val="1F1646" w:themeColor="text1"/>
    </w:rPr>
  </w:style>
  <w:style w:type="character" w:styleId="UnresolvedMention">
    <w:name w:val="Unresolved Mention"/>
    <w:basedOn w:val="DefaultParagraphFont"/>
    <w:uiPriority w:val="99"/>
    <w:rsid w:val="00144FD5"/>
    <w:rPr>
      <w:color w:val="605E5C"/>
      <w:shd w:val="clear" w:color="auto" w:fill="E1DFDD"/>
    </w:rPr>
  </w:style>
  <w:style w:type="paragraph" w:customStyle="1" w:styleId="Copyrighttext">
    <w:name w:val="Copyright text"/>
    <w:basedOn w:val="FootnoteText"/>
    <w:qFormat/>
    <w:rsid w:val="00C739EF"/>
    <w:pPr>
      <w:spacing w:line="200" w:lineRule="exact"/>
      <w:ind w:right="3396"/>
    </w:pPr>
    <w:rPr>
      <w:sz w:val="15"/>
      <w:szCs w:val="15"/>
    </w:rPr>
  </w:style>
  <w:style w:type="character" w:styleId="SubtleReference">
    <w:name w:val="Subtle Reference"/>
    <w:basedOn w:val="DefaultParagraphFont"/>
    <w:uiPriority w:val="31"/>
    <w:qFormat/>
    <w:rsid w:val="006F44D8"/>
    <w:rPr>
      <w:rFonts w:asciiTheme="minorHAnsi" w:hAnsiTheme="minorHAnsi"/>
      <w:b w:val="0"/>
      <w:i w:val="0"/>
      <w:caps/>
      <w:smallCaps w:val="0"/>
      <w:strike w:val="0"/>
      <w:dstrike w:val="0"/>
      <w:vanish w:val="0"/>
      <w:color w:val="1F1646" w:themeColor="text1"/>
      <w:sz w:val="22"/>
      <w:vertAlign w:val="baseline"/>
    </w:rPr>
  </w:style>
  <w:style w:type="character" w:styleId="IntenseReference">
    <w:name w:val="Intense Reference"/>
    <w:basedOn w:val="DefaultParagraphFont"/>
    <w:uiPriority w:val="32"/>
    <w:qFormat/>
    <w:rsid w:val="009563DA"/>
    <w:rPr>
      <w:rFonts w:asciiTheme="majorHAnsi" w:hAnsiTheme="majorHAnsi"/>
      <w:b/>
      <w:bCs/>
      <w:i w:val="0"/>
      <w:caps/>
      <w:smallCaps w:val="0"/>
      <w:strike w:val="0"/>
      <w:dstrike w:val="0"/>
      <w:vanish w:val="0"/>
      <w:color w:val="1F1646" w:themeColor="text1"/>
      <w:spacing w:val="5"/>
      <w:sz w:val="22"/>
      <w:vertAlign w:val="baseline"/>
    </w:rPr>
  </w:style>
  <w:style w:type="paragraph" w:styleId="Title">
    <w:name w:val="Title"/>
    <w:basedOn w:val="Normal"/>
    <w:next w:val="Normal"/>
    <w:link w:val="TitleChar"/>
    <w:uiPriority w:val="10"/>
    <w:qFormat/>
    <w:rsid w:val="00C739EF"/>
    <w:pPr>
      <w:spacing w:before="360" w:after="360" w:line="600" w:lineRule="exact"/>
      <w:contextualSpacing/>
    </w:pPr>
    <w:rPr>
      <w:rFonts w:asciiTheme="majorHAnsi" w:eastAsiaTheme="majorEastAsia" w:hAnsiTheme="majorHAnsi" w:cstheme="majorBidi"/>
      <w:color w:val="1F1646" w:themeColor="text1"/>
      <w:spacing w:val="-10"/>
      <w:kern w:val="28"/>
      <w:sz w:val="56"/>
      <w:szCs w:val="56"/>
    </w:rPr>
  </w:style>
  <w:style w:type="character" w:customStyle="1" w:styleId="TitleChar">
    <w:name w:val="Title Char"/>
    <w:basedOn w:val="DefaultParagraphFont"/>
    <w:link w:val="Title"/>
    <w:uiPriority w:val="10"/>
    <w:rsid w:val="00C739EF"/>
    <w:rPr>
      <w:rFonts w:asciiTheme="majorHAnsi" w:eastAsiaTheme="majorEastAsia" w:hAnsiTheme="majorHAnsi" w:cstheme="majorBidi"/>
      <w:color w:val="1F1646" w:themeColor="text1"/>
      <w:spacing w:val="-10"/>
      <w:kern w:val="28"/>
      <w:sz w:val="56"/>
      <w:szCs w:val="56"/>
      <w:lang w:val="en-AU"/>
    </w:rPr>
  </w:style>
  <w:style w:type="character" w:styleId="FollowedHyperlink">
    <w:name w:val="FollowedHyperlink"/>
    <w:basedOn w:val="DefaultParagraphFont"/>
    <w:uiPriority w:val="99"/>
    <w:semiHidden/>
    <w:unhideWhenUsed/>
    <w:rsid w:val="00C739EF"/>
    <w:rPr>
      <w:color w:val="201546" w:themeColor="followedHyperlink"/>
      <w:u w:val="single"/>
    </w:rPr>
  </w:style>
  <w:style w:type="paragraph" w:styleId="TOCHeading">
    <w:name w:val="TOC Heading"/>
    <w:basedOn w:val="Heading1"/>
    <w:next w:val="Normal"/>
    <w:uiPriority w:val="39"/>
    <w:unhideWhenUsed/>
    <w:qFormat/>
    <w:rsid w:val="00955D50"/>
    <w:pPr>
      <w:spacing w:after="0" w:line="276" w:lineRule="auto"/>
      <w:outlineLvl w:val="9"/>
    </w:pPr>
    <w:rPr>
      <w:rFonts w:cstheme="majorBidi"/>
      <w:sz w:val="28"/>
      <w:szCs w:val="28"/>
      <w:lang w:val="en-US"/>
    </w:rPr>
  </w:style>
  <w:style w:type="paragraph" w:styleId="TOC4">
    <w:name w:val="toc 4"/>
    <w:basedOn w:val="Normal"/>
    <w:next w:val="Normal"/>
    <w:autoRedefine/>
    <w:uiPriority w:val="39"/>
    <w:semiHidden/>
    <w:unhideWhenUsed/>
    <w:rsid w:val="00442256"/>
    <w:pPr>
      <w:spacing w:before="0" w:after="0"/>
      <w:ind w:left="660"/>
    </w:pPr>
    <w:rPr>
      <w:rFonts w:cstheme="minorHAnsi"/>
    </w:rPr>
  </w:style>
  <w:style w:type="paragraph" w:styleId="TOC5">
    <w:name w:val="toc 5"/>
    <w:basedOn w:val="Normal"/>
    <w:next w:val="Normal"/>
    <w:autoRedefine/>
    <w:uiPriority w:val="39"/>
    <w:semiHidden/>
    <w:unhideWhenUsed/>
    <w:rsid w:val="00442256"/>
    <w:pPr>
      <w:spacing w:before="0" w:after="0"/>
      <w:ind w:left="880"/>
    </w:pPr>
    <w:rPr>
      <w:rFonts w:cstheme="minorHAnsi"/>
    </w:rPr>
  </w:style>
  <w:style w:type="paragraph" w:styleId="TOC6">
    <w:name w:val="toc 6"/>
    <w:basedOn w:val="Normal"/>
    <w:next w:val="Normal"/>
    <w:autoRedefine/>
    <w:uiPriority w:val="39"/>
    <w:semiHidden/>
    <w:unhideWhenUsed/>
    <w:rsid w:val="00442256"/>
    <w:pPr>
      <w:spacing w:before="0" w:after="0"/>
      <w:ind w:left="1100"/>
    </w:pPr>
    <w:rPr>
      <w:rFonts w:cstheme="minorHAnsi"/>
    </w:rPr>
  </w:style>
  <w:style w:type="paragraph" w:styleId="TOC7">
    <w:name w:val="toc 7"/>
    <w:basedOn w:val="Normal"/>
    <w:next w:val="Normal"/>
    <w:autoRedefine/>
    <w:uiPriority w:val="39"/>
    <w:semiHidden/>
    <w:unhideWhenUsed/>
    <w:rsid w:val="00442256"/>
    <w:pPr>
      <w:spacing w:before="0" w:after="0"/>
      <w:ind w:left="1320"/>
    </w:pPr>
    <w:rPr>
      <w:rFonts w:cstheme="minorHAnsi"/>
    </w:rPr>
  </w:style>
  <w:style w:type="paragraph" w:styleId="TOC8">
    <w:name w:val="toc 8"/>
    <w:basedOn w:val="Normal"/>
    <w:next w:val="Normal"/>
    <w:autoRedefine/>
    <w:uiPriority w:val="39"/>
    <w:semiHidden/>
    <w:unhideWhenUsed/>
    <w:rsid w:val="00442256"/>
    <w:pPr>
      <w:spacing w:before="0" w:after="0"/>
      <w:ind w:left="1540"/>
    </w:pPr>
    <w:rPr>
      <w:rFonts w:cstheme="minorHAnsi"/>
    </w:rPr>
  </w:style>
  <w:style w:type="paragraph" w:styleId="TOC9">
    <w:name w:val="toc 9"/>
    <w:basedOn w:val="Normal"/>
    <w:next w:val="Normal"/>
    <w:autoRedefine/>
    <w:uiPriority w:val="39"/>
    <w:semiHidden/>
    <w:unhideWhenUsed/>
    <w:rsid w:val="00442256"/>
    <w:pPr>
      <w:spacing w:before="0" w:after="0"/>
      <w:ind w:left="1760"/>
    </w:pPr>
    <w:rPr>
      <w:rFonts w:cstheme="minorHAnsi"/>
    </w:rPr>
  </w:style>
  <w:style w:type="character" w:customStyle="1" w:styleId="Heading5Char">
    <w:name w:val="Heading 5 Char"/>
    <w:basedOn w:val="DefaultParagraphFont"/>
    <w:link w:val="Heading5"/>
    <w:uiPriority w:val="9"/>
    <w:rsid w:val="00955D50"/>
    <w:rPr>
      <w:rFonts w:asciiTheme="majorHAnsi" w:eastAsiaTheme="majorEastAsia" w:hAnsiTheme="majorHAnsi" w:cstheme="majorBidi"/>
      <w:i/>
      <w:iCs/>
      <w:color w:val="1F1646" w:themeColor="text1"/>
      <w:sz w:val="20"/>
      <w:szCs w:val="20"/>
      <w:lang w:val="en-AU"/>
    </w:rPr>
  </w:style>
  <w:style w:type="character" w:customStyle="1" w:styleId="Heading6Char">
    <w:name w:val="Heading 6 Char"/>
    <w:basedOn w:val="DefaultParagraphFont"/>
    <w:link w:val="Heading6"/>
    <w:uiPriority w:val="9"/>
    <w:semiHidden/>
    <w:rsid w:val="00955D50"/>
    <w:rPr>
      <w:rFonts w:asciiTheme="majorHAnsi" w:eastAsiaTheme="majorEastAsia" w:hAnsiTheme="majorHAnsi" w:cstheme="majorBidi"/>
      <w:color w:val="1F1646" w:themeColor="text1"/>
      <w:sz w:val="20"/>
      <w:szCs w:val="20"/>
      <w:lang w:val="en-AU"/>
    </w:rPr>
  </w:style>
  <w:style w:type="paragraph" w:styleId="ListParagraph">
    <w:name w:val="List Paragraph"/>
    <w:basedOn w:val="Normal"/>
    <w:uiPriority w:val="34"/>
    <w:qFormat/>
    <w:rsid w:val="005E4A6A"/>
    <w:pPr>
      <w:ind w:left="720"/>
      <w:contextualSpacing/>
    </w:pPr>
  </w:style>
  <w:style w:type="character" w:styleId="CommentReference">
    <w:name w:val="annotation reference"/>
    <w:basedOn w:val="DefaultParagraphFont"/>
    <w:uiPriority w:val="99"/>
    <w:semiHidden/>
    <w:unhideWhenUsed/>
    <w:rsid w:val="00AC5B53"/>
    <w:rPr>
      <w:sz w:val="16"/>
      <w:szCs w:val="16"/>
    </w:rPr>
  </w:style>
  <w:style w:type="paragraph" w:styleId="CommentText">
    <w:name w:val="annotation text"/>
    <w:basedOn w:val="Normal"/>
    <w:link w:val="CommentTextChar"/>
    <w:uiPriority w:val="99"/>
    <w:unhideWhenUsed/>
    <w:rsid w:val="00AC5B53"/>
    <w:pPr>
      <w:spacing w:line="240" w:lineRule="auto"/>
    </w:pPr>
  </w:style>
  <w:style w:type="character" w:customStyle="1" w:styleId="CommentTextChar">
    <w:name w:val="Comment Text Char"/>
    <w:basedOn w:val="DefaultParagraphFont"/>
    <w:link w:val="CommentText"/>
    <w:uiPriority w:val="99"/>
    <w:rsid w:val="00AC5B53"/>
    <w:rPr>
      <w:sz w:val="20"/>
      <w:szCs w:val="20"/>
      <w:lang w:val="en-AU"/>
    </w:rPr>
  </w:style>
  <w:style w:type="paragraph" w:styleId="CommentSubject">
    <w:name w:val="annotation subject"/>
    <w:basedOn w:val="CommentText"/>
    <w:next w:val="CommentText"/>
    <w:link w:val="CommentSubjectChar"/>
    <w:uiPriority w:val="99"/>
    <w:semiHidden/>
    <w:unhideWhenUsed/>
    <w:rsid w:val="00AC5B53"/>
    <w:rPr>
      <w:b/>
      <w:bCs/>
    </w:rPr>
  </w:style>
  <w:style w:type="character" w:customStyle="1" w:styleId="CommentSubjectChar">
    <w:name w:val="Comment Subject Char"/>
    <w:basedOn w:val="CommentTextChar"/>
    <w:link w:val="CommentSubject"/>
    <w:uiPriority w:val="99"/>
    <w:semiHidden/>
    <w:rsid w:val="00AC5B53"/>
    <w:rPr>
      <w:b/>
      <w:bCs/>
      <w:sz w:val="20"/>
      <w:szCs w:val="20"/>
      <w:lang w:val="en-AU"/>
    </w:rPr>
  </w:style>
  <w:style w:type="character" w:styleId="Mention">
    <w:name w:val="Mention"/>
    <w:basedOn w:val="DefaultParagraphFont"/>
    <w:uiPriority w:val="99"/>
    <w:unhideWhenUsed/>
    <w:rsid w:val="00AC5B53"/>
    <w:rPr>
      <w:color w:val="2B579A"/>
      <w:shd w:val="clear" w:color="auto" w:fill="E1DFDD"/>
    </w:rPr>
  </w:style>
  <w:style w:type="paragraph" w:styleId="Revision">
    <w:name w:val="Revision"/>
    <w:hidden/>
    <w:uiPriority w:val="99"/>
    <w:semiHidden/>
    <w:rsid w:val="00677430"/>
    <w:rPr>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disability.inclusion@education.vic.gov.au" TargetMode="Externa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http://www.education.vic.gov.au/parents/additional-needs/Pages/default.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4.xml"/></Relationships>
</file>

<file path=word/_rels/footer3.xml.rels><?xml version="1.0" encoding="UTF-8" standalone="yes"?>
<Relationships xmlns="http://schemas.openxmlformats.org/package/2006/relationships"><Relationship Id="rId3" Type="http://schemas.openxmlformats.org/officeDocument/2006/relationships/hyperlink" Target="mailto:copyright@education.vic.gov.au" TargetMode="External"/><Relationship Id="rId2" Type="http://schemas.openxmlformats.org/officeDocument/2006/relationships/hyperlink" Target="https://creativecommons.org/licenses/by/4.0/" TargetMode="External"/><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2024 Both Sectors Theme">
  <a:themeElements>
    <a:clrScheme name="DE SCHOOLS COLOUR SCHEME">
      <a:dk1>
        <a:srgbClr val="1F1646"/>
      </a:dk1>
      <a:lt1>
        <a:srgbClr val="FFFFFF"/>
      </a:lt1>
      <a:dk2>
        <a:srgbClr val="D40032"/>
      </a:dk2>
      <a:lt2>
        <a:srgbClr val="E8E8E8"/>
      </a:lt2>
      <a:accent1>
        <a:srgbClr val="30A445"/>
      </a:accent1>
      <a:accent2>
        <a:srgbClr val="B8E9EB"/>
      </a:accent2>
      <a:accent3>
        <a:srgbClr val="1F1646"/>
      </a:accent3>
      <a:accent4>
        <a:srgbClr val="98DFB2"/>
      </a:accent4>
      <a:accent5>
        <a:srgbClr val="D00131"/>
      </a:accent5>
      <a:accent6>
        <a:srgbClr val="88DBDF"/>
      </a:accent6>
      <a:hlink>
        <a:srgbClr val="201546"/>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txDef>
      <a:spPr>
        <a:solidFill>
          <a:schemeClr val="accent6">
            <a:lumMod val="20000"/>
            <a:lumOff val="80000"/>
          </a:schemeClr>
        </a:solidFill>
        <a:ln w="6350">
          <a:no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Props1.xml><?xml version="1.0" encoding="utf-8"?>
<ds:datastoreItem xmlns:ds="http://schemas.openxmlformats.org/officeDocument/2006/customXml" ds:itemID="{1B5B590E-8181-484F-8E8B-020AF18D28E9}">
  <ds:schemaRefs>
    <ds:schemaRef ds:uri="http://schemas.microsoft.com/sharepoint/v3/contenttype/forms"/>
  </ds:schemaRefs>
</ds:datastoreItem>
</file>

<file path=customXml/itemProps2.xml><?xml version="1.0" encoding="utf-8"?>
<ds:datastoreItem xmlns:ds="http://schemas.openxmlformats.org/officeDocument/2006/customXml" ds:itemID="{AF613A65-CEFE-4CA0-9BD4-6AFD60BEA7D4}"/>
</file>

<file path=customXml/itemProps3.xml><?xml version="1.0" encoding="utf-8"?>
<ds:datastoreItem xmlns:ds="http://schemas.openxmlformats.org/officeDocument/2006/customXml" ds:itemID="{C0D24950-FAE2-AB43-AAA6-6FDE866D0091}">
  <ds:schemaRefs>
    <ds:schemaRef ds:uri="http://schemas.openxmlformats.org/officeDocument/2006/bibliography"/>
  </ds:schemaRefs>
</ds:datastoreItem>
</file>

<file path=customXml/itemProps4.xml><?xml version="1.0" encoding="utf-8"?>
<ds:datastoreItem xmlns:ds="http://schemas.openxmlformats.org/officeDocument/2006/customXml" ds:itemID="{98D9F1DF-A368-46E9-ACB0-3D14C09FC33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1851</Words>
  <Characters>11112</Characters>
  <Application>Microsoft Office Word</Application>
  <DocSecurity>0</DocSecurity>
  <Lines>326</Lines>
  <Paragraphs>152</Paragraphs>
  <ScaleCrop>false</ScaleCrop>
  <Company/>
  <LinksUpToDate>false</LinksUpToDate>
  <CharactersWithSpaces>12811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Plain language summary - Specialist School Eligibility Review</dc:title>
  <dc:subject/>
  <dc:creator>Daga Mikolaj</dc:creator>
  <cp:keywords/>
  <dc:description/>
  <cp:lastModifiedBy>Cherylee Brown</cp:lastModifiedBy>
  <cp:revision>90</cp:revision>
  <cp:lastPrinted>2024-10-02T04:24:00Z</cp:lastPrinted>
  <dcterms:created xsi:type="dcterms:W3CDTF">2025-09-24T23:45:00Z</dcterms:created>
  <dcterms:modified xsi:type="dcterms:W3CDTF">2025-12-18T01:10:00Z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ClassificationContentMarkingHeaderShapeIds">
    <vt:lpwstr>5</vt:lpwstr>
  </property>
  <property fmtid="{D5CDD505-2E9C-101B-9397-08002B2CF9AE}" pid="4" name="ClassificationContentMarkingHeaderFontProps">
    <vt:lpwstr>#000000,12,Calibri</vt:lpwstr>
  </property>
  <property fmtid="{D5CDD505-2E9C-101B-9397-08002B2CF9AE}" pid="5" name="ClassificationContentMarkingHeaderText">
    <vt:lpwstr>Official Sensitive</vt:lpwstr>
  </property>
  <property fmtid="{D5CDD505-2E9C-101B-9397-08002B2CF9AE}" pid="6" name="MediaServiceImageTags">
    <vt:lpwstr/>
  </property>
  <property fmtid="{D5CDD505-2E9C-101B-9397-08002B2CF9AE}" pid="7" name="DEECD_Author">
    <vt:lpwstr>94;#Education|5232e41c-5101-41fe-b638-7d41d1371531</vt:lpwstr>
  </property>
  <property fmtid="{D5CDD505-2E9C-101B-9397-08002B2CF9AE}" pid="8" name="DEECD_ItemType">
    <vt:lpwstr>101;#Page|eb523acf-a821-456c-a76b-7607578309d7</vt:lpwstr>
  </property>
  <property fmtid="{D5CDD505-2E9C-101B-9397-08002B2CF9AE}" pid="9" name="DEECD_SubjectCategory">
    <vt:lpwstr/>
  </property>
  <property fmtid="{D5CDD505-2E9C-101B-9397-08002B2CF9AE}" pid="10" name="DEECD_Audience">
    <vt:lpwstr/>
  </property>
</Properties>
</file>