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26F3" w14:textId="222EFD49" w:rsidR="00F32A41" w:rsidRDefault="00990201" w:rsidP="2D38D356">
      <w:pPr>
        <w:pStyle w:val="Intro"/>
        <w:rPr>
          <w:rFonts w:asciiTheme="majorHAnsi" w:eastAsiaTheme="majorEastAsia" w:hAnsiTheme="majorHAnsi" w:cstheme="majorBidi"/>
          <w:color w:val="1F1646" w:themeColor="text1"/>
          <w:spacing w:val="-10"/>
          <w:kern w:val="28"/>
          <w:sz w:val="48"/>
          <w:szCs w:val="48"/>
          <w:lang w:val="en-GB"/>
        </w:rPr>
      </w:pPr>
      <w:r w:rsidRPr="2D38D356">
        <w:rPr>
          <w:rFonts w:asciiTheme="majorHAnsi" w:eastAsiaTheme="majorEastAsia" w:hAnsiTheme="majorHAnsi" w:cstheme="majorBidi"/>
          <w:b/>
          <w:bCs/>
          <w:color w:val="1F1646" w:themeColor="text1"/>
          <w:spacing w:val="-10"/>
          <w:kern w:val="28"/>
          <w:sz w:val="48"/>
          <w:szCs w:val="48"/>
          <w:lang w:val="en-GB"/>
        </w:rPr>
        <w:t xml:space="preserve">Navigator potential service provider </w:t>
      </w:r>
      <w:r w:rsidRPr="5BCCBD18">
        <w:rPr>
          <w:rFonts w:asciiTheme="majorHAnsi" w:eastAsiaTheme="majorEastAsia" w:hAnsiTheme="majorHAnsi" w:cstheme="majorBidi"/>
          <w:b/>
          <w:bCs/>
          <w:color w:val="1F1646" w:themeColor="text1"/>
          <w:sz w:val="48"/>
          <w:szCs w:val="48"/>
          <w:lang w:val="en-GB"/>
        </w:rPr>
        <w:t>FAQs</w:t>
      </w:r>
    </w:p>
    <w:p w14:paraId="35EB2909" w14:textId="77777777" w:rsidR="00950F3D" w:rsidRPr="00950F3D" w:rsidRDefault="00950F3D" w:rsidP="00950F3D">
      <w:pPr>
        <w:spacing w:line="240" w:lineRule="auto"/>
        <w:rPr>
          <w:lang w:val="en-AU"/>
        </w:rPr>
      </w:pPr>
      <w:r w:rsidRPr="00950F3D">
        <w:rPr>
          <w:lang w:val="en-AU"/>
        </w:rPr>
        <w:t> </w:t>
      </w:r>
    </w:p>
    <w:p w14:paraId="7556E24B" w14:textId="49A67DB2" w:rsidR="00BD4DEB" w:rsidRPr="00CE43FC" w:rsidRDefault="00C83704" w:rsidP="00CE43FC">
      <w:pPr>
        <w:pStyle w:val="Heading3"/>
        <w:spacing w:before="360"/>
        <w:rPr>
          <w:color w:val="1F1646" w:themeColor="text1"/>
          <w:lang w:val="en-AU"/>
        </w:rPr>
      </w:pPr>
      <w:r w:rsidRPr="00CE43FC">
        <w:rPr>
          <w:color w:val="1F1646" w:themeColor="text1"/>
          <w:lang w:val="en-AU"/>
        </w:rPr>
        <w:t>Application and Selection Process</w:t>
      </w:r>
    </w:p>
    <w:p w14:paraId="793EC6B7" w14:textId="39A7CC56" w:rsidR="000059B4" w:rsidRPr="00950F3D" w:rsidRDefault="000059B4" w:rsidP="000059B4">
      <w:pPr>
        <w:spacing w:line="240" w:lineRule="auto"/>
        <w:rPr>
          <w:lang w:val="en-AU"/>
        </w:rPr>
      </w:pPr>
      <w:r w:rsidRPr="00950F3D">
        <w:rPr>
          <w:b/>
          <w:bCs/>
          <w:lang w:val="en-AU"/>
        </w:rPr>
        <w:t>What are our recruitment requirements?</w:t>
      </w:r>
      <w:r w:rsidRPr="00950F3D">
        <w:rPr>
          <w:lang w:val="en-AU"/>
        </w:rPr>
        <w:t> </w:t>
      </w:r>
    </w:p>
    <w:p w14:paraId="785A4C12" w14:textId="18572FD2" w:rsidR="000059B4" w:rsidRPr="00950F3D" w:rsidRDefault="000059B4" w:rsidP="000059B4">
      <w:pPr>
        <w:spacing w:line="240" w:lineRule="auto"/>
        <w:rPr>
          <w:lang w:val="en-AU"/>
        </w:rPr>
      </w:pPr>
      <w:r w:rsidRPr="212C2CC0">
        <w:rPr>
          <w:lang w:val="en-AU"/>
        </w:rPr>
        <w:t>Interested applicants should be confident they can recruit to all roles they identify in their application in a timely manner and have a realistic recruitment plan in place prior to submitting their application. If a new Service Provider is selected, they will need to work with DE and the current Service Provider to </w:t>
      </w:r>
      <w:r>
        <w:t>ensure continuity of service delivery from contract inception and must </w:t>
      </w:r>
      <w:r w:rsidRPr="212C2CC0">
        <w:rPr>
          <w:lang w:val="en-AU"/>
        </w:rPr>
        <w:t>confirm how they will </w:t>
      </w:r>
      <w:r>
        <w:t>ensure staff members are deployed to fill Navigator roles (permanently or temporarily)</w:t>
      </w:r>
      <w:r w:rsidR="573B5B1A">
        <w:t>.</w:t>
      </w:r>
      <w:r w:rsidRPr="212C2CC0">
        <w:rPr>
          <w:lang w:val="en-AU"/>
        </w:rPr>
        <w:t> </w:t>
      </w:r>
    </w:p>
    <w:p w14:paraId="3B253677" w14:textId="77777777" w:rsidR="000059B4" w:rsidRPr="00950F3D" w:rsidRDefault="000059B4" w:rsidP="000059B4">
      <w:pPr>
        <w:spacing w:line="240" w:lineRule="auto"/>
        <w:rPr>
          <w:lang w:val="en-AU"/>
        </w:rPr>
      </w:pPr>
      <w:r w:rsidRPr="00950F3D">
        <w:t>All Service Providers are expected to have recruitment plans in place in the event of staff movement from Navigator – this should include how to temporarily back-fill essential operating positions (such as Case Management, Intake and Assessment and Active Hold) to ensure continuity of service and that young people are not left without support. </w:t>
      </w:r>
      <w:r w:rsidRPr="00950F3D">
        <w:rPr>
          <w:lang w:val="en-AU"/>
        </w:rPr>
        <w:t> </w:t>
      </w:r>
    </w:p>
    <w:p w14:paraId="70C95FFC" w14:textId="6BB4D87E" w:rsidR="00BD4DEB" w:rsidRPr="00B87D21" w:rsidRDefault="000059B4" w:rsidP="000059B4">
      <w:pPr>
        <w:spacing w:line="240" w:lineRule="auto"/>
        <w:rPr>
          <w:lang w:val="en-AU"/>
        </w:rPr>
      </w:pPr>
      <w:r w:rsidRPr="00950F3D">
        <w:t>If relevant, providers may need to comply with the Victorian Governments Local Jobs First policy. This will be raised with the preferred applicant if necessary.</w:t>
      </w:r>
      <w:r w:rsidRPr="00950F3D">
        <w:rPr>
          <w:lang w:val="en-AU"/>
        </w:rPr>
        <w:t> </w:t>
      </w:r>
    </w:p>
    <w:p w14:paraId="52BF35E3" w14:textId="77777777" w:rsidR="00B87D21" w:rsidRDefault="00B87D21" w:rsidP="000059B4">
      <w:pPr>
        <w:spacing w:line="240" w:lineRule="auto"/>
        <w:rPr>
          <w:b/>
          <w:bCs/>
          <w:lang w:val="en-AU"/>
        </w:rPr>
      </w:pPr>
    </w:p>
    <w:p w14:paraId="35E8815A" w14:textId="1CBB2676" w:rsidR="000059B4" w:rsidRPr="00950F3D" w:rsidRDefault="000059B4" w:rsidP="000059B4">
      <w:pPr>
        <w:spacing w:line="240" w:lineRule="auto"/>
        <w:rPr>
          <w:lang w:val="en-AU"/>
        </w:rPr>
      </w:pPr>
      <w:r w:rsidRPr="00950F3D">
        <w:rPr>
          <w:b/>
          <w:bCs/>
          <w:lang w:val="en-AU"/>
        </w:rPr>
        <w:t>Are applications that include funded partnerships or a consortium arrangement viewed more favourably than service providers who propose to deliver the program solo? </w:t>
      </w:r>
      <w:r w:rsidRPr="00950F3D">
        <w:rPr>
          <w:lang w:val="en-AU"/>
        </w:rPr>
        <w:t> </w:t>
      </w:r>
    </w:p>
    <w:p w14:paraId="33B71D82" w14:textId="77777777" w:rsidR="000059B4" w:rsidRPr="00950F3D" w:rsidRDefault="000059B4" w:rsidP="000059B4">
      <w:pPr>
        <w:spacing w:line="240" w:lineRule="auto"/>
        <w:rPr>
          <w:lang w:val="en-AU"/>
        </w:rPr>
      </w:pPr>
      <w:r w:rsidRPr="00950F3D">
        <w:t>No. Applicants are encouraged to propose the service delivery model that they feel is most appropriate. Funded partnerships should only be included where there is agreement and commitment from all parties, and a plan for how the arrangement will be delivered, monitored and acquitted should be determined prior to application. </w:t>
      </w:r>
      <w:r w:rsidRPr="00950F3D">
        <w:rPr>
          <w:lang w:val="en-AU"/>
        </w:rPr>
        <w:t> </w:t>
      </w:r>
    </w:p>
    <w:p w14:paraId="2040E01F" w14:textId="5D59C193" w:rsidR="00BD4DEB" w:rsidRPr="00B87D21" w:rsidRDefault="000059B4" w:rsidP="000059B4">
      <w:pPr>
        <w:spacing w:line="240" w:lineRule="auto"/>
        <w:rPr>
          <w:lang w:val="en-AU"/>
        </w:rPr>
      </w:pPr>
      <w:r w:rsidRPr="00950F3D">
        <w:t>Any partners should understand that DE will hold one contract with a Lead service provider only – throughout the contract DE will communicate and work directly with the Lead service provider who will be responsible for communicating the area wide program implementation, including that of the partner organisation/s </w:t>
      </w:r>
      <w:r w:rsidRPr="00950F3D">
        <w:rPr>
          <w:lang w:val="en-AU"/>
        </w:rPr>
        <w:t> </w:t>
      </w:r>
    </w:p>
    <w:p w14:paraId="1EA515E1" w14:textId="77777777" w:rsidR="00B87D21" w:rsidRDefault="00B87D21" w:rsidP="000059B4">
      <w:pPr>
        <w:spacing w:line="240" w:lineRule="auto"/>
        <w:rPr>
          <w:b/>
          <w:bCs/>
        </w:rPr>
      </w:pPr>
    </w:p>
    <w:p w14:paraId="2D118C96" w14:textId="52CBBF5E" w:rsidR="000059B4" w:rsidRPr="00950F3D" w:rsidRDefault="000059B4" w:rsidP="000059B4">
      <w:pPr>
        <w:spacing w:line="240" w:lineRule="auto"/>
        <w:rPr>
          <w:lang w:val="en-AU"/>
        </w:rPr>
      </w:pPr>
      <w:r w:rsidRPr="727044C2">
        <w:rPr>
          <w:b/>
          <w:bCs/>
        </w:rPr>
        <w:t>Will you accept applications submitted jointly between 2 service providers who will collaborate to deliver the program?</w:t>
      </w:r>
      <w:r w:rsidRPr="727044C2">
        <w:rPr>
          <w:lang w:val="en-AU"/>
        </w:rPr>
        <w:t> </w:t>
      </w:r>
      <w:r w:rsidR="3D393245" w:rsidRPr="727044C2">
        <w:rPr>
          <w:lang w:val="en-AU"/>
        </w:rPr>
        <w:t xml:space="preserve"> </w:t>
      </w:r>
    </w:p>
    <w:p w14:paraId="5F345588" w14:textId="64EA24B0" w:rsidR="00BD4DEB" w:rsidRDefault="000059B4" w:rsidP="00EE0AE2">
      <w:pPr>
        <w:spacing w:line="240" w:lineRule="auto"/>
        <w:rPr>
          <w:b/>
          <w:bCs/>
          <w:lang w:val="en-AU"/>
        </w:rPr>
      </w:pPr>
      <w:r w:rsidRPr="00950F3D">
        <w:t>No. Applications must identify a lead service provider who will enter into a Common Funding Agreement and be ultimately responsible for program delivery.</w:t>
      </w:r>
      <w:r w:rsidRPr="00950F3D">
        <w:rPr>
          <w:lang w:val="en-AU"/>
        </w:rPr>
        <w:t> </w:t>
      </w:r>
    </w:p>
    <w:p w14:paraId="7C5C6FD8" w14:textId="77777777" w:rsidR="00B87D21" w:rsidRDefault="00B87D21" w:rsidP="00EE0AE2">
      <w:pPr>
        <w:spacing w:line="240" w:lineRule="auto"/>
        <w:rPr>
          <w:b/>
          <w:bCs/>
          <w:lang w:val="en-AU"/>
        </w:rPr>
      </w:pPr>
    </w:p>
    <w:p w14:paraId="55AD111C" w14:textId="3E451C53" w:rsidR="00EE0AE2" w:rsidRPr="00950F3D" w:rsidRDefault="00EE0AE2" w:rsidP="00EE0AE2">
      <w:pPr>
        <w:spacing w:line="240" w:lineRule="auto"/>
        <w:rPr>
          <w:lang w:val="en-AU"/>
        </w:rPr>
      </w:pPr>
      <w:r w:rsidRPr="00950F3D">
        <w:rPr>
          <w:b/>
          <w:bCs/>
          <w:lang w:val="en-AU"/>
        </w:rPr>
        <w:t>Can Service Providers include supporting documentation with the EOI application?</w:t>
      </w:r>
      <w:r w:rsidRPr="00950F3D">
        <w:rPr>
          <w:lang w:val="en-AU"/>
        </w:rPr>
        <w:t> </w:t>
      </w:r>
    </w:p>
    <w:p w14:paraId="37293BDD" w14:textId="693CDBB4" w:rsidR="00BD4DEB" w:rsidRPr="00B87D21" w:rsidRDefault="00EE0AE2" w:rsidP="00BD4DEB">
      <w:pPr>
        <w:spacing w:line="240" w:lineRule="auto"/>
        <w:rPr>
          <w:lang w:val="en-AU"/>
        </w:rPr>
      </w:pPr>
      <w:r w:rsidRPr="00950F3D">
        <w:rPr>
          <w:lang w:val="en-AU"/>
        </w:rPr>
        <w:t>The Application form outlines the required supporting documents that are to be submitted with any applications. If applicants wish to supply further supporting documents as they feel that it adds to their application, they can, but it is not required.  </w:t>
      </w:r>
    </w:p>
    <w:p w14:paraId="697DCC44" w14:textId="77777777" w:rsidR="00B87D21" w:rsidRDefault="00B87D21" w:rsidP="00BD4DEB">
      <w:pPr>
        <w:spacing w:line="240" w:lineRule="auto"/>
        <w:rPr>
          <w:b/>
          <w:bCs/>
          <w:lang w:val="en-AU"/>
        </w:rPr>
      </w:pPr>
    </w:p>
    <w:p w14:paraId="39812508" w14:textId="013BAD8E" w:rsidR="00BD4DEB" w:rsidRPr="00950F3D" w:rsidRDefault="00BD4DEB" w:rsidP="00BD4DEB">
      <w:pPr>
        <w:spacing w:line="240" w:lineRule="auto"/>
        <w:rPr>
          <w:lang w:val="en-AU"/>
        </w:rPr>
      </w:pPr>
      <w:r w:rsidRPr="00950F3D">
        <w:rPr>
          <w:b/>
          <w:bCs/>
          <w:lang w:val="en-AU"/>
        </w:rPr>
        <w:t>Can another Government Department be used as a referee for the EOI process?</w:t>
      </w:r>
      <w:r w:rsidRPr="00950F3D">
        <w:rPr>
          <w:lang w:val="en-AU"/>
        </w:rPr>
        <w:t> </w:t>
      </w:r>
    </w:p>
    <w:p w14:paraId="11D6900F" w14:textId="47CCF40B" w:rsidR="00BD4DEB" w:rsidRDefault="00BD4DEB" w:rsidP="00BD4DEB">
      <w:pPr>
        <w:spacing w:line="240" w:lineRule="auto"/>
        <w:rPr>
          <w:lang w:val="en-AU"/>
        </w:rPr>
      </w:pPr>
      <w:r w:rsidRPr="00950F3D">
        <w:t>Providing the referee is relevant to the application, there is no issue with using another Government Department as a referee for the EOI process.</w:t>
      </w:r>
      <w:r w:rsidRPr="00950F3D">
        <w:rPr>
          <w:lang w:val="en-AU"/>
        </w:rPr>
        <w:t> </w:t>
      </w:r>
    </w:p>
    <w:p w14:paraId="4E1896E8" w14:textId="77777777" w:rsidR="006F1D97" w:rsidRPr="00B87D21" w:rsidRDefault="006F1D97" w:rsidP="00BD4DEB">
      <w:pPr>
        <w:spacing w:line="240" w:lineRule="auto"/>
        <w:rPr>
          <w:lang w:val="en-AU"/>
        </w:rPr>
      </w:pPr>
    </w:p>
    <w:p w14:paraId="6DCA66D4" w14:textId="43EA62A1" w:rsidR="00BD4DEB" w:rsidRPr="00950F3D" w:rsidRDefault="00BD4DEB" w:rsidP="00BD4DEB">
      <w:pPr>
        <w:spacing w:line="240" w:lineRule="auto"/>
        <w:rPr>
          <w:lang w:val="en-AU"/>
        </w:rPr>
      </w:pPr>
      <w:r w:rsidRPr="00950F3D">
        <w:rPr>
          <w:b/>
          <w:bCs/>
          <w:lang w:val="en-AU"/>
        </w:rPr>
        <w:lastRenderedPageBreak/>
        <w:t>The application asks for two referees - are there any referees we should avoid listing?</w:t>
      </w:r>
      <w:r w:rsidRPr="00950F3D">
        <w:rPr>
          <w:lang w:val="en-AU"/>
        </w:rPr>
        <w:t> </w:t>
      </w:r>
    </w:p>
    <w:p w14:paraId="08D7B46D" w14:textId="77777777" w:rsidR="00BD4DEB" w:rsidRPr="00950F3D" w:rsidRDefault="00BD4DEB" w:rsidP="00BD4DEB">
      <w:pPr>
        <w:spacing w:line="240" w:lineRule="auto"/>
        <w:rPr>
          <w:lang w:val="en-AU"/>
        </w:rPr>
      </w:pPr>
      <w:r w:rsidRPr="00950F3D">
        <w:t>Please provide the referees you think are best able to support your application – we can discuss at interview if there are any conflicts with the referees you have listed and at this point further referee’s may be requested if necessary. </w:t>
      </w:r>
      <w:r w:rsidRPr="00950F3D">
        <w:rPr>
          <w:lang w:val="en-AU"/>
        </w:rPr>
        <w:t> </w:t>
      </w:r>
    </w:p>
    <w:p w14:paraId="03CF7310" w14:textId="77777777" w:rsidR="00BD4DEB" w:rsidRDefault="00BD4DEB" w:rsidP="00BD4DEB">
      <w:pPr>
        <w:spacing w:line="240" w:lineRule="auto"/>
        <w:rPr>
          <w:b/>
          <w:bCs/>
        </w:rPr>
      </w:pPr>
    </w:p>
    <w:p w14:paraId="1CF769AC" w14:textId="6F61538E" w:rsidR="00BD4DEB" w:rsidRPr="00950F3D" w:rsidRDefault="00BD4DEB" w:rsidP="00BD4DEB">
      <w:pPr>
        <w:spacing w:line="240" w:lineRule="auto"/>
        <w:rPr>
          <w:lang w:val="en-AU"/>
        </w:rPr>
      </w:pPr>
      <w:r w:rsidRPr="00950F3D">
        <w:rPr>
          <w:b/>
          <w:bCs/>
        </w:rPr>
        <w:t>Is it a staged selection process and does interview shortlisting occur based on capability of the potential service provider?</w:t>
      </w:r>
      <w:r w:rsidRPr="00950F3D">
        <w:rPr>
          <w:lang w:val="en-AU"/>
        </w:rPr>
        <w:t> </w:t>
      </w:r>
    </w:p>
    <w:p w14:paraId="29DA5FEA" w14:textId="1D143B69" w:rsidR="00BD4DEB" w:rsidRPr="00BD4DEB" w:rsidRDefault="00BD4DEB" w:rsidP="00BD4DEB">
      <w:pPr>
        <w:spacing w:line="240" w:lineRule="auto"/>
        <w:rPr>
          <w:lang w:val="en-AU"/>
        </w:rPr>
      </w:pPr>
      <w:r w:rsidRPr="00950F3D">
        <w:t>Applicants are assessed for suitability according to assessment criteria, and shortlisting occurs. Interviews are conducted based on this and as many organisations as deemed suitable/appropriated may be interviewed.</w:t>
      </w:r>
      <w:r w:rsidRPr="00950F3D">
        <w:rPr>
          <w:lang w:val="en-AU"/>
        </w:rPr>
        <w:t> </w:t>
      </w:r>
    </w:p>
    <w:p w14:paraId="20E13F3F" w14:textId="77777777" w:rsidR="00BD4DEB" w:rsidRDefault="00BD4DEB" w:rsidP="00BD4DEB">
      <w:pPr>
        <w:spacing w:line="240" w:lineRule="auto"/>
        <w:rPr>
          <w:b/>
          <w:bCs/>
          <w:lang w:val="en-AU"/>
        </w:rPr>
      </w:pPr>
    </w:p>
    <w:p w14:paraId="399E6A1A" w14:textId="487DE5AF" w:rsidR="00BD4DEB" w:rsidRPr="00950F3D" w:rsidRDefault="00BD4DEB" w:rsidP="00BD4DEB">
      <w:pPr>
        <w:spacing w:line="240" w:lineRule="auto"/>
        <w:rPr>
          <w:lang w:val="en-AU"/>
        </w:rPr>
      </w:pPr>
      <w:r w:rsidRPr="00950F3D">
        <w:rPr>
          <w:b/>
          <w:bCs/>
          <w:lang w:val="en-AU"/>
        </w:rPr>
        <w:t>Who will be on the EOI interview panel?</w:t>
      </w:r>
      <w:r w:rsidRPr="00950F3D">
        <w:rPr>
          <w:lang w:val="en-AU"/>
        </w:rPr>
        <w:t> </w:t>
      </w:r>
    </w:p>
    <w:p w14:paraId="0D5935F9" w14:textId="098EF7C4" w:rsidR="00BD4DEB" w:rsidRPr="00950F3D" w:rsidRDefault="32C52920" w:rsidP="00BD4DEB">
      <w:pPr>
        <w:spacing w:line="240" w:lineRule="auto"/>
        <w:rPr>
          <w:lang w:val="en-AU"/>
        </w:rPr>
      </w:pPr>
      <w:r w:rsidRPr="18FFE528">
        <w:rPr>
          <w:lang w:val="en-AU"/>
        </w:rPr>
        <w:t xml:space="preserve">Panels will consist of DE staff who are directly involved with the delivery and oversight of the Navigator program. </w:t>
      </w:r>
      <w:r w:rsidR="00BD4DEB" w:rsidRPr="18FFE528">
        <w:rPr>
          <w:lang w:val="en-AU"/>
        </w:rPr>
        <w:t>Applicants who are assessed and shortlisted for interview will be advised of all arrangements pertaining to the interview process via email. </w:t>
      </w:r>
    </w:p>
    <w:p w14:paraId="13C2284C" w14:textId="5D5118EF" w:rsidR="007845C8" w:rsidRDefault="007845C8" w:rsidP="1180F75F">
      <w:pPr>
        <w:spacing w:line="240" w:lineRule="auto"/>
        <w:rPr>
          <w:b/>
          <w:bCs/>
          <w:lang w:val="en-AU"/>
        </w:rPr>
      </w:pPr>
    </w:p>
    <w:p w14:paraId="09A0EEDA" w14:textId="298FFBF8" w:rsidR="007845C8" w:rsidRPr="00950F3D" w:rsidRDefault="007845C8" w:rsidP="007845C8">
      <w:pPr>
        <w:spacing w:line="240" w:lineRule="auto"/>
        <w:rPr>
          <w:lang w:val="en-AU"/>
        </w:rPr>
      </w:pPr>
      <w:r w:rsidRPr="00950F3D">
        <w:rPr>
          <w:b/>
          <w:bCs/>
          <w:lang w:val="en-AU"/>
        </w:rPr>
        <w:t>What incorporated status does an organisation need in order to submit an application (e.g. Incorporated entity / incorporated association) </w:t>
      </w:r>
      <w:r w:rsidRPr="00950F3D">
        <w:rPr>
          <w:lang w:val="en-AU"/>
        </w:rPr>
        <w:t> </w:t>
      </w:r>
    </w:p>
    <w:p w14:paraId="7DF7E0A8" w14:textId="77777777" w:rsidR="007845C8" w:rsidRDefault="007845C8" w:rsidP="007845C8">
      <w:pPr>
        <w:spacing w:line="240" w:lineRule="auto"/>
        <w:rPr>
          <w:lang w:val="en-AU"/>
        </w:rPr>
      </w:pPr>
      <w:r w:rsidRPr="00950F3D">
        <w:t>The following table outlines ‘incorporation’ status – if an applicant falls under any of these groups, they are eligible for funding.</w:t>
      </w:r>
      <w:r w:rsidRPr="00950F3D">
        <w:rPr>
          <w:lang w:val="en-AU"/>
        </w:rPr>
        <w:t> </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3402"/>
        <w:gridCol w:w="3543"/>
      </w:tblGrid>
      <w:tr w:rsidR="0044081B" w:rsidRPr="0044081B" w14:paraId="1ECCB426" w14:textId="77777777" w:rsidTr="5BCCBD18">
        <w:trPr>
          <w:trHeight w:val="348"/>
        </w:trPr>
        <w:tc>
          <w:tcPr>
            <w:tcW w:w="2694" w:type="dxa"/>
            <w:tcBorders>
              <w:top w:val="nil"/>
              <w:left w:val="nil"/>
              <w:bottom w:val="single" w:sz="6" w:space="0" w:color="1F1646" w:themeColor="text1"/>
              <w:right w:val="single" w:sz="6" w:space="0" w:color="CFF0F2" w:themeColor="accent6" w:themeTint="66"/>
            </w:tcBorders>
            <w:shd w:val="clear" w:color="auto" w:fill="CFF0F2" w:themeFill="accent6" w:themeFillTint="66"/>
            <w:hideMark/>
          </w:tcPr>
          <w:p w14:paraId="3494F6B0" w14:textId="2BB2E5C7" w:rsidR="0044081B" w:rsidRPr="0044081B" w:rsidRDefault="0044081B" w:rsidP="0044081B">
            <w:pPr>
              <w:spacing w:line="240" w:lineRule="auto"/>
              <w:rPr>
                <w:b/>
                <w:bCs/>
                <w:lang w:val="en-AU"/>
              </w:rPr>
            </w:pPr>
            <w:r>
              <w:rPr>
                <w:b/>
                <w:bCs/>
                <w:lang w:val="en-AU"/>
              </w:rPr>
              <w:t xml:space="preserve">Type of Funded Organisation </w:t>
            </w:r>
            <w:r w:rsidRPr="0044081B">
              <w:rPr>
                <w:b/>
                <w:bCs/>
                <w:lang w:val="en-AU"/>
              </w:rPr>
              <w:t> </w:t>
            </w:r>
          </w:p>
        </w:tc>
        <w:tc>
          <w:tcPr>
            <w:tcW w:w="3402" w:type="dxa"/>
            <w:tcBorders>
              <w:top w:val="nil"/>
              <w:left w:val="single" w:sz="6" w:space="0" w:color="CFF0F2" w:themeColor="accent6" w:themeTint="66"/>
              <w:bottom w:val="single" w:sz="6" w:space="0" w:color="1F1646" w:themeColor="text1"/>
              <w:right w:val="single" w:sz="6" w:space="0" w:color="CFF0F2" w:themeColor="accent6" w:themeTint="66"/>
            </w:tcBorders>
            <w:shd w:val="clear" w:color="auto" w:fill="CFF0F2" w:themeFill="accent6" w:themeFillTint="66"/>
            <w:hideMark/>
          </w:tcPr>
          <w:p w14:paraId="51C883B2" w14:textId="410320FD" w:rsidR="0044081B" w:rsidRPr="0044081B" w:rsidRDefault="0044081B" w:rsidP="0044081B">
            <w:pPr>
              <w:spacing w:line="240" w:lineRule="auto"/>
              <w:rPr>
                <w:b/>
                <w:bCs/>
                <w:lang w:val="en-AU"/>
              </w:rPr>
            </w:pPr>
            <w:r w:rsidRPr="0044081B">
              <w:rPr>
                <w:b/>
                <w:bCs/>
                <w:lang w:val="en-AU"/>
              </w:rPr>
              <w:t xml:space="preserve"> How incorporated </w:t>
            </w:r>
            <w:r w:rsidRPr="0044081B">
              <w:rPr>
                <w:b/>
                <w:bCs/>
                <w:lang w:val="en-AU"/>
              </w:rPr>
              <w:tab/>
            </w:r>
          </w:p>
        </w:tc>
        <w:tc>
          <w:tcPr>
            <w:tcW w:w="3543" w:type="dxa"/>
            <w:tcBorders>
              <w:top w:val="nil"/>
              <w:left w:val="single" w:sz="6" w:space="0" w:color="CFF0F2" w:themeColor="accent6" w:themeTint="66"/>
              <w:bottom w:val="single" w:sz="6" w:space="0" w:color="1F1646" w:themeColor="text1"/>
              <w:right w:val="single" w:sz="6" w:space="0" w:color="CFF0F2" w:themeColor="accent6" w:themeTint="66"/>
            </w:tcBorders>
            <w:shd w:val="clear" w:color="auto" w:fill="CFF0F2" w:themeFill="accent6" w:themeFillTint="66"/>
            <w:hideMark/>
          </w:tcPr>
          <w:p w14:paraId="147121A1" w14:textId="3015677F" w:rsidR="0044081B" w:rsidRPr="0044081B" w:rsidRDefault="0044081B" w:rsidP="0044081B">
            <w:pPr>
              <w:spacing w:line="240" w:lineRule="auto"/>
              <w:rPr>
                <w:b/>
                <w:bCs/>
                <w:lang w:val="en-AU"/>
              </w:rPr>
            </w:pPr>
            <w:r w:rsidRPr="0044081B">
              <w:rPr>
                <w:b/>
                <w:bCs/>
                <w:lang w:val="en-AU"/>
              </w:rPr>
              <w:t> Evidence of incorporation</w:t>
            </w:r>
          </w:p>
        </w:tc>
      </w:tr>
      <w:tr w:rsidR="0044081B" w:rsidRPr="0044081B" w14:paraId="79308EC1" w14:textId="77777777" w:rsidTr="5BCCBD18">
        <w:trPr>
          <w:trHeight w:val="348"/>
        </w:trPr>
        <w:tc>
          <w:tcPr>
            <w:tcW w:w="2694" w:type="dxa"/>
            <w:tcBorders>
              <w:top w:val="single" w:sz="6" w:space="0" w:color="1F1646" w:themeColor="text1"/>
              <w:left w:val="single" w:sz="6" w:space="0" w:color="FFFFFF" w:themeColor="background2"/>
              <w:bottom w:val="single" w:sz="6" w:space="0" w:color="1F1646" w:themeColor="text1"/>
              <w:right w:val="single" w:sz="6" w:space="0" w:color="FFFFFF" w:themeColor="background2"/>
            </w:tcBorders>
            <w:hideMark/>
          </w:tcPr>
          <w:p w14:paraId="2E27D246" w14:textId="0D721A23" w:rsidR="0044081B" w:rsidRPr="0044081B" w:rsidRDefault="0044081B" w:rsidP="0044081B">
            <w:pPr>
              <w:spacing w:line="240" w:lineRule="auto"/>
              <w:rPr>
                <w:b/>
                <w:bCs/>
                <w:lang w:val="en-AU"/>
              </w:rPr>
            </w:pPr>
            <w:r w:rsidRPr="00950F3D">
              <w:t>Company, limited by shares or guarantee.</w:t>
            </w:r>
          </w:p>
        </w:tc>
        <w:tc>
          <w:tcPr>
            <w:tcW w:w="3402" w:type="dxa"/>
            <w:tcBorders>
              <w:top w:val="single" w:sz="6" w:space="0" w:color="1F1646" w:themeColor="text1"/>
              <w:left w:val="single" w:sz="6" w:space="0" w:color="FFFFFF" w:themeColor="background2"/>
              <w:bottom w:val="single" w:sz="6" w:space="0" w:color="1F1646" w:themeColor="text1"/>
              <w:right w:val="single" w:sz="6" w:space="0" w:color="FFFFFF" w:themeColor="background2"/>
            </w:tcBorders>
            <w:hideMark/>
          </w:tcPr>
          <w:p w14:paraId="48BA914F" w14:textId="784DEF7F" w:rsidR="0044081B" w:rsidRPr="0044081B" w:rsidRDefault="0044081B" w:rsidP="0044081B">
            <w:pPr>
              <w:spacing w:line="240" w:lineRule="auto"/>
              <w:rPr>
                <w:lang w:val="en-AU"/>
              </w:rPr>
            </w:pPr>
            <w:r w:rsidRPr="00950F3D">
              <w:t>Incorporated under the </w:t>
            </w:r>
            <w:r w:rsidRPr="00950F3D">
              <w:rPr>
                <w:i/>
                <w:iCs/>
              </w:rPr>
              <w:t>Corporations Act 2001 </w:t>
            </w:r>
            <w:r w:rsidRPr="00950F3D">
              <w:t>(Cth).</w:t>
            </w:r>
            <w:r w:rsidRPr="00950F3D">
              <w:rPr>
                <w:lang w:val="en-AU"/>
              </w:rPr>
              <w:t> </w:t>
            </w:r>
          </w:p>
        </w:tc>
        <w:tc>
          <w:tcPr>
            <w:tcW w:w="3543" w:type="dxa"/>
            <w:tcBorders>
              <w:top w:val="single" w:sz="6" w:space="0" w:color="1F1646" w:themeColor="text1"/>
              <w:left w:val="single" w:sz="6" w:space="0" w:color="FFFFFF" w:themeColor="background2"/>
              <w:bottom w:val="single" w:sz="6" w:space="0" w:color="1F1646" w:themeColor="text1"/>
              <w:right w:val="single" w:sz="6" w:space="0" w:color="FFFFFF" w:themeColor="background2"/>
            </w:tcBorders>
            <w:hideMark/>
          </w:tcPr>
          <w:p w14:paraId="13AD0D51" w14:textId="669E75E6" w:rsidR="0044081B" w:rsidRPr="00950F3D" w:rsidRDefault="0044081B" w:rsidP="0044081B">
            <w:pPr>
              <w:spacing w:line="240" w:lineRule="auto"/>
              <w:rPr>
                <w:lang w:val="en-AU"/>
              </w:rPr>
            </w:pPr>
            <w:r w:rsidRPr="00950F3D">
              <w:t>Copy of Certificate of Incorporation</w:t>
            </w:r>
            <w:r w:rsidRPr="00950F3D">
              <w:rPr>
                <w:lang w:val="en-AU"/>
              </w:rPr>
              <w:t> </w:t>
            </w:r>
          </w:p>
          <w:p w14:paraId="38656149" w14:textId="70E4A0E8" w:rsidR="0044081B" w:rsidRPr="0044081B" w:rsidRDefault="0044081B" w:rsidP="0044081B">
            <w:pPr>
              <w:spacing w:line="240" w:lineRule="auto"/>
              <w:rPr>
                <w:lang w:val="en-AU"/>
              </w:rPr>
            </w:pPr>
            <w:r w:rsidRPr="00950F3D">
              <w:t>Search ACN or name on </w:t>
            </w:r>
            <w:hyperlink r:id="rId11" w:tgtFrame="_blank" w:history="1">
              <w:r w:rsidRPr="00950F3D">
                <w:rPr>
                  <w:rStyle w:val="Hyperlink"/>
                </w:rPr>
                <w:t>ASIC website</w:t>
              </w:r>
            </w:hyperlink>
            <w:r w:rsidRPr="00950F3D">
              <w:rPr>
                <w:lang w:val="en-AU"/>
              </w:rPr>
              <w:t> </w:t>
            </w:r>
          </w:p>
        </w:tc>
      </w:tr>
      <w:tr w:rsidR="0044081B" w:rsidRPr="0044081B" w14:paraId="50C6D649" w14:textId="77777777" w:rsidTr="5BCCBD18">
        <w:trPr>
          <w:trHeight w:val="83"/>
        </w:trPr>
        <w:tc>
          <w:tcPr>
            <w:tcW w:w="2694" w:type="dxa"/>
            <w:tcBorders>
              <w:top w:val="single" w:sz="6" w:space="0" w:color="1F1646" w:themeColor="text1"/>
              <w:left w:val="single" w:sz="6" w:space="0" w:color="FFFFFF" w:themeColor="background2"/>
              <w:bottom w:val="single" w:sz="6" w:space="0" w:color="1F1646" w:themeColor="text1"/>
              <w:right w:val="single" w:sz="6" w:space="0" w:color="FFFFFF" w:themeColor="background2"/>
            </w:tcBorders>
            <w:hideMark/>
          </w:tcPr>
          <w:p w14:paraId="56E1896F" w14:textId="1610CB2D" w:rsidR="0044081B" w:rsidRPr="0044081B" w:rsidRDefault="0044081B" w:rsidP="0044081B">
            <w:pPr>
              <w:spacing w:line="240" w:lineRule="auto"/>
              <w:rPr>
                <w:lang w:val="en-AU"/>
              </w:rPr>
            </w:pPr>
            <w:r w:rsidRPr="00950F3D">
              <w:t>Not-for-profit Association</w:t>
            </w:r>
            <w:r w:rsidRPr="00950F3D">
              <w:rPr>
                <w:lang w:val="en-AU"/>
              </w:rPr>
              <w:t> </w:t>
            </w:r>
          </w:p>
        </w:tc>
        <w:tc>
          <w:tcPr>
            <w:tcW w:w="3402" w:type="dxa"/>
            <w:tcBorders>
              <w:top w:val="single" w:sz="6" w:space="0" w:color="1F1646" w:themeColor="text1"/>
              <w:left w:val="single" w:sz="6" w:space="0" w:color="FFFFFF" w:themeColor="background2"/>
              <w:bottom w:val="single" w:sz="6" w:space="0" w:color="1F1646" w:themeColor="text1"/>
              <w:right w:val="single" w:sz="6" w:space="0" w:color="FFFFFF" w:themeColor="background2"/>
            </w:tcBorders>
            <w:hideMark/>
          </w:tcPr>
          <w:p w14:paraId="256242F7" w14:textId="1FF3D463" w:rsidR="0044081B" w:rsidRPr="0044081B" w:rsidRDefault="0044081B" w:rsidP="0044081B">
            <w:pPr>
              <w:spacing w:line="240" w:lineRule="auto"/>
              <w:rPr>
                <w:lang w:val="en-AU"/>
              </w:rPr>
            </w:pPr>
            <w:r w:rsidRPr="00950F3D">
              <w:t>Incorporated under the </w:t>
            </w:r>
            <w:r w:rsidRPr="00950F3D">
              <w:rPr>
                <w:i/>
                <w:iCs/>
              </w:rPr>
              <w:t>Associations Incorporation Reform Act 2012</w:t>
            </w:r>
            <w:r w:rsidRPr="00950F3D">
              <w:rPr>
                <w:lang w:val="en-AU"/>
              </w:rPr>
              <w:t> </w:t>
            </w:r>
          </w:p>
        </w:tc>
        <w:tc>
          <w:tcPr>
            <w:tcW w:w="3543" w:type="dxa"/>
            <w:tcBorders>
              <w:top w:val="single" w:sz="6" w:space="0" w:color="1F1646" w:themeColor="text1"/>
              <w:left w:val="single" w:sz="6" w:space="0" w:color="FFFFFF" w:themeColor="background2"/>
              <w:bottom w:val="single" w:sz="6" w:space="0" w:color="1F1646" w:themeColor="text1"/>
              <w:right w:val="single" w:sz="6" w:space="0" w:color="FFFFFF" w:themeColor="background2"/>
            </w:tcBorders>
            <w:hideMark/>
          </w:tcPr>
          <w:p w14:paraId="2ED032FE" w14:textId="6FE15142" w:rsidR="0044081B" w:rsidRPr="00950F3D" w:rsidRDefault="0044081B" w:rsidP="0044081B">
            <w:pPr>
              <w:spacing w:line="240" w:lineRule="auto"/>
              <w:rPr>
                <w:lang w:val="en-AU"/>
              </w:rPr>
            </w:pPr>
            <w:r w:rsidRPr="00950F3D">
              <w:t>Copy of Certificate of Incorporation</w:t>
            </w:r>
            <w:r w:rsidRPr="00950F3D">
              <w:rPr>
                <w:lang w:val="en-AU"/>
              </w:rPr>
              <w:t> </w:t>
            </w:r>
          </w:p>
          <w:p w14:paraId="45AFB6D3" w14:textId="04411564" w:rsidR="0044081B" w:rsidRPr="0044081B" w:rsidRDefault="0044081B" w:rsidP="0044081B">
            <w:pPr>
              <w:spacing w:line="240" w:lineRule="auto"/>
              <w:rPr>
                <w:lang w:val="en-AU"/>
              </w:rPr>
            </w:pPr>
            <w:r w:rsidRPr="00950F3D">
              <w:t>Search Registration number or name on </w:t>
            </w:r>
            <w:hyperlink r:id="rId12" w:tgtFrame="_blank" w:history="1">
              <w:r w:rsidRPr="00950F3D">
                <w:rPr>
                  <w:rStyle w:val="Hyperlink"/>
                </w:rPr>
                <w:t>Consumer Affairs Victoria website</w:t>
              </w:r>
            </w:hyperlink>
            <w:r w:rsidRPr="00950F3D">
              <w:rPr>
                <w:lang w:val="en-AU"/>
              </w:rPr>
              <w:t> </w:t>
            </w:r>
          </w:p>
        </w:tc>
      </w:tr>
      <w:tr w:rsidR="0006560A" w:rsidRPr="0044081B" w14:paraId="48CBBD0A" w14:textId="77777777" w:rsidTr="5BCCBD18">
        <w:trPr>
          <w:trHeight w:val="83"/>
        </w:trPr>
        <w:tc>
          <w:tcPr>
            <w:tcW w:w="2694" w:type="dxa"/>
            <w:tcBorders>
              <w:top w:val="single" w:sz="6" w:space="0" w:color="1F1646" w:themeColor="text1"/>
              <w:left w:val="single" w:sz="6" w:space="0" w:color="FFFFFF" w:themeColor="background2"/>
              <w:bottom w:val="single" w:sz="6" w:space="0" w:color="1F1646" w:themeColor="text1"/>
              <w:right w:val="single" w:sz="6" w:space="0" w:color="FFFFFF" w:themeColor="background2"/>
            </w:tcBorders>
          </w:tcPr>
          <w:p w14:paraId="0BFAC6DA" w14:textId="7EE7DBA2" w:rsidR="0006560A" w:rsidRPr="00950F3D" w:rsidRDefault="0006560A" w:rsidP="0006560A">
            <w:pPr>
              <w:spacing w:line="240" w:lineRule="auto"/>
            </w:pPr>
            <w:r w:rsidRPr="00950F3D">
              <w:t>Co-operative</w:t>
            </w:r>
            <w:r w:rsidRPr="00950F3D">
              <w:rPr>
                <w:lang w:val="en-AU"/>
              </w:rPr>
              <w:t> </w:t>
            </w:r>
          </w:p>
        </w:tc>
        <w:tc>
          <w:tcPr>
            <w:tcW w:w="3402" w:type="dxa"/>
            <w:tcBorders>
              <w:top w:val="single" w:sz="6" w:space="0" w:color="1F1646" w:themeColor="text1"/>
              <w:left w:val="single" w:sz="6" w:space="0" w:color="FFFFFF" w:themeColor="background2"/>
              <w:bottom w:val="single" w:sz="6" w:space="0" w:color="1F1646" w:themeColor="text1"/>
              <w:right w:val="single" w:sz="6" w:space="0" w:color="FFFFFF" w:themeColor="background2"/>
            </w:tcBorders>
          </w:tcPr>
          <w:p w14:paraId="2EAB5AFC" w14:textId="6A1B8B3D" w:rsidR="0006560A" w:rsidRPr="00950F3D" w:rsidRDefault="0006560A" w:rsidP="0006560A">
            <w:pPr>
              <w:spacing w:line="240" w:lineRule="auto"/>
            </w:pPr>
            <w:r w:rsidRPr="00950F3D">
              <w:t>Incorporated under the </w:t>
            </w:r>
            <w:r w:rsidRPr="00950F3D">
              <w:rPr>
                <w:i/>
                <w:iCs/>
              </w:rPr>
              <w:t>Co-operatives National Law Application Act 2013 (Cth)</w:t>
            </w:r>
            <w:r w:rsidRPr="00950F3D">
              <w:rPr>
                <w:lang w:val="en-AU"/>
              </w:rPr>
              <w:t> </w:t>
            </w:r>
          </w:p>
        </w:tc>
        <w:tc>
          <w:tcPr>
            <w:tcW w:w="3543" w:type="dxa"/>
            <w:tcBorders>
              <w:top w:val="single" w:sz="6" w:space="0" w:color="1F1646" w:themeColor="text1"/>
              <w:left w:val="single" w:sz="6" w:space="0" w:color="FFFFFF" w:themeColor="background2"/>
              <w:bottom w:val="single" w:sz="6" w:space="0" w:color="1F1646" w:themeColor="text1"/>
              <w:right w:val="single" w:sz="6" w:space="0" w:color="FFFFFF" w:themeColor="background2"/>
            </w:tcBorders>
          </w:tcPr>
          <w:p w14:paraId="22D3E76B" w14:textId="77777777" w:rsidR="0006560A" w:rsidRPr="00950F3D" w:rsidRDefault="0006560A" w:rsidP="0006560A">
            <w:pPr>
              <w:spacing w:line="240" w:lineRule="auto"/>
              <w:rPr>
                <w:lang w:val="en-AU"/>
              </w:rPr>
            </w:pPr>
            <w:r w:rsidRPr="00950F3D">
              <w:t>Copy of Certificate of Incorporation</w:t>
            </w:r>
            <w:r w:rsidRPr="00950F3D">
              <w:rPr>
                <w:lang w:val="en-AU"/>
              </w:rPr>
              <w:t> </w:t>
            </w:r>
          </w:p>
          <w:p w14:paraId="7ECE3B74" w14:textId="3661ADCB" w:rsidR="0006560A" w:rsidRPr="00950F3D" w:rsidRDefault="0006560A" w:rsidP="0006560A">
            <w:pPr>
              <w:spacing w:line="240" w:lineRule="auto"/>
            </w:pPr>
            <w:r w:rsidRPr="00950F3D">
              <w:t>Search Registered name on </w:t>
            </w:r>
            <w:hyperlink r:id="rId13" w:tgtFrame="_blank" w:history="1">
              <w:r w:rsidRPr="00950F3D">
                <w:rPr>
                  <w:rStyle w:val="Hyperlink"/>
                </w:rPr>
                <w:t>Consumer Affairs Victoria Co-operatives Register website</w:t>
              </w:r>
            </w:hyperlink>
            <w:r w:rsidRPr="00950F3D">
              <w:rPr>
                <w:lang w:val="en-AU"/>
              </w:rPr>
              <w:t> </w:t>
            </w:r>
          </w:p>
        </w:tc>
      </w:tr>
      <w:tr w:rsidR="0006560A" w:rsidRPr="0044081B" w14:paraId="06AA739E" w14:textId="77777777" w:rsidTr="5BCCBD18">
        <w:trPr>
          <w:trHeight w:val="83"/>
        </w:trPr>
        <w:tc>
          <w:tcPr>
            <w:tcW w:w="2694" w:type="dxa"/>
            <w:tcBorders>
              <w:top w:val="single" w:sz="6" w:space="0" w:color="1F1646" w:themeColor="text1"/>
              <w:left w:val="single" w:sz="6" w:space="0" w:color="FFFFFF" w:themeColor="background2"/>
              <w:bottom w:val="single" w:sz="6" w:space="0" w:color="FFFFFF" w:themeColor="background2"/>
              <w:right w:val="single" w:sz="6" w:space="0" w:color="FFFFFF" w:themeColor="background2"/>
            </w:tcBorders>
          </w:tcPr>
          <w:p w14:paraId="22B0A28C" w14:textId="1FE1CE43" w:rsidR="0006560A" w:rsidRPr="00950F3D" w:rsidRDefault="0006560A" w:rsidP="0006560A">
            <w:pPr>
              <w:spacing w:line="240" w:lineRule="auto"/>
            </w:pPr>
            <w:r w:rsidRPr="00950F3D">
              <w:t>Aboriginal and Torres Strait Islander Corporation</w:t>
            </w:r>
            <w:r w:rsidRPr="00950F3D">
              <w:rPr>
                <w:lang w:val="en-AU"/>
              </w:rPr>
              <w:t> </w:t>
            </w:r>
          </w:p>
        </w:tc>
        <w:tc>
          <w:tcPr>
            <w:tcW w:w="3402" w:type="dxa"/>
            <w:tcBorders>
              <w:top w:val="single" w:sz="6" w:space="0" w:color="1F1646" w:themeColor="text1"/>
              <w:left w:val="single" w:sz="6" w:space="0" w:color="FFFFFF" w:themeColor="background2"/>
              <w:bottom w:val="single" w:sz="6" w:space="0" w:color="FFFFFF" w:themeColor="background2"/>
              <w:right w:val="single" w:sz="6" w:space="0" w:color="FFFFFF" w:themeColor="background2"/>
            </w:tcBorders>
          </w:tcPr>
          <w:p w14:paraId="6D588FD3" w14:textId="3DB994AD" w:rsidR="0006560A" w:rsidRPr="00950F3D" w:rsidRDefault="0006560A" w:rsidP="0006560A">
            <w:pPr>
              <w:spacing w:line="240" w:lineRule="auto"/>
            </w:pPr>
            <w:r w:rsidRPr="00950F3D">
              <w:rPr>
                <w:i/>
                <w:iCs/>
              </w:rPr>
              <w:t>Corporations (Aboriginal and Torres Strait Islander) Act 2006 (Cth)</w:t>
            </w:r>
            <w:r w:rsidRPr="00950F3D">
              <w:rPr>
                <w:lang w:val="en-AU"/>
              </w:rPr>
              <w:t> </w:t>
            </w:r>
          </w:p>
        </w:tc>
        <w:tc>
          <w:tcPr>
            <w:tcW w:w="3543" w:type="dxa"/>
            <w:tcBorders>
              <w:top w:val="single" w:sz="6" w:space="0" w:color="1F1646" w:themeColor="text1"/>
              <w:left w:val="single" w:sz="6" w:space="0" w:color="FFFFFF" w:themeColor="background2"/>
              <w:bottom w:val="single" w:sz="6" w:space="0" w:color="FFFFFF" w:themeColor="background2"/>
              <w:right w:val="single" w:sz="6" w:space="0" w:color="FFFFFF" w:themeColor="background2"/>
            </w:tcBorders>
          </w:tcPr>
          <w:p w14:paraId="5C5507E1" w14:textId="77777777" w:rsidR="0006560A" w:rsidRPr="00950F3D" w:rsidRDefault="0006560A" w:rsidP="0006560A">
            <w:pPr>
              <w:spacing w:line="240" w:lineRule="auto"/>
              <w:rPr>
                <w:lang w:val="en-AU"/>
              </w:rPr>
            </w:pPr>
            <w:r w:rsidRPr="00950F3D">
              <w:t>Copy of Certificate of Incorporation</w:t>
            </w:r>
            <w:r w:rsidRPr="00950F3D">
              <w:rPr>
                <w:lang w:val="en-AU"/>
              </w:rPr>
              <w:t> </w:t>
            </w:r>
          </w:p>
          <w:p w14:paraId="79928FFA" w14:textId="451C395A" w:rsidR="0006560A" w:rsidRPr="00950F3D" w:rsidRDefault="0006560A" w:rsidP="0006560A">
            <w:pPr>
              <w:spacing w:line="240" w:lineRule="auto"/>
            </w:pPr>
            <w:r w:rsidRPr="00950F3D">
              <w:t>Search Indigenous Corporation Number (ICN) or ACN or corporation name on </w:t>
            </w:r>
            <w:hyperlink r:id="rId14" w:tgtFrame="_blank" w:history="1">
              <w:r w:rsidRPr="00950F3D">
                <w:rPr>
                  <w:rStyle w:val="Hyperlink"/>
                </w:rPr>
                <w:t>Office of the Registrar of Indigenous Corporations website</w:t>
              </w:r>
            </w:hyperlink>
            <w:r w:rsidRPr="00950F3D">
              <w:rPr>
                <w:lang w:val="en-AU"/>
              </w:rPr>
              <w:t> </w:t>
            </w:r>
          </w:p>
        </w:tc>
      </w:tr>
    </w:tbl>
    <w:p w14:paraId="6037D2D6" w14:textId="77777777" w:rsidR="2C859759" w:rsidRDefault="2C859759" w:rsidP="2C859759">
      <w:pPr>
        <w:spacing w:line="240" w:lineRule="auto"/>
        <w:rPr>
          <w:b/>
          <w:bCs/>
          <w:lang w:val="en-AU"/>
        </w:rPr>
      </w:pPr>
    </w:p>
    <w:p w14:paraId="089D9E0F" w14:textId="51C2FF7C" w:rsidR="6285BEE2" w:rsidRDefault="6285BEE2" w:rsidP="2C859759">
      <w:pPr>
        <w:spacing w:line="240" w:lineRule="auto"/>
        <w:rPr>
          <w:lang w:val="en-AU"/>
        </w:rPr>
      </w:pPr>
      <w:r w:rsidRPr="2C859759">
        <w:rPr>
          <w:b/>
          <w:bCs/>
          <w:lang w:val="en-AU"/>
        </w:rPr>
        <w:t>Can a copy of the draft contract be provided?</w:t>
      </w:r>
      <w:r w:rsidRPr="2C859759">
        <w:rPr>
          <w:lang w:val="en-AU"/>
        </w:rPr>
        <w:t> </w:t>
      </w:r>
    </w:p>
    <w:p w14:paraId="2E871202" w14:textId="5046C1C0" w:rsidR="6285BEE2" w:rsidRDefault="6285BEE2" w:rsidP="2C859759">
      <w:pPr>
        <w:spacing w:line="240" w:lineRule="auto"/>
        <w:rPr>
          <w:b/>
          <w:bCs/>
          <w:lang w:val="en-AU"/>
        </w:rPr>
      </w:pPr>
      <w:r>
        <w:lastRenderedPageBreak/>
        <w:t>Contracts are based on the Victorian Common Funding Agreement – for more information please see </w:t>
      </w:r>
      <w:hyperlink r:id="rId15">
        <w:r w:rsidRPr="2C859759">
          <w:rPr>
            <w:rStyle w:val="Hyperlink"/>
          </w:rPr>
          <w:t>https://www.vic.gov.au/victorian-common-funding-agreement</w:t>
        </w:r>
      </w:hyperlink>
      <w:r>
        <w:t> </w:t>
      </w:r>
      <w:r w:rsidRPr="2C859759">
        <w:rPr>
          <w:lang w:val="en-AU"/>
        </w:rPr>
        <w:t> </w:t>
      </w:r>
    </w:p>
    <w:p w14:paraId="015D9C74" w14:textId="740A02EE" w:rsidR="2C859759" w:rsidRDefault="2C859759" w:rsidP="2C859759">
      <w:pPr>
        <w:rPr>
          <w:lang w:val="en-AU"/>
        </w:rPr>
      </w:pPr>
    </w:p>
    <w:p w14:paraId="5CC0BA0B" w14:textId="00A95ABA" w:rsidR="00574789" w:rsidRPr="00B87D21" w:rsidRDefault="00574789" w:rsidP="00B87D21">
      <w:pPr>
        <w:pStyle w:val="Heading3"/>
        <w:spacing w:before="360"/>
        <w:rPr>
          <w:color w:val="1F1646" w:themeColor="text1"/>
          <w:lang w:val="en-AU"/>
        </w:rPr>
      </w:pPr>
      <w:r w:rsidRPr="00B87D21">
        <w:rPr>
          <w:color w:val="1F1646" w:themeColor="text1"/>
          <w:lang w:val="en-AU"/>
        </w:rPr>
        <w:t>Funding</w:t>
      </w:r>
    </w:p>
    <w:p w14:paraId="1992181C" w14:textId="72DB28FF" w:rsidR="00950F3D" w:rsidRPr="00950F3D" w:rsidRDefault="00950F3D" w:rsidP="00574789">
      <w:pPr>
        <w:spacing w:line="240" w:lineRule="auto"/>
        <w:rPr>
          <w:lang w:val="en-AU"/>
        </w:rPr>
      </w:pPr>
      <w:r w:rsidRPr="00950F3D">
        <w:rPr>
          <w:b/>
          <w:bCs/>
          <w:lang w:val="en-AU"/>
        </w:rPr>
        <w:t>What funding is available to deliver Navigator in the specified areas? </w:t>
      </w:r>
      <w:r w:rsidRPr="00950F3D">
        <w:rPr>
          <w:lang w:val="en-AU"/>
        </w:rPr>
        <w:t> </w:t>
      </w:r>
    </w:p>
    <w:p w14:paraId="0018E19B" w14:textId="76AA22BB" w:rsidR="00950F3D" w:rsidRDefault="00B1505C" w:rsidP="1180F75F">
      <w:pPr>
        <w:spacing w:line="240" w:lineRule="auto"/>
        <w:rPr>
          <w:lang w:val="en-AU"/>
        </w:rPr>
      </w:pPr>
      <w:r>
        <w:rPr>
          <w:lang w:val="en-AU"/>
        </w:rPr>
        <w:t>Refer to</w:t>
      </w:r>
      <w:r w:rsidRPr="005529EB">
        <w:rPr>
          <w:lang w:val="en-AU"/>
        </w:rPr>
        <w:t xml:space="preserve"> </w:t>
      </w:r>
      <w:r w:rsidR="00AD7AB9" w:rsidRPr="00512081">
        <w:rPr>
          <w:b/>
          <w:bCs/>
        </w:rPr>
        <w:t>Navigator Program Overview</w:t>
      </w:r>
      <w:r w:rsidR="00AD7AB9" w:rsidRPr="00512081">
        <w:t>.</w:t>
      </w:r>
    </w:p>
    <w:p w14:paraId="4E3A26DC" w14:textId="77777777" w:rsidR="00950F3D" w:rsidRPr="00950F3D" w:rsidRDefault="00950F3D" w:rsidP="00950F3D">
      <w:pPr>
        <w:spacing w:line="240" w:lineRule="auto"/>
        <w:rPr>
          <w:lang w:val="en-AU"/>
        </w:rPr>
      </w:pPr>
      <w:r w:rsidRPr="00950F3D">
        <w:rPr>
          <w:lang w:val="en-AU"/>
        </w:rPr>
        <w:t>Annual budgets will be confirmed with the preferred applicant prior to contract execution.  </w:t>
      </w:r>
    </w:p>
    <w:p w14:paraId="5A50FBA5" w14:textId="77777777" w:rsidR="00BD4DEB" w:rsidRDefault="00BD4DEB" w:rsidP="00950F3D">
      <w:pPr>
        <w:spacing w:line="240" w:lineRule="auto"/>
        <w:rPr>
          <w:b/>
          <w:bCs/>
          <w:lang w:val="en-AU"/>
        </w:rPr>
      </w:pPr>
    </w:p>
    <w:p w14:paraId="27F19426" w14:textId="7C44111A" w:rsidR="00950F3D" w:rsidRPr="00950F3D" w:rsidRDefault="00950F3D" w:rsidP="00950F3D">
      <w:pPr>
        <w:spacing w:line="240" w:lineRule="auto"/>
        <w:rPr>
          <w:lang w:val="en-AU"/>
        </w:rPr>
      </w:pPr>
      <w:r w:rsidRPr="00950F3D">
        <w:rPr>
          <w:b/>
          <w:bCs/>
          <w:lang w:val="en-AU"/>
        </w:rPr>
        <w:t>What can the funding be spent on?</w:t>
      </w:r>
      <w:r w:rsidRPr="00950F3D">
        <w:rPr>
          <w:lang w:val="en-AU"/>
        </w:rPr>
        <w:t> </w:t>
      </w:r>
    </w:p>
    <w:p w14:paraId="79CD418E" w14:textId="77777777" w:rsidR="00950F3D" w:rsidRPr="00950F3D" w:rsidRDefault="00950F3D" w:rsidP="00950F3D">
      <w:pPr>
        <w:spacing w:line="240" w:lineRule="auto"/>
        <w:rPr>
          <w:lang w:val="en-AU"/>
        </w:rPr>
      </w:pPr>
      <w:r w:rsidRPr="00950F3D">
        <w:rPr>
          <w:lang w:val="en-AU"/>
        </w:rPr>
        <w:t>Funding is to be spent exclusively on the delivery of Navigator. A detailed annual budget and financial acquittal are to be submitted to Department of Education (DE) for approval for each year of delivery or as required. </w:t>
      </w:r>
    </w:p>
    <w:p w14:paraId="03A9C2C8" w14:textId="77777777" w:rsidR="00BD4DEB" w:rsidRDefault="00BD4DEB" w:rsidP="00BD4DEB">
      <w:pPr>
        <w:spacing w:line="240" w:lineRule="auto"/>
        <w:rPr>
          <w:b/>
          <w:bCs/>
        </w:rPr>
      </w:pPr>
    </w:p>
    <w:p w14:paraId="1131C7E3" w14:textId="6FD2C3AD" w:rsidR="00BD4DEB" w:rsidRPr="00950F3D" w:rsidRDefault="00BD4DEB" w:rsidP="00BD4DEB">
      <w:pPr>
        <w:spacing w:line="240" w:lineRule="auto"/>
        <w:rPr>
          <w:lang w:val="en-AU"/>
        </w:rPr>
      </w:pPr>
      <w:r w:rsidRPr="00950F3D">
        <w:rPr>
          <w:b/>
          <w:bCs/>
        </w:rPr>
        <w:t>When will the funding commence for the successful provider?</w:t>
      </w:r>
      <w:r w:rsidRPr="00950F3D">
        <w:rPr>
          <w:lang w:val="en-AU"/>
        </w:rPr>
        <w:t> </w:t>
      </w:r>
    </w:p>
    <w:p w14:paraId="3DCE1B84" w14:textId="6E058011" w:rsidR="00BD4DEB" w:rsidRPr="00950F3D" w:rsidRDefault="00BD4DEB" w:rsidP="00BD4DEB">
      <w:pPr>
        <w:spacing w:line="240" w:lineRule="auto"/>
        <w:rPr>
          <w:lang w:val="en-AU"/>
        </w:rPr>
      </w:pPr>
      <w:r>
        <w:t>Service providers generally receive committed funding in 2 payments across the year. If a new service provider is appointed, a portion of the first payment will be provided on contract execution </w:t>
      </w:r>
      <w:r w:rsidR="1872B2B0">
        <w:t>and before assuming service delivery responsibility</w:t>
      </w:r>
      <w:r>
        <w:t xml:space="preserve"> to enable program set up and transition planning. </w:t>
      </w:r>
      <w:r w:rsidRPr="18FFE528">
        <w:rPr>
          <w:lang w:val="en-AU"/>
        </w:rPr>
        <w:t> </w:t>
      </w:r>
    </w:p>
    <w:p w14:paraId="25C7753C" w14:textId="23CEAFA8" w:rsidR="00BD4DEB" w:rsidRPr="00BD4DEB" w:rsidRDefault="00BD4DEB" w:rsidP="00BD4DEB">
      <w:pPr>
        <w:spacing w:line="240" w:lineRule="auto"/>
        <w:rPr>
          <w:lang w:val="en-AU"/>
        </w:rPr>
      </w:pPr>
      <w:r w:rsidRPr="00950F3D">
        <w:t>If the current service provider is reappointed, payments will align with the current payment schedule. </w:t>
      </w:r>
      <w:r w:rsidRPr="00950F3D">
        <w:rPr>
          <w:lang w:val="en-AU"/>
        </w:rPr>
        <w:t> </w:t>
      </w:r>
    </w:p>
    <w:p w14:paraId="3FE8CBAE" w14:textId="77777777" w:rsidR="00BD4DEB" w:rsidRDefault="00BD4DEB" w:rsidP="00BD4DEB">
      <w:pPr>
        <w:spacing w:line="240" w:lineRule="auto"/>
        <w:rPr>
          <w:b/>
          <w:bCs/>
        </w:rPr>
      </w:pPr>
    </w:p>
    <w:p w14:paraId="6FE954D0" w14:textId="22A21ABF" w:rsidR="00BD4DEB" w:rsidRPr="00950F3D" w:rsidRDefault="00BD4DEB" w:rsidP="00BD4DEB">
      <w:pPr>
        <w:spacing w:line="240" w:lineRule="auto"/>
        <w:rPr>
          <w:lang w:val="en-AU"/>
        </w:rPr>
      </w:pPr>
      <w:r w:rsidRPr="00950F3D">
        <w:rPr>
          <w:b/>
          <w:bCs/>
        </w:rPr>
        <w:t>Does funding provision align with reporting requirements?</w:t>
      </w:r>
      <w:r w:rsidRPr="00950F3D">
        <w:rPr>
          <w:lang w:val="en-AU"/>
        </w:rPr>
        <w:t> </w:t>
      </w:r>
    </w:p>
    <w:p w14:paraId="65679D7B" w14:textId="77777777" w:rsidR="00BD4DEB" w:rsidRPr="00950F3D" w:rsidRDefault="00BD4DEB" w:rsidP="00BD4DEB">
      <w:pPr>
        <w:spacing w:line="240" w:lineRule="auto"/>
        <w:rPr>
          <w:lang w:val="en-AU"/>
        </w:rPr>
      </w:pPr>
      <w:r w:rsidRPr="00950F3D">
        <w:t>Yes. Contract payments occur according to a common funding agreement on a 6 monthly basis. This aligns with reporting requirements, including development/ endorsement of an annual Service Delivery Plan, submission of progress reports, yearly budget acquittals and review report.</w:t>
      </w:r>
      <w:r w:rsidRPr="00950F3D">
        <w:rPr>
          <w:lang w:val="en-AU"/>
        </w:rPr>
        <w:t> </w:t>
      </w:r>
    </w:p>
    <w:p w14:paraId="41D8EB72" w14:textId="77777777" w:rsidR="00BD4DEB" w:rsidRDefault="00BD4DEB" w:rsidP="00BD4DEB">
      <w:pPr>
        <w:spacing w:line="240" w:lineRule="auto"/>
        <w:rPr>
          <w:b/>
          <w:bCs/>
          <w:lang w:val="en-AU"/>
        </w:rPr>
      </w:pPr>
    </w:p>
    <w:p w14:paraId="53116381" w14:textId="60DAB830" w:rsidR="00BD4DEB" w:rsidRPr="00950F3D" w:rsidRDefault="00BD4DEB" w:rsidP="00BD4DEB">
      <w:pPr>
        <w:spacing w:line="240" w:lineRule="auto"/>
        <w:rPr>
          <w:lang w:val="en-AU"/>
        </w:rPr>
      </w:pPr>
      <w:r w:rsidRPr="00950F3D">
        <w:rPr>
          <w:b/>
          <w:bCs/>
          <w:lang w:val="en-AU"/>
        </w:rPr>
        <w:t>Is CPI applied to the total funding amount/contract each year? </w:t>
      </w:r>
      <w:r w:rsidRPr="00950F3D">
        <w:rPr>
          <w:lang w:val="en-AU"/>
        </w:rPr>
        <w:t> </w:t>
      </w:r>
    </w:p>
    <w:p w14:paraId="5D233450" w14:textId="3541E1C6" w:rsidR="00BD4DEB" w:rsidRPr="00950F3D" w:rsidRDefault="12A0770F" w:rsidP="00BD4DEB">
      <w:pPr>
        <w:spacing w:line="240" w:lineRule="auto"/>
        <w:rPr>
          <w:lang w:val="en-AU"/>
        </w:rPr>
      </w:pPr>
      <w:r>
        <w:t>The forward budget applies indexation</w:t>
      </w:r>
      <w:r w:rsidR="00BD4DEB">
        <w:t>.</w:t>
      </w:r>
      <w:r w:rsidR="00BD4DEB" w:rsidRPr="77B6B252">
        <w:rPr>
          <w:lang w:val="en-AU"/>
        </w:rPr>
        <w:t> </w:t>
      </w:r>
    </w:p>
    <w:p w14:paraId="36FD2BC5" w14:textId="058AC66B" w:rsidR="6B08F930" w:rsidRDefault="6B08F930" w:rsidP="6B08F930">
      <w:pPr>
        <w:spacing w:line="240" w:lineRule="auto"/>
        <w:rPr>
          <w:b/>
          <w:bCs/>
          <w:lang w:val="en-AU"/>
        </w:rPr>
      </w:pPr>
    </w:p>
    <w:p w14:paraId="793B8AB6" w14:textId="599FEC68" w:rsidR="00BD4DEB" w:rsidRPr="00B87D21" w:rsidRDefault="00BD4DEB" w:rsidP="00B87D21">
      <w:pPr>
        <w:pStyle w:val="Heading3"/>
        <w:spacing w:before="360"/>
        <w:rPr>
          <w:color w:val="1F1646" w:themeColor="text1"/>
          <w:lang w:val="en-AU"/>
        </w:rPr>
      </w:pPr>
      <w:r w:rsidRPr="6B08F930">
        <w:rPr>
          <w:color w:val="1F1646" w:themeColor="text1"/>
          <w:lang w:val="en-AU"/>
        </w:rPr>
        <w:t>Area</w:t>
      </w:r>
      <w:r w:rsidR="1646C492" w:rsidRPr="6B08F930">
        <w:rPr>
          <w:color w:val="1F1646" w:themeColor="text1"/>
          <w:lang w:val="en-AU"/>
        </w:rPr>
        <w:t xml:space="preserve"> Coverage</w:t>
      </w:r>
    </w:p>
    <w:p w14:paraId="5258D6ED" w14:textId="35704AB7" w:rsidR="00950F3D" w:rsidRPr="00950F3D" w:rsidRDefault="00950F3D" w:rsidP="00950F3D">
      <w:pPr>
        <w:spacing w:line="240" w:lineRule="auto"/>
        <w:rPr>
          <w:b/>
          <w:bCs/>
          <w:lang w:val="en-AU"/>
        </w:rPr>
      </w:pPr>
      <w:r w:rsidRPr="00950F3D">
        <w:rPr>
          <w:b/>
          <w:bCs/>
          <w:lang w:val="en-AU"/>
        </w:rPr>
        <w:t>Do we have to deliver the service in all four of the specified areas?  </w:t>
      </w:r>
    </w:p>
    <w:p w14:paraId="68A1A00B" w14:textId="386372D4" w:rsidR="008139BD" w:rsidRPr="00BD4DEB" w:rsidRDefault="00950F3D" w:rsidP="00950F3D">
      <w:pPr>
        <w:spacing w:line="240" w:lineRule="auto"/>
        <w:rPr>
          <w:lang w:val="en-AU"/>
        </w:rPr>
      </w:pPr>
      <w:r w:rsidRPr="00950F3D">
        <w:rPr>
          <w:lang w:val="en-AU"/>
        </w:rPr>
        <w:t>No, one service provider will be selected for each area and a contract will be issued for each area. There is a separate process for each area - if you wish to apply to deliver Navigator in more than one of the areas, you must submit separate applications for each. </w:t>
      </w:r>
    </w:p>
    <w:p w14:paraId="11DE80B5" w14:textId="77777777" w:rsidR="00BD4DEB" w:rsidRDefault="00BD4DEB" w:rsidP="00950F3D">
      <w:pPr>
        <w:spacing w:line="240" w:lineRule="auto"/>
        <w:rPr>
          <w:b/>
          <w:bCs/>
          <w:lang w:val="en-AU"/>
        </w:rPr>
      </w:pPr>
    </w:p>
    <w:p w14:paraId="12628B72" w14:textId="16D0FDF8" w:rsidR="00950F3D" w:rsidRPr="00950F3D" w:rsidRDefault="00950F3D" w:rsidP="00950F3D">
      <w:pPr>
        <w:spacing w:line="240" w:lineRule="auto"/>
        <w:rPr>
          <w:lang w:val="en-AU"/>
        </w:rPr>
      </w:pPr>
      <w:r w:rsidRPr="18FFE528">
        <w:rPr>
          <w:b/>
          <w:bCs/>
          <w:lang w:val="en-AU"/>
        </w:rPr>
        <w:t>Do we have to service the entire area? </w:t>
      </w:r>
      <w:r w:rsidRPr="18FFE528">
        <w:rPr>
          <w:lang w:val="en-AU"/>
        </w:rPr>
        <w:t> </w:t>
      </w:r>
    </w:p>
    <w:p w14:paraId="2CB31FE2" w14:textId="5292FB7F" w:rsidR="00BD4DEB" w:rsidRDefault="00950F3D" w:rsidP="5BCCBD18">
      <w:pPr>
        <w:spacing w:line="240" w:lineRule="auto"/>
        <w:rPr>
          <w:lang w:val="en-AU"/>
        </w:rPr>
      </w:pPr>
      <w:r w:rsidRPr="5BCCBD18">
        <w:rPr>
          <w:lang w:val="en-AU"/>
        </w:rPr>
        <w:t>Yes, the appointed service provider is required to deliver an area wide service.  </w:t>
      </w:r>
    </w:p>
    <w:p w14:paraId="73714049" w14:textId="77777777" w:rsidR="00BD4DEB" w:rsidRPr="00950F3D" w:rsidRDefault="00BD4DEB" w:rsidP="00BD4DEB">
      <w:pPr>
        <w:spacing w:line="240" w:lineRule="auto"/>
        <w:rPr>
          <w:lang w:val="en-AU"/>
        </w:rPr>
      </w:pPr>
      <w:r w:rsidRPr="00950F3D">
        <w:rPr>
          <w:lang w:val="en-AU"/>
        </w:rPr>
        <w:t> </w:t>
      </w:r>
    </w:p>
    <w:p w14:paraId="7BAE77A4" w14:textId="2A901ACB" w:rsidR="00BD4DEB" w:rsidRDefault="00BD4DEB" w:rsidP="5BCCBD18">
      <w:pPr>
        <w:spacing w:line="240" w:lineRule="auto"/>
        <w:rPr>
          <w:lang w:val="en-AU"/>
        </w:rPr>
      </w:pPr>
      <w:r>
        <w:lastRenderedPageBreak/>
        <w:t>DE is limited in the data that it can release, however publicly available data can be found on the </w:t>
      </w:r>
      <w:hyperlink r:id="rId16">
        <w:r w:rsidRPr="5BCCBD18">
          <w:rPr>
            <w:rStyle w:val="Hyperlink"/>
          </w:rPr>
          <w:t>Victorian government’s Data Vic website.</w:t>
        </w:r>
      </w:hyperlink>
      <w:r w:rsidRPr="5BCCBD18">
        <w:rPr>
          <w:lang w:val="en-AU"/>
        </w:rPr>
        <w:t> </w:t>
      </w:r>
    </w:p>
    <w:p w14:paraId="6E5DAD78" w14:textId="48573D26" w:rsidR="6B08F930" w:rsidRDefault="6B08F930" w:rsidP="6B08F930">
      <w:pPr>
        <w:spacing w:line="240" w:lineRule="auto"/>
        <w:rPr>
          <w:b/>
          <w:bCs/>
          <w:lang w:val="en-AU"/>
        </w:rPr>
      </w:pPr>
    </w:p>
    <w:p w14:paraId="27787A78" w14:textId="3CAC2AA3" w:rsidR="00BD4DEB" w:rsidRPr="009717B9" w:rsidRDefault="4AA97EDD" w:rsidP="009717B9">
      <w:pPr>
        <w:pStyle w:val="Heading3"/>
        <w:spacing w:before="360"/>
        <w:rPr>
          <w:color w:val="1F1646" w:themeColor="text1"/>
          <w:lang w:val="en-AU"/>
        </w:rPr>
      </w:pPr>
      <w:r w:rsidRPr="2C859759">
        <w:rPr>
          <w:color w:val="1F1646" w:themeColor="text1"/>
          <w:lang w:val="en-AU"/>
        </w:rPr>
        <w:t>Service Delivery</w:t>
      </w:r>
    </w:p>
    <w:p w14:paraId="70DCDB18" w14:textId="77777777" w:rsidR="003A1174" w:rsidRPr="00950F3D" w:rsidRDefault="6CEB7DC0" w:rsidP="2C859759">
      <w:pPr>
        <w:spacing w:line="240" w:lineRule="auto"/>
        <w:rPr>
          <w:lang w:val="en-AU"/>
        </w:rPr>
      </w:pPr>
      <w:r w:rsidRPr="2C859759">
        <w:rPr>
          <w:b/>
          <w:bCs/>
          <w:lang w:val="en-AU"/>
        </w:rPr>
        <w:t>What are the expected FTEs and caseload of each of the required Navigator roles and is there guidance on what award staff should be paid under?</w:t>
      </w:r>
      <w:r w:rsidRPr="2C859759">
        <w:rPr>
          <w:lang w:val="en-AU"/>
        </w:rPr>
        <w:t> </w:t>
      </w:r>
    </w:p>
    <w:p w14:paraId="759E540B" w14:textId="6F64B95C" w:rsidR="003A1174" w:rsidRPr="00950F3D" w:rsidRDefault="6CEB7DC0" w:rsidP="2C859759">
      <w:pPr>
        <w:spacing w:line="240" w:lineRule="auto"/>
        <w:rPr>
          <w:lang w:val="en-AU"/>
        </w:rPr>
      </w:pPr>
      <w:r>
        <w:t>Navigator works with highly disengaged learners who often present with highly complex needs and issues - this complexity should be considered and assumed when planning your service delivery model and staffing. Over the duration of the program, we have seen the development of differentiated levels of support (such as Active Hold versus Case Management) to support the variation of complexity in the client population, and to address the different support needs of young people and their families (i.e not all young people will need Intensive Case Management). We have also identified the need for a comprehensive and dedicated Intake and Assessment service phase, and as a result of these learnings, we now require Service Providers to dedicate staffing to all three elements of the program they deliver (Intake &amp; Assessment, Active Hold and Case Management). Young people receiving these services (who ultimately obtain a positive outcome) may remain in the Navigator program for up to 18 months or more from commencement – this low rate of ‘turnover’ should be considered by the service provider. </w:t>
      </w:r>
      <w:r w:rsidRPr="2C859759">
        <w:rPr>
          <w:lang w:val="en-AU"/>
        </w:rPr>
        <w:t> </w:t>
      </w:r>
    </w:p>
    <w:p w14:paraId="44C6B6D8" w14:textId="77777777" w:rsidR="003A1174" w:rsidRPr="00950F3D" w:rsidRDefault="6CEB7DC0" w:rsidP="2C859759">
      <w:pPr>
        <w:spacing w:line="240" w:lineRule="auto"/>
        <w:rPr>
          <w:lang w:val="en-AU"/>
        </w:rPr>
      </w:pPr>
      <w:r>
        <w:t>Applicants should consider their service delivery model when determining the most appropriate FTE for each of the program elements to ensure all elements of Navigator can be delivered satisfactorily. Flexibility between role duties is beneficial, to enable the team to respond to changing demands (e.g. influxes of referrals, periods of intensive Active Hold or greater demand for Case Management.) While DE does not prescribe employment grades or rates of pay, the overall FTE secured within the budget is a key component of assessment of value for money, but this should be balanced with the ability to recruit and retain appropriately skilled staff. When an Area is not at full caseload capacity, Service Providers are to ensure any ‘spare’ FTE is dedicated solely to the implementation Navigator. Vacancies and staff leave should also be considered and planned for by the Service Provider, to ensure caseloads and support are impacted as little as possible. </w:t>
      </w:r>
      <w:r w:rsidRPr="2C859759">
        <w:rPr>
          <w:lang w:val="en-AU"/>
        </w:rPr>
        <w:t> </w:t>
      </w:r>
    </w:p>
    <w:p w14:paraId="345C1FE8" w14:textId="77777777" w:rsidR="003A1174" w:rsidRPr="00950F3D" w:rsidRDefault="6CEB7DC0" w:rsidP="2C859759">
      <w:pPr>
        <w:spacing w:line="240" w:lineRule="auto"/>
        <w:rPr>
          <w:lang w:val="en-AU"/>
        </w:rPr>
      </w:pPr>
      <w:r w:rsidRPr="2C859759">
        <w:rPr>
          <w:lang w:val="en-AU"/>
        </w:rPr>
        <w:t> </w:t>
      </w:r>
    </w:p>
    <w:p w14:paraId="78A1E6C6" w14:textId="77777777" w:rsidR="003A1174" w:rsidRPr="00950F3D" w:rsidRDefault="6CEB7DC0" w:rsidP="2C859759">
      <w:pPr>
        <w:spacing w:line="240" w:lineRule="auto"/>
        <w:rPr>
          <w:lang w:val="en-AU"/>
        </w:rPr>
      </w:pPr>
      <w:r>
        <w:t>Case Management: </w:t>
      </w:r>
      <w:r w:rsidRPr="2C859759">
        <w:rPr>
          <w:lang w:val="en-AU"/>
        </w:rPr>
        <w:t> </w:t>
      </w:r>
    </w:p>
    <w:p w14:paraId="7FA5D5E5" w14:textId="1F1A6BCD" w:rsidR="003A1174" w:rsidRPr="00950F3D" w:rsidRDefault="6CEB7DC0" w:rsidP="2C859759">
      <w:pPr>
        <w:numPr>
          <w:ilvl w:val="0"/>
          <w:numId w:val="22"/>
        </w:numPr>
        <w:spacing w:line="240" w:lineRule="auto"/>
        <w:rPr>
          <w:lang w:val="en-AU"/>
        </w:rPr>
      </w:pPr>
      <w:r w:rsidRPr="3AD6CF7E">
        <w:rPr>
          <w:lang w:val="en-AU"/>
        </w:rPr>
        <w:t>While there is some variation across the 17 Areas, on average, there is 1FTE front line staff member per $1</w:t>
      </w:r>
      <w:r w:rsidR="18E1D2D7" w:rsidRPr="3AD6CF7E">
        <w:rPr>
          <w:lang w:val="en-AU"/>
        </w:rPr>
        <w:t>6</w:t>
      </w:r>
      <w:r w:rsidRPr="3AD6CF7E">
        <w:rPr>
          <w:lang w:val="en-AU"/>
        </w:rPr>
        <w:t>0,000- $1</w:t>
      </w:r>
      <w:r w:rsidR="269C8750" w:rsidRPr="3AD6CF7E">
        <w:rPr>
          <w:lang w:val="en-AU"/>
        </w:rPr>
        <w:t>8</w:t>
      </w:r>
      <w:r w:rsidRPr="3AD6CF7E">
        <w:rPr>
          <w:lang w:val="en-AU"/>
        </w:rPr>
        <w:t>0,000 received in program funding, inclusive of all direct and indirect employment costs as well as other operational costs incurred by service providers, such as transport, office accommodation, and corporate overheads. For example, a total program budget of $</w:t>
      </w:r>
      <w:r w:rsidR="1321F114" w:rsidRPr="3AD6CF7E">
        <w:rPr>
          <w:lang w:val="en-AU"/>
        </w:rPr>
        <w:t>1,00</w:t>
      </w:r>
      <w:r w:rsidRPr="3AD6CF7E">
        <w:rPr>
          <w:lang w:val="en-AU"/>
        </w:rPr>
        <w:t>0,000 would be expected to support a minimum of 6 - 6.5 front line FTE, which may comprise one Team Leader, one to two Active Hold / Intake and Assessment workers and minimum 4 case managers. </w:t>
      </w:r>
    </w:p>
    <w:p w14:paraId="4C2654CA" w14:textId="77777777" w:rsidR="003A1174" w:rsidRPr="00950F3D" w:rsidRDefault="6CEB7DC0" w:rsidP="2C859759">
      <w:pPr>
        <w:numPr>
          <w:ilvl w:val="0"/>
          <w:numId w:val="23"/>
        </w:numPr>
        <w:spacing w:line="240" w:lineRule="auto"/>
        <w:rPr>
          <w:lang w:val="en-AU"/>
        </w:rPr>
      </w:pPr>
      <w:r w:rsidRPr="2C859759">
        <w:rPr>
          <w:lang w:val="en-AU"/>
        </w:rPr>
        <w:t>Case Managers across the program currently have caseloads of 15 to 18.  Caseloads differ across each Area and are dependent on varying factors such as travel time required, level of experience of the Case Manager, client complexity and the service delivery model. Exclusive Aboriginal and Torres Strait Islander case managers typically have slightly lower caseloads.  </w:t>
      </w:r>
    </w:p>
    <w:p w14:paraId="6EDAF24D" w14:textId="77777777" w:rsidR="003A1174" w:rsidRPr="00950F3D" w:rsidRDefault="6CEB7DC0" w:rsidP="2C859759">
      <w:pPr>
        <w:numPr>
          <w:ilvl w:val="0"/>
          <w:numId w:val="24"/>
        </w:numPr>
        <w:spacing w:line="240" w:lineRule="auto"/>
        <w:rPr>
          <w:lang w:val="en-AU"/>
        </w:rPr>
      </w:pPr>
      <w:r w:rsidRPr="2C859759">
        <w:rPr>
          <w:lang w:val="en-AU"/>
        </w:rPr>
        <w:t>15 is the expected minimum for Case Management caseloads – caseloads under 15 will need to be explained and justified in the application form and subject to DE approval prior to contract execution.  </w:t>
      </w:r>
    </w:p>
    <w:p w14:paraId="44C40ED0" w14:textId="77777777" w:rsidR="003A1174" w:rsidRPr="00950F3D" w:rsidRDefault="6CEB7DC0" w:rsidP="2C859759">
      <w:pPr>
        <w:spacing w:line="240" w:lineRule="auto"/>
        <w:rPr>
          <w:lang w:val="en-AU"/>
        </w:rPr>
      </w:pPr>
      <w:r w:rsidRPr="2C859759">
        <w:rPr>
          <w:lang w:val="en-AU"/>
        </w:rPr>
        <w:t> </w:t>
      </w:r>
    </w:p>
    <w:p w14:paraId="20BAAC72" w14:textId="77777777" w:rsidR="003A1174" w:rsidRPr="00950F3D" w:rsidRDefault="6CEB7DC0" w:rsidP="2C859759">
      <w:pPr>
        <w:spacing w:line="240" w:lineRule="auto"/>
        <w:rPr>
          <w:lang w:val="en-AU"/>
        </w:rPr>
      </w:pPr>
      <w:r>
        <w:t>Active Hold </w:t>
      </w:r>
      <w:r w:rsidRPr="2C859759">
        <w:rPr>
          <w:lang w:val="en-AU"/>
        </w:rPr>
        <w:t> </w:t>
      </w:r>
    </w:p>
    <w:p w14:paraId="40E47D2E" w14:textId="77777777" w:rsidR="003A1174" w:rsidRPr="00950F3D" w:rsidRDefault="6CEB7DC0" w:rsidP="2C859759">
      <w:pPr>
        <w:numPr>
          <w:ilvl w:val="0"/>
          <w:numId w:val="25"/>
        </w:numPr>
        <w:spacing w:line="240" w:lineRule="auto"/>
        <w:rPr>
          <w:lang w:val="en-AU"/>
        </w:rPr>
      </w:pPr>
      <w:r w:rsidRPr="5BCCBD18">
        <w:rPr>
          <w:lang w:val="en-AU"/>
        </w:rPr>
        <w:t xml:space="preserve">Caseloads vary across the state and are driven by demand and service delivery model but are generally between 30-50 for 1FTE (point in time). In contrast to Case Management caseloads, </w:t>
      </w:r>
      <w:r w:rsidRPr="5BCCBD18">
        <w:rPr>
          <w:lang w:val="en-AU"/>
        </w:rPr>
        <w:lastRenderedPageBreak/>
        <w:t>the Active Hold service delivered needs to be flexible and adjust in intensity of support depending on demand, i.e. all young people are to receive Active Hold (or Case Management) support, but it is recognised that at times, the service offering may look different due to greater or smaller numbers receiving that service.  </w:t>
      </w:r>
    </w:p>
    <w:p w14:paraId="5A20B9AA" w14:textId="77777777" w:rsidR="003A1174" w:rsidRPr="00950F3D" w:rsidRDefault="6CEB7DC0" w:rsidP="2C859759">
      <w:pPr>
        <w:spacing w:line="240" w:lineRule="auto"/>
        <w:rPr>
          <w:lang w:val="en-AU"/>
        </w:rPr>
      </w:pPr>
      <w:r w:rsidRPr="2C859759">
        <w:rPr>
          <w:lang w:val="en-AU"/>
        </w:rPr>
        <w:t> </w:t>
      </w:r>
    </w:p>
    <w:p w14:paraId="12F326F4" w14:textId="77777777" w:rsidR="003A1174" w:rsidRPr="00950F3D" w:rsidRDefault="6CEB7DC0" w:rsidP="2C859759">
      <w:pPr>
        <w:spacing w:line="240" w:lineRule="auto"/>
        <w:rPr>
          <w:lang w:val="en-AU"/>
        </w:rPr>
      </w:pPr>
      <w:r>
        <w:t>Intake and Assessment </w:t>
      </w:r>
      <w:r w:rsidRPr="2C859759">
        <w:rPr>
          <w:lang w:val="en-AU"/>
        </w:rPr>
        <w:t> </w:t>
      </w:r>
    </w:p>
    <w:p w14:paraId="132AD475" w14:textId="77777777" w:rsidR="003A1174" w:rsidRPr="00950F3D" w:rsidRDefault="6CEB7DC0" w:rsidP="2C859759">
      <w:pPr>
        <w:numPr>
          <w:ilvl w:val="0"/>
          <w:numId w:val="31"/>
        </w:numPr>
        <w:spacing w:line="240" w:lineRule="auto"/>
        <w:rPr>
          <w:lang w:val="en-AU"/>
        </w:rPr>
      </w:pPr>
      <w:r w:rsidRPr="2C859759">
        <w:rPr>
          <w:lang w:val="en-AU"/>
        </w:rPr>
        <w:t>Intake and Assessment has a series of required actions (page 10, </w:t>
      </w:r>
      <w:r w:rsidRPr="2C859759">
        <w:rPr>
          <w:i/>
          <w:iCs/>
          <w:lang w:val="en-AU"/>
        </w:rPr>
        <w:t>Program Overview and Application Information</w:t>
      </w:r>
      <w:r w:rsidRPr="2C859759">
        <w:rPr>
          <w:lang w:val="en-AU"/>
        </w:rPr>
        <w:t>) and until these are completed, the young person cannot commence receiving Active Hold or Case Management support.  </w:t>
      </w:r>
    </w:p>
    <w:p w14:paraId="71D23F25" w14:textId="77777777" w:rsidR="003A1174" w:rsidRPr="00950F3D" w:rsidRDefault="6CEB7DC0" w:rsidP="2C859759">
      <w:pPr>
        <w:numPr>
          <w:ilvl w:val="0"/>
          <w:numId w:val="32"/>
        </w:numPr>
        <w:spacing w:line="240" w:lineRule="auto"/>
        <w:rPr>
          <w:lang w:val="en-AU"/>
        </w:rPr>
      </w:pPr>
      <w:r w:rsidRPr="2C859759">
        <w:rPr>
          <w:lang w:val="en-AU"/>
        </w:rPr>
        <w:t>Service Providers are expected to develop strategies that will allow them to complete Intake and Assessment requirements within 2 weeks of receiving a referral from the Navigator Coordinator.  </w:t>
      </w:r>
    </w:p>
    <w:p w14:paraId="71BABC6D" w14:textId="2A98234B" w:rsidR="003A1174" w:rsidRPr="00950F3D" w:rsidRDefault="6CEB7DC0" w:rsidP="5BCCBD18">
      <w:pPr>
        <w:numPr>
          <w:ilvl w:val="0"/>
          <w:numId w:val="33"/>
        </w:numPr>
        <w:spacing w:line="240" w:lineRule="auto"/>
        <w:rPr>
          <w:lang w:val="en-AU"/>
        </w:rPr>
      </w:pPr>
      <w:r w:rsidRPr="5BCCBD18">
        <w:rPr>
          <w:lang w:val="en-AU"/>
        </w:rPr>
        <w:t>Caseloads vary across the state and are driven by program demand, the service providers processes and their ability to develop rapport with families. Applicants should consider what FTE they need to ensure the delivery of an adequate Intake and Assessment phase </w:t>
      </w:r>
    </w:p>
    <w:p w14:paraId="2819AC30" w14:textId="7178D883" w:rsidR="00BD4DEB" w:rsidRDefault="00BD4DEB" w:rsidP="2C859759">
      <w:pPr>
        <w:spacing w:line="240" w:lineRule="auto"/>
        <w:rPr>
          <w:lang w:val="en-AU"/>
        </w:rPr>
      </w:pPr>
    </w:p>
    <w:p w14:paraId="7BEF8793" w14:textId="77777777" w:rsidR="00BD4DEB" w:rsidRPr="00950F3D" w:rsidRDefault="00BD4DEB" w:rsidP="00BD4DEB">
      <w:pPr>
        <w:spacing w:line="240" w:lineRule="auto"/>
        <w:rPr>
          <w:lang w:val="en-AU"/>
        </w:rPr>
      </w:pPr>
      <w:r w:rsidRPr="00950F3D">
        <w:rPr>
          <w:b/>
          <w:bCs/>
          <w:lang w:val="en-AU"/>
        </w:rPr>
        <w:t>Can we deliver our own re-engagement program with the funding? Is there room for innovation?</w:t>
      </w:r>
      <w:r w:rsidRPr="00950F3D">
        <w:rPr>
          <w:lang w:val="en-AU"/>
        </w:rPr>
        <w:t> </w:t>
      </w:r>
    </w:p>
    <w:p w14:paraId="2F30FFF3" w14:textId="77777777" w:rsidR="00BD4DEB" w:rsidRPr="00950F3D" w:rsidRDefault="00BD4DEB" w:rsidP="00BD4DEB">
      <w:pPr>
        <w:spacing w:line="240" w:lineRule="auto"/>
        <w:rPr>
          <w:lang w:val="en-AU"/>
        </w:rPr>
      </w:pPr>
      <w:r w:rsidRPr="00950F3D">
        <w:t>Navigator is an established, state-wide program, with set processes and parameters prescribed by DE - this EOI is to deliver that program and funding cannot be used to deliver your own re-engagement program.  </w:t>
      </w:r>
      <w:r w:rsidRPr="00950F3D">
        <w:rPr>
          <w:lang w:val="en-AU"/>
        </w:rPr>
        <w:t> </w:t>
      </w:r>
    </w:p>
    <w:p w14:paraId="05D7D656" w14:textId="30C05C2D" w:rsidR="00BD4DEB" w:rsidRPr="00950F3D" w:rsidRDefault="00BD4DEB" w:rsidP="00BD4DEB">
      <w:pPr>
        <w:spacing w:line="240" w:lineRule="auto"/>
        <w:rPr>
          <w:lang w:val="en-AU"/>
        </w:rPr>
      </w:pPr>
      <w:r w:rsidRPr="00950F3D">
        <w:t>Innovation in how to deliver Navigator’s minimum key service delivery elements</w:t>
      </w:r>
      <w:r w:rsidR="0095299F">
        <w:t xml:space="preserve"> (see </w:t>
      </w:r>
      <w:r w:rsidR="0095299F" w:rsidRPr="00512081">
        <w:t xml:space="preserve">Navigator Program Overview and Application </w:t>
      </w:r>
      <w:r w:rsidR="00F21A82" w:rsidRPr="00512081">
        <w:t>Information pg. 9)</w:t>
      </w:r>
      <w:r w:rsidR="0095299F" w:rsidRPr="00512081">
        <w:t>.</w:t>
      </w:r>
      <w:r w:rsidR="00F21A82" w:rsidRPr="00950F3D">
        <w:t xml:space="preserve"> </w:t>
      </w:r>
      <w:r w:rsidRPr="00950F3D">
        <w:t>is welcomed and should be included/ outlined in your application. As part of a state-wide program, a Service Provider should be prepared to contribute to a Community of Practice and consider recommendations aimed at improving the effectiveness of the program. </w:t>
      </w:r>
      <w:r w:rsidRPr="00950F3D">
        <w:rPr>
          <w:lang w:val="en-AU"/>
        </w:rPr>
        <w:t> </w:t>
      </w:r>
    </w:p>
    <w:p w14:paraId="1256A5F6" w14:textId="66B2BCD9" w:rsidR="003A1174" w:rsidRDefault="003A1174" w:rsidP="6B08F930">
      <w:pPr>
        <w:spacing w:line="240" w:lineRule="auto"/>
        <w:rPr>
          <w:lang w:val="en-AU"/>
        </w:rPr>
      </w:pPr>
    </w:p>
    <w:p w14:paraId="01EF67CB" w14:textId="77777777" w:rsidR="003A1174" w:rsidRPr="00950F3D" w:rsidRDefault="003A1174" w:rsidP="003A1174">
      <w:pPr>
        <w:spacing w:line="240" w:lineRule="auto"/>
        <w:rPr>
          <w:b/>
          <w:bCs/>
          <w:lang w:val="en-AU"/>
        </w:rPr>
      </w:pPr>
      <w:r w:rsidRPr="00950F3D">
        <w:rPr>
          <w:b/>
          <w:bCs/>
          <w:lang w:val="en-AU"/>
        </w:rPr>
        <w:t>What are some of the barriers to delivering Navigator experienced by current Service Providers?  </w:t>
      </w:r>
    </w:p>
    <w:p w14:paraId="586D8400" w14:textId="77777777" w:rsidR="003A1174" w:rsidRPr="00950F3D" w:rsidRDefault="003A1174" w:rsidP="003A1174">
      <w:pPr>
        <w:spacing w:line="240" w:lineRule="auto"/>
        <w:rPr>
          <w:lang w:val="en-AU"/>
        </w:rPr>
      </w:pPr>
      <w:r w:rsidRPr="00950F3D">
        <w:t>Geographic spread can be difficult in some areas. Some areas have dealt with this by having Case Managers based in specific areas across the region where there was a high number of student population/ better access to the local schools.</w:t>
      </w:r>
      <w:r w:rsidRPr="00950F3D">
        <w:rPr>
          <w:lang w:val="en-AU"/>
        </w:rPr>
        <w:t> </w:t>
      </w:r>
    </w:p>
    <w:p w14:paraId="7C6DE91D" w14:textId="77777777" w:rsidR="003A1174" w:rsidRPr="00950F3D" w:rsidRDefault="003A1174" w:rsidP="003A1174">
      <w:pPr>
        <w:spacing w:line="240" w:lineRule="auto"/>
        <w:rPr>
          <w:lang w:val="en-AU"/>
        </w:rPr>
      </w:pPr>
      <w:r w:rsidRPr="00950F3D">
        <w:t>Some parents / carers can be reluctant to participate in Navigator and /or support their child’s re-engagement with education.  This can be due to a number of complex challenges families may face, such as financial and housing insecurity or mental health issues. Sometimes these issues may result in parents/carers not responding to contact attempts.</w:t>
      </w:r>
      <w:r w:rsidRPr="00950F3D">
        <w:rPr>
          <w:lang w:val="en-AU"/>
        </w:rPr>
        <w:t> </w:t>
      </w:r>
    </w:p>
    <w:p w14:paraId="2C0BB98C" w14:textId="64655417" w:rsidR="003A1174" w:rsidRPr="00950F3D" w:rsidRDefault="003A1174" w:rsidP="003A1174">
      <w:pPr>
        <w:spacing w:line="240" w:lineRule="auto"/>
        <w:rPr>
          <w:lang w:val="en-AU"/>
        </w:rPr>
      </w:pPr>
      <w:r>
        <w:t>Some young people do not want to re-engage with education at their current school, and it can be challenging in some Areas to identify an appropriate alternative school or education provider. </w:t>
      </w:r>
      <w:r w:rsidRPr="5BCCBD18">
        <w:rPr>
          <w:lang w:val="en-AU"/>
        </w:rPr>
        <w:t> </w:t>
      </w:r>
    </w:p>
    <w:p w14:paraId="35B37DDB" w14:textId="77777777" w:rsidR="007753DF" w:rsidRDefault="007753DF" w:rsidP="007753DF">
      <w:pPr>
        <w:spacing w:line="240" w:lineRule="auto"/>
        <w:rPr>
          <w:b/>
          <w:bCs/>
          <w:lang w:val="en-AU"/>
        </w:rPr>
      </w:pPr>
    </w:p>
    <w:p w14:paraId="1E313CB3" w14:textId="77777777" w:rsidR="007753DF" w:rsidRPr="00950F3D" w:rsidRDefault="007753DF" w:rsidP="007753DF">
      <w:pPr>
        <w:spacing w:line="240" w:lineRule="auto"/>
        <w:rPr>
          <w:lang w:val="en-AU"/>
        </w:rPr>
      </w:pPr>
      <w:r w:rsidRPr="00950F3D">
        <w:rPr>
          <w:b/>
          <w:bCs/>
          <w:lang w:val="en-AU"/>
        </w:rPr>
        <w:t>How do Service Providers work with school and other education providers? What is expected? </w:t>
      </w:r>
      <w:r w:rsidRPr="00950F3D">
        <w:rPr>
          <w:lang w:val="en-AU"/>
        </w:rPr>
        <w:t> </w:t>
      </w:r>
    </w:p>
    <w:p w14:paraId="61F252F3" w14:textId="77777777" w:rsidR="007753DF" w:rsidRPr="00950F3D" w:rsidRDefault="007753DF" w:rsidP="007753DF">
      <w:pPr>
        <w:spacing w:line="240" w:lineRule="auto"/>
        <w:rPr>
          <w:lang w:val="en-AU"/>
        </w:rPr>
      </w:pPr>
      <w:r w:rsidRPr="00950F3D">
        <w:t>Supporting schools to appropriately respond to disengaged young people and to support a Navigator participant’s re-engagement with education is a key focus of Navigator. For this reason, both the local DE Navigator team and the Service Provider staff work in close partnership with schools.  </w:t>
      </w:r>
      <w:r w:rsidRPr="00950F3D">
        <w:rPr>
          <w:lang w:val="en-AU"/>
        </w:rPr>
        <w:t> </w:t>
      </w:r>
    </w:p>
    <w:p w14:paraId="28652FC3" w14:textId="77777777" w:rsidR="007753DF" w:rsidRPr="00950F3D" w:rsidRDefault="007753DF" w:rsidP="007753DF">
      <w:pPr>
        <w:spacing w:line="240" w:lineRule="auto"/>
        <w:rPr>
          <w:lang w:val="en-AU"/>
        </w:rPr>
      </w:pPr>
      <w:r w:rsidRPr="00950F3D">
        <w:t>Generally, local DE Navigator teams are responsible for Area level capacity building, promoting Navigator to schools and ensuring schools are aware of the parameters of Navigator. They also contact a referred young person’s school after receiving their referral, to gather the information service providers require to commence Intake and Assessment. </w:t>
      </w:r>
      <w:r w:rsidRPr="00950F3D">
        <w:rPr>
          <w:lang w:val="en-AU"/>
        </w:rPr>
        <w:t> </w:t>
      </w:r>
    </w:p>
    <w:p w14:paraId="4CE60C81" w14:textId="77777777" w:rsidR="007753DF" w:rsidRPr="00950F3D" w:rsidRDefault="007753DF" w:rsidP="007753DF">
      <w:pPr>
        <w:spacing w:line="240" w:lineRule="auto"/>
        <w:rPr>
          <w:lang w:val="en-AU"/>
        </w:rPr>
      </w:pPr>
      <w:r w:rsidRPr="00950F3D">
        <w:lastRenderedPageBreak/>
        <w:t>Service Providers then connect with schools on a more individual level, working with the school that the young person attends or is intending to attend. The Intake and Assessment, Active Hold and Case Management staff are likely to all contact individual schools, to support individual participants. This contact may involve, or be related to:</w:t>
      </w:r>
      <w:r w:rsidRPr="00950F3D">
        <w:rPr>
          <w:lang w:val="en-AU"/>
        </w:rPr>
        <w:t> </w:t>
      </w:r>
    </w:p>
    <w:p w14:paraId="307A8156" w14:textId="77777777" w:rsidR="007753DF" w:rsidRPr="00950F3D" w:rsidRDefault="007753DF" w:rsidP="007753DF">
      <w:pPr>
        <w:numPr>
          <w:ilvl w:val="0"/>
          <w:numId w:val="39"/>
        </w:numPr>
        <w:spacing w:line="240" w:lineRule="auto"/>
        <w:rPr>
          <w:lang w:val="en-AU"/>
        </w:rPr>
      </w:pPr>
      <w:r w:rsidRPr="00950F3D">
        <w:t>Attending Student Support Group meetings</w:t>
      </w:r>
      <w:r w:rsidRPr="00950F3D">
        <w:rPr>
          <w:lang w:val="en-AU"/>
        </w:rPr>
        <w:t> </w:t>
      </w:r>
    </w:p>
    <w:p w14:paraId="66C09D3A" w14:textId="77777777" w:rsidR="007753DF" w:rsidRPr="00950F3D" w:rsidRDefault="007753DF" w:rsidP="007753DF">
      <w:pPr>
        <w:numPr>
          <w:ilvl w:val="0"/>
          <w:numId w:val="40"/>
        </w:numPr>
        <w:spacing w:line="240" w:lineRule="auto"/>
        <w:rPr>
          <w:lang w:val="en-AU"/>
        </w:rPr>
      </w:pPr>
      <w:r w:rsidRPr="00950F3D">
        <w:t>Connecting with key school staff or teachers</w:t>
      </w:r>
      <w:r w:rsidRPr="00950F3D">
        <w:rPr>
          <w:lang w:val="en-AU"/>
        </w:rPr>
        <w:t> </w:t>
      </w:r>
    </w:p>
    <w:p w14:paraId="065CA3DF" w14:textId="77777777" w:rsidR="007753DF" w:rsidRPr="00950F3D" w:rsidRDefault="007753DF" w:rsidP="007753DF">
      <w:pPr>
        <w:numPr>
          <w:ilvl w:val="0"/>
          <w:numId w:val="41"/>
        </w:numPr>
        <w:spacing w:line="240" w:lineRule="auto"/>
        <w:rPr>
          <w:lang w:val="en-AU"/>
        </w:rPr>
      </w:pPr>
      <w:r w:rsidRPr="00950F3D">
        <w:t>Seeking school attendance data</w:t>
      </w:r>
      <w:r w:rsidRPr="00950F3D">
        <w:rPr>
          <w:lang w:val="en-AU"/>
        </w:rPr>
        <w:t> </w:t>
      </w:r>
    </w:p>
    <w:p w14:paraId="2B0767C6" w14:textId="77777777" w:rsidR="007753DF" w:rsidRPr="00950F3D" w:rsidRDefault="007753DF" w:rsidP="007753DF">
      <w:pPr>
        <w:numPr>
          <w:ilvl w:val="0"/>
          <w:numId w:val="42"/>
        </w:numPr>
        <w:spacing w:line="240" w:lineRule="auto"/>
        <w:rPr>
          <w:lang w:val="en-AU"/>
        </w:rPr>
      </w:pPr>
      <w:r w:rsidRPr="00950F3D">
        <w:t>Discussing appropriate referrals or other support strategies the school can lead on</w:t>
      </w:r>
      <w:r w:rsidRPr="00950F3D">
        <w:rPr>
          <w:lang w:val="en-AU"/>
        </w:rPr>
        <w:t> </w:t>
      </w:r>
    </w:p>
    <w:p w14:paraId="5624CE87" w14:textId="77777777" w:rsidR="007753DF" w:rsidRPr="00950F3D" w:rsidRDefault="007753DF" w:rsidP="007753DF">
      <w:pPr>
        <w:numPr>
          <w:ilvl w:val="0"/>
          <w:numId w:val="43"/>
        </w:numPr>
        <w:spacing w:line="240" w:lineRule="auto"/>
        <w:rPr>
          <w:lang w:val="en-AU"/>
        </w:rPr>
      </w:pPr>
      <w:r w:rsidRPr="00950F3D">
        <w:t>Collaborating on or gaining input into re-engagement plans, and </w:t>
      </w:r>
      <w:r w:rsidRPr="00950F3D">
        <w:rPr>
          <w:lang w:val="en-AU"/>
        </w:rPr>
        <w:t> </w:t>
      </w:r>
    </w:p>
    <w:p w14:paraId="5D13E257" w14:textId="77777777" w:rsidR="007753DF" w:rsidRPr="00950F3D" w:rsidRDefault="007753DF" w:rsidP="007753DF">
      <w:pPr>
        <w:numPr>
          <w:ilvl w:val="0"/>
          <w:numId w:val="44"/>
        </w:numPr>
        <w:spacing w:line="240" w:lineRule="auto"/>
        <w:rPr>
          <w:lang w:val="en-AU"/>
        </w:rPr>
      </w:pPr>
      <w:r w:rsidRPr="00950F3D">
        <w:t>Monitoring participant progress.  </w:t>
      </w:r>
      <w:r w:rsidRPr="00950F3D">
        <w:rPr>
          <w:lang w:val="en-AU"/>
        </w:rPr>
        <w:t> </w:t>
      </w:r>
    </w:p>
    <w:p w14:paraId="5EDF0084" w14:textId="77777777" w:rsidR="007753DF" w:rsidRPr="00950F3D" w:rsidRDefault="007753DF" w:rsidP="007753DF">
      <w:pPr>
        <w:spacing w:line="240" w:lineRule="auto"/>
        <w:rPr>
          <w:lang w:val="en-AU"/>
        </w:rPr>
      </w:pPr>
      <w:r w:rsidRPr="00950F3D">
        <w:t>Keeping schools involved and updated as active partners is pivotal to the success of the program, as once Navigator support is withdrawn, the school is likely to be the young person’s key support point regarding school engagement. It is suggested that Service Providers update the schools on individual participants progress / needs at least fortnightly.</w:t>
      </w:r>
      <w:r w:rsidRPr="00950F3D">
        <w:rPr>
          <w:lang w:val="en-AU"/>
        </w:rPr>
        <w:t> </w:t>
      </w:r>
    </w:p>
    <w:p w14:paraId="1A7BE5F2" w14:textId="77777777" w:rsidR="007753DF" w:rsidRDefault="007753DF" w:rsidP="007753DF">
      <w:pPr>
        <w:spacing w:line="240" w:lineRule="auto"/>
        <w:rPr>
          <w:b/>
          <w:bCs/>
          <w:lang w:val="en-AU"/>
        </w:rPr>
      </w:pPr>
    </w:p>
    <w:p w14:paraId="41F005DD" w14:textId="77777777" w:rsidR="007753DF" w:rsidRPr="00950F3D" w:rsidRDefault="007753DF" w:rsidP="007753DF">
      <w:pPr>
        <w:spacing w:line="240" w:lineRule="auto"/>
        <w:rPr>
          <w:lang w:val="en-AU"/>
        </w:rPr>
      </w:pPr>
      <w:r w:rsidRPr="00950F3D">
        <w:rPr>
          <w:b/>
          <w:bCs/>
          <w:lang w:val="en-AU"/>
        </w:rPr>
        <w:t>Can a Local Government authority be the lead service provider for the delivery of Navigator?</w:t>
      </w:r>
      <w:r w:rsidRPr="00950F3D">
        <w:rPr>
          <w:lang w:val="en-AU"/>
        </w:rPr>
        <w:t> </w:t>
      </w:r>
    </w:p>
    <w:p w14:paraId="301DB7D1" w14:textId="77777777" w:rsidR="007753DF" w:rsidRPr="00950F3D" w:rsidRDefault="007753DF" w:rsidP="007753DF">
      <w:pPr>
        <w:spacing w:line="240" w:lineRule="auto"/>
        <w:rPr>
          <w:lang w:val="en-AU"/>
        </w:rPr>
      </w:pPr>
      <w:r w:rsidRPr="00950F3D">
        <w:t>Yes, a local government authority is able to be the lead provider. Local governments are exempt* from providing the following documents are part of their application: </w:t>
      </w:r>
      <w:r w:rsidRPr="00950F3D">
        <w:rPr>
          <w:lang w:val="en-AU"/>
        </w:rPr>
        <w:t> </w:t>
      </w:r>
    </w:p>
    <w:p w14:paraId="7F21A02B" w14:textId="77777777" w:rsidR="007753DF" w:rsidRPr="00950F3D" w:rsidRDefault="007753DF" w:rsidP="007753DF">
      <w:pPr>
        <w:numPr>
          <w:ilvl w:val="0"/>
          <w:numId w:val="52"/>
        </w:numPr>
        <w:spacing w:line="240" w:lineRule="auto"/>
        <w:rPr>
          <w:lang w:val="en-AU"/>
        </w:rPr>
      </w:pPr>
      <w:r w:rsidRPr="00950F3D">
        <w:rPr>
          <w:i/>
          <w:iCs/>
        </w:rPr>
        <w:t>a Certificate of Incorporation and verification of appropriate insurance** </w:t>
      </w:r>
      <w:r w:rsidRPr="00950F3D">
        <w:rPr>
          <w:lang w:val="en-AU"/>
        </w:rPr>
        <w:t> </w:t>
      </w:r>
    </w:p>
    <w:p w14:paraId="480A8A41" w14:textId="77777777" w:rsidR="007753DF" w:rsidRPr="00950F3D" w:rsidRDefault="007753DF" w:rsidP="007753DF">
      <w:pPr>
        <w:numPr>
          <w:ilvl w:val="0"/>
          <w:numId w:val="53"/>
        </w:numPr>
        <w:spacing w:line="240" w:lineRule="auto"/>
        <w:rPr>
          <w:lang w:val="en-AU"/>
        </w:rPr>
      </w:pPr>
      <w:r w:rsidRPr="00950F3D">
        <w:rPr>
          <w:i/>
          <w:iCs/>
        </w:rPr>
        <w:t>documentation attesting financial viability. </w:t>
      </w:r>
      <w:r w:rsidRPr="00950F3D">
        <w:rPr>
          <w:lang w:val="en-AU"/>
        </w:rPr>
        <w:t> </w:t>
      </w:r>
    </w:p>
    <w:p w14:paraId="5766CA89" w14:textId="77777777" w:rsidR="007753DF" w:rsidRPr="00950F3D" w:rsidRDefault="007753DF" w:rsidP="007753DF">
      <w:pPr>
        <w:spacing w:line="240" w:lineRule="auto"/>
        <w:rPr>
          <w:lang w:val="en-AU"/>
        </w:rPr>
      </w:pPr>
      <w:r w:rsidRPr="00950F3D">
        <w:rPr>
          <w:i/>
          <w:iCs/>
        </w:rPr>
        <w:t>**hold appropriate insurance that indemnifies for liability for child abuse (see </w:t>
      </w:r>
      <w:hyperlink r:id="rId17" w:tgtFrame="_blank" w:history="1">
        <w:r w:rsidRPr="00950F3D">
          <w:rPr>
            <w:rStyle w:val="Hyperlink"/>
            <w:i/>
            <w:iCs/>
          </w:rPr>
          <w:t>Victorian funding requirements for services to children fact sheet</w:t>
        </w:r>
      </w:hyperlink>
      <w:r w:rsidRPr="00950F3D">
        <w:rPr>
          <w:i/>
          <w:iCs/>
        </w:rPr>
        <w:t> for further information)</w:t>
      </w:r>
      <w:r w:rsidRPr="00950F3D">
        <w:rPr>
          <w:lang w:val="en-AU"/>
        </w:rPr>
        <w:t> </w:t>
      </w:r>
    </w:p>
    <w:p w14:paraId="1D74CB54" w14:textId="77777777" w:rsidR="007753DF" w:rsidRPr="00950F3D" w:rsidRDefault="007753DF" w:rsidP="007753DF">
      <w:pPr>
        <w:spacing w:line="240" w:lineRule="auto"/>
        <w:rPr>
          <w:lang w:val="en-AU"/>
        </w:rPr>
      </w:pPr>
      <w:r w:rsidRPr="00950F3D">
        <w:t>A statement detailing any real or potential conflict of interests (if any exist) and details on how these conflicts can be managed is still required and any partners that the Local Government Authority will sub-contract to deliver Navigator are </w:t>
      </w:r>
      <w:r w:rsidRPr="00950F3D">
        <w:rPr>
          <w:b/>
          <w:bCs/>
        </w:rPr>
        <w:t>not exempt</w:t>
      </w:r>
      <w:r w:rsidRPr="00950F3D">
        <w:t> from providing the required documents – i.e copies of their insurance, incorporation status and financial viability must be supplied as part of the application.</w:t>
      </w:r>
      <w:r w:rsidRPr="00950F3D">
        <w:rPr>
          <w:lang w:val="en-AU"/>
        </w:rPr>
        <w:t> </w:t>
      </w:r>
    </w:p>
    <w:p w14:paraId="24A91C06" w14:textId="77777777" w:rsidR="007753DF" w:rsidRPr="00950F3D" w:rsidRDefault="007753DF" w:rsidP="007753DF">
      <w:pPr>
        <w:spacing w:line="240" w:lineRule="auto"/>
        <w:rPr>
          <w:lang w:val="en-AU"/>
        </w:rPr>
      </w:pPr>
      <w:r w:rsidRPr="00950F3D">
        <w:t>*as per </w:t>
      </w:r>
      <w:hyperlink r:id="rId18" w:tgtFrame="_blank" w:history="1">
        <w:r w:rsidRPr="00950F3D">
          <w:rPr>
            <w:rStyle w:val="Hyperlink"/>
          </w:rPr>
          <w:t>Victorian funding requirements for service to children fact sheet (dffh.vic.gov.au)</w:t>
        </w:r>
      </w:hyperlink>
      <w:r w:rsidRPr="00950F3D">
        <w:rPr>
          <w:lang w:val="en-AU"/>
        </w:rPr>
        <w:t> </w:t>
      </w:r>
    </w:p>
    <w:p w14:paraId="6E320354" w14:textId="77777777" w:rsidR="00660526" w:rsidRDefault="00660526" w:rsidP="00950F3D">
      <w:pPr>
        <w:spacing w:line="240" w:lineRule="auto"/>
        <w:rPr>
          <w:b/>
          <w:bCs/>
          <w:lang w:val="en-AU"/>
        </w:rPr>
      </w:pPr>
    </w:p>
    <w:p w14:paraId="16EC2B62" w14:textId="54B5950A" w:rsidR="16DAAA35" w:rsidRPr="00851BC4" w:rsidRDefault="16DAAA35" w:rsidP="6B08F930">
      <w:pPr>
        <w:spacing w:line="240" w:lineRule="auto"/>
        <w:rPr>
          <w:lang w:val="en-AU"/>
        </w:rPr>
      </w:pPr>
    </w:p>
    <w:p w14:paraId="597B4B43" w14:textId="2D3A35DC" w:rsidR="16DAAA35" w:rsidRPr="00851BC4" w:rsidRDefault="02A7CE58" w:rsidP="2C859759">
      <w:pPr>
        <w:spacing w:line="240" w:lineRule="auto"/>
        <w:rPr>
          <w:lang w:val="en-AU"/>
        </w:rPr>
      </w:pPr>
      <w:r w:rsidRPr="2C859759">
        <w:rPr>
          <w:b/>
          <w:bCs/>
          <w:lang w:val="en-AU"/>
        </w:rPr>
        <w:t>Who are the current Service Providers in other Navigator areas? </w:t>
      </w:r>
      <w:r w:rsidRPr="2C859759">
        <w:rPr>
          <w:lang w:val="en-AU"/>
        </w:rPr>
        <w:t> </w:t>
      </w:r>
    </w:p>
    <w:tbl>
      <w:tblPr>
        <w:tblStyle w:val="TableGrid"/>
        <w:tblW w:w="0" w:type="auto"/>
        <w:tblLook w:val="06A0" w:firstRow="1" w:lastRow="0" w:firstColumn="1" w:lastColumn="0" w:noHBand="1" w:noVBand="1"/>
      </w:tblPr>
      <w:tblGrid>
        <w:gridCol w:w="1705"/>
        <w:gridCol w:w="3017"/>
        <w:gridCol w:w="4910"/>
      </w:tblGrid>
      <w:tr w:rsidR="2C859759" w14:paraId="21E3ADDC" w14:textId="77777777" w:rsidTr="2C8597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5" w:type="dxa"/>
          </w:tcPr>
          <w:p w14:paraId="6B6EFC60" w14:textId="77777777" w:rsidR="2C859759" w:rsidRDefault="2C859759" w:rsidP="2C859759">
            <w:pPr>
              <w:spacing w:line="240" w:lineRule="auto"/>
              <w:rPr>
                <w:lang w:val="en-AU"/>
              </w:rPr>
            </w:pPr>
            <w:r w:rsidRPr="2C859759">
              <w:rPr>
                <w:b/>
                <w:bCs/>
              </w:rPr>
              <w:t>Region</w:t>
            </w:r>
            <w:r w:rsidRPr="2C859759">
              <w:rPr>
                <w:lang w:val="en-AU"/>
              </w:rPr>
              <w:t> </w:t>
            </w:r>
          </w:p>
        </w:tc>
        <w:tc>
          <w:tcPr>
            <w:tcW w:w="3045" w:type="dxa"/>
          </w:tcPr>
          <w:p w14:paraId="03F20D9A" w14:textId="167D3BD0" w:rsidR="2C859759" w:rsidRDefault="2C859759" w:rsidP="2C859759">
            <w:pPr>
              <w:spacing w:line="240" w:lineRule="auto"/>
              <w:cnfStyle w:val="100000000000" w:firstRow="1" w:lastRow="0" w:firstColumn="0" w:lastColumn="0" w:oddVBand="0" w:evenVBand="0" w:oddHBand="0" w:evenHBand="0" w:firstRowFirstColumn="0" w:firstRowLastColumn="0" w:lastRowFirstColumn="0" w:lastRowLastColumn="0"/>
              <w:rPr>
                <w:lang w:val="en-AU"/>
              </w:rPr>
            </w:pPr>
            <w:r w:rsidRPr="2C859759">
              <w:rPr>
                <w:b/>
                <w:bCs/>
              </w:rPr>
              <w:t xml:space="preserve">DE </w:t>
            </w:r>
            <w:r w:rsidR="0D440D10" w:rsidRPr="2C859759">
              <w:rPr>
                <w:b/>
                <w:bCs/>
              </w:rPr>
              <w:t>A</w:t>
            </w:r>
            <w:r w:rsidRPr="2C859759">
              <w:rPr>
                <w:b/>
                <w:bCs/>
              </w:rPr>
              <w:t>rea</w:t>
            </w:r>
            <w:r w:rsidRPr="2C859759">
              <w:rPr>
                <w:lang w:val="en-AU"/>
              </w:rPr>
              <w:t> </w:t>
            </w:r>
          </w:p>
        </w:tc>
        <w:tc>
          <w:tcPr>
            <w:tcW w:w="4990" w:type="dxa"/>
          </w:tcPr>
          <w:p w14:paraId="2DA6FBD8" w14:textId="77777777" w:rsidR="2C859759" w:rsidRDefault="2C859759" w:rsidP="2C859759">
            <w:pPr>
              <w:spacing w:line="240" w:lineRule="auto"/>
              <w:cnfStyle w:val="100000000000" w:firstRow="1" w:lastRow="0" w:firstColumn="0" w:lastColumn="0" w:oddVBand="0" w:evenVBand="0" w:oddHBand="0" w:evenHBand="0" w:firstRowFirstColumn="0" w:firstRowLastColumn="0" w:lastRowFirstColumn="0" w:lastRowLastColumn="0"/>
              <w:rPr>
                <w:lang w:val="en-AU"/>
              </w:rPr>
            </w:pPr>
            <w:r w:rsidRPr="2C859759">
              <w:rPr>
                <w:b/>
                <w:bCs/>
              </w:rPr>
              <w:t>Service Provider  </w:t>
            </w:r>
            <w:r w:rsidRPr="2C859759">
              <w:rPr>
                <w:lang w:val="en-AU"/>
              </w:rPr>
              <w:t> </w:t>
            </w:r>
          </w:p>
        </w:tc>
      </w:tr>
      <w:tr w:rsidR="2C859759" w14:paraId="7E87D1B2"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val="restart"/>
          </w:tcPr>
          <w:p w14:paraId="28B045A3" w14:textId="76BFA2D7" w:rsidR="255553AF" w:rsidRDefault="255553AF" w:rsidP="2C859759">
            <w:pPr>
              <w:spacing w:line="240" w:lineRule="auto"/>
              <w:rPr>
                <w:b/>
                <w:bCs/>
              </w:rPr>
            </w:pPr>
            <w:r w:rsidRPr="2C859759">
              <w:rPr>
                <w:b/>
                <w:bCs/>
              </w:rPr>
              <w:t>North West </w:t>
            </w:r>
          </w:p>
          <w:p w14:paraId="3A579B52" w14:textId="05D96C5E" w:rsidR="255553AF" w:rsidRDefault="255553AF" w:rsidP="2C859759">
            <w:pPr>
              <w:spacing w:line="240" w:lineRule="auto"/>
              <w:rPr>
                <w:b/>
                <w:bCs/>
                <w:lang w:val="en-AU"/>
              </w:rPr>
            </w:pPr>
            <w:r w:rsidRPr="2C859759">
              <w:rPr>
                <w:b/>
                <w:bCs/>
              </w:rPr>
              <w:t>Victoria Region</w:t>
            </w:r>
            <w:r w:rsidRPr="2C859759">
              <w:rPr>
                <w:b/>
                <w:bCs/>
                <w:lang w:val="en-AU"/>
              </w:rPr>
              <w:t> </w:t>
            </w:r>
          </w:p>
        </w:tc>
        <w:tc>
          <w:tcPr>
            <w:tcW w:w="3045" w:type="dxa"/>
          </w:tcPr>
          <w:p w14:paraId="39132D43"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Hume Merri-Bek</w:t>
            </w:r>
            <w:r w:rsidRPr="2C859759">
              <w:rPr>
                <w:lang w:val="en-AU"/>
              </w:rPr>
              <w:t> </w:t>
            </w:r>
          </w:p>
        </w:tc>
        <w:tc>
          <w:tcPr>
            <w:tcW w:w="4990" w:type="dxa"/>
          </w:tcPr>
          <w:p w14:paraId="613A992D" w14:textId="43CC4B76"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Jesuit Social Services</w:t>
            </w:r>
          </w:p>
        </w:tc>
      </w:tr>
      <w:tr w:rsidR="2C859759" w14:paraId="21192D89"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0D8EB51D" w14:textId="77777777" w:rsidR="00DE185C" w:rsidRDefault="00DE185C"/>
        </w:tc>
        <w:tc>
          <w:tcPr>
            <w:tcW w:w="3045" w:type="dxa"/>
          </w:tcPr>
          <w:p w14:paraId="30F67D06"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Mallee</w:t>
            </w:r>
            <w:r w:rsidRPr="2C859759">
              <w:rPr>
                <w:lang w:val="en-AU"/>
              </w:rPr>
              <w:t> </w:t>
            </w:r>
          </w:p>
        </w:tc>
        <w:tc>
          <w:tcPr>
            <w:tcW w:w="4990" w:type="dxa"/>
          </w:tcPr>
          <w:p w14:paraId="5FF91830"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Mallee Accommodation and Support Program </w:t>
            </w:r>
            <w:r w:rsidRPr="2C859759">
              <w:rPr>
                <w:lang w:val="en-AU"/>
              </w:rPr>
              <w:t> </w:t>
            </w:r>
          </w:p>
        </w:tc>
      </w:tr>
      <w:tr w:rsidR="2C859759" w14:paraId="472A3BBB"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0144E4F4" w14:textId="77777777" w:rsidR="00DE185C" w:rsidRDefault="00DE185C"/>
        </w:tc>
        <w:tc>
          <w:tcPr>
            <w:tcW w:w="3045" w:type="dxa"/>
          </w:tcPr>
          <w:p w14:paraId="6B3ED952"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Loddon Campaspe </w:t>
            </w:r>
            <w:r w:rsidRPr="2C859759">
              <w:rPr>
                <w:lang w:val="en-AU"/>
              </w:rPr>
              <w:t> </w:t>
            </w:r>
          </w:p>
        </w:tc>
        <w:tc>
          <w:tcPr>
            <w:tcW w:w="4990" w:type="dxa"/>
          </w:tcPr>
          <w:p w14:paraId="09D9C408"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Anglicare Victoria</w:t>
            </w:r>
            <w:r w:rsidRPr="2C859759">
              <w:rPr>
                <w:lang w:val="en-AU"/>
              </w:rPr>
              <w:t> </w:t>
            </w:r>
          </w:p>
        </w:tc>
      </w:tr>
      <w:tr w:rsidR="2C859759" w14:paraId="43EB604D"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383FFFD0" w14:textId="77777777" w:rsidR="00DE185C" w:rsidRDefault="00DE185C"/>
        </w:tc>
        <w:tc>
          <w:tcPr>
            <w:tcW w:w="3045" w:type="dxa"/>
          </w:tcPr>
          <w:p w14:paraId="333F1E55"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North East Melbourne </w:t>
            </w:r>
            <w:r w:rsidRPr="2C859759">
              <w:rPr>
                <w:lang w:val="en-AU"/>
              </w:rPr>
              <w:t> </w:t>
            </w:r>
          </w:p>
        </w:tc>
        <w:tc>
          <w:tcPr>
            <w:tcW w:w="4990" w:type="dxa"/>
          </w:tcPr>
          <w:p w14:paraId="08168B65" w14:textId="6F531550"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Anglicare Victoria </w:t>
            </w:r>
            <w:r w:rsidRPr="2C859759">
              <w:rPr>
                <w:lang w:val="en-AU"/>
              </w:rPr>
              <w:t> </w:t>
            </w:r>
          </w:p>
        </w:tc>
      </w:tr>
      <w:tr w:rsidR="2C859759" w14:paraId="6EC721EC"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val="restart"/>
          </w:tcPr>
          <w:p w14:paraId="268ACED2" w14:textId="4911195A" w:rsidR="2361C1E2" w:rsidRDefault="2361C1E2" w:rsidP="2C859759">
            <w:pPr>
              <w:rPr>
                <w:b/>
                <w:bCs/>
              </w:rPr>
            </w:pPr>
            <w:r w:rsidRPr="2C859759">
              <w:rPr>
                <w:b/>
                <w:bCs/>
              </w:rPr>
              <w:lastRenderedPageBreak/>
              <w:t>South West </w:t>
            </w:r>
          </w:p>
          <w:p w14:paraId="1A666A55" w14:textId="6E7C2CC3" w:rsidR="2361C1E2" w:rsidRDefault="2361C1E2" w:rsidP="2C859759">
            <w:pPr>
              <w:rPr>
                <w:b/>
                <w:bCs/>
                <w:lang w:val="en-AU"/>
              </w:rPr>
            </w:pPr>
            <w:r w:rsidRPr="2C859759">
              <w:rPr>
                <w:b/>
                <w:bCs/>
              </w:rPr>
              <w:t>Victoria Region</w:t>
            </w:r>
            <w:r w:rsidRPr="2C859759">
              <w:rPr>
                <w:b/>
                <w:bCs/>
                <w:lang w:val="en-AU"/>
              </w:rPr>
              <w:t> </w:t>
            </w:r>
          </w:p>
        </w:tc>
        <w:tc>
          <w:tcPr>
            <w:tcW w:w="3045" w:type="dxa"/>
          </w:tcPr>
          <w:p w14:paraId="5577576D"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Central Highlands</w:t>
            </w:r>
            <w:r w:rsidRPr="2C859759">
              <w:rPr>
                <w:lang w:val="en-AU"/>
              </w:rPr>
              <w:t> </w:t>
            </w:r>
          </w:p>
        </w:tc>
        <w:tc>
          <w:tcPr>
            <w:tcW w:w="4990" w:type="dxa"/>
          </w:tcPr>
          <w:p w14:paraId="348C94B2"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Berry Street </w:t>
            </w:r>
            <w:r w:rsidRPr="2C859759">
              <w:rPr>
                <w:lang w:val="en-AU"/>
              </w:rPr>
              <w:t> </w:t>
            </w:r>
          </w:p>
        </w:tc>
      </w:tr>
      <w:tr w:rsidR="2C859759" w14:paraId="79BCC025"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2103F34D" w14:textId="77777777" w:rsidR="00DE185C" w:rsidRDefault="00DE185C"/>
        </w:tc>
        <w:tc>
          <w:tcPr>
            <w:tcW w:w="3045" w:type="dxa"/>
          </w:tcPr>
          <w:p w14:paraId="248658ED"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Western Melbourne</w:t>
            </w:r>
            <w:r w:rsidRPr="2C859759">
              <w:rPr>
                <w:lang w:val="en-AU"/>
              </w:rPr>
              <w:t> </w:t>
            </w:r>
          </w:p>
        </w:tc>
        <w:tc>
          <w:tcPr>
            <w:tcW w:w="4990" w:type="dxa"/>
          </w:tcPr>
          <w:p w14:paraId="6F0BFE43"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Anglicare Victoria</w:t>
            </w:r>
            <w:r w:rsidRPr="2C859759">
              <w:rPr>
                <w:lang w:val="en-AU"/>
              </w:rPr>
              <w:t> </w:t>
            </w:r>
          </w:p>
        </w:tc>
      </w:tr>
      <w:tr w:rsidR="2C859759" w14:paraId="57D27E1D"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4270D879" w14:textId="77777777" w:rsidR="00DE185C" w:rsidRDefault="00DE185C"/>
        </w:tc>
        <w:tc>
          <w:tcPr>
            <w:tcW w:w="3045" w:type="dxa"/>
          </w:tcPr>
          <w:p w14:paraId="016E2BB6"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Brimbank Melton </w:t>
            </w:r>
            <w:r w:rsidRPr="2C859759">
              <w:rPr>
                <w:lang w:val="en-AU"/>
              </w:rPr>
              <w:t> </w:t>
            </w:r>
          </w:p>
        </w:tc>
        <w:tc>
          <w:tcPr>
            <w:tcW w:w="4990" w:type="dxa"/>
          </w:tcPr>
          <w:p w14:paraId="1858AE04" w14:textId="5FDC7670"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rsidRPr="2C859759">
              <w:rPr>
                <w:lang w:val="en-AU"/>
              </w:rPr>
              <w:t>Anglicare Victoria </w:t>
            </w:r>
          </w:p>
        </w:tc>
      </w:tr>
      <w:tr w:rsidR="2C859759" w14:paraId="30C9719A"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3C67E54A" w14:textId="77777777" w:rsidR="00DE185C" w:rsidRDefault="00DE185C"/>
        </w:tc>
        <w:tc>
          <w:tcPr>
            <w:tcW w:w="3045" w:type="dxa"/>
          </w:tcPr>
          <w:p w14:paraId="0ED2C21D"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Wimmera South West</w:t>
            </w:r>
            <w:r w:rsidRPr="2C859759">
              <w:rPr>
                <w:lang w:val="en-AU"/>
              </w:rPr>
              <w:t> </w:t>
            </w:r>
          </w:p>
        </w:tc>
        <w:tc>
          <w:tcPr>
            <w:tcW w:w="4990" w:type="dxa"/>
          </w:tcPr>
          <w:p w14:paraId="1D8FDAAD"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Anglicare Victoria </w:t>
            </w:r>
            <w:r w:rsidRPr="2C859759">
              <w:rPr>
                <w:lang w:val="en-AU"/>
              </w:rPr>
              <w:t> </w:t>
            </w:r>
          </w:p>
        </w:tc>
      </w:tr>
      <w:tr w:rsidR="2C859759" w14:paraId="539990C5"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14422AC0" w14:textId="77777777" w:rsidR="00DE185C" w:rsidRDefault="00DE185C"/>
        </w:tc>
        <w:tc>
          <w:tcPr>
            <w:tcW w:w="3045" w:type="dxa"/>
          </w:tcPr>
          <w:p w14:paraId="46AEB565"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Barwon </w:t>
            </w:r>
            <w:r w:rsidRPr="2C859759">
              <w:rPr>
                <w:lang w:val="en-AU"/>
              </w:rPr>
              <w:t> </w:t>
            </w:r>
          </w:p>
        </w:tc>
        <w:tc>
          <w:tcPr>
            <w:tcW w:w="4990" w:type="dxa"/>
          </w:tcPr>
          <w:p w14:paraId="09497E41"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Meli</w:t>
            </w:r>
            <w:r w:rsidRPr="2C859759">
              <w:rPr>
                <w:lang w:val="en-AU"/>
              </w:rPr>
              <w:t> </w:t>
            </w:r>
          </w:p>
        </w:tc>
      </w:tr>
      <w:tr w:rsidR="2C859759" w14:paraId="03B3E8BD"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val="restart"/>
          </w:tcPr>
          <w:p w14:paraId="71D00B1E" w14:textId="685EEF77" w:rsidR="022027F1" w:rsidRDefault="022027F1" w:rsidP="2C859759">
            <w:pPr>
              <w:spacing w:line="240" w:lineRule="auto"/>
              <w:rPr>
                <w:b/>
                <w:bCs/>
              </w:rPr>
            </w:pPr>
            <w:r w:rsidRPr="2C859759">
              <w:rPr>
                <w:b/>
                <w:bCs/>
              </w:rPr>
              <w:t>North East </w:t>
            </w:r>
          </w:p>
          <w:p w14:paraId="65023262" w14:textId="45B974D6" w:rsidR="022027F1" w:rsidRDefault="022027F1" w:rsidP="2C859759">
            <w:pPr>
              <w:spacing w:line="240" w:lineRule="auto"/>
              <w:rPr>
                <w:b/>
                <w:bCs/>
                <w:lang w:val="en-AU"/>
              </w:rPr>
            </w:pPr>
            <w:r w:rsidRPr="2C859759">
              <w:rPr>
                <w:b/>
                <w:bCs/>
              </w:rPr>
              <w:t>Victoria Region</w:t>
            </w:r>
            <w:r w:rsidRPr="2C859759">
              <w:rPr>
                <w:b/>
                <w:bCs/>
                <w:lang w:val="en-AU"/>
              </w:rPr>
              <w:t> </w:t>
            </w:r>
          </w:p>
        </w:tc>
        <w:tc>
          <w:tcPr>
            <w:tcW w:w="3045" w:type="dxa"/>
          </w:tcPr>
          <w:p w14:paraId="187B990F"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Goulburn</w:t>
            </w:r>
            <w:r w:rsidRPr="2C859759">
              <w:rPr>
                <w:lang w:val="en-AU"/>
              </w:rPr>
              <w:t> </w:t>
            </w:r>
          </w:p>
        </w:tc>
        <w:tc>
          <w:tcPr>
            <w:tcW w:w="4990" w:type="dxa"/>
          </w:tcPr>
          <w:p w14:paraId="508ED4A7" w14:textId="61E17432" w:rsidR="1B029D37" w:rsidRDefault="1B029D37"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 xml:space="preserve">The </w:t>
            </w:r>
            <w:r w:rsidR="2C859759">
              <w:t>Bridge Youth Services</w:t>
            </w:r>
            <w:r w:rsidR="2C859759" w:rsidRPr="2C859759">
              <w:rPr>
                <w:lang w:val="en-AU"/>
              </w:rPr>
              <w:t> </w:t>
            </w:r>
          </w:p>
        </w:tc>
      </w:tr>
      <w:tr w:rsidR="2C859759" w14:paraId="0E79F641"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7D6E055A" w14:textId="77777777" w:rsidR="00DE185C" w:rsidRDefault="00DE185C"/>
        </w:tc>
        <w:tc>
          <w:tcPr>
            <w:tcW w:w="3045" w:type="dxa"/>
          </w:tcPr>
          <w:p w14:paraId="2A1CF6BD"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Ovens Murray</w:t>
            </w:r>
            <w:r w:rsidRPr="2C859759">
              <w:rPr>
                <w:lang w:val="en-AU"/>
              </w:rPr>
              <w:t> </w:t>
            </w:r>
          </w:p>
        </w:tc>
        <w:tc>
          <w:tcPr>
            <w:tcW w:w="4990" w:type="dxa"/>
          </w:tcPr>
          <w:p w14:paraId="54FFEB7D"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Junction Support Services</w:t>
            </w:r>
            <w:r w:rsidRPr="2C859759">
              <w:rPr>
                <w:b/>
                <w:bCs/>
              </w:rPr>
              <w:t> </w:t>
            </w:r>
            <w:r w:rsidRPr="2C859759">
              <w:rPr>
                <w:lang w:val="en-AU"/>
              </w:rPr>
              <w:t> </w:t>
            </w:r>
          </w:p>
        </w:tc>
      </w:tr>
      <w:tr w:rsidR="2C859759" w14:paraId="711C4B35"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785D485B" w14:textId="77777777" w:rsidR="00DE185C" w:rsidRDefault="00DE185C"/>
        </w:tc>
        <w:tc>
          <w:tcPr>
            <w:tcW w:w="3045" w:type="dxa"/>
          </w:tcPr>
          <w:p w14:paraId="28314389"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Inner Eastern Melbourne</w:t>
            </w:r>
            <w:r w:rsidRPr="2C859759">
              <w:rPr>
                <w:lang w:val="en-AU"/>
              </w:rPr>
              <w:t> </w:t>
            </w:r>
          </w:p>
        </w:tc>
        <w:tc>
          <w:tcPr>
            <w:tcW w:w="4990" w:type="dxa"/>
          </w:tcPr>
          <w:p w14:paraId="27EF4B0C" w14:textId="6A6035AB"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rsidRPr="2C859759">
              <w:rPr>
                <w:lang w:val="en-AU"/>
              </w:rPr>
              <w:t>Uniting </w:t>
            </w:r>
          </w:p>
        </w:tc>
      </w:tr>
      <w:tr w:rsidR="2C859759" w14:paraId="74578323"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5A1E0B30" w14:textId="77777777" w:rsidR="00DE185C" w:rsidRDefault="00DE185C"/>
        </w:tc>
        <w:tc>
          <w:tcPr>
            <w:tcW w:w="3045" w:type="dxa"/>
          </w:tcPr>
          <w:p w14:paraId="773120D8"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Outer Eastern Melbourne </w:t>
            </w:r>
            <w:r w:rsidRPr="2C859759">
              <w:rPr>
                <w:lang w:val="en-AU"/>
              </w:rPr>
              <w:t> </w:t>
            </w:r>
          </w:p>
        </w:tc>
        <w:tc>
          <w:tcPr>
            <w:tcW w:w="4990" w:type="dxa"/>
          </w:tcPr>
          <w:p w14:paraId="72433A01"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Uniting </w:t>
            </w:r>
            <w:r w:rsidRPr="2C859759">
              <w:rPr>
                <w:lang w:val="en-AU"/>
              </w:rPr>
              <w:t> </w:t>
            </w:r>
          </w:p>
        </w:tc>
      </w:tr>
      <w:tr w:rsidR="2C859759" w14:paraId="10CC7824"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val="restart"/>
          </w:tcPr>
          <w:p w14:paraId="06071914" w14:textId="01874776" w:rsidR="4E4B0D54" w:rsidRDefault="4E4B0D54" w:rsidP="2C859759">
            <w:pPr>
              <w:spacing w:line="240" w:lineRule="auto"/>
              <w:rPr>
                <w:b/>
                <w:bCs/>
                <w:lang w:val="en-AU"/>
              </w:rPr>
            </w:pPr>
            <w:r w:rsidRPr="2C859759">
              <w:rPr>
                <w:b/>
                <w:bCs/>
              </w:rPr>
              <w:t>South East </w:t>
            </w:r>
          </w:p>
          <w:p w14:paraId="41E9DF78" w14:textId="41FEA2F3" w:rsidR="4E4B0D54" w:rsidRDefault="4E4B0D54" w:rsidP="2C859759">
            <w:pPr>
              <w:spacing w:line="240" w:lineRule="auto"/>
              <w:rPr>
                <w:b/>
                <w:bCs/>
                <w:lang w:val="en-AU"/>
              </w:rPr>
            </w:pPr>
            <w:r w:rsidRPr="2C859759">
              <w:rPr>
                <w:b/>
                <w:bCs/>
              </w:rPr>
              <w:t>Victoria Region</w:t>
            </w:r>
            <w:r w:rsidRPr="2C859759">
              <w:rPr>
                <w:b/>
                <w:bCs/>
                <w:lang w:val="en-AU"/>
              </w:rPr>
              <w:t> </w:t>
            </w:r>
          </w:p>
          <w:p w14:paraId="371377A7" w14:textId="3422BAC6" w:rsidR="2C859759" w:rsidRDefault="2C859759" w:rsidP="2C859759">
            <w:pPr>
              <w:rPr>
                <w:lang w:val="en-AU"/>
              </w:rPr>
            </w:pPr>
          </w:p>
        </w:tc>
        <w:tc>
          <w:tcPr>
            <w:tcW w:w="3045" w:type="dxa"/>
          </w:tcPr>
          <w:p w14:paraId="71B731C4"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Bayside Peninsula</w:t>
            </w:r>
            <w:r w:rsidRPr="2C859759">
              <w:rPr>
                <w:lang w:val="en-AU"/>
              </w:rPr>
              <w:t> </w:t>
            </w:r>
          </w:p>
        </w:tc>
        <w:tc>
          <w:tcPr>
            <w:tcW w:w="4990" w:type="dxa"/>
          </w:tcPr>
          <w:p w14:paraId="08EACF0C"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Mission Australia </w:t>
            </w:r>
            <w:r w:rsidRPr="2C859759">
              <w:rPr>
                <w:lang w:val="en-AU"/>
              </w:rPr>
              <w:t> </w:t>
            </w:r>
          </w:p>
        </w:tc>
      </w:tr>
      <w:tr w:rsidR="2C859759" w14:paraId="34D38113"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219A41E6" w14:textId="77777777" w:rsidR="00DE185C" w:rsidRDefault="00DE185C"/>
        </w:tc>
        <w:tc>
          <w:tcPr>
            <w:tcW w:w="3045" w:type="dxa"/>
          </w:tcPr>
          <w:p w14:paraId="4AFEAB76"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Southern Melbourne</w:t>
            </w:r>
            <w:r w:rsidRPr="2C859759">
              <w:rPr>
                <w:lang w:val="en-AU"/>
              </w:rPr>
              <w:t> </w:t>
            </w:r>
          </w:p>
        </w:tc>
        <w:tc>
          <w:tcPr>
            <w:tcW w:w="4990" w:type="dxa"/>
          </w:tcPr>
          <w:p w14:paraId="77E7FC52"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South East Local Learning and Employment Network</w:t>
            </w:r>
            <w:r w:rsidRPr="2C859759">
              <w:rPr>
                <w:lang w:val="en-AU"/>
              </w:rPr>
              <w:t> </w:t>
            </w:r>
          </w:p>
        </w:tc>
      </w:tr>
      <w:tr w:rsidR="2C859759" w14:paraId="64C2FC82"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0B970586" w14:textId="77777777" w:rsidR="00DE185C" w:rsidRDefault="00DE185C"/>
        </w:tc>
        <w:tc>
          <w:tcPr>
            <w:tcW w:w="3045" w:type="dxa"/>
          </w:tcPr>
          <w:p w14:paraId="0A8B3452"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Inner Gippsland </w:t>
            </w:r>
            <w:r w:rsidRPr="2C859759">
              <w:rPr>
                <w:lang w:val="en-AU"/>
              </w:rPr>
              <w:t> </w:t>
            </w:r>
          </w:p>
        </w:tc>
        <w:tc>
          <w:tcPr>
            <w:tcW w:w="4990" w:type="dxa"/>
          </w:tcPr>
          <w:p w14:paraId="47DE7ADB"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Anglicare Victoria</w:t>
            </w:r>
            <w:r w:rsidRPr="2C859759">
              <w:rPr>
                <w:lang w:val="en-AU"/>
              </w:rPr>
              <w:t> </w:t>
            </w:r>
          </w:p>
        </w:tc>
      </w:tr>
      <w:tr w:rsidR="2C859759" w14:paraId="27EC2310" w14:textId="77777777" w:rsidTr="2C859759">
        <w:trPr>
          <w:trHeight w:val="300"/>
        </w:trPr>
        <w:tc>
          <w:tcPr>
            <w:cnfStyle w:val="001000000000" w:firstRow="0" w:lastRow="0" w:firstColumn="1" w:lastColumn="0" w:oddVBand="0" w:evenVBand="0" w:oddHBand="0" w:evenHBand="0" w:firstRowFirstColumn="0" w:firstRowLastColumn="0" w:lastRowFirstColumn="0" w:lastRowLastColumn="0"/>
            <w:tcW w:w="1725" w:type="dxa"/>
            <w:vMerge/>
          </w:tcPr>
          <w:p w14:paraId="64D58269" w14:textId="77777777" w:rsidR="00DE185C" w:rsidRDefault="00DE185C"/>
        </w:tc>
        <w:tc>
          <w:tcPr>
            <w:tcW w:w="3045" w:type="dxa"/>
          </w:tcPr>
          <w:p w14:paraId="290CA4D9"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Outer Gippsland </w:t>
            </w:r>
            <w:r w:rsidRPr="2C859759">
              <w:rPr>
                <w:lang w:val="en-AU"/>
              </w:rPr>
              <w:t> </w:t>
            </w:r>
          </w:p>
        </w:tc>
        <w:tc>
          <w:tcPr>
            <w:tcW w:w="4990" w:type="dxa"/>
          </w:tcPr>
          <w:p w14:paraId="143BAC19" w14:textId="77777777" w:rsidR="2C859759" w:rsidRDefault="2C859759" w:rsidP="2C859759">
            <w:pPr>
              <w:spacing w:line="240" w:lineRule="auto"/>
              <w:cnfStyle w:val="000000000000" w:firstRow="0" w:lastRow="0" w:firstColumn="0" w:lastColumn="0" w:oddVBand="0" w:evenVBand="0" w:oddHBand="0" w:evenHBand="0" w:firstRowFirstColumn="0" w:firstRowLastColumn="0" w:lastRowFirstColumn="0" w:lastRowLastColumn="0"/>
              <w:rPr>
                <w:lang w:val="en-AU"/>
              </w:rPr>
            </w:pPr>
            <w:r>
              <w:t>Uniting</w:t>
            </w:r>
            <w:r w:rsidRPr="2C859759">
              <w:rPr>
                <w:lang w:val="en-AU"/>
              </w:rPr>
              <w:t> </w:t>
            </w:r>
          </w:p>
        </w:tc>
      </w:tr>
    </w:tbl>
    <w:p w14:paraId="34767F60" w14:textId="1EAFB501" w:rsidR="16DAAA35" w:rsidRPr="00851BC4" w:rsidRDefault="16DAAA35" w:rsidP="2C859759">
      <w:pPr>
        <w:spacing w:line="240" w:lineRule="auto"/>
        <w:rPr>
          <w:lang w:val="en-AU"/>
        </w:rPr>
      </w:pPr>
    </w:p>
    <w:sectPr w:rsidR="16DAAA35" w:rsidRPr="00851BC4" w:rsidSect="008B4878">
      <w:headerReference w:type="even" r:id="rId19"/>
      <w:headerReference w:type="default" r:id="rId20"/>
      <w:footerReference w:type="even" r:id="rId21"/>
      <w:footerReference w:type="default" r:id="rId22"/>
      <w:headerReference w:type="first" r:id="rId23"/>
      <w:footerReference w:type="first" r:id="rId24"/>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AEE2" w14:textId="77777777" w:rsidR="0061693F" w:rsidRDefault="0061693F" w:rsidP="008B4878">
      <w:r>
        <w:separator/>
      </w:r>
    </w:p>
  </w:endnote>
  <w:endnote w:type="continuationSeparator" w:id="0">
    <w:p w14:paraId="726390F5" w14:textId="77777777" w:rsidR="0061693F" w:rsidRDefault="0061693F"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5715" w14:textId="77777777" w:rsidR="003909D5" w:rsidRDefault="0039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7061" w14:textId="77777777" w:rsidR="0061693F" w:rsidRDefault="0061693F" w:rsidP="008B4878">
      <w:r>
        <w:separator/>
      </w:r>
    </w:p>
  </w:footnote>
  <w:footnote w:type="continuationSeparator" w:id="0">
    <w:p w14:paraId="42DC810C" w14:textId="77777777" w:rsidR="0061693F" w:rsidRDefault="0061693F"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6078" w14:textId="77777777" w:rsidR="003909D5" w:rsidRDefault="00390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3CFFB4F3">
          <wp:simplePos x="0" y="0"/>
          <wp:positionH relativeFrom="page">
            <wp:posOffset>-6350</wp:posOffset>
          </wp:positionH>
          <wp:positionV relativeFrom="page">
            <wp:posOffset>0</wp:posOffset>
          </wp:positionV>
          <wp:extent cx="7578955" cy="1197347"/>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5" cy="11973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0FB2" w14:textId="77777777" w:rsidR="003909D5" w:rsidRDefault="00390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47"/>
    <w:multiLevelType w:val="multilevel"/>
    <w:tmpl w:val="D0CCC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7023B"/>
    <w:multiLevelType w:val="multilevel"/>
    <w:tmpl w:val="9294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39F3"/>
    <w:multiLevelType w:val="multilevel"/>
    <w:tmpl w:val="C07A8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4405FA"/>
    <w:multiLevelType w:val="multilevel"/>
    <w:tmpl w:val="F020B8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9F655B"/>
    <w:multiLevelType w:val="multilevel"/>
    <w:tmpl w:val="3144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23BE8"/>
    <w:multiLevelType w:val="multilevel"/>
    <w:tmpl w:val="E37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41BAF"/>
    <w:multiLevelType w:val="multilevel"/>
    <w:tmpl w:val="8DFE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6E4DEE"/>
    <w:multiLevelType w:val="multilevel"/>
    <w:tmpl w:val="D0780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02A9F0"/>
    <w:multiLevelType w:val="hybridMultilevel"/>
    <w:tmpl w:val="3F3686A0"/>
    <w:lvl w:ilvl="0" w:tplc="37FC4522">
      <w:start w:val="1"/>
      <w:numFmt w:val="bullet"/>
      <w:lvlText w:val=""/>
      <w:lvlJc w:val="left"/>
      <w:pPr>
        <w:ind w:left="720" w:hanging="360"/>
      </w:pPr>
      <w:rPr>
        <w:rFonts w:ascii="Symbol" w:hAnsi="Symbol" w:hint="default"/>
      </w:rPr>
    </w:lvl>
    <w:lvl w:ilvl="1" w:tplc="A9A47AA4">
      <w:start w:val="1"/>
      <w:numFmt w:val="bullet"/>
      <w:lvlText w:val="o"/>
      <w:lvlJc w:val="left"/>
      <w:pPr>
        <w:ind w:left="1440" w:hanging="360"/>
      </w:pPr>
      <w:rPr>
        <w:rFonts w:ascii="Symbol" w:hAnsi="Symbol" w:hint="default"/>
      </w:rPr>
    </w:lvl>
    <w:lvl w:ilvl="2" w:tplc="537E659A">
      <w:start w:val="1"/>
      <w:numFmt w:val="bullet"/>
      <w:lvlText w:val=""/>
      <w:lvlJc w:val="left"/>
      <w:pPr>
        <w:ind w:left="2160" w:hanging="360"/>
      </w:pPr>
      <w:rPr>
        <w:rFonts w:ascii="Wingdings" w:hAnsi="Wingdings" w:hint="default"/>
      </w:rPr>
    </w:lvl>
    <w:lvl w:ilvl="3" w:tplc="3CB8EB60">
      <w:start w:val="1"/>
      <w:numFmt w:val="bullet"/>
      <w:lvlText w:val=""/>
      <w:lvlJc w:val="left"/>
      <w:pPr>
        <w:ind w:left="2880" w:hanging="360"/>
      </w:pPr>
      <w:rPr>
        <w:rFonts w:ascii="Symbol" w:hAnsi="Symbol" w:hint="default"/>
      </w:rPr>
    </w:lvl>
    <w:lvl w:ilvl="4" w:tplc="5DC4B584">
      <w:start w:val="1"/>
      <w:numFmt w:val="bullet"/>
      <w:lvlText w:val="o"/>
      <w:lvlJc w:val="left"/>
      <w:pPr>
        <w:ind w:left="3600" w:hanging="360"/>
      </w:pPr>
      <w:rPr>
        <w:rFonts w:ascii="Courier New" w:hAnsi="Courier New" w:hint="default"/>
      </w:rPr>
    </w:lvl>
    <w:lvl w:ilvl="5" w:tplc="FB28FB24">
      <w:start w:val="1"/>
      <w:numFmt w:val="bullet"/>
      <w:lvlText w:val=""/>
      <w:lvlJc w:val="left"/>
      <w:pPr>
        <w:ind w:left="4320" w:hanging="360"/>
      </w:pPr>
      <w:rPr>
        <w:rFonts w:ascii="Wingdings" w:hAnsi="Wingdings" w:hint="default"/>
      </w:rPr>
    </w:lvl>
    <w:lvl w:ilvl="6" w:tplc="503EE68C">
      <w:start w:val="1"/>
      <w:numFmt w:val="bullet"/>
      <w:lvlText w:val=""/>
      <w:lvlJc w:val="left"/>
      <w:pPr>
        <w:ind w:left="5040" w:hanging="360"/>
      </w:pPr>
      <w:rPr>
        <w:rFonts w:ascii="Symbol" w:hAnsi="Symbol" w:hint="default"/>
      </w:rPr>
    </w:lvl>
    <w:lvl w:ilvl="7" w:tplc="4CEEB02A">
      <w:start w:val="1"/>
      <w:numFmt w:val="bullet"/>
      <w:lvlText w:val="o"/>
      <w:lvlJc w:val="left"/>
      <w:pPr>
        <w:ind w:left="5760" w:hanging="360"/>
      </w:pPr>
      <w:rPr>
        <w:rFonts w:ascii="Courier New" w:hAnsi="Courier New" w:hint="default"/>
      </w:rPr>
    </w:lvl>
    <w:lvl w:ilvl="8" w:tplc="C1265ABC">
      <w:start w:val="1"/>
      <w:numFmt w:val="bullet"/>
      <w:lvlText w:val=""/>
      <w:lvlJc w:val="left"/>
      <w:pPr>
        <w:ind w:left="6480" w:hanging="360"/>
      </w:pPr>
      <w:rPr>
        <w:rFonts w:ascii="Wingdings" w:hAnsi="Wingdings" w:hint="default"/>
      </w:rPr>
    </w:lvl>
  </w:abstractNum>
  <w:abstractNum w:abstractNumId="9" w15:restartNumberingAfterBreak="0">
    <w:nsid w:val="1C774324"/>
    <w:multiLevelType w:val="multilevel"/>
    <w:tmpl w:val="16A4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3F11C3"/>
    <w:multiLevelType w:val="multilevel"/>
    <w:tmpl w:val="3E8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260AE"/>
    <w:multiLevelType w:val="multilevel"/>
    <w:tmpl w:val="9B8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6265C3"/>
    <w:multiLevelType w:val="multilevel"/>
    <w:tmpl w:val="6E1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8644C"/>
    <w:multiLevelType w:val="multilevel"/>
    <w:tmpl w:val="FB70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703DF"/>
    <w:multiLevelType w:val="multilevel"/>
    <w:tmpl w:val="7ACA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D5608F"/>
    <w:multiLevelType w:val="multilevel"/>
    <w:tmpl w:val="2A6CD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447B1E"/>
    <w:multiLevelType w:val="multilevel"/>
    <w:tmpl w:val="21C03D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8725C0F"/>
    <w:multiLevelType w:val="multilevel"/>
    <w:tmpl w:val="FA4CB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8947047"/>
    <w:multiLevelType w:val="multilevel"/>
    <w:tmpl w:val="68B419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A692AE5"/>
    <w:multiLevelType w:val="multilevel"/>
    <w:tmpl w:val="A5CAA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FB22E9"/>
    <w:multiLevelType w:val="multilevel"/>
    <w:tmpl w:val="09FEA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26152E"/>
    <w:multiLevelType w:val="multilevel"/>
    <w:tmpl w:val="5E28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3958C9"/>
    <w:multiLevelType w:val="multilevel"/>
    <w:tmpl w:val="D256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B02674"/>
    <w:multiLevelType w:val="multilevel"/>
    <w:tmpl w:val="D95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6A1CC7"/>
    <w:multiLevelType w:val="multilevel"/>
    <w:tmpl w:val="82B8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A01985"/>
    <w:multiLevelType w:val="multilevel"/>
    <w:tmpl w:val="5DEC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35486F"/>
    <w:multiLevelType w:val="multilevel"/>
    <w:tmpl w:val="28A8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727445"/>
    <w:multiLevelType w:val="multilevel"/>
    <w:tmpl w:val="7696C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DF4711C"/>
    <w:multiLevelType w:val="multilevel"/>
    <w:tmpl w:val="259A0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0634F34"/>
    <w:multiLevelType w:val="multilevel"/>
    <w:tmpl w:val="7506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1910F6"/>
    <w:multiLevelType w:val="multilevel"/>
    <w:tmpl w:val="B6509D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D36838"/>
    <w:multiLevelType w:val="multilevel"/>
    <w:tmpl w:val="14A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9D05C7"/>
    <w:multiLevelType w:val="multilevel"/>
    <w:tmpl w:val="86C2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B8021A"/>
    <w:multiLevelType w:val="multilevel"/>
    <w:tmpl w:val="AF26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886812"/>
    <w:multiLevelType w:val="multilevel"/>
    <w:tmpl w:val="7D9A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79618B"/>
    <w:multiLevelType w:val="multilevel"/>
    <w:tmpl w:val="DCFAF4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A15220F"/>
    <w:multiLevelType w:val="hybridMultilevel"/>
    <w:tmpl w:val="52804A92"/>
    <w:lvl w:ilvl="0" w:tplc="38963856">
      <w:start w:val="1"/>
      <w:numFmt w:val="bullet"/>
      <w:lvlText w:val="o"/>
      <w:lvlJc w:val="left"/>
      <w:pPr>
        <w:ind w:left="1080" w:hanging="360"/>
      </w:pPr>
      <w:rPr>
        <w:rFonts w:ascii="Courier New" w:hAnsi="Courier New" w:hint="default"/>
      </w:rPr>
    </w:lvl>
    <w:lvl w:ilvl="1" w:tplc="B3007CA8">
      <w:start w:val="1"/>
      <w:numFmt w:val="bullet"/>
      <w:lvlText w:val="o"/>
      <w:lvlJc w:val="left"/>
      <w:pPr>
        <w:ind w:left="1800" w:hanging="360"/>
      </w:pPr>
      <w:rPr>
        <w:rFonts w:ascii="Courier New" w:hAnsi="Courier New" w:hint="default"/>
      </w:rPr>
    </w:lvl>
    <w:lvl w:ilvl="2" w:tplc="AC0013A8">
      <w:start w:val="1"/>
      <w:numFmt w:val="bullet"/>
      <w:lvlText w:val=""/>
      <w:lvlJc w:val="left"/>
      <w:pPr>
        <w:ind w:left="2520" w:hanging="360"/>
      </w:pPr>
      <w:rPr>
        <w:rFonts w:ascii="Wingdings" w:hAnsi="Wingdings" w:hint="default"/>
      </w:rPr>
    </w:lvl>
    <w:lvl w:ilvl="3" w:tplc="888E5550">
      <w:start w:val="1"/>
      <w:numFmt w:val="bullet"/>
      <w:lvlText w:val=""/>
      <w:lvlJc w:val="left"/>
      <w:pPr>
        <w:ind w:left="3240" w:hanging="360"/>
      </w:pPr>
      <w:rPr>
        <w:rFonts w:ascii="Symbol" w:hAnsi="Symbol" w:hint="default"/>
      </w:rPr>
    </w:lvl>
    <w:lvl w:ilvl="4" w:tplc="4F8E6AAA">
      <w:start w:val="1"/>
      <w:numFmt w:val="bullet"/>
      <w:lvlText w:val="o"/>
      <w:lvlJc w:val="left"/>
      <w:pPr>
        <w:ind w:left="3960" w:hanging="360"/>
      </w:pPr>
      <w:rPr>
        <w:rFonts w:ascii="Courier New" w:hAnsi="Courier New" w:hint="default"/>
      </w:rPr>
    </w:lvl>
    <w:lvl w:ilvl="5" w:tplc="51DE1088">
      <w:start w:val="1"/>
      <w:numFmt w:val="bullet"/>
      <w:lvlText w:val=""/>
      <w:lvlJc w:val="left"/>
      <w:pPr>
        <w:ind w:left="4680" w:hanging="360"/>
      </w:pPr>
      <w:rPr>
        <w:rFonts w:ascii="Wingdings" w:hAnsi="Wingdings" w:hint="default"/>
      </w:rPr>
    </w:lvl>
    <w:lvl w:ilvl="6" w:tplc="745EA06C">
      <w:start w:val="1"/>
      <w:numFmt w:val="bullet"/>
      <w:lvlText w:val=""/>
      <w:lvlJc w:val="left"/>
      <w:pPr>
        <w:ind w:left="5400" w:hanging="360"/>
      </w:pPr>
      <w:rPr>
        <w:rFonts w:ascii="Symbol" w:hAnsi="Symbol" w:hint="default"/>
      </w:rPr>
    </w:lvl>
    <w:lvl w:ilvl="7" w:tplc="DEC4CA4A">
      <w:start w:val="1"/>
      <w:numFmt w:val="bullet"/>
      <w:lvlText w:val="o"/>
      <w:lvlJc w:val="left"/>
      <w:pPr>
        <w:ind w:left="6120" w:hanging="360"/>
      </w:pPr>
      <w:rPr>
        <w:rFonts w:ascii="Courier New" w:hAnsi="Courier New" w:hint="default"/>
      </w:rPr>
    </w:lvl>
    <w:lvl w:ilvl="8" w:tplc="12F0ECDC">
      <w:start w:val="1"/>
      <w:numFmt w:val="bullet"/>
      <w:lvlText w:val=""/>
      <w:lvlJc w:val="left"/>
      <w:pPr>
        <w:ind w:left="6840" w:hanging="360"/>
      </w:pPr>
      <w:rPr>
        <w:rFonts w:ascii="Wingdings" w:hAnsi="Wingdings" w:hint="default"/>
      </w:rPr>
    </w:lvl>
  </w:abstractNum>
  <w:abstractNum w:abstractNumId="40" w15:restartNumberingAfterBreak="0">
    <w:nsid w:val="5C4058BF"/>
    <w:multiLevelType w:val="multilevel"/>
    <w:tmpl w:val="A31A9E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DCB7D15"/>
    <w:multiLevelType w:val="multilevel"/>
    <w:tmpl w:val="D314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1D467B"/>
    <w:multiLevelType w:val="multilevel"/>
    <w:tmpl w:val="502E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9C0AD9"/>
    <w:multiLevelType w:val="multilevel"/>
    <w:tmpl w:val="AB8ED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A21D6E"/>
    <w:multiLevelType w:val="multilevel"/>
    <w:tmpl w:val="7A4E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AF12ED"/>
    <w:multiLevelType w:val="multilevel"/>
    <w:tmpl w:val="7E0ABA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D262CE6"/>
    <w:multiLevelType w:val="multilevel"/>
    <w:tmpl w:val="52620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D11F74"/>
    <w:multiLevelType w:val="multilevel"/>
    <w:tmpl w:val="A9D4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27485D"/>
    <w:multiLevelType w:val="multilevel"/>
    <w:tmpl w:val="CD8A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06138C"/>
    <w:multiLevelType w:val="multilevel"/>
    <w:tmpl w:val="2A82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6D6013"/>
    <w:multiLevelType w:val="multilevel"/>
    <w:tmpl w:val="0BB802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FCA2C7F"/>
    <w:multiLevelType w:val="multilevel"/>
    <w:tmpl w:val="926C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95927">
    <w:abstractNumId w:val="39"/>
  </w:num>
  <w:num w:numId="2" w16cid:durableId="2140609635">
    <w:abstractNumId w:val="8"/>
  </w:num>
  <w:num w:numId="3" w16cid:durableId="2141803662">
    <w:abstractNumId w:val="26"/>
  </w:num>
  <w:num w:numId="4" w16cid:durableId="28839205">
    <w:abstractNumId w:val="44"/>
  </w:num>
  <w:num w:numId="5" w16cid:durableId="60057849">
    <w:abstractNumId w:val="20"/>
  </w:num>
  <w:num w:numId="6" w16cid:durableId="2002610686">
    <w:abstractNumId w:val="24"/>
  </w:num>
  <w:num w:numId="7" w16cid:durableId="156967103">
    <w:abstractNumId w:val="12"/>
  </w:num>
  <w:num w:numId="8" w16cid:durableId="978849803">
    <w:abstractNumId w:val="48"/>
  </w:num>
  <w:num w:numId="9" w16cid:durableId="74713973">
    <w:abstractNumId w:val="22"/>
  </w:num>
  <w:num w:numId="10" w16cid:durableId="76826370">
    <w:abstractNumId w:val="14"/>
  </w:num>
  <w:num w:numId="11" w16cid:durableId="808741952">
    <w:abstractNumId w:val="41"/>
  </w:num>
  <w:num w:numId="12" w16cid:durableId="1789468904">
    <w:abstractNumId w:val="13"/>
  </w:num>
  <w:num w:numId="13" w16cid:durableId="1137186977">
    <w:abstractNumId w:val="4"/>
  </w:num>
  <w:num w:numId="14" w16cid:durableId="1179731400">
    <w:abstractNumId w:val="2"/>
  </w:num>
  <w:num w:numId="15" w16cid:durableId="108428715">
    <w:abstractNumId w:val="38"/>
  </w:num>
  <w:num w:numId="16" w16cid:durableId="62336333">
    <w:abstractNumId w:val="43"/>
  </w:num>
  <w:num w:numId="17" w16cid:durableId="645859174">
    <w:abstractNumId w:val="7"/>
  </w:num>
  <w:num w:numId="18" w16cid:durableId="1980526774">
    <w:abstractNumId w:val="3"/>
  </w:num>
  <w:num w:numId="19" w16cid:durableId="2094546004">
    <w:abstractNumId w:val="33"/>
  </w:num>
  <w:num w:numId="20" w16cid:durableId="865101199">
    <w:abstractNumId w:val="15"/>
  </w:num>
  <w:num w:numId="21" w16cid:durableId="499348916">
    <w:abstractNumId w:val="46"/>
  </w:num>
  <w:num w:numId="22" w16cid:durableId="1303655604">
    <w:abstractNumId w:val="27"/>
  </w:num>
  <w:num w:numId="23" w16cid:durableId="550918674">
    <w:abstractNumId w:val="9"/>
  </w:num>
  <w:num w:numId="24" w16cid:durableId="1215889614">
    <w:abstractNumId w:val="25"/>
  </w:num>
  <w:num w:numId="25" w16cid:durableId="646669280">
    <w:abstractNumId w:val="5"/>
  </w:num>
  <w:num w:numId="26" w16cid:durableId="1390231126">
    <w:abstractNumId w:val="35"/>
  </w:num>
  <w:num w:numId="27" w16cid:durableId="956329161">
    <w:abstractNumId w:val="17"/>
  </w:num>
  <w:num w:numId="28" w16cid:durableId="1586718895">
    <w:abstractNumId w:val="19"/>
  </w:num>
  <w:num w:numId="29" w16cid:durableId="655885731">
    <w:abstractNumId w:val="30"/>
  </w:num>
  <w:num w:numId="30" w16cid:durableId="843278626">
    <w:abstractNumId w:val="51"/>
  </w:num>
  <w:num w:numId="31" w16cid:durableId="2135252662">
    <w:abstractNumId w:val="1"/>
  </w:num>
  <w:num w:numId="32" w16cid:durableId="1639148763">
    <w:abstractNumId w:val="32"/>
  </w:num>
  <w:num w:numId="33" w16cid:durableId="2047218673">
    <w:abstractNumId w:val="42"/>
  </w:num>
  <w:num w:numId="34" w16cid:durableId="2008245680">
    <w:abstractNumId w:val="28"/>
  </w:num>
  <w:num w:numId="35" w16cid:durableId="1399329193">
    <w:abstractNumId w:val="40"/>
  </w:num>
  <w:num w:numId="36" w16cid:durableId="195121965">
    <w:abstractNumId w:val="16"/>
  </w:num>
  <w:num w:numId="37" w16cid:durableId="208692935">
    <w:abstractNumId w:val="31"/>
  </w:num>
  <w:num w:numId="38" w16cid:durableId="1487286221">
    <w:abstractNumId w:val="18"/>
  </w:num>
  <w:num w:numId="39" w16cid:durableId="1836336160">
    <w:abstractNumId w:val="50"/>
  </w:num>
  <w:num w:numId="40" w16cid:durableId="236867482">
    <w:abstractNumId w:val="23"/>
  </w:num>
  <w:num w:numId="41" w16cid:durableId="1243637544">
    <w:abstractNumId w:val="6"/>
  </w:num>
  <w:num w:numId="42" w16cid:durableId="1021206165">
    <w:abstractNumId w:val="29"/>
  </w:num>
  <w:num w:numId="43" w16cid:durableId="1673602066">
    <w:abstractNumId w:val="34"/>
  </w:num>
  <w:num w:numId="44" w16cid:durableId="1064059309">
    <w:abstractNumId w:val="52"/>
  </w:num>
  <w:num w:numId="45" w16cid:durableId="1649549012">
    <w:abstractNumId w:val="36"/>
  </w:num>
  <w:num w:numId="46" w16cid:durableId="128087440">
    <w:abstractNumId w:val="37"/>
  </w:num>
  <w:num w:numId="47" w16cid:durableId="1050113783">
    <w:abstractNumId w:val="49"/>
  </w:num>
  <w:num w:numId="48" w16cid:durableId="469246365">
    <w:abstractNumId w:val="45"/>
  </w:num>
  <w:num w:numId="49" w16cid:durableId="722020203">
    <w:abstractNumId w:val="21"/>
  </w:num>
  <w:num w:numId="50" w16cid:durableId="1483229241">
    <w:abstractNumId w:val="0"/>
  </w:num>
  <w:num w:numId="51" w16cid:durableId="1655066002">
    <w:abstractNumId w:val="47"/>
  </w:num>
  <w:num w:numId="52" w16cid:durableId="283123123">
    <w:abstractNumId w:val="11"/>
  </w:num>
  <w:num w:numId="53" w16cid:durableId="262349816">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59B4"/>
    <w:rsid w:val="00011F31"/>
    <w:rsid w:val="00013339"/>
    <w:rsid w:val="000256E2"/>
    <w:rsid w:val="0003615F"/>
    <w:rsid w:val="00044313"/>
    <w:rsid w:val="0006560A"/>
    <w:rsid w:val="00067B4A"/>
    <w:rsid w:val="00080DA9"/>
    <w:rsid w:val="000861DD"/>
    <w:rsid w:val="000A47D4"/>
    <w:rsid w:val="000C4AAF"/>
    <w:rsid w:val="000C600E"/>
    <w:rsid w:val="000D11C5"/>
    <w:rsid w:val="001045B5"/>
    <w:rsid w:val="00122369"/>
    <w:rsid w:val="00147098"/>
    <w:rsid w:val="00150E0F"/>
    <w:rsid w:val="00154525"/>
    <w:rsid w:val="00154615"/>
    <w:rsid w:val="00157212"/>
    <w:rsid w:val="00157871"/>
    <w:rsid w:val="0016287D"/>
    <w:rsid w:val="001864FB"/>
    <w:rsid w:val="001870C3"/>
    <w:rsid w:val="00190852"/>
    <w:rsid w:val="00196607"/>
    <w:rsid w:val="001D0D94"/>
    <w:rsid w:val="001D13F9"/>
    <w:rsid w:val="001F39DD"/>
    <w:rsid w:val="0023366B"/>
    <w:rsid w:val="002512BE"/>
    <w:rsid w:val="00266D11"/>
    <w:rsid w:val="00275314"/>
    <w:rsid w:val="00275FB8"/>
    <w:rsid w:val="00282E20"/>
    <w:rsid w:val="00292383"/>
    <w:rsid w:val="00293991"/>
    <w:rsid w:val="002A4A96"/>
    <w:rsid w:val="002E3BED"/>
    <w:rsid w:val="002F6115"/>
    <w:rsid w:val="00312720"/>
    <w:rsid w:val="00336355"/>
    <w:rsid w:val="00343AFC"/>
    <w:rsid w:val="0034745C"/>
    <w:rsid w:val="00350314"/>
    <w:rsid w:val="003909D5"/>
    <w:rsid w:val="003967DD"/>
    <w:rsid w:val="003A1174"/>
    <w:rsid w:val="003A3714"/>
    <w:rsid w:val="003A4C39"/>
    <w:rsid w:val="003B1C50"/>
    <w:rsid w:val="003C1A37"/>
    <w:rsid w:val="003F6606"/>
    <w:rsid w:val="0042333B"/>
    <w:rsid w:val="004378AE"/>
    <w:rsid w:val="0044081B"/>
    <w:rsid w:val="00443E58"/>
    <w:rsid w:val="00466EFD"/>
    <w:rsid w:val="004743BC"/>
    <w:rsid w:val="004779FB"/>
    <w:rsid w:val="0048130A"/>
    <w:rsid w:val="004A1E20"/>
    <w:rsid w:val="004A2E74"/>
    <w:rsid w:val="004B2ED6"/>
    <w:rsid w:val="004C54B2"/>
    <w:rsid w:val="004D1134"/>
    <w:rsid w:val="004D4388"/>
    <w:rsid w:val="004E50A5"/>
    <w:rsid w:val="00500ADA"/>
    <w:rsid w:val="00512081"/>
    <w:rsid w:val="00512BBA"/>
    <w:rsid w:val="005255FB"/>
    <w:rsid w:val="005377A7"/>
    <w:rsid w:val="005529EB"/>
    <w:rsid w:val="00555277"/>
    <w:rsid w:val="00567CF0"/>
    <w:rsid w:val="00574789"/>
    <w:rsid w:val="00584366"/>
    <w:rsid w:val="005A4F12"/>
    <w:rsid w:val="005A78FC"/>
    <w:rsid w:val="005B4AF7"/>
    <w:rsid w:val="005E0713"/>
    <w:rsid w:val="005F3CF9"/>
    <w:rsid w:val="0061693F"/>
    <w:rsid w:val="006231DC"/>
    <w:rsid w:val="00624A55"/>
    <w:rsid w:val="00630DD7"/>
    <w:rsid w:val="006444AA"/>
    <w:rsid w:val="006523D7"/>
    <w:rsid w:val="0065398F"/>
    <w:rsid w:val="00660526"/>
    <w:rsid w:val="006671CE"/>
    <w:rsid w:val="00697276"/>
    <w:rsid w:val="006A1F8A"/>
    <w:rsid w:val="006A25AC"/>
    <w:rsid w:val="006B2D7F"/>
    <w:rsid w:val="006C45C0"/>
    <w:rsid w:val="006E2B9A"/>
    <w:rsid w:val="006F17BF"/>
    <w:rsid w:val="006F1D97"/>
    <w:rsid w:val="00704657"/>
    <w:rsid w:val="00710CED"/>
    <w:rsid w:val="00735566"/>
    <w:rsid w:val="0074202B"/>
    <w:rsid w:val="00753835"/>
    <w:rsid w:val="00767573"/>
    <w:rsid w:val="007753DF"/>
    <w:rsid w:val="007845C8"/>
    <w:rsid w:val="007A2C4B"/>
    <w:rsid w:val="007A3A04"/>
    <w:rsid w:val="007B556E"/>
    <w:rsid w:val="007D3E38"/>
    <w:rsid w:val="007D4D6F"/>
    <w:rsid w:val="007E6983"/>
    <w:rsid w:val="0080435F"/>
    <w:rsid w:val="008065DA"/>
    <w:rsid w:val="008139BD"/>
    <w:rsid w:val="00843A9F"/>
    <w:rsid w:val="00845864"/>
    <w:rsid w:val="00851BC4"/>
    <w:rsid w:val="00890680"/>
    <w:rsid w:val="00892E24"/>
    <w:rsid w:val="00895CCF"/>
    <w:rsid w:val="008B1737"/>
    <w:rsid w:val="008B4878"/>
    <w:rsid w:val="008B562B"/>
    <w:rsid w:val="008B6529"/>
    <w:rsid w:val="008E1C18"/>
    <w:rsid w:val="008F3D35"/>
    <w:rsid w:val="00912A7C"/>
    <w:rsid w:val="00927A4D"/>
    <w:rsid w:val="00945FF3"/>
    <w:rsid w:val="00950F3D"/>
    <w:rsid w:val="00952690"/>
    <w:rsid w:val="0095299F"/>
    <w:rsid w:val="00954B9A"/>
    <w:rsid w:val="009604DB"/>
    <w:rsid w:val="009659E8"/>
    <w:rsid w:val="009717B9"/>
    <w:rsid w:val="00972996"/>
    <w:rsid w:val="00985C33"/>
    <w:rsid w:val="00990201"/>
    <w:rsid w:val="00992CD2"/>
    <w:rsid w:val="0099358C"/>
    <w:rsid w:val="009945C7"/>
    <w:rsid w:val="009B1540"/>
    <w:rsid w:val="009E08E7"/>
    <w:rsid w:val="009F6A77"/>
    <w:rsid w:val="00A01625"/>
    <w:rsid w:val="00A31926"/>
    <w:rsid w:val="00A40575"/>
    <w:rsid w:val="00A710DF"/>
    <w:rsid w:val="00A761D2"/>
    <w:rsid w:val="00AD3AE1"/>
    <w:rsid w:val="00AD7AB9"/>
    <w:rsid w:val="00B07FAC"/>
    <w:rsid w:val="00B14EB1"/>
    <w:rsid w:val="00B1505C"/>
    <w:rsid w:val="00B21562"/>
    <w:rsid w:val="00B2583F"/>
    <w:rsid w:val="00B87D21"/>
    <w:rsid w:val="00BA7BD8"/>
    <w:rsid w:val="00BB0ABF"/>
    <w:rsid w:val="00BD4864"/>
    <w:rsid w:val="00BD4DEB"/>
    <w:rsid w:val="00C13563"/>
    <w:rsid w:val="00C26F77"/>
    <w:rsid w:val="00C539BB"/>
    <w:rsid w:val="00C632D4"/>
    <w:rsid w:val="00C7260F"/>
    <w:rsid w:val="00C82988"/>
    <w:rsid w:val="00C83704"/>
    <w:rsid w:val="00C9682D"/>
    <w:rsid w:val="00CC5AA8"/>
    <w:rsid w:val="00CD5993"/>
    <w:rsid w:val="00CE2BF7"/>
    <w:rsid w:val="00CE3681"/>
    <w:rsid w:val="00CE43FC"/>
    <w:rsid w:val="00CE7916"/>
    <w:rsid w:val="00CF4A17"/>
    <w:rsid w:val="00D415DE"/>
    <w:rsid w:val="00D7668B"/>
    <w:rsid w:val="00D9777A"/>
    <w:rsid w:val="00DA6DED"/>
    <w:rsid w:val="00DA76CA"/>
    <w:rsid w:val="00DC4D0D"/>
    <w:rsid w:val="00DE185C"/>
    <w:rsid w:val="00E11B3C"/>
    <w:rsid w:val="00E34263"/>
    <w:rsid w:val="00E34721"/>
    <w:rsid w:val="00E4317E"/>
    <w:rsid w:val="00E47BFE"/>
    <w:rsid w:val="00E502A3"/>
    <w:rsid w:val="00E5030B"/>
    <w:rsid w:val="00E6100B"/>
    <w:rsid w:val="00E64758"/>
    <w:rsid w:val="00E77EB9"/>
    <w:rsid w:val="00EE0525"/>
    <w:rsid w:val="00EE0AE2"/>
    <w:rsid w:val="00EF47FA"/>
    <w:rsid w:val="00F02C25"/>
    <w:rsid w:val="00F02CB8"/>
    <w:rsid w:val="00F0610A"/>
    <w:rsid w:val="00F21A82"/>
    <w:rsid w:val="00F32A41"/>
    <w:rsid w:val="00F35C12"/>
    <w:rsid w:val="00F443E0"/>
    <w:rsid w:val="00F5135F"/>
    <w:rsid w:val="00F5271F"/>
    <w:rsid w:val="00F63BC1"/>
    <w:rsid w:val="00F94715"/>
    <w:rsid w:val="00FB10AD"/>
    <w:rsid w:val="00FE0F45"/>
    <w:rsid w:val="00FE46C6"/>
    <w:rsid w:val="0185CB9E"/>
    <w:rsid w:val="01B903C6"/>
    <w:rsid w:val="01E520CD"/>
    <w:rsid w:val="022027F1"/>
    <w:rsid w:val="024C40C3"/>
    <w:rsid w:val="0280B512"/>
    <w:rsid w:val="02A7CE58"/>
    <w:rsid w:val="032F912F"/>
    <w:rsid w:val="04953DF7"/>
    <w:rsid w:val="04F7E30E"/>
    <w:rsid w:val="054A19F1"/>
    <w:rsid w:val="0630F597"/>
    <w:rsid w:val="06A276AC"/>
    <w:rsid w:val="079858FA"/>
    <w:rsid w:val="07A4E2FA"/>
    <w:rsid w:val="0863AECD"/>
    <w:rsid w:val="0870A82B"/>
    <w:rsid w:val="0883FC53"/>
    <w:rsid w:val="088AF7F1"/>
    <w:rsid w:val="088E66C4"/>
    <w:rsid w:val="09839DAE"/>
    <w:rsid w:val="09C26265"/>
    <w:rsid w:val="09DA0418"/>
    <w:rsid w:val="0BA0940D"/>
    <w:rsid w:val="0BE9A275"/>
    <w:rsid w:val="0C56B2CA"/>
    <w:rsid w:val="0C6DF760"/>
    <w:rsid w:val="0D440D10"/>
    <w:rsid w:val="0DDC75B8"/>
    <w:rsid w:val="0E6EBB9E"/>
    <w:rsid w:val="0E79473D"/>
    <w:rsid w:val="0EC78AA0"/>
    <w:rsid w:val="0EEF8423"/>
    <w:rsid w:val="0EF9B187"/>
    <w:rsid w:val="0F45EB09"/>
    <w:rsid w:val="0F99734C"/>
    <w:rsid w:val="105C8620"/>
    <w:rsid w:val="10B0EFA1"/>
    <w:rsid w:val="10E84A03"/>
    <w:rsid w:val="10FA133B"/>
    <w:rsid w:val="1142C611"/>
    <w:rsid w:val="1180F75F"/>
    <w:rsid w:val="126B29C2"/>
    <w:rsid w:val="12787C05"/>
    <w:rsid w:val="12873702"/>
    <w:rsid w:val="12A0770F"/>
    <w:rsid w:val="12AAC248"/>
    <w:rsid w:val="12E67307"/>
    <w:rsid w:val="12F1D481"/>
    <w:rsid w:val="12F498AF"/>
    <w:rsid w:val="1321F114"/>
    <w:rsid w:val="14787A5D"/>
    <w:rsid w:val="15CDA97F"/>
    <w:rsid w:val="1634A681"/>
    <w:rsid w:val="1646C492"/>
    <w:rsid w:val="16A7C32A"/>
    <w:rsid w:val="16DAAA35"/>
    <w:rsid w:val="16FC1D7D"/>
    <w:rsid w:val="16FFEA3E"/>
    <w:rsid w:val="17945A4A"/>
    <w:rsid w:val="1872B2B0"/>
    <w:rsid w:val="18E1D2D7"/>
    <w:rsid w:val="18FFE528"/>
    <w:rsid w:val="1A167E94"/>
    <w:rsid w:val="1A26828E"/>
    <w:rsid w:val="1A8D833E"/>
    <w:rsid w:val="1B029D37"/>
    <w:rsid w:val="1B4053F6"/>
    <w:rsid w:val="1B982736"/>
    <w:rsid w:val="1DF8ACAB"/>
    <w:rsid w:val="1E13C861"/>
    <w:rsid w:val="1F9689D8"/>
    <w:rsid w:val="1FFAF540"/>
    <w:rsid w:val="202230E1"/>
    <w:rsid w:val="202BD836"/>
    <w:rsid w:val="210CD5FC"/>
    <w:rsid w:val="212C2CC0"/>
    <w:rsid w:val="2151CF3E"/>
    <w:rsid w:val="21B98B6A"/>
    <w:rsid w:val="21F9A633"/>
    <w:rsid w:val="23161430"/>
    <w:rsid w:val="2343D5B7"/>
    <w:rsid w:val="2361C1E2"/>
    <w:rsid w:val="23B0BEA8"/>
    <w:rsid w:val="24488D6C"/>
    <w:rsid w:val="24EC0C2A"/>
    <w:rsid w:val="25319089"/>
    <w:rsid w:val="2553FF89"/>
    <w:rsid w:val="255553AF"/>
    <w:rsid w:val="257B5DD9"/>
    <w:rsid w:val="25AC0176"/>
    <w:rsid w:val="25AC10B7"/>
    <w:rsid w:val="25B6701D"/>
    <w:rsid w:val="26607871"/>
    <w:rsid w:val="269C8750"/>
    <w:rsid w:val="27222A8B"/>
    <w:rsid w:val="276463C9"/>
    <w:rsid w:val="276AC207"/>
    <w:rsid w:val="2826D349"/>
    <w:rsid w:val="28472707"/>
    <w:rsid w:val="286AACD2"/>
    <w:rsid w:val="28DC6373"/>
    <w:rsid w:val="2A0553C5"/>
    <w:rsid w:val="2A457479"/>
    <w:rsid w:val="2AE7B49A"/>
    <w:rsid w:val="2BE2A23A"/>
    <w:rsid w:val="2C3ABE5B"/>
    <w:rsid w:val="2C65FF60"/>
    <w:rsid w:val="2C859759"/>
    <w:rsid w:val="2D38D356"/>
    <w:rsid w:val="2E6090F3"/>
    <w:rsid w:val="2E6C22F5"/>
    <w:rsid w:val="2EED607E"/>
    <w:rsid w:val="2F8F436B"/>
    <w:rsid w:val="2FB54D48"/>
    <w:rsid w:val="2FCD6D00"/>
    <w:rsid w:val="307F31FC"/>
    <w:rsid w:val="3084423B"/>
    <w:rsid w:val="3130DE91"/>
    <w:rsid w:val="31412021"/>
    <w:rsid w:val="31C175D0"/>
    <w:rsid w:val="3237C6C0"/>
    <w:rsid w:val="32C52920"/>
    <w:rsid w:val="330EDB9E"/>
    <w:rsid w:val="330FE2EE"/>
    <w:rsid w:val="33455C02"/>
    <w:rsid w:val="33831763"/>
    <w:rsid w:val="33BAB327"/>
    <w:rsid w:val="33D3F709"/>
    <w:rsid w:val="36BE2140"/>
    <w:rsid w:val="3708D4CD"/>
    <w:rsid w:val="37AD1F54"/>
    <w:rsid w:val="38BA6B99"/>
    <w:rsid w:val="38C84F4D"/>
    <w:rsid w:val="38E04368"/>
    <w:rsid w:val="3A3C2D7D"/>
    <w:rsid w:val="3A53FAA0"/>
    <w:rsid w:val="3ABEBCF4"/>
    <w:rsid w:val="3AD6CF7E"/>
    <w:rsid w:val="3C5E515B"/>
    <w:rsid w:val="3D393245"/>
    <w:rsid w:val="3DE732B2"/>
    <w:rsid w:val="3DFC2496"/>
    <w:rsid w:val="3FD60B8D"/>
    <w:rsid w:val="40587302"/>
    <w:rsid w:val="42D0C0AE"/>
    <w:rsid w:val="42E9A4C3"/>
    <w:rsid w:val="43049459"/>
    <w:rsid w:val="43A6A9CF"/>
    <w:rsid w:val="44ACF218"/>
    <w:rsid w:val="4629A9BF"/>
    <w:rsid w:val="463A3849"/>
    <w:rsid w:val="47778412"/>
    <w:rsid w:val="485C110C"/>
    <w:rsid w:val="48A070E9"/>
    <w:rsid w:val="4934C0BD"/>
    <w:rsid w:val="49E0264E"/>
    <w:rsid w:val="4A5E7F87"/>
    <w:rsid w:val="4A77A72E"/>
    <w:rsid w:val="4AA97EDD"/>
    <w:rsid w:val="4AF0B80F"/>
    <w:rsid w:val="4BC9E2C4"/>
    <w:rsid w:val="4C107C72"/>
    <w:rsid w:val="4C23C46E"/>
    <w:rsid w:val="4C97B180"/>
    <w:rsid w:val="4E4B0D54"/>
    <w:rsid w:val="4EC12E28"/>
    <w:rsid w:val="4EE081F3"/>
    <w:rsid w:val="4EEA6C68"/>
    <w:rsid w:val="4EFB68F7"/>
    <w:rsid w:val="4F0715B4"/>
    <w:rsid w:val="50C3E0F6"/>
    <w:rsid w:val="50C98723"/>
    <w:rsid w:val="51A0B24E"/>
    <w:rsid w:val="51F67C91"/>
    <w:rsid w:val="52983AD7"/>
    <w:rsid w:val="52C90924"/>
    <w:rsid w:val="531C1964"/>
    <w:rsid w:val="54C4C337"/>
    <w:rsid w:val="54F3F14D"/>
    <w:rsid w:val="563550A1"/>
    <w:rsid w:val="56A2317C"/>
    <w:rsid w:val="56E4034D"/>
    <w:rsid w:val="573B5B1A"/>
    <w:rsid w:val="576A1D97"/>
    <w:rsid w:val="5782191C"/>
    <w:rsid w:val="57D43BF0"/>
    <w:rsid w:val="5842A926"/>
    <w:rsid w:val="58C3A2FD"/>
    <w:rsid w:val="59F2C25D"/>
    <w:rsid w:val="5A0C7E4E"/>
    <w:rsid w:val="5A543C9F"/>
    <w:rsid w:val="5B1C4FA9"/>
    <w:rsid w:val="5B27459A"/>
    <w:rsid w:val="5B9FC635"/>
    <w:rsid w:val="5BCCBD18"/>
    <w:rsid w:val="5C0AFBDA"/>
    <w:rsid w:val="5C80BE6E"/>
    <w:rsid w:val="5C8803B0"/>
    <w:rsid w:val="5C9751AA"/>
    <w:rsid w:val="5DE2BFD9"/>
    <w:rsid w:val="5E0FC6D6"/>
    <w:rsid w:val="5E16C836"/>
    <w:rsid w:val="5E39213A"/>
    <w:rsid w:val="5E843D75"/>
    <w:rsid w:val="625BF17C"/>
    <w:rsid w:val="6285BEE2"/>
    <w:rsid w:val="644537AF"/>
    <w:rsid w:val="64CC5253"/>
    <w:rsid w:val="65B35E5D"/>
    <w:rsid w:val="6620D5C5"/>
    <w:rsid w:val="66DA8C40"/>
    <w:rsid w:val="677C4C30"/>
    <w:rsid w:val="69AF7285"/>
    <w:rsid w:val="6A02FD08"/>
    <w:rsid w:val="6A5ABB99"/>
    <w:rsid w:val="6A814142"/>
    <w:rsid w:val="6AAB34ED"/>
    <w:rsid w:val="6B08F930"/>
    <w:rsid w:val="6CEB7DC0"/>
    <w:rsid w:val="6D43831F"/>
    <w:rsid w:val="6F87CC16"/>
    <w:rsid w:val="71506EA8"/>
    <w:rsid w:val="71D09940"/>
    <w:rsid w:val="71DC1B9C"/>
    <w:rsid w:val="727044C2"/>
    <w:rsid w:val="72F544BB"/>
    <w:rsid w:val="73C523D3"/>
    <w:rsid w:val="74D12101"/>
    <w:rsid w:val="75091F61"/>
    <w:rsid w:val="758EC6B3"/>
    <w:rsid w:val="759869EB"/>
    <w:rsid w:val="77B6B252"/>
    <w:rsid w:val="78A30403"/>
    <w:rsid w:val="78CC7FA3"/>
    <w:rsid w:val="794E2904"/>
    <w:rsid w:val="7B0CE211"/>
    <w:rsid w:val="7B891069"/>
    <w:rsid w:val="7BD04804"/>
    <w:rsid w:val="7BE1515A"/>
    <w:rsid w:val="7BFDAB9F"/>
    <w:rsid w:val="7D0D993B"/>
    <w:rsid w:val="7FC14351"/>
    <w:rsid w:val="7FD7041C"/>
    <w:rsid w:val="7FE3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4878"/>
    <w:pPr>
      <w:spacing w:before="120" w:after="120" w:line="220" w:lineRule="exact"/>
    </w:pPr>
    <w:rPr>
      <w:color w:val="000000"/>
      <w:sz w:val="20"/>
      <w:szCs w:val="20"/>
    </w:rPr>
  </w:style>
  <w:style w:type="paragraph" w:styleId="Heading1">
    <w:name w:val="heading 1"/>
    <w:basedOn w:val="Normal"/>
    <w:next w:val="Normal"/>
    <w:link w:val="Heading1Char"/>
    <w:uiPriority w:val="9"/>
    <w:qFormat/>
    <w:rsid w:val="00C26F77"/>
    <w:pPr>
      <w:keepNext/>
      <w:keepLines/>
      <w:spacing w:before="240" w:line="240" w:lineRule="atLeast"/>
      <w:outlineLvl w:val="0"/>
    </w:pPr>
    <w:rPr>
      <w:rFonts w:asciiTheme="majorHAnsi" w:eastAsiaTheme="majorEastAsia" w:hAnsiTheme="majorHAnsi" w:cs="Times New Roman (Headings CS)"/>
      <w:bCs/>
      <w:color w:val="1F1545" w:themeColor="accent1"/>
      <w:sz w:val="32"/>
      <w:szCs w:val="32"/>
    </w:rPr>
  </w:style>
  <w:style w:type="paragraph" w:styleId="Heading2">
    <w:name w:val="heading 2"/>
    <w:basedOn w:val="Normal"/>
    <w:next w:val="Normal"/>
    <w:link w:val="Heading2Char"/>
    <w:uiPriority w:val="9"/>
    <w:unhideWhenUsed/>
    <w:qFormat/>
    <w:rsid w:val="00C26F77"/>
    <w:pPr>
      <w:keepNext/>
      <w:keepLines/>
      <w:spacing w:before="400" w:line="240" w:lineRule="atLeast"/>
      <w:outlineLvl w:val="1"/>
    </w:pPr>
    <w:rPr>
      <w:rFonts w:asciiTheme="majorHAnsi" w:eastAsiaTheme="majorEastAsia" w:hAnsiTheme="majorHAnsi" w:cs="Times New Roman (Headings CS)"/>
      <w:bCs/>
      <w:color w:val="1F1545" w:themeColor="accent1"/>
      <w:sz w:val="28"/>
      <w:szCs w:val="28"/>
    </w:rPr>
  </w:style>
  <w:style w:type="paragraph" w:styleId="Heading3">
    <w:name w:val="heading 3"/>
    <w:basedOn w:val="Normal"/>
    <w:next w:val="Normal"/>
    <w:link w:val="Heading3Char"/>
    <w:uiPriority w:val="9"/>
    <w:unhideWhenUsed/>
    <w:qFormat/>
    <w:rsid w:val="00C26F77"/>
    <w:pPr>
      <w:keepNext/>
      <w:keepLines/>
      <w:spacing w:before="240" w:line="240" w:lineRule="atLeast"/>
      <w:outlineLvl w:val="2"/>
    </w:pPr>
    <w:rPr>
      <w:rFonts w:asciiTheme="majorHAnsi" w:eastAsiaTheme="majorEastAsia" w:hAnsiTheme="majorHAnsi" w:cstheme="majorBidi"/>
      <w:bCs/>
      <w:color w:val="1F1545" w:themeColor="accent1"/>
      <w:sz w:val="24"/>
      <w:szCs w:val="24"/>
    </w:rPr>
  </w:style>
  <w:style w:type="paragraph" w:styleId="Heading4">
    <w:name w:val="heading 4"/>
    <w:basedOn w:val="Normal"/>
    <w:next w:val="Normal"/>
    <w:link w:val="Heading4Char"/>
    <w:uiPriority w:val="9"/>
    <w:unhideWhenUsed/>
    <w:qFormat/>
    <w:rsid w:val="008B4878"/>
    <w:pPr>
      <w:keepNext/>
      <w:keepLines/>
      <w:spacing w:before="240" w:line="240" w:lineRule="exact"/>
      <w:outlineLvl w:val="3"/>
    </w:pPr>
    <w:rPr>
      <w:rFonts w:asciiTheme="majorHAnsi" w:eastAsiaTheme="majorEastAsia" w:hAnsiTheme="majorHAnsi" w:cstheme="majorBidi"/>
      <w:i/>
      <w:iCs/>
      <w:color w:val="1F1545" w:themeColor="accen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26F77"/>
    <w:rPr>
      <w:rFonts w:asciiTheme="majorHAnsi" w:eastAsiaTheme="majorEastAsia" w:hAnsiTheme="majorHAnsi" w:cs="Times New Roman (Headings CS)"/>
      <w:bCs/>
      <w:color w:val="1F1545" w:themeColor="accent1"/>
      <w:sz w:val="32"/>
      <w:szCs w:val="32"/>
    </w:rPr>
  </w:style>
  <w:style w:type="paragraph" w:customStyle="1" w:styleId="Intro">
    <w:name w:val="Intro"/>
    <w:basedOn w:val="Normal"/>
    <w:qFormat/>
    <w:rsid w:val="00945FF3"/>
    <w:pPr>
      <w:spacing w:line="320" w:lineRule="atLeast"/>
    </w:pPr>
    <w:rPr>
      <w:color w:val="1F1545" w:themeColor="accent1"/>
      <w:sz w:val="28"/>
      <w:lang w:val="en-AU"/>
    </w:rPr>
  </w:style>
  <w:style w:type="character" w:customStyle="1" w:styleId="Heading2Char">
    <w:name w:val="Heading 2 Char"/>
    <w:basedOn w:val="DefaultParagraphFont"/>
    <w:link w:val="Heading2"/>
    <w:uiPriority w:val="9"/>
    <w:rsid w:val="00C26F77"/>
    <w:rPr>
      <w:rFonts w:asciiTheme="majorHAnsi" w:eastAsiaTheme="majorEastAsia" w:hAnsiTheme="majorHAnsi" w:cs="Times New Roman (Headings CS)"/>
      <w:bCs/>
      <w:color w:val="1F1545" w:themeColor="accent1"/>
      <w:sz w:val="28"/>
      <w:szCs w:val="28"/>
    </w:rPr>
  </w:style>
  <w:style w:type="character" w:customStyle="1" w:styleId="Heading3Char">
    <w:name w:val="Heading 3 Char"/>
    <w:basedOn w:val="DefaultParagraphFont"/>
    <w:link w:val="Heading3"/>
    <w:uiPriority w:val="9"/>
    <w:rsid w:val="00C26F77"/>
    <w:rPr>
      <w:rFonts w:asciiTheme="majorHAnsi" w:eastAsiaTheme="majorEastAsia" w:hAnsiTheme="majorHAnsi" w:cstheme="majorBidi"/>
      <w:bCs/>
      <w:color w:val="1F1545" w:themeColor="accent1"/>
    </w:rPr>
  </w:style>
  <w:style w:type="paragraph" w:styleId="Quote">
    <w:name w:val="Quote"/>
    <w:basedOn w:val="Normal"/>
    <w:next w:val="Normal"/>
    <w:link w:val="QuoteChar"/>
    <w:uiPriority w:val="29"/>
    <w:qFormat/>
    <w:rsid w:val="00C632D4"/>
    <w:pPr>
      <w:ind w:left="284" w:right="284"/>
    </w:pPr>
    <w:rPr>
      <w:i/>
      <w:iCs/>
      <w:color w:val="1F1545" w:themeColor="accent1"/>
    </w:rPr>
  </w:style>
  <w:style w:type="character" w:customStyle="1" w:styleId="QuoteChar">
    <w:name w:val="Quote Char"/>
    <w:basedOn w:val="DefaultParagraphFont"/>
    <w:link w:val="Quote"/>
    <w:uiPriority w:val="29"/>
    <w:rsid w:val="00C632D4"/>
    <w:rPr>
      <w:i/>
      <w:iCs/>
      <w:color w:val="1F1545" w:themeColor="accent1"/>
      <w:sz w:val="22"/>
    </w:rPr>
  </w:style>
  <w:style w:type="paragraph" w:customStyle="1" w:styleId="Bullet1">
    <w:name w:val="Bullet 1"/>
    <w:basedOn w:val="Normal"/>
    <w:next w:val="Normal"/>
    <w:qFormat/>
    <w:rsid w:val="00C26F77"/>
    <w:pPr>
      <w:numPr>
        <w:numId w:val="4"/>
      </w:numPr>
      <w:spacing w:line="240" w:lineRule="atLeast"/>
      <w:ind w:left="284" w:hanging="284"/>
    </w:pPr>
    <w:rPr>
      <w:lang w:val="en-AU"/>
    </w:rPr>
  </w:style>
  <w:style w:type="paragraph" w:customStyle="1" w:styleId="Bullet2">
    <w:name w:val="Bullet 2"/>
    <w:basedOn w:val="Bullet1"/>
    <w:qFormat/>
    <w:rsid w:val="002E3BED"/>
    <w:pPr>
      <w:numPr>
        <w:numId w:val="3"/>
      </w:numPr>
    </w:pPr>
  </w:style>
  <w:style w:type="paragraph" w:customStyle="1" w:styleId="Numberlist">
    <w:name w:val="Number list"/>
    <w:basedOn w:val="Normal"/>
    <w:next w:val="Normal"/>
    <w:qFormat/>
    <w:rsid w:val="008B1737"/>
    <w:pPr>
      <w:numPr>
        <w:numId w:val="6"/>
      </w:numPr>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qFormat/>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201546"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8B4878"/>
    <w:rPr>
      <w:rFonts w:asciiTheme="majorHAnsi" w:eastAsiaTheme="majorEastAsia" w:hAnsiTheme="majorHAnsi" w:cstheme="majorBidi"/>
      <w:i/>
      <w:iCs/>
      <w:color w:val="1F1545" w:themeColor="accen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4A2E74"/>
    <w:pPr>
      <w:pBdr>
        <w:top w:val="single" w:sz="4" w:space="10" w:color="1F1545" w:themeColor="accent1"/>
        <w:bottom w:val="single" w:sz="4" w:space="10" w:color="1F1545" w:themeColor="accent1"/>
      </w:pBdr>
      <w:spacing w:before="360" w:after="360"/>
    </w:pPr>
    <w:rPr>
      <w:b/>
      <w:iCs/>
      <w:color w:val="1F1545" w:themeColor="accent1"/>
    </w:rPr>
  </w:style>
  <w:style w:type="character" w:customStyle="1" w:styleId="IntenseQuoteChar">
    <w:name w:val="Intense Quote Char"/>
    <w:basedOn w:val="DefaultParagraphFont"/>
    <w:link w:val="IntenseQuote"/>
    <w:uiPriority w:val="30"/>
    <w:rsid w:val="004A2E74"/>
    <w:rPr>
      <w:b/>
      <w:iCs/>
      <w:color w:val="1F1545" w:themeColor="accent1"/>
      <w:sz w:val="22"/>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C26F77"/>
    <w:pPr>
      <w:spacing w:line="240" w:lineRule="atLeas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C26F77"/>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paragraph" w:styleId="NormalWeb">
    <w:name w:val="Normal (Web)"/>
    <w:basedOn w:val="Normal"/>
    <w:uiPriority w:val="99"/>
    <w:semiHidden/>
    <w:unhideWhenUsed/>
    <w:rsid w:val="00945FF3"/>
    <w:pPr>
      <w:spacing w:before="100" w:beforeAutospacing="1" w:after="100" w:afterAutospacing="1" w:line="240" w:lineRule="auto"/>
    </w:pPr>
    <w:rPr>
      <w:rFonts w:ascii="Times New Roman" w:eastAsia="Times New Roman" w:hAnsi="Times New Roman" w:cs="Times New Roman"/>
      <w:color w:val="auto"/>
      <w:sz w:val="24"/>
      <w:szCs w:val="24"/>
      <w:lang w:val="en-AU" w:eastAsia="en-GB"/>
    </w:rPr>
  </w:style>
  <w:style w:type="paragraph" w:customStyle="1" w:styleId="Figuretitle">
    <w:name w:val="Figure title"/>
    <w:basedOn w:val="Normal"/>
    <w:qFormat/>
    <w:rsid w:val="00945FF3"/>
    <w:pPr>
      <w:keepNext/>
      <w:keepLines/>
      <w:spacing w:line="240" w:lineRule="atLeast"/>
    </w:pPr>
    <w:rPr>
      <w:b/>
      <w:color w:val="1F1646" w:themeColor="text1"/>
      <w:sz w:val="18"/>
      <w:szCs w:val="18"/>
      <w:lang w:val="en-AU"/>
    </w:rPr>
  </w:style>
  <w:style w:type="character" w:styleId="FootnoteReference">
    <w:name w:val="footnote reference"/>
    <w:basedOn w:val="DefaultParagraphFont"/>
    <w:uiPriority w:val="99"/>
    <w:unhideWhenUsed/>
    <w:qFormat/>
    <w:rsid w:val="00945FF3"/>
    <w:rPr>
      <w:rFonts w:asciiTheme="minorHAnsi" w:hAnsiTheme="minorHAnsi"/>
      <w:color w:val="2C060B"/>
      <w:sz w:val="18"/>
      <w:szCs w:val="18"/>
      <w:vertAlign w:val="superscript"/>
    </w:rPr>
  </w:style>
  <w:style w:type="character" w:styleId="CommentReference">
    <w:name w:val="annotation reference"/>
    <w:basedOn w:val="DefaultParagraphFont"/>
    <w:uiPriority w:val="99"/>
    <w:semiHidden/>
    <w:unhideWhenUsed/>
    <w:rsid w:val="007A3A04"/>
    <w:rPr>
      <w:sz w:val="16"/>
      <w:szCs w:val="16"/>
    </w:rPr>
  </w:style>
  <w:style w:type="paragraph" w:styleId="CommentText">
    <w:name w:val="annotation text"/>
    <w:basedOn w:val="Normal"/>
    <w:link w:val="CommentTextChar"/>
    <w:uiPriority w:val="99"/>
    <w:unhideWhenUsed/>
    <w:rsid w:val="007A3A04"/>
    <w:pPr>
      <w:spacing w:line="240" w:lineRule="auto"/>
    </w:pPr>
  </w:style>
  <w:style w:type="character" w:customStyle="1" w:styleId="CommentTextChar">
    <w:name w:val="Comment Text Char"/>
    <w:basedOn w:val="DefaultParagraphFont"/>
    <w:link w:val="CommentText"/>
    <w:uiPriority w:val="99"/>
    <w:rsid w:val="007A3A04"/>
    <w:rPr>
      <w:color w:val="000000"/>
      <w:sz w:val="20"/>
      <w:szCs w:val="20"/>
    </w:rPr>
  </w:style>
  <w:style w:type="paragraph" w:styleId="CommentSubject">
    <w:name w:val="annotation subject"/>
    <w:basedOn w:val="CommentText"/>
    <w:next w:val="CommentText"/>
    <w:link w:val="CommentSubjectChar"/>
    <w:uiPriority w:val="99"/>
    <w:semiHidden/>
    <w:unhideWhenUsed/>
    <w:rsid w:val="007A3A04"/>
    <w:rPr>
      <w:b/>
      <w:bCs/>
    </w:rPr>
  </w:style>
  <w:style w:type="character" w:customStyle="1" w:styleId="CommentSubjectChar">
    <w:name w:val="Comment Subject Char"/>
    <w:basedOn w:val="CommentTextChar"/>
    <w:link w:val="CommentSubject"/>
    <w:uiPriority w:val="99"/>
    <w:semiHidden/>
    <w:rsid w:val="007A3A04"/>
    <w:rPr>
      <w:b/>
      <w:bCs/>
      <w:color w:val="000000"/>
      <w:sz w:val="20"/>
      <w:szCs w:val="20"/>
    </w:rPr>
  </w:style>
  <w:style w:type="character" w:customStyle="1" w:styleId="normaltextrun">
    <w:name w:val="normaltextrun"/>
    <w:basedOn w:val="DefaultParagraphFont"/>
    <w:rsid w:val="00E47BFE"/>
  </w:style>
  <w:style w:type="character" w:customStyle="1" w:styleId="eop">
    <w:name w:val="eop"/>
    <w:basedOn w:val="DefaultParagraphFont"/>
    <w:rsid w:val="00E47BFE"/>
  </w:style>
  <w:style w:type="paragraph" w:styleId="ListParagraph">
    <w:name w:val="List Paragraph"/>
    <w:basedOn w:val="Normal"/>
    <w:uiPriority w:val="34"/>
    <w:qFormat/>
    <w:rsid w:val="0870A82B"/>
    <w:pPr>
      <w:ind w:left="720"/>
      <w:contextualSpacing/>
    </w:pPr>
  </w:style>
  <w:style w:type="paragraph" w:styleId="NoSpacing">
    <w:name w:val="No Spacing"/>
    <w:uiPriority w:val="1"/>
    <w:qFormat/>
    <w:rsid w:val="0870A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1900556681">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online.justice.vic.gov.au%2Fcav-clp%2Fsearch.doj&amp;data=05%7C01%7CFelicity.Jackson%40education.vic.gov.au%7C886c70b62d2a48e5601408da97924342%7Cd96cb3371a8744cfb69b3cec334a4c1f%7C0%7C0%7C637988951701899013%7CUnknown%7CTWFpbGZsb3d8eyJWIjoiMC4wLjAwMDAiLCJQIjoiV2luMzIiLCJBTiI6Ik1haWwiLCJXVCI6Mn0%3D%7C3000%7C%7C%7C&amp;sdata=Dqdz0%2FOkpzpF5ZGYR2kaLy5CHMbwW56Cr3%2FvoKIb6DA%3D&amp;reserved=0" TargetMode="External"/><Relationship Id="rId18" Type="http://schemas.openxmlformats.org/officeDocument/2006/relationships/hyperlink" Target="https://fac.dffh.vic.gov.au/victorian-funding-requirements-service-children-fact-she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us01.safelinks.protection.outlook.com/?url=https%3A%2F%2Fwww.consumer.vic.gov.au%2Fclubs-and-fundraising%2Fincorporated-associations%2Fsearch-for-an-incorporated-association&amp;data=05%7C01%7CFelicity.Jackson%40education.vic.gov.au%7C886c70b62d2a48e5601408da97924342%7Cd96cb3371a8744cfb69b3cec334a4c1f%7C0%7C0%7C637988951701742777%7CUnknown%7CTWFpbGZsb3d8eyJWIjoiMC4wLjAwMDAiLCJQIjoiV2luMzIiLCJBTiI6Ik1haWwiLCJXVCI6Mn0%3D%7C3000%7C%7C%7C&amp;sdata=2ah4sGHfCzQQlI77J10sZi53CGx7AnVAObjMl6QHyhE%3D&amp;reserved=0" TargetMode="External"/><Relationship Id="rId17" Type="http://schemas.openxmlformats.org/officeDocument/2006/relationships/hyperlink" Target="https://aus01.safelinks.protection.outlook.com/?url=https%3A%2F%2Ffac.dffh.vic.gov.au%2Fvictorian-funding-requirements-service-children-fact-sheet&amp;data=05%7C01%7Cnavigator%40education.vic.gov.au%7C5cb28c5c22294303718508db319f465b%7Cd96cb3371a8744cfb69b3cec334a4c1f%7C0%7C0%7C638158332372324605%7CUnknown%7CTWFpbGZsb3d8eyJWIjoiMC4wLjAwMDAiLCJQIjoiV2luMzIiLCJBTiI6Ik1haWwiLCJXVCI6Mn0%3D%7C3000%7C%7C%7C&amp;sdata=qqjbEhyz%2BQFfWmUvBTsc4SZRNfzIVVrAE2Zs5gFRh4o%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ata.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asic.gov.au%2Fonline-services%2Fsearch-asics-registers%2F&amp;data=05%7C01%7CFelicity.Jackson%40education.vic.gov.au%7C886c70b62d2a48e5601408da97924342%7Cd96cb3371a8744cfb69b3cec334a4c1f%7C0%7C0%7C637988951701742777%7CUnknown%7CTWFpbGZsb3d8eyJWIjoiMC4wLjAwMDAiLCJQIjoiV2luMzIiLCJBTiI6Ik1haWwiLCJXVCI6Mn0%3D%7C3000%7C%7C%7C&amp;sdata=y1Y%2FtkR4F2zJhF5iaFMJ2DmXDxvKxKEaGGW%2FL1xeRho%3D&amp;reserved=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us01.safelinks.protection.outlook.com/?url=https%3A%2F%2Fwww.vic.gov.au%2Fvictorian-common-funding-agreement&amp;data=05%7C01%7CFelicity.Jackson%40education.vic.gov.au%7C990c337fd1884a0d795e08db581e96ea%7Cd96cb3371a8744cfb69b3cec334a4c1f%7C0%7C0%7C638200660637253500%7CUnknown%7CTWFpbGZsb3d8eyJWIjoiMC4wLjAwMDAiLCJQIjoiV2luMzIiLCJBTiI6Ik1haWwiLCJXVCI6Mn0%3D%7C3000%7C%7C%7C&amp;sdata=gJqy8yUOXVMJ6l2BbFkS7BnelXJ66HKrX46o0YdOT4w%3D&amp;reserved=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3A%2F%2Fwww.oric.gov.au%2F&amp;data=05%7C01%7CFelicity.Jackson%40education.vic.gov.au%7C886c70b62d2a48e5601408da97924342%7Cd96cb3371a8744cfb69b3cec334a4c1f%7C0%7C0%7C637988951701899013%7CUnknown%7CTWFpbGZsb3d8eyJWIjoiMC4wLjAwMDAiLCJQIjoiV2luMzIiLCJBTiI6Ik1haWwiLCJXVCI6Mn0%3D%7C3000%7C%7C%7C&amp;sdata=K52fXI9f7vlh1N6sP%2FYx6dmOHGBkflCPJUI639jaPZU%3D&amp;reserved=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2.xml><?xml version="1.0" encoding="utf-8"?>
<ds:datastoreItem xmlns:ds="http://schemas.openxmlformats.org/officeDocument/2006/customXml" ds:itemID="{FCC5C85E-6912-4FCF-B3A1-EFB115931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B5FA879F-14FE-4FB1-8D8C-F25E0527F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3016</Words>
  <Characters>17195</Characters>
  <DocSecurity>0</DocSecurity>
  <Lines>143</Lines>
  <Paragraphs>40</Paragraphs>
  <ScaleCrop>false</ScaleCrop>
  <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2026-05-18T22:45:00Z</dcterms:created>
  <dcterms:modified xsi:type="dcterms:W3CDTF">2026-05-21T04:32:00Z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RegionalArea_0">
    <vt:lpwstr/>
  </property>
  <property fmtid="{D5CDD505-2E9C-101B-9397-08002B2CF9AE}" pid="5" name="ABCRequestFrom_0">
    <vt:lpwstr/>
  </property>
  <property fmtid="{D5CDD505-2E9C-101B-9397-08002B2CF9AE}" pid="6" name="ABCDecisionCategory">
    <vt:lpwstr/>
  </property>
  <property fmtid="{D5CDD505-2E9C-101B-9397-08002B2CF9AE}" pid="7" name="DEOfficeField_0">
    <vt:lpwstr/>
  </property>
  <property fmtid="{D5CDD505-2E9C-101B-9397-08002B2CF9AE}" pid="8" name="ABCSecurityClassification">
    <vt:lpwstr/>
  </property>
  <property fmtid="{D5CDD505-2E9C-101B-9397-08002B2CF9AE}" pid="9" name="ABCAccessCaveats_0">
    <vt:lpwstr/>
  </property>
  <property fmtid="{D5CDD505-2E9C-101B-9397-08002B2CF9AE}" pid="10" name="ABCDecisionCategory_0">
    <vt:lpwstr/>
  </property>
  <property fmtid="{D5CDD505-2E9C-101B-9397-08002B2CF9AE}" pid="11" name="DepartmentRequested">
    <vt:lpwstr/>
  </property>
  <property fmtid="{D5CDD505-2E9C-101B-9397-08002B2CF9AE}" pid="12" name="ABCAdvisoryAgencies">
    <vt:lpwstr/>
  </property>
  <property fmtid="{D5CDD505-2E9C-101B-9397-08002B2CF9AE}" pid="13" name="DepartmentRequested_0">
    <vt:lpwstr/>
  </property>
  <property fmtid="{D5CDD505-2E9C-101B-9397-08002B2CF9AE}" pid="14" name="ABCCommentAgencies">
    <vt:lpwstr/>
  </property>
  <property fmtid="{D5CDD505-2E9C-101B-9397-08002B2CF9AE}" pid="15" name="ABCRequestFrom">
    <vt:lpwstr/>
  </property>
  <property fmtid="{D5CDD505-2E9C-101B-9397-08002B2CF9AE}" pid="16" name="RegionalArea">
    <vt:lpwstr/>
  </property>
  <property fmtid="{D5CDD505-2E9C-101B-9397-08002B2CF9AE}" pid="17" name="DEMinisterialOfficeUseOnly">
    <vt:lpwstr/>
  </property>
  <property fmtid="{D5CDD505-2E9C-101B-9397-08002B2CF9AE}" pid="18" name="DESchoolField_0">
    <vt:lpwstr/>
  </property>
  <property fmtid="{D5CDD505-2E9C-101B-9397-08002B2CF9AE}" pid="19" name="ABCRecordFlags_0">
    <vt:lpwstr/>
  </property>
  <property fmtid="{D5CDD505-2E9C-101B-9397-08002B2CF9AE}" pid="20" name="ABCRecordFlags">
    <vt:lpwstr/>
  </property>
  <property fmtid="{D5CDD505-2E9C-101B-9397-08002B2CF9AE}" pid="21" name="ABCReplyFormat_0">
    <vt:lpwstr/>
  </property>
  <property fmtid="{D5CDD505-2E9C-101B-9397-08002B2CF9AE}" pid="22" name="ABCAutoResponseTemplates">
    <vt:lpwstr/>
  </property>
  <property fmtid="{D5CDD505-2E9C-101B-9397-08002B2CF9AE}" pid="23" name="ABCTimeframe">
    <vt:lpwstr/>
  </property>
  <property fmtid="{D5CDD505-2E9C-101B-9397-08002B2CF9AE}" pid="24" name="ABCSecurityClassification_0">
    <vt:lpwstr/>
  </property>
  <property fmtid="{D5CDD505-2E9C-101B-9397-08002B2CF9AE}" pid="25" name="ABCTimeframe_0">
    <vt:lpwstr/>
  </property>
  <property fmtid="{D5CDD505-2E9C-101B-9397-08002B2CF9AE}" pid="26" name="ABCAccessCaveats">
    <vt:lpwstr/>
  </property>
  <property fmtid="{D5CDD505-2E9C-101B-9397-08002B2CF9AE}" pid="27" name="ABCReplyType_0">
    <vt:lpwstr/>
  </property>
  <property fmtid="{D5CDD505-2E9C-101B-9397-08002B2CF9AE}" pid="28" name="DEOfficeField">
    <vt:lpwstr/>
  </property>
  <property fmtid="{D5CDD505-2E9C-101B-9397-08002B2CF9AE}" pid="29" name="ABCAutoResponseTemplates_0">
    <vt:lpwstr/>
  </property>
  <property fmtid="{D5CDD505-2E9C-101B-9397-08002B2CF9AE}" pid="30" name="ABCReplyType">
    <vt:lpwstr/>
  </property>
  <property fmtid="{D5CDD505-2E9C-101B-9397-08002B2CF9AE}" pid="31" name="ABCCommentAgencies_0">
    <vt:lpwstr/>
  </property>
  <property fmtid="{D5CDD505-2E9C-101B-9397-08002B2CF9AE}" pid="32" name="TaxCatchAll">
    <vt:lpwstr/>
  </property>
  <property fmtid="{D5CDD505-2E9C-101B-9397-08002B2CF9AE}" pid="33" name="DESchoolField">
    <vt:lpwstr/>
  </property>
  <property fmtid="{D5CDD505-2E9C-101B-9397-08002B2CF9AE}" pid="34" name="DEMinisterContacts_0">
    <vt:lpwstr/>
  </property>
  <property fmtid="{D5CDD505-2E9C-101B-9397-08002B2CF9AE}" pid="35" name="DEMinisterContacts">
    <vt:lpwstr/>
  </property>
  <property fmtid="{D5CDD505-2E9C-101B-9397-08002B2CF9AE}" pid="36" name="ABCAdvisoryAgencies_0">
    <vt:lpwstr/>
  </property>
  <property fmtid="{D5CDD505-2E9C-101B-9397-08002B2CF9AE}" pid="37" name="DEMinisterialOfficeUseOnly_0">
    <vt:lpwstr/>
  </property>
  <property fmtid="{D5CDD505-2E9C-101B-9397-08002B2CF9AE}" pid="38" name="ABCReplyFormat">
    <vt:lpwstr/>
  </property>
  <property fmtid="{D5CDD505-2E9C-101B-9397-08002B2CF9AE}" pid="39" name="DEECD_Author">
    <vt:lpwstr>94;#Education|5232e41c-5101-41fe-b638-7d41d1371531</vt:lpwstr>
  </property>
  <property fmtid="{D5CDD505-2E9C-101B-9397-08002B2CF9AE}" pid="40" name="DEECD_ItemType">
    <vt:lpwstr>101;#Page|eb523acf-a821-456c-a76b-7607578309d7</vt:lpwstr>
  </property>
  <property fmtid="{D5CDD505-2E9C-101B-9397-08002B2CF9AE}" pid="41" name="DEECD_SubjectCategory">
    <vt:lpwstr/>
  </property>
  <property fmtid="{D5CDD505-2E9C-101B-9397-08002B2CF9AE}" pid="42" name="DEECD_Audience">
    <vt:lpwstr/>
  </property>
</Properties>
</file>