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B39F" w14:textId="005CA036" w:rsidR="008E19F8" w:rsidRPr="00BD1E03" w:rsidRDefault="008E19F8" w:rsidP="008E19F8">
      <w:pPr>
        <w:rPr>
          <w:lang w:val="en-AU"/>
        </w:rPr>
      </w:pPr>
      <w:r w:rsidRPr="000A68FD">
        <w:rPr>
          <w:rFonts w:eastAsia="Calibri" w:cs="Arial"/>
          <w:highlight w:val="yellow"/>
        </w:rPr>
        <w:t xml:space="preserve">Last updated </w:t>
      </w:r>
      <w:r w:rsidR="00553043">
        <w:rPr>
          <w:rFonts w:eastAsia="Calibri" w:cs="Arial"/>
          <w:highlight w:val="yellow"/>
        </w:rPr>
        <w:t xml:space="preserve">30 </w:t>
      </w:r>
      <w:r>
        <w:rPr>
          <w:rFonts w:eastAsia="Calibri" w:cs="Arial"/>
          <w:highlight w:val="yellow"/>
        </w:rPr>
        <w:t xml:space="preserve">April 2024 </w:t>
      </w:r>
    </w:p>
    <w:p w14:paraId="54CCD266" w14:textId="6CB23467" w:rsidR="00271294" w:rsidRDefault="005C6713" w:rsidP="008E19F8">
      <w:pPr>
        <w:pStyle w:val="Heading3"/>
        <w:jc w:val="center"/>
        <w:rPr>
          <w:rFonts w:cs="Times New Roman (Headings CS)"/>
          <w:sz w:val="48"/>
          <w:szCs w:val="32"/>
          <w:lang w:val="en-AU"/>
        </w:rPr>
      </w:pPr>
      <w:bookmarkStart w:id="0" w:name="_Hlk163209596"/>
      <w:r w:rsidRPr="005C6713">
        <w:rPr>
          <w:rFonts w:cs="Times New Roman (Headings CS)"/>
          <w:sz w:val="48"/>
          <w:szCs w:val="32"/>
          <w:lang w:val="en-AU"/>
        </w:rPr>
        <w:t>Navigator potential service provider FAQs</w:t>
      </w:r>
    </w:p>
    <w:bookmarkEnd w:id="0"/>
    <w:p w14:paraId="61A0B68D" w14:textId="77777777" w:rsidR="008E19F8" w:rsidRDefault="008E19F8" w:rsidP="008E19F8">
      <w:pPr>
        <w:rPr>
          <w:lang w:val="en-AU"/>
        </w:rPr>
      </w:pPr>
    </w:p>
    <w:p w14:paraId="2F78738C" w14:textId="77777777" w:rsidR="00553043" w:rsidRPr="00553043" w:rsidRDefault="00553043" w:rsidP="00553043">
      <w:pPr>
        <w:rPr>
          <w:b/>
          <w:bCs/>
          <w:color w:val="E25205" w:themeColor="accent1"/>
        </w:rPr>
      </w:pPr>
      <w:r w:rsidRPr="00553043">
        <w:rPr>
          <w:b/>
          <w:bCs/>
          <w:color w:val="E25205" w:themeColor="accent1"/>
        </w:rPr>
        <w:t>Can you provide more information/insight on how to cover a large geographical area, e.g. in Wimmera South West?</w:t>
      </w:r>
    </w:p>
    <w:p w14:paraId="774F82A4" w14:textId="35E75434" w:rsidR="00553043" w:rsidRDefault="00553043" w:rsidP="00553043">
      <w:r>
        <w:t>Applicants can determine how they most prefer to do this, but by way of example, at present, in Wimmera South West, the provider has offices/sites in 4 locations (Horsham, Hamilton, Portland and Warrnambool) and have case managers distributed based on need, e.g. 2 case managers in areas of higher population  and 1 in areas of less population.</w:t>
      </w:r>
    </w:p>
    <w:p w14:paraId="4053CD1B" w14:textId="77777777" w:rsidR="00553043" w:rsidRPr="00553043" w:rsidRDefault="00553043" w:rsidP="00553043">
      <w:pPr>
        <w:rPr>
          <w:b/>
          <w:bCs/>
          <w:color w:val="E25205" w:themeColor="accent1"/>
        </w:rPr>
      </w:pPr>
      <w:r w:rsidRPr="00553043">
        <w:rPr>
          <w:b/>
          <w:bCs/>
          <w:color w:val="E25205" w:themeColor="accent1"/>
        </w:rPr>
        <w:t xml:space="preserve">Is the expectation that the service provider is located where the DE office/s are? Is co-location at DE offices an option? </w:t>
      </w:r>
    </w:p>
    <w:p w14:paraId="0FAB8B26" w14:textId="0F941181" w:rsidR="00553043" w:rsidRPr="008B0368" w:rsidRDefault="00553043" w:rsidP="008E19F8">
      <w:r>
        <w:t>How a service provider covers the geographic area is up to them and this does not need to align to the DE office location/s. Most DE offices are at capacity so co-location would not be possible – in some areas, external organisations e.g. LLENs host Navigator teams/ case managers.</w:t>
      </w:r>
    </w:p>
    <w:p w14:paraId="411A286C" w14:textId="0A643F93" w:rsidR="005C6713" w:rsidRPr="00C26C77" w:rsidRDefault="005C6713" w:rsidP="005C6713">
      <w:pPr>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t xml:space="preserve">What funding is available to deliver Navigator in </w:t>
      </w:r>
      <w:r w:rsidR="00F64F33" w:rsidRPr="00F64F33">
        <w:rPr>
          <w:rFonts w:eastAsiaTheme="majorEastAsia" w:cstheme="minorHAnsi"/>
          <w:b/>
          <w:color w:val="E25205" w:themeColor="accent1"/>
          <w:szCs w:val="22"/>
          <w:lang w:val="en-AU"/>
        </w:rPr>
        <w:t xml:space="preserve">Outer Eastern Melbourne/ Wimmera South West/ Barwon </w:t>
      </w:r>
      <w:r w:rsidR="00D30B5C">
        <w:rPr>
          <w:rFonts w:eastAsiaTheme="majorEastAsia" w:cstheme="minorHAnsi"/>
          <w:b/>
          <w:color w:val="E25205" w:themeColor="accent1"/>
          <w:szCs w:val="22"/>
          <w:lang w:val="en-AU"/>
        </w:rPr>
        <w:t>areas</w:t>
      </w:r>
      <w:r w:rsidRPr="00C26C77">
        <w:rPr>
          <w:rFonts w:eastAsiaTheme="majorEastAsia" w:cstheme="minorHAnsi"/>
          <w:b/>
          <w:color w:val="E25205" w:themeColor="accent1"/>
          <w:szCs w:val="22"/>
          <w:lang w:val="en-AU"/>
        </w:rPr>
        <w:t xml:space="preserve">? </w:t>
      </w:r>
    </w:p>
    <w:p w14:paraId="67151862" w14:textId="1FC9F08E" w:rsidR="00F64F33" w:rsidRDefault="004D74ED" w:rsidP="00F64F33">
      <w:pPr>
        <w:spacing w:line="276" w:lineRule="auto"/>
        <w:jc w:val="both"/>
        <w:rPr>
          <w:b/>
          <w:lang w:val="en-AU"/>
        </w:rPr>
      </w:pPr>
      <w:r>
        <w:rPr>
          <w:lang w:val="en-AU"/>
        </w:rPr>
        <w:t>I</w:t>
      </w:r>
      <w:r w:rsidR="00F64F33">
        <w:rPr>
          <w:lang w:val="en-AU"/>
        </w:rPr>
        <w:t>ndicative funding for the Outer Eastern Melbourne program</w:t>
      </w:r>
      <w:r w:rsidR="00073255">
        <w:rPr>
          <w:lang w:val="en-AU"/>
        </w:rPr>
        <w:t xml:space="preserve"> is</w:t>
      </w:r>
      <w:r w:rsidR="00F64F33">
        <w:rPr>
          <w:lang w:val="en-AU"/>
        </w:rPr>
        <w:t xml:space="preserve"> </w:t>
      </w:r>
      <w:r w:rsidR="00F64F33" w:rsidRPr="00B21E59">
        <w:rPr>
          <w:lang w:val="en-AU"/>
        </w:rPr>
        <w:t xml:space="preserve">approximately </w:t>
      </w:r>
      <w:r w:rsidR="00F64F33" w:rsidRPr="00B21E59">
        <w:rPr>
          <w:b/>
          <w:lang w:val="en-AU"/>
        </w:rPr>
        <w:t>$</w:t>
      </w:r>
      <w:r w:rsidR="00BE037D">
        <w:rPr>
          <w:b/>
          <w:lang w:val="en-AU"/>
        </w:rPr>
        <w:t>988,000</w:t>
      </w:r>
      <w:r w:rsidR="00F64F33" w:rsidRPr="00B21E59">
        <w:rPr>
          <w:b/>
          <w:lang w:val="en-AU"/>
        </w:rPr>
        <w:t xml:space="preserve"> (excl.GST) per annum</w:t>
      </w:r>
      <w:r w:rsidR="00073255">
        <w:rPr>
          <w:b/>
          <w:lang w:val="en-AU"/>
        </w:rPr>
        <w:t xml:space="preserve">, </w:t>
      </w:r>
      <w:r w:rsidR="00F64F33" w:rsidRPr="00B21E59">
        <w:rPr>
          <w:lang w:val="en-AU"/>
        </w:rPr>
        <w:t xml:space="preserve">Wimmera South West program is approximately </w:t>
      </w:r>
      <w:r w:rsidR="00F64F33" w:rsidRPr="00B21E59">
        <w:rPr>
          <w:b/>
          <w:lang w:val="en-AU"/>
        </w:rPr>
        <w:t>$</w:t>
      </w:r>
      <w:r w:rsidR="00BE037D">
        <w:rPr>
          <w:b/>
          <w:lang w:val="en-AU"/>
        </w:rPr>
        <w:t>838,000</w:t>
      </w:r>
      <w:r w:rsidR="00F64F33" w:rsidRPr="00B21E59">
        <w:rPr>
          <w:rFonts w:ascii="Arial" w:hAnsi="Arial" w:cs="Arial"/>
        </w:rPr>
        <w:t xml:space="preserve"> </w:t>
      </w:r>
      <w:r w:rsidR="00F64F33" w:rsidRPr="00B21E59">
        <w:rPr>
          <w:b/>
          <w:lang w:val="en-AU"/>
        </w:rPr>
        <w:t>(excl.GST) per annum</w:t>
      </w:r>
      <w:r w:rsidR="00073255">
        <w:rPr>
          <w:b/>
          <w:lang w:val="en-AU"/>
        </w:rPr>
        <w:t xml:space="preserve">, </w:t>
      </w:r>
      <w:r w:rsidR="00073255">
        <w:rPr>
          <w:lang w:val="en-AU"/>
        </w:rPr>
        <w:t>and</w:t>
      </w:r>
      <w:r w:rsidR="00F64F33" w:rsidRPr="00B21E59">
        <w:rPr>
          <w:lang w:val="en-AU"/>
        </w:rPr>
        <w:t xml:space="preserve"> Barwon is approximately </w:t>
      </w:r>
      <w:r w:rsidR="00F64F33" w:rsidRPr="00B21E59">
        <w:rPr>
          <w:b/>
          <w:lang w:val="en-AU"/>
        </w:rPr>
        <w:t>$1</w:t>
      </w:r>
      <w:r w:rsidR="00BE037D">
        <w:rPr>
          <w:b/>
          <w:lang w:val="en-AU"/>
        </w:rPr>
        <w:t>,</w:t>
      </w:r>
      <w:r w:rsidR="00F64F33" w:rsidRPr="00B21E59">
        <w:rPr>
          <w:b/>
          <w:lang w:val="en-AU"/>
        </w:rPr>
        <w:t>1</w:t>
      </w:r>
      <w:r w:rsidR="00BE037D">
        <w:rPr>
          <w:b/>
          <w:lang w:val="en-AU"/>
        </w:rPr>
        <w:t>38,000</w:t>
      </w:r>
      <w:r w:rsidR="00F64F33" w:rsidRPr="00B21E59">
        <w:rPr>
          <w:rFonts w:ascii="Arial" w:hAnsi="Arial" w:cs="Arial"/>
        </w:rPr>
        <w:t xml:space="preserve"> </w:t>
      </w:r>
      <w:r w:rsidR="00F64F33" w:rsidRPr="00B21E59">
        <w:rPr>
          <w:b/>
          <w:lang w:val="en-AU"/>
        </w:rPr>
        <w:t>(excl.GST) per annum.</w:t>
      </w:r>
    </w:p>
    <w:p w14:paraId="514A746C" w14:textId="73E18100" w:rsidR="00073255" w:rsidRPr="004D74ED" w:rsidRDefault="004D74ED" w:rsidP="00F64F33">
      <w:pPr>
        <w:spacing w:line="276" w:lineRule="auto"/>
        <w:jc w:val="both"/>
        <w:rPr>
          <w:bCs/>
          <w:lang w:val="en-AU"/>
        </w:rPr>
      </w:pPr>
      <w:r>
        <w:rPr>
          <w:bCs/>
          <w:lang w:val="en-AU"/>
        </w:rPr>
        <w:t xml:space="preserve">Annual budgets will be </w:t>
      </w:r>
      <w:r w:rsidR="004B0F1C">
        <w:rPr>
          <w:bCs/>
          <w:lang w:val="en-AU"/>
        </w:rPr>
        <w:t>confirmed with the preferred applicant</w:t>
      </w:r>
      <w:r w:rsidR="00FA0ADE">
        <w:rPr>
          <w:bCs/>
          <w:lang w:val="en-AU"/>
        </w:rPr>
        <w:t xml:space="preserve"> prior to contract execution</w:t>
      </w:r>
      <w:r w:rsidR="004B0F1C">
        <w:rPr>
          <w:bCs/>
          <w:lang w:val="en-AU"/>
        </w:rPr>
        <w:t xml:space="preserve">. </w:t>
      </w:r>
    </w:p>
    <w:p w14:paraId="09063773" w14:textId="2F5553E0" w:rsidR="005C6713" w:rsidRPr="004B0F1C" w:rsidRDefault="005C6713" w:rsidP="00F64F33">
      <w:pPr>
        <w:rPr>
          <w:rFonts w:eastAsiaTheme="majorEastAsia" w:cstheme="minorHAnsi"/>
          <w:b/>
          <w:color w:val="E25205" w:themeColor="accent1"/>
          <w:szCs w:val="22"/>
          <w:lang w:val="en-AU"/>
        </w:rPr>
      </w:pPr>
      <w:r w:rsidRPr="004B0F1C">
        <w:rPr>
          <w:rFonts w:eastAsiaTheme="majorEastAsia" w:cstheme="minorHAnsi"/>
          <w:b/>
          <w:color w:val="E25205" w:themeColor="accent1"/>
          <w:szCs w:val="22"/>
          <w:lang w:val="en-AU"/>
        </w:rPr>
        <w:t>What can the funding be spent on?</w:t>
      </w:r>
    </w:p>
    <w:p w14:paraId="4E89E5AF" w14:textId="77777777" w:rsidR="005C6713" w:rsidRDefault="005C6713" w:rsidP="005C6713">
      <w:pPr>
        <w:rPr>
          <w:rFonts w:cstheme="minorHAnsi"/>
          <w:szCs w:val="22"/>
          <w:lang w:val="en-AU"/>
        </w:rPr>
      </w:pPr>
      <w:r w:rsidRPr="00C30814">
        <w:rPr>
          <w:rFonts w:cstheme="minorHAnsi"/>
          <w:szCs w:val="22"/>
          <w:lang w:val="en-AU"/>
        </w:rPr>
        <w:t xml:space="preserve">Funding is to be spent exclusively on the delivery of Navigator. A detailed annual budget and financial acquittal are to be submitted to </w:t>
      </w:r>
      <w:r>
        <w:rPr>
          <w:rFonts w:cstheme="minorHAnsi"/>
          <w:szCs w:val="22"/>
          <w:lang w:val="en-AU"/>
        </w:rPr>
        <w:t>Department of Education (</w:t>
      </w:r>
      <w:r w:rsidRPr="00C30814">
        <w:rPr>
          <w:rFonts w:cstheme="minorHAnsi"/>
          <w:szCs w:val="22"/>
          <w:lang w:val="en-AU"/>
        </w:rPr>
        <w:t>DE</w:t>
      </w:r>
      <w:r>
        <w:rPr>
          <w:rFonts w:cstheme="minorHAnsi"/>
          <w:szCs w:val="22"/>
          <w:lang w:val="en-AU"/>
        </w:rPr>
        <w:t>)</w:t>
      </w:r>
      <w:r w:rsidRPr="00C30814">
        <w:rPr>
          <w:rFonts w:cstheme="minorHAnsi"/>
          <w:szCs w:val="22"/>
          <w:lang w:val="en-AU"/>
        </w:rPr>
        <w:t xml:space="preserve"> for approval for each year of delivery</w:t>
      </w:r>
      <w:r>
        <w:rPr>
          <w:rFonts w:cstheme="minorHAnsi"/>
          <w:szCs w:val="22"/>
          <w:lang w:val="en-AU"/>
        </w:rPr>
        <w:t xml:space="preserve"> or as required</w:t>
      </w:r>
      <w:r w:rsidRPr="00C30814">
        <w:rPr>
          <w:rFonts w:cstheme="minorHAnsi"/>
          <w:szCs w:val="22"/>
          <w:lang w:val="en-AU"/>
        </w:rPr>
        <w:t>.</w:t>
      </w:r>
    </w:p>
    <w:p w14:paraId="1B3D392D" w14:textId="369CA65F" w:rsidR="005C6713" w:rsidRPr="005C6713" w:rsidRDefault="005C6713" w:rsidP="005C6713">
      <w:pPr>
        <w:pStyle w:val="Heading2"/>
        <w:jc w:val="both"/>
        <w:rPr>
          <w:rFonts w:asciiTheme="minorHAnsi" w:hAnsiTheme="minorHAnsi" w:cstheme="minorHAnsi"/>
          <w:color w:val="E25205" w:themeColor="accent1"/>
          <w:sz w:val="22"/>
          <w:szCs w:val="22"/>
          <w:lang w:val="en-AU"/>
        </w:rPr>
      </w:pPr>
      <w:r w:rsidRPr="005C6713">
        <w:rPr>
          <w:rFonts w:asciiTheme="minorHAnsi" w:hAnsiTheme="minorHAnsi" w:cstheme="minorHAnsi"/>
          <w:color w:val="E25205" w:themeColor="accent1"/>
          <w:sz w:val="22"/>
          <w:szCs w:val="22"/>
          <w:lang w:val="en-AU"/>
        </w:rPr>
        <w:t xml:space="preserve">Do we have to deliver the service in </w:t>
      </w:r>
      <w:r w:rsidR="00F64F33" w:rsidRPr="00F64F33">
        <w:rPr>
          <w:rFonts w:asciiTheme="minorHAnsi" w:hAnsiTheme="minorHAnsi" w:cstheme="minorHAnsi"/>
          <w:color w:val="E25205" w:themeColor="accent1"/>
          <w:sz w:val="22"/>
          <w:szCs w:val="22"/>
          <w:lang w:val="en-AU"/>
        </w:rPr>
        <w:t>Outer Eastern Melbourne</w:t>
      </w:r>
      <w:r w:rsidR="00F64F33">
        <w:rPr>
          <w:rFonts w:asciiTheme="minorHAnsi" w:hAnsiTheme="minorHAnsi" w:cstheme="minorHAnsi"/>
          <w:color w:val="E25205" w:themeColor="accent1"/>
          <w:sz w:val="22"/>
          <w:szCs w:val="22"/>
          <w:lang w:val="en-AU"/>
        </w:rPr>
        <w:t xml:space="preserve">, </w:t>
      </w:r>
      <w:r w:rsidR="00F64F33" w:rsidRPr="00F64F33">
        <w:rPr>
          <w:rFonts w:asciiTheme="minorHAnsi" w:hAnsiTheme="minorHAnsi" w:cstheme="minorHAnsi"/>
          <w:color w:val="E25205" w:themeColor="accent1"/>
          <w:sz w:val="22"/>
          <w:szCs w:val="22"/>
          <w:lang w:val="en-AU"/>
        </w:rPr>
        <w:t>Wimmera South West</w:t>
      </w:r>
      <w:r w:rsidR="00F64F33">
        <w:rPr>
          <w:rFonts w:asciiTheme="minorHAnsi" w:hAnsiTheme="minorHAnsi" w:cstheme="minorHAnsi"/>
          <w:color w:val="E25205" w:themeColor="accent1"/>
          <w:sz w:val="22"/>
          <w:szCs w:val="22"/>
          <w:lang w:val="en-AU"/>
        </w:rPr>
        <w:t xml:space="preserve"> and</w:t>
      </w:r>
      <w:r w:rsidR="00F64F33" w:rsidRPr="00F64F33">
        <w:rPr>
          <w:rFonts w:asciiTheme="minorHAnsi" w:hAnsiTheme="minorHAnsi" w:cstheme="minorHAnsi"/>
          <w:color w:val="E25205" w:themeColor="accent1"/>
          <w:sz w:val="22"/>
          <w:szCs w:val="22"/>
          <w:lang w:val="en-AU"/>
        </w:rPr>
        <w:t xml:space="preserve"> Barwon </w:t>
      </w:r>
      <w:r w:rsidR="000115FD">
        <w:rPr>
          <w:rFonts w:asciiTheme="minorHAnsi" w:hAnsiTheme="minorHAnsi" w:cstheme="minorHAnsi"/>
          <w:color w:val="E25205" w:themeColor="accent1"/>
          <w:sz w:val="22"/>
          <w:szCs w:val="22"/>
          <w:lang w:val="en-AU"/>
        </w:rPr>
        <w:t>Areas?</w:t>
      </w:r>
      <w:r w:rsidRPr="005C6713">
        <w:rPr>
          <w:rFonts w:asciiTheme="minorHAnsi" w:hAnsiTheme="minorHAnsi" w:cstheme="minorHAnsi"/>
          <w:color w:val="E25205" w:themeColor="accent1"/>
          <w:sz w:val="22"/>
          <w:szCs w:val="22"/>
          <w:lang w:val="en-AU"/>
        </w:rPr>
        <w:t xml:space="preserve"> </w:t>
      </w:r>
    </w:p>
    <w:p w14:paraId="6CD474DB" w14:textId="3B1627EF" w:rsidR="004659DA" w:rsidRDefault="005C6713" w:rsidP="005C6713">
      <w:pPr>
        <w:rPr>
          <w:rFonts w:eastAsiaTheme="majorEastAsia" w:cstheme="minorHAnsi"/>
          <w:bCs/>
          <w:szCs w:val="22"/>
          <w:lang w:val="en-AU"/>
        </w:rPr>
      </w:pPr>
      <w:r w:rsidRPr="00B00C71">
        <w:rPr>
          <w:rFonts w:eastAsiaTheme="majorEastAsia" w:cstheme="minorHAnsi"/>
          <w:bCs/>
          <w:szCs w:val="22"/>
          <w:lang w:val="en-AU"/>
        </w:rPr>
        <w:t xml:space="preserve">No, one service provider will be selected for each area and a contract will be issued for each area. </w:t>
      </w:r>
      <w:r w:rsidR="00EB68C7" w:rsidRPr="00B00C71">
        <w:rPr>
          <w:rFonts w:eastAsiaTheme="majorEastAsia" w:cstheme="minorHAnsi"/>
          <w:bCs/>
          <w:szCs w:val="22"/>
          <w:lang w:val="en-AU"/>
        </w:rPr>
        <w:t>There is a separate process for e</w:t>
      </w:r>
      <w:r w:rsidRPr="00B00C71">
        <w:rPr>
          <w:rFonts w:eastAsiaTheme="majorEastAsia" w:cstheme="minorHAnsi"/>
          <w:bCs/>
          <w:szCs w:val="22"/>
          <w:lang w:val="en-AU"/>
        </w:rPr>
        <w:t xml:space="preserve">ach area - if you wish to apply to deliver Navigator in </w:t>
      </w:r>
      <w:r w:rsidR="00F64F33">
        <w:rPr>
          <w:rFonts w:eastAsiaTheme="majorEastAsia" w:cstheme="minorHAnsi"/>
          <w:bCs/>
          <w:szCs w:val="22"/>
          <w:lang w:val="en-AU"/>
        </w:rPr>
        <w:t xml:space="preserve">more than one of the areas, </w:t>
      </w:r>
      <w:r w:rsidRPr="00B00C71">
        <w:rPr>
          <w:rFonts w:eastAsiaTheme="majorEastAsia" w:cstheme="minorHAnsi"/>
          <w:bCs/>
          <w:szCs w:val="22"/>
          <w:lang w:val="en-AU"/>
        </w:rPr>
        <w:t xml:space="preserve">you </w:t>
      </w:r>
      <w:r w:rsidR="00EB68C7" w:rsidRPr="00B00C71">
        <w:rPr>
          <w:rFonts w:eastAsiaTheme="majorEastAsia" w:cstheme="minorHAnsi"/>
          <w:bCs/>
          <w:szCs w:val="22"/>
          <w:lang w:val="en-AU"/>
        </w:rPr>
        <w:t>must</w:t>
      </w:r>
      <w:r w:rsidRPr="00B00C71">
        <w:rPr>
          <w:rFonts w:eastAsiaTheme="majorEastAsia" w:cstheme="minorHAnsi"/>
          <w:bCs/>
          <w:szCs w:val="22"/>
          <w:lang w:val="en-AU"/>
        </w:rPr>
        <w:t xml:space="preserve"> submit separate applications for ea</w:t>
      </w:r>
      <w:r w:rsidR="00EB68C7" w:rsidRPr="00B00C71">
        <w:rPr>
          <w:rFonts w:eastAsiaTheme="majorEastAsia" w:cstheme="minorHAnsi"/>
          <w:bCs/>
          <w:szCs w:val="22"/>
          <w:lang w:val="en-AU"/>
        </w:rPr>
        <w:t>ch</w:t>
      </w:r>
      <w:r w:rsidRPr="00B00C71">
        <w:rPr>
          <w:rFonts w:eastAsiaTheme="majorEastAsia" w:cstheme="minorHAnsi"/>
          <w:bCs/>
          <w:szCs w:val="22"/>
          <w:lang w:val="en-AU"/>
        </w:rPr>
        <w:t>.</w:t>
      </w:r>
    </w:p>
    <w:p w14:paraId="6DA8C9AF" w14:textId="77777777" w:rsidR="00B8432F" w:rsidRDefault="004659DA" w:rsidP="005C6713">
      <w:pPr>
        <w:rPr>
          <w:rFonts w:eastAsiaTheme="majorEastAsia" w:cstheme="minorHAnsi"/>
          <w:b/>
          <w:color w:val="E25205" w:themeColor="accent1"/>
          <w:szCs w:val="22"/>
          <w:lang w:val="en-AU"/>
        </w:rPr>
      </w:pPr>
      <w:r w:rsidRPr="004659DA">
        <w:rPr>
          <w:rFonts w:eastAsiaTheme="majorEastAsia" w:cstheme="minorHAnsi"/>
          <w:b/>
          <w:color w:val="E25205" w:themeColor="accent1"/>
          <w:szCs w:val="22"/>
          <w:lang w:val="en-AU"/>
        </w:rPr>
        <w:t xml:space="preserve">Do we have to service the entire </w:t>
      </w:r>
      <w:r w:rsidR="00F64F33" w:rsidRPr="00F64F33">
        <w:rPr>
          <w:rFonts w:eastAsiaTheme="majorEastAsia" w:cstheme="minorHAnsi"/>
          <w:b/>
          <w:color w:val="E25205" w:themeColor="accent1"/>
          <w:szCs w:val="22"/>
          <w:lang w:val="en-AU"/>
        </w:rPr>
        <w:t>Outer Eastern Melbourne/ Wimmera South West/ Barwon</w:t>
      </w:r>
      <w:r w:rsidR="00F64F33">
        <w:rPr>
          <w:rFonts w:eastAsiaTheme="majorEastAsia" w:cstheme="minorHAnsi"/>
          <w:b/>
          <w:color w:val="E25205" w:themeColor="accent1"/>
          <w:szCs w:val="22"/>
          <w:lang w:val="en-AU"/>
        </w:rPr>
        <w:t xml:space="preserve"> area? </w:t>
      </w:r>
    </w:p>
    <w:p w14:paraId="4E808602" w14:textId="212F1180" w:rsidR="00B8432F" w:rsidRDefault="00B8432F" w:rsidP="005C6713">
      <w:pPr>
        <w:rPr>
          <w:rFonts w:eastAsiaTheme="majorEastAsia" w:cstheme="minorHAnsi"/>
          <w:bCs/>
          <w:szCs w:val="22"/>
          <w:lang w:val="en-AU"/>
        </w:rPr>
      </w:pPr>
      <w:r>
        <w:rPr>
          <w:rFonts w:eastAsiaTheme="majorEastAsia" w:cstheme="minorHAnsi"/>
          <w:bCs/>
          <w:szCs w:val="22"/>
          <w:lang w:val="en-AU"/>
        </w:rPr>
        <w:t xml:space="preserve">Yes, the appointed service provider is required to deliver an area wide service. </w:t>
      </w:r>
    </w:p>
    <w:p w14:paraId="3661EA67" w14:textId="614DD3E5" w:rsidR="004659DA" w:rsidRPr="004659DA" w:rsidRDefault="004659DA" w:rsidP="005C6713">
      <w:pPr>
        <w:rPr>
          <w:rFonts w:eastAsiaTheme="majorEastAsia" w:cstheme="minorHAnsi"/>
          <w:b/>
          <w:color w:val="E25205" w:themeColor="accent1"/>
          <w:szCs w:val="22"/>
          <w:lang w:val="en-AU"/>
        </w:rPr>
      </w:pPr>
      <w:r>
        <w:rPr>
          <w:rFonts w:eastAsiaTheme="majorEastAsia" w:cstheme="minorHAnsi"/>
          <w:b/>
          <w:color w:val="E25205" w:themeColor="accent1"/>
          <w:szCs w:val="22"/>
          <w:lang w:val="en-AU"/>
        </w:rPr>
        <w:t>Are we expected to work with all young people who are referred to the program?</w:t>
      </w:r>
    </w:p>
    <w:p w14:paraId="500DC790" w14:textId="012FD576" w:rsidR="00B8432F" w:rsidRDefault="00B8432F" w:rsidP="00B8432F">
      <w:pPr>
        <w:rPr>
          <w:rFonts w:eastAsiaTheme="majorEastAsia" w:cstheme="minorHAnsi"/>
          <w:bCs/>
          <w:szCs w:val="22"/>
          <w:lang w:val="en-AU"/>
        </w:rPr>
      </w:pPr>
      <w:r>
        <w:rPr>
          <w:rFonts w:eastAsiaTheme="majorEastAsia" w:cstheme="minorHAnsi"/>
          <w:bCs/>
          <w:szCs w:val="22"/>
          <w:lang w:val="en-AU"/>
        </w:rPr>
        <w:t xml:space="preserve">The Navigator Coordinator processes all referrals received and allocates eligible referrals to the service provider when they are ready to be actioned- the service provider is expected to work with all of these young people. Their role is to complete Intake and Assessment and determine support for the young person and then deliver it – </w:t>
      </w:r>
      <w:r w:rsidRPr="00B8432F">
        <w:rPr>
          <w:rFonts w:eastAsiaTheme="majorEastAsia" w:cstheme="minorHAnsi"/>
          <w:b/>
          <w:szCs w:val="22"/>
          <w:lang w:val="en-AU"/>
        </w:rPr>
        <w:t>this includes young people who have highly complex needs and</w:t>
      </w:r>
      <w:r w:rsidR="004D74ED">
        <w:rPr>
          <w:rFonts w:eastAsiaTheme="majorEastAsia" w:cstheme="minorHAnsi"/>
          <w:b/>
          <w:szCs w:val="22"/>
          <w:lang w:val="en-AU"/>
        </w:rPr>
        <w:t xml:space="preserve"> or</w:t>
      </w:r>
      <w:r w:rsidRPr="00B8432F">
        <w:rPr>
          <w:rFonts w:eastAsiaTheme="majorEastAsia" w:cstheme="minorHAnsi"/>
          <w:b/>
          <w:szCs w:val="22"/>
          <w:lang w:val="en-AU"/>
        </w:rPr>
        <w:t xml:space="preserve"> barriers to education</w:t>
      </w:r>
      <w:r>
        <w:rPr>
          <w:rFonts w:eastAsiaTheme="majorEastAsia" w:cstheme="minorHAnsi"/>
          <w:bCs/>
          <w:szCs w:val="22"/>
          <w:lang w:val="en-AU"/>
        </w:rPr>
        <w:t xml:space="preserve">. </w:t>
      </w:r>
    </w:p>
    <w:p w14:paraId="58711A61" w14:textId="1D3D40EE" w:rsidR="004659DA" w:rsidRDefault="00B8432F" w:rsidP="005C6713">
      <w:pPr>
        <w:rPr>
          <w:rFonts w:eastAsiaTheme="majorEastAsia" w:cstheme="minorHAnsi"/>
          <w:bCs/>
          <w:szCs w:val="22"/>
          <w:lang w:val="en-AU"/>
        </w:rPr>
      </w:pPr>
      <w:r>
        <w:rPr>
          <w:rFonts w:eastAsiaTheme="majorEastAsia" w:cstheme="minorHAnsi"/>
          <w:bCs/>
          <w:szCs w:val="22"/>
          <w:lang w:val="en-AU"/>
        </w:rPr>
        <w:t>The provider</w:t>
      </w:r>
      <w:r w:rsidR="004659DA">
        <w:rPr>
          <w:rFonts w:eastAsiaTheme="majorEastAsia" w:cstheme="minorHAnsi"/>
          <w:bCs/>
          <w:szCs w:val="22"/>
          <w:lang w:val="en-AU"/>
        </w:rPr>
        <w:t xml:space="preserve"> must ensure </w:t>
      </w:r>
      <w:r>
        <w:rPr>
          <w:rFonts w:eastAsiaTheme="majorEastAsia" w:cstheme="minorHAnsi"/>
          <w:bCs/>
          <w:szCs w:val="22"/>
          <w:lang w:val="en-AU"/>
        </w:rPr>
        <w:t xml:space="preserve">all </w:t>
      </w:r>
      <w:r w:rsidR="004659DA">
        <w:rPr>
          <w:rFonts w:eastAsiaTheme="majorEastAsia" w:cstheme="minorHAnsi"/>
          <w:bCs/>
          <w:szCs w:val="22"/>
          <w:lang w:val="en-AU"/>
        </w:rPr>
        <w:t>referred young people receive the same level of support regardless of where they live/ study</w:t>
      </w:r>
      <w:r w:rsidR="00710951">
        <w:rPr>
          <w:rFonts w:eastAsiaTheme="majorEastAsia" w:cstheme="minorHAnsi"/>
          <w:bCs/>
          <w:szCs w:val="22"/>
          <w:lang w:val="en-AU"/>
        </w:rPr>
        <w:t>, or their gender, sexual orientation or gender identity</w:t>
      </w:r>
      <w:r w:rsidR="004659DA">
        <w:rPr>
          <w:rFonts w:eastAsiaTheme="majorEastAsia" w:cstheme="minorHAnsi"/>
          <w:bCs/>
          <w:szCs w:val="22"/>
          <w:lang w:val="en-AU"/>
        </w:rPr>
        <w:t xml:space="preserve">. </w:t>
      </w:r>
    </w:p>
    <w:p w14:paraId="79452254" w14:textId="77777777" w:rsidR="00EA6CEE" w:rsidRDefault="00EA6CEE" w:rsidP="005C6713">
      <w:pPr>
        <w:rPr>
          <w:rFonts w:eastAsiaTheme="majorEastAsia" w:cstheme="minorHAnsi"/>
          <w:bCs/>
          <w:szCs w:val="22"/>
          <w:lang w:val="en-AU"/>
        </w:rPr>
      </w:pPr>
      <w:r>
        <w:rPr>
          <w:rFonts w:eastAsiaTheme="majorEastAsia" w:cstheme="minorHAnsi"/>
          <w:bCs/>
          <w:szCs w:val="22"/>
          <w:lang w:val="en-AU"/>
        </w:rPr>
        <w:lastRenderedPageBreak/>
        <w:t xml:space="preserve">Navigator identifies certain priority cohorts and young people belonging to any of these groups are to have their applications prioritised by the service provider. These cohorts include: </w:t>
      </w:r>
    </w:p>
    <w:p w14:paraId="369B7BE6" w14:textId="77777777" w:rsidR="00EA6CEE" w:rsidRPr="00EA6CEE" w:rsidRDefault="00EA6CEE" w:rsidP="00EA6CEE">
      <w:pPr>
        <w:pStyle w:val="ListParagraph"/>
        <w:numPr>
          <w:ilvl w:val="0"/>
          <w:numId w:val="22"/>
        </w:numPr>
        <w:rPr>
          <w:rFonts w:asciiTheme="minorHAnsi" w:eastAsiaTheme="majorEastAsia" w:hAnsiTheme="minorHAnsi" w:cstheme="minorHAnsi"/>
          <w:bCs/>
        </w:rPr>
      </w:pPr>
      <w:r w:rsidRPr="00EA6CEE">
        <w:rPr>
          <w:rFonts w:asciiTheme="minorHAnsi" w:eastAsiaTheme="majorEastAsia" w:hAnsiTheme="minorHAnsi" w:cstheme="minorHAnsi"/>
          <w:bCs/>
        </w:rPr>
        <w:t>Young people who are involved with out of home care</w:t>
      </w:r>
    </w:p>
    <w:p w14:paraId="06DB61E6" w14:textId="351F57AA" w:rsidR="00EA6CEE" w:rsidRPr="00EA6CEE" w:rsidRDefault="00EA6CEE" w:rsidP="00EA6CEE">
      <w:pPr>
        <w:pStyle w:val="ListParagraph"/>
        <w:numPr>
          <w:ilvl w:val="0"/>
          <w:numId w:val="22"/>
        </w:numPr>
        <w:rPr>
          <w:rFonts w:asciiTheme="minorHAnsi" w:eastAsiaTheme="majorEastAsia" w:hAnsiTheme="minorHAnsi" w:cstheme="minorHAnsi"/>
          <w:bCs/>
        </w:rPr>
      </w:pPr>
      <w:r w:rsidRPr="00EA6CEE">
        <w:rPr>
          <w:rFonts w:asciiTheme="minorHAnsi" w:eastAsiaTheme="majorEastAsia" w:hAnsiTheme="minorHAnsi" w:cstheme="minorHAnsi"/>
          <w:bCs/>
        </w:rPr>
        <w:t>Young people w</w:t>
      </w:r>
      <w:r>
        <w:rPr>
          <w:rFonts w:asciiTheme="minorHAnsi" w:eastAsiaTheme="majorEastAsia" w:hAnsiTheme="minorHAnsi" w:cstheme="minorHAnsi"/>
          <w:bCs/>
        </w:rPr>
        <w:t>ith an</w:t>
      </w:r>
      <w:r w:rsidRPr="00EA6CEE">
        <w:rPr>
          <w:rFonts w:asciiTheme="minorHAnsi" w:eastAsiaTheme="majorEastAsia" w:hAnsiTheme="minorHAnsi" w:cstheme="minorHAnsi"/>
          <w:bCs/>
        </w:rPr>
        <w:t xml:space="preserve"> Aboriginal or Torres Stra</w:t>
      </w:r>
      <w:r w:rsidR="00EB4886">
        <w:rPr>
          <w:rFonts w:asciiTheme="minorHAnsi" w:eastAsiaTheme="majorEastAsia" w:hAnsiTheme="minorHAnsi" w:cstheme="minorHAnsi"/>
          <w:bCs/>
        </w:rPr>
        <w:t>i</w:t>
      </w:r>
      <w:r w:rsidRPr="00EA6CEE">
        <w:rPr>
          <w:rFonts w:asciiTheme="minorHAnsi" w:eastAsiaTheme="majorEastAsia" w:hAnsiTheme="minorHAnsi" w:cstheme="minorHAnsi"/>
          <w:bCs/>
        </w:rPr>
        <w:t>t Islander background</w:t>
      </w:r>
    </w:p>
    <w:p w14:paraId="7E661EB2" w14:textId="1387E15B" w:rsidR="00EA6CEE" w:rsidRPr="00EA6CEE" w:rsidRDefault="00EA6CEE" w:rsidP="00EA6CEE">
      <w:pPr>
        <w:pStyle w:val="ListParagraph"/>
        <w:numPr>
          <w:ilvl w:val="0"/>
          <w:numId w:val="22"/>
        </w:numPr>
        <w:rPr>
          <w:rFonts w:asciiTheme="minorHAnsi" w:eastAsiaTheme="majorEastAsia" w:hAnsiTheme="minorHAnsi" w:cstheme="minorHAnsi"/>
          <w:bCs/>
        </w:rPr>
      </w:pPr>
      <w:r w:rsidRPr="00EA6CEE">
        <w:rPr>
          <w:rFonts w:asciiTheme="minorHAnsi" w:eastAsiaTheme="majorEastAsia" w:hAnsiTheme="minorHAnsi" w:cstheme="minorHAnsi"/>
          <w:bCs/>
        </w:rPr>
        <w:t>Young people with a disability (where the disability is impacting educational engagement)</w:t>
      </w:r>
    </w:p>
    <w:p w14:paraId="64E29AD4" w14:textId="77777777" w:rsidR="00EA6CEE" w:rsidRPr="00EA6CEE" w:rsidRDefault="00EA6CEE" w:rsidP="00EA6CEE">
      <w:pPr>
        <w:pStyle w:val="ListParagraph"/>
        <w:numPr>
          <w:ilvl w:val="0"/>
          <w:numId w:val="22"/>
        </w:numPr>
        <w:rPr>
          <w:rFonts w:asciiTheme="minorHAnsi" w:eastAsiaTheme="majorEastAsia" w:hAnsiTheme="minorHAnsi" w:cstheme="minorHAnsi"/>
          <w:bCs/>
        </w:rPr>
      </w:pPr>
      <w:r w:rsidRPr="00EA6CEE">
        <w:rPr>
          <w:rFonts w:asciiTheme="minorHAnsi" w:eastAsiaTheme="majorEastAsia" w:hAnsiTheme="minorHAnsi" w:cstheme="minorHAnsi"/>
          <w:bCs/>
        </w:rPr>
        <w:t xml:space="preserve">Young people who are known to child protection </w:t>
      </w:r>
    </w:p>
    <w:p w14:paraId="712A32EC" w14:textId="60E93812" w:rsidR="00EA6CEE" w:rsidRPr="00EA6CEE" w:rsidRDefault="00EA6CEE" w:rsidP="00EA6CEE">
      <w:pPr>
        <w:pStyle w:val="ListParagraph"/>
        <w:numPr>
          <w:ilvl w:val="0"/>
          <w:numId w:val="22"/>
        </w:numPr>
        <w:rPr>
          <w:rFonts w:asciiTheme="minorHAnsi" w:eastAsiaTheme="majorEastAsia" w:hAnsiTheme="minorHAnsi" w:cstheme="minorHAnsi"/>
          <w:bCs/>
        </w:rPr>
      </w:pPr>
      <w:r>
        <w:rPr>
          <w:rFonts w:asciiTheme="minorHAnsi" w:eastAsiaTheme="majorEastAsia" w:hAnsiTheme="minorHAnsi" w:cstheme="minorHAnsi"/>
          <w:bCs/>
        </w:rPr>
        <w:t xml:space="preserve">Young people who are </w:t>
      </w:r>
      <w:r w:rsidRPr="00EA6CEE">
        <w:rPr>
          <w:rFonts w:asciiTheme="minorHAnsi" w:eastAsiaTheme="majorEastAsia" w:hAnsiTheme="minorHAnsi" w:cstheme="minorHAnsi"/>
          <w:bCs/>
        </w:rPr>
        <w:t xml:space="preserve">from a likely refugee or asylum seeker background (or similar) </w:t>
      </w:r>
    </w:p>
    <w:p w14:paraId="7AF07341" w14:textId="73A9FBE7" w:rsidR="00EA6CEE" w:rsidRPr="00EA6CEE" w:rsidRDefault="00EA6CEE" w:rsidP="00EA6CEE">
      <w:pPr>
        <w:pStyle w:val="ListParagraph"/>
        <w:numPr>
          <w:ilvl w:val="0"/>
          <w:numId w:val="22"/>
        </w:numPr>
        <w:rPr>
          <w:rFonts w:asciiTheme="minorHAnsi" w:eastAsiaTheme="majorEastAsia" w:hAnsiTheme="minorHAnsi" w:cstheme="minorHAnsi"/>
          <w:bCs/>
        </w:rPr>
      </w:pPr>
      <w:r>
        <w:rPr>
          <w:rFonts w:asciiTheme="minorHAnsi" w:eastAsiaTheme="majorEastAsia" w:hAnsiTheme="minorHAnsi" w:cstheme="minorHAnsi"/>
          <w:bCs/>
        </w:rPr>
        <w:t>Young people who</w:t>
      </w:r>
      <w:r w:rsidRPr="00EA6CEE">
        <w:rPr>
          <w:rFonts w:asciiTheme="minorHAnsi" w:eastAsiaTheme="majorEastAsia" w:hAnsiTheme="minorHAnsi" w:cstheme="minorHAnsi"/>
          <w:bCs/>
        </w:rPr>
        <w:t xml:space="preserve"> are involved, or at risk of becoming involved, with Youth Justice </w:t>
      </w:r>
    </w:p>
    <w:p w14:paraId="363B6E51" w14:textId="77777777" w:rsidR="00EB6BE5" w:rsidRDefault="00EB6BE5" w:rsidP="00EA6CEE">
      <w:pPr>
        <w:rPr>
          <w:rFonts w:eastAsiaTheme="majorEastAsia" w:cstheme="minorHAnsi"/>
          <w:bCs/>
        </w:rPr>
      </w:pPr>
    </w:p>
    <w:p w14:paraId="607E2E3E" w14:textId="70E7DBB8" w:rsidR="007A25F1" w:rsidRDefault="007A25F1" w:rsidP="00EA6CEE">
      <w:pPr>
        <w:rPr>
          <w:rFonts w:eastAsiaTheme="majorEastAsia" w:cstheme="minorHAnsi"/>
          <w:bCs/>
        </w:rPr>
      </w:pPr>
      <w:r>
        <w:rPr>
          <w:rFonts w:eastAsiaTheme="majorEastAsia" w:cstheme="minorHAnsi"/>
          <w:bCs/>
        </w:rPr>
        <w:t>The application form will ask you to detail how you will ensure you provide a culturally safe, inclusive and or appropriate service to young people from these cohorts – this may in</w:t>
      </w:r>
      <w:r w:rsidR="00353F45">
        <w:rPr>
          <w:rFonts w:eastAsiaTheme="majorEastAsia" w:cstheme="minorHAnsi"/>
          <w:bCs/>
        </w:rPr>
        <w:t>clude</w:t>
      </w:r>
      <w:r>
        <w:rPr>
          <w:rFonts w:eastAsiaTheme="majorEastAsia" w:cstheme="minorHAnsi"/>
          <w:bCs/>
        </w:rPr>
        <w:t xml:space="preserve"> the involvement of specific partner</w:t>
      </w:r>
      <w:r w:rsidR="00353F45">
        <w:rPr>
          <w:rFonts w:eastAsiaTheme="majorEastAsia" w:cstheme="minorHAnsi"/>
          <w:bCs/>
        </w:rPr>
        <w:t>s</w:t>
      </w:r>
      <w:r>
        <w:rPr>
          <w:rFonts w:eastAsiaTheme="majorEastAsia" w:cstheme="minorHAnsi"/>
          <w:bCs/>
        </w:rPr>
        <w:t xml:space="preserve"> as well as key strategies</w:t>
      </w:r>
      <w:r w:rsidR="00353F45">
        <w:rPr>
          <w:rFonts w:eastAsiaTheme="majorEastAsia" w:cstheme="minorHAnsi"/>
          <w:bCs/>
        </w:rPr>
        <w:t xml:space="preserve"> and actions</w:t>
      </w:r>
      <w:r>
        <w:rPr>
          <w:rFonts w:eastAsiaTheme="majorEastAsia" w:cstheme="minorHAnsi"/>
          <w:bCs/>
        </w:rPr>
        <w:t xml:space="preserve"> your organisation/ partners will adopt.     </w:t>
      </w:r>
    </w:p>
    <w:p w14:paraId="1AFD2134" w14:textId="77777777" w:rsidR="00F64F33" w:rsidRDefault="00F64F33" w:rsidP="00EA6CEE">
      <w:pPr>
        <w:rPr>
          <w:rFonts w:eastAsiaTheme="majorEastAsia" w:cstheme="minorHAnsi"/>
          <w:bCs/>
        </w:rPr>
      </w:pPr>
    </w:p>
    <w:p w14:paraId="74457A80" w14:textId="370C6F9A" w:rsidR="005C6713" w:rsidRPr="008B710C" w:rsidRDefault="005C6713" w:rsidP="005C6713">
      <w:pPr>
        <w:rPr>
          <w:rFonts w:eastAsiaTheme="majorEastAsia" w:cstheme="minorHAnsi"/>
          <w:bCs/>
          <w:szCs w:val="22"/>
          <w:lang w:val="en-AU"/>
        </w:rPr>
      </w:pPr>
      <w:r w:rsidRPr="00C26C77">
        <w:rPr>
          <w:rFonts w:eastAsiaTheme="majorEastAsia" w:cstheme="minorHAnsi"/>
          <w:b/>
          <w:color w:val="E25205" w:themeColor="accent1"/>
          <w:szCs w:val="22"/>
          <w:lang w:val="en-AU"/>
        </w:rPr>
        <w:t>What are our recruitment requirements?</w:t>
      </w:r>
    </w:p>
    <w:p w14:paraId="28796342" w14:textId="5927B909" w:rsidR="005C6713" w:rsidRPr="00C30814" w:rsidRDefault="005C6713" w:rsidP="005C6713">
      <w:pPr>
        <w:rPr>
          <w:rFonts w:cstheme="minorHAnsi"/>
          <w:szCs w:val="22"/>
          <w:lang w:val="en-AU"/>
        </w:rPr>
      </w:pPr>
      <w:r w:rsidRPr="00C30814">
        <w:rPr>
          <w:rFonts w:cstheme="minorHAnsi"/>
          <w:szCs w:val="22"/>
          <w:lang w:val="en-AU"/>
        </w:rPr>
        <w:t xml:space="preserve">Interested applicants should </w:t>
      </w:r>
      <w:r w:rsidR="00F64F33">
        <w:rPr>
          <w:rFonts w:cstheme="minorHAnsi"/>
          <w:szCs w:val="22"/>
          <w:lang w:val="en-AU"/>
        </w:rPr>
        <w:t xml:space="preserve">be confident they can recruit to all roles they identify in their application in a timely manner and </w:t>
      </w:r>
      <w:r w:rsidRPr="00C30814">
        <w:rPr>
          <w:rFonts w:cstheme="minorHAnsi"/>
          <w:szCs w:val="22"/>
          <w:lang w:val="en-AU"/>
        </w:rPr>
        <w:t xml:space="preserve">have a realistic recruitment plan in place prior to submitting their application. </w:t>
      </w:r>
      <w:r w:rsidR="00B00C71">
        <w:rPr>
          <w:rFonts w:cstheme="minorHAnsi"/>
          <w:szCs w:val="22"/>
          <w:lang w:val="en-AU"/>
        </w:rPr>
        <w:t xml:space="preserve">If a new </w:t>
      </w:r>
      <w:r w:rsidRPr="00C30814">
        <w:rPr>
          <w:rFonts w:cstheme="minorHAnsi"/>
          <w:szCs w:val="22"/>
          <w:lang w:val="en-AU"/>
        </w:rPr>
        <w:t xml:space="preserve">Service Provider </w:t>
      </w:r>
      <w:r w:rsidR="00B00C71">
        <w:rPr>
          <w:rFonts w:cstheme="minorHAnsi"/>
          <w:szCs w:val="22"/>
          <w:lang w:val="en-AU"/>
        </w:rPr>
        <w:t xml:space="preserve">is selected, they </w:t>
      </w:r>
      <w:r w:rsidRPr="00C30814">
        <w:rPr>
          <w:rFonts w:cstheme="minorHAnsi"/>
          <w:szCs w:val="22"/>
          <w:lang w:val="en-AU"/>
        </w:rPr>
        <w:t xml:space="preserve">will need to work with DE and the current Service Provider to </w:t>
      </w:r>
      <w:r w:rsidRPr="00C30814">
        <w:rPr>
          <w:rFonts w:cstheme="minorHAnsi"/>
          <w:szCs w:val="22"/>
        </w:rPr>
        <w:t xml:space="preserve">ensure continuity of service delivery from contract </w:t>
      </w:r>
      <w:r w:rsidR="0033675C" w:rsidRPr="00C30814">
        <w:rPr>
          <w:rFonts w:cstheme="minorHAnsi"/>
          <w:szCs w:val="22"/>
        </w:rPr>
        <w:t>inception</w:t>
      </w:r>
      <w:r w:rsidR="0033675C">
        <w:rPr>
          <w:rFonts w:cstheme="minorHAnsi"/>
          <w:szCs w:val="22"/>
        </w:rPr>
        <w:t xml:space="preserve"> and</w:t>
      </w:r>
      <w:r w:rsidR="00B00C71">
        <w:rPr>
          <w:rFonts w:cstheme="minorHAnsi"/>
          <w:szCs w:val="22"/>
        </w:rPr>
        <w:t xml:space="preserve"> must </w:t>
      </w:r>
      <w:r w:rsidRPr="00C30814">
        <w:rPr>
          <w:rFonts w:cstheme="minorHAnsi"/>
          <w:szCs w:val="22"/>
          <w:lang w:val="en-AU"/>
        </w:rPr>
        <w:t xml:space="preserve">confirm how they will </w:t>
      </w:r>
      <w:r w:rsidRPr="00C30814">
        <w:rPr>
          <w:rFonts w:cstheme="minorHAnsi"/>
          <w:szCs w:val="22"/>
        </w:rPr>
        <w:t>ensure staff members are deployed to fill Navigator roles (permanently or temporarily) from late 202</w:t>
      </w:r>
      <w:r w:rsidR="00F64F33">
        <w:rPr>
          <w:rFonts w:cstheme="minorHAnsi"/>
          <w:szCs w:val="22"/>
        </w:rPr>
        <w:t>4</w:t>
      </w:r>
      <w:r w:rsidRPr="00C30814">
        <w:rPr>
          <w:rFonts w:cstheme="minorHAnsi"/>
          <w:szCs w:val="22"/>
        </w:rPr>
        <w:t>.</w:t>
      </w:r>
      <w:r w:rsidR="000E2B8C">
        <w:rPr>
          <w:rFonts w:cstheme="minorHAnsi"/>
          <w:szCs w:val="22"/>
        </w:rPr>
        <w:t xml:space="preserve"> </w:t>
      </w:r>
    </w:p>
    <w:p w14:paraId="53E19E09" w14:textId="77777777" w:rsidR="005C6713" w:rsidRPr="00C26C77" w:rsidRDefault="005C6713" w:rsidP="005C6713">
      <w:pPr>
        <w:rPr>
          <w:rFonts w:eastAsiaTheme="majorEastAsia" w:cstheme="minorHAnsi"/>
          <w:b/>
          <w:color w:val="E25205" w:themeColor="accent1"/>
          <w:szCs w:val="22"/>
          <w:lang w:val="en-AU"/>
        </w:rPr>
      </w:pPr>
      <w:r w:rsidRPr="00C30814">
        <w:rPr>
          <w:rFonts w:cstheme="minorHAnsi"/>
          <w:szCs w:val="22"/>
        </w:rPr>
        <w:t xml:space="preserve">All Service Providers are expected to have recruitment plans in place in the event of staff movement from Navigator – this should include how to temporarily back-fill essential operating positions (such as Case Management, Intake and Assessment and Active Hold) to ensure continuity of service and that young people are not left without support. </w:t>
      </w:r>
    </w:p>
    <w:p w14:paraId="1178AEEA" w14:textId="77777777" w:rsidR="005C6713" w:rsidRPr="00C26C77" w:rsidRDefault="005C6713" w:rsidP="005C6713">
      <w:pPr>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t xml:space="preserve">Are applications that include funded partnerships or a consortium arrangement viewed more favourably than service providers who propose to deliver the program solo? </w:t>
      </w:r>
    </w:p>
    <w:p w14:paraId="5DDB1335" w14:textId="77777777" w:rsidR="005C6713" w:rsidRDefault="005C6713" w:rsidP="005C6713">
      <w:pPr>
        <w:rPr>
          <w:rFonts w:cstheme="minorHAnsi"/>
          <w:szCs w:val="22"/>
        </w:rPr>
      </w:pPr>
      <w:r w:rsidRPr="00C30814">
        <w:rPr>
          <w:rFonts w:cstheme="minorHAnsi"/>
          <w:szCs w:val="22"/>
        </w:rPr>
        <w:t xml:space="preserve">No. Applicants are encouraged to propose the service delivery model that they feel is most appropriate. Funded partnerships should only be included where there is agreement and commitment from all parties, and a plan for how the arrangement will be delivered, monitored and acquitted should be determined prior to application. </w:t>
      </w:r>
    </w:p>
    <w:p w14:paraId="1BA547EB" w14:textId="208CE495" w:rsidR="000E2B8C" w:rsidRPr="00C30814" w:rsidRDefault="000E2B8C" w:rsidP="005C6713">
      <w:pPr>
        <w:rPr>
          <w:rFonts w:cstheme="minorHAnsi"/>
          <w:szCs w:val="22"/>
        </w:rPr>
      </w:pPr>
      <w:r>
        <w:rPr>
          <w:rFonts w:cstheme="minorHAnsi"/>
          <w:szCs w:val="22"/>
        </w:rPr>
        <w:t xml:space="preserve">Any partners should understand that DE will hold one contract with a Lead service provider only – throughout the contract DE will communicate and work directly with the Lead service provider who will be responsible for communicating the area wide program implementation, including that of the partner organisation/s </w:t>
      </w:r>
    </w:p>
    <w:p w14:paraId="3E9A9D39" w14:textId="06EAF3EE" w:rsidR="001425AD" w:rsidRPr="001425AD" w:rsidRDefault="00F72523" w:rsidP="005C6713">
      <w:pPr>
        <w:rPr>
          <w:rFonts w:cstheme="minorHAnsi"/>
          <w:b/>
          <w:bCs/>
          <w:color w:val="E25205" w:themeColor="accent1"/>
          <w:szCs w:val="22"/>
        </w:rPr>
      </w:pPr>
      <w:r w:rsidRPr="001425AD">
        <w:rPr>
          <w:rFonts w:cstheme="minorHAnsi"/>
          <w:b/>
          <w:bCs/>
          <w:color w:val="E25205" w:themeColor="accent1"/>
          <w:szCs w:val="22"/>
        </w:rPr>
        <w:t xml:space="preserve">Will you accept applications submitted jointly between 2 </w:t>
      </w:r>
      <w:r w:rsidR="001425AD">
        <w:rPr>
          <w:rFonts w:cstheme="minorHAnsi"/>
          <w:b/>
          <w:bCs/>
          <w:color w:val="E25205" w:themeColor="accent1"/>
          <w:szCs w:val="22"/>
        </w:rPr>
        <w:t>s</w:t>
      </w:r>
      <w:r w:rsidRPr="001425AD">
        <w:rPr>
          <w:rFonts w:cstheme="minorHAnsi"/>
          <w:b/>
          <w:bCs/>
          <w:color w:val="E25205" w:themeColor="accent1"/>
          <w:szCs w:val="22"/>
        </w:rPr>
        <w:t xml:space="preserve">ervice </w:t>
      </w:r>
      <w:r w:rsidR="001425AD">
        <w:rPr>
          <w:rFonts w:cstheme="minorHAnsi"/>
          <w:b/>
          <w:bCs/>
          <w:color w:val="E25205" w:themeColor="accent1"/>
          <w:szCs w:val="22"/>
        </w:rPr>
        <w:t>p</w:t>
      </w:r>
      <w:r w:rsidRPr="001425AD">
        <w:rPr>
          <w:rFonts w:cstheme="minorHAnsi"/>
          <w:b/>
          <w:bCs/>
          <w:color w:val="E25205" w:themeColor="accent1"/>
          <w:szCs w:val="22"/>
        </w:rPr>
        <w:t>roviders who will</w:t>
      </w:r>
      <w:r w:rsidR="001425AD" w:rsidRPr="001425AD">
        <w:rPr>
          <w:rFonts w:cstheme="minorHAnsi"/>
          <w:b/>
          <w:bCs/>
          <w:color w:val="E25205" w:themeColor="accent1"/>
          <w:szCs w:val="22"/>
        </w:rPr>
        <w:t xml:space="preserve"> collaborate to deliver the program?</w:t>
      </w:r>
    </w:p>
    <w:p w14:paraId="209D97B1" w14:textId="77777777" w:rsidR="001425AD" w:rsidRDefault="001425AD" w:rsidP="001425AD">
      <w:pPr>
        <w:rPr>
          <w:rFonts w:eastAsiaTheme="majorEastAsia" w:cstheme="minorHAnsi"/>
          <w:b/>
          <w:color w:val="E25205" w:themeColor="accent1"/>
          <w:szCs w:val="22"/>
          <w:lang w:val="en-AU"/>
        </w:rPr>
      </w:pPr>
      <w:r>
        <w:rPr>
          <w:rFonts w:cstheme="minorHAnsi"/>
          <w:szCs w:val="22"/>
        </w:rPr>
        <w:t>No. Applications must identify a lead service provider who will enter into a Common Funding Agreement and be ultimately responsible for program delivery.</w:t>
      </w:r>
      <w:r>
        <w:rPr>
          <w:rFonts w:cstheme="minorHAnsi"/>
          <w:szCs w:val="22"/>
        </w:rPr>
        <w:br/>
      </w:r>
    </w:p>
    <w:p w14:paraId="387CCE0B" w14:textId="77777777" w:rsidR="005C6713" w:rsidRPr="00C26C77" w:rsidRDefault="005C6713" w:rsidP="005C6713">
      <w:pPr>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t xml:space="preserve">What governance arrangements and program oversight are there? Who makes key decisions? </w:t>
      </w:r>
    </w:p>
    <w:p w14:paraId="26F94427" w14:textId="29722866" w:rsidR="005C6713" w:rsidRPr="00C30814" w:rsidRDefault="005C6713" w:rsidP="005C6713">
      <w:pPr>
        <w:rPr>
          <w:rFonts w:cstheme="minorHAnsi"/>
          <w:szCs w:val="22"/>
        </w:rPr>
      </w:pPr>
      <w:r w:rsidRPr="00C30814">
        <w:rPr>
          <w:rFonts w:cstheme="minorHAnsi"/>
          <w:szCs w:val="22"/>
        </w:rPr>
        <w:t>Local Navigator teams (i.e. the Service Provider plus</w:t>
      </w:r>
      <w:r w:rsidR="00B8432F">
        <w:rPr>
          <w:rFonts w:cstheme="minorHAnsi"/>
          <w:szCs w:val="22"/>
        </w:rPr>
        <w:t xml:space="preserve"> the local</w:t>
      </w:r>
      <w:r w:rsidRPr="00C30814">
        <w:rPr>
          <w:rFonts w:cstheme="minorHAnsi"/>
          <w:szCs w:val="22"/>
        </w:rPr>
        <w:t xml:space="preserve"> DE Navigator team) work together to determine the most appropriate governance arrangements.  This generally includes: </w:t>
      </w:r>
    </w:p>
    <w:p w14:paraId="43B862EF" w14:textId="77777777" w:rsidR="005C6713" w:rsidRPr="00C26C77" w:rsidRDefault="005C6713" w:rsidP="005C6713">
      <w:pPr>
        <w:pStyle w:val="ListParagraph"/>
        <w:numPr>
          <w:ilvl w:val="0"/>
          <w:numId w:val="18"/>
        </w:numPr>
        <w:rPr>
          <w:rFonts w:asciiTheme="minorHAnsi" w:hAnsiTheme="minorHAnsi" w:cstheme="minorHAnsi"/>
        </w:rPr>
      </w:pPr>
      <w:r w:rsidRPr="00C26C77">
        <w:rPr>
          <w:rFonts w:asciiTheme="minorHAnsi" w:hAnsiTheme="minorHAnsi" w:cstheme="minorHAnsi"/>
          <w:b/>
          <w:bCs/>
        </w:rPr>
        <w:lastRenderedPageBreak/>
        <w:t>Program Level Operations</w:t>
      </w:r>
      <w:r w:rsidRPr="00C26C77">
        <w:rPr>
          <w:rFonts w:asciiTheme="minorHAnsi" w:hAnsiTheme="minorHAnsi" w:cstheme="minorHAnsi"/>
        </w:rPr>
        <w:t xml:space="preserve">: Day to day management of Navigator </w:t>
      </w:r>
    </w:p>
    <w:p w14:paraId="13B851B4" w14:textId="1324D810" w:rsidR="005C6713" w:rsidRPr="00C26C77" w:rsidRDefault="005C6713" w:rsidP="005C6713">
      <w:pPr>
        <w:pStyle w:val="ListParagraph"/>
        <w:numPr>
          <w:ilvl w:val="1"/>
          <w:numId w:val="18"/>
        </w:numPr>
        <w:rPr>
          <w:rFonts w:asciiTheme="minorHAnsi" w:hAnsiTheme="minorHAnsi" w:cstheme="minorHAnsi"/>
        </w:rPr>
      </w:pPr>
      <w:r w:rsidRPr="00C26C77">
        <w:rPr>
          <w:rFonts w:asciiTheme="minorHAnsi" w:hAnsiTheme="minorHAnsi" w:cstheme="minorHAnsi"/>
        </w:rPr>
        <w:t xml:space="preserve">typically, weekly/fortnightly meetings between the Service Provider and </w:t>
      </w:r>
      <w:r w:rsidR="00B8432F">
        <w:rPr>
          <w:rFonts w:asciiTheme="minorHAnsi" w:hAnsiTheme="minorHAnsi" w:cstheme="minorHAnsi"/>
        </w:rPr>
        <w:t xml:space="preserve">a </w:t>
      </w:r>
      <w:r w:rsidRPr="00C26C77">
        <w:rPr>
          <w:rFonts w:asciiTheme="minorHAnsi" w:hAnsiTheme="minorHAnsi" w:cstheme="minorHAnsi"/>
        </w:rPr>
        <w:t>Navigator Coordinator</w:t>
      </w:r>
    </w:p>
    <w:p w14:paraId="212328EE" w14:textId="402EAD79" w:rsidR="005C6713" w:rsidRPr="00C26C77" w:rsidRDefault="005C6713" w:rsidP="005C6713">
      <w:pPr>
        <w:pStyle w:val="ListParagraph"/>
        <w:numPr>
          <w:ilvl w:val="1"/>
          <w:numId w:val="18"/>
        </w:numPr>
        <w:rPr>
          <w:rFonts w:asciiTheme="minorHAnsi" w:hAnsiTheme="minorHAnsi" w:cstheme="minorHAnsi"/>
        </w:rPr>
      </w:pPr>
      <w:r w:rsidRPr="00C26C77">
        <w:rPr>
          <w:rFonts w:asciiTheme="minorHAnsi" w:hAnsiTheme="minorHAnsi" w:cstheme="minorHAnsi"/>
        </w:rPr>
        <w:t>Program</w:t>
      </w:r>
      <w:r w:rsidRPr="00C26C77">
        <w:rPr>
          <w:rFonts w:asciiTheme="minorHAnsi" w:hAnsiTheme="minorHAnsi" w:cstheme="minorHAnsi"/>
          <w:i/>
          <w:iCs/>
        </w:rPr>
        <w:t xml:space="preserve"> Operating Guidelines</w:t>
      </w:r>
      <w:r w:rsidRPr="00C26C77">
        <w:rPr>
          <w:rFonts w:asciiTheme="minorHAnsi" w:hAnsiTheme="minorHAnsi" w:cstheme="minorHAnsi"/>
        </w:rPr>
        <w:t xml:space="preserve"> (</w:t>
      </w:r>
      <w:hyperlink r:id="rId11" w:history="1">
        <w:r w:rsidR="00B8432F" w:rsidRPr="005C46AE">
          <w:rPr>
            <w:rStyle w:val="Hyperlink"/>
            <w:rFonts w:asciiTheme="minorHAnsi" w:hAnsiTheme="minorHAnsi" w:cstheme="minorHAnsi"/>
          </w:rPr>
          <w:t>an abridged version supplied as part of this EOI)</w:t>
        </w:r>
      </w:hyperlink>
      <w:r w:rsidR="00B8432F">
        <w:rPr>
          <w:rFonts w:asciiTheme="minorHAnsi" w:hAnsiTheme="minorHAnsi" w:cstheme="minorHAnsi"/>
        </w:rPr>
        <w:t xml:space="preserve"> </w:t>
      </w:r>
      <w:r w:rsidRPr="00C26C77">
        <w:rPr>
          <w:rFonts w:asciiTheme="minorHAnsi" w:hAnsiTheme="minorHAnsi" w:cstheme="minorHAnsi"/>
        </w:rPr>
        <w:t>outline who is responsible for what and how to make local decisions.</w:t>
      </w:r>
    </w:p>
    <w:p w14:paraId="5CE5F153" w14:textId="77777777" w:rsidR="005C6713" w:rsidRPr="00C26C77" w:rsidRDefault="005C6713" w:rsidP="005C6713">
      <w:pPr>
        <w:pStyle w:val="ListParagraph"/>
        <w:ind w:left="1440"/>
        <w:rPr>
          <w:rFonts w:asciiTheme="minorHAnsi" w:hAnsiTheme="minorHAnsi" w:cstheme="minorHAnsi"/>
        </w:rPr>
      </w:pPr>
    </w:p>
    <w:p w14:paraId="7C67E633" w14:textId="77777777" w:rsidR="005C6713" w:rsidRPr="00C26C77" w:rsidRDefault="005C6713" w:rsidP="005C6713">
      <w:pPr>
        <w:pStyle w:val="ListParagraph"/>
        <w:numPr>
          <w:ilvl w:val="0"/>
          <w:numId w:val="18"/>
        </w:numPr>
        <w:rPr>
          <w:rFonts w:asciiTheme="minorHAnsi" w:eastAsia="Calibri" w:hAnsiTheme="minorHAnsi" w:cstheme="minorHAnsi"/>
        </w:rPr>
      </w:pPr>
      <w:r w:rsidRPr="00C26C77">
        <w:rPr>
          <w:rFonts w:asciiTheme="minorHAnsi" w:eastAsia="Calibri" w:hAnsiTheme="minorHAnsi" w:cstheme="minorHAnsi"/>
          <w:b/>
          <w:bCs/>
        </w:rPr>
        <w:t>Operational governance</w:t>
      </w:r>
      <w:r w:rsidRPr="00C26C77">
        <w:rPr>
          <w:rFonts w:asciiTheme="minorHAnsi" w:eastAsia="Calibri" w:hAnsiTheme="minorHAnsi" w:cstheme="minorHAnsi"/>
        </w:rPr>
        <w:t xml:space="preserve">: To discuss broader implementation and practice issues relating to the local service delivery model/plan, e.g. resolve local issues relating to specific participants or within partnerships, review and assess program delivery against service delivery model/plan, and monitoring the budget and ensure spending is in line with the service delivery model/plan. </w:t>
      </w:r>
    </w:p>
    <w:p w14:paraId="38F725B1" w14:textId="0E0B4F97" w:rsidR="005C6713" w:rsidRPr="00C26C77" w:rsidRDefault="005C6713" w:rsidP="005C6713">
      <w:pPr>
        <w:pStyle w:val="ListParagraph"/>
        <w:numPr>
          <w:ilvl w:val="1"/>
          <w:numId w:val="18"/>
        </w:numPr>
        <w:rPr>
          <w:rFonts w:asciiTheme="minorHAnsi" w:eastAsia="Calibri" w:hAnsiTheme="minorHAnsi" w:cstheme="minorHAnsi"/>
        </w:rPr>
      </w:pPr>
      <w:r w:rsidRPr="00C26C77">
        <w:rPr>
          <w:rFonts w:asciiTheme="minorHAnsi" w:eastAsia="Calibri" w:hAnsiTheme="minorHAnsi" w:cstheme="minorHAnsi"/>
        </w:rPr>
        <w:t xml:space="preserve">Typically monthly / twice per term meetings with the </w:t>
      </w:r>
      <w:r w:rsidR="00B8432F">
        <w:rPr>
          <w:rFonts w:asciiTheme="minorHAnsi" w:eastAsia="Calibri" w:hAnsiTheme="minorHAnsi" w:cstheme="minorHAnsi"/>
        </w:rPr>
        <w:t xml:space="preserve">local </w:t>
      </w:r>
      <w:r w:rsidRPr="00C26C77">
        <w:rPr>
          <w:rFonts w:asciiTheme="minorHAnsi" w:eastAsia="Calibri" w:hAnsiTheme="minorHAnsi" w:cstheme="minorHAnsi"/>
        </w:rPr>
        <w:t xml:space="preserve">DE Navigator team, Service Provider management and funded partners. </w:t>
      </w:r>
    </w:p>
    <w:p w14:paraId="7C6DD82E" w14:textId="77777777" w:rsidR="005C6713" w:rsidRPr="00ED3466" w:rsidRDefault="005C6713" w:rsidP="005C6713">
      <w:pPr>
        <w:pStyle w:val="ListParagraph"/>
        <w:numPr>
          <w:ilvl w:val="1"/>
          <w:numId w:val="18"/>
        </w:numPr>
        <w:rPr>
          <w:rFonts w:asciiTheme="minorHAnsi" w:eastAsia="Calibri" w:hAnsiTheme="minorHAnsi" w:cstheme="minorHAnsi"/>
        </w:rPr>
      </w:pPr>
      <w:r w:rsidRPr="00C26C77">
        <w:rPr>
          <w:rFonts w:asciiTheme="minorHAnsi" w:eastAsia="Calibri" w:hAnsiTheme="minorHAnsi" w:cstheme="minorHAnsi"/>
        </w:rPr>
        <w:t>Where joint agreement cannot be reached, DE will be the final decision maker.</w:t>
      </w:r>
    </w:p>
    <w:p w14:paraId="1D0B5799" w14:textId="77777777" w:rsidR="005C6713" w:rsidRPr="00C26C77" w:rsidRDefault="005C6713" w:rsidP="005C6713">
      <w:pPr>
        <w:rPr>
          <w:rFonts w:eastAsiaTheme="majorEastAsia" w:cstheme="minorHAnsi"/>
          <w:b/>
          <w:color w:val="E25205" w:themeColor="accent1"/>
          <w:szCs w:val="22"/>
          <w:lang w:val="en-AU"/>
        </w:rPr>
      </w:pPr>
    </w:p>
    <w:p w14:paraId="572C37DC" w14:textId="77777777" w:rsidR="005C6713" w:rsidRPr="00C26C77" w:rsidRDefault="005C6713" w:rsidP="005C6713">
      <w:pPr>
        <w:pStyle w:val="ListParagraph"/>
        <w:numPr>
          <w:ilvl w:val="0"/>
          <w:numId w:val="18"/>
        </w:numPr>
        <w:rPr>
          <w:rFonts w:asciiTheme="minorHAnsi" w:eastAsia="Calibri" w:hAnsiTheme="minorHAnsi" w:cstheme="minorHAnsi"/>
        </w:rPr>
      </w:pPr>
      <w:r w:rsidRPr="00C26C77">
        <w:rPr>
          <w:rFonts w:asciiTheme="minorHAnsi" w:eastAsia="Calibri" w:hAnsiTheme="minorHAnsi" w:cstheme="minorHAnsi"/>
          <w:b/>
          <w:bCs/>
        </w:rPr>
        <w:t>Strategic governance</w:t>
      </w:r>
      <w:r w:rsidRPr="00C26C77">
        <w:rPr>
          <w:rFonts w:asciiTheme="minorHAnsi" w:eastAsia="Calibri" w:hAnsiTheme="minorHAnsi" w:cstheme="minorHAnsi"/>
        </w:rPr>
        <w:t xml:space="preserve">: To facilitate high-level strategic collaboration regarding the local program e.g.  the identification of broader opportunities to support vulnerable young people and their families, opportunities to address broader local issues concerning student disengagement, the identification of particular sub-cohorts of the Navigator population which may require further locally targeted supports (such as particular CALD communities, or issues that are particular to a certain location), and or analysing and responding to Navigator data. </w:t>
      </w:r>
    </w:p>
    <w:p w14:paraId="5667E45D" w14:textId="77777777" w:rsidR="005C6713" w:rsidRPr="00C26C77" w:rsidRDefault="005C6713" w:rsidP="005C6713">
      <w:pPr>
        <w:pStyle w:val="ListParagraph"/>
        <w:numPr>
          <w:ilvl w:val="1"/>
          <w:numId w:val="18"/>
        </w:numPr>
        <w:rPr>
          <w:rFonts w:asciiTheme="minorHAnsi" w:eastAsia="Calibri" w:hAnsiTheme="minorHAnsi" w:cstheme="minorHAnsi"/>
        </w:rPr>
      </w:pPr>
      <w:r w:rsidRPr="00C26C77">
        <w:rPr>
          <w:rFonts w:asciiTheme="minorHAnsi" w:eastAsia="Calibri" w:hAnsiTheme="minorHAnsi" w:cstheme="minorHAnsi"/>
        </w:rPr>
        <w:t>Typically once per term meetings attended by a variety of relevant local support services.</w:t>
      </w:r>
    </w:p>
    <w:p w14:paraId="112DC13E" w14:textId="4E8FBCA8" w:rsidR="008B710C" w:rsidRPr="00A421A4" w:rsidRDefault="005C6713" w:rsidP="005C6713">
      <w:pPr>
        <w:pStyle w:val="ListParagraph"/>
        <w:numPr>
          <w:ilvl w:val="1"/>
          <w:numId w:val="18"/>
        </w:numPr>
        <w:spacing w:after="120"/>
        <w:ind w:left="1434" w:hanging="357"/>
        <w:rPr>
          <w:rFonts w:eastAsia="Calibri" w:cstheme="minorHAnsi"/>
        </w:rPr>
      </w:pPr>
      <w:r w:rsidRPr="00C26C77">
        <w:rPr>
          <w:rFonts w:asciiTheme="minorHAnsi" w:eastAsia="Calibri" w:hAnsiTheme="minorHAnsi" w:cstheme="minorHAnsi"/>
        </w:rPr>
        <w:t xml:space="preserve">This level of governance should be initiated and led by DE, to ensure it aligns with </w:t>
      </w:r>
      <w:r w:rsidR="005B6898">
        <w:rPr>
          <w:rFonts w:asciiTheme="minorHAnsi" w:eastAsia="Calibri" w:hAnsiTheme="minorHAnsi" w:cstheme="minorHAnsi"/>
        </w:rPr>
        <w:t xml:space="preserve">local </w:t>
      </w:r>
      <w:r w:rsidRPr="00C26C77">
        <w:rPr>
          <w:rFonts w:asciiTheme="minorHAnsi" w:eastAsia="Calibri" w:hAnsiTheme="minorHAnsi" w:cstheme="minorHAnsi"/>
        </w:rPr>
        <w:t>DE priorities. Where joint agreement cannot be reached, DE will be the final decision maker.</w:t>
      </w:r>
    </w:p>
    <w:p w14:paraId="14A1948B" w14:textId="15E8706D" w:rsidR="005C6713" w:rsidRPr="00C26C77" w:rsidRDefault="005C6713" w:rsidP="005C6713">
      <w:pPr>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t>Can we deliver our own re-engagement program with the funding? Is there room for innovation?</w:t>
      </w:r>
    </w:p>
    <w:p w14:paraId="15CC4348" w14:textId="77777777" w:rsidR="005C6713" w:rsidRPr="00C30814" w:rsidRDefault="005C6713" w:rsidP="005C6713">
      <w:pPr>
        <w:rPr>
          <w:rFonts w:eastAsia="Calibri" w:cstheme="minorHAnsi"/>
          <w:szCs w:val="22"/>
        </w:rPr>
      </w:pPr>
      <w:r w:rsidRPr="00C30814">
        <w:rPr>
          <w:rFonts w:eastAsia="Calibri" w:cstheme="minorHAnsi"/>
          <w:szCs w:val="22"/>
        </w:rPr>
        <w:t xml:space="preserve">Navigator is an established, state-wide program, with set processes and parameters prescribed by DE - this EOI is to deliver that program and funding cannot be used to deliver your own re-engagement program.  </w:t>
      </w:r>
    </w:p>
    <w:p w14:paraId="583DF021" w14:textId="5EC45D0D" w:rsidR="005C6713" w:rsidRPr="00C30814" w:rsidRDefault="005C6713" w:rsidP="005C6713">
      <w:pPr>
        <w:rPr>
          <w:rFonts w:eastAsia="Calibri" w:cstheme="minorHAnsi"/>
          <w:szCs w:val="22"/>
        </w:rPr>
      </w:pPr>
      <w:r w:rsidRPr="00C30814">
        <w:rPr>
          <w:rFonts w:eastAsia="Calibri" w:cstheme="minorHAnsi"/>
          <w:szCs w:val="22"/>
        </w:rPr>
        <w:t>Innovation in how to deliver Navigator’s minimum key service delivery elements (see Program Overview and Application Information, pg 9) is welcomed and should be included/ outlined in your application. As part of a state-wide program, a Service Provider should be prepared to contribute to a Community of Practice and consider recommendations aimed at improving the effectiveness of the program</w:t>
      </w:r>
      <w:r w:rsidR="000115FD">
        <w:rPr>
          <w:rFonts w:eastAsia="Calibri" w:cstheme="minorHAnsi"/>
          <w:szCs w:val="22"/>
        </w:rPr>
        <w:t>.</w:t>
      </w:r>
      <w:r w:rsidRPr="00C30814">
        <w:rPr>
          <w:rFonts w:eastAsia="Calibri" w:cstheme="minorHAnsi"/>
          <w:szCs w:val="22"/>
        </w:rPr>
        <w:t xml:space="preserve"> </w:t>
      </w:r>
    </w:p>
    <w:p w14:paraId="5B320D0F" w14:textId="77777777" w:rsidR="005C6713" w:rsidRPr="00C26C77" w:rsidRDefault="005C6713" w:rsidP="005C6713">
      <w:pPr>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t>What are the expected FTEs and caseload of each of the required Navigator roles and is there guidance on what award staff should be paid under?</w:t>
      </w:r>
    </w:p>
    <w:p w14:paraId="2538C665" w14:textId="77777777" w:rsidR="0040349C" w:rsidRDefault="005C6713" w:rsidP="004476A4">
      <w:pPr>
        <w:rPr>
          <w:rStyle w:val="PageNumber"/>
          <w:rFonts w:eastAsia="Calibri" w:cstheme="minorHAnsi"/>
          <w:szCs w:val="22"/>
        </w:rPr>
      </w:pPr>
      <w:r w:rsidRPr="00C26C77">
        <w:rPr>
          <w:rStyle w:val="PageNumber"/>
          <w:rFonts w:eastAsia="Calibri" w:cstheme="minorHAnsi"/>
          <w:szCs w:val="22"/>
        </w:rPr>
        <w:t xml:space="preserve">Navigator works with highly disengaged learners who often present with </w:t>
      </w:r>
      <w:r w:rsidR="00F3266A">
        <w:rPr>
          <w:rStyle w:val="PageNumber"/>
          <w:rFonts w:eastAsia="Calibri" w:cstheme="minorHAnsi"/>
          <w:szCs w:val="22"/>
        </w:rPr>
        <w:t xml:space="preserve">highly </w:t>
      </w:r>
      <w:r w:rsidRPr="00C26C77">
        <w:rPr>
          <w:rStyle w:val="PageNumber"/>
          <w:rFonts w:eastAsia="Calibri" w:cstheme="minorHAnsi"/>
          <w:szCs w:val="22"/>
        </w:rPr>
        <w:t xml:space="preserve">complex needs and issues - this complexity should be considered and assumed when planning your service delivery model and staffing. Over the duration of the program, we have seen the development of differentiated levels of support (such as Active Hold versus Case Management) to support the variation of complexity in the client population, and to address the different support needs of young people and their families (i.e not all young people will need Intensive Case Management). We have also identified the need for a comprehensive and dedicated Intake and Assessment service phase, and as a result of these learnings, we now require Service Providers to dedicate staffing to all three elements of the program they deliver (Intake &amp; Assessment, Active Hold and Case </w:t>
      </w:r>
      <w:r w:rsidRPr="00C26C77">
        <w:rPr>
          <w:rStyle w:val="PageNumber"/>
          <w:rFonts w:eastAsia="Calibri" w:cstheme="minorHAnsi"/>
          <w:szCs w:val="22"/>
        </w:rPr>
        <w:lastRenderedPageBreak/>
        <w:t xml:space="preserve">Management). </w:t>
      </w:r>
      <w:r w:rsidR="002D5D9D">
        <w:rPr>
          <w:rStyle w:val="PageNumber"/>
          <w:rFonts w:eastAsia="Calibri" w:cstheme="minorHAnsi"/>
          <w:szCs w:val="22"/>
        </w:rPr>
        <w:t>Young people receiving these services (who ultimately obtain a positive outcome)  may  remain in the Navigator program for up to 18 months</w:t>
      </w:r>
      <w:r w:rsidR="0040349C">
        <w:rPr>
          <w:rStyle w:val="PageNumber"/>
          <w:rFonts w:eastAsia="Calibri" w:cstheme="minorHAnsi"/>
          <w:szCs w:val="22"/>
        </w:rPr>
        <w:t xml:space="preserve"> or more</w:t>
      </w:r>
      <w:r w:rsidR="002D5D9D">
        <w:rPr>
          <w:rStyle w:val="PageNumber"/>
          <w:rFonts w:eastAsia="Calibri" w:cstheme="minorHAnsi"/>
          <w:szCs w:val="22"/>
        </w:rPr>
        <w:t xml:space="preserve"> from commencement – this low rate of ‘turnover’ should be considered by the service provider. </w:t>
      </w:r>
    </w:p>
    <w:p w14:paraId="0444C4AE" w14:textId="0E1FE1C5" w:rsidR="004476A4" w:rsidRPr="0040349C" w:rsidRDefault="005C6713" w:rsidP="004476A4">
      <w:pPr>
        <w:rPr>
          <w:rFonts w:eastAsia="Calibri" w:cstheme="minorHAnsi"/>
          <w:szCs w:val="22"/>
        </w:rPr>
      </w:pPr>
      <w:r w:rsidRPr="00C26C77">
        <w:rPr>
          <w:rStyle w:val="PageNumber"/>
          <w:rFonts w:eastAsia="Calibri" w:cstheme="minorHAnsi"/>
          <w:szCs w:val="22"/>
        </w:rPr>
        <w:t>Applicants should consider their service delivery model when determining the most appropriate FTE for each of the program elements to ensure all elements of Navigator can be delivered satisfactorily. Flexibility between role duties is beneficial, to enable the team to respond to changing demands (e.g. influxes of referrals, periods of intensive Active Hold or greater demand for Case Management.</w:t>
      </w:r>
      <w:r w:rsidR="0040349C">
        <w:rPr>
          <w:rStyle w:val="PageNumber"/>
          <w:rFonts w:eastAsia="Calibri" w:cstheme="minorHAnsi"/>
          <w:szCs w:val="22"/>
        </w:rPr>
        <w:t>)</w:t>
      </w:r>
      <w:r w:rsidRPr="00C26C77">
        <w:rPr>
          <w:rStyle w:val="PageNumber"/>
          <w:rFonts w:eastAsia="Calibri" w:cstheme="minorHAnsi"/>
          <w:szCs w:val="22"/>
        </w:rPr>
        <w:t xml:space="preserve"> While DE does not prescribe employment grades or rates of pay, the overall FTE secured within the budget is a key component of assessment of value for money</w:t>
      </w:r>
      <w:r w:rsidR="00F3266A">
        <w:rPr>
          <w:rStyle w:val="PageNumber"/>
          <w:rFonts w:eastAsia="Calibri" w:cstheme="minorHAnsi"/>
          <w:szCs w:val="22"/>
        </w:rPr>
        <w:t>, but this should be balanced with the ability to recruit and retain appropriately skilled staff</w:t>
      </w:r>
      <w:r w:rsidRPr="00C26C77">
        <w:rPr>
          <w:rStyle w:val="PageNumber"/>
          <w:rFonts w:eastAsia="Calibri" w:cstheme="minorHAnsi"/>
          <w:szCs w:val="22"/>
        </w:rPr>
        <w:t>.</w:t>
      </w:r>
      <w:r w:rsidR="00FF06C3">
        <w:rPr>
          <w:rStyle w:val="PageNumber"/>
          <w:rFonts w:eastAsia="Calibri" w:cstheme="minorHAnsi"/>
          <w:szCs w:val="22"/>
        </w:rPr>
        <w:t xml:space="preserve"> </w:t>
      </w:r>
      <w:r w:rsidR="004476A4" w:rsidRPr="00C26C77">
        <w:rPr>
          <w:rStyle w:val="PageNumber"/>
          <w:rFonts w:eastAsia="Calibri" w:cstheme="minorHAnsi"/>
          <w:szCs w:val="22"/>
        </w:rPr>
        <w:t xml:space="preserve">When an Area is not at full caseload capacity, Service Providers are to ensure any ‘spare’ FTE is dedicated solely to the implementation Navigator. Vacancies and staff leave should also be considered and planned for by the Service Provider, to ensure caseloads and support are impacted as little as possible. </w:t>
      </w:r>
    </w:p>
    <w:p w14:paraId="544207B5" w14:textId="77777777" w:rsidR="004476A4" w:rsidRPr="00C26C77" w:rsidRDefault="004476A4" w:rsidP="005C6713">
      <w:pPr>
        <w:jc w:val="both"/>
        <w:rPr>
          <w:rFonts w:eastAsia="Calibri" w:cstheme="minorHAnsi"/>
          <w:szCs w:val="22"/>
        </w:rPr>
      </w:pPr>
    </w:p>
    <w:p w14:paraId="716DED2D" w14:textId="77777777" w:rsidR="005C6713" w:rsidRPr="00C26C77" w:rsidRDefault="005C6713" w:rsidP="005C6713">
      <w:pPr>
        <w:jc w:val="both"/>
        <w:rPr>
          <w:rStyle w:val="PageNumber"/>
          <w:rFonts w:eastAsia="Calibri" w:cstheme="minorHAnsi"/>
          <w:szCs w:val="22"/>
        </w:rPr>
      </w:pPr>
      <w:r w:rsidRPr="00C26C77">
        <w:rPr>
          <w:rStyle w:val="PageNumber"/>
          <w:rFonts w:eastAsia="Calibri" w:cstheme="minorHAnsi"/>
          <w:bCs/>
          <w:szCs w:val="22"/>
        </w:rPr>
        <w:t>Case Management</w:t>
      </w:r>
      <w:r w:rsidRPr="00C26C77">
        <w:rPr>
          <w:rStyle w:val="PageNumber"/>
          <w:rFonts w:eastAsia="Calibri" w:cstheme="minorHAnsi"/>
          <w:szCs w:val="22"/>
        </w:rPr>
        <w:t xml:space="preserve">: </w:t>
      </w:r>
    </w:p>
    <w:p w14:paraId="2130D561" w14:textId="6BD43963" w:rsidR="005C6713" w:rsidRPr="00C26C77" w:rsidRDefault="005C6713" w:rsidP="005C6713">
      <w:pPr>
        <w:pStyle w:val="ListParagraph"/>
        <w:numPr>
          <w:ilvl w:val="0"/>
          <w:numId w:val="19"/>
        </w:numPr>
        <w:jc w:val="both"/>
        <w:rPr>
          <w:rStyle w:val="PageNumber"/>
          <w:rFonts w:asciiTheme="minorHAnsi" w:eastAsia="Calibri" w:hAnsiTheme="minorHAnsi" w:cstheme="minorHAnsi"/>
        </w:rPr>
      </w:pPr>
      <w:r w:rsidRPr="00421BC6">
        <w:rPr>
          <w:rStyle w:val="PageNumber"/>
          <w:rFonts w:asciiTheme="minorHAnsi" w:eastAsia="Calibri" w:hAnsiTheme="minorHAnsi" w:cstheme="minorHAnsi"/>
        </w:rPr>
        <w:t xml:space="preserve">While there is </w:t>
      </w:r>
      <w:r w:rsidRPr="00FF06C3">
        <w:rPr>
          <w:rStyle w:val="PageNumber"/>
          <w:rFonts w:asciiTheme="minorHAnsi" w:eastAsia="Calibri" w:hAnsiTheme="minorHAnsi" w:cstheme="minorHAnsi"/>
        </w:rPr>
        <w:t>some variation across the 17 Areas, on average, there is 1FTE front line staff member per $150,000</w:t>
      </w:r>
      <w:r w:rsidR="0003427A" w:rsidRPr="00FF06C3">
        <w:rPr>
          <w:rStyle w:val="PageNumber"/>
          <w:rFonts w:asciiTheme="minorHAnsi" w:eastAsia="Calibri" w:hAnsiTheme="minorHAnsi" w:cstheme="minorHAnsi"/>
        </w:rPr>
        <w:t>- $160,000</w:t>
      </w:r>
      <w:r w:rsidRPr="00FF06C3">
        <w:rPr>
          <w:rStyle w:val="PageNumber"/>
          <w:rFonts w:asciiTheme="minorHAnsi" w:eastAsia="Calibri" w:hAnsiTheme="minorHAnsi" w:cstheme="minorHAnsi"/>
        </w:rPr>
        <w:t xml:space="preserve"> received in program funding, inclusive of all direct and indirect employment costs as well as other operational costs incurred by service providers, such as transport, office</w:t>
      </w:r>
      <w:r w:rsidRPr="00421BC6">
        <w:rPr>
          <w:rStyle w:val="PageNumber"/>
          <w:rFonts w:asciiTheme="minorHAnsi" w:eastAsia="Calibri" w:hAnsiTheme="minorHAnsi" w:cstheme="minorHAnsi"/>
        </w:rPr>
        <w:t xml:space="preserve"> accommodation, and corporate overheads. For example, a total program budget of $9</w:t>
      </w:r>
      <w:r w:rsidR="004C5072">
        <w:rPr>
          <w:rStyle w:val="PageNumber"/>
          <w:rFonts w:asciiTheme="minorHAnsi" w:eastAsia="Calibri" w:hAnsiTheme="minorHAnsi" w:cstheme="minorHAnsi"/>
        </w:rPr>
        <w:t>9</w:t>
      </w:r>
      <w:r w:rsidRPr="00421BC6">
        <w:rPr>
          <w:rStyle w:val="PageNumber"/>
          <w:rFonts w:asciiTheme="minorHAnsi" w:eastAsia="Calibri" w:hAnsiTheme="minorHAnsi" w:cstheme="minorHAnsi"/>
        </w:rPr>
        <w:t xml:space="preserve">0,000 would be </w:t>
      </w:r>
      <w:r w:rsidRPr="00FF06C3">
        <w:rPr>
          <w:rStyle w:val="PageNumber"/>
          <w:rFonts w:asciiTheme="minorHAnsi" w:eastAsia="Calibri" w:hAnsiTheme="minorHAnsi" w:cstheme="minorHAnsi"/>
        </w:rPr>
        <w:t xml:space="preserve">expected to support </w:t>
      </w:r>
      <w:r w:rsidR="00B00C71" w:rsidRPr="00FF06C3">
        <w:rPr>
          <w:rStyle w:val="PageNumber"/>
          <w:rFonts w:asciiTheme="minorHAnsi" w:eastAsia="Calibri" w:hAnsiTheme="minorHAnsi" w:cstheme="minorHAnsi"/>
        </w:rPr>
        <w:t xml:space="preserve">a minimum of </w:t>
      </w:r>
      <w:r w:rsidRPr="00FF06C3">
        <w:rPr>
          <w:rStyle w:val="PageNumber"/>
          <w:rFonts w:asciiTheme="minorHAnsi" w:eastAsia="Calibri" w:hAnsiTheme="minorHAnsi" w:cstheme="minorHAnsi"/>
        </w:rPr>
        <w:t>6</w:t>
      </w:r>
      <w:r w:rsidR="00FF06C3" w:rsidRPr="00FF06C3">
        <w:rPr>
          <w:rStyle w:val="PageNumber"/>
          <w:rFonts w:asciiTheme="minorHAnsi" w:eastAsia="Calibri" w:hAnsiTheme="minorHAnsi" w:cstheme="minorHAnsi"/>
        </w:rPr>
        <w:t xml:space="preserve"> - 6</w:t>
      </w:r>
      <w:r w:rsidR="004C5072" w:rsidRPr="00FF06C3">
        <w:rPr>
          <w:rStyle w:val="PageNumber"/>
          <w:rFonts w:asciiTheme="minorHAnsi" w:eastAsia="Calibri" w:hAnsiTheme="minorHAnsi" w:cstheme="minorHAnsi"/>
        </w:rPr>
        <w:t>.5</w:t>
      </w:r>
      <w:r w:rsidRPr="00FF06C3">
        <w:rPr>
          <w:rStyle w:val="PageNumber"/>
          <w:rFonts w:asciiTheme="minorHAnsi" w:eastAsia="Calibri" w:hAnsiTheme="minorHAnsi" w:cstheme="minorHAnsi"/>
        </w:rPr>
        <w:t xml:space="preserve"> front line FTE, which may comprise one Team Leader, one</w:t>
      </w:r>
      <w:r w:rsidR="004C5072" w:rsidRPr="00FF06C3">
        <w:rPr>
          <w:rStyle w:val="PageNumber"/>
          <w:rFonts w:asciiTheme="minorHAnsi" w:eastAsia="Calibri" w:hAnsiTheme="minorHAnsi" w:cstheme="minorHAnsi"/>
        </w:rPr>
        <w:t xml:space="preserve"> to two</w:t>
      </w:r>
      <w:r w:rsidRPr="00FF06C3">
        <w:rPr>
          <w:rStyle w:val="PageNumber"/>
          <w:rFonts w:asciiTheme="minorHAnsi" w:eastAsia="Calibri" w:hAnsiTheme="minorHAnsi" w:cstheme="minorHAnsi"/>
        </w:rPr>
        <w:t xml:space="preserve"> Active Hold </w:t>
      </w:r>
      <w:r w:rsidR="004C5072" w:rsidRPr="00FF06C3">
        <w:rPr>
          <w:rStyle w:val="PageNumber"/>
          <w:rFonts w:asciiTheme="minorHAnsi" w:eastAsia="Calibri" w:hAnsiTheme="minorHAnsi" w:cstheme="minorHAnsi"/>
        </w:rPr>
        <w:t xml:space="preserve">/ Intake and Assessment </w:t>
      </w:r>
      <w:r w:rsidRPr="00FF06C3">
        <w:rPr>
          <w:rStyle w:val="PageNumber"/>
          <w:rFonts w:asciiTheme="minorHAnsi" w:eastAsia="Calibri" w:hAnsiTheme="minorHAnsi" w:cstheme="minorHAnsi"/>
        </w:rPr>
        <w:t>worker</w:t>
      </w:r>
      <w:r w:rsidR="00FF06C3" w:rsidRPr="00FF06C3">
        <w:rPr>
          <w:rStyle w:val="PageNumber"/>
          <w:rFonts w:asciiTheme="minorHAnsi" w:eastAsia="Calibri" w:hAnsiTheme="minorHAnsi" w:cstheme="minorHAnsi"/>
        </w:rPr>
        <w:t>s</w:t>
      </w:r>
      <w:r w:rsidRPr="00FF06C3">
        <w:rPr>
          <w:rStyle w:val="PageNumber"/>
          <w:rFonts w:asciiTheme="minorHAnsi" w:eastAsia="Calibri" w:hAnsiTheme="minorHAnsi" w:cstheme="minorHAnsi"/>
        </w:rPr>
        <w:t xml:space="preserve"> and </w:t>
      </w:r>
      <w:r w:rsidR="004C5072" w:rsidRPr="00FF06C3">
        <w:rPr>
          <w:rStyle w:val="PageNumber"/>
          <w:rFonts w:asciiTheme="minorHAnsi" w:eastAsia="Calibri" w:hAnsiTheme="minorHAnsi" w:cstheme="minorHAnsi"/>
        </w:rPr>
        <w:t xml:space="preserve">minimum </w:t>
      </w:r>
      <w:r w:rsidRPr="00FF06C3">
        <w:rPr>
          <w:rStyle w:val="PageNumber"/>
          <w:rFonts w:asciiTheme="minorHAnsi" w:eastAsia="Calibri" w:hAnsiTheme="minorHAnsi" w:cstheme="minorHAnsi"/>
        </w:rPr>
        <w:t>4 case managers.</w:t>
      </w:r>
    </w:p>
    <w:p w14:paraId="6976B1CB" w14:textId="12E1F11C" w:rsidR="005C6713" w:rsidRPr="00C26C77" w:rsidRDefault="005C6713" w:rsidP="005C6713">
      <w:pPr>
        <w:pStyle w:val="ListParagraph"/>
        <w:numPr>
          <w:ilvl w:val="0"/>
          <w:numId w:val="19"/>
        </w:numPr>
        <w:jc w:val="both"/>
        <w:rPr>
          <w:rStyle w:val="PageNumber"/>
          <w:rFonts w:asciiTheme="minorHAnsi" w:eastAsia="Calibri" w:hAnsiTheme="minorHAnsi" w:cstheme="minorHAnsi"/>
        </w:rPr>
      </w:pPr>
      <w:r w:rsidRPr="00C26C77">
        <w:rPr>
          <w:rStyle w:val="PageNumber"/>
          <w:rFonts w:asciiTheme="minorHAnsi" w:eastAsia="Calibri" w:hAnsiTheme="minorHAnsi" w:cstheme="minorHAnsi"/>
        </w:rPr>
        <w:t>Case Managers across the program currently have caseloads of 15 to 18.  Caseloads differ across each Area and are dependent on varying factors such as travel time required, level of experience of the Case Manager, client complexity and the service delivery model. Exclusive Aboriginal and Torres Strait Islander case managers typically have slightly lower caseloads</w:t>
      </w:r>
      <w:r w:rsidR="00F3266A">
        <w:rPr>
          <w:rStyle w:val="PageNumber"/>
          <w:rFonts w:asciiTheme="minorHAnsi" w:eastAsia="Calibri" w:hAnsiTheme="minorHAnsi" w:cstheme="minorHAnsi"/>
        </w:rPr>
        <w:t xml:space="preserve">. </w:t>
      </w:r>
    </w:p>
    <w:p w14:paraId="098FA47F" w14:textId="77777777" w:rsidR="005C6713" w:rsidRPr="005815D9" w:rsidRDefault="005C6713" w:rsidP="005C6713">
      <w:pPr>
        <w:pStyle w:val="ListParagraph"/>
        <w:numPr>
          <w:ilvl w:val="0"/>
          <w:numId w:val="19"/>
        </w:numPr>
        <w:jc w:val="both"/>
        <w:rPr>
          <w:rStyle w:val="PageNumber"/>
          <w:rFonts w:asciiTheme="minorHAnsi" w:eastAsia="Calibri" w:hAnsiTheme="minorHAnsi" w:cstheme="minorHAnsi"/>
        </w:rPr>
      </w:pPr>
      <w:r w:rsidRPr="00C26C77">
        <w:rPr>
          <w:rStyle w:val="PageNumber"/>
          <w:rFonts w:asciiTheme="minorHAnsi" w:eastAsia="Calibri" w:hAnsiTheme="minorHAnsi" w:cstheme="minorHAnsi"/>
        </w:rPr>
        <w:t xml:space="preserve">15 is the expected minimum for Case Management caseloads – caseloads under 15 will need to be explained and justified in the application form and subject to DE approval prior to contract execution. </w:t>
      </w:r>
    </w:p>
    <w:p w14:paraId="66A65741" w14:textId="77777777" w:rsidR="005C6713" w:rsidRDefault="005C6713" w:rsidP="005C6713">
      <w:pPr>
        <w:jc w:val="both"/>
        <w:rPr>
          <w:rStyle w:val="PageNumber"/>
          <w:rFonts w:eastAsia="Calibri" w:cstheme="minorHAnsi"/>
          <w:b/>
          <w:bCs/>
          <w:szCs w:val="22"/>
        </w:rPr>
      </w:pPr>
    </w:p>
    <w:p w14:paraId="166E3E85" w14:textId="77777777" w:rsidR="005C6713" w:rsidRPr="00C26C77" w:rsidRDefault="005C6713" w:rsidP="005C6713">
      <w:pPr>
        <w:jc w:val="both"/>
        <w:rPr>
          <w:rStyle w:val="PageNumber"/>
          <w:rFonts w:eastAsia="Calibri" w:cstheme="minorHAnsi"/>
          <w:szCs w:val="22"/>
        </w:rPr>
      </w:pPr>
      <w:bookmarkStart w:id="1" w:name="_Hlk128143940"/>
      <w:r w:rsidRPr="00C26C77">
        <w:rPr>
          <w:rStyle w:val="PageNumber"/>
          <w:rFonts w:eastAsia="Calibri" w:cstheme="minorHAnsi"/>
          <w:bCs/>
          <w:szCs w:val="22"/>
        </w:rPr>
        <w:t>Active Hold</w:t>
      </w:r>
      <w:r w:rsidRPr="00C26C77">
        <w:rPr>
          <w:rStyle w:val="PageNumber"/>
          <w:rFonts w:eastAsia="Calibri" w:cstheme="minorHAnsi"/>
          <w:szCs w:val="22"/>
        </w:rPr>
        <w:t xml:space="preserve"> </w:t>
      </w:r>
    </w:p>
    <w:p w14:paraId="326145D6" w14:textId="7FD31E51" w:rsidR="007B1D54" w:rsidRDefault="005C6713" w:rsidP="005C6713">
      <w:pPr>
        <w:pStyle w:val="ListParagraph"/>
        <w:numPr>
          <w:ilvl w:val="0"/>
          <w:numId w:val="20"/>
        </w:numPr>
        <w:jc w:val="both"/>
        <w:rPr>
          <w:rStyle w:val="PageNumber"/>
          <w:rFonts w:asciiTheme="minorHAnsi" w:eastAsia="Calibri" w:hAnsiTheme="minorHAnsi" w:cstheme="minorHAnsi"/>
        </w:rPr>
      </w:pPr>
      <w:r w:rsidRPr="00C26C77">
        <w:rPr>
          <w:rStyle w:val="PageNumber"/>
          <w:rFonts w:asciiTheme="minorHAnsi" w:eastAsia="Calibri" w:hAnsiTheme="minorHAnsi" w:cstheme="minorHAnsi"/>
        </w:rPr>
        <w:t xml:space="preserve">Caseloads vary across the state and are driven by demand and service delivery model, but are generally between 30-50 for 1FTE (point in time). In contrast to Case Management caseloads, the Active Hold service delivered needs to be flexible and adjust in intensity of support depending on demand, i.e. all young people are to receive Active Hold (or Case Management) support, but it is recognised that at times, the service offering may look different due to greater or smaller numbers receiving that service. </w:t>
      </w:r>
    </w:p>
    <w:p w14:paraId="23E14691" w14:textId="54D1A90C" w:rsidR="00E02AD0" w:rsidRDefault="00B819D3" w:rsidP="005C6713">
      <w:pPr>
        <w:pStyle w:val="ListParagraph"/>
        <w:numPr>
          <w:ilvl w:val="0"/>
          <w:numId w:val="20"/>
        </w:numPr>
        <w:jc w:val="both"/>
        <w:rPr>
          <w:rStyle w:val="PageNumber"/>
          <w:rFonts w:asciiTheme="minorHAnsi" w:eastAsia="Calibri" w:hAnsiTheme="minorHAnsi" w:cstheme="minorHAnsi"/>
        </w:rPr>
      </w:pPr>
      <w:r w:rsidRPr="00B819D3">
        <w:rPr>
          <w:rStyle w:val="PageNumber"/>
          <w:rFonts w:asciiTheme="minorHAnsi" w:eastAsia="Calibri" w:hAnsiTheme="minorHAnsi" w:cstheme="minorHAnsi"/>
        </w:rPr>
        <w:t>Based on current demand and experiences</w:t>
      </w:r>
      <w:r>
        <w:rPr>
          <w:rStyle w:val="PageNumber"/>
          <w:rFonts w:asciiTheme="minorHAnsi" w:eastAsia="Calibri" w:hAnsiTheme="minorHAnsi" w:cstheme="minorHAnsi"/>
        </w:rPr>
        <w:t xml:space="preserve"> to following FTE is recommended for each area:</w:t>
      </w:r>
    </w:p>
    <w:p w14:paraId="73C07E68" w14:textId="7EBD5776" w:rsidR="00B819D3" w:rsidRDefault="00B819D3" w:rsidP="00B819D3">
      <w:pPr>
        <w:pStyle w:val="ListParagraph"/>
        <w:numPr>
          <w:ilvl w:val="1"/>
          <w:numId w:val="20"/>
        </w:numPr>
        <w:jc w:val="both"/>
        <w:rPr>
          <w:rStyle w:val="PageNumber"/>
          <w:rFonts w:asciiTheme="minorHAnsi" w:eastAsia="Calibri" w:hAnsiTheme="minorHAnsi" w:cstheme="minorHAnsi"/>
        </w:rPr>
      </w:pPr>
      <w:r>
        <w:rPr>
          <w:rStyle w:val="PageNumber"/>
          <w:rFonts w:asciiTheme="minorHAnsi" w:eastAsia="Calibri" w:hAnsiTheme="minorHAnsi" w:cstheme="minorHAnsi"/>
        </w:rPr>
        <w:t>Barwo</w:t>
      </w:r>
      <w:r w:rsidR="007E7831">
        <w:rPr>
          <w:rStyle w:val="PageNumber"/>
          <w:rFonts w:asciiTheme="minorHAnsi" w:eastAsia="Calibri" w:hAnsiTheme="minorHAnsi" w:cstheme="minorHAnsi"/>
        </w:rPr>
        <w:t>n: 0.6FTE</w:t>
      </w:r>
    </w:p>
    <w:p w14:paraId="10583312" w14:textId="14C72731" w:rsidR="00B819D3" w:rsidRDefault="00B819D3" w:rsidP="00B819D3">
      <w:pPr>
        <w:pStyle w:val="ListParagraph"/>
        <w:numPr>
          <w:ilvl w:val="1"/>
          <w:numId w:val="20"/>
        </w:numPr>
        <w:jc w:val="both"/>
        <w:rPr>
          <w:rStyle w:val="PageNumber"/>
          <w:rFonts w:asciiTheme="minorHAnsi" w:eastAsia="Calibri" w:hAnsiTheme="minorHAnsi" w:cstheme="minorHAnsi"/>
        </w:rPr>
      </w:pPr>
      <w:r>
        <w:rPr>
          <w:rStyle w:val="PageNumber"/>
          <w:rFonts w:asciiTheme="minorHAnsi" w:eastAsia="Calibri" w:hAnsiTheme="minorHAnsi" w:cstheme="minorHAnsi"/>
        </w:rPr>
        <w:t>Wimmera South West</w:t>
      </w:r>
      <w:r w:rsidR="007E7831">
        <w:rPr>
          <w:rStyle w:val="PageNumber"/>
          <w:rFonts w:asciiTheme="minorHAnsi" w:eastAsia="Calibri" w:hAnsiTheme="minorHAnsi" w:cstheme="minorHAnsi"/>
        </w:rPr>
        <w:t>: 0.5FTE</w:t>
      </w:r>
    </w:p>
    <w:p w14:paraId="4BCC92AF" w14:textId="57DD687A" w:rsidR="00B819D3" w:rsidRDefault="00B819D3" w:rsidP="00B819D3">
      <w:pPr>
        <w:pStyle w:val="ListParagraph"/>
        <w:numPr>
          <w:ilvl w:val="1"/>
          <w:numId w:val="20"/>
        </w:numPr>
        <w:jc w:val="both"/>
        <w:rPr>
          <w:rStyle w:val="PageNumber"/>
          <w:rFonts w:asciiTheme="minorHAnsi" w:eastAsia="Calibri" w:hAnsiTheme="minorHAnsi" w:cstheme="minorHAnsi"/>
        </w:rPr>
      </w:pPr>
      <w:r>
        <w:rPr>
          <w:rStyle w:val="PageNumber"/>
          <w:rFonts w:asciiTheme="minorHAnsi" w:eastAsia="Calibri" w:hAnsiTheme="minorHAnsi" w:cstheme="minorHAnsi"/>
        </w:rPr>
        <w:t>Outer Eastern Melbourne: 1 FTE</w:t>
      </w:r>
    </w:p>
    <w:p w14:paraId="613F10BF" w14:textId="77777777" w:rsidR="000A68FD" w:rsidRPr="000A68FD" w:rsidRDefault="000A68FD" w:rsidP="00812D74">
      <w:pPr>
        <w:pStyle w:val="ListParagraph"/>
        <w:jc w:val="both"/>
        <w:rPr>
          <w:rStyle w:val="PageNumber"/>
          <w:rFonts w:asciiTheme="minorHAnsi" w:eastAsia="Calibri" w:hAnsiTheme="minorHAnsi" w:cstheme="minorHAnsi"/>
        </w:rPr>
      </w:pPr>
    </w:p>
    <w:p w14:paraId="5A3F9DCF" w14:textId="09E5079A" w:rsidR="005C6713" w:rsidRPr="00C26C77" w:rsidRDefault="005C6713" w:rsidP="005C6713">
      <w:pPr>
        <w:jc w:val="both"/>
        <w:rPr>
          <w:rStyle w:val="PageNumber"/>
          <w:rFonts w:eastAsia="Calibri" w:cstheme="minorHAnsi"/>
          <w:b/>
          <w:bCs/>
          <w:szCs w:val="22"/>
        </w:rPr>
      </w:pPr>
      <w:r w:rsidRPr="00C26C77">
        <w:rPr>
          <w:rStyle w:val="PageNumber"/>
          <w:rFonts w:eastAsia="Calibri" w:cstheme="minorHAnsi"/>
          <w:bCs/>
          <w:szCs w:val="22"/>
        </w:rPr>
        <w:t xml:space="preserve">Intake and Assessment </w:t>
      </w:r>
    </w:p>
    <w:p w14:paraId="6C16E395" w14:textId="77777777" w:rsidR="005869FE" w:rsidRDefault="005869FE" w:rsidP="005869FE">
      <w:pPr>
        <w:pStyle w:val="ListParagraph"/>
        <w:numPr>
          <w:ilvl w:val="0"/>
          <w:numId w:val="20"/>
        </w:numPr>
        <w:jc w:val="both"/>
        <w:rPr>
          <w:rStyle w:val="PageNumber"/>
          <w:rFonts w:asciiTheme="minorHAnsi" w:eastAsia="Calibri" w:hAnsiTheme="minorHAnsi" w:cstheme="minorHAnsi"/>
        </w:rPr>
      </w:pPr>
      <w:r>
        <w:rPr>
          <w:rStyle w:val="PageNumber"/>
          <w:rFonts w:asciiTheme="minorHAnsi" w:eastAsia="Calibri" w:hAnsiTheme="minorHAnsi" w:cstheme="minorHAnsi"/>
        </w:rPr>
        <w:lastRenderedPageBreak/>
        <w:t xml:space="preserve">Intake and Assessment has a series of required actions (page 10, </w:t>
      </w:r>
      <w:r w:rsidRPr="00F3266A">
        <w:rPr>
          <w:rStyle w:val="PageNumber"/>
          <w:rFonts w:asciiTheme="minorHAnsi" w:eastAsia="Calibri" w:hAnsiTheme="minorHAnsi" w:cstheme="minorHAnsi"/>
          <w:i/>
          <w:iCs/>
        </w:rPr>
        <w:t>Program Overview and Application Information</w:t>
      </w:r>
      <w:r>
        <w:rPr>
          <w:rStyle w:val="PageNumber"/>
          <w:rFonts w:asciiTheme="minorHAnsi" w:eastAsia="Calibri" w:hAnsiTheme="minorHAnsi" w:cstheme="minorHAnsi"/>
        </w:rPr>
        <w:t xml:space="preserve">) and until these are completed, the young person cannot commence receiving Active Hold or Case Management support. </w:t>
      </w:r>
    </w:p>
    <w:p w14:paraId="4525CA35" w14:textId="6D2371D7" w:rsidR="005869FE" w:rsidRPr="001A6D9E" w:rsidRDefault="005869FE" w:rsidP="005869FE">
      <w:pPr>
        <w:pStyle w:val="ListParagraph"/>
        <w:numPr>
          <w:ilvl w:val="0"/>
          <w:numId w:val="20"/>
        </w:numPr>
        <w:jc w:val="both"/>
        <w:rPr>
          <w:rStyle w:val="Hyperlink"/>
          <w:rFonts w:asciiTheme="minorHAnsi" w:eastAsia="Calibri" w:hAnsiTheme="minorHAnsi" w:cstheme="minorHAnsi"/>
          <w:color w:val="auto"/>
          <w:u w:val="none"/>
        </w:rPr>
      </w:pPr>
      <w:r>
        <w:rPr>
          <w:rStyle w:val="PageNumber"/>
          <w:rFonts w:asciiTheme="minorHAnsi" w:eastAsia="Calibri" w:hAnsiTheme="minorHAnsi" w:cstheme="minorHAnsi"/>
        </w:rPr>
        <w:t>Service Providers are expected to develop strategies that will allow them to complete</w:t>
      </w:r>
      <w:r w:rsidRPr="00C26C77">
        <w:rPr>
          <w:rStyle w:val="PageNumber"/>
          <w:rFonts w:asciiTheme="minorHAnsi" w:eastAsia="Calibri" w:hAnsiTheme="minorHAnsi" w:cstheme="minorHAnsi"/>
        </w:rPr>
        <w:t xml:space="preserve"> Intake and Assessment</w:t>
      </w:r>
      <w:r>
        <w:rPr>
          <w:rStyle w:val="PageNumber"/>
          <w:rFonts w:asciiTheme="minorHAnsi" w:eastAsia="Calibri" w:hAnsiTheme="minorHAnsi" w:cstheme="minorHAnsi"/>
        </w:rPr>
        <w:t xml:space="preserve"> requirements within 2 weeks of receiving a referral from the Navigator Coordinator.</w:t>
      </w:r>
      <w:r w:rsidRPr="00C26C77">
        <w:rPr>
          <w:rStyle w:val="PageNumber"/>
          <w:rFonts w:asciiTheme="minorHAnsi" w:eastAsia="Calibri" w:hAnsiTheme="minorHAnsi" w:cstheme="minorHAnsi"/>
        </w:rPr>
        <w:t xml:space="preserve"> </w:t>
      </w:r>
    </w:p>
    <w:p w14:paraId="55CB2F7D" w14:textId="77777777" w:rsidR="005869FE" w:rsidRDefault="005869FE" w:rsidP="005869FE">
      <w:pPr>
        <w:pStyle w:val="ListParagraph"/>
        <w:numPr>
          <w:ilvl w:val="0"/>
          <w:numId w:val="20"/>
        </w:numPr>
        <w:jc w:val="both"/>
        <w:rPr>
          <w:rStyle w:val="PageNumber"/>
          <w:rFonts w:asciiTheme="minorHAnsi" w:eastAsia="Calibri" w:hAnsiTheme="minorHAnsi" w:cstheme="minorHAnsi"/>
        </w:rPr>
      </w:pPr>
      <w:r>
        <w:rPr>
          <w:rStyle w:val="PageNumber"/>
          <w:rFonts w:asciiTheme="minorHAnsi" w:eastAsia="Calibri" w:hAnsiTheme="minorHAnsi" w:cstheme="minorHAnsi"/>
        </w:rPr>
        <w:t>C</w:t>
      </w:r>
      <w:r w:rsidRPr="00C26C77">
        <w:rPr>
          <w:rStyle w:val="PageNumber"/>
          <w:rFonts w:asciiTheme="minorHAnsi" w:eastAsia="Calibri" w:hAnsiTheme="minorHAnsi" w:cstheme="minorHAnsi"/>
        </w:rPr>
        <w:t xml:space="preserve">aseloads vary across the state and are driven by </w:t>
      </w:r>
      <w:r>
        <w:rPr>
          <w:rStyle w:val="PageNumber"/>
          <w:rFonts w:asciiTheme="minorHAnsi" w:eastAsia="Calibri" w:hAnsiTheme="minorHAnsi" w:cstheme="minorHAnsi"/>
        </w:rPr>
        <w:t xml:space="preserve">program demand, the service providers processes and their ability to develop rapport with families. </w:t>
      </w:r>
      <w:r w:rsidRPr="004476A4">
        <w:rPr>
          <w:rStyle w:val="PageNumber"/>
          <w:rFonts w:asciiTheme="minorHAnsi" w:eastAsia="Calibri" w:hAnsiTheme="minorHAnsi" w:cstheme="minorHAnsi"/>
        </w:rPr>
        <w:t>Applicants should consider what FTE they need to ensure the delivery of an adequate Intake and Assessment phase</w:t>
      </w:r>
    </w:p>
    <w:p w14:paraId="3C677D76" w14:textId="77777777" w:rsidR="00B819D3" w:rsidRDefault="00B819D3" w:rsidP="00B819D3">
      <w:pPr>
        <w:pStyle w:val="ListParagraph"/>
        <w:numPr>
          <w:ilvl w:val="0"/>
          <w:numId w:val="20"/>
        </w:numPr>
        <w:jc w:val="both"/>
        <w:rPr>
          <w:rStyle w:val="PageNumber"/>
          <w:rFonts w:asciiTheme="minorHAnsi" w:eastAsia="Calibri" w:hAnsiTheme="minorHAnsi" w:cstheme="minorHAnsi"/>
        </w:rPr>
      </w:pPr>
      <w:r w:rsidRPr="00B819D3">
        <w:rPr>
          <w:rStyle w:val="PageNumber"/>
          <w:rFonts w:asciiTheme="minorHAnsi" w:eastAsia="Calibri" w:hAnsiTheme="minorHAnsi" w:cstheme="minorHAnsi"/>
        </w:rPr>
        <w:t>Based on current demand and experiences</w:t>
      </w:r>
      <w:r>
        <w:rPr>
          <w:rStyle w:val="PageNumber"/>
          <w:rFonts w:asciiTheme="minorHAnsi" w:eastAsia="Calibri" w:hAnsiTheme="minorHAnsi" w:cstheme="minorHAnsi"/>
        </w:rPr>
        <w:t xml:space="preserve"> to following FTE is recommended for each area:</w:t>
      </w:r>
    </w:p>
    <w:p w14:paraId="6944DC6D" w14:textId="6B63C5EB" w:rsidR="00B819D3" w:rsidRDefault="00B819D3" w:rsidP="00B819D3">
      <w:pPr>
        <w:pStyle w:val="ListParagraph"/>
        <w:numPr>
          <w:ilvl w:val="1"/>
          <w:numId w:val="20"/>
        </w:numPr>
        <w:jc w:val="both"/>
        <w:rPr>
          <w:rStyle w:val="PageNumber"/>
          <w:rFonts w:asciiTheme="minorHAnsi" w:eastAsia="Calibri" w:hAnsiTheme="minorHAnsi" w:cstheme="minorHAnsi"/>
        </w:rPr>
      </w:pPr>
      <w:r>
        <w:rPr>
          <w:rStyle w:val="PageNumber"/>
          <w:rFonts w:asciiTheme="minorHAnsi" w:eastAsia="Calibri" w:hAnsiTheme="minorHAnsi" w:cstheme="minorHAnsi"/>
        </w:rPr>
        <w:t>Barwon</w:t>
      </w:r>
      <w:r w:rsidR="007E7831">
        <w:rPr>
          <w:rStyle w:val="PageNumber"/>
          <w:rFonts w:asciiTheme="minorHAnsi" w:eastAsia="Calibri" w:hAnsiTheme="minorHAnsi" w:cstheme="minorHAnsi"/>
        </w:rPr>
        <w:t>: 0.4FTE</w:t>
      </w:r>
    </w:p>
    <w:p w14:paraId="11C92328" w14:textId="3445D0C0" w:rsidR="00B819D3" w:rsidRDefault="00B819D3" w:rsidP="00B819D3">
      <w:pPr>
        <w:pStyle w:val="ListParagraph"/>
        <w:numPr>
          <w:ilvl w:val="1"/>
          <w:numId w:val="20"/>
        </w:numPr>
        <w:jc w:val="both"/>
        <w:rPr>
          <w:rStyle w:val="PageNumber"/>
          <w:rFonts w:asciiTheme="minorHAnsi" w:eastAsia="Calibri" w:hAnsiTheme="minorHAnsi" w:cstheme="minorHAnsi"/>
        </w:rPr>
      </w:pPr>
      <w:r>
        <w:rPr>
          <w:rStyle w:val="PageNumber"/>
          <w:rFonts w:asciiTheme="minorHAnsi" w:eastAsia="Calibri" w:hAnsiTheme="minorHAnsi" w:cstheme="minorHAnsi"/>
        </w:rPr>
        <w:t>Wimmera South West</w:t>
      </w:r>
      <w:r w:rsidR="007E7831">
        <w:rPr>
          <w:rStyle w:val="PageNumber"/>
          <w:rFonts w:asciiTheme="minorHAnsi" w:eastAsia="Calibri" w:hAnsiTheme="minorHAnsi" w:cstheme="minorHAnsi"/>
        </w:rPr>
        <w:t>: 0.5FTE</w:t>
      </w:r>
    </w:p>
    <w:p w14:paraId="6C567C09" w14:textId="708DB0D4" w:rsidR="00B819D3" w:rsidRDefault="00B819D3" w:rsidP="00B819D3">
      <w:pPr>
        <w:pStyle w:val="ListParagraph"/>
        <w:numPr>
          <w:ilvl w:val="1"/>
          <w:numId w:val="20"/>
        </w:numPr>
        <w:jc w:val="both"/>
        <w:rPr>
          <w:rStyle w:val="PageNumber"/>
          <w:rFonts w:asciiTheme="minorHAnsi" w:eastAsia="Calibri" w:hAnsiTheme="minorHAnsi" w:cstheme="minorHAnsi"/>
        </w:rPr>
      </w:pPr>
      <w:r>
        <w:rPr>
          <w:rStyle w:val="PageNumber"/>
          <w:rFonts w:asciiTheme="minorHAnsi" w:eastAsia="Calibri" w:hAnsiTheme="minorHAnsi" w:cstheme="minorHAnsi"/>
        </w:rPr>
        <w:t xml:space="preserve">Outer Eastern Melbourne: 0.8 FTE and travel time </w:t>
      </w:r>
      <w:r w:rsidRPr="00B819D3">
        <w:rPr>
          <w:rStyle w:val="PageNumber"/>
          <w:rFonts w:asciiTheme="minorHAnsi" w:eastAsia="Calibri" w:hAnsiTheme="minorHAnsi" w:cstheme="minorHAnsi"/>
        </w:rPr>
        <w:t>should be taken into consideration, for assertive outreach purposes</w:t>
      </w:r>
    </w:p>
    <w:bookmarkEnd w:id="1"/>
    <w:p w14:paraId="58669ADC" w14:textId="77777777" w:rsidR="00FF06C3" w:rsidRDefault="00FF06C3" w:rsidP="005C6713">
      <w:pPr>
        <w:rPr>
          <w:rFonts w:eastAsiaTheme="majorEastAsia" w:cstheme="minorHAnsi"/>
          <w:b/>
          <w:color w:val="E25205" w:themeColor="accent1"/>
          <w:szCs w:val="22"/>
          <w:lang w:val="en-AU"/>
        </w:rPr>
      </w:pPr>
    </w:p>
    <w:p w14:paraId="202B7C4C" w14:textId="7139FB32" w:rsidR="005C6713" w:rsidRPr="00C26C77" w:rsidRDefault="005C6713" w:rsidP="005C6713">
      <w:pPr>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t>Can we use our own Case Management tool or does DE supply one?</w:t>
      </w:r>
    </w:p>
    <w:p w14:paraId="3F4C2E79" w14:textId="77777777" w:rsidR="005C6713" w:rsidRPr="00C26C77" w:rsidRDefault="005C6713" w:rsidP="005C6713">
      <w:pPr>
        <w:rPr>
          <w:rFonts w:cstheme="minorHAnsi"/>
          <w:szCs w:val="22"/>
        </w:rPr>
      </w:pPr>
      <w:r w:rsidRPr="00C26C77">
        <w:rPr>
          <w:rFonts w:cstheme="minorHAnsi"/>
          <w:szCs w:val="22"/>
        </w:rPr>
        <w:t>DE</w:t>
      </w:r>
      <w:r>
        <w:rPr>
          <w:rFonts w:cstheme="minorHAnsi"/>
          <w:szCs w:val="22"/>
        </w:rPr>
        <w:t xml:space="preserve"> </w:t>
      </w:r>
      <w:r w:rsidRPr="00C26C77">
        <w:rPr>
          <w:rFonts w:cstheme="minorHAnsi"/>
          <w:szCs w:val="22"/>
        </w:rPr>
        <w:t xml:space="preserve">does not supply a Case Management tool and all Service Providers and partners are expected to have their own. </w:t>
      </w:r>
    </w:p>
    <w:p w14:paraId="689FC101" w14:textId="77777777" w:rsidR="005C6713" w:rsidRPr="00C26C77" w:rsidRDefault="005C6713" w:rsidP="005C6713">
      <w:pPr>
        <w:rPr>
          <w:rFonts w:eastAsiaTheme="majorEastAsia" w:cstheme="minorHAnsi"/>
          <w:b/>
          <w:color w:val="E25205" w:themeColor="accent1"/>
          <w:szCs w:val="22"/>
          <w:lang w:val="en-AU"/>
        </w:rPr>
      </w:pPr>
      <w:r w:rsidRPr="00C26C77">
        <w:rPr>
          <w:rFonts w:cstheme="minorHAnsi"/>
          <w:szCs w:val="22"/>
        </w:rPr>
        <w:t xml:space="preserve">Navigator has a dedicated online data management system, the Navigator Data Management System and it is a contractual requirement that this is used to record and track key data relating to the program in addition to the day-to -day case management tool / system. </w:t>
      </w:r>
    </w:p>
    <w:p w14:paraId="53BC3687" w14:textId="77777777" w:rsidR="005C6713" w:rsidRPr="00C26C77" w:rsidRDefault="005C6713" w:rsidP="005C6713">
      <w:pPr>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t>What type of induction/ handover will we get?</w:t>
      </w:r>
    </w:p>
    <w:p w14:paraId="7684B9D9" w14:textId="5830CABD" w:rsidR="005C6713" w:rsidRPr="00042EC6" w:rsidRDefault="004C5072" w:rsidP="005C6713">
      <w:pPr>
        <w:rPr>
          <w:rFonts w:eastAsia="Calibri" w:cstheme="minorHAnsi"/>
          <w:szCs w:val="22"/>
        </w:rPr>
      </w:pPr>
      <w:r>
        <w:rPr>
          <w:rFonts w:eastAsia="Calibri" w:cstheme="minorHAnsi"/>
          <w:szCs w:val="22"/>
        </w:rPr>
        <w:t xml:space="preserve">If a new </w:t>
      </w:r>
      <w:r w:rsidR="005C6713" w:rsidRPr="00C26C77">
        <w:rPr>
          <w:rFonts w:eastAsia="Calibri" w:cstheme="minorHAnsi"/>
          <w:szCs w:val="22"/>
        </w:rPr>
        <w:t xml:space="preserve">Service Provider </w:t>
      </w:r>
      <w:r>
        <w:rPr>
          <w:rFonts w:eastAsia="Calibri" w:cstheme="minorHAnsi"/>
          <w:szCs w:val="22"/>
        </w:rPr>
        <w:t xml:space="preserve">is selected, they </w:t>
      </w:r>
      <w:r w:rsidR="005C6713" w:rsidRPr="00C26C77">
        <w:rPr>
          <w:rFonts w:eastAsia="Calibri" w:cstheme="minorHAnsi"/>
          <w:szCs w:val="22"/>
        </w:rPr>
        <w:t xml:space="preserve">will receive induction and handover from the </w:t>
      </w:r>
      <w:r w:rsidR="000115FD">
        <w:rPr>
          <w:rFonts w:eastAsia="Calibri" w:cstheme="minorHAnsi"/>
          <w:szCs w:val="22"/>
        </w:rPr>
        <w:t>C</w:t>
      </w:r>
      <w:r w:rsidR="005C6713" w:rsidRPr="00C26C77">
        <w:rPr>
          <w:rFonts w:eastAsia="Calibri" w:cstheme="minorHAnsi"/>
          <w:szCs w:val="22"/>
        </w:rPr>
        <w:t xml:space="preserve">entral Navigator team, the </w:t>
      </w:r>
      <w:r w:rsidR="0055146D">
        <w:rPr>
          <w:rFonts w:eastAsia="Calibri" w:cstheme="minorHAnsi"/>
          <w:szCs w:val="22"/>
        </w:rPr>
        <w:t>local DE</w:t>
      </w:r>
      <w:r w:rsidR="005C6713" w:rsidRPr="00C26C77">
        <w:rPr>
          <w:rFonts w:eastAsia="Calibri" w:cstheme="minorHAnsi"/>
          <w:szCs w:val="22"/>
        </w:rPr>
        <w:t xml:space="preserve"> Navigator team and the current </w:t>
      </w:r>
      <w:r w:rsidR="0055146D">
        <w:rPr>
          <w:rFonts w:eastAsia="Calibri" w:cstheme="minorHAnsi"/>
          <w:szCs w:val="22"/>
        </w:rPr>
        <w:t xml:space="preserve">area </w:t>
      </w:r>
      <w:r w:rsidR="005C6713" w:rsidRPr="00C26C77">
        <w:rPr>
          <w:rFonts w:eastAsia="Calibri" w:cstheme="minorHAnsi"/>
          <w:szCs w:val="22"/>
        </w:rPr>
        <w:t xml:space="preserve">Service Provider. This will include briefings on the Navigator Program Operating Guidelines, the Navigator Data Management System; and current and proposed governance and working arrangements. Existing Service Providers in other DE areas may also be available for support and induction discussions. </w:t>
      </w:r>
    </w:p>
    <w:p w14:paraId="5CDAADBF" w14:textId="77777777" w:rsidR="005C6713" w:rsidRPr="00C26C77" w:rsidRDefault="005C6713" w:rsidP="005C6713">
      <w:pPr>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t xml:space="preserve">How do Service Providers work with school and other education providers? What is expected? </w:t>
      </w:r>
    </w:p>
    <w:p w14:paraId="4C48523A" w14:textId="015D2605" w:rsidR="005C6713" w:rsidRPr="00C26C77" w:rsidRDefault="005C6713" w:rsidP="005C6713">
      <w:pPr>
        <w:rPr>
          <w:rFonts w:cstheme="minorHAnsi"/>
          <w:szCs w:val="22"/>
        </w:rPr>
      </w:pPr>
      <w:r w:rsidRPr="00C26C77">
        <w:rPr>
          <w:rFonts w:cstheme="minorHAnsi"/>
          <w:szCs w:val="22"/>
        </w:rPr>
        <w:t>Supporting schools to appropriately respond to disengaged young people and to support a Navigator participant’s re-engagement with education is a key focus of Navigator. For this reason, both the</w:t>
      </w:r>
      <w:r w:rsidR="001F0A8F">
        <w:rPr>
          <w:rFonts w:cstheme="minorHAnsi"/>
          <w:szCs w:val="22"/>
        </w:rPr>
        <w:t xml:space="preserve"> local </w:t>
      </w:r>
      <w:r w:rsidRPr="00C26C77">
        <w:rPr>
          <w:rFonts w:cstheme="minorHAnsi"/>
          <w:szCs w:val="22"/>
        </w:rPr>
        <w:t>DE</w:t>
      </w:r>
      <w:r>
        <w:rPr>
          <w:rFonts w:cstheme="minorHAnsi"/>
          <w:szCs w:val="22"/>
        </w:rPr>
        <w:t xml:space="preserve"> </w:t>
      </w:r>
      <w:r w:rsidRPr="00C26C77">
        <w:rPr>
          <w:rFonts w:cstheme="minorHAnsi"/>
          <w:szCs w:val="22"/>
        </w:rPr>
        <w:t xml:space="preserve">Navigator </w:t>
      </w:r>
      <w:r w:rsidR="001F0A8F">
        <w:rPr>
          <w:rFonts w:cstheme="minorHAnsi"/>
          <w:szCs w:val="22"/>
        </w:rPr>
        <w:t>team</w:t>
      </w:r>
      <w:r w:rsidRPr="00C26C77">
        <w:rPr>
          <w:rFonts w:cstheme="minorHAnsi"/>
          <w:szCs w:val="22"/>
        </w:rPr>
        <w:t xml:space="preserve"> and the Service Provider staff work in close partnership with schools.  </w:t>
      </w:r>
    </w:p>
    <w:p w14:paraId="0D874CBF" w14:textId="1883143E" w:rsidR="005C6713" w:rsidRPr="00C26C77" w:rsidRDefault="005C6713" w:rsidP="005C6713">
      <w:pPr>
        <w:rPr>
          <w:rFonts w:cstheme="minorHAnsi"/>
          <w:szCs w:val="22"/>
        </w:rPr>
      </w:pPr>
      <w:r w:rsidRPr="00C26C77">
        <w:rPr>
          <w:rFonts w:cstheme="minorHAnsi"/>
          <w:szCs w:val="22"/>
        </w:rPr>
        <w:t xml:space="preserve">Generally, </w:t>
      </w:r>
      <w:r w:rsidR="001F0A8F">
        <w:rPr>
          <w:rFonts w:cstheme="minorHAnsi"/>
          <w:szCs w:val="22"/>
        </w:rPr>
        <w:t xml:space="preserve">local DE </w:t>
      </w:r>
      <w:r w:rsidRPr="00C26C77">
        <w:rPr>
          <w:rFonts w:cstheme="minorHAnsi"/>
          <w:szCs w:val="22"/>
        </w:rPr>
        <w:t xml:space="preserve">Navigator </w:t>
      </w:r>
      <w:r w:rsidR="001F0A8F">
        <w:rPr>
          <w:rFonts w:cstheme="minorHAnsi"/>
          <w:szCs w:val="22"/>
        </w:rPr>
        <w:t xml:space="preserve">teams </w:t>
      </w:r>
      <w:r w:rsidRPr="00C26C77">
        <w:rPr>
          <w:rFonts w:cstheme="minorHAnsi"/>
          <w:szCs w:val="22"/>
        </w:rPr>
        <w:t xml:space="preserve">are responsible for Area level capacity building, promoting Navigator to schools and ensuring schools are aware of the parameters of Navigator. They also contact a referred young person’s school after receiving their referral, to gather the information service providers require to commence Intake and Assessment. </w:t>
      </w:r>
    </w:p>
    <w:p w14:paraId="1A97EE6A" w14:textId="751CDDD4" w:rsidR="005C6713" w:rsidRPr="00C26C77" w:rsidRDefault="005C6713" w:rsidP="005C6713">
      <w:pPr>
        <w:rPr>
          <w:rFonts w:cstheme="minorHAnsi"/>
          <w:szCs w:val="22"/>
        </w:rPr>
      </w:pPr>
      <w:r w:rsidRPr="00C26C77">
        <w:rPr>
          <w:rFonts w:cstheme="minorHAnsi"/>
          <w:szCs w:val="22"/>
        </w:rPr>
        <w:t xml:space="preserve">Service Providers then connect with schools on a more individual level, working with the school that the young person attends or is intending to attend. The Intake and Assessment, Active Hold and Case </w:t>
      </w:r>
      <w:r w:rsidR="001F0A8F">
        <w:rPr>
          <w:rFonts w:cstheme="minorHAnsi"/>
          <w:szCs w:val="22"/>
        </w:rPr>
        <w:t>M</w:t>
      </w:r>
      <w:r w:rsidRPr="00C26C77">
        <w:rPr>
          <w:rFonts w:cstheme="minorHAnsi"/>
          <w:szCs w:val="22"/>
        </w:rPr>
        <w:t>anage</w:t>
      </w:r>
      <w:r w:rsidR="001F0A8F">
        <w:rPr>
          <w:rFonts w:cstheme="minorHAnsi"/>
          <w:szCs w:val="22"/>
        </w:rPr>
        <w:t xml:space="preserve">ment </w:t>
      </w:r>
      <w:r w:rsidRPr="00C26C77">
        <w:rPr>
          <w:rFonts w:cstheme="minorHAnsi"/>
          <w:szCs w:val="22"/>
        </w:rPr>
        <w:t>staff are likely to all contact individual schools, to support individual participants. This contact may involve, or be related to:</w:t>
      </w:r>
    </w:p>
    <w:p w14:paraId="51A226BB" w14:textId="3FC63528" w:rsidR="005C6713" w:rsidRPr="001F0A8F" w:rsidRDefault="005C6713" w:rsidP="005C6713">
      <w:pPr>
        <w:pStyle w:val="ListParagraph"/>
        <w:numPr>
          <w:ilvl w:val="0"/>
          <w:numId w:val="20"/>
        </w:numPr>
        <w:jc w:val="both"/>
        <w:rPr>
          <w:rFonts w:asciiTheme="minorHAnsi" w:hAnsiTheme="minorHAnsi" w:cstheme="minorHAnsi"/>
          <w:lang w:val="en-GB"/>
        </w:rPr>
      </w:pPr>
      <w:r w:rsidRPr="001F0A8F">
        <w:rPr>
          <w:rFonts w:asciiTheme="minorHAnsi" w:hAnsiTheme="minorHAnsi" w:cstheme="minorHAnsi"/>
          <w:lang w:val="en-GB"/>
        </w:rPr>
        <w:t>Attending Student Support Group meetings</w:t>
      </w:r>
    </w:p>
    <w:p w14:paraId="54B4C60C" w14:textId="31F209F0" w:rsidR="005C6713" w:rsidRPr="001F0A8F" w:rsidRDefault="005C6713" w:rsidP="005C6713">
      <w:pPr>
        <w:pStyle w:val="ListParagraph"/>
        <w:numPr>
          <w:ilvl w:val="0"/>
          <w:numId w:val="20"/>
        </w:numPr>
        <w:jc w:val="both"/>
        <w:rPr>
          <w:rFonts w:asciiTheme="minorHAnsi" w:hAnsiTheme="minorHAnsi" w:cstheme="minorHAnsi"/>
          <w:lang w:val="en-GB"/>
        </w:rPr>
      </w:pPr>
      <w:r w:rsidRPr="001F0A8F">
        <w:rPr>
          <w:rFonts w:asciiTheme="minorHAnsi" w:hAnsiTheme="minorHAnsi" w:cstheme="minorHAnsi"/>
          <w:lang w:val="en-GB"/>
        </w:rPr>
        <w:t>Connecting with key school staff or teachers</w:t>
      </w:r>
    </w:p>
    <w:p w14:paraId="361EACB3" w14:textId="299E68B0" w:rsidR="005C6713" w:rsidRPr="001F0A8F" w:rsidRDefault="005C6713" w:rsidP="005C6713">
      <w:pPr>
        <w:pStyle w:val="ListParagraph"/>
        <w:numPr>
          <w:ilvl w:val="0"/>
          <w:numId w:val="20"/>
        </w:numPr>
        <w:jc w:val="both"/>
        <w:rPr>
          <w:rFonts w:asciiTheme="minorHAnsi" w:hAnsiTheme="minorHAnsi" w:cstheme="minorHAnsi"/>
          <w:lang w:val="en-GB"/>
        </w:rPr>
      </w:pPr>
      <w:r w:rsidRPr="001F0A8F">
        <w:rPr>
          <w:rFonts w:asciiTheme="minorHAnsi" w:hAnsiTheme="minorHAnsi" w:cstheme="minorHAnsi"/>
          <w:lang w:val="en-GB"/>
        </w:rPr>
        <w:t>Seeking school attendance dat</w:t>
      </w:r>
      <w:r w:rsidR="001F0A8F">
        <w:rPr>
          <w:rFonts w:asciiTheme="minorHAnsi" w:hAnsiTheme="minorHAnsi" w:cstheme="minorHAnsi"/>
          <w:lang w:val="en-GB"/>
        </w:rPr>
        <w:t>a</w:t>
      </w:r>
    </w:p>
    <w:p w14:paraId="51D42FE9" w14:textId="3D22F03E" w:rsidR="005C6713" w:rsidRPr="001F0A8F" w:rsidRDefault="005C6713" w:rsidP="005C6713">
      <w:pPr>
        <w:pStyle w:val="ListParagraph"/>
        <w:numPr>
          <w:ilvl w:val="0"/>
          <w:numId w:val="20"/>
        </w:numPr>
        <w:jc w:val="both"/>
        <w:rPr>
          <w:rFonts w:asciiTheme="minorHAnsi" w:hAnsiTheme="minorHAnsi" w:cstheme="minorHAnsi"/>
          <w:lang w:val="en-GB"/>
        </w:rPr>
      </w:pPr>
      <w:r w:rsidRPr="001F0A8F">
        <w:rPr>
          <w:rFonts w:asciiTheme="minorHAnsi" w:hAnsiTheme="minorHAnsi" w:cstheme="minorHAnsi"/>
          <w:lang w:val="en-GB"/>
        </w:rPr>
        <w:t>Discussing appropriate referrals or other support strategies the school can lead on</w:t>
      </w:r>
    </w:p>
    <w:p w14:paraId="543ED22A" w14:textId="77777777" w:rsidR="005C6713" w:rsidRPr="001F0A8F" w:rsidRDefault="005C6713" w:rsidP="005C6713">
      <w:pPr>
        <w:pStyle w:val="ListParagraph"/>
        <w:numPr>
          <w:ilvl w:val="0"/>
          <w:numId w:val="20"/>
        </w:numPr>
        <w:jc w:val="both"/>
        <w:rPr>
          <w:rFonts w:asciiTheme="minorHAnsi" w:hAnsiTheme="minorHAnsi" w:cstheme="minorHAnsi"/>
          <w:lang w:val="en-GB"/>
        </w:rPr>
      </w:pPr>
      <w:r w:rsidRPr="001F0A8F">
        <w:rPr>
          <w:rFonts w:asciiTheme="minorHAnsi" w:hAnsiTheme="minorHAnsi" w:cstheme="minorHAnsi"/>
          <w:lang w:val="en-GB"/>
        </w:rPr>
        <w:t xml:space="preserve">Collaborating on or gaining input into re-engagement plans, and </w:t>
      </w:r>
    </w:p>
    <w:p w14:paraId="09116AE8" w14:textId="77777777" w:rsidR="005C6713" w:rsidRPr="001F0A8F" w:rsidRDefault="005C6713" w:rsidP="005C6713">
      <w:pPr>
        <w:pStyle w:val="ListParagraph"/>
        <w:numPr>
          <w:ilvl w:val="0"/>
          <w:numId w:val="20"/>
        </w:numPr>
        <w:spacing w:after="120"/>
        <w:ind w:left="714" w:hanging="357"/>
        <w:jc w:val="both"/>
        <w:rPr>
          <w:rFonts w:asciiTheme="minorHAnsi" w:hAnsiTheme="minorHAnsi" w:cstheme="minorHAnsi"/>
          <w:lang w:val="en-GB"/>
        </w:rPr>
      </w:pPr>
      <w:r w:rsidRPr="001F0A8F">
        <w:rPr>
          <w:rFonts w:asciiTheme="minorHAnsi" w:hAnsiTheme="minorHAnsi" w:cstheme="minorHAnsi"/>
          <w:lang w:val="en-GB"/>
        </w:rPr>
        <w:lastRenderedPageBreak/>
        <w:t xml:space="preserve">Monitoring participant progress.  </w:t>
      </w:r>
    </w:p>
    <w:p w14:paraId="7C3EEAFE" w14:textId="77777777" w:rsidR="005C6713" w:rsidRPr="00C26C77" w:rsidRDefault="005C6713" w:rsidP="005C6713">
      <w:pPr>
        <w:rPr>
          <w:rFonts w:eastAsiaTheme="majorEastAsia" w:cstheme="minorHAnsi"/>
          <w:b/>
          <w:color w:val="E25205" w:themeColor="accent1"/>
          <w:szCs w:val="22"/>
          <w:lang w:val="en-AU"/>
        </w:rPr>
      </w:pPr>
      <w:r w:rsidRPr="00C26C77">
        <w:rPr>
          <w:rFonts w:cstheme="minorHAnsi"/>
          <w:szCs w:val="22"/>
        </w:rPr>
        <w:t>Keeping schools involved and updated as active partners is pivotal to the success of the program, as once Navigator support is withdrawn, the school is likely to be the young person’s key support point regarding school engagement. It is suggested that Service Providers update the schools on individual participants progress / needs at least fortnightly.</w:t>
      </w:r>
    </w:p>
    <w:p w14:paraId="14CA12A1" w14:textId="77777777" w:rsidR="005C6713" w:rsidRPr="00C26C77" w:rsidRDefault="005C6713" w:rsidP="005C6713">
      <w:pPr>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t>How do you define assertive outreach and how important is this in Navigator service delivery?</w:t>
      </w:r>
    </w:p>
    <w:p w14:paraId="273963CF" w14:textId="77777777" w:rsidR="005C6713" w:rsidRPr="00C30814" w:rsidRDefault="005C6713" w:rsidP="005C6713">
      <w:pPr>
        <w:rPr>
          <w:rFonts w:cstheme="minorHAnsi"/>
          <w:szCs w:val="22"/>
          <w:lang w:val="en-AU"/>
        </w:rPr>
      </w:pPr>
      <w:r w:rsidRPr="00C26C77">
        <w:rPr>
          <w:rStyle w:val="PageNumber"/>
          <w:rFonts w:eastAsia="Calibri" w:cstheme="minorHAnsi"/>
          <w:szCs w:val="22"/>
        </w:rPr>
        <w:t xml:space="preserve">Navigator works with highly disengaged learners who can sometimes be reluctant to engage with support services, both initially and throughout the Navigator journey. For this reason, assertive outreach is a pivotal component of the Navigator model. Service Providers are expected to make varied and persistent efforts to engage the young person / family, using their skills as community-based agencies to employ a range of tactics to maximise the chance of response and a positive reception from participants and their families. Service Providers are expected to make contact with participants and their families via phone calls, text messages, emails, letters, home visits, visits to schools, or meeting face to face at a location of the young person’s / family’s choosing.  </w:t>
      </w:r>
    </w:p>
    <w:p w14:paraId="5FB6D450" w14:textId="77777777" w:rsidR="005C6713" w:rsidRPr="00C30814" w:rsidRDefault="005C6713" w:rsidP="005C6713">
      <w:pPr>
        <w:rPr>
          <w:rFonts w:cstheme="minorHAnsi"/>
          <w:szCs w:val="22"/>
          <w:lang w:val="en-AU"/>
        </w:rPr>
      </w:pPr>
      <w:r w:rsidRPr="00C26C77">
        <w:rPr>
          <w:rFonts w:cstheme="minorHAnsi"/>
          <w:szCs w:val="22"/>
          <w:lang w:val="en-AU"/>
        </w:rPr>
        <w:t xml:space="preserve">It should be noted that, in the vast majority of cases, parent/guardian consent </w:t>
      </w:r>
      <w:r>
        <w:rPr>
          <w:rFonts w:cstheme="minorHAnsi"/>
          <w:szCs w:val="22"/>
          <w:lang w:val="en-AU"/>
        </w:rPr>
        <w:t xml:space="preserve">to submit a referral </w:t>
      </w:r>
      <w:r w:rsidRPr="00C26C77">
        <w:rPr>
          <w:rFonts w:cstheme="minorHAnsi"/>
          <w:szCs w:val="22"/>
          <w:lang w:val="en-AU"/>
        </w:rPr>
        <w:t xml:space="preserve">is required and collected prior to a referral being submitted.  This consent to submit a referral often means the family and young person have some knowledge of Navigator and are aware they will be contacted if the young person is eligible to participate. </w:t>
      </w:r>
      <w:r>
        <w:rPr>
          <w:rFonts w:cstheme="minorHAnsi"/>
          <w:szCs w:val="22"/>
          <w:lang w:val="en-AU"/>
        </w:rPr>
        <w:t xml:space="preserve"> Note, that once a referral has been received, consent to participate in the program will need to be obtained (during Intake and Assessment phase) before support can be delivered. </w:t>
      </w:r>
    </w:p>
    <w:p w14:paraId="03FBF248" w14:textId="77777777" w:rsidR="005C6713" w:rsidRPr="005C6713" w:rsidRDefault="005C6713" w:rsidP="005C6713">
      <w:pPr>
        <w:pStyle w:val="Heading2"/>
        <w:jc w:val="both"/>
        <w:rPr>
          <w:rFonts w:asciiTheme="minorHAnsi" w:hAnsiTheme="minorHAnsi" w:cstheme="minorHAnsi"/>
          <w:color w:val="E25205" w:themeColor="accent1"/>
          <w:sz w:val="22"/>
          <w:szCs w:val="22"/>
          <w:lang w:val="en-AU"/>
        </w:rPr>
      </w:pPr>
      <w:r w:rsidRPr="005C6713">
        <w:rPr>
          <w:rFonts w:asciiTheme="minorHAnsi" w:hAnsiTheme="minorHAnsi" w:cstheme="minorHAnsi"/>
          <w:color w:val="E25205" w:themeColor="accent1"/>
          <w:sz w:val="22"/>
          <w:szCs w:val="22"/>
          <w:lang w:val="en-AU"/>
        </w:rPr>
        <w:t xml:space="preserve">What are some of the barriers to delivering Navigator experienced by current Service Providers? </w:t>
      </w:r>
    </w:p>
    <w:p w14:paraId="738A793D" w14:textId="3DEF72CA" w:rsidR="005C6713" w:rsidRPr="00C26C77" w:rsidRDefault="005C6713" w:rsidP="005C6713">
      <w:pPr>
        <w:rPr>
          <w:rFonts w:cstheme="minorHAnsi"/>
          <w:szCs w:val="22"/>
          <w:lang w:val="en-AU"/>
        </w:rPr>
      </w:pPr>
      <w:r w:rsidRPr="00C26C77">
        <w:rPr>
          <w:rFonts w:cstheme="minorHAnsi"/>
          <w:szCs w:val="22"/>
        </w:rPr>
        <w:t xml:space="preserve">Geographic spread can be difficult in some areas. Some areas have dealt with this by having Case Managers based in specific areas across the </w:t>
      </w:r>
      <w:r w:rsidR="001F0A8F">
        <w:rPr>
          <w:rFonts w:cstheme="minorHAnsi"/>
          <w:szCs w:val="22"/>
        </w:rPr>
        <w:t>r</w:t>
      </w:r>
      <w:r w:rsidRPr="00C26C77">
        <w:rPr>
          <w:rFonts w:cstheme="minorHAnsi"/>
          <w:szCs w:val="22"/>
        </w:rPr>
        <w:t>egion where there was a high number of student population</w:t>
      </w:r>
      <w:r w:rsidR="001F0A8F">
        <w:rPr>
          <w:rFonts w:cstheme="minorHAnsi"/>
          <w:szCs w:val="22"/>
        </w:rPr>
        <w:t>/ better access to the local schools</w:t>
      </w:r>
      <w:r w:rsidRPr="00C26C77">
        <w:rPr>
          <w:rFonts w:cstheme="minorHAnsi"/>
          <w:szCs w:val="22"/>
        </w:rPr>
        <w:t>.</w:t>
      </w:r>
    </w:p>
    <w:p w14:paraId="225A0522" w14:textId="77777777" w:rsidR="005C6713" w:rsidRPr="00C26C77" w:rsidRDefault="005C6713" w:rsidP="005C6713">
      <w:pPr>
        <w:rPr>
          <w:rFonts w:cstheme="minorHAnsi"/>
          <w:szCs w:val="22"/>
        </w:rPr>
      </w:pPr>
      <w:r w:rsidRPr="00C26C77">
        <w:rPr>
          <w:rFonts w:cstheme="minorHAnsi"/>
          <w:szCs w:val="22"/>
        </w:rPr>
        <w:t>Some parents / carers can be reluctant to participate in Navigator and /or support their child’s re-engagement with education.  This can be due to a number of complex challenges families may face, such as financial and housing insecurity</w:t>
      </w:r>
      <w:r w:rsidRPr="00C26C77" w:rsidDel="00C66368">
        <w:rPr>
          <w:rFonts w:cstheme="minorHAnsi"/>
          <w:szCs w:val="22"/>
        </w:rPr>
        <w:t xml:space="preserve"> </w:t>
      </w:r>
      <w:r w:rsidRPr="00C26C77">
        <w:rPr>
          <w:rFonts w:cstheme="minorHAnsi"/>
          <w:szCs w:val="22"/>
        </w:rPr>
        <w:t>or mental health issues. Sometimes these issues may result in parents/carers not responding to contact attempts.</w:t>
      </w:r>
    </w:p>
    <w:p w14:paraId="7283B972" w14:textId="77777777" w:rsidR="005C6713" w:rsidRPr="00C26C77" w:rsidRDefault="005C6713" w:rsidP="005C6713">
      <w:pPr>
        <w:rPr>
          <w:rFonts w:cstheme="minorHAnsi"/>
          <w:szCs w:val="22"/>
          <w:lang w:val="en-AU"/>
        </w:rPr>
      </w:pPr>
      <w:r w:rsidRPr="00C26C77">
        <w:rPr>
          <w:rFonts w:cstheme="minorHAnsi"/>
          <w:szCs w:val="22"/>
        </w:rPr>
        <w:t xml:space="preserve">Some young people do not want to re-engage with education at their current school, and it can be challenging in some Areas to identify an appropriate alternative school or education provider. </w:t>
      </w:r>
    </w:p>
    <w:p w14:paraId="426E5149" w14:textId="04587763" w:rsidR="005C6713" w:rsidRPr="00C26C77" w:rsidRDefault="005C6713" w:rsidP="005C6713">
      <w:pPr>
        <w:rPr>
          <w:rFonts w:eastAsiaTheme="majorEastAsia" w:cstheme="minorHAnsi"/>
          <w:b/>
          <w:color w:val="E25205" w:themeColor="accent1"/>
          <w:szCs w:val="22"/>
          <w:lang w:val="en-AU"/>
        </w:rPr>
      </w:pPr>
      <w:bookmarkStart w:id="2" w:name="_Hlk128145213"/>
      <w:r w:rsidRPr="00C26C77">
        <w:rPr>
          <w:rFonts w:eastAsiaTheme="majorEastAsia" w:cstheme="minorHAnsi"/>
          <w:b/>
          <w:color w:val="E25205" w:themeColor="accent1"/>
          <w:szCs w:val="22"/>
          <w:lang w:val="en-AU"/>
        </w:rPr>
        <w:t xml:space="preserve">What is the scale of the issue in </w:t>
      </w:r>
      <w:r w:rsidR="001F0A8F" w:rsidRPr="001F0A8F">
        <w:rPr>
          <w:rFonts w:eastAsiaTheme="majorEastAsia" w:cstheme="minorHAnsi"/>
          <w:b/>
          <w:color w:val="E25205" w:themeColor="accent1"/>
          <w:szCs w:val="22"/>
          <w:lang w:val="en-AU"/>
        </w:rPr>
        <w:t xml:space="preserve">Wimmera South West, Outer Eastern Melbourne, Barwon </w:t>
      </w:r>
      <w:r w:rsidR="000115FD">
        <w:rPr>
          <w:rFonts w:eastAsiaTheme="majorEastAsia" w:cstheme="minorHAnsi"/>
          <w:b/>
          <w:color w:val="E25205" w:themeColor="accent1"/>
          <w:szCs w:val="22"/>
          <w:lang w:val="en-AU"/>
        </w:rPr>
        <w:t>areas</w:t>
      </w:r>
      <w:r w:rsidRPr="00C26C77">
        <w:rPr>
          <w:rFonts w:eastAsiaTheme="majorEastAsia" w:cstheme="minorHAnsi"/>
          <w:b/>
          <w:color w:val="E25205" w:themeColor="accent1"/>
          <w:szCs w:val="22"/>
          <w:lang w:val="en-AU"/>
        </w:rPr>
        <w:t xml:space="preserve">? Can any data around disengagement and early school leaving be shared? </w:t>
      </w:r>
    </w:p>
    <w:p w14:paraId="109EEA76" w14:textId="45CFC661" w:rsidR="005869FE" w:rsidRDefault="005C6713" w:rsidP="005C6713">
      <w:pPr>
        <w:rPr>
          <w:rFonts w:cstheme="minorHAnsi"/>
          <w:szCs w:val="22"/>
        </w:rPr>
      </w:pPr>
      <w:r w:rsidRPr="00C30814">
        <w:rPr>
          <w:rFonts w:cstheme="minorHAnsi"/>
          <w:szCs w:val="22"/>
        </w:rPr>
        <w:t xml:space="preserve">In the majority of </w:t>
      </w:r>
      <w:r w:rsidR="00F610E0">
        <w:rPr>
          <w:rFonts w:cstheme="minorHAnsi"/>
          <w:szCs w:val="22"/>
        </w:rPr>
        <w:t>A</w:t>
      </w:r>
      <w:r w:rsidRPr="00C30814">
        <w:rPr>
          <w:rFonts w:cstheme="minorHAnsi"/>
          <w:szCs w:val="22"/>
        </w:rPr>
        <w:t>reas, demand for Navigator is high and there is often a waitlist for Intensive Case Management.</w:t>
      </w:r>
    </w:p>
    <w:p w14:paraId="6D1D76CD" w14:textId="3A9525F2" w:rsidR="005869FE" w:rsidRPr="007E7831" w:rsidRDefault="005869FE" w:rsidP="005C6713">
      <w:pPr>
        <w:rPr>
          <w:rFonts w:cstheme="minorHAnsi"/>
          <w:szCs w:val="22"/>
        </w:rPr>
      </w:pPr>
      <w:r w:rsidRPr="007E7831">
        <w:rPr>
          <w:rFonts w:cstheme="minorHAnsi"/>
          <w:b/>
          <w:bCs/>
          <w:szCs w:val="22"/>
        </w:rPr>
        <w:t xml:space="preserve">Barwon: </w:t>
      </w:r>
      <w:r w:rsidR="00E02AD0" w:rsidRPr="007E7831">
        <w:rPr>
          <w:rFonts w:cstheme="minorHAnsi"/>
          <w:szCs w:val="22"/>
        </w:rPr>
        <w:t>Currently t</w:t>
      </w:r>
      <w:r w:rsidR="00E02AD0" w:rsidRPr="007E7831">
        <w:t xml:space="preserve">here are </w:t>
      </w:r>
      <w:r w:rsidR="007E7831" w:rsidRPr="007E7831">
        <w:t>34</w:t>
      </w:r>
      <w:r w:rsidR="00E02AD0" w:rsidRPr="007E7831">
        <w:t xml:space="preserve"> </w:t>
      </w:r>
      <w:r w:rsidR="007E7831" w:rsidRPr="007E7831">
        <w:t xml:space="preserve">primary-secondary, secondary and special </w:t>
      </w:r>
      <w:r w:rsidR="00E02AD0" w:rsidRPr="007E7831">
        <w:t>schools/colleges in the Barwon area</w:t>
      </w:r>
      <w:r w:rsidR="007E7831" w:rsidRPr="007E7831">
        <w:t xml:space="preserve">. </w:t>
      </w:r>
      <w:r w:rsidR="00E02AD0" w:rsidRPr="007E7831">
        <w:rPr>
          <w:i/>
          <w:iCs/>
        </w:rPr>
        <w:t xml:space="preserve"> </w:t>
      </w:r>
    </w:p>
    <w:p w14:paraId="1E76CE3F" w14:textId="48E9CC17" w:rsidR="005869FE" w:rsidRDefault="005869FE" w:rsidP="005C6713">
      <w:pPr>
        <w:rPr>
          <w:rFonts w:cstheme="minorHAnsi"/>
          <w:b/>
          <w:bCs/>
          <w:szCs w:val="22"/>
        </w:rPr>
      </w:pPr>
      <w:r w:rsidRPr="007E7831">
        <w:rPr>
          <w:rFonts w:cstheme="minorHAnsi"/>
          <w:b/>
          <w:bCs/>
          <w:szCs w:val="22"/>
        </w:rPr>
        <w:t xml:space="preserve">Wimmera South West: </w:t>
      </w:r>
      <w:r w:rsidR="00E02AD0" w:rsidRPr="007E7831">
        <w:rPr>
          <w:rFonts w:cstheme="minorHAnsi"/>
          <w:szCs w:val="22"/>
        </w:rPr>
        <w:t>Currently t</w:t>
      </w:r>
      <w:r w:rsidR="00E02AD0" w:rsidRPr="007E7831">
        <w:t xml:space="preserve">here are </w:t>
      </w:r>
      <w:r w:rsidR="007E7831" w:rsidRPr="007E7831">
        <w:t xml:space="preserve">44 primary-secondary, secondary and special schools/colleges in the </w:t>
      </w:r>
      <w:r w:rsidR="00E02AD0" w:rsidRPr="007E7831">
        <w:t>Wimmera South West area</w:t>
      </w:r>
      <w:r w:rsidR="007E7831" w:rsidRPr="007E7831">
        <w:rPr>
          <w:i/>
          <w:iCs/>
        </w:rPr>
        <w:t>.</w:t>
      </w:r>
      <w:r w:rsidR="007E7831">
        <w:rPr>
          <w:i/>
          <w:iCs/>
        </w:rPr>
        <w:t xml:space="preserve"> </w:t>
      </w:r>
    </w:p>
    <w:p w14:paraId="77FAF452" w14:textId="55F0FF1A" w:rsidR="005869FE" w:rsidRPr="005869FE" w:rsidRDefault="005869FE" w:rsidP="005C6713">
      <w:pPr>
        <w:rPr>
          <w:rFonts w:cstheme="minorHAnsi"/>
          <w:szCs w:val="22"/>
        </w:rPr>
      </w:pPr>
      <w:r>
        <w:rPr>
          <w:rFonts w:cstheme="minorHAnsi"/>
          <w:b/>
          <w:bCs/>
          <w:szCs w:val="22"/>
        </w:rPr>
        <w:t xml:space="preserve">Outer Eastern </w:t>
      </w:r>
      <w:r w:rsidR="00E02AD0">
        <w:rPr>
          <w:rFonts w:cstheme="minorHAnsi"/>
          <w:b/>
          <w:bCs/>
          <w:szCs w:val="22"/>
        </w:rPr>
        <w:t>Melbourne</w:t>
      </w:r>
      <w:r>
        <w:rPr>
          <w:rFonts w:cstheme="minorHAnsi"/>
          <w:b/>
          <w:bCs/>
          <w:szCs w:val="22"/>
        </w:rPr>
        <w:t xml:space="preserve">: </w:t>
      </w:r>
      <w:r w:rsidRPr="005869FE">
        <w:rPr>
          <w:rFonts w:cstheme="minorHAnsi"/>
          <w:szCs w:val="22"/>
        </w:rPr>
        <w:t>Currently there are 24 government primary-secondary, secondary and special schools in the Outer Eastern Melbourne area</w:t>
      </w:r>
      <w:r w:rsidR="00E02AD0">
        <w:rPr>
          <w:rFonts w:cstheme="minorHAnsi"/>
          <w:szCs w:val="22"/>
        </w:rPr>
        <w:t>. R</w:t>
      </w:r>
      <w:r w:rsidRPr="005869FE">
        <w:rPr>
          <w:rFonts w:cstheme="minorHAnsi"/>
          <w:szCs w:val="22"/>
        </w:rPr>
        <w:t xml:space="preserve">eferrals are received from catholic, independent and specialist/alternative settings. </w:t>
      </w:r>
      <w:r w:rsidR="00E02AD0">
        <w:rPr>
          <w:rFonts w:cstheme="minorHAnsi"/>
          <w:szCs w:val="22"/>
        </w:rPr>
        <w:t xml:space="preserve">The approximate number of </w:t>
      </w:r>
      <w:r w:rsidRPr="005869FE">
        <w:rPr>
          <w:rFonts w:cstheme="minorHAnsi"/>
          <w:szCs w:val="22"/>
        </w:rPr>
        <w:t xml:space="preserve">enrolments across all school sectors is 28,287.  </w:t>
      </w:r>
    </w:p>
    <w:p w14:paraId="33F08614" w14:textId="69E3C622" w:rsidR="00F9069E" w:rsidRDefault="005C6713" w:rsidP="005C6713">
      <w:pPr>
        <w:rPr>
          <w:rStyle w:val="Hyperlink"/>
          <w:rFonts w:cstheme="minorHAnsi"/>
          <w:szCs w:val="22"/>
        </w:rPr>
      </w:pPr>
      <w:r w:rsidRPr="00C26C77">
        <w:rPr>
          <w:rFonts w:cstheme="minorHAnsi"/>
          <w:szCs w:val="22"/>
        </w:rPr>
        <w:lastRenderedPageBreak/>
        <w:t xml:space="preserve">DE is limited in the data that it can release, however publicly available data can be found on the </w:t>
      </w:r>
      <w:hyperlink r:id="rId12" w:history="1">
        <w:r w:rsidRPr="00404FEE">
          <w:rPr>
            <w:rStyle w:val="Hyperlink"/>
            <w:rFonts w:cstheme="minorHAnsi"/>
            <w:szCs w:val="22"/>
          </w:rPr>
          <w:t>Victorian government’s Data Vic website.</w:t>
        </w:r>
      </w:hyperlink>
    </w:p>
    <w:bookmarkEnd w:id="2"/>
    <w:p w14:paraId="5A6202BB" w14:textId="53A1474C" w:rsidR="005C6713" w:rsidRPr="003F6F7E" w:rsidRDefault="005C6713" w:rsidP="005C6713">
      <w:pPr>
        <w:rPr>
          <w:rFonts w:cstheme="minorHAnsi"/>
          <w:szCs w:val="22"/>
        </w:rPr>
      </w:pPr>
      <w:r w:rsidRPr="00C26C77">
        <w:rPr>
          <w:rFonts w:eastAsiaTheme="majorEastAsia" w:cstheme="minorHAnsi"/>
          <w:b/>
          <w:color w:val="E25205" w:themeColor="accent1"/>
          <w:szCs w:val="22"/>
          <w:lang w:val="en-AU"/>
        </w:rPr>
        <w:t xml:space="preserve">Is there a minimum and maximum time a young person can remain in </w:t>
      </w:r>
      <w:r>
        <w:rPr>
          <w:rFonts w:eastAsiaTheme="majorEastAsia" w:cstheme="minorHAnsi"/>
          <w:b/>
          <w:color w:val="E25205" w:themeColor="accent1"/>
          <w:szCs w:val="22"/>
          <w:lang w:val="en-AU"/>
        </w:rPr>
        <w:t>C</w:t>
      </w:r>
      <w:r w:rsidRPr="00C26C77">
        <w:rPr>
          <w:rFonts w:eastAsiaTheme="majorEastAsia" w:cstheme="minorHAnsi"/>
          <w:b/>
          <w:color w:val="E25205" w:themeColor="accent1"/>
          <w:szCs w:val="22"/>
          <w:lang w:val="en-AU"/>
        </w:rPr>
        <w:t xml:space="preserve">ase </w:t>
      </w:r>
      <w:r>
        <w:rPr>
          <w:rFonts w:eastAsiaTheme="majorEastAsia" w:cstheme="minorHAnsi"/>
          <w:b/>
          <w:color w:val="E25205" w:themeColor="accent1"/>
          <w:szCs w:val="22"/>
          <w:lang w:val="en-AU"/>
        </w:rPr>
        <w:t>M</w:t>
      </w:r>
      <w:r w:rsidRPr="00C26C77">
        <w:rPr>
          <w:rFonts w:eastAsiaTheme="majorEastAsia" w:cstheme="minorHAnsi"/>
          <w:b/>
          <w:color w:val="E25205" w:themeColor="accent1"/>
          <w:szCs w:val="22"/>
          <w:lang w:val="en-AU"/>
        </w:rPr>
        <w:t xml:space="preserve">anagement and </w:t>
      </w:r>
      <w:r>
        <w:rPr>
          <w:rFonts w:eastAsiaTheme="majorEastAsia" w:cstheme="minorHAnsi"/>
          <w:b/>
          <w:color w:val="E25205" w:themeColor="accent1"/>
          <w:szCs w:val="22"/>
          <w:lang w:val="en-AU"/>
        </w:rPr>
        <w:t>A</w:t>
      </w:r>
      <w:r w:rsidRPr="00C26C77">
        <w:rPr>
          <w:rFonts w:eastAsiaTheme="majorEastAsia" w:cstheme="minorHAnsi"/>
          <w:b/>
          <w:color w:val="E25205" w:themeColor="accent1"/>
          <w:szCs w:val="22"/>
          <w:lang w:val="en-AU"/>
        </w:rPr>
        <w:t xml:space="preserve">ctive </w:t>
      </w:r>
      <w:r>
        <w:rPr>
          <w:rFonts w:eastAsiaTheme="majorEastAsia" w:cstheme="minorHAnsi"/>
          <w:b/>
          <w:color w:val="E25205" w:themeColor="accent1"/>
          <w:szCs w:val="22"/>
          <w:lang w:val="en-AU"/>
        </w:rPr>
        <w:t>H</w:t>
      </w:r>
      <w:r w:rsidRPr="00C26C77">
        <w:rPr>
          <w:rFonts w:eastAsiaTheme="majorEastAsia" w:cstheme="minorHAnsi"/>
          <w:b/>
          <w:color w:val="E25205" w:themeColor="accent1"/>
          <w:szCs w:val="22"/>
          <w:lang w:val="en-AU"/>
        </w:rPr>
        <w:t xml:space="preserve">old? </w:t>
      </w:r>
    </w:p>
    <w:p w14:paraId="7D0FAB87" w14:textId="46761DC9" w:rsidR="005C6713" w:rsidRPr="00C26C77" w:rsidRDefault="005C6713" w:rsidP="005C6713">
      <w:pPr>
        <w:rPr>
          <w:rFonts w:eastAsiaTheme="majorEastAsia" w:cstheme="minorHAnsi"/>
          <w:b/>
          <w:color w:val="E25205" w:themeColor="accent1"/>
          <w:szCs w:val="22"/>
          <w:lang w:val="en-AU"/>
        </w:rPr>
      </w:pPr>
      <w:r w:rsidRPr="00C26C77">
        <w:rPr>
          <w:rStyle w:val="PageNumber"/>
          <w:rFonts w:eastAsia="Calibri" w:cstheme="minorHAnsi"/>
          <w:szCs w:val="22"/>
        </w:rPr>
        <w:t xml:space="preserve">There is no prescribed minimum or maximum length of time that a young person can remain receiving </w:t>
      </w:r>
      <w:r>
        <w:rPr>
          <w:rStyle w:val="PageNumber"/>
          <w:rFonts w:eastAsia="Calibri" w:cstheme="minorHAnsi"/>
          <w:szCs w:val="22"/>
        </w:rPr>
        <w:t>C</w:t>
      </w:r>
      <w:r w:rsidRPr="00C26C77">
        <w:rPr>
          <w:rStyle w:val="PageNumber"/>
          <w:rFonts w:eastAsia="Calibri" w:cstheme="minorHAnsi"/>
          <w:szCs w:val="22"/>
        </w:rPr>
        <w:t xml:space="preserve">ase </w:t>
      </w:r>
      <w:r>
        <w:rPr>
          <w:rStyle w:val="PageNumber"/>
          <w:rFonts w:eastAsia="Calibri" w:cstheme="minorHAnsi"/>
          <w:szCs w:val="22"/>
        </w:rPr>
        <w:t>M</w:t>
      </w:r>
      <w:r w:rsidRPr="00C26C77">
        <w:rPr>
          <w:rStyle w:val="PageNumber"/>
          <w:rFonts w:eastAsia="Calibri" w:cstheme="minorHAnsi"/>
          <w:szCs w:val="22"/>
        </w:rPr>
        <w:t xml:space="preserve">anagement or </w:t>
      </w:r>
      <w:r>
        <w:rPr>
          <w:rStyle w:val="PageNumber"/>
          <w:rFonts w:eastAsia="Calibri" w:cstheme="minorHAnsi"/>
          <w:szCs w:val="22"/>
        </w:rPr>
        <w:t>A</w:t>
      </w:r>
      <w:r w:rsidRPr="00C26C77">
        <w:rPr>
          <w:rStyle w:val="PageNumber"/>
          <w:rFonts w:eastAsia="Calibri" w:cstheme="minorHAnsi"/>
          <w:szCs w:val="22"/>
        </w:rPr>
        <w:t xml:space="preserve">ctive </w:t>
      </w:r>
      <w:r>
        <w:rPr>
          <w:rStyle w:val="PageNumber"/>
          <w:rFonts w:eastAsia="Calibri" w:cstheme="minorHAnsi"/>
          <w:szCs w:val="22"/>
        </w:rPr>
        <w:t>H</w:t>
      </w:r>
      <w:r w:rsidRPr="00C26C77">
        <w:rPr>
          <w:rStyle w:val="PageNumber"/>
          <w:rFonts w:eastAsia="Calibri" w:cstheme="minorHAnsi"/>
          <w:szCs w:val="22"/>
        </w:rPr>
        <w:t xml:space="preserve">old support, due to the complexities and variance of different cases. </w:t>
      </w:r>
      <w:r w:rsidR="007908A8">
        <w:rPr>
          <w:rStyle w:val="PageNumber"/>
          <w:rFonts w:eastAsia="Calibri" w:cstheme="minorHAnsi"/>
          <w:szCs w:val="22"/>
        </w:rPr>
        <w:t>Many young people remain as participants for up to 18 months</w:t>
      </w:r>
      <w:r w:rsidR="005373A3">
        <w:rPr>
          <w:rStyle w:val="PageNumber"/>
          <w:rFonts w:eastAsia="Calibri" w:cstheme="minorHAnsi"/>
          <w:szCs w:val="22"/>
        </w:rPr>
        <w:t xml:space="preserve"> or more</w:t>
      </w:r>
      <w:r w:rsidR="007908A8">
        <w:rPr>
          <w:rStyle w:val="PageNumber"/>
          <w:rFonts w:eastAsia="Calibri" w:cstheme="minorHAnsi"/>
          <w:szCs w:val="22"/>
        </w:rPr>
        <w:t xml:space="preserve">. </w:t>
      </w:r>
      <w:r w:rsidRPr="00C26C77">
        <w:rPr>
          <w:rStyle w:val="PageNumber"/>
          <w:rFonts w:eastAsia="Calibri" w:cstheme="minorHAnsi"/>
          <w:szCs w:val="22"/>
        </w:rPr>
        <w:t xml:space="preserve">Service </w:t>
      </w:r>
      <w:r>
        <w:rPr>
          <w:rStyle w:val="PageNumber"/>
          <w:rFonts w:eastAsia="Calibri" w:cstheme="minorHAnsi"/>
          <w:szCs w:val="22"/>
        </w:rPr>
        <w:t>P</w:t>
      </w:r>
      <w:r w:rsidRPr="00C26C77">
        <w:rPr>
          <w:rStyle w:val="PageNumber"/>
          <w:rFonts w:eastAsia="Calibri" w:cstheme="minorHAnsi"/>
          <w:szCs w:val="22"/>
        </w:rPr>
        <w:t>roviders are expected to hold case conferences for their participants after 6 months of</w:t>
      </w:r>
      <w:r w:rsidR="007908A8">
        <w:rPr>
          <w:rStyle w:val="PageNumber"/>
          <w:rFonts w:eastAsia="Calibri" w:cstheme="minorHAnsi"/>
          <w:szCs w:val="22"/>
        </w:rPr>
        <w:t xml:space="preserve"> initial</w:t>
      </w:r>
      <w:r w:rsidRPr="00C26C77">
        <w:rPr>
          <w:rStyle w:val="PageNumber"/>
          <w:rFonts w:eastAsia="Calibri" w:cstheme="minorHAnsi"/>
          <w:szCs w:val="22"/>
        </w:rPr>
        <w:t xml:space="preserve"> support, and every 3 months thereafter to assess if Navigator remains the right program for the young person.  It should be noted that Navigator is an educational re-engagement program, not a general support program. As such, participants who are not pursuing or working towards pursuing educational re-engagement should be discussed with the Navigator Coordinator to determine if Navigator remains the most suitable support program for the young person. </w:t>
      </w:r>
    </w:p>
    <w:p w14:paraId="5D3453F3" w14:textId="77777777" w:rsidR="005C6713" w:rsidRPr="00C26C77" w:rsidRDefault="005C6713" w:rsidP="005C6713">
      <w:pPr>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t xml:space="preserve">How is program delivery monitored by DE? </w:t>
      </w:r>
    </w:p>
    <w:p w14:paraId="3B857F7F" w14:textId="77777777" w:rsidR="005C6713" w:rsidRPr="00C26C77" w:rsidRDefault="005C6713" w:rsidP="005C6713">
      <w:pPr>
        <w:rPr>
          <w:rStyle w:val="PageNumber"/>
          <w:rFonts w:eastAsia="Calibri" w:cstheme="minorHAnsi"/>
          <w:szCs w:val="22"/>
        </w:rPr>
      </w:pPr>
      <w:r w:rsidRPr="00C26C77">
        <w:rPr>
          <w:rStyle w:val="PageNumber"/>
          <w:rFonts w:eastAsia="Calibri" w:cstheme="minorHAnsi"/>
          <w:szCs w:val="22"/>
        </w:rPr>
        <w:t xml:space="preserve">DE monitors program delivery in a number of ways: </w:t>
      </w:r>
    </w:p>
    <w:p w14:paraId="0B790C66" w14:textId="52D0F4D3" w:rsidR="005C6713" w:rsidRPr="00C26C77" w:rsidRDefault="005C6713" w:rsidP="005C6713">
      <w:pPr>
        <w:pStyle w:val="ListParagraph"/>
        <w:numPr>
          <w:ilvl w:val="0"/>
          <w:numId w:val="21"/>
        </w:numPr>
        <w:rPr>
          <w:rStyle w:val="PageNumber"/>
          <w:rFonts w:asciiTheme="minorHAnsi" w:eastAsia="Calibri" w:hAnsiTheme="minorHAnsi" w:cstheme="minorHAnsi"/>
        </w:rPr>
      </w:pPr>
      <w:r w:rsidRPr="00C26C77">
        <w:rPr>
          <w:rStyle w:val="PageNumber"/>
          <w:rFonts w:asciiTheme="minorHAnsi" w:eastAsia="Calibri" w:hAnsiTheme="minorHAnsi" w:cstheme="minorHAnsi"/>
        </w:rPr>
        <w:t xml:space="preserve">Service Providers develop an annual Service Delivery Plan and budget in consultation with the </w:t>
      </w:r>
      <w:r w:rsidR="00977269">
        <w:rPr>
          <w:rStyle w:val="PageNumber"/>
          <w:rFonts w:asciiTheme="minorHAnsi" w:eastAsia="Calibri" w:hAnsiTheme="minorHAnsi" w:cstheme="minorHAnsi"/>
        </w:rPr>
        <w:t xml:space="preserve">local </w:t>
      </w:r>
      <w:r w:rsidRPr="00C26C77">
        <w:rPr>
          <w:rStyle w:val="PageNumber"/>
          <w:rFonts w:asciiTheme="minorHAnsi" w:eastAsia="Calibri" w:hAnsiTheme="minorHAnsi" w:cstheme="minorHAnsi"/>
        </w:rPr>
        <w:t>DE Navigator team (endorsed by Central team) – this plan identifies the local delivery plan and is to be used to ensure the program is delivered as intended. Mid and end of year reports are to be submitted to</w:t>
      </w:r>
      <w:r>
        <w:rPr>
          <w:rStyle w:val="PageNumber"/>
          <w:rFonts w:asciiTheme="minorHAnsi" w:eastAsia="Calibri" w:hAnsiTheme="minorHAnsi" w:cstheme="minorHAnsi"/>
        </w:rPr>
        <w:t xml:space="preserve"> the</w:t>
      </w:r>
      <w:r w:rsidRPr="00C26C77">
        <w:rPr>
          <w:rStyle w:val="PageNumber"/>
          <w:rFonts w:asciiTheme="minorHAnsi" w:eastAsia="Calibri" w:hAnsiTheme="minorHAnsi" w:cstheme="minorHAnsi"/>
        </w:rPr>
        <w:t xml:space="preserve"> Central team and the budget is acquitted annually.</w:t>
      </w:r>
    </w:p>
    <w:p w14:paraId="3DDD4FB0" w14:textId="77777777" w:rsidR="005C6713" w:rsidRPr="00C26C77" w:rsidRDefault="005C6713" w:rsidP="005C6713">
      <w:pPr>
        <w:pStyle w:val="ListParagraph"/>
        <w:numPr>
          <w:ilvl w:val="0"/>
          <w:numId w:val="21"/>
        </w:numPr>
        <w:rPr>
          <w:rStyle w:val="PageNumber"/>
          <w:rFonts w:asciiTheme="minorHAnsi" w:eastAsia="Calibri" w:hAnsiTheme="minorHAnsi" w:cstheme="minorHAnsi"/>
        </w:rPr>
      </w:pPr>
      <w:r w:rsidRPr="00C26C77">
        <w:rPr>
          <w:rStyle w:val="PageNumber"/>
          <w:rFonts w:asciiTheme="minorHAnsi" w:eastAsia="Calibri" w:hAnsiTheme="minorHAnsi" w:cstheme="minorHAnsi"/>
        </w:rPr>
        <w:t>Data reporting – Navigator has a dedicated online data management tool</w:t>
      </w:r>
      <w:r>
        <w:rPr>
          <w:rStyle w:val="PageNumber"/>
          <w:rFonts w:asciiTheme="minorHAnsi" w:eastAsia="Calibri" w:hAnsiTheme="minorHAnsi" w:cstheme="minorHAnsi"/>
        </w:rPr>
        <w:t xml:space="preserve">, the Navigator Data Management System, </w:t>
      </w:r>
      <w:r w:rsidRPr="00C26C77">
        <w:rPr>
          <w:rStyle w:val="PageNumber"/>
          <w:rFonts w:asciiTheme="minorHAnsi" w:eastAsia="Calibri" w:hAnsiTheme="minorHAnsi" w:cstheme="minorHAnsi"/>
        </w:rPr>
        <w:t xml:space="preserve">that is to be kept up to date by </w:t>
      </w:r>
      <w:r>
        <w:rPr>
          <w:rStyle w:val="PageNumber"/>
          <w:rFonts w:asciiTheme="minorHAnsi" w:eastAsia="Calibri" w:hAnsiTheme="minorHAnsi" w:cstheme="minorHAnsi"/>
        </w:rPr>
        <w:t>S</w:t>
      </w:r>
      <w:r w:rsidRPr="00C26C77">
        <w:rPr>
          <w:rStyle w:val="PageNumber"/>
          <w:rFonts w:asciiTheme="minorHAnsi" w:eastAsia="Calibri" w:hAnsiTheme="minorHAnsi" w:cstheme="minorHAnsi"/>
        </w:rPr>
        <w:t xml:space="preserve">ervice </w:t>
      </w:r>
      <w:r>
        <w:rPr>
          <w:rStyle w:val="PageNumber"/>
          <w:rFonts w:asciiTheme="minorHAnsi" w:eastAsia="Calibri" w:hAnsiTheme="minorHAnsi" w:cstheme="minorHAnsi"/>
        </w:rPr>
        <w:t>P</w:t>
      </w:r>
      <w:r w:rsidRPr="00C26C77">
        <w:rPr>
          <w:rStyle w:val="PageNumber"/>
          <w:rFonts w:asciiTheme="minorHAnsi" w:eastAsia="Calibri" w:hAnsiTheme="minorHAnsi" w:cstheme="minorHAnsi"/>
        </w:rPr>
        <w:t xml:space="preserve">roviders.  Service providers can determine which staff members update the </w:t>
      </w:r>
      <w:r>
        <w:rPr>
          <w:rStyle w:val="PageNumber"/>
          <w:rFonts w:asciiTheme="minorHAnsi" w:eastAsia="Calibri" w:hAnsiTheme="minorHAnsi" w:cstheme="minorHAnsi"/>
        </w:rPr>
        <w:t>Navigator Data Management System</w:t>
      </w:r>
      <w:r w:rsidRPr="00C26C77">
        <w:rPr>
          <w:rStyle w:val="PageNumber"/>
          <w:rFonts w:asciiTheme="minorHAnsi" w:eastAsia="Calibri" w:hAnsiTheme="minorHAnsi" w:cstheme="minorHAnsi"/>
        </w:rPr>
        <w:t xml:space="preserve"> and all relevant staff members can have access to it. The </w:t>
      </w:r>
      <w:r>
        <w:rPr>
          <w:rStyle w:val="PageNumber"/>
          <w:rFonts w:asciiTheme="minorHAnsi" w:eastAsia="Calibri" w:hAnsiTheme="minorHAnsi" w:cstheme="minorHAnsi"/>
        </w:rPr>
        <w:t>Navigator Data Management System</w:t>
      </w:r>
      <w:r w:rsidRPr="00C26C77">
        <w:rPr>
          <w:rStyle w:val="PageNumber"/>
          <w:rFonts w:asciiTheme="minorHAnsi" w:eastAsia="Calibri" w:hAnsiTheme="minorHAnsi" w:cstheme="minorHAnsi"/>
        </w:rPr>
        <w:t xml:space="preserve"> captures key information on all program participants and allows for local and state-wide monitoring of program data such as caseloads, service phase of participants, outcomes of participants, adherence to required timeline and processes (such as re-engagement plans and collecting written consent). Central team reports on and analyses data at least quarterly.</w:t>
      </w:r>
    </w:p>
    <w:p w14:paraId="6E46FA56" w14:textId="77777777" w:rsidR="005C6713" w:rsidRPr="00042EC6" w:rsidRDefault="005C6713" w:rsidP="005C6713">
      <w:pPr>
        <w:pStyle w:val="ListParagraph"/>
        <w:numPr>
          <w:ilvl w:val="0"/>
          <w:numId w:val="21"/>
        </w:numPr>
        <w:rPr>
          <w:rStyle w:val="PageNumber"/>
          <w:rFonts w:asciiTheme="minorHAnsi" w:eastAsia="Calibri" w:hAnsiTheme="minorHAnsi" w:cstheme="minorHAnsi"/>
        </w:rPr>
      </w:pPr>
      <w:r w:rsidRPr="00C26C77">
        <w:rPr>
          <w:rStyle w:val="PageNumber"/>
          <w:rFonts w:asciiTheme="minorHAnsi" w:eastAsia="Calibri" w:hAnsiTheme="minorHAnsi" w:cstheme="minorHAnsi"/>
        </w:rPr>
        <w:t xml:space="preserve">Governance – Navigator outlines the suggested local governance arrangements that should be implemented to help keep the program on track and monitor the areas progress (see page 1 of this document) </w:t>
      </w:r>
    </w:p>
    <w:p w14:paraId="33FEA88F" w14:textId="77777777" w:rsidR="005C6713" w:rsidRPr="00C26C77" w:rsidRDefault="005C6713" w:rsidP="005C6713">
      <w:pPr>
        <w:spacing w:before="120"/>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t>How does DE measure success of the program – what are the KPI’s?</w:t>
      </w:r>
    </w:p>
    <w:p w14:paraId="4B953E68" w14:textId="4CF8B665" w:rsidR="005C6713" w:rsidRPr="00C26C77" w:rsidRDefault="005C6713" w:rsidP="005C6713">
      <w:pPr>
        <w:rPr>
          <w:rStyle w:val="PageNumber"/>
          <w:rFonts w:eastAsia="Calibri" w:cstheme="minorHAnsi"/>
          <w:szCs w:val="22"/>
        </w:rPr>
      </w:pPr>
      <w:r w:rsidRPr="00C26C77">
        <w:rPr>
          <w:rStyle w:val="PageNumber"/>
          <w:rFonts w:eastAsia="Calibri" w:cstheme="minorHAnsi"/>
          <w:szCs w:val="22"/>
        </w:rPr>
        <w:t>Navigator is an educational re-engagement focused program, not a general support program, and as such, KPIs relate to successful case management/ active hold outcomes in terms of educational or other positive pathway achievement (with a particular focus on return to mainstream schools).  Please see page 7 of the</w:t>
      </w:r>
      <w:hyperlink r:id="rId13" w:history="1">
        <w:r w:rsidRPr="005C46AE">
          <w:rPr>
            <w:rStyle w:val="Hyperlink"/>
            <w:rFonts w:eastAsia="Calibri" w:cstheme="minorHAnsi"/>
            <w:szCs w:val="22"/>
          </w:rPr>
          <w:t xml:space="preserve"> </w:t>
        </w:r>
        <w:r w:rsidRPr="005C46AE">
          <w:rPr>
            <w:rStyle w:val="Hyperlink"/>
            <w:rFonts w:cstheme="minorHAnsi"/>
            <w:szCs w:val="22"/>
          </w:rPr>
          <w:t>Navigator Program Overview and Application Information</w:t>
        </w:r>
      </w:hyperlink>
      <w:r w:rsidRPr="00ED3466">
        <w:rPr>
          <w:rFonts w:cstheme="minorHAnsi"/>
          <w:szCs w:val="22"/>
        </w:rPr>
        <w:t xml:space="preserve"> </w:t>
      </w:r>
      <w:r w:rsidRPr="00C26C77">
        <w:rPr>
          <w:rStyle w:val="PageNumber"/>
          <w:rFonts w:eastAsia="Calibri" w:cstheme="minorHAnsi"/>
          <w:szCs w:val="22"/>
        </w:rPr>
        <w:t xml:space="preserve">for details on program measures. </w:t>
      </w:r>
    </w:p>
    <w:p w14:paraId="3787E80F" w14:textId="77777777" w:rsidR="005C6713" w:rsidRPr="00C26C77" w:rsidRDefault="005C6713" w:rsidP="005C6713">
      <w:pPr>
        <w:rPr>
          <w:rStyle w:val="PageNumber"/>
          <w:rFonts w:eastAsia="Calibri" w:cstheme="minorHAnsi"/>
          <w:szCs w:val="22"/>
        </w:rPr>
      </w:pPr>
      <w:r w:rsidRPr="00C26C77">
        <w:rPr>
          <w:rStyle w:val="PageNumber"/>
          <w:rFonts w:eastAsia="Calibri" w:cstheme="minorHAnsi"/>
          <w:szCs w:val="22"/>
        </w:rPr>
        <w:t>Specific KPIs will be discussed with the selected Service Provider. Service Provider</w:t>
      </w:r>
      <w:r>
        <w:rPr>
          <w:rStyle w:val="PageNumber"/>
          <w:rFonts w:eastAsia="Calibri" w:cstheme="minorHAnsi"/>
          <w:szCs w:val="22"/>
        </w:rPr>
        <w:t>’</w:t>
      </w:r>
      <w:r w:rsidRPr="00C26C77">
        <w:rPr>
          <w:rStyle w:val="PageNumber"/>
          <w:rFonts w:eastAsia="Calibri" w:cstheme="minorHAnsi"/>
          <w:szCs w:val="22"/>
        </w:rPr>
        <w:t xml:space="preserve">s annual service plan (see above) will outline the agreed KPI’s and the </w:t>
      </w:r>
      <w:r>
        <w:rPr>
          <w:rStyle w:val="PageNumber"/>
          <w:rFonts w:eastAsia="Calibri" w:cstheme="minorHAnsi"/>
          <w:szCs w:val="22"/>
        </w:rPr>
        <w:t>S</w:t>
      </w:r>
      <w:r w:rsidRPr="00C26C77">
        <w:rPr>
          <w:rStyle w:val="PageNumber"/>
          <w:rFonts w:eastAsia="Calibri" w:cstheme="minorHAnsi"/>
          <w:szCs w:val="22"/>
        </w:rPr>
        <w:t xml:space="preserve">ervice </w:t>
      </w:r>
      <w:r>
        <w:rPr>
          <w:rStyle w:val="PageNumber"/>
          <w:rFonts w:eastAsia="Calibri" w:cstheme="minorHAnsi"/>
          <w:szCs w:val="22"/>
        </w:rPr>
        <w:t>P</w:t>
      </w:r>
      <w:r w:rsidRPr="00C26C77">
        <w:rPr>
          <w:rStyle w:val="PageNumber"/>
          <w:rFonts w:eastAsia="Calibri" w:cstheme="minorHAnsi"/>
          <w:szCs w:val="22"/>
        </w:rPr>
        <w:t>rovider will be expected to provide reports and data to DE when required (generally mid-year and annually).</w:t>
      </w:r>
    </w:p>
    <w:p w14:paraId="73DE5DD7" w14:textId="007CEEC4" w:rsidR="005C6713" w:rsidRPr="00C26C77" w:rsidRDefault="005C6713" w:rsidP="005C6713">
      <w:pPr>
        <w:rPr>
          <w:rStyle w:val="PageNumber"/>
          <w:rFonts w:eastAsia="Calibri" w:cstheme="minorHAnsi"/>
          <w:szCs w:val="22"/>
        </w:rPr>
      </w:pPr>
      <w:r w:rsidRPr="00C26C77">
        <w:rPr>
          <w:rStyle w:val="PageNumber"/>
          <w:rFonts w:eastAsia="Calibri" w:cstheme="minorHAnsi"/>
          <w:szCs w:val="22"/>
        </w:rPr>
        <w:t xml:space="preserve">DE uses </w:t>
      </w:r>
      <w:r>
        <w:rPr>
          <w:rStyle w:val="PageNumber"/>
          <w:rFonts w:eastAsia="Calibri" w:cstheme="minorHAnsi"/>
          <w:szCs w:val="22"/>
        </w:rPr>
        <w:t>Navigator Data Management System</w:t>
      </w:r>
      <w:r w:rsidRPr="00C26C77">
        <w:rPr>
          <w:rStyle w:val="PageNumber"/>
          <w:rFonts w:eastAsia="Calibri" w:cstheme="minorHAnsi"/>
          <w:szCs w:val="22"/>
        </w:rPr>
        <w:t xml:space="preserve"> to collect data about Navigator (see above) and uses this as the sole source when assessing the impact and success of Navigator, hence it is imperative </w:t>
      </w:r>
      <w:r>
        <w:rPr>
          <w:rStyle w:val="PageNumber"/>
          <w:rFonts w:eastAsia="Calibri" w:cstheme="minorHAnsi"/>
          <w:szCs w:val="22"/>
        </w:rPr>
        <w:t>S</w:t>
      </w:r>
      <w:r w:rsidRPr="00C26C77">
        <w:rPr>
          <w:rStyle w:val="PageNumber"/>
          <w:rFonts w:eastAsia="Calibri" w:cstheme="minorHAnsi"/>
          <w:szCs w:val="22"/>
        </w:rPr>
        <w:t xml:space="preserve">ervice </w:t>
      </w:r>
      <w:r>
        <w:rPr>
          <w:rStyle w:val="PageNumber"/>
          <w:rFonts w:eastAsia="Calibri" w:cstheme="minorHAnsi"/>
          <w:szCs w:val="22"/>
        </w:rPr>
        <w:t>P</w:t>
      </w:r>
      <w:r w:rsidRPr="00C26C77">
        <w:rPr>
          <w:rStyle w:val="PageNumber"/>
          <w:rFonts w:eastAsia="Calibri" w:cstheme="minorHAnsi"/>
          <w:szCs w:val="22"/>
        </w:rPr>
        <w:t xml:space="preserve">roviders update </w:t>
      </w:r>
      <w:r>
        <w:rPr>
          <w:rStyle w:val="PageNumber"/>
          <w:rFonts w:eastAsia="Calibri" w:cstheme="minorHAnsi"/>
          <w:szCs w:val="22"/>
        </w:rPr>
        <w:t>this system</w:t>
      </w:r>
      <w:r w:rsidRPr="00C26C77">
        <w:rPr>
          <w:rStyle w:val="PageNumber"/>
          <w:rFonts w:eastAsia="Calibri" w:cstheme="minorHAnsi"/>
          <w:szCs w:val="22"/>
        </w:rPr>
        <w:t xml:space="preserve"> in line with expectations.</w:t>
      </w:r>
    </w:p>
    <w:p w14:paraId="34C2EB81" w14:textId="77777777" w:rsidR="005C6713" w:rsidRPr="00C26C77" w:rsidRDefault="005C6713" w:rsidP="005C6713">
      <w:pPr>
        <w:rPr>
          <w:rFonts w:eastAsia="Calibri" w:cstheme="minorHAnsi"/>
          <w:szCs w:val="22"/>
        </w:rPr>
      </w:pPr>
    </w:p>
    <w:p w14:paraId="34D18B02" w14:textId="235B317B" w:rsidR="005C6713" w:rsidRPr="00C26C77" w:rsidRDefault="005C6713" w:rsidP="005C6713">
      <w:pPr>
        <w:rPr>
          <w:rFonts w:eastAsiaTheme="majorEastAsia" w:cstheme="minorHAnsi"/>
          <w:b/>
          <w:color w:val="E25205" w:themeColor="accent1"/>
          <w:szCs w:val="22"/>
          <w:lang w:val="en-AU"/>
        </w:rPr>
      </w:pPr>
      <w:r w:rsidRPr="00C26C77">
        <w:rPr>
          <w:rFonts w:eastAsiaTheme="majorEastAsia" w:cstheme="minorHAnsi"/>
          <w:b/>
          <w:color w:val="E25205" w:themeColor="accent1"/>
          <w:szCs w:val="22"/>
          <w:lang w:val="en-AU"/>
        </w:rPr>
        <w:lastRenderedPageBreak/>
        <w:t xml:space="preserve">Who are the current Service Providers in other Navigator areas? </w:t>
      </w:r>
    </w:p>
    <w:tbl>
      <w:tblPr>
        <w:tblStyle w:val="TableGrid"/>
        <w:tblW w:w="4714" w:type="pct"/>
        <w:tblInd w:w="-5" w:type="dxa"/>
        <w:tblLayout w:type="fixed"/>
        <w:tblLook w:val="04A0" w:firstRow="1" w:lastRow="0" w:firstColumn="1" w:lastColumn="0" w:noHBand="0" w:noVBand="1"/>
      </w:tblPr>
      <w:tblGrid>
        <w:gridCol w:w="1560"/>
        <w:gridCol w:w="3402"/>
        <w:gridCol w:w="4110"/>
      </w:tblGrid>
      <w:tr w:rsidR="005C6713" w:rsidRPr="00C30814" w14:paraId="114E215F" w14:textId="77777777" w:rsidTr="006160E4">
        <w:trPr>
          <w:cnfStyle w:val="100000000000" w:firstRow="1" w:lastRow="0" w:firstColumn="0" w:lastColumn="0" w:oddVBand="0" w:evenVBand="0" w:oddHBand="0" w:evenHBand="0" w:firstRowFirstColumn="0" w:firstRowLastColumn="0" w:lastRowFirstColumn="0" w:lastRowLastColumn="0"/>
          <w:cantSplit/>
          <w:trHeight w:val="426"/>
        </w:trPr>
        <w:tc>
          <w:tcPr>
            <w:cnfStyle w:val="001000000000" w:firstRow="0" w:lastRow="0" w:firstColumn="1" w:lastColumn="0" w:oddVBand="0" w:evenVBand="0" w:oddHBand="0" w:evenHBand="0" w:firstRowFirstColumn="0" w:firstRowLastColumn="0" w:lastRowFirstColumn="0" w:lastRowLastColumn="0"/>
            <w:tcW w:w="860" w:type="pct"/>
            <w:shd w:val="clear" w:color="auto" w:fill="A6A6A6" w:themeFill="background1" w:themeFillShade="A6"/>
            <w:vAlign w:val="center"/>
          </w:tcPr>
          <w:p w14:paraId="65CE88B7" w14:textId="77777777" w:rsidR="005C6713" w:rsidRPr="00C30814" w:rsidRDefault="005C6713" w:rsidP="006160E4">
            <w:pPr>
              <w:jc w:val="center"/>
              <w:rPr>
                <w:rFonts w:cstheme="minorHAnsi"/>
                <w:b/>
                <w:szCs w:val="22"/>
              </w:rPr>
            </w:pPr>
            <w:bookmarkStart w:id="3" w:name="_Hlk48650999"/>
            <w:r w:rsidRPr="00C30814">
              <w:rPr>
                <w:rFonts w:cstheme="minorHAnsi"/>
                <w:b/>
                <w:szCs w:val="22"/>
              </w:rPr>
              <w:t>Region</w:t>
            </w:r>
          </w:p>
        </w:tc>
        <w:tc>
          <w:tcPr>
            <w:tcW w:w="1875" w:type="pct"/>
            <w:shd w:val="clear" w:color="auto" w:fill="A6A6A6" w:themeFill="background1" w:themeFillShade="A6"/>
            <w:vAlign w:val="center"/>
          </w:tcPr>
          <w:p w14:paraId="3F5FCF23" w14:textId="77777777" w:rsidR="005C6713" w:rsidRPr="00C30814" w:rsidRDefault="005C6713" w:rsidP="006160E4">
            <w:pPr>
              <w:jc w:val="center"/>
              <w:cnfStyle w:val="100000000000" w:firstRow="1" w:lastRow="0" w:firstColumn="0" w:lastColumn="0" w:oddVBand="0" w:evenVBand="0" w:oddHBand="0" w:evenHBand="0" w:firstRowFirstColumn="0" w:firstRowLastColumn="0" w:lastRowFirstColumn="0" w:lastRowLastColumn="0"/>
              <w:rPr>
                <w:rFonts w:cstheme="minorHAnsi"/>
                <w:b/>
                <w:szCs w:val="22"/>
              </w:rPr>
            </w:pPr>
            <w:r w:rsidRPr="00C30814">
              <w:rPr>
                <w:rFonts w:cstheme="minorHAnsi"/>
                <w:b/>
                <w:szCs w:val="22"/>
              </w:rPr>
              <w:t>DE area</w:t>
            </w:r>
          </w:p>
        </w:tc>
        <w:tc>
          <w:tcPr>
            <w:tcW w:w="2265" w:type="pct"/>
            <w:shd w:val="clear" w:color="auto" w:fill="A6A6A6" w:themeFill="background1" w:themeFillShade="A6"/>
            <w:vAlign w:val="center"/>
          </w:tcPr>
          <w:p w14:paraId="599A58D1" w14:textId="77777777" w:rsidR="005C6713" w:rsidRPr="00C30814" w:rsidRDefault="005C6713" w:rsidP="006160E4">
            <w:pPr>
              <w:jc w:val="center"/>
              <w:cnfStyle w:val="100000000000" w:firstRow="1" w:lastRow="0" w:firstColumn="0" w:lastColumn="0" w:oddVBand="0" w:evenVBand="0" w:oddHBand="0" w:evenHBand="0" w:firstRowFirstColumn="0" w:firstRowLastColumn="0" w:lastRowFirstColumn="0" w:lastRowLastColumn="0"/>
              <w:rPr>
                <w:rFonts w:cstheme="minorHAnsi"/>
                <w:b/>
                <w:szCs w:val="22"/>
              </w:rPr>
            </w:pPr>
            <w:r w:rsidRPr="00C30814">
              <w:rPr>
                <w:rFonts w:cstheme="minorHAnsi"/>
                <w:b/>
                <w:szCs w:val="22"/>
              </w:rPr>
              <w:t xml:space="preserve">Service Provider  </w:t>
            </w:r>
          </w:p>
        </w:tc>
      </w:tr>
      <w:tr w:rsidR="005C6713" w:rsidRPr="00C30814" w14:paraId="3F0C11A6" w14:textId="77777777" w:rsidTr="006160E4">
        <w:trPr>
          <w:trHeight w:val="244"/>
        </w:trPr>
        <w:tc>
          <w:tcPr>
            <w:cnfStyle w:val="001000000000" w:firstRow="0" w:lastRow="0" w:firstColumn="1" w:lastColumn="0" w:oddVBand="0" w:evenVBand="0" w:oddHBand="0" w:evenHBand="0" w:firstRowFirstColumn="0" w:firstRowLastColumn="0" w:lastRowFirstColumn="0" w:lastRowLastColumn="0"/>
            <w:tcW w:w="860" w:type="pct"/>
            <w:vMerge w:val="restart"/>
            <w:shd w:val="clear" w:color="auto" w:fill="B7DBFF" w:themeFill="accent5" w:themeFillTint="33"/>
            <w:vAlign w:val="center"/>
          </w:tcPr>
          <w:p w14:paraId="7D62EC03" w14:textId="77777777" w:rsidR="005C6713" w:rsidRPr="00C30814" w:rsidRDefault="005C6713" w:rsidP="006160E4">
            <w:pPr>
              <w:jc w:val="center"/>
              <w:rPr>
                <w:rFonts w:cstheme="minorHAnsi"/>
                <w:szCs w:val="22"/>
              </w:rPr>
            </w:pPr>
            <w:r w:rsidRPr="00C30814">
              <w:rPr>
                <w:rFonts w:cstheme="minorHAnsi"/>
                <w:szCs w:val="22"/>
              </w:rPr>
              <w:t>North West Victoria Region</w:t>
            </w:r>
          </w:p>
          <w:p w14:paraId="57051943" w14:textId="77777777" w:rsidR="005C6713" w:rsidRPr="00C30814" w:rsidRDefault="005C6713" w:rsidP="006160E4">
            <w:pPr>
              <w:jc w:val="center"/>
              <w:rPr>
                <w:rFonts w:cstheme="minorHAnsi"/>
                <w:szCs w:val="22"/>
              </w:rPr>
            </w:pPr>
          </w:p>
          <w:p w14:paraId="79A70803" w14:textId="77777777" w:rsidR="005C6713" w:rsidRPr="00C30814" w:rsidRDefault="005C6713" w:rsidP="006160E4">
            <w:pPr>
              <w:jc w:val="center"/>
              <w:rPr>
                <w:rFonts w:cstheme="minorHAnsi"/>
                <w:szCs w:val="22"/>
              </w:rPr>
            </w:pPr>
          </w:p>
        </w:tc>
        <w:tc>
          <w:tcPr>
            <w:tcW w:w="1875" w:type="pct"/>
            <w:shd w:val="clear" w:color="auto" w:fill="B7DBFF" w:themeFill="accent5" w:themeFillTint="33"/>
          </w:tcPr>
          <w:p w14:paraId="17EB51C7" w14:textId="119FD626" w:rsidR="005C6713" w:rsidRPr="00C30814"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C30814">
              <w:rPr>
                <w:rFonts w:cstheme="minorHAnsi"/>
                <w:szCs w:val="22"/>
              </w:rPr>
              <w:t>Hume M</w:t>
            </w:r>
            <w:r w:rsidR="007908A8">
              <w:rPr>
                <w:rFonts w:cstheme="minorHAnsi"/>
                <w:szCs w:val="22"/>
              </w:rPr>
              <w:t>erri-Bek</w:t>
            </w:r>
          </w:p>
        </w:tc>
        <w:tc>
          <w:tcPr>
            <w:tcW w:w="2265" w:type="pct"/>
            <w:shd w:val="clear" w:color="auto" w:fill="B7DBFF" w:themeFill="accent5" w:themeFillTint="33"/>
          </w:tcPr>
          <w:p w14:paraId="39AD0E58" w14:textId="77777777" w:rsidR="005C6713" w:rsidRPr="00C30814"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u w:val="single"/>
                <w:lang w:val="en-US" w:eastAsia="en-AU"/>
              </w:rPr>
            </w:pPr>
            <w:r w:rsidRPr="00C30814">
              <w:rPr>
                <w:rFonts w:cstheme="minorHAnsi"/>
                <w:szCs w:val="22"/>
              </w:rPr>
              <w:t>Jesuit Social Services</w:t>
            </w:r>
            <w:r w:rsidRPr="00C30814">
              <w:rPr>
                <w:rStyle w:val="Hyperlink"/>
                <w:rFonts w:cstheme="minorHAnsi"/>
                <w:szCs w:val="22"/>
                <w:lang w:val="en-US" w:eastAsia="en-AU"/>
              </w:rPr>
              <w:t xml:space="preserve"> </w:t>
            </w:r>
          </w:p>
        </w:tc>
      </w:tr>
      <w:tr w:rsidR="005C6713" w:rsidRPr="00F925C6" w14:paraId="5EA78EF4" w14:textId="77777777" w:rsidTr="006160E4">
        <w:trPr>
          <w:trHeight w:val="170"/>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B7DBFF" w:themeFill="accent5" w:themeFillTint="33"/>
          </w:tcPr>
          <w:p w14:paraId="4D0DD250" w14:textId="77777777" w:rsidR="005C6713" w:rsidRPr="00C30814" w:rsidRDefault="005C6713" w:rsidP="006160E4">
            <w:pPr>
              <w:rPr>
                <w:rFonts w:cstheme="minorHAnsi"/>
                <w:szCs w:val="22"/>
              </w:rPr>
            </w:pPr>
          </w:p>
        </w:tc>
        <w:tc>
          <w:tcPr>
            <w:tcW w:w="1875" w:type="pct"/>
            <w:shd w:val="clear" w:color="auto" w:fill="B7DBFF" w:themeFill="accent5" w:themeFillTint="33"/>
          </w:tcPr>
          <w:p w14:paraId="264A2C11" w14:textId="77777777" w:rsidR="005C6713" w:rsidRPr="00C30814"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C30814">
              <w:rPr>
                <w:rFonts w:cstheme="minorHAnsi"/>
                <w:szCs w:val="22"/>
              </w:rPr>
              <w:t>Mallee</w:t>
            </w:r>
          </w:p>
        </w:tc>
        <w:tc>
          <w:tcPr>
            <w:tcW w:w="2265" w:type="pct"/>
            <w:shd w:val="clear" w:color="auto" w:fill="B7DBFF" w:themeFill="accent5" w:themeFillTint="33"/>
          </w:tcPr>
          <w:p w14:paraId="06895C53" w14:textId="1EDE4EAF" w:rsidR="005C6713" w:rsidRPr="00C30814" w:rsidRDefault="007908A8"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Mallee Accommodation and Support Program</w:t>
            </w:r>
            <w:r w:rsidR="005C6713" w:rsidRPr="00C30814">
              <w:rPr>
                <w:rFonts w:cstheme="minorHAnsi"/>
                <w:szCs w:val="22"/>
              </w:rPr>
              <w:t xml:space="preserve"> </w:t>
            </w:r>
          </w:p>
        </w:tc>
      </w:tr>
      <w:tr w:rsidR="005C6713" w:rsidRPr="00F925C6" w14:paraId="72E2C5D1" w14:textId="77777777" w:rsidTr="006160E4">
        <w:trPr>
          <w:trHeight w:val="359"/>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B7DBFF" w:themeFill="accent5" w:themeFillTint="33"/>
          </w:tcPr>
          <w:p w14:paraId="5D240653" w14:textId="77777777" w:rsidR="005C6713" w:rsidRPr="00F925C6" w:rsidRDefault="005C6713" w:rsidP="006160E4">
            <w:pPr>
              <w:rPr>
                <w:rFonts w:cstheme="minorHAnsi"/>
                <w:szCs w:val="22"/>
              </w:rPr>
            </w:pPr>
          </w:p>
        </w:tc>
        <w:tc>
          <w:tcPr>
            <w:tcW w:w="1875" w:type="pct"/>
            <w:shd w:val="clear" w:color="auto" w:fill="B7DBFF" w:themeFill="accent5" w:themeFillTint="33"/>
          </w:tcPr>
          <w:p w14:paraId="4A137645"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Loddon Campaspe </w:t>
            </w:r>
          </w:p>
        </w:tc>
        <w:tc>
          <w:tcPr>
            <w:tcW w:w="2265" w:type="pct"/>
            <w:shd w:val="clear" w:color="auto" w:fill="B7DBFF" w:themeFill="accent5" w:themeFillTint="33"/>
          </w:tcPr>
          <w:p w14:paraId="67ACFFEB" w14:textId="41D73E6F"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Anglicare </w:t>
            </w:r>
            <w:r w:rsidR="007908A8" w:rsidRPr="00F925C6">
              <w:rPr>
                <w:rFonts w:cstheme="minorHAnsi"/>
                <w:szCs w:val="22"/>
              </w:rPr>
              <w:t>Victoria</w:t>
            </w:r>
          </w:p>
        </w:tc>
      </w:tr>
      <w:tr w:rsidR="005C6713" w:rsidRPr="00F925C6" w14:paraId="579751E4" w14:textId="77777777" w:rsidTr="006160E4">
        <w:trPr>
          <w:trHeight w:val="334"/>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B7DBFF" w:themeFill="accent5" w:themeFillTint="33"/>
          </w:tcPr>
          <w:p w14:paraId="00CBCEE7" w14:textId="77777777" w:rsidR="005C6713" w:rsidRPr="00F925C6" w:rsidRDefault="005C6713" w:rsidP="006160E4">
            <w:pPr>
              <w:rPr>
                <w:rFonts w:cstheme="minorHAnsi"/>
                <w:szCs w:val="22"/>
              </w:rPr>
            </w:pPr>
          </w:p>
        </w:tc>
        <w:tc>
          <w:tcPr>
            <w:tcW w:w="1875" w:type="pct"/>
            <w:shd w:val="clear" w:color="auto" w:fill="B7DBFF" w:themeFill="accent5" w:themeFillTint="33"/>
          </w:tcPr>
          <w:p w14:paraId="25CD1DA8"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North East Melbourne </w:t>
            </w:r>
          </w:p>
        </w:tc>
        <w:tc>
          <w:tcPr>
            <w:tcW w:w="2265" w:type="pct"/>
            <w:shd w:val="clear" w:color="auto" w:fill="B7DBFF" w:themeFill="accent5" w:themeFillTint="33"/>
          </w:tcPr>
          <w:p w14:paraId="48F7702D"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Jesuit Social Services </w:t>
            </w:r>
          </w:p>
        </w:tc>
      </w:tr>
      <w:tr w:rsidR="005C6713" w:rsidRPr="00F925C6" w14:paraId="4C626A63" w14:textId="77777777" w:rsidTr="006160E4">
        <w:trPr>
          <w:trHeight w:val="413"/>
        </w:trPr>
        <w:tc>
          <w:tcPr>
            <w:cnfStyle w:val="001000000000" w:firstRow="0" w:lastRow="0" w:firstColumn="1" w:lastColumn="0" w:oddVBand="0" w:evenVBand="0" w:oddHBand="0" w:evenHBand="0" w:firstRowFirstColumn="0" w:firstRowLastColumn="0" w:lastRowFirstColumn="0" w:lastRowLastColumn="0"/>
            <w:tcW w:w="860" w:type="pct"/>
            <w:vMerge w:val="restart"/>
            <w:shd w:val="clear" w:color="auto" w:fill="DBDCDE" w:themeFill="accent6" w:themeFillTint="33"/>
            <w:vAlign w:val="center"/>
          </w:tcPr>
          <w:p w14:paraId="632D6A66" w14:textId="77777777" w:rsidR="005C6713" w:rsidRPr="00F925C6" w:rsidRDefault="005C6713" w:rsidP="006160E4">
            <w:pPr>
              <w:jc w:val="center"/>
              <w:rPr>
                <w:rFonts w:cstheme="minorHAnsi"/>
                <w:szCs w:val="22"/>
              </w:rPr>
            </w:pPr>
            <w:r w:rsidRPr="00F925C6">
              <w:rPr>
                <w:rFonts w:cstheme="minorHAnsi"/>
                <w:szCs w:val="22"/>
              </w:rPr>
              <w:t>South West Victoria Region</w:t>
            </w:r>
          </w:p>
          <w:p w14:paraId="6057AB56" w14:textId="77777777" w:rsidR="005C6713" w:rsidRPr="00F925C6" w:rsidRDefault="005C6713" w:rsidP="006160E4">
            <w:pPr>
              <w:jc w:val="center"/>
              <w:rPr>
                <w:rFonts w:cstheme="minorHAnsi"/>
                <w:szCs w:val="22"/>
              </w:rPr>
            </w:pPr>
          </w:p>
          <w:p w14:paraId="1E54EBBE" w14:textId="77777777" w:rsidR="005C6713" w:rsidRPr="00F925C6" w:rsidRDefault="005C6713" w:rsidP="006160E4">
            <w:pPr>
              <w:rPr>
                <w:rFonts w:cstheme="minorHAnsi"/>
                <w:szCs w:val="22"/>
              </w:rPr>
            </w:pPr>
            <w:r w:rsidRPr="00F925C6">
              <w:rPr>
                <w:rFonts w:cstheme="minorHAnsi"/>
                <w:szCs w:val="22"/>
              </w:rPr>
              <w:t xml:space="preserve"> </w:t>
            </w:r>
          </w:p>
        </w:tc>
        <w:tc>
          <w:tcPr>
            <w:tcW w:w="1875" w:type="pct"/>
            <w:shd w:val="clear" w:color="auto" w:fill="DBDCDE" w:themeFill="accent6" w:themeFillTint="33"/>
          </w:tcPr>
          <w:p w14:paraId="3AE4A846"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Central Highlands</w:t>
            </w:r>
          </w:p>
        </w:tc>
        <w:tc>
          <w:tcPr>
            <w:tcW w:w="2265" w:type="pct"/>
            <w:shd w:val="clear" w:color="auto" w:fill="DBDCDE" w:themeFill="accent6" w:themeFillTint="33"/>
          </w:tcPr>
          <w:p w14:paraId="71184D82"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Berry Street </w:t>
            </w:r>
          </w:p>
        </w:tc>
      </w:tr>
      <w:tr w:rsidR="005C6713" w:rsidRPr="00F925C6" w14:paraId="39693343" w14:textId="77777777" w:rsidTr="006160E4">
        <w:trPr>
          <w:trHeight w:val="419"/>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DBDCDE" w:themeFill="accent6" w:themeFillTint="33"/>
          </w:tcPr>
          <w:p w14:paraId="76984309" w14:textId="77777777" w:rsidR="005C6713" w:rsidRPr="00F925C6" w:rsidRDefault="005C6713" w:rsidP="006160E4">
            <w:pPr>
              <w:rPr>
                <w:rFonts w:cstheme="minorHAnsi"/>
                <w:szCs w:val="22"/>
              </w:rPr>
            </w:pPr>
          </w:p>
        </w:tc>
        <w:tc>
          <w:tcPr>
            <w:tcW w:w="1875" w:type="pct"/>
            <w:shd w:val="clear" w:color="auto" w:fill="DBDCDE" w:themeFill="accent6" w:themeFillTint="33"/>
          </w:tcPr>
          <w:p w14:paraId="4A509FC3"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Western Melbourne</w:t>
            </w:r>
          </w:p>
        </w:tc>
        <w:tc>
          <w:tcPr>
            <w:tcW w:w="2265" w:type="pct"/>
            <w:shd w:val="clear" w:color="auto" w:fill="DBDCDE" w:themeFill="accent6" w:themeFillTint="33"/>
          </w:tcPr>
          <w:p w14:paraId="120DE079" w14:textId="22FE7049"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Anglicare</w:t>
            </w:r>
            <w:r w:rsidR="007908A8">
              <w:rPr>
                <w:rFonts w:cstheme="minorHAnsi"/>
                <w:szCs w:val="22"/>
              </w:rPr>
              <w:t xml:space="preserve"> </w:t>
            </w:r>
            <w:r w:rsidR="007908A8" w:rsidRPr="00F925C6">
              <w:rPr>
                <w:rFonts w:cstheme="minorHAnsi"/>
                <w:szCs w:val="22"/>
              </w:rPr>
              <w:t>Victoria</w:t>
            </w:r>
          </w:p>
        </w:tc>
      </w:tr>
      <w:tr w:rsidR="005C6713" w:rsidRPr="00F925C6" w14:paraId="60E0319E" w14:textId="77777777" w:rsidTr="006160E4">
        <w:trPr>
          <w:trHeight w:val="412"/>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DBDCDE" w:themeFill="accent6" w:themeFillTint="33"/>
          </w:tcPr>
          <w:p w14:paraId="13E058C0" w14:textId="77777777" w:rsidR="005C6713" w:rsidRPr="00F925C6" w:rsidRDefault="005C6713" w:rsidP="006160E4">
            <w:pPr>
              <w:rPr>
                <w:rFonts w:cstheme="minorHAnsi"/>
                <w:szCs w:val="22"/>
              </w:rPr>
            </w:pPr>
          </w:p>
        </w:tc>
        <w:tc>
          <w:tcPr>
            <w:tcW w:w="1875" w:type="pct"/>
            <w:shd w:val="clear" w:color="auto" w:fill="DBDCDE" w:themeFill="accent6" w:themeFillTint="33"/>
          </w:tcPr>
          <w:p w14:paraId="20B97533"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Brimbank Melton </w:t>
            </w:r>
          </w:p>
        </w:tc>
        <w:tc>
          <w:tcPr>
            <w:tcW w:w="2265" w:type="pct"/>
            <w:shd w:val="clear" w:color="auto" w:fill="DBDCDE" w:themeFill="accent6" w:themeFillTint="33"/>
          </w:tcPr>
          <w:p w14:paraId="05D1E8E4"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Jesuit Social Services</w:t>
            </w:r>
          </w:p>
        </w:tc>
      </w:tr>
      <w:tr w:rsidR="005C6713" w:rsidRPr="00F925C6" w14:paraId="105BFF19" w14:textId="77777777" w:rsidTr="006160E4">
        <w:trPr>
          <w:trHeight w:val="334"/>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D9D9D9" w:themeFill="background1" w:themeFillShade="D9"/>
          </w:tcPr>
          <w:p w14:paraId="13DC5C7C" w14:textId="77777777" w:rsidR="005C6713" w:rsidRPr="00F925C6" w:rsidRDefault="005C6713" w:rsidP="006160E4">
            <w:pPr>
              <w:rPr>
                <w:rFonts w:cstheme="minorHAnsi"/>
                <w:szCs w:val="22"/>
              </w:rPr>
            </w:pPr>
          </w:p>
        </w:tc>
        <w:tc>
          <w:tcPr>
            <w:tcW w:w="1875" w:type="pct"/>
            <w:shd w:val="clear" w:color="auto" w:fill="DBDCDE" w:themeFill="accent6" w:themeFillTint="33"/>
          </w:tcPr>
          <w:p w14:paraId="07D4AB9C"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Wimmera South West</w:t>
            </w:r>
          </w:p>
        </w:tc>
        <w:tc>
          <w:tcPr>
            <w:tcW w:w="2265" w:type="pct"/>
            <w:shd w:val="clear" w:color="auto" w:fill="DBDCDE" w:themeFill="accent6" w:themeFillTint="33"/>
          </w:tcPr>
          <w:p w14:paraId="04C839BF"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Anglicare Victoria </w:t>
            </w:r>
          </w:p>
        </w:tc>
      </w:tr>
      <w:tr w:rsidR="005C6713" w:rsidRPr="00F925C6" w14:paraId="1D3E36F4" w14:textId="77777777" w:rsidTr="006160E4">
        <w:trPr>
          <w:trHeight w:val="437"/>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D9D9D9" w:themeFill="background1" w:themeFillShade="D9"/>
          </w:tcPr>
          <w:p w14:paraId="34562A17" w14:textId="77777777" w:rsidR="005C6713" w:rsidRPr="00F925C6" w:rsidRDefault="005C6713" w:rsidP="006160E4">
            <w:pPr>
              <w:rPr>
                <w:rFonts w:cstheme="minorHAnsi"/>
                <w:szCs w:val="22"/>
              </w:rPr>
            </w:pPr>
          </w:p>
        </w:tc>
        <w:tc>
          <w:tcPr>
            <w:tcW w:w="1875" w:type="pct"/>
            <w:shd w:val="clear" w:color="auto" w:fill="DBDCDE" w:themeFill="accent6" w:themeFillTint="33"/>
          </w:tcPr>
          <w:p w14:paraId="68997D2F"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Barwon </w:t>
            </w:r>
          </w:p>
        </w:tc>
        <w:tc>
          <w:tcPr>
            <w:tcW w:w="2265" w:type="pct"/>
            <w:shd w:val="clear" w:color="auto" w:fill="DBDCDE" w:themeFill="accent6" w:themeFillTint="33"/>
          </w:tcPr>
          <w:p w14:paraId="63646331" w14:textId="5D2572C9" w:rsidR="005C6713" w:rsidRPr="00F925C6" w:rsidRDefault="007908A8"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Meli</w:t>
            </w:r>
          </w:p>
        </w:tc>
      </w:tr>
      <w:tr w:rsidR="005C6713" w:rsidRPr="00F925C6" w14:paraId="17E007A8" w14:textId="77777777" w:rsidTr="006160E4">
        <w:trPr>
          <w:trHeight w:val="244"/>
        </w:trPr>
        <w:tc>
          <w:tcPr>
            <w:cnfStyle w:val="001000000000" w:firstRow="0" w:lastRow="0" w:firstColumn="1" w:lastColumn="0" w:oddVBand="0" w:evenVBand="0" w:oddHBand="0" w:evenHBand="0" w:firstRowFirstColumn="0" w:firstRowLastColumn="0" w:lastRowFirstColumn="0" w:lastRowLastColumn="0"/>
            <w:tcW w:w="860" w:type="pct"/>
            <w:vMerge w:val="restart"/>
            <w:shd w:val="clear" w:color="auto" w:fill="FFF2CA" w:themeFill="accent2" w:themeFillTint="33"/>
            <w:vAlign w:val="center"/>
          </w:tcPr>
          <w:p w14:paraId="76CEF48C" w14:textId="77777777" w:rsidR="005C6713" w:rsidRPr="00F925C6" w:rsidRDefault="005C6713" w:rsidP="006160E4">
            <w:pPr>
              <w:jc w:val="center"/>
              <w:rPr>
                <w:rFonts w:cstheme="minorHAnsi"/>
                <w:szCs w:val="22"/>
              </w:rPr>
            </w:pPr>
            <w:r w:rsidRPr="00F925C6">
              <w:rPr>
                <w:rFonts w:cstheme="minorHAnsi"/>
                <w:szCs w:val="22"/>
              </w:rPr>
              <w:t>North East Victoria Region</w:t>
            </w:r>
          </w:p>
          <w:p w14:paraId="7C888AC1" w14:textId="77777777" w:rsidR="005C6713" w:rsidRPr="00F925C6" w:rsidRDefault="005C6713" w:rsidP="006160E4">
            <w:pPr>
              <w:jc w:val="center"/>
              <w:rPr>
                <w:rFonts w:cstheme="minorHAnsi"/>
                <w:szCs w:val="22"/>
              </w:rPr>
            </w:pPr>
          </w:p>
          <w:p w14:paraId="1D3FFD89" w14:textId="77777777" w:rsidR="005C6713" w:rsidRPr="00F925C6" w:rsidRDefault="005C6713" w:rsidP="006160E4">
            <w:pPr>
              <w:jc w:val="center"/>
              <w:rPr>
                <w:rFonts w:cstheme="minorHAnsi"/>
                <w:szCs w:val="22"/>
              </w:rPr>
            </w:pPr>
          </w:p>
        </w:tc>
        <w:tc>
          <w:tcPr>
            <w:tcW w:w="1875" w:type="pct"/>
            <w:shd w:val="clear" w:color="auto" w:fill="FFF2CA" w:themeFill="accent2" w:themeFillTint="33"/>
          </w:tcPr>
          <w:p w14:paraId="3AEE2824"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Goulburn</w:t>
            </w:r>
          </w:p>
        </w:tc>
        <w:tc>
          <w:tcPr>
            <w:tcW w:w="2265" w:type="pct"/>
            <w:shd w:val="clear" w:color="auto" w:fill="FFF2CA" w:themeFill="accent2" w:themeFillTint="33"/>
          </w:tcPr>
          <w:p w14:paraId="5D86CFD5"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Bridge Youth Services</w:t>
            </w:r>
          </w:p>
        </w:tc>
      </w:tr>
      <w:tr w:rsidR="005C6713" w:rsidRPr="00F925C6" w14:paraId="7379CA94" w14:textId="77777777" w:rsidTr="006160E4">
        <w:trPr>
          <w:trHeight w:val="244"/>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FFF2CA" w:themeFill="accent2" w:themeFillTint="33"/>
          </w:tcPr>
          <w:p w14:paraId="08927361" w14:textId="77777777" w:rsidR="005C6713" w:rsidRPr="00F925C6" w:rsidRDefault="005C6713" w:rsidP="006160E4">
            <w:pPr>
              <w:rPr>
                <w:rFonts w:cstheme="minorHAnsi"/>
                <w:szCs w:val="22"/>
              </w:rPr>
            </w:pPr>
          </w:p>
        </w:tc>
        <w:tc>
          <w:tcPr>
            <w:tcW w:w="1875" w:type="pct"/>
            <w:shd w:val="clear" w:color="auto" w:fill="FFF2CA" w:themeFill="accent2" w:themeFillTint="33"/>
          </w:tcPr>
          <w:p w14:paraId="7560FE51"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Ovens Murray</w:t>
            </w:r>
          </w:p>
        </w:tc>
        <w:tc>
          <w:tcPr>
            <w:tcW w:w="2265" w:type="pct"/>
            <w:shd w:val="clear" w:color="auto" w:fill="FFF2CA" w:themeFill="accent2" w:themeFillTint="33"/>
          </w:tcPr>
          <w:p w14:paraId="25095E77" w14:textId="77777777" w:rsidR="005C6713" w:rsidRPr="00F925C6" w:rsidRDefault="005C6713" w:rsidP="006160E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b/>
                <w:bCs/>
                <w:szCs w:val="22"/>
              </w:rPr>
            </w:pPr>
            <w:r w:rsidRPr="00F925C6">
              <w:rPr>
                <w:rFonts w:cstheme="minorHAnsi"/>
                <w:szCs w:val="22"/>
              </w:rPr>
              <w:t>Junction Support Services</w:t>
            </w:r>
            <w:r w:rsidRPr="00F925C6">
              <w:rPr>
                <w:rFonts w:cstheme="minorHAnsi"/>
                <w:b/>
                <w:bCs/>
                <w:szCs w:val="22"/>
              </w:rPr>
              <w:t xml:space="preserve"> </w:t>
            </w:r>
          </w:p>
        </w:tc>
      </w:tr>
      <w:tr w:rsidR="005C6713" w:rsidRPr="00F925C6" w14:paraId="035C8CAB" w14:textId="77777777" w:rsidTr="006160E4">
        <w:trPr>
          <w:trHeight w:val="244"/>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FFF2CA" w:themeFill="accent2" w:themeFillTint="33"/>
          </w:tcPr>
          <w:p w14:paraId="225D7752" w14:textId="77777777" w:rsidR="005C6713" w:rsidRPr="00F925C6" w:rsidRDefault="005C6713" w:rsidP="006160E4">
            <w:pPr>
              <w:rPr>
                <w:rFonts w:cstheme="minorHAnsi"/>
                <w:szCs w:val="22"/>
              </w:rPr>
            </w:pPr>
          </w:p>
        </w:tc>
        <w:tc>
          <w:tcPr>
            <w:tcW w:w="1875" w:type="pct"/>
            <w:shd w:val="clear" w:color="auto" w:fill="FFF2CA" w:themeFill="accent2" w:themeFillTint="33"/>
          </w:tcPr>
          <w:p w14:paraId="76B73976"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Inner Eastern Melbourne</w:t>
            </w:r>
          </w:p>
        </w:tc>
        <w:tc>
          <w:tcPr>
            <w:tcW w:w="2265" w:type="pct"/>
            <w:shd w:val="clear" w:color="auto" w:fill="FFF2CA" w:themeFill="accent2" w:themeFillTint="33"/>
          </w:tcPr>
          <w:p w14:paraId="6E24584E" w14:textId="77777777" w:rsidR="005C6713" w:rsidRPr="00F925C6" w:rsidRDefault="005C6713" w:rsidP="006160E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Jesuit Social Services</w:t>
            </w:r>
          </w:p>
        </w:tc>
      </w:tr>
      <w:tr w:rsidR="005C6713" w:rsidRPr="00F925C6" w14:paraId="4E9CC84C" w14:textId="77777777" w:rsidTr="002E7F94">
        <w:trPr>
          <w:trHeight w:val="421"/>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FFF2CA" w:themeFill="accent2" w:themeFillTint="33"/>
          </w:tcPr>
          <w:p w14:paraId="108D37FE" w14:textId="77777777" w:rsidR="005C6713" w:rsidRPr="00F925C6" w:rsidRDefault="005C6713" w:rsidP="006160E4">
            <w:pPr>
              <w:rPr>
                <w:rFonts w:cstheme="minorHAnsi"/>
                <w:szCs w:val="22"/>
              </w:rPr>
            </w:pPr>
          </w:p>
        </w:tc>
        <w:tc>
          <w:tcPr>
            <w:tcW w:w="1875" w:type="pct"/>
            <w:shd w:val="clear" w:color="auto" w:fill="FFF2CA" w:themeFill="accent2" w:themeFillTint="33"/>
          </w:tcPr>
          <w:p w14:paraId="14A9C3C6"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Outer Eastern Melbourne </w:t>
            </w:r>
          </w:p>
        </w:tc>
        <w:tc>
          <w:tcPr>
            <w:tcW w:w="2265" w:type="pct"/>
            <w:shd w:val="clear" w:color="auto" w:fill="FFF2CA" w:themeFill="accent2" w:themeFillTint="33"/>
          </w:tcPr>
          <w:p w14:paraId="4FC834C2" w14:textId="77777777" w:rsidR="005C6713" w:rsidRPr="00F925C6" w:rsidRDefault="005C6713" w:rsidP="006160E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Uniting </w:t>
            </w:r>
          </w:p>
        </w:tc>
      </w:tr>
      <w:tr w:rsidR="005C6713" w:rsidRPr="00F925C6" w14:paraId="1D6C3FDA" w14:textId="77777777" w:rsidTr="006160E4">
        <w:trPr>
          <w:trHeight w:val="253"/>
        </w:trPr>
        <w:tc>
          <w:tcPr>
            <w:cnfStyle w:val="001000000000" w:firstRow="0" w:lastRow="0" w:firstColumn="1" w:lastColumn="0" w:oddVBand="0" w:evenVBand="0" w:oddHBand="0" w:evenHBand="0" w:firstRowFirstColumn="0" w:firstRowLastColumn="0" w:lastRowFirstColumn="0" w:lastRowLastColumn="0"/>
            <w:tcW w:w="860" w:type="pct"/>
            <w:vMerge w:val="restart"/>
            <w:shd w:val="clear" w:color="auto" w:fill="C4EAFF" w:themeFill="accent4" w:themeFillTint="33"/>
            <w:vAlign w:val="center"/>
          </w:tcPr>
          <w:p w14:paraId="6FBCF2EF" w14:textId="77777777" w:rsidR="005C6713" w:rsidRPr="00F925C6" w:rsidRDefault="005C6713" w:rsidP="006160E4">
            <w:pPr>
              <w:jc w:val="center"/>
              <w:rPr>
                <w:rFonts w:cstheme="minorHAnsi"/>
                <w:szCs w:val="22"/>
              </w:rPr>
            </w:pPr>
            <w:r w:rsidRPr="00F925C6">
              <w:rPr>
                <w:rFonts w:cstheme="minorHAnsi"/>
                <w:szCs w:val="22"/>
              </w:rPr>
              <w:t>South East Victoria Region</w:t>
            </w:r>
          </w:p>
          <w:p w14:paraId="3EC0A72C" w14:textId="77777777" w:rsidR="005C6713" w:rsidRPr="00F925C6" w:rsidRDefault="005C6713" w:rsidP="006160E4">
            <w:pPr>
              <w:jc w:val="center"/>
              <w:rPr>
                <w:rFonts w:cstheme="minorHAnsi"/>
                <w:szCs w:val="22"/>
              </w:rPr>
            </w:pPr>
          </w:p>
          <w:p w14:paraId="7FDA0FA2" w14:textId="77777777" w:rsidR="005C6713" w:rsidRPr="00F925C6" w:rsidRDefault="005C6713" w:rsidP="006160E4">
            <w:pPr>
              <w:jc w:val="center"/>
              <w:rPr>
                <w:rFonts w:cstheme="minorHAnsi"/>
                <w:szCs w:val="22"/>
              </w:rPr>
            </w:pPr>
          </w:p>
        </w:tc>
        <w:tc>
          <w:tcPr>
            <w:tcW w:w="1875" w:type="pct"/>
            <w:shd w:val="clear" w:color="auto" w:fill="C4EAFF" w:themeFill="accent4" w:themeFillTint="33"/>
          </w:tcPr>
          <w:p w14:paraId="6B96B315"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Bayside Peninsula</w:t>
            </w:r>
          </w:p>
        </w:tc>
        <w:tc>
          <w:tcPr>
            <w:tcW w:w="2265" w:type="pct"/>
            <w:shd w:val="clear" w:color="auto" w:fill="C4EAFF" w:themeFill="accent4" w:themeFillTint="33"/>
          </w:tcPr>
          <w:p w14:paraId="0F6128F0"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Mission Australia </w:t>
            </w:r>
          </w:p>
        </w:tc>
      </w:tr>
      <w:tr w:rsidR="005C6713" w:rsidRPr="00F925C6" w14:paraId="56E0226E" w14:textId="77777777" w:rsidTr="006160E4">
        <w:trPr>
          <w:trHeight w:val="170"/>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C4EAFF" w:themeFill="accent4" w:themeFillTint="33"/>
          </w:tcPr>
          <w:p w14:paraId="5CDA5EAB" w14:textId="77777777" w:rsidR="005C6713" w:rsidRPr="00F925C6" w:rsidRDefault="005C6713" w:rsidP="006160E4">
            <w:pPr>
              <w:rPr>
                <w:rFonts w:cstheme="minorHAnsi"/>
                <w:szCs w:val="22"/>
              </w:rPr>
            </w:pPr>
          </w:p>
        </w:tc>
        <w:tc>
          <w:tcPr>
            <w:tcW w:w="1875" w:type="pct"/>
            <w:shd w:val="clear" w:color="auto" w:fill="C4EAFF" w:themeFill="accent4" w:themeFillTint="33"/>
          </w:tcPr>
          <w:p w14:paraId="406EA31B"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Southern Melbourne</w:t>
            </w:r>
          </w:p>
        </w:tc>
        <w:tc>
          <w:tcPr>
            <w:tcW w:w="2265" w:type="pct"/>
            <w:shd w:val="clear" w:color="auto" w:fill="C4EAFF" w:themeFill="accent4" w:themeFillTint="33"/>
          </w:tcPr>
          <w:p w14:paraId="6F742C9B"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South East Local Learning and Employment Network</w:t>
            </w:r>
          </w:p>
        </w:tc>
      </w:tr>
      <w:tr w:rsidR="005C6713" w:rsidRPr="00F925C6" w14:paraId="30201DB4" w14:textId="77777777" w:rsidTr="006160E4">
        <w:trPr>
          <w:trHeight w:val="326"/>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C4EAFF" w:themeFill="accent4" w:themeFillTint="33"/>
          </w:tcPr>
          <w:p w14:paraId="6F95B3FE" w14:textId="77777777" w:rsidR="005C6713" w:rsidRPr="00F925C6" w:rsidRDefault="005C6713" w:rsidP="006160E4">
            <w:pPr>
              <w:rPr>
                <w:rFonts w:cstheme="minorHAnsi"/>
                <w:szCs w:val="22"/>
              </w:rPr>
            </w:pPr>
          </w:p>
        </w:tc>
        <w:tc>
          <w:tcPr>
            <w:tcW w:w="1875" w:type="pct"/>
            <w:shd w:val="clear" w:color="auto" w:fill="C4EAFF" w:themeFill="accent4" w:themeFillTint="33"/>
          </w:tcPr>
          <w:p w14:paraId="5D2715E7"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Inner Gippsland </w:t>
            </w:r>
          </w:p>
        </w:tc>
        <w:tc>
          <w:tcPr>
            <w:tcW w:w="2265" w:type="pct"/>
            <w:shd w:val="clear" w:color="auto" w:fill="C4EAFF" w:themeFill="accent4" w:themeFillTint="33"/>
          </w:tcPr>
          <w:p w14:paraId="3F8017DC" w14:textId="7982F8CB"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Anglicare</w:t>
            </w:r>
            <w:r w:rsidRPr="00F925C6">
              <w:rPr>
                <w:rFonts w:cstheme="minorHAnsi"/>
                <w:szCs w:val="22"/>
              </w:rPr>
              <w:t xml:space="preserve"> </w:t>
            </w:r>
            <w:r w:rsidR="007908A8" w:rsidRPr="00F925C6">
              <w:rPr>
                <w:rFonts w:cstheme="minorHAnsi"/>
                <w:szCs w:val="22"/>
              </w:rPr>
              <w:t>Victoria</w:t>
            </w:r>
          </w:p>
        </w:tc>
      </w:tr>
      <w:tr w:rsidR="005C6713" w:rsidRPr="00F925C6" w14:paraId="6A3235CD" w14:textId="77777777" w:rsidTr="006160E4">
        <w:trPr>
          <w:trHeight w:val="326"/>
        </w:trPr>
        <w:tc>
          <w:tcPr>
            <w:cnfStyle w:val="001000000000" w:firstRow="0" w:lastRow="0" w:firstColumn="1" w:lastColumn="0" w:oddVBand="0" w:evenVBand="0" w:oddHBand="0" w:evenHBand="0" w:firstRowFirstColumn="0" w:firstRowLastColumn="0" w:lastRowFirstColumn="0" w:lastRowLastColumn="0"/>
            <w:tcW w:w="860" w:type="pct"/>
            <w:vMerge/>
            <w:shd w:val="clear" w:color="auto" w:fill="C4EAFF" w:themeFill="accent4" w:themeFillTint="33"/>
          </w:tcPr>
          <w:p w14:paraId="5B204081" w14:textId="77777777" w:rsidR="005C6713" w:rsidRPr="00F925C6" w:rsidRDefault="005C6713" w:rsidP="006160E4">
            <w:pPr>
              <w:rPr>
                <w:rFonts w:cstheme="minorHAnsi"/>
                <w:szCs w:val="22"/>
              </w:rPr>
            </w:pPr>
          </w:p>
        </w:tc>
        <w:tc>
          <w:tcPr>
            <w:tcW w:w="1875" w:type="pct"/>
            <w:shd w:val="clear" w:color="auto" w:fill="C4EAFF" w:themeFill="accent4" w:themeFillTint="33"/>
          </w:tcPr>
          <w:p w14:paraId="7F5784F4"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 xml:space="preserve">Outer Gippsland </w:t>
            </w:r>
          </w:p>
        </w:tc>
        <w:tc>
          <w:tcPr>
            <w:tcW w:w="2265" w:type="pct"/>
            <w:shd w:val="clear" w:color="auto" w:fill="C4EAFF" w:themeFill="accent4" w:themeFillTint="33"/>
          </w:tcPr>
          <w:p w14:paraId="5B947AA7" w14:textId="77777777" w:rsidR="005C6713" w:rsidRPr="00F925C6" w:rsidRDefault="005C6713" w:rsidP="006160E4">
            <w:pPr>
              <w:cnfStyle w:val="000000000000" w:firstRow="0" w:lastRow="0" w:firstColumn="0" w:lastColumn="0" w:oddVBand="0" w:evenVBand="0" w:oddHBand="0" w:evenHBand="0" w:firstRowFirstColumn="0" w:firstRowLastColumn="0" w:lastRowFirstColumn="0" w:lastRowLastColumn="0"/>
              <w:rPr>
                <w:rFonts w:cstheme="minorHAnsi"/>
                <w:szCs w:val="22"/>
              </w:rPr>
            </w:pPr>
            <w:r w:rsidRPr="00F925C6">
              <w:rPr>
                <w:rFonts w:cstheme="minorHAnsi"/>
                <w:szCs w:val="22"/>
              </w:rPr>
              <w:t>Uniting</w:t>
            </w:r>
          </w:p>
        </w:tc>
      </w:tr>
      <w:bookmarkEnd w:id="3"/>
    </w:tbl>
    <w:p w14:paraId="41A51BB3" w14:textId="77777777" w:rsidR="003F6F7E" w:rsidRDefault="003F6F7E" w:rsidP="005C6713">
      <w:pPr>
        <w:rPr>
          <w:rFonts w:eastAsiaTheme="majorEastAsia" w:cstheme="minorHAnsi"/>
          <w:b/>
          <w:color w:val="E25205" w:themeColor="accent1"/>
          <w:szCs w:val="22"/>
          <w:lang w:val="en-AU"/>
        </w:rPr>
      </w:pPr>
    </w:p>
    <w:p w14:paraId="6D7AAA4E" w14:textId="77777777" w:rsidR="003F6F7E" w:rsidRDefault="003F6F7E" w:rsidP="005C6713">
      <w:pPr>
        <w:rPr>
          <w:rFonts w:eastAsiaTheme="majorEastAsia" w:cstheme="minorHAnsi"/>
          <w:b/>
          <w:color w:val="E25205" w:themeColor="accent1"/>
          <w:szCs w:val="22"/>
          <w:lang w:val="en-AU"/>
        </w:rPr>
      </w:pPr>
    </w:p>
    <w:p w14:paraId="73A06221" w14:textId="7624666F" w:rsidR="005C6713" w:rsidRDefault="005C6713" w:rsidP="005C6713">
      <w:pPr>
        <w:rPr>
          <w:rFonts w:eastAsiaTheme="majorEastAsia" w:cstheme="minorHAnsi"/>
          <w:b/>
          <w:color w:val="E25205" w:themeColor="accent1"/>
          <w:szCs w:val="22"/>
          <w:lang w:val="en-AU"/>
        </w:rPr>
      </w:pPr>
      <w:r>
        <w:rPr>
          <w:rFonts w:eastAsiaTheme="majorEastAsia" w:cstheme="minorHAnsi"/>
          <w:b/>
          <w:color w:val="E25205" w:themeColor="accent1"/>
          <w:szCs w:val="22"/>
          <w:lang w:val="en-AU"/>
        </w:rPr>
        <w:t xml:space="preserve">What </w:t>
      </w:r>
      <w:bookmarkStart w:id="4" w:name="_Hlk128145624"/>
      <w:r>
        <w:rPr>
          <w:rFonts w:eastAsiaTheme="majorEastAsia" w:cstheme="minorHAnsi"/>
          <w:b/>
          <w:color w:val="E25205" w:themeColor="accent1"/>
          <w:szCs w:val="22"/>
          <w:lang w:val="en-AU"/>
        </w:rPr>
        <w:t xml:space="preserve">incorporated status does an </w:t>
      </w:r>
      <w:r w:rsidRPr="00C11901">
        <w:rPr>
          <w:rFonts w:eastAsiaTheme="majorEastAsia" w:cstheme="minorHAnsi"/>
          <w:b/>
          <w:color w:val="E25205" w:themeColor="accent1"/>
          <w:szCs w:val="22"/>
          <w:lang w:val="en-AU"/>
        </w:rPr>
        <w:t xml:space="preserve">organisation need in order to submit an application </w:t>
      </w:r>
      <w:bookmarkEnd w:id="4"/>
      <w:r w:rsidRPr="00C11901">
        <w:rPr>
          <w:rFonts w:eastAsiaTheme="majorEastAsia" w:cstheme="minorHAnsi"/>
          <w:b/>
          <w:color w:val="E25205" w:themeColor="accent1"/>
          <w:szCs w:val="22"/>
          <w:lang w:val="en-AU"/>
        </w:rPr>
        <w:t xml:space="preserve">(e.g. Incorporated entity / incorporated association) </w:t>
      </w:r>
    </w:p>
    <w:p w14:paraId="6AE1910F" w14:textId="77777777" w:rsidR="005C6713" w:rsidRPr="006C65DD" w:rsidRDefault="005C6713" w:rsidP="005C6713">
      <w:r>
        <w:t>The following table outlines ‘incorporation’ status – if an applicant falls under any of these groups, they are eligible for funding.</w:t>
      </w:r>
    </w:p>
    <w:tbl>
      <w:tblPr>
        <w:tblW w:w="0" w:type="auto"/>
        <w:tblCellMar>
          <w:left w:w="0" w:type="dxa"/>
          <w:right w:w="0" w:type="dxa"/>
        </w:tblCellMar>
        <w:tblLook w:val="04A0" w:firstRow="1" w:lastRow="0" w:firstColumn="1" w:lastColumn="0" w:noHBand="0" w:noVBand="1"/>
      </w:tblPr>
      <w:tblGrid>
        <w:gridCol w:w="2262"/>
        <w:gridCol w:w="3257"/>
        <w:gridCol w:w="4093"/>
      </w:tblGrid>
      <w:tr w:rsidR="005C6713" w14:paraId="759C9293" w14:textId="77777777" w:rsidTr="006160E4">
        <w:trPr>
          <w:tblHeader/>
        </w:trPr>
        <w:tc>
          <w:tcPr>
            <w:tcW w:w="2263" w:type="dxa"/>
            <w:tcBorders>
              <w:top w:val="single" w:sz="8" w:space="0" w:color="FFFFFF"/>
              <w:left w:val="single" w:sz="8" w:space="0" w:color="FFFFFF"/>
              <w:bottom w:val="single" w:sz="8" w:space="0" w:color="FFFFFF"/>
              <w:right w:val="single" w:sz="8" w:space="0" w:color="FFFFFF"/>
            </w:tcBorders>
            <w:shd w:val="clear" w:color="auto" w:fill="4472C4"/>
            <w:tcMar>
              <w:top w:w="57" w:type="dxa"/>
              <w:left w:w="108" w:type="dxa"/>
              <w:bottom w:w="57" w:type="dxa"/>
              <w:right w:w="108" w:type="dxa"/>
            </w:tcMar>
            <w:hideMark/>
          </w:tcPr>
          <w:p w14:paraId="6A86DD10" w14:textId="77777777" w:rsidR="005C6713" w:rsidRDefault="005C6713" w:rsidP="006160E4">
            <w:pPr>
              <w:spacing w:before="80" w:after="160"/>
              <w:rPr>
                <w:rFonts w:ascii="Arial" w:hAnsi="Arial" w:cs="Arial"/>
                <w:color w:val="FFFFFF"/>
                <w:szCs w:val="22"/>
              </w:rPr>
            </w:pPr>
            <w:r>
              <w:rPr>
                <w:rFonts w:ascii="Arial" w:hAnsi="Arial" w:cs="Arial"/>
                <w:b/>
                <w:bCs/>
                <w:color w:val="FFFFFF"/>
              </w:rPr>
              <w:lastRenderedPageBreak/>
              <w:t xml:space="preserve">Type of Funded Organisation </w:t>
            </w:r>
          </w:p>
        </w:tc>
        <w:tc>
          <w:tcPr>
            <w:tcW w:w="3261" w:type="dxa"/>
            <w:tcBorders>
              <w:top w:val="single" w:sz="8" w:space="0" w:color="FFFFFF"/>
              <w:left w:val="nil"/>
              <w:bottom w:val="single" w:sz="8" w:space="0" w:color="FFFFFF"/>
              <w:right w:val="single" w:sz="8" w:space="0" w:color="FFFFFF"/>
            </w:tcBorders>
            <w:shd w:val="clear" w:color="auto" w:fill="4472C4"/>
            <w:tcMar>
              <w:top w:w="57" w:type="dxa"/>
              <w:left w:w="108" w:type="dxa"/>
              <w:bottom w:w="57" w:type="dxa"/>
              <w:right w:w="108" w:type="dxa"/>
            </w:tcMar>
            <w:hideMark/>
          </w:tcPr>
          <w:p w14:paraId="52DBAF50" w14:textId="77777777" w:rsidR="005C6713" w:rsidRDefault="005C6713" w:rsidP="006160E4">
            <w:pPr>
              <w:spacing w:before="80" w:after="160"/>
              <w:rPr>
                <w:rFonts w:ascii="Arial" w:hAnsi="Arial" w:cs="Arial"/>
                <w:b/>
                <w:bCs/>
                <w:color w:val="FFFFFF"/>
              </w:rPr>
            </w:pPr>
            <w:r>
              <w:rPr>
                <w:rFonts w:ascii="Arial" w:hAnsi="Arial" w:cs="Arial"/>
                <w:b/>
                <w:bCs/>
                <w:color w:val="FFFFFF"/>
              </w:rPr>
              <w:t>How incorporated</w:t>
            </w:r>
          </w:p>
        </w:tc>
        <w:tc>
          <w:tcPr>
            <w:tcW w:w="4098" w:type="dxa"/>
            <w:tcBorders>
              <w:top w:val="single" w:sz="8" w:space="0" w:color="FFFFFF"/>
              <w:left w:val="nil"/>
              <w:bottom w:val="single" w:sz="8" w:space="0" w:color="FFFFFF"/>
              <w:right w:val="single" w:sz="8" w:space="0" w:color="FFFFFF"/>
            </w:tcBorders>
            <w:shd w:val="clear" w:color="auto" w:fill="4472C4"/>
            <w:tcMar>
              <w:top w:w="57" w:type="dxa"/>
              <w:left w:w="108" w:type="dxa"/>
              <w:bottom w:w="57" w:type="dxa"/>
              <w:right w:w="108" w:type="dxa"/>
            </w:tcMar>
            <w:hideMark/>
          </w:tcPr>
          <w:p w14:paraId="50E17D9B" w14:textId="77777777" w:rsidR="005C6713" w:rsidRDefault="005C6713" w:rsidP="006160E4">
            <w:pPr>
              <w:spacing w:before="80" w:after="160"/>
              <w:rPr>
                <w:rFonts w:ascii="Arial" w:hAnsi="Arial" w:cs="Arial"/>
                <w:b/>
                <w:bCs/>
                <w:color w:val="FFFFFF"/>
              </w:rPr>
            </w:pPr>
            <w:r>
              <w:rPr>
                <w:rFonts w:ascii="Arial" w:hAnsi="Arial" w:cs="Arial"/>
                <w:b/>
                <w:bCs/>
                <w:color w:val="FFFFFF"/>
              </w:rPr>
              <w:t>Evidence of incorporation</w:t>
            </w:r>
          </w:p>
        </w:tc>
      </w:tr>
      <w:tr w:rsidR="005C6713" w14:paraId="4336786D" w14:textId="77777777" w:rsidTr="006160E4">
        <w:tc>
          <w:tcPr>
            <w:tcW w:w="2263" w:type="dxa"/>
            <w:tcBorders>
              <w:top w:val="nil"/>
              <w:left w:val="single" w:sz="8" w:space="0" w:color="FFFFFF"/>
              <w:bottom w:val="single" w:sz="8" w:space="0" w:color="FFFFFF"/>
              <w:right w:val="single" w:sz="8" w:space="0" w:color="FFFFFF"/>
            </w:tcBorders>
            <w:shd w:val="clear" w:color="auto" w:fill="F2F2F2"/>
            <w:tcMar>
              <w:top w:w="57" w:type="dxa"/>
              <w:left w:w="108" w:type="dxa"/>
              <w:bottom w:w="57" w:type="dxa"/>
              <w:right w:w="108" w:type="dxa"/>
            </w:tcMar>
            <w:hideMark/>
          </w:tcPr>
          <w:p w14:paraId="12B0077E" w14:textId="77777777" w:rsidR="005C6713" w:rsidRDefault="005C6713" w:rsidP="006160E4">
            <w:pPr>
              <w:spacing w:before="80" w:after="160"/>
              <w:rPr>
                <w:rFonts w:ascii="Arial" w:hAnsi="Arial" w:cs="Arial"/>
                <w:color w:val="4472C4"/>
              </w:rPr>
            </w:pPr>
            <w:r>
              <w:rPr>
                <w:rFonts w:ascii="Arial" w:hAnsi="Arial" w:cs="Arial"/>
                <w:color w:val="4472C4"/>
              </w:rPr>
              <w:t>Company, limited by shares or guarantee.</w:t>
            </w:r>
          </w:p>
        </w:tc>
        <w:tc>
          <w:tcPr>
            <w:tcW w:w="3261" w:type="dxa"/>
            <w:tcBorders>
              <w:top w:val="nil"/>
              <w:left w:val="nil"/>
              <w:bottom w:val="single" w:sz="8" w:space="0" w:color="FFFFFF"/>
              <w:right w:val="single" w:sz="8" w:space="0" w:color="FFFFFF"/>
            </w:tcBorders>
            <w:shd w:val="clear" w:color="auto" w:fill="F2F2F2"/>
            <w:tcMar>
              <w:top w:w="57" w:type="dxa"/>
              <w:left w:w="108" w:type="dxa"/>
              <w:bottom w:w="57" w:type="dxa"/>
              <w:right w:w="108" w:type="dxa"/>
            </w:tcMar>
            <w:hideMark/>
          </w:tcPr>
          <w:p w14:paraId="061C2A71" w14:textId="77777777" w:rsidR="005C6713" w:rsidRDefault="005C6713" w:rsidP="006160E4">
            <w:pPr>
              <w:spacing w:after="160"/>
              <w:rPr>
                <w:rFonts w:ascii="Arial" w:hAnsi="Arial" w:cs="Arial"/>
              </w:rPr>
            </w:pPr>
            <w:r>
              <w:rPr>
                <w:rFonts w:ascii="Arial" w:hAnsi="Arial" w:cs="Arial"/>
                <w:color w:val="000000"/>
              </w:rPr>
              <w:t xml:space="preserve">Incorporated under the </w:t>
            </w:r>
            <w:r>
              <w:rPr>
                <w:i/>
                <w:iCs/>
                <w:color w:val="000000"/>
              </w:rPr>
              <w:t xml:space="preserve">Corporations Act 2001 </w:t>
            </w:r>
            <w:r>
              <w:rPr>
                <w:color w:val="000000"/>
              </w:rPr>
              <w:t>(Cth).</w:t>
            </w:r>
          </w:p>
        </w:tc>
        <w:tc>
          <w:tcPr>
            <w:tcW w:w="4098" w:type="dxa"/>
            <w:tcBorders>
              <w:top w:val="nil"/>
              <w:left w:val="nil"/>
              <w:bottom w:val="single" w:sz="8" w:space="0" w:color="FFFFFF"/>
              <w:right w:val="single" w:sz="8" w:space="0" w:color="FFFFFF"/>
            </w:tcBorders>
            <w:shd w:val="clear" w:color="auto" w:fill="F2F2F2"/>
            <w:tcMar>
              <w:top w:w="57" w:type="dxa"/>
              <w:left w:w="108" w:type="dxa"/>
              <w:bottom w:w="57" w:type="dxa"/>
              <w:right w:w="108" w:type="dxa"/>
            </w:tcMar>
            <w:hideMark/>
          </w:tcPr>
          <w:p w14:paraId="0194F756" w14:textId="77777777" w:rsidR="005C6713" w:rsidRDefault="005C6713" w:rsidP="006160E4">
            <w:pPr>
              <w:spacing w:after="160"/>
              <w:rPr>
                <w:rFonts w:ascii="Arial" w:hAnsi="Arial" w:cs="Arial"/>
              </w:rPr>
            </w:pPr>
            <w:r>
              <w:rPr>
                <w:rFonts w:ascii="Arial" w:hAnsi="Arial" w:cs="Arial"/>
                <w:color w:val="000000"/>
              </w:rPr>
              <w:t>Copy of Certificate of Incorporation</w:t>
            </w:r>
          </w:p>
          <w:p w14:paraId="4AE16041" w14:textId="77777777" w:rsidR="005C6713" w:rsidRDefault="005C6713" w:rsidP="006160E4">
            <w:pPr>
              <w:spacing w:after="160"/>
              <w:rPr>
                <w:rFonts w:ascii="Arial" w:hAnsi="Arial" w:cs="Arial"/>
              </w:rPr>
            </w:pPr>
            <w:r>
              <w:rPr>
                <w:rFonts w:ascii="Arial" w:hAnsi="Arial" w:cs="Arial"/>
                <w:color w:val="000000"/>
              </w:rPr>
              <w:t xml:space="preserve">Search ACN or name on </w:t>
            </w:r>
            <w:hyperlink r:id="rId14" w:history="1">
              <w:r>
                <w:rPr>
                  <w:rStyle w:val="Hyperlink"/>
                  <w:rFonts w:ascii="Arial" w:hAnsi="Arial" w:cs="Arial"/>
                </w:rPr>
                <w:t>ASIC website</w:t>
              </w:r>
            </w:hyperlink>
          </w:p>
        </w:tc>
      </w:tr>
      <w:tr w:rsidR="005C6713" w14:paraId="5EABD8A2" w14:textId="77777777" w:rsidTr="006160E4">
        <w:tc>
          <w:tcPr>
            <w:tcW w:w="2263" w:type="dxa"/>
            <w:tcBorders>
              <w:top w:val="nil"/>
              <w:left w:val="single" w:sz="8" w:space="0" w:color="FFFFFF"/>
              <w:bottom w:val="single" w:sz="8" w:space="0" w:color="FFFFFF"/>
              <w:right w:val="single" w:sz="8" w:space="0" w:color="FFFFFF"/>
            </w:tcBorders>
            <w:shd w:val="clear" w:color="auto" w:fill="F2F2F2"/>
            <w:tcMar>
              <w:top w:w="57" w:type="dxa"/>
              <w:left w:w="108" w:type="dxa"/>
              <w:bottom w:w="57" w:type="dxa"/>
              <w:right w:w="108" w:type="dxa"/>
            </w:tcMar>
            <w:hideMark/>
          </w:tcPr>
          <w:p w14:paraId="1BB6D899" w14:textId="77777777" w:rsidR="005C6713" w:rsidRDefault="005C6713" w:rsidP="006160E4">
            <w:pPr>
              <w:spacing w:before="80" w:after="160"/>
              <w:rPr>
                <w:rFonts w:ascii="Arial" w:hAnsi="Arial" w:cs="Arial"/>
                <w:color w:val="4472C4"/>
              </w:rPr>
            </w:pPr>
            <w:r>
              <w:rPr>
                <w:rFonts w:ascii="Arial" w:hAnsi="Arial" w:cs="Arial"/>
                <w:color w:val="4472C4"/>
              </w:rPr>
              <w:t>Not-for-profit Association</w:t>
            </w:r>
          </w:p>
        </w:tc>
        <w:tc>
          <w:tcPr>
            <w:tcW w:w="3261" w:type="dxa"/>
            <w:tcBorders>
              <w:top w:val="nil"/>
              <w:left w:val="nil"/>
              <w:bottom w:val="single" w:sz="8" w:space="0" w:color="FFFFFF"/>
              <w:right w:val="single" w:sz="8" w:space="0" w:color="FFFFFF"/>
            </w:tcBorders>
            <w:shd w:val="clear" w:color="auto" w:fill="F2F2F2"/>
            <w:tcMar>
              <w:top w:w="57" w:type="dxa"/>
              <w:left w:w="108" w:type="dxa"/>
              <w:bottom w:w="57" w:type="dxa"/>
              <w:right w:w="108" w:type="dxa"/>
            </w:tcMar>
            <w:hideMark/>
          </w:tcPr>
          <w:p w14:paraId="50A027BE" w14:textId="77777777" w:rsidR="005C6713" w:rsidRDefault="005C6713" w:rsidP="006160E4">
            <w:pPr>
              <w:spacing w:after="160"/>
              <w:rPr>
                <w:rFonts w:ascii="Calibri" w:hAnsi="Calibri" w:cs="Calibri"/>
              </w:rPr>
            </w:pPr>
            <w:r>
              <w:rPr>
                <w:rFonts w:ascii="Arial" w:hAnsi="Arial" w:cs="Arial"/>
                <w:color w:val="000000"/>
              </w:rPr>
              <w:t xml:space="preserve">Incorporated under the </w:t>
            </w:r>
            <w:r>
              <w:rPr>
                <w:rFonts w:ascii="Arial" w:hAnsi="Arial" w:cs="Arial"/>
                <w:i/>
                <w:iCs/>
                <w:color w:val="000000"/>
              </w:rPr>
              <w:t>Associations Incorporation Reform Act 2012</w:t>
            </w:r>
          </w:p>
        </w:tc>
        <w:tc>
          <w:tcPr>
            <w:tcW w:w="4098" w:type="dxa"/>
            <w:tcBorders>
              <w:top w:val="nil"/>
              <w:left w:val="nil"/>
              <w:bottom w:val="single" w:sz="8" w:space="0" w:color="FFFFFF"/>
              <w:right w:val="single" w:sz="8" w:space="0" w:color="FFFFFF"/>
            </w:tcBorders>
            <w:shd w:val="clear" w:color="auto" w:fill="F2F2F2"/>
            <w:tcMar>
              <w:top w:w="57" w:type="dxa"/>
              <w:left w:w="108" w:type="dxa"/>
              <w:bottom w:w="57" w:type="dxa"/>
              <w:right w:w="108" w:type="dxa"/>
            </w:tcMar>
            <w:hideMark/>
          </w:tcPr>
          <w:p w14:paraId="2B218CC6" w14:textId="77777777" w:rsidR="005C6713" w:rsidRDefault="005C6713" w:rsidP="006160E4">
            <w:pPr>
              <w:spacing w:after="160"/>
              <w:rPr>
                <w:rFonts w:ascii="Arial" w:hAnsi="Arial" w:cs="Arial"/>
              </w:rPr>
            </w:pPr>
            <w:r>
              <w:rPr>
                <w:rFonts w:ascii="Arial" w:hAnsi="Arial" w:cs="Arial"/>
                <w:color w:val="000000"/>
              </w:rPr>
              <w:t>Copy of Certificate of Incorporation</w:t>
            </w:r>
          </w:p>
          <w:p w14:paraId="41225F39" w14:textId="77777777" w:rsidR="005C6713" w:rsidRDefault="005C6713" w:rsidP="006160E4">
            <w:pPr>
              <w:spacing w:after="160"/>
              <w:rPr>
                <w:rFonts w:ascii="Arial" w:hAnsi="Arial" w:cs="Arial"/>
              </w:rPr>
            </w:pPr>
            <w:r>
              <w:rPr>
                <w:rFonts w:ascii="Arial" w:hAnsi="Arial" w:cs="Arial"/>
                <w:color w:val="000000"/>
              </w:rPr>
              <w:t xml:space="preserve">Search Registration number or name on </w:t>
            </w:r>
            <w:hyperlink r:id="rId15" w:history="1">
              <w:r>
                <w:rPr>
                  <w:rStyle w:val="Hyperlink"/>
                  <w:rFonts w:ascii="Arial" w:hAnsi="Arial" w:cs="Arial"/>
                </w:rPr>
                <w:t>Consumer Affairs Victoria website</w:t>
              </w:r>
            </w:hyperlink>
          </w:p>
        </w:tc>
      </w:tr>
      <w:tr w:rsidR="005C6713" w14:paraId="67EDEB71" w14:textId="77777777" w:rsidTr="006160E4">
        <w:tc>
          <w:tcPr>
            <w:tcW w:w="2263" w:type="dxa"/>
            <w:tcBorders>
              <w:top w:val="nil"/>
              <w:left w:val="single" w:sz="8" w:space="0" w:color="FFFFFF"/>
              <w:bottom w:val="single" w:sz="8" w:space="0" w:color="FFFFFF"/>
              <w:right w:val="single" w:sz="8" w:space="0" w:color="FFFFFF"/>
            </w:tcBorders>
            <w:shd w:val="clear" w:color="auto" w:fill="F2F2F2"/>
            <w:tcMar>
              <w:top w:w="57" w:type="dxa"/>
              <w:left w:w="108" w:type="dxa"/>
              <w:bottom w:w="57" w:type="dxa"/>
              <w:right w:w="108" w:type="dxa"/>
            </w:tcMar>
            <w:hideMark/>
          </w:tcPr>
          <w:p w14:paraId="01A2B145" w14:textId="77777777" w:rsidR="005C6713" w:rsidRDefault="005C6713" w:rsidP="006160E4">
            <w:pPr>
              <w:spacing w:before="80" w:after="160"/>
              <w:rPr>
                <w:rFonts w:ascii="Arial" w:hAnsi="Arial" w:cs="Arial"/>
                <w:color w:val="4472C4"/>
              </w:rPr>
            </w:pPr>
            <w:r>
              <w:rPr>
                <w:rFonts w:ascii="Arial" w:hAnsi="Arial" w:cs="Arial"/>
                <w:color w:val="4472C4"/>
              </w:rPr>
              <w:t>Co-operative</w:t>
            </w:r>
          </w:p>
        </w:tc>
        <w:tc>
          <w:tcPr>
            <w:tcW w:w="3261" w:type="dxa"/>
            <w:tcBorders>
              <w:top w:val="nil"/>
              <w:left w:val="nil"/>
              <w:bottom w:val="single" w:sz="8" w:space="0" w:color="FFFFFF"/>
              <w:right w:val="single" w:sz="8" w:space="0" w:color="FFFFFF"/>
            </w:tcBorders>
            <w:shd w:val="clear" w:color="auto" w:fill="F2F2F2"/>
            <w:tcMar>
              <w:top w:w="57" w:type="dxa"/>
              <w:left w:w="108" w:type="dxa"/>
              <w:bottom w:w="57" w:type="dxa"/>
              <w:right w:w="108" w:type="dxa"/>
            </w:tcMar>
            <w:hideMark/>
          </w:tcPr>
          <w:p w14:paraId="5977658D" w14:textId="77777777" w:rsidR="005C6713" w:rsidRDefault="005C6713" w:rsidP="006160E4">
            <w:pPr>
              <w:spacing w:after="160"/>
              <w:rPr>
                <w:rFonts w:ascii="Calibri" w:hAnsi="Calibri" w:cs="Calibri"/>
              </w:rPr>
            </w:pPr>
            <w:r>
              <w:rPr>
                <w:rFonts w:ascii="Arial" w:hAnsi="Arial" w:cs="Arial"/>
                <w:color w:val="000000"/>
              </w:rPr>
              <w:t xml:space="preserve">Incorporated under the </w:t>
            </w:r>
            <w:r>
              <w:rPr>
                <w:rFonts w:ascii="Arial" w:hAnsi="Arial" w:cs="Arial"/>
                <w:i/>
                <w:iCs/>
                <w:color w:val="000000"/>
              </w:rPr>
              <w:t>Co-operatives National Law Application Act 2013 (Cth)</w:t>
            </w:r>
          </w:p>
        </w:tc>
        <w:tc>
          <w:tcPr>
            <w:tcW w:w="4098" w:type="dxa"/>
            <w:tcBorders>
              <w:top w:val="nil"/>
              <w:left w:val="nil"/>
              <w:bottom w:val="single" w:sz="8" w:space="0" w:color="FFFFFF"/>
              <w:right w:val="single" w:sz="8" w:space="0" w:color="FFFFFF"/>
            </w:tcBorders>
            <w:shd w:val="clear" w:color="auto" w:fill="F2F2F2"/>
            <w:tcMar>
              <w:top w:w="57" w:type="dxa"/>
              <w:left w:w="108" w:type="dxa"/>
              <w:bottom w:w="57" w:type="dxa"/>
              <w:right w:w="108" w:type="dxa"/>
            </w:tcMar>
            <w:hideMark/>
          </w:tcPr>
          <w:p w14:paraId="547FC8FC" w14:textId="77777777" w:rsidR="005C6713" w:rsidRDefault="005C6713" w:rsidP="006160E4">
            <w:pPr>
              <w:spacing w:after="160"/>
              <w:rPr>
                <w:rFonts w:ascii="Arial" w:hAnsi="Arial" w:cs="Arial"/>
              </w:rPr>
            </w:pPr>
            <w:r>
              <w:rPr>
                <w:rFonts w:ascii="Arial" w:hAnsi="Arial" w:cs="Arial"/>
                <w:color w:val="000000"/>
              </w:rPr>
              <w:t>Copy of Certificate of Incorporation</w:t>
            </w:r>
          </w:p>
          <w:p w14:paraId="454E4D07" w14:textId="77777777" w:rsidR="005C6713" w:rsidRDefault="005C6713" w:rsidP="006160E4">
            <w:pPr>
              <w:spacing w:after="160"/>
              <w:rPr>
                <w:rFonts w:ascii="Arial" w:hAnsi="Arial" w:cs="Arial"/>
              </w:rPr>
            </w:pPr>
            <w:r>
              <w:rPr>
                <w:rFonts w:ascii="Arial" w:hAnsi="Arial" w:cs="Arial"/>
                <w:color w:val="000000"/>
              </w:rPr>
              <w:t xml:space="preserve">Search Registered name on </w:t>
            </w:r>
            <w:hyperlink r:id="rId16" w:history="1">
              <w:r>
                <w:rPr>
                  <w:rStyle w:val="Hyperlink"/>
                  <w:rFonts w:ascii="Arial" w:hAnsi="Arial" w:cs="Arial"/>
                </w:rPr>
                <w:t>Consumer Affairs Victoria Co-operatives Register website</w:t>
              </w:r>
            </w:hyperlink>
          </w:p>
        </w:tc>
      </w:tr>
      <w:tr w:rsidR="005C6713" w14:paraId="038EAE9E" w14:textId="77777777" w:rsidTr="006160E4">
        <w:tc>
          <w:tcPr>
            <w:tcW w:w="2263" w:type="dxa"/>
            <w:tcBorders>
              <w:top w:val="nil"/>
              <w:left w:val="single" w:sz="8" w:space="0" w:color="FFFFFF"/>
              <w:bottom w:val="single" w:sz="8" w:space="0" w:color="FFFFFF"/>
              <w:right w:val="single" w:sz="8" w:space="0" w:color="FFFFFF"/>
            </w:tcBorders>
            <w:shd w:val="clear" w:color="auto" w:fill="F2F2F2"/>
            <w:tcMar>
              <w:top w:w="57" w:type="dxa"/>
              <w:left w:w="108" w:type="dxa"/>
              <w:bottom w:w="57" w:type="dxa"/>
              <w:right w:w="108" w:type="dxa"/>
            </w:tcMar>
            <w:hideMark/>
          </w:tcPr>
          <w:p w14:paraId="2D6E4F74" w14:textId="77777777" w:rsidR="005C6713" w:rsidRDefault="005C6713" w:rsidP="006160E4">
            <w:pPr>
              <w:spacing w:before="80" w:after="160"/>
              <w:rPr>
                <w:rFonts w:ascii="Arial" w:hAnsi="Arial" w:cs="Arial"/>
                <w:color w:val="4472C4"/>
              </w:rPr>
            </w:pPr>
            <w:r>
              <w:rPr>
                <w:color w:val="4472C4"/>
              </w:rPr>
              <w:t>Aboriginal and Torres Strait Islander Corporation</w:t>
            </w:r>
          </w:p>
        </w:tc>
        <w:tc>
          <w:tcPr>
            <w:tcW w:w="3261" w:type="dxa"/>
            <w:tcBorders>
              <w:top w:val="nil"/>
              <w:left w:val="nil"/>
              <w:bottom w:val="single" w:sz="8" w:space="0" w:color="FFFFFF"/>
              <w:right w:val="single" w:sz="8" w:space="0" w:color="FFFFFF"/>
            </w:tcBorders>
            <w:shd w:val="clear" w:color="auto" w:fill="F2F2F2"/>
            <w:tcMar>
              <w:top w:w="57" w:type="dxa"/>
              <w:left w:w="108" w:type="dxa"/>
              <w:bottom w:w="57" w:type="dxa"/>
              <w:right w:w="108" w:type="dxa"/>
            </w:tcMar>
            <w:hideMark/>
          </w:tcPr>
          <w:p w14:paraId="7BEAE336" w14:textId="77777777" w:rsidR="005C6713" w:rsidRDefault="005C6713" w:rsidP="006160E4">
            <w:pPr>
              <w:spacing w:after="160"/>
              <w:rPr>
                <w:rFonts w:ascii="Calibri" w:hAnsi="Calibri" w:cs="Calibri"/>
              </w:rPr>
            </w:pPr>
            <w:r>
              <w:rPr>
                <w:i/>
                <w:iCs/>
                <w:color w:val="000000"/>
              </w:rPr>
              <w:t>Corporations (Aboriginal and Torres Strait Islander) Act 2006 (Cth)</w:t>
            </w:r>
          </w:p>
        </w:tc>
        <w:tc>
          <w:tcPr>
            <w:tcW w:w="4098" w:type="dxa"/>
            <w:tcBorders>
              <w:top w:val="nil"/>
              <w:left w:val="nil"/>
              <w:bottom w:val="single" w:sz="8" w:space="0" w:color="FFFFFF"/>
              <w:right w:val="single" w:sz="8" w:space="0" w:color="FFFFFF"/>
            </w:tcBorders>
            <w:shd w:val="clear" w:color="auto" w:fill="F2F2F2"/>
            <w:tcMar>
              <w:top w:w="57" w:type="dxa"/>
              <w:left w:w="108" w:type="dxa"/>
              <w:bottom w:w="57" w:type="dxa"/>
              <w:right w:w="108" w:type="dxa"/>
            </w:tcMar>
            <w:hideMark/>
          </w:tcPr>
          <w:p w14:paraId="7D1B9928" w14:textId="77777777" w:rsidR="005C6713" w:rsidRDefault="005C6713" w:rsidP="006160E4">
            <w:pPr>
              <w:spacing w:after="160"/>
              <w:rPr>
                <w:rFonts w:ascii="Arial" w:hAnsi="Arial" w:cs="Arial"/>
              </w:rPr>
            </w:pPr>
            <w:r>
              <w:rPr>
                <w:rFonts w:ascii="Arial" w:hAnsi="Arial" w:cs="Arial"/>
                <w:color w:val="000000"/>
              </w:rPr>
              <w:t>Copy of Certificate of Incorporation</w:t>
            </w:r>
          </w:p>
          <w:p w14:paraId="26CF8E31" w14:textId="77777777" w:rsidR="005C6713" w:rsidRDefault="005C6713" w:rsidP="006160E4">
            <w:pPr>
              <w:spacing w:after="160"/>
              <w:rPr>
                <w:rFonts w:ascii="Arial" w:hAnsi="Arial" w:cs="Arial"/>
              </w:rPr>
            </w:pPr>
            <w:r>
              <w:rPr>
                <w:rFonts w:ascii="Arial" w:hAnsi="Arial" w:cs="Arial"/>
                <w:color w:val="000000"/>
              </w:rPr>
              <w:t xml:space="preserve">Search Indigenous Corporation Number (ICN) or ACN or corporation name on </w:t>
            </w:r>
            <w:hyperlink r:id="rId17" w:history="1">
              <w:r>
                <w:rPr>
                  <w:rStyle w:val="Hyperlink"/>
                  <w:rFonts w:ascii="Arial" w:hAnsi="Arial" w:cs="Arial"/>
                </w:rPr>
                <w:t>Office of the Registrar of Indigenous Corporations website</w:t>
              </w:r>
            </w:hyperlink>
          </w:p>
        </w:tc>
      </w:tr>
    </w:tbl>
    <w:p w14:paraId="13CD9B73" w14:textId="77777777" w:rsidR="005C6713" w:rsidRDefault="005C6713" w:rsidP="005C6713">
      <w:pPr>
        <w:rPr>
          <w:rFonts w:eastAsiaTheme="majorEastAsia" w:cstheme="minorHAnsi"/>
          <w:b/>
          <w:color w:val="E25205" w:themeColor="accent1"/>
          <w:szCs w:val="22"/>
          <w:lang w:val="en-AU"/>
        </w:rPr>
      </w:pPr>
    </w:p>
    <w:p w14:paraId="51D13928" w14:textId="77777777" w:rsidR="005C6713" w:rsidRPr="00C11901" w:rsidRDefault="005C6713" w:rsidP="005C6713">
      <w:pPr>
        <w:rPr>
          <w:rFonts w:eastAsiaTheme="majorEastAsia" w:cstheme="minorHAnsi"/>
          <w:b/>
          <w:color w:val="E25205" w:themeColor="accent1"/>
          <w:szCs w:val="22"/>
          <w:lang w:val="en-AU"/>
        </w:rPr>
      </w:pPr>
      <w:r>
        <w:rPr>
          <w:rFonts w:eastAsiaTheme="majorEastAsia" w:cstheme="minorHAnsi"/>
          <w:b/>
          <w:color w:val="E25205" w:themeColor="accent1"/>
          <w:szCs w:val="22"/>
          <w:lang w:val="en-AU"/>
        </w:rPr>
        <w:t>C</w:t>
      </w:r>
      <w:r w:rsidRPr="00C11901">
        <w:rPr>
          <w:rFonts w:eastAsiaTheme="majorEastAsia" w:cstheme="minorHAnsi"/>
          <w:b/>
          <w:color w:val="E25205" w:themeColor="accent1"/>
          <w:szCs w:val="22"/>
          <w:lang w:val="en-AU"/>
        </w:rPr>
        <w:t>an Service Providers include supporting documentation with the EOI application?</w:t>
      </w:r>
    </w:p>
    <w:p w14:paraId="7ADF4A57" w14:textId="633E3A11" w:rsidR="005C6713" w:rsidRPr="006C65DD" w:rsidRDefault="005C6713" w:rsidP="005C6713">
      <w:pPr>
        <w:rPr>
          <w:lang w:val="en-AU"/>
        </w:rPr>
      </w:pPr>
      <w:r>
        <w:rPr>
          <w:lang w:val="en-AU"/>
        </w:rPr>
        <w:t xml:space="preserve">The Application form outlines the required supporting documents that are to be submitted with any applications. If applicants wish to supply further supporting documents as they </w:t>
      </w:r>
      <w:r w:rsidRPr="0046291D">
        <w:rPr>
          <w:lang w:val="en-AU"/>
        </w:rPr>
        <w:t xml:space="preserve">feel that it adds to their application, </w:t>
      </w:r>
      <w:r>
        <w:rPr>
          <w:lang w:val="en-AU"/>
        </w:rPr>
        <w:t xml:space="preserve">they can, </w:t>
      </w:r>
      <w:r w:rsidRPr="0046291D">
        <w:rPr>
          <w:lang w:val="en-AU"/>
        </w:rPr>
        <w:t xml:space="preserve">but </w:t>
      </w:r>
      <w:r>
        <w:rPr>
          <w:lang w:val="en-AU"/>
        </w:rPr>
        <w:t>it</w:t>
      </w:r>
      <w:r w:rsidRPr="0046291D">
        <w:rPr>
          <w:lang w:val="en-AU"/>
        </w:rPr>
        <w:t xml:space="preserve"> is not required. </w:t>
      </w:r>
    </w:p>
    <w:p w14:paraId="6333ED14" w14:textId="77777777" w:rsidR="005C6713" w:rsidRPr="001A5FEB" w:rsidRDefault="005C6713" w:rsidP="005C6713">
      <w:pPr>
        <w:rPr>
          <w:rFonts w:eastAsiaTheme="majorEastAsia" w:cstheme="minorHAnsi"/>
          <w:b/>
          <w:color w:val="E25205" w:themeColor="accent1"/>
          <w:szCs w:val="22"/>
          <w:lang w:val="en-AU"/>
        </w:rPr>
      </w:pPr>
      <w:r w:rsidRPr="001A5FEB">
        <w:rPr>
          <w:rFonts w:eastAsiaTheme="majorEastAsia" w:cstheme="minorHAnsi"/>
          <w:b/>
          <w:color w:val="E25205" w:themeColor="accent1"/>
          <w:szCs w:val="22"/>
          <w:lang w:val="en-AU"/>
        </w:rPr>
        <w:t xml:space="preserve">How many young people are eligible for Navigator v the capacity of the program? </w:t>
      </w:r>
    </w:p>
    <w:p w14:paraId="5BCE8D8B" w14:textId="17F6A975" w:rsidR="005C6713" w:rsidRDefault="005C6713" w:rsidP="005C6713">
      <w:pPr>
        <w:rPr>
          <w:lang w:val="en-AU"/>
        </w:rPr>
      </w:pPr>
      <w:r>
        <w:rPr>
          <w:lang w:val="en-AU"/>
        </w:rPr>
        <w:t xml:space="preserve">There is a significant difference between demand and service capacity. Potential service providers </w:t>
      </w:r>
      <w:r w:rsidR="007908A8">
        <w:rPr>
          <w:lang w:val="en-AU"/>
        </w:rPr>
        <w:t xml:space="preserve">identify their maximum capacity in annual Service Delivery Plans and </w:t>
      </w:r>
      <w:r>
        <w:rPr>
          <w:lang w:val="en-AU"/>
        </w:rPr>
        <w:t xml:space="preserve">should be prepared to be operating at capacity and expect this to remain the case for the three years of delivery. Your application should cover how you will manage your Active Hold list to respond to this demand. </w:t>
      </w:r>
    </w:p>
    <w:p w14:paraId="1E18E218" w14:textId="77777777" w:rsidR="005C6713" w:rsidRDefault="005C6713" w:rsidP="005C6713">
      <w:pPr>
        <w:rPr>
          <w:rFonts w:eastAsiaTheme="majorEastAsia" w:cstheme="minorHAnsi"/>
          <w:b/>
          <w:color w:val="E25205" w:themeColor="accent1"/>
          <w:szCs w:val="22"/>
          <w:lang w:val="en-AU"/>
        </w:rPr>
      </w:pPr>
      <w:r w:rsidRPr="0049094A">
        <w:rPr>
          <w:rFonts w:eastAsiaTheme="majorEastAsia" w:cstheme="minorHAnsi"/>
          <w:b/>
          <w:color w:val="E25205" w:themeColor="accent1"/>
          <w:szCs w:val="22"/>
          <w:lang w:val="en-AU"/>
        </w:rPr>
        <w:t xml:space="preserve">Have young people involved in the program been informed about any potential transition to a new service provider? </w:t>
      </w:r>
    </w:p>
    <w:p w14:paraId="51B41F6F" w14:textId="39DAFCDE" w:rsidR="00271294" w:rsidRDefault="007908A8" w:rsidP="005C6713">
      <w:pPr>
        <w:rPr>
          <w:lang w:val="en-AU"/>
        </w:rPr>
      </w:pPr>
      <w:r>
        <w:rPr>
          <w:lang w:val="en-AU"/>
        </w:rPr>
        <w:t xml:space="preserve">No. </w:t>
      </w:r>
      <w:r w:rsidR="005C6713" w:rsidRPr="0049094A">
        <w:rPr>
          <w:lang w:val="en-AU"/>
        </w:rPr>
        <w:t>I</w:t>
      </w:r>
      <w:r w:rsidR="005C6713">
        <w:rPr>
          <w:lang w:val="en-AU"/>
        </w:rPr>
        <w:t xml:space="preserve">f the EOI results in a different service provider </w:t>
      </w:r>
      <w:r>
        <w:rPr>
          <w:lang w:val="en-AU"/>
        </w:rPr>
        <w:t xml:space="preserve">for any of the areas, </w:t>
      </w:r>
      <w:r w:rsidR="005C6713">
        <w:rPr>
          <w:lang w:val="en-AU"/>
        </w:rPr>
        <w:t xml:space="preserve">a transition plan will be discussed with the current and new service provider.  This transition plan </w:t>
      </w:r>
      <w:r>
        <w:rPr>
          <w:lang w:val="en-AU"/>
        </w:rPr>
        <w:t xml:space="preserve">will include who is best placed to inform current clients of the changeover and when it is most appropriate to inform them – this </w:t>
      </w:r>
      <w:r w:rsidR="005C6713">
        <w:rPr>
          <w:lang w:val="en-AU"/>
        </w:rPr>
        <w:t xml:space="preserve">should help reduce any disruption to the service and young people. </w:t>
      </w:r>
    </w:p>
    <w:p w14:paraId="5B3DC2C7" w14:textId="7A6A11EF" w:rsidR="00271294" w:rsidRPr="004F545C" w:rsidRDefault="00271294" w:rsidP="00271294">
      <w:pPr>
        <w:rPr>
          <w:rFonts w:eastAsiaTheme="majorEastAsia" w:cstheme="minorHAnsi"/>
          <w:b/>
          <w:color w:val="E25205" w:themeColor="accent1"/>
          <w:szCs w:val="22"/>
          <w:lang w:val="en-AU"/>
        </w:rPr>
      </w:pPr>
      <w:r w:rsidRPr="004F545C">
        <w:rPr>
          <w:rFonts w:eastAsiaTheme="majorEastAsia" w:cstheme="minorHAnsi"/>
          <w:b/>
          <w:color w:val="E25205" w:themeColor="accent1"/>
          <w:szCs w:val="22"/>
          <w:lang w:val="en-AU"/>
        </w:rPr>
        <w:t>The Application Form notes the following requirement: “</w:t>
      </w:r>
      <w:r w:rsidRPr="004F545C">
        <w:rPr>
          <w:rFonts w:eastAsiaTheme="majorEastAsia" w:cstheme="minorHAnsi"/>
          <w:b/>
          <w:i/>
          <w:iCs/>
          <w:color w:val="E25205" w:themeColor="accent1"/>
          <w:szCs w:val="22"/>
          <w:lang w:val="en-AU"/>
        </w:rPr>
        <w:t xml:space="preserve">Our organisation operates in </w:t>
      </w:r>
      <w:r w:rsidR="007908A8" w:rsidRPr="007908A8">
        <w:rPr>
          <w:rFonts w:eastAsiaTheme="majorEastAsia" w:cstheme="minorHAnsi"/>
          <w:b/>
          <w:i/>
          <w:iCs/>
          <w:color w:val="E25205" w:themeColor="accent1"/>
          <w:szCs w:val="22"/>
          <w:lang w:val="en-AU"/>
        </w:rPr>
        <w:t>Wimmera South West</w:t>
      </w:r>
      <w:r w:rsidR="007908A8">
        <w:rPr>
          <w:rFonts w:eastAsiaTheme="majorEastAsia" w:cstheme="minorHAnsi"/>
          <w:b/>
          <w:i/>
          <w:iCs/>
          <w:color w:val="E25205" w:themeColor="accent1"/>
          <w:szCs w:val="22"/>
          <w:lang w:val="en-AU"/>
        </w:rPr>
        <w:t>/</w:t>
      </w:r>
      <w:r w:rsidR="007908A8" w:rsidRPr="007908A8">
        <w:rPr>
          <w:rFonts w:eastAsiaTheme="majorEastAsia" w:cstheme="minorHAnsi"/>
          <w:b/>
          <w:i/>
          <w:iCs/>
          <w:color w:val="E25205" w:themeColor="accent1"/>
          <w:szCs w:val="22"/>
          <w:lang w:val="en-AU"/>
        </w:rPr>
        <w:t xml:space="preserve"> Outer Eastern Melbourne</w:t>
      </w:r>
      <w:r w:rsidR="007908A8">
        <w:rPr>
          <w:rFonts w:eastAsiaTheme="majorEastAsia" w:cstheme="minorHAnsi"/>
          <w:b/>
          <w:i/>
          <w:iCs/>
          <w:color w:val="E25205" w:themeColor="accent1"/>
          <w:szCs w:val="22"/>
          <w:lang w:val="en-AU"/>
        </w:rPr>
        <w:t xml:space="preserve">/ </w:t>
      </w:r>
      <w:r w:rsidR="007908A8" w:rsidRPr="007908A8">
        <w:rPr>
          <w:rFonts w:eastAsiaTheme="majorEastAsia" w:cstheme="minorHAnsi"/>
          <w:b/>
          <w:i/>
          <w:iCs/>
          <w:color w:val="E25205" w:themeColor="accent1"/>
          <w:szCs w:val="22"/>
          <w:lang w:val="en-AU"/>
        </w:rPr>
        <w:t xml:space="preserve">Barwon </w:t>
      </w:r>
      <w:r w:rsidRPr="004F545C">
        <w:rPr>
          <w:rFonts w:eastAsiaTheme="majorEastAsia" w:cstheme="minorHAnsi"/>
          <w:b/>
          <w:i/>
          <w:iCs/>
          <w:color w:val="E25205" w:themeColor="accent1"/>
          <w:szCs w:val="22"/>
          <w:lang w:val="en-AU"/>
        </w:rPr>
        <w:t>and will equitably deliver Navigator across the entire DE Area and ensure eligible young people will be equally supported wherever they are located (within that Area).</w:t>
      </w:r>
      <w:r>
        <w:rPr>
          <w:rFonts w:eastAsiaTheme="majorEastAsia" w:cstheme="minorHAnsi"/>
          <w:b/>
          <w:i/>
          <w:iCs/>
          <w:color w:val="E25205" w:themeColor="accent1"/>
          <w:szCs w:val="22"/>
          <w:lang w:val="en-AU"/>
        </w:rPr>
        <w:t>”</w:t>
      </w:r>
      <w:r w:rsidRPr="004F545C">
        <w:rPr>
          <w:rFonts w:eastAsiaTheme="majorEastAsia" w:cstheme="minorHAnsi"/>
          <w:b/>
          <w:color w:val="E25205" w:themeColor="accent1"/>
          <w:szCs w:val="22"/>
          <w:lang w:val="en-AU"/>
        </w:rPr>
        <w:t xml:space="preserve">  Our organisation operates across Victoria but does not currently deliver specific services in the </w:t>
      </w:r>
      <w:r w:rsidR="000169DE">
        <w:rPr>
          <w:rFonts w:eastAsiaTheme="majorEastAsia" w:cstheme="minorHAnsi"/>
          <w:b/>
          <w:color w:val="E25205" w:themeColor="accent1"/>
          <w:szCs w:val="22"/>
          <w:lang w:val="en-AU"/>
        </w:rPr>
        <w:t xml:space="preserve">Area we are applying for. </w:t>
      </w:r>
      <w:r w:rsidRPr="004F545C">
        <w:rPr>
          <w:rFonts w:eastAsiaTheme="majorEastAsia" w:cstheme="minorHAnsi"/>
          <w:b/>
          <w:color w:val="E25205" w:themeColor="accent1"/>
          <w:szCs w:val="22"/>
          <w:lang w:val="en-AU"/>
        </w:rPr>
        <w:t xml:space="preserve">Could you please confirm if it is a mandatory requirement for organisations to be currently delivering services in the </w:t>
      </w:r>
      <w:r>
        <w:rPr>
          <w:rFonts w:eastAsiaTheme="majorEastAsia" w:cstheme="minorHAnsi"/>
          <w:b/>
          <w:color w:val="E25205" w:themeColor="accent1"/>
          <w:szCs w:val="22"/>
          <w:lang w:val="en-AU"/>
        </w:rPr>
        <w:t>Area</w:t>
      </w:r>
      <w:r w:rsidRPr="004F545C">
        <w:rPr>
          <w:rFonts w:eastAsiaTheme="majorEastAsia" w:cstheme="minorHAnsi"/>
          <w:b/>
          <w:color w:val="E25205" w:themeColor="accent1"/>
          <w:szCs w:val="22"/>
          <w:lang w:val="en-AU"/>
        </w:rPr>
        <w:t xml:space="preserve"> or is it that organisations must have the capacity? </w:t>
      </w:r>
    </w:p>
    <w:p w14:paraId="499AEEF8" w14:textId="0441D3FE" w:rsidR="00271294" w:rsidRDefault="00271294" w:rsidP="00271294">
      <w:pPr>
        <w:rPr>
          <w:rFonts w:eastAsiaTheme="majorEastAsia" w:cstheme="minorHAnsi"/>
          <w:b/>
          <w:color w:val="E25205" w:themeColor="accent1"/>
          <w:szCs w:val="22"/>
          <w:lang w:val="en-AU"/>
        </w:rPr>
      </w:pPr>
      <w:r w:rsidRPr="004F545C">
        <w:rPr>
          <w:rStyle w:val="PageNumber"/>
          <w:rFonts w:eastAsia="Calibri"/>
        </w:rPr>
        <w:lastRenderedPageBreak/>
        <w:t xml:space="preserve">Organisations must have the capacity to deliver services to the entire DE </w:t>
      </w:r>
      <w:r>
        <w:rPr>
          <w:rStyle w:val="PageNumber"/>
          <w:rFonts w:eastAsia="Calibri"/>
        </w:rPr>
        <w:t>a</w:t>
      </w:r>
      <w:r w:rsidRPr="004F545C">
        <w:rPr>
          <w:rStyle w:val="PageNumber"/>
          <w:rFonts w:eastAsia="Calibri"/>
        </w:rPr>
        <w:t xml:space="preserve">rea - an existing presence operating </w:t>
      </w:r>
      <w:r>
        <w:rPr>
          <w:rStyle w:val="PageNumber"/>
          <w:rFonts w:eastAsia="Calibri"/>
        </w:rPr>
        <w:t>within</w:t>
      </w:r>
      <w:r w:rsidRPr="004F545C">
        <w:rPr>
          <w:rStyle w:val="PageNumber"/>
          <w:rFonts w:eastAsia="Calibri"/>
        </w:rPr>
        <w:t xml:space="preserve"> the area will be viewed favourably (as per KSC 4: Strong Partnerships (see question 11, Application form) but organisations that do not currently operate in the area will not be excluded from applying.</w:t>
      </w:r>
    </w:p>
    <w:p w14:paraId="57CE8BEA" w14:textId="77777777" w:rsidR="00271294" w:rsidRDefault="00271294" w:rsidP="00271294">
      <w:pPr>
        <w:rPr>
          <w:rFonts w:eastAsiaTheme="majorEastAsia" w:cstheme="minorHAnsi"/>
          <w:b/>
          <w:color w:val="E25205" w:themeColor="accent1"/>
          <w:szCs w:val="22"/>
          <w:lang w:val="en-AU"/>
        </w:rPr>
      </w:pPr>
      <w:r>
        <w:rPr>
          <w:rFonts w:eastAsiaTheme="majorEastAsia" w:cstheme="minorHAnsi"/>
          <w:b/>
          <w:color w:val="E25205" w:themeColor="accent1"/>
          <w:szCs w:val="22"/>
          <w:lang w:val="en-AU"/>
        </w:rPr>
        <w:t xml:space="preserve">When travel time is needed to get to isolated areas are targets lowered to consider this travel time? </w:t>
      </w:r>
    </w:p>
    <w:p w14:paraId="3D4C0249" w14:textId="27DB523B" w:rsidR="00271294" w:rsidRDefault="00271294" w:rsidP="00271294">
      <w:pPr>
        <w:rPr>
          <w:rStyle w:val="PageNumber"/>
          <w:rFonts w:eastAsia="Calibri"/>
        </w:rPr>
      </w:pPr>
      <w:r>
        <w:rPr>
          <w:rStyle w:val="PageNumber"/>
          <w:rFonts w:eastAsia="Calibri"/>
        </w:rPr>
        <w:t xml:space="preserve">Many of our areas that are geographically spread have staff placed in more than one location in the area, to enable them to better access and support local participants and schools. Caseloads (targets) are to be stipulated in your application and will form part of your service delivery model – this can be further discussed during the interview stage (if selected for an interview) if necessary. </w:t>
      </w:r>
    </w:p>
    <w:p w14:paraId="280085EF" w14:textId="77777777" w:rsidR="00271294" w:rsidRPr="005D1C80" w:rsidRDefault="00271294" w:rsidP="00271294">
      <w:pPr>
        <w:rPr>
          <w:rFonts w:eastAsiaTheme="majorEastAsia" w:cstheme="minorHAnsi"/>
          <w:b/>
          <w:color w:val="E25205" w:themeColor="accent1"/>
          <w:szCs w:val="22"/>
          <w:lang w:val="en-AU"/>
        </w:rPr>
      </w:pPr>
      <w:r w:rsidRPr="005D1C80">
        <w:rPr>
          <w:rFonts w:eastAsiaTheme="majorEastAsia" w:cstheme="minorHAnsi"/>
          <w:b/>
          <w:color w:val="E25205" w:themeColor="accent1"/>
          <w:szCs w:val="22"/>
          <w:lang w:val="en-AU"/>
        </w:rPr>
        <w:t xml:space="preserve">Can you provide more information on program targets for service providers? </w:t>
      </w:r>
    </w:p>
    <w:p w14:paraId="385F14D0" w14:textId="7A80D46D" w:rsidR="00271294" w:rsidRDefault="00271294" w:rsidP="00271294">
      <w:pPr>
        <w:rPr>
          <w:rStyle w:val="PageNumber"/>
          <w:rFonts w:eastAsia="Calibri"/>
        </w:rPr>
      </w:pPr>
      <w:r>
        <w:rPr>
          <w:rStyle w:val="PageNumber"/>
          <w:rFonts w:eastAsia="Calibri"/>
        </w:rPr>
        <w:t xml:space="preserve">Navigator has state-wide targets (page 8, Program Overview and Application Information) and for service providers, targets are largely regarded as caseloads and FTE dedication. Caseloads and FTE are agreed in each annual service delivery plan and these are monitored throughout the year – if there are discrepancies, this is discussed with the service provider to investigate why this is occurring. DE also look at state-wide outcomes and outputs. Where there are major differences service providers will be approached, to again, an understanding of why there is a difference in outcomes compared to other areas.  </w:t>
      </w:r>
    </w:p>
    <w:p w14:paraId="32AE45A8" w14:textId="77777777" w:rsidR="00271294" w:rsidRPr="008B2A5C" w:rsidRDefault="00271294" w:rsidP="00271294">
      <w:pPr>
        <w:rPr>
          <w:rFonts w:eastAsiaTheme="majorEastAsia" w:cstheme="minorHAnsi"/>
          <w:b/>
          <w:color w:val="E25205" w:themeColor="accent1"/>
          <w:szCs w:val="22"/>
          <w:lang w:val="en-AU"/>
        </w:rPr>
      </w:pPr>
      <w:r w:rsidRPr="008B2A5C">
        <w:rPr>
          <w:rFonts w:eastAsiaTheme="majorEastAsia" w:cstheme="minorHAnsi"/>
          <w:b/>
          <w:color w:val="E25205" w:themeColor="accent1"/>
          <w:szCs w:val="22"/>
          <w:lang w:val="en-AU"/>
        </w:rPr>
        <w:t>Is home schooling considered a successful re</w:t>
      </w:r>
      <w:r>
        <w:rPr>
          <w:rFonts w:eastAsiaTheme="majorEastAsia" w:cstheme="minorHAnsi"/>
          <w:b/>
          <w:color w:val="E25205" w:themeColor="accent1"/>
          <w:szCs w:val="22"/>
          <w:lang w:val="en-AU"/>
        </w:rPr>
        <w:t>-</w:t>
      </w:r>
      <w:r w:rsidRPr="008B2A5C">
        <w:rPr>
          <w:rFonts w:eastAsiaTheme="majorEastAsia" w:cstheme="minorHAnsi"/>
          <w:b/>
          <w:color w:val="E25205" w:themeColor="accent1"/>
          <w:szCs w:val="22"/>
          <w:lang w:val="en-AU"/>
        </w:rPr>
        <w:t xml:space="preserve">engagement outcome? </w:t>
      </w:r>
    </w:p>
    <w:p w14:paraId="62B30C8E" w14:textId="77777777" w:rsidR="00271294" w:rsidRPr="001003C3" w:rsidRDefault="00271294" w:rsidP="00271294">
      <w:pPr>
        <w:rPr>
          <w:rStyle w:val="PageNumber"/>
          <w:rFonts w:eastAsia="Calibri"/>
        </w:rPr>
      </w:pPr>
      <w:r w:rsidRPr="001003C3">
        <w:rPr>
          <w:rStyle w:val="PageNumber"/>
          <w:rFonts w:eastAsia="Calibri"/>
        </w:rPr>
        <w:t xml:space="preserve">There are 4 different </w:t>
      </w:r>
      <w:r>
        <w:rPr>
          <w:rStyle w:val="PageNumber"/>
          <w:rFonts w:eastAsia="Calibri"/>
        </w:rPr>
        <w:t xml:space="preserve">ways in which a young person can finish their </w:t>
      </w:r>
      <w:r w:rsidRPr="001003C3">
        <w:rPr>
          <w:rStyle w:val="PageNumber"/>
          <w:rFonts w:eastAsia="Calibri"/>
        </w:rPr>
        <w:t>Navigator</w:t>
      </w:r>
      <w:r>
        <w:rPr>
          <w:rStyle w:val="PageNumber"/>
          <w:rFonts w:eastAsia="Calibri"/>
        </w:rPr>
        <w:t xml:space="preserve"> journey,</w:t>
      </w:r>
      <w:r w:rsidRPr="001003C3">
        <w:rPr>
          <w:rStyle w:val="PageNumber"/>
          <w:rFonts w:eastAsia="Calibri"/>
        </w:rPr>
        <w:t xml:space="preserve"> broadly</w:t>
      </w:r>
      <w:r>
        <w:rPr>
          <w:rStyle w:val="PageNumber"/>
          <w:rFonts w:eastAsia="Calibri"/>
        </w:rPr>
        <w:t xml:space="preserve"> classified as follows</w:t>
      </w:r>
      <w:r w:rsidRPr="001003C3">
        <w:rPr>
          <w:rStyle w:val="PageNumber"/>
          <w:rFonts w:eastAsia="Calibri"/>
        </w:rPr>
        <w:t xml:space="preserve">: </w:t>
      </w:r>
    </w:p>
    <w:p w14:paraId="09F58B37" w14:textId="77777777" w:rsidR="00271294" w:rsidRPr="00071FD3" w:rsidRDefault="00271294" w:rsidP="00271294">
      <w:pPr>
        <w:pStyle w:val="ListParagraph"/>
        <w:numPr>
          <w:ilvl w:val="0"/>
          <w:numId w:val="23"/>
        </w:numPr>
        <w:rPr>
          <w:rStyle w:val="PageNumber"/>
          <w:rFonts w:asciiTheme="minorHAnsi" w:eastAsia="Calibri" w:hAnsiTheme="minorHAnsi" w:cstheme="minorBidi"/>
          <w:szCs w:val="24"/>
          <w:lang w:val="en-GB"/>
        </w:rPr>
      </w:pPr>
      <w:r w:rsidRPr="00071FD3">
        <w:rPr>
          <w:rStyle w:val="PageNumber"/>
          <w:rFonts w:asciiTheme="minorHAnsi" w:eastAsia="Calibri" w:hAnsiTheme="minorHAnsi" w:cstheme="minorBidi"/>
          <w:szCs w:val="24"/>
          <w:lang w:val="en-GB"/>
        </w:rPr>
        <w:t>A referral is made but the young person does not proceed to participate in Navigator (e.g. they don’t want to participate or are unresponsive to contact attempts)</w:t>
      </w:r>
    </w:p>
    <w:p w14:paraId="2BEA787A" w14:textId="77777777" w:rsidR="00271294" w:rsidRPr="00071FD3" w:rsidRDefault="00271294" w:rsidP="00271294">
      <w:pPr>
        <w:pStyle w:val="ListParagraph"/>
        <w:numPr>
          <w:ilvl w:val="0"/>
          <w:numId w:val="23"/>
        </w:numPr>
        <w:rPr>
          <w:rStyle w:val="PageNumber"/>
          <w:rFonts w:asciiTheme="minorHAnsi" w:eastAsia="Calibri" w:hAnsiTheme="minorHAnsi" w:cstheme="minorBidi"/>
          <w:szCs w:val="24"/>
          <w:lang w:val="en-GB"/>
        </w:rPr>
      </w:pPr>
      <w:r w:rsidRPr="00071FD3">
        <w:rPr>
          <w:rStyle w:val="PageNumber"/>
          <w:rFonts w:asciiTheme="minorHAnsi" w:eastAsia="Calibri" w:hAnsiTheme="minorHAnsi" w:cstheme="minorBidi"/>
          <w:szCs w:val="24"/>
          <w:lang w:val="en-GB"/>
        </w:rPr>
        <w:t>Navigator support results in the young person returning to mainstream education and attending 70% of the time</w:t>
      </w:r>
      <w:r>
        <w:rPr>
          <w:rStyle w:val="PageNumber"/>
          <w:rFonts w:asciiTheme="minorHAnsi" w:eastAsia="Calibri" w:hAnsiTheme="minorHAnsi" w:cstheme="minorBidi"/>
          <w:szCs w:val="24"/>
          <w:lang w:val="en-GB"/>
        </w:rPr>
        <w:t>, for two terms or equivalent</w:t>
      </w:r>
    </w:p>
    <w:p w14:paraId="5D1C9C56" w14:textId="77777777" w:rsidR="00271294" w:rsidRPr="00071FD3" w:rsidRDefault="00271294" w:rsidP="00271294">
      <w:pPr>
        <w:pStyle w:val="ListParagraph"/>
        <w:numPr>
          <w:ilvl w:val="0"/>
          <w:numId w:val="23"/>
        </w:numPr>
        <w:rPr>
          <w:rStyle w:val="PageNumber"/>
          <w:rFonts w:asciiTheme="minorHAnsi" w:eastAsia="Calibri" w:hAnsiTheme="minorHAnsi" w:cstheme="minorBidi"/>
          <w:szCs w:val="24"/>
          <w:lang w:val="en-GB"/>
        </w:rPr>
      </w:pPr>
      <w:r w:rsidRPr="00071FD3">
        <w:rPr>
          <w:rStyle w:val="PageNumber"/>
          <w:rFonts w:asciiTheme="minorHAnsi" w:eastAsia="Calibri" w:hAnsiTheme="minorHAnsi" w:cstheme="minorBidi"/>
          <w:szCs w:val="24"/>
          <w:lang w:val="en-GB"/>
        </w:rPr>
        <w:t>Navigator support results in the young person achieving another type of educational or training pathway</w:t>
      </w:r>
      <w:r>
        <w:rPr>
          <w:rStyle w:val="PageNumber"/>
          <w:rFonts w:asciiTheme="minorHAnsi" w:eastAsia="Calibri" w:hAnsiTheme="minorHAnsi" w:cstheme="minorBidi"/>
          <w:szCs w:val="24"/>
          <w:lang w:val="en-GB"/>
        </w:rPr>
        <w:t>/ outcome</w:t>
      </w:r>
    </w:p>
    <w:p w14:paraId="2DA67C0A" w14:textId="77777777" w:rsidR="00271294" w:rsidRPr="001003C3" w:rsidRDefault="00271294" w:rsidP="00271294">
      <w:pPr>
        <w:pStyle w:val="ListParagraph"/>
        <w:numPr>
          <w:ilvl w:val="0"/>
          <w:numId w:val="23"/>
        </w:numPr>
        <w:rPr>
          <w:rStyle w:val="PageNumber"/>
          <w:rFonts w:eastAsia="Calibri"/>
        </w:rPr>
      </w:pPr>
      <w:r w:rsidRPr="00071FD3">
        <w:rPr>
          <w:rStyle w:val="PageNumber"/>
          <w:rFonts w:asciiTheme="minorHAnsi" w:eastAsia="Calibri" w:hAnsiTheme="minorHAnsi" w:cstheme="minorBidi"/>
          <w:szCs w:val="24"/>
          <w:lang w:val="en-GB"/>
        </w:rPr>
        <w:t>A young person does not complete the program (e.g. they move out of Victoria, they no longer want to participate</w:t>
      </w:r>
      <w:r>
        <w:rPr>
          <w:rStyle w:val="PageNumber"/>
          <w:rFonts w:eastAsia="Calibri"/>
        </w:rPr>
        <w:t>).</w:t>
      </w:r>
    </w:p>
    <w:p w14:paraId="66F15B94" w14:textId="77777777" w:rsidR="00271294" w:rsidRDefault="00271294" w:rsidP="00271294">
      <w:pPr>
        <w:rPr>
          <w:rStyle w:val="PageNumber"/>
          <w:rFonts w:eastAsia="Calibri"/>
        </w:rPr>
      </w:pPr>
    </w:p>
    <w:p w14:paraId="545335B3" w14:textId="77777777" w:rsidR="00271294" w:rsidRPr="00806147" w:rsidRDefault="00271294" w:rsidP="00271294">
      <w:pPr>
        <w:rPr>
          <w:rStyle w:val="PageNumber"/>
          <w:rFonts w:eastAsia="Calibri"/>
        </w:rPr>
      </w:pPr>
      <w:r>
        <w:rPr>
          <w:rStyle w:val="PageNumber"/>
          <w:rFonts w:eastAsia="Calibri"/>
        </w:rPr>
        <w:t xml:space="preserve">Home-schooling is usually </w:t>
      </w:r>
      <w:r w:rsidRPr="00071FD3">
        <w:rPr>
          <w:rStyle w:val="PageNumber"/>
          <w:rFonts w:eastAsia="Calibri"/>
        </w:rPr>
        <w:t xml:space="preserve">classified under #3 where they are formally registered for home schooling (through the Victorian Regulations and Qualifications Authority). A young person may </w:t>
      </w:r>
      <w:r w:rsidRPr="00806147">
        <w:rPr>
          <w:rStyle w:val="PageNumber"/>
          <w:rFonts w:eastAsia="Calibri"/>
        </w:rPr>
        <w:t xml:space="preserve">also enrol at Virtual Schools Victoria (VSV), which is different to formal home-schooling. </w:t>
      </w:r>
    </w:p>
    <w:p w14:paraId="5AF98FF4" w14:textId="26E91BA1" w:rsidR="000A68FD" w:rsidRPr="005D7568" w:rsidRDefault="00271294" w:rsidP="00271294">
      <w:pPr>
        <w:rPr>
          <w:rFonts w:eastAsia="Calibri"/>
        </w:rPr>
      </w:pPr>
      <w:r w:rsidRPr="00806147">
        <w:rPr>
          <w:rStyle w:val="PageNumber"/>
          <w:rFonts w:eastAsia="Calibri"/>
        </w:rPr>
        <w:t xml:space="preserve">It should be noted that if a young person enrols in a new pathway/school (such as VSV), they still receive support until a positive outcome is reached – i.e. the enrolment alone does not constitute the outcome of re-engagement. </w:t>
      </w:r>
    </w:p>
    <w:p w14:paraId="3378AD7C" w14:textId="460222B0" w:rsidR="00271294" w:rsidRDefault="00271294" w:rsidP="00271294">
      <w:pPr>
        <w:rPr>
          <w:rFonts w:eastAsiaTheme="majorEastAsia" w:cstheme="minorHAnsi"/>
          <w:b/>
          <w:color w:val="E25205" w:themeColor="accent1"/>
          <w:szCs w:val="22"/>
          <w:lang w:val="en-AU"/>
        </w:rPr>
      </w:pPr>
      <w:r>
        <w:rPr>
          <w:rFonts w:eastAsiaTheme="majorEastAsia" w:cstheme="minorHAnsi"/>
          <w:b/>
          <w:color w:val="E25205" w:themeColor="accent1"/>
          <w:szCs w:val="22"/>
          <w:lang w:val="en-AU"/>
        </w:rPr>
        <w:t>How does Navigator work with Student Support Services (SSS)?</w:t>
      </w:r>
    </w:p>
    <w:p w14:paraId="30DA4A01" w14:textId="0512C752" w:rsidR="00271294" w:rsidRPr="00BD1E03" w:rsidRDefault="00271294" w:rsidP="00271294">
      <w:pPr>
        <w:rPr>
          <w:rFonts w:eastAsia="Calibri"/>
        </w:rPr>
      </w:pPr>
      <w:r>
        <w:rPr>
          <w:rStyle w:val="PageNumber"/>
          <w:rFonts w:eastAsia="Calibri"/>
        </w:rPr>
        <w:t>Navigator has a close working relationship with other DE teams, including H</w:t>
      </w:r>
      <w:r w:rsidRPr="0054156E">
        <w:rPr>
          <w:rStyle w:val="PageNumber"/>
          <w:rFonts w:eastAsia="Calibri"/>
        </w:rPr>
        <w:t xml:space="preserve">ealth and Wellbeing </w:t>
      </w:r>
      <w:r>
        <w:rPr>
          <w:rStyle w:val="PageNumber"/>
          <w:rFonts w:eastAsia="Calibri"/>
        </w:rPr>
        <w:t xml:space="preserve">and SSS </w:t>
      </w:r>
      <w:r w:rsidRPr="0054156E">
        <w:rPr>
          <w:rStyle w:val="PageNumber"/>
          <w:rFonts w:eastAsia="Calibri"/>
        </w:rPr>
        <w:t>staff</w:t>
      </w:r>
      <w:r>
        <w:rPr>
          <w:rStyle w:val="PageNumber"/>
          <w:rFonts w:eastAsia="Calibri"/>
        </w:rPr>
        <w:t>. The Navigator Coordinator will often connect with SSS and other DE staff members to determine the best approach for supporting the school and or young person as part of their Navigator journey.</w:t>
      </w:r>
    </w:p>
    <w:p w14:paraId="4155DFA8" w14:textId="77777777" w:rsidR="00271294" w:rsidRDefault="00271294" w:rsidP="00271294">
      <w:pPr>
        <w:rPr>
          <w:rFonts w:eastAsiaTheme="majorEastAsia" w:cstheme="minorHAnsi"/>
          <w:b/>
          <w:color w:val="E25205" w:themeColor="accent1"/>
          <w:szCs w:val="22"/>
          <w:lang w:val="en-AU"/>
        </w:rPr>
      </w:pPr>
      <w:r w:rsidRPr="00737BDC">
        <w:rPr>
          <w:rFonts w:eastAsiaTheme="majorEastAsia" w:cstheme="minorHAnsi"/>
          <w:b/>
          <w:color w:val="E25205" w:themeColor="accent1"/>
          <w:szCs w:val="22"/>
          <w:lang w:val="en-AU"/>
        </w:rPr>
        <w:t xml:space="preserve">Can a Local Government authority be the lead service provider </w:t>
      </w:r>
      <w:r>
        <w:rPr>
          <w:rFonts w:eastAsiaTheme="majorEastAsia" w:cstheme="minorHAnsi"/>
          <w:b/>
          <w:color w:val="E25205" w:themeColor="accent1"/>
          <w:szCs w:val="22"/>
          <w:lang w:val="en-AU"/>
        </w:rPr>
        <w:t>for the delivery of Navigator</w:t>
      </w:r>
      <w:r w:rsidRPr="00737BDC">
        <w:rPr>
          <w:rFonts w:eastAsiaTheme="majorEastAsia" w:cstheme="minorHAnsi"/>
          <w:b/>
          <w:color w:val="E25205" w:themeColor="accent1"/>
          <w:szCs w:val="22"/>
          <w:lang w:val="en-AU"/>
        </w:rPr>
        <w:t>?</w:t>
      </w:r>
    </w:p>
    <w:p w14:paraId="1671FAF6" w14:textId="56692D03" w:rsidR="00271294" w:rsidRPr="00737BDC" w:rsidRDefault="00271294" w:rsidP="00271294">
      <w:pPr>
        <w:rPr>
          <w:rStyle w:val="PageNumber"/>
          <w:rFonts w:eastAsia="Calibri"/>
        </w:rPr>
      </w:pPr>
      <w:r w:rsidRPr="00737BDC">
        <w:rPr>
          <w:rStyle w:val="PageNumber"/>
          <w:rFonts w:eastAsia="Calibri"/>
        </w:rPr>
        <w:t>Yes</w:t>
      </w:r>
      <w:r>
        <w:rPr>
          <w:rStyle w:val="PageNumber"/>
          <w:rFonts w:eastAsia="Calibri"/>
        </w:rPr>
        <w:t>, a local government authority is able to be the lead provider. Local governments are exempt</w:t>
      </w:r>
      <w:r w:rsidR="004E7485">
        <w:rPr>
          <w:rStyle w:val="PageNumber"/>
          <w:rFonts w:eastAsia="Calibri"/>
        </w:rPr>
        <w:t>*</w:t>
      </w:r>
      <w:r>
        <w:rPr>
          <w:rStyle w:val="PageNumber"/>
          <w:rFonts w:eastAsia="Calibri"/>
        </w:rPr>
        <w:t xml:space="preserve"> from providing the following documents are part of their application: </w:t>
      </w:r>
    </w:p>
    <w:p w14:paraId="2DB57B6C" w14:textId="1BF0B9DD" w:rsidR="00271294" w:rsidRPr="00737BDC" w:rsidRDefault="00271294" w:rsidP="00271294">
      <w:pPr>
        <w:pStyle w:val="NoSpacing"/>
        <w:numPr>
          <w:ilvl w:val="0"/>
          <w:numId w:val="26"/>
        </w:numPr>
        <w:spacing w:before="200" w:after="200"/>
        <w:jc w:val="both"/>
        <w:rPr>
          <w:rStyle w:val="PageNumber"/>
          <w:rFonts w:asciiTheme="minorHAnsi" w:eastAsia="Calibri" w:hAnsiTheme="minorHAnsi" w:cstheme="minorBidi"/>
          <w:i/>
          <w:iCs/>
          <w:szCs w:val="24"/>
          <w:lang w:val="en-GB"/>
        </w:rPr>
      </w:pPr>
      <w:r w:rsidRPr="00737BDC">
        <w:rPr>
          <w:rStyle w:val="PageNumber"/>
          <w:rFonts w:asciiTheme="minorHAnsi" w:eastAsia="Calibri" w:hAnsiTheme="minorHAnsi" w:cstheme="minorBidi"/>
          <w:i/>
          <w:iCs/>
          <w:szCs w:val="24"/>
          <w:lang w:val="en-GB"/>
        </w:rPr>
        <w:lastRenderedPageBreak/>
        <w:t>a Certificate of Incorporation and verification of appropriate insurance*</w:t>
      </w:r>
      <w:r w:rsidR="004E7485">
        <w:rPr>
          <w:rStyle w:val="PageNumber"/>
          <w:rFonts w:asciiTheme="minorHAnsi" w:eastAsia="Calibri" w:hAnsiTheme="minorHAnsi" w:cstheme="minorBidi"/>
          <w:i/>
          <w:iCs/>
          <w:szCs w:val="24"/>
          <w:lang w:val="en-GB"/>
        </w:rPr>
        <w:t>*</w:t>
      </w:r>
      <w:r w:rsidRPr="00737BDC">
        <w:rPr>
          <w:rStyle w:val="PageNumber"/>
          <w:rFonts w:asciiTheme="minorHAnsi" w:eastAsia="Calibri" w:hAnsiTheme="minorHAnsi" w:cstheme="minorBidi"/>
          <w:i/>
          <w:iCs/>
          <w:szCs w:val="24"/>
          <w:lang w:val="en-GB"/>
        </w:rPr>
        <w:t xml:space="preserve"> </w:t>
      </w:r>
    </w:p>
    <w:p w14:paraId="264C9FB9" w14:textId="77777777" w:rsidR="00271294" w:rsidRPr="00737BDC" w:rsidRDefault="00271294" w:rsidP="00271294">
      <w:pPr>
        <w:pStyle w:val="NoSpacing"/>
        <w:numPr>
          <w:ilvl w:val="0"/>
          <w:numId w:val="26"/>
        </w:numPr>
        <w:spacing w:before="200" w:after="200"/>
        <w:jc w:val="both"/>
        <w:rPr>
          <w:rStyle w:val="PageNumber"/>
          <w:rFonts w:asciiTheme="minorHAnsi" w:eastAsia="Calibri" w:hAnsiTheme="minorHAnsi" w:cstheme="minorBidi"/>
          <w:i/>
          <w:iCs/>
          <w:szCs w:val="24"/>
          <w:lang w:val="en-GB"/>
        </w:rPr>
      </w:pPr>
      <w:r w:rsidRPr="00737BDC">
        <w:rPr>
          <w:rStyle w:val="PageNumber"/>
          <w:rFonts w:asciiTheme="minorHAnsi" w:eastAsia="Calibri" w:hAnsiTheme="minorHAnsi" w:cstheme="minorBidi"/>
          <w:i/>
          <w:iCs/>
          <w:szCs w:val="24"/>
          <w:lang w:val="en-GB"/>
        </w:rPr>
        <w:t xml:space="preserve">documentation attesting financial viability. </w:t>
      </w:r>
    </w:p>
    <w:p w14:paraId="64984C9A" w14:textId="7D170ABB" w:rsidR="00271294" w:rsidRPr="00737BDC" w:rsidRDefault="004E7485" w:rsidP="00271294">
      <w:pPr>
        <w:spacing w:after="160"/>
        <w:ind w:left="720"/>
        <w:rPr>
          <w:rStyle w:val="PageNumber"/>
          <w:rFonts w:eastAsia="Calibri"/>
          <w:i/>
          <w:iCs/>
          <w:sz w:val="20"/>
          <w:szCs w:val="22"/>
        </w:rPr>
      </w:pPr>
      <w:r>
        <w:rPr>
          <w:rStyle w:val="PageNumber"/>
          <w:rFonts w:eastAsia="Calibri"/>
          <w:i/>
          <w:iCs/>
          <w:sz w:val="20"/>
          <w:szCs w:val="22"/>
        </w:rPr>
        <w:t>*</w:t>
      </w:r>
      <w:r w:rsidR="00271294" w:rsidRPr="00737BDC">
        <w:rPr>
          <w:rStyle w:val="PageNumber"/>
          <w:rFonts w:eastAsia="Calibri"/>
          <w:i/>
          <w:iCs/>
          <w:sz w:val="20"/>
          <w:szCs w:val="22"/>
        </w:rPr>
        <w:t xml:space="preserve">*hold appropriate insurance that indemnifies for liability for child abuse (see </w:t>
      </w:r>
      <w:hyperlink r:id="rId18" w:history="1">
        <w:r w:rsidR="00271294" w:rsidRPr="00737BDC">
          <w:rPr>
            <w:rStyle w:val="PageNumber"/>
            <w:rFonts w:eastAsia="Calibri"/>
            <w:i/>
            <w:iCs/>
            <w:sz w:val="20"/>
            <w:szCs w:val="22"/>
          </w:rPr>
          <w:t>Victorian funding requirements for services to children fact sheet</w:t>
        </w:r>
      </w:hyperlink>
      <w:r w:rsidR="00271294" w:rsidRPr="00737BDC">
        <w:rPr>
          <w:rStyle w:val="PageNumber"/>
          <w:rFonts w:eastAsia="Calibri"/>
          <w:i/>
          <w:iCs/>
          <w:sz w:val="20"/>
          <w:szCs w:val="22"/>
        </w:rPr>
        <w:t xml:space="preserve"> for further information)</w:t>
      </w:r>
    </w:p>
    <w:p w14:paraId="41BFAC54" w14:textId="769E77C5" w:rsidR="00271294" w:rsidRDefault="00271294" w:rsidP="00271294">
      <w:pPr>
        <w:spacing w:line="276" w:lineRule="auto"/>
        <w:ind w:right="374"/>
        <w:jc w:val="both"/>
        <w:rPr>
          <w:rStyle w:val="PageNumber"/>
          <w:rFonts w:eastAsia="Calibri"/>
        </w:rPr>
      </w:pPr>
      <w:r w:rsidRPr="00737BDC">
        <w:rPr>
          <w:rStyle w:val="PageNumber"/>
          <w:rFonts w:eastAsia="Calibri"/>
        </w:rPr>
        <w:t>A statement detailing any real or potential conflict of interests (if any exist) and details on how these conflicts can be managed is still required</w:t>
      </w:r>
      <w:r>
        <w:rPr>
          <w:rStyle w:val="PageNumber"/>
          <w:rFonts w:eastAsia="Calibri"/>
        </w:rPr>
        <w:t xml:space="preserve"> and a</w:t>
      </w:r>
      <w:r w:rsidRPr="00737BDC">
        <w:rPr>
          <w:rStyle w:val="PageNumber"/>
          <w:rFonts w:eastAsia="Calibri"/>
        </w:rPr>
        <w:t>ny partne</w:t>
      </w:r>
      <w:r>
        <w:rPr>
          <w:rStyle w:val="PageNumber"/>
          <w:rFonts w:eastAsia="Calibri"/>
        </w:rPr>
        <w:t xml:space="preserve">rs that the Local Government Authority will </w:t>
      </w:r>
      <w:r w:rsidRPr="00737BDC">
        <w:rPr>
          <w:rStyle w:val="PageNumber"/>
          <w:rFonts w:eastAsia="Calibri"/>
        </w:rPr>
        <w:t>sub-contract to deliver Navigator</w:t>
      </w:r>
      <w:r>
        <w:rPr>
          <w:rStyle w:val="PageNumber"/>
          <w:rFonts w:eastAsia="Calibri"/>
        </w:rPr>
        <w:t xml:space="preserve"> are </w:t>
      </w:r>
      <w:r w:rsidRPr="00737BDC">
        <w:rPr>
          <w:rStyle w:val="PageNumber"/>
          <w:rFonts w:eastAsia="Calibri"/>
          <w:b/>
          <w:bCs/>
        </w:rPr>
        <w:t>not exempt</w:t>
      </w:r>
      <w:r>
        <w:rPr>
          <w:rStyle w:val="PageNumber"/>
          <w:rFonts w:eastAsia="Calibri"/>
        </w:rPr>
        <w:t xml:space="preserve"> from providing the required documents – i.e copies of their insurance, incorporation status and financial viability must be supplied as part of the application.</w:t>
      </w:r>
    </w:p>
    <w:p w14:paraId="492994C9" w14:textId="71A18410" w:rsidR="00271294" w:rsidRPr="00BD1E03" w:rsidRDefault="004E7485" w:rsidP="00BD1E03">
      <w:pPr>
        <w:spacing w:line="276" w:lineRule="auto"/>
        <w:ind w:right="374"/>
        <w:jc w:val="both"/>
        <w:rPr>
          <w:rFonts w:eastAsia="Calibri"/>
          <w:sz w:val="18"/>
          <w:szCs w:val="20"/>
        </w:rPr>
      </w:pPr>
      <w:r w:rsidRPr="004E7485">
        <w:rPr>
          <w:rStyle w:val="PageNumber"/>
          <w:rFonts w:eastAsia="Calibri"/>
          <w:sz w:val="18"/>
          <w:szCs w:val="20"/>
        </w:rPr>
        <w:t xml:space="preserve">*as per </w:t>
      </w:r>
      <w:hyperlink r:id="rId19" w:history="1">
        <w:r w:rsidRPr="004E7485">
          <w:rPr>
            <w:rStyle w:val="Hyperlink"/>
            <w:sz w:val="18"/>
            <w:szCs w:val="20"/>
          </w:rPr>
          <w:t>Victorian funding requirements for service to children fact sheet (dffh.vic.gov.au)</w:t>
        </w:r>
      </w:hyperlink>
    </w:p>
    <w:p w14:paraId="1DFB4C54" w14:textId="5D19B745" w:rsidR="00FA7829" w:rsidRDefault="00FA7829" w:rsidP="00FA7829">
      <w:pPr>
        <w:rPr>
          <w:rFonts w:eastAsiaTheme="majorEastAsia" w:cstheme="minorHAnsi"/>
          <w:b/>
          <w:color w:val="E25205" w:themeColor="accent1"/>
          <w:szCs w:val="22"/>
          <w:lang w:val="en-AU"/>
        </w:rPr>
      </w:pPr>
      <w:r w:rsidRPr="00737BDC">
        <w:rPr>
          <w:rFonts w:eastAsiaTheme="majorEastAsia" w:cstheme="minorHAnsi"/>
          <w:b/>
          <w:color w:val="E25205" w:themeColor="accent1"/>
          <w:szCs w:val="22"/>
          <w:lang w:val="en-AU"/>
        </w:rPr>
        <w:t>Can a</w:t>
      </w:r>
      <w:r>
        <w:rPr>
          <w:rFonts w:eastAsiaTheme="majorEastAsia" w:cstheme="minorHAnsi"/>
          <w:b/>
          <w:color w:val="E25205" w:themeColor="accent1"/>
          <w:szCs w:val="22"/>
          <w:lang w:val="en-AU"/>
        </w:rPr>
        <w:t>nother Government Department be used as a referee for the EOI process?</w:t>
      </w:r>
    </w:p>
    <w:p w14:paraId="7A15B90C" w14:textId="0C15E617" w:rsidR="005C6713" w:rsidRDefault="00FA7829" w:rsidP="005C6713">
      <w:pPr>
        <w:rPr>
          <w:lang w:val="en-AU"/>
        </w:rPr>
      </w:pPr>
      <w:r>
        <w:t>Providing the referee is relevant to the application, there is no issue with using another Government Department as a referee for the EOI process.</w:t>
      </w:r>
    </w:p>
    <w:p w14:paraId="2C52734B" w14:textId="0BB1DCF3" w:rsidR="00F95A7F" w:rsidRDefault="00F95A7F" w:rsidP="00BD1E03">
      <w:pPr>
        <w:rPr>
          <w:rFonts w:eastAsiaTheme="majorEastAsia" w:cstheme="minorHAnsi"/>
          <w:b/>
          <w:color w:val="E25205" w:themeColor="accent1"/>
          <w:szCs w:val="22"/>
          <w:lang w:val="en-AU"/>
        </w:rPr>
      </w:pPr>
      <w:r w:rsidRPr="00F95A7F">
        <w:rPr>
          <w:rFonts w:eastAsiaTheme="majorEastAsia" w:cstheme="minorHAnsi"/>
          <w:b/>
          <w:color w:val="E25205" w:themeColor="accent1"/>
          <w:szCs w:val="22"/>
          <w:lang w:val="en-AU"/>
        </w:rPr>
        <w:t>The application asks for two referees - are there any referees we should avoid listing?</w:t>
      </w:r>
    </w:p>
    <w:p w14:paraId="529CF7D3" w14:textId="790501D0" w:rsidR="00F95A7F" w:rsidRDefault="00F95A7F" w:rsidP="00BD1E03">
      <w:pPr>
        <w:rPr>
          <w:rFonts w:eastAsia="Calibri" w:cs="Arial"/>
        </w:rPr>
      </w:pPr>
      <w:r>
        <w:rPr>
          <w:rFonts w:eastAsia="Calibri" w:cs="Arial"/>
        </w:rPr>
        <w:t xml:space="preserve">Please provide the referees you think are best able to support your application – we can discuss at interview if there are any conflicts with </w:t>
      </w:r>
      <w:r w:rsidRPr="00E354FF">
        <w:rPr>
          <w:rFonts w:eastAsia="Calibri" w:cs="Arial"/>
        </w:rPr>
        <w:t>the referees you have listed</w:t>
      </w:r>
      <w:r w:rsidR="00FA19B4" w:rsidRPr="00E354FF">
        <w:rPr>
          <w:rFonts w:eastAsia="Calibri" w:cs="Arial"/>
        </w:rPr>
        <w:t xml:space="preserve"> and at this point further referee’s may be requested</w:t>
      </w:r>
      <w:r w:rsidR="00E354FF" w:rsidRPr="00E354FF">
        <w:rPr>
          <w:rFonts w:eastAsia="Calibri" w:cs="Arial"/>
        </w:rPr>
        <w:t xml:space="preserve"> if necessary</w:t>
      </w:r>
      <w:r w:rsidR="00FA19B4" w:rsidRPr="00E354FF">
        <w:rPr>
          <w:rFonts w:eastAsia="Calibri" w:cs="Arial"/>
        </w:rPr>
        <w:t>.</w:t>
      </w:r>
      <w:r w:rsidR="00FA19B4">
        <w:rPr>
          <w:rFonts w:eastAsia="Calibri" w:cs="Arial"/>
        </w:rPr>
        <w:t xml:space="preserve"> </w:t>
      </w:r>
    </w:p>
    <w:p w14:paraId="0D81A242" w14:textId="075959DD" w:rsidR="00F95A7F" w:rsidRDefault="00F95A7F" w:rsidP="00BD1E03">
      <w:pPr>
        <w:rPr>
          <w:rFonts w:eastAsiaTheme="majorEastAsia" w:cstheme="minorHAnsi"/>
          <w:b/>
          <w:color w:val="E25205" w:themeColor="accent1"/>
          <w:szCs w:val="22"/>
          <w:lang w:val="en-AU"/>
        </w:rPr>
      </w:pPr>
      <w:r w:rsidRPr="00F95A7F">
        <w:rPr>
          <w:rFonts w:eastAsiaTheme="majorEastAsia" w:cstheme="minorHAnsi"/>
          <w:b/>
          <w:color w:val="E25205" w:themeColor="accent1"/>
          <w:szCs w:val="22"/>
          <w:lang w:val="en-AU"/>
        </w:rPr>
        <w:t xml:space="preserve">What </w:t>
      </w:r>
      <w:r w:rsidR="00E354FF">
        <w:rPr>
          <w:rFonts w:eastAsiaTheme="majorEastAsia" w:cstheme="minorHAnsi"/>
          <w:b/>
          <w:color w:val="E25205" w:themeColor="accent1"/>
          <w:szCs w:val="22"/>
          <w:lang w:val="en-AU"/>
        </w:rPr>
        <w:t xml:space="preserve">do you do when </w:t>
      </w:r>
      <w:r w:rsidRPr="00F95A7F">
        <w:rPr>
          <w:rFonts w:eastAsiaTheme="majorEastAsia" w:cstheme="minorHAnsi"/>
          <w:b/>
          <w:color w:val="E25205" w:themeColor="accent1"/>
          <w:szCs w:val="22"/>
          <w:lang w:val="en-AU"/>
        </w:rPr>
        <w:t xml:space="preserve">young people don’t want to engage with the program? </w:t>
      </w:r>
    </w:p>
    <w:p w14:paraId="57C04AC2" w14:textId="27C6F2DF" w:rsidR="00F95A7F" w:rsidRDefault="00F95A7F" w:rsidP="00BD1E03">
      <w:pPr>
        <w:rPr>
          <w:rFonts w:eastAsia="Calibri" w:cs="Arial"/>
        </w:rPr>
      </w:pPr>
      <w:r>
        <w:rPr>
          <w:rFonts w:eastAsia="Calibri" w:cs="Arial"/>
        </w:rPr>
        <w:t>Consent from a young person’s parent/carer/guardian is generally required prior to submitting a referral and it is advised the y</w:t>
      </w:r>
      <w:r w:rsidRPr="00E354FF">
        <w:rPr>
          <w:rFonts w:eastAsia="Calibri" w:cs="Arial"/>
        </w:rPr>
        <w:t>oung person is also consulted at this stage</w:t>
      </w:r>
      <w:r w:rsidR="00FA19B4" w:rsidRPr="00E354FF">
        <w:rPr>
          <w:rFonts w:eastAsia="Calibri" w:cs="Arial"/>
        </w:rPr>
        <w:t xml:space="preserve"> as partnerships from the outset strengthen outcomes.</w:t>
      </w:r>
      <w:r>
        <w:rPr>
          <w:rFonts w:eastAsia="Calibri" w:cs="Arial"/>
        </w:rPr>
        <w:t xml:space="preserve"> Once the young person </w:t>
      </w:r>
      <w:r w:rsidR="005049F3">
        <w:rPr>
          <w:rFonts w:eastAsia="Calibri" w:cs="Arial"/>
        </w:rPr>
        <w:t>is in the Intake and Assessment phase, the service provider will be collecting consent to participate from the parent/carer/guardian and encouraging them to discuss with the program with the young person</w:t>
      </w:r>
      <w:r w:rsidR="003356BD">
        <w:rPr>
          <w:rFonts w:eastAsia="Calibri" w:cs="Arial"/>
        </w:rPr>
        <w:t xml:space="preserve"> – discussions about the young person intention to participate can be had at this stage and strategies to support them determined. </w:t>
      </w:r>
    </w:p>
    <w:p w14:paraId="53491679" w14:textId="41761A8A" w:rsidR="005049F3" w:rsidRPr="00F95A7F" w:rsidRDefault="005049F3" w:rsidP="00BD1E03">
      <w:pPr>
        <w:rPr>
          <w:rFonts w:eastAsiaTheme="majorEastAsia" w:cstheme="minorHAnsi"/>
          <w:b/>
          <w:color w:val="E25205" w:themeColor="accent1"/>
          <w:szCs w:val="22"/>
          <w:lang w:val="en-AU"/>
        </w:rPr>
      </w:pPr>
      <w:r>
        <w:rPr>
          <w:rFonts w:eastAsia="Calibri" w:cs="Arial"/>
        </w:rPr>
        <w:t xml:space="preserve">Service providers are also expected to draw on their expertise in working with young people to overcome issues of not wanting to engage – as many young people may not want to participate at the start. The ability of the service provider/ case managers to connect with and gain the trust of the young person and </w:t>
      </w:r>
      <w:r w:rsidR="00DB67CE">
        <w:rPr>
          <w:rFonts w:eastAsia="Calibri" w:cs="Arial"/>
        </w:rPr>
        <w:t xml:space="preserve">their </w:t>
      </w:r>
      <w:r>
        <w:rPr>
          <w:rFonts w:eastAsia="Calibri" w:cs="Arial"/>
        </w:rPr>
        <w:t xml:space="preserve">family is pivotal - when this occurs, the young person can make significant progress with their reengagement journey.  </w:t>
      </w:r>
    </w:p>
    <w:p w14:paraId="7B0DD613" w14:textId="4B020F34" w:rsidR="00F95A7F" w:rsidRPr="00F95A7F" w:rsidRDefault="001425AD" w:rsidP="00BD1E03">
      <w:pPr>
        <w:rPr>
          <w:rFonts w:eastAsiaTheme="majorEastAsia" w:cstheme="minorHAnsi"/>
          <w:b/>
          <w:color w:val="E25205" w:themeColor="accent1"/>
          <w:szCs w:val="22"/>
          <w:lang w:val="en-AU"/>
        </w:rPr>
      </w:pPr>
      <w:r>
        <w:rPr>
          <w:rFonts w:eastAsiaTheme="majorEastAsia" w:cstheme="minorHAnsi"/>
          <w:b/>
          <w:color w:val="E25205" w:themeColor="accent1"/>
          <w:szCs w:val="22"/>
          <w:lang w:val="en-AU"/>
        </w:rPr>
        <w:t>Can DE provide CALD/ATSI data to inform applications?</w:t>
      </w:r>
    </w:p>
    <w:p w14:paraId="290E0B85" w14:textId="3E504DEB" w:rsidR="001425AD" w:rsidRPr="001425AD" w:rsidRDefault="001425AD" w:rsidP="00BD1E03">
      <w:pPr>
        <w:rPr>
          <w:rFonts w:eastAsiaTheme="majorEastAsia" w:cstheme="minorHAnsi"/>
          <w:bCs/>
          <w:szCs w:val="22"/>
          <w:lang w:val="en-AU"/>
        </w:rPr>
      </w:pPr>
      <w:r w:rsidRPr="001425AD">
        <w:rPr>
          <w:rFonts w:eastAsiaTheme="majorEastAsia" w:cstheme="minorHAnsi"/>
          <w:bCs/>
          <w:szCs w:val="22"/>
          <w:lang w:val="en-AU"/>
        </w:rPr>
        <w:t>No</w:t>
      </w:r>
      <w:r w:rsidR="00E354FF">
        <w:rPr>
          <w:rFonts w:eastAsiaTheme="majorEastAsia" w:cstheme="minorHAnsi"/>
          <w:bCs/>
          <w:szCs w:val="22"/>
          <w:lang w:val="en-AU"/>
        </w:rPr>
        <w:t>, the only data we can share at this at this stage is already provided in the EOI documents. I</w:t>
      </w:r>
      <w:r w:rsidRPr="001425AD">
        <w:rPr>
          <w:rFonts w:eastAsiaTheme="majorEastAsia" w:cstheme="minorHAnsi"/>
          <w:bCs/>
          <w:szCs w:val="22"/>
          <w:lang w:val="en-AU"/>
        </w:rPr>
        <w:t>f any additional information becomes available it will be added to this FAQ document.</w:t>
      </w:r>
    </w:p>
    <w:p w14:paraId="2F99DF40" w14:textId="683FCBF0" w:rsidR="00F95A7F" w:rsidRPr="00EF18C0" w:rsidRDefault="00E354FF" w:rsidP="00BD1E03">
      <w:pPr>
        <w:rPr>
          <w:rFonts w:eastAsia="Calibri" w:cs="Arial"/>
          <w:b/>
          <w:color w:val="E25205" w:themeColor="accent1"/>
        </w:rPr>
      </w:pPr>
      <w:r>
        <w:rPr>
          <w:rFonts w:eastAsia="Calibri" w:cs="Arial"/>
          <w:b/>
          <w:bCs/>
          <w:color w:val="E25205" w:themeColor="accent1"/>
        </w:rPr>
        <w:t>Is it a staged selecti</w:t>
      </w:r>
      <w:r w:rsidR="00DB67CE">
        <w:rPr>
          <w:rFonts w:eastAsia="Calibri" w:cs="Arial"/>
          <w:b/>
          <w:bCs/>
          <w:color w:val="E25205" w:themeColor="accent1"/>
        </w:rPr>
        <w:t>o</w:t>
      </w:r>
      <w:r>
        <w:rPr>
          <w:rFonts w:eastAsia="Calibri" w:cs="Arial"/>
          <w:b/>
          <w:bCs/>
          <w:color w:val="E25205" w:themeColor="accent1"/>
        </w:rPr>
        <w:t>n process and d</w:t>
      </w:r>
      <w:r w:rsidR="00EF18C0" w:rsidRPr="00EF18C0">
        <w:rPr>
          <w:rFonts w:eastAsia="Calibri" w:cs="Arial"/>
          <w:b/>
          <w:bCs/>
          <w:color w:val="E25205" w:themeColor="accent1"/>
        </w:rPr>
        <w:t xml:space="preserve">oes interview shortlisting occur based on capability of the </w:t>
      </w:r>
      <w:r>
        <w:rPr>
          <w:rFonts w:eastAsia="Calibri" w:cs="Arial"/>
          <w:b/>
          <w:bCs/>
          <w:color w:val="E25205" w:themeColor="accent1"/>
        </w:rPr>
        <w:t xml:space="preserve">potential </w:t>
      </w:r>
      <w:r w:rsidR="00EF18C0" w:rsidRPr="00EF18C0">
        <w:rPr>
          <w:rFonts w:eastAsia="Calibri" w:cs="Arial"/>
          <w:b/>
          <w:bCs/>
          <w:color w:val="E25205" w:themeColor="accent1"/>
        </w:rPr>
        <w:t>service provider?</w:t>
      </w:r>
    </w:p>
    <w:p w14:paraId="60A69E2B" w14:textId="3B369BC0" w:rsidR="00EF18C0" w:rsidRDefault="00EF18C0" w:rsidP="00BD1E03">
      <w:pPr>
        <w:rPr>
          <w:rFonts w:eastAsia="Calibri" w:cs="Arial"/>
        </w:rPr>
      </w:pPr>
      <w:r>
        <w:rPr>
          <w:rFonts w:eastAsia="Calibri" w:cs="Arial"/>
        </w:rPr>
        <w:t xml:space="preserve">Applicants are assessed for suitability according to assessment criteria, and shortlisting occurs. Interviews are conducted based on this and as many </w:t>
      </w:r>
      <w:r w:rsidR="005D7568">
        <w:rPr>
          <w:rFonts w:eastAsia="Calibri" w:cs="Arial"/>
        </w:rPr>
        <w:t xml:space="preserve">organisations </w:t>
      </w:r>
      <w:r>
        <w:rPr>
          <w:rFonts w:eastAsia="Calibri" w:cs="Arial"/>
        </w:rPr>
        <w:t>as deemed suitable/appropriated may be interviewed.</w:t>
      </w:r>
    </w:p>
    <w:p w14:paraId="08B89594" w14:textId="0BF5A2FC" w:rsidR="00146C0B" w:rsidRPr="00F72523" w:rsidRDefault="00146C0B" w:rsidP="00146C0B">
      <w:pPr>
        <w:rPr>
          <w:rStyle w:val="PageNumber"/>
          <w:rFonts w:eastAsia="Calibri" w:cstheme="minorHAnsi"/>
          <w:b/>
          <w:bCs/>
          <w:color w:val="E25205" w:themeColor="accent1"/>
          <w:szCs w:val="22"/>
        </w:rPr>
      </w:pPr>
      <w:r w:rsidRPr="00F72523">
        <w:rPr>
          <w:rStyle w:val="PageNumber"/>
          <w:rFonts w:eastAsia="Calibri" w:cstheme="minorHAnsi"/>
          <w:b/>
          <w:bCs/>
          <w:color w:val="E25205" w:themeColor="accent1"/>
          <w:szCs w:val="22"/>
        </w:rPr>
        <w:t>When will the funding commence for the successful provider</w:t>
      </w:r>
      <w:r w:rsidR="005D7568">
        <w:rPr>
          <w:rStyle w:val="PageNumber"/>
          <w:rFonts w:eastAsia="Calibri" w:cstheme="minorHAnsi"/>
          <w:b/>
          <w:bCs/>
          <w:color w:val="E25205" w:themeColor="accent1"/>
          <w:szCs w:val="22"/>
        </w:rPr>
        <w:t>?</w:t>
      </w:r>
    </w:p>
    <w:p w14:paraId="0225D9D8" w14:textId="77777777" w:rsidR="00244560" w:rsidRDefault="005D7568" w:rsidP="00BD1E03">
      <w:pPr>
        <w:rPr>
          <w:rStyle w:val="PageNumber"/>
          <w:rFonts w:eastAsia="Calibri" w:cstheme="minorHAnsi"/>
          <w:szCs w:val="22"/>
        </w:rPr>
      </w:pPr>
      <w:r>
        <w:rPr>
          <w:rStyle w:val="PageNumber"/>
          <w:rFonts w:eastAsia="Calibri" w:cstheme="minorHAnsi"/>
          <w:szCs w:val="22"/>
        </w:rPr>
        <w:t xml:space="preserve">Service providers generally receive committed funding in 2 payments across the year. </w:t>
      </w:r>
      <w:r w:rsidR="00E354FF">
        <w:rPr>
          <w:rStyle w:val="PageNumber"/>
          <w:rFonts w:eastAsia="Calibri" w:cstheme="minorHAnsi"/>
          <w:szCs w:val="22"/>
        </w:rPr>
        <w:t xml:space="preserve">If a new service provider is appointed, </w:t>
      </w:r>
      <w:r>
        <w:rPr>
          <w:rStyle w:val="PageNumber"/>
          <w:rFonts w:eastAsia="Calibri" w:cstheme="minorHAnsi"/>
          <w:szCs w:val="22"/>
        </w:rPr>
        <w:t xml:space="preserve">a portion of the </w:t>
      </w:r>
      <w:r w:rsidR="00146C0B">
        <w:rPr>
          <w:rStyle w:val="PageNumber"/>
          <w:rFonts w:eastAsia="Calibri" w:cstheme="minorHAnsi"/>
          <w:szCs w:val="22"/>
        </w:rPr>
        <w:t>first payment</w:t>
      </w:r>
      <w:r>
        <w:rPr>
          <w:rStyle w:val="PageNumber"/>
          <w:rFonts w:eastAsia="Calibri" w:cstheme="minorHAnsi"/>
          <w:szCs w:val="22"/>
        </w:rPr>
        <w:t xml:space="preserve"> will be provided </w:t>
      </w:r>
      <w:r w:rsidR="00146C0B">
        <w:rPr>
          <w:rStyle w:val="PageNumber"/>
          <w:rFonts w:eastAsia="Calibri" w:cstheme="minorHAnsi"/>
          <w:szCs w:val="22"/>
        </w:rPr>
        <w:t xml:space="preserve">on contract execution </w:t>
      </w:r>
      <w:r>
        <w:rPr>
          <w:rStyle w:val="PageNumber"/>
          <w:rFonts w:eastAsia="Calibri" w:cstheme="minorHAnsi"/>
          <w:szCs w:val="22"/>
        </w:rPr>
        <w:t xml:space="preserve">– </w:t>
      </w:r>
      <w:r>
        <w:rPr>
          <w:rStyle w:val="PageNumber"/>
          <w:rFonts w:eastAsia="Calibri" w:cstheme="minorHAnsi"/>
          <w:szCs w:val="22"/>
        </w:rPr>
        <w:lastRenderedPageBreak/>
        <w:t>this will occur a few weeks after the EOI process concludes. T</w:t>
      </w:r>
      <w:r w:rsidR="00E354FF">
        <w:rPr>
          <w:rStyle w:val="PageNumber"/>
          <w:rFonts w:eastAsia="Calibri" w:cstheme="minorHAnsi"/>
          <w:szCs w:val="22"/>
        </w:rPr>
        <w:t xml:space="preserve">his </w:t>
      </w:r>
      <w:r>
        <w:rPr>
          <w:rStyle w:val="PageNumber"/>
          <w:rFonts w:eastAsia="Calibri" w:cstheme="minorHAnsi"/>
          <w:szCs w:val="22"/>
        </w:rPr>
        <w:t xml:space="preserve">payment </w:t>
      </w:r>
      <w:r w:rsidR="00E354FF">
        <w:rPr>
          <w:rStyle w:val="PageNumber"/>
          <w:rFonts w:eastAsia="Calibri" w:cstheme="minorHAnsi"/>
          <w:szCs w:val="22"/>
        </w:rPr>
        <w:t>is to enable program set up and transition planning</w:t>
      </w:r>
      <w:r>
        <w:rPr>
          <w:rStyle w:val="PageNumber"/>
          <w:rFonts w:eastAsia="Calibri" w:cstheme="minorHAnsi"/>
          <w:szCs w:val="22"/>
        </w:rPr>
        <w:t>.</w:t>
      </w:r>
      <w:r w:rsidR="00146C0B">
        <w:rPr>
          <w:rStyle w:val="PageNumber"/>
          <w:rFonts w:eastAsia="Calibri" w:cstheme="minorHAnsi"/>
          <w:szCs w:val="22"/>
        </w:rPr>
        <w:t xml:space="preserve"> </w:t>
      </w:r>
    </w:p>
    <w:p w14:paraId="0737F4D7" w14:textId="4DBD03CE" w:rsidR="00146C0B" w:rsidRPr="002B1BE9" w:rsidRDefault="00244560" w:rsidP="00BD1E03">
      <w:pPr>
        <w:rPr>
          <w:rFonts w:cstheme="minorHAnsi"/>
          <w:szCs w:val="22"/>
          <w:lang w:val="en-AU"/>
        </w:rPr>
      </w:pPr>
      <w:r>
        <w:rPr>
          <w:rStyle w:val="PageNumber"/>
          <w:rFonts w:eastAsia="Calibri" w:cstheme="minorHAnsi"/>
          <w:szCs w:val="22"/>
        </w:rPr>
        <w:t xml:space="preserve">If the current service provider is reappointed, payments </w:t>
      </w:r>
      <w:r w:rsidR="00146C0B">
        <w:rPr>
          <w:rStyle w:val="PageNumber"/>
          <w:rFonts w:eastAsia="Calibri" w:cstheme="minorHAnsi"/>
          <w:szCs w:val="22"/>
        </w:rPr>
        <w:t xml:space="preserve">will align with the </w:t>
      </w:r>
      <w:r w:rsidR="002B1BE9">
        <w:rPr>
          <w:rStyle w:val="PageNumber"/>
          <w:rFonts w:eastAsia="Calibri" w:cstheme="minorHAnsi"/>
          <w:szCs w:val="22"/>
        </w:rPr>
        <w:t xml:space="preserve">current </w:t>
      </w:r>
      <w:r w:rsidR="00146C0B">
        <w:rPr>
          <w:rStyle w:val="PageNumber"/>
          <w:rFonts w:eastAsia="Calibri" w:cstheme="minorHAnsi"/>
          <w:szCs w:val="22"/>
        </w:rPr>
        <w:t>payment schedule.</w:t>
      </w:r>
      <w:r w:rsidR="00E354FF">
        <w:rPr>
          <w:rStyle w:val="PageNumber"/>
          <w:rFonts w:eastAsia="Calibri" w:cstheme="minorHAnsi"/>
          <w:szCs w:val="22"/>
        </w:rPr>
        <w:t xml:space="preserve"> </w:t>
      </w:r>
    </w:p>
    <w:p w14:paraId="34A947B8" w14:textId="77777777" w:rsidR="00146C0B" w:rsidRPr="00EF18C0" w:rsidRDefault="00146C0B" w:rsidP="00146C0B">
      <w:pPr>
        <w:rPr>
          <w:rFonts w:eastAsia="Calibri" w:cs="Arial"/>
          <w:b/>
          <w:bCs/>
          <w:color w:val="E25205" w:themeColor="accent1"/>
        </w:rPr>
      </w:pPr>
      <w:r w:rsidRPr="00EF18C0">
        <w:rPr>
          <w:rFonts w:eastAsia="Calibri" w:cs="Arial"/>
          <w:b/>
          <w:bCs/>
          <w:color w:val="E25205" w:themeColor="accent1"/>
        </w:rPr>
        <w:t>Does funding provision align with reporting requirements?</w:t>
      </w:r>
    </w:p>
    <w:p w14:paraId="5D311EF4" w14:textId="068B2E77" w:rsidR="00146C0B" w:rsidRDefault="00146C0B" w:rsidP="00146C0B">
      <w:pPr>
        <w:rPr>
          <w:rFonts w:eastAsia="Calibri" w:cs="Arial"/>
        </w:rPr>
      </w:pPr>
      <w:r>
        <w:rPr>
          <w:rFonts w:eastAsia="Calibri" w:cs="Arial"/>
        </w:rPr>
        <w:t>Yes. Contract payments occur according to a common funding agreement on a 6 monthly basis. This aligns with reporting requirements</w:t>
      </w:r>
      <w:r w:rsidR="002B1BE9">
        <w:rPr>
          <w:rFonts w:eastAsia="Calibri" w:cs="Arial"/>
        </w:rPr>
        <w:t xml:space="preserve">, including development/ endorsement of an annual </w:t>
      </w:r>
      <w:r>
        <w:rPr>
          <w:rFonts w:eastAsia="Calibri" w:cs="Arial"/>
        </w:rPr>
        <w:t>Service Delivery Plan</w:t>
      </w:r>
      <w:r w:rsidR="002B1BE9">
        <w:rPr>
          <w:rFonts w:eastAsia="Calibri" w:cs="Arial"/>
        </w:rPr>
        <w:t>, submission of progress reports, yearly budget acquittals and review report.</w:t>
      </w:r>
    </w:p>
    <w:p w14:paraId="5AB69022" w14:textId="09E3C4B7" w:rsidR="006262EF" w:rsidRPr="00555C51" w:rsidRDefault="006262EF" w:rsidP="006262EF">
      <w:pPr>
        <w:rPr>
          <w:rFonts w:eastAsiaTheme="majorEastAsia" w:cstheme="minorHAnsi"/>
          <w:b/>
          <w:color w:val="E25205" w:themeColor="accent1"/>
          <w:szCs w:val="22"/>
          <w:lang w:val="en-AU"/>
        </w:rPr>
      </w:pPr>
      <w:r w:rsidRPr="00BD1E03">
        <w:rPr>
          <w:rFonts w:eastAsiaTheme="majorEastAsia" w:cstheme="minorHAnsi"/>
          <w:b/>
          <w:color w:val="E25205" w:themeColor="accent1"/>
          <w:szCs w:val="22"/>
          <w:lang w:val="en-AU"/>
        </w:rPr>
        <w:t xml:space="preserve">Where organisations intend to partner with </w:t>
      </w:r>
      <w:r>
        <w:rPr>
          <w:rFonts w:eastAsiaTheme="majorEastAsia" w:cstheme="minorHAnsi"/>
          <w:b/>
          <w:color w:val="E25205" w:themeColor="accent1"/>
          <w:szCs w:val="22"/>
          <w:lang w:val="en-AU"/>
        </w:rPr>
        <w:t>another agency</w:t>
      </w:r>
      <w:r w:rsidRPr="00BD1E03">
        <w:rPr>
          <w:rFonts w:eastAsiaTheme="majorEastAsia" w:cstheme="minorHAnsi"/>
          <w:b/>
          <w:color w:val="E25205" w:themeColor="accent1"/>
          <w:szCs w:val="22"/>
          <w:lang w:val="en-AU"/>
        </w:rPr>
        <w:t xml:space="preserve"> and in consideration of self-determination, would DE consider direct service agreements with both agencies?</w:t>
      </w:r>
    </w:p>
    <w:p w14:paraId="72D282B7" w14:textId="2356F7DA" w:rsidR="004E4F59" w:rsidRPr="003356BD" w:rsidRDefault="006262EF" w:rsidP="004E4F59">
      <w:pPr>
        <w:rPr>
          <w:rFonts w:eastAsia="Calibri" w:cs="Arial"/>
        </w:rPr>
      </w:pPr>
      <w:r>
        <w:rPr>
          <w:rFonts w:eastAsia="Calibri" w:cs="Arial"/>
        </w:rPr>
        <w:t>No, i</w:t>
      </w:r>
      <w:r w:rsidRPr="0068309A">
        <w:rPr>
          <w:rFonts w:eastAsia="Calibri" w:cs="Arial"/>
        </w:rPr>
        <w:t xml:space="preserve">f a group of organisations wish to partner to deliver Navigator in an Area, one organisation </w:t>
      </w:r>
      <w:r w:rsidRPr="002B1BE9">
        <w:rPr>
          <w:rFonts w:eastAsia="Calibri" w:cs="Arial"/>
        </w:rPr>
        <w:t>must be nominated as the lead organisation.</w:t>
      </w:r>
    </w:p>
    <w:p w14:paraId="1AEB157B" w14:textId="7315FEB2" w:rsidR="00F12748" w:rsidRDefault="00F12748" w:rsidP="00F12748">
      <w:pPr>
        <w:rPr>
          <w:rFonts w:eastAsiaTheme="majorEastAsia"/>
          <w:b/>
          <w:color w:val="E25205" w:themeColor="accent1"/>
          <w:szCs w:val="22"/>
          <w:lang w:val="en-AU"/>
        </w:rPr>
      </w:pPr>
      <w:r w:rsidRPr="00F12748">
        <w:rPr>
          <w:rFonts w:eastAsiaTheme="majorEastAsia"/>
          <w:b/>
          <w:color w:val="E25205" w:themeColor="accent1"/>
          <w:szCs w:val="22"/>
          <w:lang w:val="en-AU"/>
        </w:rPr>
        <w:t xml:space="preserve">Is CPI applied to the total funding amount/contract each year? </w:t>
      </w:r>
    </w:p>
    <w:p w14:paraId="0A04A1F1" w14:textId="2049AB4A" w:rsidR="00F12748" w:rsidRPr="00F12748" w:rsidRDefault="00F12748" w:rsidP="00F12748">
      <w:pPr>
        <w:rPr>
          <w:rStyle w:val="PageNumber"/>
          <w:rFonts w:eastAsia="Calibri" w:cstheme="minorHAnsi"/>
        </w:rPr>
      </w:pPr>
      <w:r w:rsidRPr="00F12748">
        <w:rPr>
          <w:rStyle w:val="PageNumber"/>
          <w:rFonts w:eastAsia="Calibri" w:cstheme="minorHAnsi"/>
        </w:rPr>
        <w:t>No,</w:t>
      </w:r>
      <w:r>
        <w:rPr>
          <w:rStyle w:val="PageNumber"/>
          <w:rFonts w:eastAsia="Calibri" w:cstheme="minorHAnsi"/>
        </w:rPr>
        <w:t xml:space="preserve"> a set </w:t>
      </w:r>
      <w:r w:rsidRPr="00F12748">
        <w:rPr>
          <w:rStyle w:val="PageNumber"/>
          <w:rFonts w:eastAsia="Calibri" w:cstheme="minorHAnsi"/>
        </w:rPr>
        <w:t xml:space="preserve">annual funding amount is </w:t>
      </w:r>
      <w:r>
        <w:rPr>
          <w:rStyle w:val="PageNumber"/>
          <w:rFonts w:eastAsia="Calibri" w:cstheme="minorHAnsi"/>
        </w:rPr>
        <w:t>provided (</w:t>
      </w:r>
      <w:r w:rsidRPr="00F12748">
        <w:rPr>
          <w:rStyle w:val="PageNumber"/>
          <w:rFonts w:eastAsia="Calibri" w:cstheme="minorHAnsi"/>
        </w:rPr>
        <w:t>as listed in the</w:t>
      </w:r>
      <w:r>
        <w:rPr>
          <w:rStyle w:val="PageNumber"/>
          <w:rFonts w:eastAsia="Calibri" w:cstheme="minorHAnsi"/>
        </w:rPr>
        <w:t>se</w:t>
      </w:r>
      <w:r w:rsidRPr="00F12748">
        <w:rPr>
          <w:rStyle w:val="PageNumber"/>
          <w:rFonts w:eastAsia="Calibri" w:cstheme="minorHAnsi"/>
        </w:rPr>
        <w:t xml:space="preserve"> application documents</w:t>
      </w:r>
      <w:r>
        <w:rPr>
          <w:rStyle w:val="PageNumber"/>
          <w:rFonts w:eastAsia="Calibri" w:cstheme="minorHAnsi"/>
        </w:rPr>
        <w:t>).</w:t>
      </w:r>
    </w:p>
    <w:p w14:paraId="47A3BE70" w14:textId="2B4871CD" w:rsidR="00F12748" w:rsidRPr="00F12748" w:rsidRDefault="00F12748" w:rsidP="00F12748">
      <w:pPr>
        <w:rPr>
          <w:rFonts w:eastAsiaTheme="majorEastAsia"/>
          <w:b/>
          <w:color w:val="E25205" w:themeColor="accent1"/>
          <w:szCs w:val="22"/>
          <w:lang w:val="en-AU"/>
        </w:rPr>
      </w:pPr>
      <w:r w:rsidRPr="00F12748">
        <w:rPr>
          <w:rFonts w:eastAsiaTheme="majorEastAsia"/>
          <w:b/>
          <w:color w:val="E25205" w:themeColor="accent1"/>
          <w:szCs w:val="22"/>
          <w:lang w:val="en-AU"/>
        </w:rPr>
        <w:t xml:space="preserve">Is a copy of the ‘Entry survey’ able to be provided ? We would like to be able to view this to see what it covers to be able to determine what our initial assessment response will look like.  </w:t>
      </w:r>
    </w:p>
    <w:p w14:paraId="07161075" w14:textId="557D0D88" w:rsidR="00163E26" w:rsidRPr="00F12748" w:rsidRDefault="00F12748" w:rsidP="00F12748">
      <w:pPr>
        <w:rPr>
          <w:rStyle w:val="PageNumber"/>
          <w:rFonts w:eastAsia="Calibri" w:cstheme="minorHAnsi"/>
        </w:rPr>
      </w:pPr>
      <w:r w:rsidRPr="00F12748">
        <w:rPr>
          <w:rStyle w:val="PageNumber"/>
          <w:rFonts w:eastAsia="Calibri" w:cstheme="minorHAnsi"/>
        </w:rPr>
        <w:t>The</w:t>
      </w:r>
      <w:r>
        <w:rPr>
          <w:rStyle w:val="PageNumber"/>
          <w:rFonts w:eastAsia="Calibri" w:cstheme="minorHAnsi"/>
        </w:rPr>
        <w:t xml:space="preserve"> Entry Survey is a data collection survey that is used to measure</w:t>
      </w:r>
      <w:r w:rsidR="00244560">
        <w:rPr>
          <w:rStyle w:val="PageNumber"/>
          <w:rFonts w:eastAsia="Calibri" w:cstheme="minorHAnsi"/>
        </w:rPr>
        <w:t xml:space="preserve"> baseline measures </w:t>
      </w:r>
      <w:r>
        <w:rPr>
          <w:rStyle w:val="PageNumber"/>
          <w:rFonts w:eastAsia="Calibri" w:cstheme="minorHAnsi"/>
        </w:rPr>
        <w:t xml:space="preserve">and cannot be shared at this stage. It is a </w:t>
      </w:r>
      <w:r w:rsidR="00163E26">
        <w:rPr>
          <w:rStyle w:val="PageNumber"/>
          <w:rFonts w:eastAsia="Calibri" w:cstheme="minorHAnsi"/>
        </w:rPr>
        <w:t>required</w:t>
      </w:r>
      <w:r>
        <w:rPr>
          <w:rStyle w:val="PageNumber"/>
          <w:rFonts w:eastAsia="Calibri" w:cstheme="minorHAnsi"/>
        </w:rPr>
        <w:t xml:space="preserve"> </w:t>
      </w:r>
      <w:r w:rsidR="00163E26">
        <w:rPr>
          <w:rStyle w:val="PageNumber"/>
          <w:rFonts w:eastAsia="Calibri" w:cstheme="minorHAnsi"/>
        </w:rPr>
        <w:t>data collection</w:t>
      </w:r>
      <w:r>
        <w:rPr>
          <w:rStyle w:val="PageNumber"/>
          <w:rFonts w:eastAsia="Calibri" w:cstheme="minorHAnsi"/>
        </w:rPr>
        <w:t xml:space="preserve"> </w:t>
      </w:r>
      <w:r w:rsidR="00163E26">
        <w:rPr>
          <w:rStyle w:val="PageNumber"/>
          <w:rFonts w:eastAsia="Calibri" w:cstheme="minorHAnsi"/>
        </w:rPr>
        <w:t xml:space="preserve">document, </w:t>
      </w:r>
      <w:r>
        <w:rPr>
          <w:rStyle w:val="PageNumber"/>
          <w:rFonts w:eastAsia="Calibri" w:cstheme="minorHAnsi"/>
        </w:rPr>
        <w:t>but</w:t>
      </w:r>
      <w:r w:rsidR="00163E26">
        <w:rPr>
          <w:rStyle w:val="PageNumber"/>
          <w:rFonts w:eastAsia="Calibri" w:cstheme="minorHAnsi"/>
        </w:rPr>
        <w:t xml:space="preserve"> it</w:t>
      </w:r>
      <w:r>
        <w:rPr>
          <w:rStyle w:val="PageNumber"/>
          <w:rFonts w:eastAsia="Calibri" w:cstheme="minorHAnsi"/>
        </w:rPr>
        <w:t xml:space="preserve"> does not link to or inform the Intake and Assessment phase</w:t>
      </w:r>
      <w:r w:rsidR="00163E26">
        <w:rPr>
          <w:rStyle w:val="PageNumber"/>
          <w:rFonts w:eastAsia="Calibri" w:cstheme="minorHAnsi"/>
        </w:rPr>
        <w:t xml:space="preserve">, nor does it </w:t>
      </w:r>
      <w:r>
        <w:rPr>
          <w:rStyle w:val="PageNumber"/>
          <w:rFonts w:eastAsia="Calibri" w:cstheme="minorHAnsi"/>
        </w:rPr>
        <w:t xml:space="preserve">elicit information about how to support the young person in their Navigator journey. </w:t>
      </w:r>
      <w:r w:rsidR="00163E26">
        <w:rPr>
          <w:rStyle w:val="PageNumber"/>
          <w:rFonts w:eastAsia="Calibri" w:cstheme="minorHAnsi"/>
        </w:rPr>
        <w:t xml:space="preserve">Applicants should determine what their initial assessment response should be, as this </w:t>
      </w:r>
      <w:r w:rsidR="00244560">
        <w:rPr>
          <w:rStyle w:val="PageNumber"/>
          <w:rFonts w:eastAsia="Calibri" w:cstheme="minorHAnsi"/>
        </w:rPr>
        <w:t>won’t</w:t>
      </w:r>
      <w:r w:rsidR="00163E26">
        <w:rPr>
          <w:rStyle w:val="PageNumber"/>
          <w:rFonts w:eastAsia="Calibri" w:cstheme="minorHAnsi"/>
        </w:rPr>
        <w:t xml:space="preserve"> be informed by the Entry survey at all. </w:t>
      </w:r>
    </w:p>
    <w:p w14:paraId="545F2709" w14:textId="0E45487D" w:rsidR="00F12748" w:rsidRDefault="00F12748" w:rsidP="00F12748">
      <w:pPr>
        <w:rPr>
          <w:rFonts w:eastAsiaTheme="majorEastAsia"/>
          <w:b/>
          <w:color w:val="E25205" w:themeColor="accent1"/>
          <w:szCs w:val="22"/>
          <w:lang w:val="en-AU"/>
        </w:rPr>
      </w:pPr>
      <w:r w:rsidRPr="00F12748">
        <w:rPr>
          <w:rFonts w:eastAsiaTheme="majorEastAsia"/>
          <w:b/>
          <w:color w:val="E25205" w:themeColor="accent1"/>
          <w:szCs w:val="22"/>
          <w:lang w:val="en-AU"/>
        </w:rPr>
        <w:t>Can a copy of the draft contract be provided?</w:t>
      </w:r>
    </w:p>
    <w:p w14:paraId="518D0506" w14:textId="5584AE1F" w:rsidR="00163E26" w:rsidRPr="00163E26" w:rsidRDefault="00163E26" w:rsidP="00BD1E03">
      <w:pPr>
        <w:rPr>
          <w:rFonts w:eastAsiaTheme="majorEastAsia"/>
          <w:b/>
          <w:color w:val="E25205" w:themeColor="accent1"/>
          <w:szCs w:val="22"/>
          <w:lang w:val="en-AU"/>
        </w:rPr>
      </w:pPr>
      <w:r w:rsidRPr="00163E26">
        <w:rPr>
          <w:rStyle w:val="PageNumber"/>
          <w:rFonts w:eastAsia="Calibri" w:cstheme="minorHAnsi"/>
        </w:rPr>
        <w:t>Contracts are based on the V</w:t>
      </w:r>
      <w:r>
        <w:rPr>
          <w:rStyle w:val="PageNumber"/>
          <w:rFonts w:eastAsia="Calibri" w:cstheme="minorHAnsi"/>
        </w:rPr>
        <w:t xml:space="preserve">ictorian Common Funding Agreement – for more information please see </w:t>
      </w:r>
      <w:hyperlink r:id="rId20" w:history="1">
        <w:r w:rsidR="00753265">
          <w:rPr>
            <w:rStyle w:val="Hyperlink"/>
          </w:rPr>
          <w:t>https://www.vic.gov.au/victorian-common-funding-agreement</w:t>
        </w:r>
      </w:hyperlink>
      <w:r w:rsidR="00753265">
        <w:t xml:space="preserve"> </w:t>
      </w:r>
    </w:p>
    <w:p w14:paraId="0A794854" w14:textId="77777777" w:rsidR="00812D74" w:rsidRPr="00812D74" w:rsidRDefault="00812D74" w:rsidP="00812D74">
      <w:pPr>
        <w:spacing w:after="0"/>
        <w:jc w:val="both"/>
        <w:rPr>
          <w:rFonts w:eastAsia="Times New Roman"/>
          <w:lang w:eastAsia="en-AU"/>
        </w:rPr>
      </w:pPr>
    </w:p>
    <w:p w14:paraId="49EA8087" w14:textId="2610E18B" w:rsidR="00812D74" w:rsidRPr="00812D74" w:rsidRDefault="00812D74" w:rsidP="00BD1E03">
      <w:pPr>
        <w:rPr>
          <w:rFonts w:eastAsiaTheme="majorEastAsia" w:cstheme="minorHAnsi"/>
          <w:b/>
          <w:color w:val="E25205" w:themeColor="accent1"/>
          <w:szCs w:val="22"/>
          <w:lang w:val="en-AU"/>
        </w:rPr>
      </w:pPr>
    </w:p>
    <w:sectPr w:rsidR="00812D74" w:rsidRPr="00812D74" w:rsidSect="00923EAA">
      <w:headerReference w:type="even" r:id="rId21"/>
      <w:headerReference w:type="default" r:id="rId22"/>
      <w:footerReference w:type="even" r:id="rId23"/>
      <w:footerReference w:type="default" r:id="rId24"/>
      <w:headerReference w:type="first" r:id="rId25"/>
      <w:footerReference w:type="first" r:id="rId26"/>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3BC8" w14:textId="77777777" w:rsidR="00923EAA" w:rsidRDefault="00923EAA" w:rsidP="003967DD">
      <w:pPr>
        <w:spacing w:after="0"/>
      </w:pPr>
      <w:r>
        <w:separator/>
      </w:r>
    </w:p>
  </w:endnote>
  <w:endnote w:type="continuationSeparator" w:id="0">
    <w:p w14:paraId="3CD66E97" w14:textId="77777777" w:rsidR="00923EAA" w:rsidRDefault="00923EAA" w:rsidP="003967DD">
      <w:pPr>
        <w:spacing w:after="0"/>
      </w:pPr>
      <w:r>
        <w:continuationSeparator/>
      </w:r>
    </w:p>
  </w:endnote>
  <w:endnote w:type="continuationNotice" w:id="1">
    <w:p w14:paraId="5E4F2A24" w14:textId="77777777" w:rsidR="00923EAA" w:rsidRDefault="00923E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832B" w14:textId="77777777" w:rsidR="00923EAA" w:rsidRDefault="00923EAA" w:rsidP="003967DD">
      <w:pPr>
        <w:spacing w:after="0"/>
      </w:pPr>
      <w:r>
        <w:separator/>
      </w:r>
    </w:p>
  </w:footnote>
  <w:footnote w:type="continuationSeparator" w:id="0">
    <w:p w14:paraId="7DE54BBC" w14:textId="77777777" w:rsidR="00923EAA" w:rsidRDefault="00923EAA" w:rsidP="003967DD">
      <w:pPr>
        <w:spacing w:after="0"/>
      </w:pPr>
      <w:r>
        <w:continuationSeparator/>
      </w:r>
    </w:p>
  </w:footnote>
  <w:footnote w:type="continuationNotice" w:id="1">
    <w:p w14:paraId="2D9C0CE2" w14:textId="77777777" w:rsidR="00923EAA" w:rsidRDefault="00923E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CB572F"/>
    <w:multiLevelType w:val="hybridMultilevel"/>
    <w:tmpl w:val="CAC0A5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54C0FEB"/>
    <w:multiLevelType w:val="hybridMultilevel"/>
    <w:tmpl w:val="B624F140"/>
    <w:lvl w:ilvl="0" w:tplc="3BE8C79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C5839"/>
    <w:multiLevelType w:val="hybridMultilevel"/>
    <w:tmpl w:val="73FE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490880"/>
    <w:multiLevelType w:val="hybridMultilevel"/>
    <w:tmpl w:val="A7EA6B46"/>
    <w:lvl w:ilvl="0" w:tplc="99AE3814">
      <w:start w:val="12"/>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E165D4"/>
    <w:multiLevelType w:val="hybridMultilevel"/>
    <w:tmpl w:val="99025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D66E85"/>
    <w:multiLevelType w:val="multilevel"/>
    <w:tmpl w:val="53ECE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52D09"/>
    <w:multiLevelType w:val="hybridMultilevel"/>
    <w:tmpl w:val="C422C47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6BD80A8E"/>
    <w:multiLevelType w:val="hybridMultilevel"/>
    <w:tmpl w:val="2A742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6A65FF"/>
    <w:multiLevelType w:val="multilevel"/>
    <w:tmpl w:val="F6966E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98F3C33"/>
    <w:multiLevelType w:val="hybridMultilevel"/>
    <w:tmpl w:val="7288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610571"/>
    <w:multiLevelType w:val="hybridMultilevel"/>
    <w:tmpl w:val="79B80C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5"/>
  </w:num>
  <w:num w:numId="13" w16cid:durableId="1077093040">
    <w:abstractNumId w:val="21"/>
  </w:num>
  <w:num w:numId="14" w16cid:durableId="548568946">
    <w:abstractNumId w:val="22"/>
  </w:num>
  <w:num w:numId="15" w16cid:durableId="1307275789">
    <w:abstractNumId w:val="13"/>
  </w:num>
  <w:num w:numId="16" w16cid:durableId="1422794765">
    <w:abstractNumId w:val="18"/>
  </w:num>
  <w:num w:numId="17" w16cid:durableId="2083717576">
    <w:abstractNumId w:val="14"/>
  </w:num>
  <w:num w:numId="18" w16cid:durableId="221671895">
    <w:abstractNumId w:val="12"/>
  </w:num>
  <w:num w:numId="19" w16cid:durableId="602230300">
    <w:abstractNumId w:val="16"/>
  </w:num>
  <w:num w:numId="20" w16cid:durableId="1202090628">
    <w:abstractNumId w:val="24"/>
  </w:num>
  <w:num w:numId="21" w16cid:durableId="170682263">
    <w:abstractNumId w:val="19"/>
  </w:num>
  <w:num w:numId="22" w16cid:durableId="1066218520">
    <w:abstractNumId w:val="17"/>
  </w:num>
  <w:num w:numId="23" w16cid:durableId="905528200">
    <w:abstractNumId w:val="27"/>
  </w:num>
  <w:num w:numId="24" w16cid:durableId="1308243754">
    <w:abstractNumId w:val="26"/>
  </w:num>
  <w:num w:numId="25" w16cid:durableId="1860046425">
    <w:abstractNumId w:val="26"/>
  </w:num>
  <w:num w:numId="26" w16cid:durableId="2004354839">
    <w:abstractNumId w:val="23"/>
  </w:num>
  <w:num w:numId="27" w16cid:durableId="321273693">
    <w:abstractNumId w:val="20"/>
  </w:num>
  <w:num w:numId="28" w16cid:durableId="1883859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3804189">
    <w:abstractNumId w:val="24"/>
  </w:num>
  <w:num w:numId="30" w16cid:durableId="17022339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5FD"/>
    <w:rsid w:val="00011F31"/>
    <w:rsid w:val="00013339"/>
    <w:rsid w:val="000169DE"/>
    <w:rsid w:val="000209C7"/>
    <w:rsid w:val="000256E2"/>
    <w:rsid w:val="00030B65"/>
    <w:rsid w:val="0003427A"/>
    <w:rsid w:val="00071FD3"/>
    <w:rsid w:val="00073255"/>
    <w:rsid w:val="00080DA9"/>
    <w:rsid w:val="000861DD"/>
    <w:rsid w:val="000A272F"/>
    <w:rsid w:val="000A47D4"/>
    <w:rsid w:val="000A68FD"/>
    <w:rsid w:val="000A78C3"/>
    <w:rsid w:val="000C600E"/>
    <w:rsid w:val="000E2B8C"/>
    <w:rsid w:val="001003C3"/>
    <w:rsid w:val="00122369"/>
    <w:rsid w:val="00122CA8"/>
    <w:rsid w:val="001425AD"/>
    <w:rsid w:val="001435D4"/>
    <w:rsid w:val="00146C0B"/>
    <w:rsid w:val="00150E0F"/>
    <w:rsid w:val="00157212"/>
    <w:rsid w:val="0016287D"/>
    <w:rsid w:val="00163E26"/>
    <w:rsid w:val="00192418"/>
    <w:rsid w:val="001A6D9E"/>
    <w:rsid w:val="001B03CB"/>
    <w:rsid w:val="001C24E2"/>
    <w:rsid w:val="001D0D94"/>
    <w:rsid w:val="001D13F9"/>
    <w:rsid w:val="001D7A97"/>
    <w:rsid w:val="001F0A8F"/>
    <w:rsid w:val="001F39DD"/>
    <w:rsid w:val="00230E37"/>
    <w:rsid w:val="002338B1"/>
    <w:rsid w:val="002433B3"/>
    <w:rsid w:val="00244560"/>
    <w:rsid w:val="002512BE"/>
    <w:rsid w:val="00271294"/>
    <w:rsid w:val="00275FB8"/>
    <w:rsid w:val="002A4A96"/>
    <w:rsid w:val="002B1BE9"/>
    <w:rsid w:val="002D5D9D"/>
    <w:rsid w:val="002E3BED"/>
    <w:rsid w:val="002E7F94"/>
    <w:rsid w:val="002F41D7"/>
    <w:rsid w:val="002F6115"/>
    <w:rsid w:val="00312720"/>
    <w:rsid w:val="00326B4C"/>
    <w:rsid w:val="003356BD"/>
    <w:rsid w:val="0033675C"/>
    <w:rsid w:val="00343AFC"/>
    <w:rsid w:val="0034745C"/>
    <w:rsid w:val="00353F45"/>
    <w:rsid w:val="00372B4F"/>
    <w:rsid w:val="00387969"/>
    <w:rsid w:val="003967DD"/>
    <w:rsid w:val="003A1723"/>
    <w:rsid w:val="003A4C39"/>
    <w:rsid w:val="003B57FF"/>
    <w:rsid w:val="003F6F7E"/>
    <w:rsid w:val="0040349C"/>
    <w:rsid w:val="00407773"/>
    <w:rsid w:val="0042333B"/>
    <w:rsid w:val="00431FB6"/>
    <w:rsid w:val="00443E58"/>
    <w:rsid w:val="004476A4"/>
    <w:rsid w:val="004659DA"/>
    <w:rsid w:val="00485D50"/>
    <w:rsid w:val="004A2E74"/>
    <w:rsid w:val="004A550D"/>
    <w:rsid w:val="004B0F1C"/>
    <w:rsid w:val="004B2ED6"/>
    <w:rsid w:val="004C5072"/>
    <w:rsid w:val="004D74ED"/>
    <w:rsid w:val="004E4F59"/>
    <w:rsid w:val="004E7485"/>
    <w:rsid w:val="004F545C"/>
    <w:rsid w:val="00500ADA"/>
    <w:rsid w:val="0050431A"/>
    <w:rsid w:val="005049F3"/>
    <w:rsid w:val="00512BBA"/>
    <w:rsid w:val="00526599"/>
    <w:rsid w:val="005373A3"/>
    <w:rsid w:val="0054156E"/>
    <w:rsid w:val="0055146D"/>
    <w:rsid w:val="00553043"/>
    <w:rsid w:val="00555277"/>
    <w:rsid w:val="00555C51"/>
    <w:rsid w:val="00567CF0"/>
    <w:rsid w:val="00584366"/>
    <w:rsid w:val="005869FE"/>
    <w:rsid w:val="005A2C16"/>
    <w:rsid w:val="005A4F12"/>
    <w:rsid w:val="005B6898"/>
    <w:rsid w:val="005C46AE"/>
    <w:rsid w:val="005C6713"/>
    <w:rsid w:val="005D1C80"/>
    <w:rsid w:val="005D7568"/>
    <w:rsid w:val="005E0713"/>
    <w:rsid w:val="005E150C"/>
    <w:rsid w:val="00620F5D"/>
    <w:rsid w:val="00624A55"/>
    <w:rsid w:val="006262EF"/>
    <w:rsid w:val="006523D7"/>
    <w:rsid w:val="006671CE"/>
    <w:rsid w:val="006A1F8A"/>
    <w:rsid w:val="006A25AC"/>
    <w:rsid w:val="006B2A9C"/>
    <w:rsid w:val="006C45C0"/>
    <w:rsid w:val="006D6647"/>
    <w:rsid w:val="006E2B9A"/>
    <w:rsid w:val="006E75FB"/>
    <w:rsid w:val="00701AD0"/>
    <w:rsid w:val="00710951"/>
    <w:rsid w:val="00710CED"/>
    <w:rsid w:val="00735566"/>
    <w:rsid w:val="00737BDC"/>
    <w:rsid w:val="00753265"/>
    <w:rsid w:val="00767573"/>
    <w:rsid w:val="007901EF"/>
    <w:rsid w:val="007908A8"/>
    <w:rsid w:val="007A25F1"/>
    <w:rsid w:val="007A487D"/>
    <w:rsid w:val="007B1D54"/>
    <w:rsid w:val="007B556E"/>
    <w:rsid w:val="007B711F"/>
    <w:rsid w:val="007D3264"/>
    <w:rsid w:val="007D3E38"/>
    <w:rsid w:val="007D40FC"/>
    <w:rsid w:val="007D5697"/>
    <w:rsid w:val="007E48BA"/>
    <w:rsid w:val="007E6B4C"/>
    <w:rsid w:val="007E71DF"/>
    <w:rsid w:val="007E7831"/>
    <w:rsid w:val="00806147"/>
    <w:rsid w:val="008065DA"/>
    <w:rsid w:val="00812D74"/>
    <w:rsid w:val="00845A27"/>
    <w:rsid w:val="00857476"/>
    <w:rsid w:val="008706AB"/>
    <w:rsid w:val="00886970"/>
    <w:rsid w:val="00890680"/>
    <w:rsid w:val="0089072E"/>
    <w:rsid w:val="00892E24"/>
    <w:rsid w:val="008B0368"/>
    <w:rsid w:val="008B1737"/>
    <w:rsid w:val="008B2A5C"/>
    <w:rsid w:val="008B710C"/>
    <w:rsid w:val="008D49DA"/>
    <w:rsid w:val="008E19F8"/>
    <w:rsid w:val="008E395A"/>
    <w:rsid w:val="008F3D35"/>
    <w:rsid w:val="00917D4A"/>
    <w:rsid w:val="00920CCF"/>
    <w:rsid w:val="00923EAA"/>
    <w:rsid w:val="00934E38"/>
    <w:rsid w:val="00937514"/>
    <w:rsid w:val="00940872"/>
    <w:rsid w:val="00952690"/>
    <w:rsid w:val="00954B9A"/>
    <w:rsid w:val="00977269"/>
    <w:rsid w:val="0098451F"/>
    <w:rsid w:val="0099358C"/>
    <w:rsid w:val="009B5E89"/>
    <w:rsid w:val="009E653C"/>
    <w:rsid w:val="009F6A77"/>
    <w:rsid w:val="00A12F0A"/>
    <w:rsid w:val="00A31926"/>
    <w:rsid w:val="00A421A4"/>
    <w:rsid w:val="00A62C20"/>
    <w:rsid w:val="00A710DF"/>
    <w:rsid w:val="00AD7DD8"/>
    <w:rsid w:val="00AF29F6"/>
    <w:rsid w:val="00B00C71"/>
    <w:rsid w:val="00B17100"/>
    <w:rsid w:val="00B21562"/>
    <w:rsid w:val="00B3276F"/>
    <w:rsid w:val="00B448C1"/>
    <w:rsid w:val="00B47FF8"/>
    <w:rsid w:val="00B707D9"/>
    <w:rsid w:val="00B775D4"/>
    <w:rsid w:val="00B819D3"/>
    <w:rsid w:val="00B8432F"/>
    <w:rsid w:val="00BA0C49"/>
    <w:rsid w:val="00BA5296"/>
    <w:rsid w:val="00BC3C4A"/>
    <w:rsid w:val="00BD1E03"/>
    <w:rsid w:val="00BE037D"/>
    <w:rsid w:val="00BE1EF1"/>
    <w:rsid w:val="00C00A7E"/>
    <w:rsid w:val="00C129C7"/>
    <w:rsid w:val="00C31D11"/>
    <w:rsid w:val="00C539BB"/>
    <w:rsid w:val="00C75A5D"/>
    <w:rsid w:val="00CC5AA8"/>
    <w:rsid w:val="00CD5993"/>
    <w:rsid w:val="00CE7916"/>
    <w:rsid w:val="00D15F04"/>
    <w:rsid w:val="00D17E55"/>
    <w:rsid w:val="00D26D69"/>
    <w:rsid w:val="00D30B5C"/>
    <w:rsid w:val="00D33478"/>
    <w:rsid w:val="00D9777A"/>
    <w:rsid w:val="00DA2F7C"/>
    <w:rsid w:val="00DB67CE"/>
    <w:rsid w:val="00DC48EE"/>
    <w:rsid w:val="00DC4D0D"/>
    <w:rsid w:val="00DF6BAE"/>
    <w:rsid w:val="00DF757B"/>
    <w:rsid w:val="00E006D7"/>
    <w:rsid w:val="00E02AD0"/>
    <w:rsid w:val="00E0307A"/>
    <w:rsid w:val="00E279D4"/>
    <w:rsid w:val="00E335D6"/>
    <w:rsid w:val="00E34238"/>
    <w:rsid w:val="00E34263"/>
    <w:rsid w:val="00E34721"/>
    <w:rsid w:val="00E354FF"/>
    <w:rsid w:val="00E4317E"/>
    <w:rsid w:val="00E47519"/>
    <w:rsid w:val="00E5030B"/>
    <w:rsid w:val="00E64758"/>
    <w:rsid w:val="00E77EB9"/>
    <w:rsid w:val="00E84ABB"/>
    <w:rsid w:val="00E87E91"/>
    <w:rsid w:val="00E93BD2"/>
    <w:rsid w:val="00EA6CEE"/>
    <w:rsid w:val="00EB27D3"/>
    <w:rsid w:val="00EB4886"/>
    <w:rsid w:val="00EB68C7"/>
    <w:rsid w:val="00EB6BE5"/>
    <w:rsid w:val="00EF18C0"/>
    <w:rsid w:val="00EF38A8"/>
    <w:rsid w:val="00F12748"/>
    <w:rsid w:val="00F16E74"/>
    <w:rsid w:val="00F20CEC"/>
    <w:rsid w:val="00F3266A"/>
    <w:rsid w:val="00F40B45"/>
    <w:rsid w:val="00F5271F"/>
    <w:rsid w:val="00F610E0"/>
    <w:rsid w:val="00F64F33"/>
    <w:rsid w:val="00F72523"/>
    <w:rsid w:val="00F9069E"/>
    <w:rsid w:val="00F94715"/>
    <w:rsid w:val="00F95A7F"/>
    <w:rsid w:val="00FA0ADE"/>
    <w:rsid w:val="00FA19B4"/>
    <w:rsid w:val="00FA7829"/>
    <w:rsid w:val="00FB6189"/>
    <w:rsid w:val="00FF06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5C6713"/>
    <w:rPr>
      <w:sz w:val="16"/>
      <w:szCs w:val="16"/>
    </w:rPr>
  </w:style>
  <w:style w:type="paragraph" w:styleId="CommentText">
    <w:name w:val="annotation text"/>
    <w:basedOn w:val="Normal"/>
    <w:link w:val="CommentTextChar"/>
    <w:uiPriority w:val="99"/>
    <w:unhideWhenUsed/>
    <w:rsid w:val="005C6713"/>
    <w:rPr>
      <w:sz w:val="20"/>
      <w:szCs w:val="20"/>
    </w:rPr>
  </w:style>
  <w:style w:type="character" w:customStyle="1" w:styleId="CommentTextChar">
    <w:name w:val="Comment Text Char"/>
    <w:basedOn w:val="DefaultParagraphFont"/>
    <w:link w:val="CommentText"/>
    <w:uiPriority w:val="99"/>
    <w:rsid w:val="005C6713"/>
    <w:rPr>
      <w:sz w:val="20"/>
      <w:szCs w:val="20"/>
    </w:rPr>
  </w:style>
  <w:style w:type="paragraph" w:styleId="ListParagraph">
    <w:name w:val="List Paragraph"/>
    <w:basedOn w:val="Normal"/>
    <w:uiPriority w:val="34"/>
    <w:qFormat/>
    <w:rsid w:val="005C6713"/>
    <w:pPr>
      <w:spacing w:after="0"/>
      <w:ind w:left="720"/>
    </w:pPr>
    <w:rPr>
      <w:rFonts w:ascii="Calibri" w:hAnsi="Calibri" w:cs="Calibri"/>
      <w:szCs w:val="22"/>
      <w:lang w:val="en-AU"/>
    </w:rPr>
  </w:style>
  <w:style w:type="paragraph" w:styleId="Revision">
    <w:name w:val="Revision"/>
    <w:hidden/>
    <w:uiPriority w:val="99"/>
    <w:semiHidden/>
    <w:rsid w:val="005C6713"/>
    <w:rPr>
      <w:sz w:val="22"/>
    </w:rPr>
  </w:style>
  <w:style w:type="paragraph" w:styleId="CommentSubject">
    <w:name w:val="annotation subject"/>
    <w:basedOn w:val="CommentText"/>
    <w:next w:val="CommentText"/>
    <w:link w:val="CommentSubjectChar"/>
    <w:uiPriority w:val="99"/>
    <w:semiHidden/>
    <w:unhideWhenUsed/>
    <w:rsid w:val="00EB68C7"/>
    <w:rPr>
      <w:b/>
      <w:bCs/>
    </w:rPr>
  </w:style>
  <w:style w:type="character" w:customStyle="1" w:styleId="CommentSubjectChar">
    <w:name w:val="Comment Subject Char"/>
    <w:basedOn w:val="CommentTextChar"/>
    <w:link w:val="CommentSubject"/>
    <w:uiPriority w:val="99"/>
    <w:semiHidden/>
    <w:rsid w:val="00EB68C7"/>
    <w:rPr>
      <w:b/>
      <w:bCs/>
      <w:sz w:val="20"/>
      <w:szCs w:val="20"/>
    </w:rPr>
  </w:style>
  <w:style w:type="paragraph" w:styleId="NoSpacing">
    <w:name w:val="No Spacing"/>
    <w:basedOn w:val="Normal"/>
    <w:uiPriority w:val="1"/>
    <w:qFormat/>
    <w:rsid w:val="00737BDC"/>
    <w:pPr>
      <w:spacing w:after="0"/>
    </w:pPr>
    <w:rPr>
      <w:rFonts w:ascii="Calibri" w:hAnsi="Calibri" w:cs="Calibr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68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77065820">
      <w:bodyDiv w:val="1"/>
      <w:marLeft w:val="0"/>
      <w:marRight w:val="0"/>
      <w:marTop w:val="0"/>
      <w:marBottom w:val="0"/>
      <w:divBdr>
        <w:top w:val="none" w:sz="0" w:space="0" w:color="auto"/>
        <w:left w:val="none" w:sz="0" w:space="0" w:color="auto"/>
        <w:bottom w:val="none" w:sz="0" w:space="0" w:color="auto"/>
        <w:right w:val="none" w:sz="0" w:space="0" w:color="auto"/>
      </w:divBdr>
    </w:div>
    <w:div w:id="80809096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3039693">
      <w:bodyDiv w:val="1"/>
      <w:marLeft w:val="0"/>
      <w:marRight w:val="0"/>
      <w:marTop w:val="0"/>
      <w:marBottom w:val="0"/>
      <w:divBdr>
        <w:top w:val="none" w:sz="0" w:space="0" w:color="auto"/>
        <w:left w:val="none" w:sz="0" w:space="0" w:color="auto"/>
        <w:bottom w:val="none" w:sz="0" w:space="0" w:color="auto"/>
        <w:right w:val="none" w:sz="0" w:space="0" w:color="auto"/>
      </w:divBdr>
    </w:div>
    <w:div w:id="1520126089">
      <w:bodyDiv w:val="1"/>
      <w:marLeft w:val="0"/>
      <w:marRight w:val="0"/>
      <w:marTop w:val="0"/>
      <w:marBottom w:val="0"/>
      <w:divBdr>
        <w:top w:val="none" w:sz="0" w:space="0" w:color="auto"/>
        <w:left w:val="none" w:sz="0" w:space="0" w:color="auto"/>
        <w:bottom w:val="none" w:sz="0" w:space="0" w:color="auto"/>
        <w:right w:val="none" w:sz="0" w:space="0" w:color="auto"/>
      </w:divBdr>
    </w:div>
    <w:div w:id="1757288238">
      <w:bodyDiv w:val="1"/>
      <w:marLeft w:val="0"/>
      <w:marRight w:val="0"/>
      <w:marTop w:val="0"/>
      <w:marBottom w:val="0"/>
      <w:divBdr>
        <w:top w:val="none" w:sz="0" w:space="0" w:color="auto"/>
        <w:left w:val="none" w:sz="0" w:space="0" w:color="auto"/>
        <w:bottom w:val="none" w:sz="0" w:space="0" w:color="auto"/>
        <w:right w:val="none" w:sz="0" w:space="0" w:color="auto"/>
      </w:divBdr>
    </w:div>
    <w:div w:id="1799375069">
      <w:bodyDiv w:val="1"/>
      <w:marLeft w:val="0"/>
      <w:marRight w:val="0"/>
      <w:marTop w:val="0"/>
      <w:marBottom w:val="0"/>
      <w:divBdr>
        <w:top w:val="none" w:sz="0" w:space="0" w:color="auto"/>
        <w:left w:val="none" w:sz="0" w:space="0" w:color="auto"/>
        <w:bottom w:val="none" w:sz="0" w:space="0" w:color="auto"/>
        <w:right w:val="none" w:sz="0" w:space="0" w:color="auto"/>
      </w:divBdr>
    </w:div>
    <w:div w:id="1926066903">
      <w:bodyDiv w:val="1"/>
      <w:marLeft w:val="0"/>
      <w:marRight w:val="0"/>
      <w:marTop w:val="0"/>
      <w:marBottom w:val="0"/>
      <w:divBdr>
        <w:top w:val="none" w:sz="0" w:space="0" w:color="auto"/>
        <w:left w:val="none" w:sz="0" w:space="0" w:color="auto"/>
        <w:bottom w:val="none" w:sz="0" w:space="0" w:color="auto"/>
        <w:right w:val="none" w:sz="0" w:space="0" w:color="auto"/>
      </w:divBdr>
    </w:div>
    <w:div w:id="1986542689">
      <w:bodyDiv w:val="1"/>
      <w:marLeft w:val="0"/>
      <w:marRight w:val="0"/>
      <w:marTop w:val="0"/>
      <w:marBottom w:val="0"/>
      <w:divBdr>
        <w:top w:val="none" w:sz="0" w:space="0" w:color="auto"/>
        <w:left w:val="none" w:sz="0" w:space="0" w:color="auto"/>
        <w:bottom w:val="none" w:sz="0" w:space="0" w:color="auto"/>
        <w:right w:val="none" w:sz="0" w:space="0" w:color="auto"/>
      </w:divBdr>
    </w:div>
    <w:div w:id="203695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TTACHMENT%201%20-%20Program_Overview_and_Application_Information_OEM_WSW_Barwon_2024.docx" TargetMode="External"/><Relationship Id="rId18" Type="http://schemas.openxmlformats.org/officeDocument/2006/relationships/hyperlink" Target="https://aus01.safelinks.protection.outlook.com/?url=https%3A%2F%2Ffac.dffh.vic.gov.au%2Fvictorian-funding-requirements-service-children-fact-sheet&amp;data=05%7C01%7Cnavigator%40education.vic.gov.au%7C5cb28c5c22294303718508db319f465b%7Cd96cb3371a8744cfb69b3cec334a4c1f%7C0%7C0%7C638158332372324605%7CUnknown%7CTWFpbGZsb3d8eyJWIjoiMC4wLjAwMDAiLCJQIjoiV2luMzIiLCJBTiI6Ik1haWwiLCJXVCI6Mn0%3D%7C3000%7C%7C%7C&amp;sdata=qqjbEhyz%2BQFfWmUvBTsc4SZRNfzIVVrAE2Zs5gFRh4o%3D&amp;reserved=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ata.vic.gov.au/" TargetMode="External"/><Relationship Id="rId17" Type="http://schemas.openxmlformats.org/officeDocument/2006/relationships/hyperlink" Target="https://aus01.safelinks.protection.outlook.com/?url=http%3A%2F%2Fwww.oric.gov.au%2F&amp;data=05%7C01%7CFelicity.Jackson%40education.vic.gov.au%7C886c70b62d2a48e5601408da97924342%7Cd96cb3371a8744cfb69b3cec334a4c1f%7C0%7C0%7C637988951701899013%7CUnknown%7CTWFpbGZsb3d8eyJWIjoiMC4wLjAwMDAiLCJQIjoiV2luMzIiLCJBTiI6Ik1haWwiLCJXVCI6Mn0%3D%7C3000%7C%7C%7C&amp;sdata=K52fXI9f7vlh1N6sP%2FYx6dmOHGBkflCPJUI639jaPZU%3D&amp;reserved=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us01.safelinks.protection.outlook.com/?url=https%3A%2F%2Fonline.justice.vic.gov.au%2Fcav-clp%2Fsearch.doj&amp;data=05%7C01%7CFelicity.Jackson%40education.vic.gov.au%7C886c70b62d2a48e5601408da97924342%7Cd96cb3371a8744cfb69b3cec334a4c1f%7C0%7C0%7C637988951701899013%7CUnknown%7CTWFpbGZsb3d8eyJWIjoiMC4wLjAwMDAiLCJQIjoiV2luMzIiLCJBTiI6Ik1haWwiLCJXVCI6Mn0%3D%7C3000%7C%7C%7C&amp;sdata=Dqdz0%2FOkpzpF5ZGYR2kaLy5CHMbwW56Cr3%2FvoKIb6DA%3D&amp;reserved=0" TargetMode="External"/><Relationship Id="rId20" Type="http://schemas.openxmlformats.org/officeDocument/2006/relationships/hyperlink" Target="https://aus01.safelinks.protection.outlook.com/?url=https%3A%2F%2Fwww.vic.gov.au%2Fvictorian-common-funding-agreement&amp;data=05%7C01%7CFelicity.Jackson%40education.vic.gov.au%7C990c337fd1884a0d795e08db581e96ea%7Cd96cb3371a8744cfb69b3cec334a4c1f%7C0%7C0%7C638200660637253500%7CUnknown%7CTWFpbGZsb3d8eyJWIjoiMC4wLjAwMDAiLCJQIjoiV2luMzIiLCJBTiI6Ik1haWwiLCJXVCI6Mn0%3D%7C3000%7C%7C%7C&amp;sdata=gJqy8yUOXVMJ6l2BbFkS7BnelXJ66HKrX46o0YdOT4w%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Navigator_Operating_%20Guidelines_for_prospective_service_providers_2022.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us01.safelinks.protection.outlook.com/?url=https%3A%2F%2Fwww.consumer.vic.gov.au%2Fclubs-and-fundraising%2Fincorporated-associations%2Fsearch-for-an-incorporated-association&amp;data=05%7C01%7CFelicity.Jackson%40education.vic.gov.au%7C886c70b62d2a48e5601408da97924342%7Cd96cb3371a8744cfb69b3cec334a4c1f%7C0%7C0%7C637988951701742777%7CUnknown%7CTWFpbGZsb3d8eyJWIjoiMC4wLjAwMDAiLCJQIjoiV2luMzIiLCJBTiI6Ik1haWwiLCJXVCI6Mn0%3D%7C3000%7C%7C%7C&amp;sdata=2ah4sGHfCzQQlI77J10sZi53CGx7AnVAObjMl6QHyhE%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ac.dffh.vic.gov.au/victorian-funding-requirements-service-children-fact-she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asic.gov.au%2Fonline-services%2Fsearch-asics-registers%2F&amp;data=05%7C01%7CFelicity.Jackson%40education.vic.gov.au%7C886c70b62d2a48e5601408da97924342%7Cd96cb3371a8744cfb69b3cec334a4c1f%7C0%7C0%7C637988951701742777%7CUnknown%7CTWFpbGZsb3d8eyJWIjoiMC4wLjAwMDAiLCJQIjoiV2luMzIiLCJBTiI6Ik1haWwiLCJXVCI6Mn0%3D%7C3000%7C%7C%7C&amp;sdata=y1Y%2FtkR4F2zJhF5iaFMJ2DmXDxvKxKEaGGW%2FL1xeRho%3D&amp;reserved=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 xsi:nil="true"/>
    <hyperlink2 xmlns="76b566cd-adb9-46c2-964b-22eba181fd0b">
      <Url>https://www.schools.vic.gov.au/navigator-program?Redirect=1</Url>
      <Description>https://www.schools.vic.gov.au/navigator-program?Redirect=1</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76b566cd-adb9-46c2-964b-22eba181fd0b"/>
    <ds:schemaRef ds:uri="cb9114c1-daad-44dd-acad-30f4246641f2"/>
    <ds:schemaRef ds:uri="http://schemas.microsoft.com/sharepoint/v3"/>
  </ds:schemaRefs>
</ds:datastoreItem>
</file>

<file path=customXml/itemProps2.xml><?xml version="1.0" encoding="utf-8"?>
<ds:datastoreItem xmlns:ds="http://schemas.openxmlformats.org/officeDocument/2006/customXml" ds:itemID="{179DE793-FBD7-4777-B740-3D0BA792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5745</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Felicity Jackson</cp:lastModifiedBy>
  <cp:revision>5</cp:revision>
  <dcterms:created xsi:type="dcterms:W3CDTF">2024-04-30T02:48:00Z</dcterms:created>
  <dcterms:modified xsi:type="dcterms:W3CDTF">2024-04-30T02:49:00Z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MediaServiceImageTags">
    <vt:lpwstr/>
  </property>
  <property fmtid="{D5CDD505-2E9C-101B-9397-08002B2CF9AE}" pid="4" name="DET_EDRMS_RCS">
    <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UniqueId">
    <vt:lpwstr>{d45c2b1f-2728-4952-a14d-2c60c022ed52}</vt:lpwstr>
  </property>
  <property fmtid="{D5CDD505-2E9C-101B-9397-08002B2CF9AE}" pid="9" name="RecordPoint_ActiveItemWebId">
    <vt:lpwstr>{8f5b685d-58fd-461e-95d0-0d3a70e174a2}</vt:lpwstr>
  </property>
  <property fmtid="{D5CDD505-2E9C-101B-9397-08002B2CF9AE}" pid="10" name="RecordPoint_ActiveItemSiteId">
    <vt:lpwstr>{dc5a239e-ba74-426a-8f60-16f844554cc2}</vt:lpwstr>
  </property>
  <property fmtid="{D5CDD505-2E9C-101B-9397-08002B2CF9AE}" pid="11" name="RecordPoint_ActiveItemListId">
    <vt:lpwstr>{b0695e1d-acc6-4597-99fa-33cfd001b3e3}</vt:lpwstr>
  </property>
  <property fmtid="{D5CDD505-2E9C-101B-9397-08002B2CF9AE}" pid="12" name="RecordPoint_RecordNumberSubmitted">
    <vt:lpwstr>R20240702897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2024-03-25T16:06:18.5730569+11:00</vt:lpwstr>
  </property>
  <property fmtid="{D5CDD505-2E9C-101B-9397-08002B2CF9AE}" pid="17" name="DEECD_Author">
    <vt:lpwstr>94;#Education|5232e41c-5101-41fe-b638-7d41d1371531</vt:lpwstr>
  </property>
  <property fmtid="{D5CDD505-2E9C-101B-9397-08002B2CF9AE}" pid="18" name="ofbb8b9a280a423a91cf717fb81349cd">
    <vt:lpwstr>Education|5232e41c-5101-41fe-b638-7d41d1371531</vt:lpwstr>
  </property>
  <property fmtid="{D5CDD505-2E9C-101B-9397-08002B2CF9AE}" pid="19" name="a319977fc8504e09982f090ae1d7c602">
    <vt:lpwstr>Page|eb523acf-a821-456c-a76b-7607578309d7</vt:lpwstr>
  </property>
  <property fmtid="{D5CDD505-2E9C-101B-9397-08002B2CF9AE}" pid="20" name="DEECD_ItemType">
    <vt:lpwstr>101;#Page|eb523acf-a821-456c-a76b-7607578309d7</vt:lpwstr>
  </property>
</Properties>
</file>