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FC" w:rsidRPr="00341A5E" w:rsidRDefault="00ED38FC" w:rsidP="000C3293">
      <w:pPr>
        <w:spacing w:before="480"/>
        <w:rPr>
          <w:sz w:val="56"/>
          <w:szCs w:val="56"/>
        </w:rPr>
      </w:pPr>
      <w:r w:rsidRPr="00341A5E">
        <w:rPr>
          <w:sz w:val="56"/>
          <w:szCs w:val="56"/>
        </w:rPr>
        <w:t>Review of Quality Assurance in Victoria’s VET System:</w:t>
      </w:r>
    </w:p>
    <w:p w:rsidR="00115C7E" w:rsidRPr="00341A5E" w:rsidRDefault="00ED38FC" w:rsidP="00ED38FC">
      <w:pPr>
        <w:spacing w:before="120"/>
        <w:rPr>
          <w:i/>
          <w:sz w:val="56"/>
          <w:szCs w:val="56"/>
        </w:rPr>
        <w:sectPr w:rsidR="00115C7E" w:rsidRPr="00341A5E" w:rsidSect="00C73331">
          <w:headerReference w:type="default" r:id="rId9"/>
          <w:footerReference w:type="default" r:id="rId10"/>
          <w:footerReference w:type="first" r:id="rId11"/>
          <w:pgSz w:w="11906" w:h="16838"/>
          <w:pgMar w:top="1560" w:right="1274" w:bottom="1560" w:left="1418" w:header="1135" w:footer="716" w:gutter="0"/>
          <w:pgNumType w:start="0"/>
          <w:cols w:space="708"/>
          <w:titlePg/>
          <w:docGrid w:linePitch="360"/>
        </w:sectPr>
      </w:pPr>
      <w:r w:rsidRPr="00341A5E">
        <w:rPr>
          <w:i/>
          <w:sz w:val="56"/>
          <w:szCs w:val="56"/>
        </w:rPr>
        <w:t>Government Response</w:t>
      </w:r>
    </w:p>
    <w:p w:rsidR="00966213" w:rsidRDefault="00BD5868" w:rsidP="00FA2390">
      <w:pPr>
        <w:spacing w:after="180" w:line="280" w:lineRule="exact"/>
        <w:jc w:val="both"/>
        <w:rPr>
          <w:b/>
          <w:color w:val="002060"/>
        </w:rPr>
      </w:pPr>
      <w:r>
        <w:rPr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0FE407CC" wp14:editId="3A0BCDE3">
            <wp:simplePos x="0" y="0"/>
            <wp:positionH relativeFrom="column">
              <wp:posOffset>4311650</wp:posOffset>
            </wp:positionH>
            <wp:positionV relativeFrom="paragraph">
              <wp:posOffset>52070</wp:posOffset>
            </wp:positionV>
            <wp:extent cx="1518285" cy="1880870"/>
            <wp:effectExtent l="0" t="0" r="5715" b="5080"/>
            <wp:wrapThrough wrapText="bothSides">
              <wp:wrapPolygon edited="0">
                <wp:start x="0" y="0"/>
                <wp:lineTo x="0" y="21440"/>
                <wp:lineTo x="21410" y="21440"/>
                <wp:lineTo x="2141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213">
        <w:rPr>
          <w:b/>
          <w:color w:val="002060"/>
        </w:rPr>
        <w:t>A message from the Minister for Training and Skills</w:t>
      </w:r>
    </w:p>
    <w:p w:rsidR="00ED38FC" w:rsidRDefault="00ED38FC" w:rsidP="00B370F2">
      <w:pPr>
        <w:spacing w:after="180"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As part of our work to establish Victoria as The Education State, the Andrews Labor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Government is committed to making sure all Victorians are able to access quality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training to develop the skills they need for the job they want.</w:t>
      </w:r>
    </w:p>
    <w:p w:rsidR="00ED38FC" w:rsidRDefault="00ED38FC" w:rsidP="00B370F2">
      <w:pPr>
        <w:spacing w:after="180"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In recent years, student and employer confidence in the training system has suffered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due to some training providers failing to deliver quality training which costs students,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employers and the community time, money and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opportunities.</w:t>
      </w:r>
    </w:p>
    <w:p w:rsidR="00ED38FC" w:rsidRDefault="00ED38FC" w:rsidP="00B370F2">
      <w:pPr>
        <w:spacing w:after="180"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This is unacceptable. We need a strong training system that is focused on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developing job-ready skills that lead to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real jobs and industry productivity.</w:t>
      </w:r>
    </w:p>
    <w:p w:rsidR="00ED38FC" w:rsidRDefault="00ED38FC" w:rsidP="00B370F2">
      <w:pPr>
        <w:spacing w:after="180"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This is why the Andrews Government made a commitment before the 2014 election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to crack down on low quality training providers and build a training system that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better delivers the quality training Victorians need to get a job.</w:t>
      </w:r>
    </w:p>
    <w:p w:rsidR="00ED38FC" w:rsidRDefault="00ED38FC" w:rsidP="00B370F2">
      <w:pPr>
        <w:spacing w:after="180"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The Review of Quality Assurance in Victoria’s VET System is the first step towards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building a training system that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better protects the interests of students, supports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improved training quality and gives employers confidence in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the skills and expertise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of our workforce.</w:t>
      </w:r>
    </w:p>
    <w:p w:rsidR="00ED38FC" w:rsidRDefault="00ED38FC" w:rsidP="00B370F2">
      <w:pPr>
        <w:spacing w:after="180"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This work will feed into the broader work the Government is undertaking to create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a more sustainable training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system through the independent VET Funding Review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which will be finalised later this year.</w:t>
      </w:r>
    </w:p>
    <w:p w:rsidR="00ED38FC" w:rsidRDefault="00ED38FC" w:rsidP="00B370F2">
      <w:pPr>
        <w:spacing w:after="180"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The Review of Quality Assurance in Victoria’s VET system reveals there is an urgent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need to restore community-wide confidence in training and training providers, and I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am pleased to accept all the recommendations from this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review.</w:t>
      </w:r>
    </w:p>
    <w:p w:rsidR="00ED38FC" w:rsidRDefault="00ED38FC" w:rsidP="00B370F2">
      <w:pPr>
        <w:spacing w:after="180"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I look forward to working with training providers, students and industry to realise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these improvements. They will</w:t>
      </w:r>
      <w:r>
        <w:rPr>
          <w:sz w:val="20"/>
          <w:szCs w:val="20"/>
        </w:rPr>
        <w:t xml:space="preserve"> </w:t>
      </w:r>
      <w:r w:rsidRPr="00ED38FC">
        <w:rPr>
          <w:sz w:val="20"/>
          <w:szCs w:val="20"/>
        </w:rPr>
        <w:t>greatly benefit our state for the long-term.</w:t>
      </w:r>
    </w:p>
    <w:p w:rsidR="00ED38FC" w:rsidRPr="00ED38FC" w:rsidRDefault="00ED38FC" w:rsidP="00ED38FC">
      <w:pPr>
        <w:spacing w:line="280" w:lineRule="exact"/>
        <w:jc w:val="both"/>
        <w:rPr>
          <w:sz w:val="20"/>
          <w:szCs w:val="20"/>
        </w:rPr>
      </w:pPr>
    </w:p>
    <w:p w:rsidR="00ED38FC" w:rsidRPr="00ED38FC" w:rsidRDefault="00ED38FC" w:rsidP="00ED38FC">
      <w:pPr>
        <w:spacing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Hon. Steve Herbert MP</w:t>
      </w:r>
    </w:p>
    <w:p w:rsidR="00ED38FC" w:rsidRPr="00966213" w:rsidRDefault="00ED38FC" w:rsidP="00ED38FC">
      <w:pPr>
        <w:spacing w:line="280" w:lineRule="exact"/>
        <w:jc w:val="both"/>
        <w:rPr>
          <w:sz w:val="20"/>
          <w:szCs w:val="20"/>
        </w:rPr>
      </w:pPr>
      <w:r w:rsidRPr="00ED38FC">
        <w:rPr>
          <w:sz w:val="20"/>
          <w:szCs w:val="20"/>
        </w:rPr>
        <w:t>Minister for Training and Skills</w:t>
      </w:r>
    </w:p>
    <w:p w:rsidR="00966213" w:rsidRPr="00966213" w:rsidRDefault="00966213" w:rsidP="00A171AB">
      <w:pPr>
        <w:spacing w:line="280" w:lineRule="exact"/>
        <w:jc w:val="both"/>
        <w:rPr>
          <w:sz w:val="20"/>
          <w:szCs w:val="20"/>
        </w:rPr>
      </w:pPr>
    </w:p>
    <w:p w:rsidR="00966213" w:rsidRPr="00966213" w:rsidRDefault="00966213" w:rsidP="00966213">
      <w:pPr>
        <w:spacing w:line="280" w:lineRule="exact"/>
        <w:jc w:val="both"/>
        <w:rPr>
          <w:sz w:val="20"/>
          <w:szCs w:val="20"/>
        </w:rPr>
        <w:sectPr w:rsidR="00966213" w:rsidRPr="00966213" w:rsidSect="00C01D86">
          <w:footerReference w:type="first" r:id="rId13"/>
          <w:pgSz w:w="11906" w:h="16838"/>
          <w:pgMar w:top="1418" w:right="1274" w:bottom="1560" w:left="1418" w:header="1135" w:footer="716" w:gutter="0"/>
          <w:cols w:space="708"/>
          <w:titlePg/>
          <w:docGrid w:linePitch="360"/>
        </w:sectPr>
      </w:pPr>
    </w:p>
    <w:p w:rsidR="00E16925" w:rsidRDefault="00E16925" w:rsidP="00FA2390">
      <w:pPr>
        <w:spacing w:after="180" w:line="280" w:lineRule="exact"/>
        <w:jc w:val="both"/>
        <w:rPr>
          <w:b/>
          <w:color w:val="002060"/>
        </w:rPr>
      </w:pPr>
      <w:r>
        <w:rPr>
          <w:b/>
          <w:color w:val="002060"/>
        </w:rPr>
        <w:lastRenderedPageBreak/>
        <w:t>The Victorian VET System</w:t>
      </w:r>
    </w:p>
    <w:p w:rsidR="00A678B1" w:rsidRDefault="00A678B1" w:rsidP="00B370F2">
      <w:pPr>
        <w:spacing w:after="180" w:line="280" w:lineRule="exact"/>
        <w:jc w:val="both"/>
        <w:rPr>
          <w:sz w:val="20"/>
          <w:szCs w:val="20"/>
        </w:rPr>
      </w:pPr>
      <w:r w:rsidRPr="00A678B1">
        <w:rPr>
          <w:sz w:val="20"/>
          <w:szCs w:val="20"/>
        </w:rPr>
        <w:t>The Victorian Government invests $1.2 billion each year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to deliver subsidised vocational education and training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(VET) to eligible individuals. Eligible Victorians can currently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access their government funded training entitlement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at 500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contracted registered training organisations (RTOs). Eligibility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for subsidised training is based on factors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such as an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individual’s prior qualifications and age.</w:t>
      </w:r>
    </w:p>
    <w:p w:rsidR="00A678B1" w:rsidRDefault="00A678B1" w:rsidP="00B370F2">
      <w:pPr>
        <w:spacing w:after="180" w:line="280" w:lineRule="exact"/>
        <w:jc w:val="both"/>
        <w:rPr>
          <w:sz w:val="20"/>
          <w:szCs w:val="20"/>
        </w:rPr>
      </w:pPr>
      <w:r w:rsidRPr="00A678B1">
        <w:rPr>
          <w:sz w:val="20"/>
          <w:szCs w:val="20"/>
        </w:rPr>
        <w:t>The Victorian training system is large and diverse. About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half of Victoria’s training providers have contracts with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Government, and they deliver the vast majority of nationally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recognised training across the state. In 2014,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approximately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260,000 students commenced 340,000 government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funded training courses across 1,058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qualifications.</w:t>
      </w:r>
    </w:p>
    <w:p w:rsidR="00486479" w:rsidRDefault="00A678B1" w:rsidP="00B370F2">
      <w:pPr>
        <w:spacing w:after="180" w:line="280" w:lineRule="exact"/>
        <w:jc w:val="both"/>
        <w:rPr>
          <w:sz w:val="20"/>
          <w:szCs w:val="20"/>
        </w:rPr>
      </w:pPr>
      <w:r w:rsidRPr="00A678B1">
        <w:rPr>
          <w:sz w:val="20"/>
          <w:szCs w:val="20"/>
        </w:rPr>
        <w:t>Of the 500 contracted training providers, 81 per cent are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small, with fewer than 1,000 annual enrolments, while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20 providers—of which 15 are publicly owned and five</w:t>
      </w:r>
      <w:r>
        <w:rPr>
          <w:sz w:val="20"/>
          <w:szCs w:val="20"/>
        </w:rPr>
        <w:t xml:space="preserve"> </w:t>
      </w:r>
      <w:r w:rsidRPr="00A678B1">
        <w:rPr>
          <w:sz w:val="20"/>
          <w:szCs w:val="20"/>
        </w:rPr>
        <w:t>privately—are very large, with over 5,000 students.</w:t>
      </w:r>
    </w:p>
    <w:p w:rsidR="001832AD" w:rsidRDefault="001832AD" w:rsidP="00B370F2">
      <w:pPr>
        <w:spacing w:before="240" w:after="180" w:line="280" w:lineRule="exact"/>
        <w:jc w:val="both"/>
        <w:rPr>
          <w:b/>
          <w:color w:val="002060"/>
        </w:rPr>
      </w:pPr>
      <w:r>
        <w:rPr>
          <w:b/>
          <w:color w:val="002060"/>
        </w:rPr>
        <w:t xml:space="preserve">VET in Victoria: </w:t>
      </w:r>
      <w:r w:rsidR="00567EBA">
        <w:rPr>
          <w:b/>
          <w:color w:val="002060"/>
        </w:rPr>
        <w:t xml:space="preserve">challenges to </w:t>
      </w:r>
      <w:r>
        <w:rPr>
          <w:b/>
          <w:color w:val="002060"/>
        </w:rPr>
        <w:t>quality</w:t>
      </w:r>
    </w:p>
    <w:p w:rsidR="00B549E2" w:rsidRDefault="00B549E2" w:rsidP="00B370F2">
      <w:pPr>
        <w:spacing w:after="180" w:line="280" w:lineRule="exact"/>
        <w:jc w:val="both"/>
        <w:rPr>
          <w:sz w:val="20"/>
          <w:szCs w:val="20"/>
        </w:rPr>
      </w:pPr>
      <w:r w:rsidRPr="00B549E2">
        <w:rPr>
          <w:sz w:val="20"/>
          <w:szCs w:val="20"/>
        </w:rPr>
        <w:t>Victoria’s training system has experienced instability and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uncertainty over the past few years, which has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impacted on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training quality.</w:t>
      </w:r>
    </w:p>
    <w:p w:rsidR="00B549E2" w:rsidRDefault="00B549E2" w:rsidP="00B370F2">
      <w:pPr>
        <w:spacing w:after="180" w:line="280" w:lineRule="exact"/>
        <w:jc w:val="both"/>
        <w:rPr>
          <w:sz w:val="20"/>
          <w:szCs w:val="20"/>
        </w:rPr>
      </w:pPr>
      <w:r w:rsidRPr="00B549E2">
        <w:rPr>
          <w:sz w:val="20"/>
          <w:szCs w:val="20"/>
        </w:rPr>
        <w:t>Whilst we have many excellent training providers, VET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students and employers have reported a range of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problems.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These include aggressive and exploitative marketing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practices, students being enrolled in unsuitable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qualifications,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questionable training delivery practices and serious financial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and behavioural misconduct.</w:t>
      </w:r>
    </w:p>
    <w:p w:rsidR="00A42CD1" w:rsidRDefault="00B549E2" w:rsidP="00B370F2">
      <w:pPr>
        <w:spacing w:after="180" w:line="280" w:lineRule="exact"/>
        <w:jc w:val="both"/>
        <w:rPr>
          <w:sz w:val="20"/>
          <w:szCs w:val="20"/>
        </w:rPr>
      </w:pPr>
      <w:r w:rsidRPr="00B549E2">
        <w:rPr>
          <w:sz w:val="20"/>
          <w:szCs w:val="20"/>
        </w:rPr>
        <w:t>These practices harm training quality, which means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students’ time, effort and money is wasted. They damage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the credibility of the VET sector, undermining employers’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confidence and the confidence of the graduates it produces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which harms high quality providers – both public and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private.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Along with the current VET Funding Review led</w:t>
      </w:r>
      <w:r>
        <w:rPr>
          <w:sz w:val="20"/>
          <w:szCs w:val="20"/>
        </w:rPr>
        <w:t xml:space="preserve"> by Mr Bruce Mackenzie </w:t>
      </w:r>
      <w:r w:rsidRPr="00B549E2">
        <w:rPr>
          <w:sz w:val="20"/>
          <w:szCs w:val="20"/>
        </w:rPr>
        <w:t>PSM, we have the opportunity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to reconsider how the training system can best position</w:t>
      </w:r>
      <w:r>
        <w:rPr>
          <w:sz w:val="20"/>
          <w:szCs w:val="20"/>
        </w:rPr>
        <w:t xml:space="preserve"> </w:t>
      </w:r>
      <w:r w:rsidRPr="00B549E2">
        <w:rPr>
          <w:sz w:val="20"/>
          <w:szCs w:val="20"/>
        </w:rPr>
        <w:t>Victoria to derive social and economic value from VET.</w:t>
      </w:r>
    </w:p>
    <w:p w:rsidR="00334DC9" w:rsidRPr="00334DC9" w:rsidRDefault="00334DC9" w:rsidP="00B370F2">
      <w:pPr>
        <w:spacing w:before="240" w:after="180" w:line="280" w:lineRule="exact"/>
        <w:jc w:val="both"/>
        <w:rPr>
          <w:b/>
          <w:color w:val="002060"/>
        </w:rPr>
      </w:pPr>
      <w:r w:rsidRPr="00334DC9">
        <w:rPr>
          <w:b/>
          <w:color w:val="002060"/>
        </w:rPr>
        <w:t>The Review</w:t>
      </w:r>
      <w:bookmarkStart w:id="0" w:name="_GoBack"/>
      <w:bookmarkEnd w:id="0"/>
    </w:p>
    <w:p w:rsidR="00334DC9" w:rsidRDefault="00334DC9" w:rsidP="00B370F2">
      <w:pPr>
        <w:spacing w:after="180" w:line="280" w:lineRule="exact"/>
        <w:jc w:val="both"/>
        <w:rPr>
          <w:sz w:val="20"/>
          <w:szCs w:val="20"/>
        </w:rPr>
      </w:pPr>
      <w:r w:rsidRPr="00334DC9">
        <w:rPr>
          <w:sz w:val="20"/>
          <w:szCs w:val="20"/>
        </w:rPr>
        <w:t>The Review of Quality Assurance examined significant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evidence, including student and employer surveys, training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delivery data, complaints, wide-ranging consultation with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VET stakeholders and other relevant information.</w:t>
      </w:r>
      <w:r>
        <w:rPr>
          <w:sz w:val="20"/>
          <w:szCs w:val="20"/>
        </w:rPr>
        <w:t xml:space="preserve"> </w:t>
      </w:r>
    </w:p>
    <w:p w:rsidR="00334DC9" w:rsidRDefault="00334DC9" w:rsidP="00B370F2">
      <w:pPr>
        <w:spacing w:after="180" w:line="280" w:lineRule="exact"/>
        <w:jc w:val="both"/>
        <w:rPr>
          <w:sz w:val="20"/>
          <w:szCs w:val="20"/>
        </w:rPr>
      </w:pPr>
      <w:r w:rsidRPr="00334DC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Review confirmed there is a widespread acknowledgement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that quality must be lifted, and there is enough data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confirm that training quality in Victoria is variable and the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problem is not small. Since November 2014 the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Victorian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Government has had to restore training entitlements to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10,000 students who received inadequate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government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funded training. Surveys reveal that student and employer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satisfaction with the quality of training in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Victoria has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declined overall.</w:t>
      </w:r>
    </w:p>
    <w:p w:rsidR="00334DC9" w:rsidRPr="00334DC9" w:rsidRDefault="00334DC9" w:rsidP="00334DC9">
      <w:pPr>
        <w:spacing w:after="120" w:line="280" w:lineRule="exact"/>
        <w:jc w:val="both"/>
        <w:rPr>
          <w:sz w:val="20"/>
          <w:szCs w:val="20"/>
        </w:rPr>
      </w:pPr>
      <w:r w:rsidRPr="00334DC9">
        <w:rPr>
          <w:sz w:val="20"/>
          <w:szCs w:val="20"/>
        </w:rPr>
        <w:t>This calls for a new, crucial and more active role for Victoria in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managing the quality of government funded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training across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the state. We will focus our effort across five key areas:</w:t>
      </w:r>
    </w:p>
    <w:p w:rsidR="00334DC9" w:rsidRPr="00334DC9" w:rsidRDefault="00334DC9" w:rsidP="00334DC9">
      <w:pPr>
        <w:pStyle w:val="ListParagraph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sz w:val="20"/>
          <w:szCs w:val="20"/>
        </w:rPr>
      </w:pPr>
      <w:r w:rsidRPr="00334DC9">
        <w:rPr>
          <w:sz w:val="20"/>
          <w:szCs w:val="20"/>
        </w:rPr>
        <w:t>an immediate targeted blitz on low quality providers;</w:t>
      </w:r>
    </w:p>
    <w:p w:rsidR="00334DC9" w:rsidRPr="00334DC9" w:rsidRDefault="00334DC9" w:rsidP="00334DC9">
      <w:pPr>
        <w:pStyle w:val="ListParagraph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sz w:val="20"/>
          <w:szCs w:val="20"/>
        </w:rPr>
      </w:pPr>
      <w:r w:rsidRPr="00334DC9">
        <w:rPr>
          <w:sz w:val="20"/>
          <w:szCs w:val="20"/>
        </w:rPr>
        <w:t>prioritising quality in determining eligibility to deliver government funded training;</w:t>
      </w:r>
    </w:p>
    <w:p w:rsidR="00334DC9" w:rsidRPr="00334DC9" w:rsidRDefault="00334DC9" w:rsidP="00334DC9">
      <w:pPr>
        <w:pStyle w:val="ListParagraph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sz w:val="20"/>
          <w:szCs w:val="20"/>
        </w:rPr>
      </w:pPr>
      <w:r w:rsidRPr="00334DC9">
        <w:rPr>
          <w:sz w:val="20"/>
          <w:szCs w:val="20"/>
        </w:rPr>
        <w:t>improving key factors in a student’s training experience, such as the duration of training and the skills and abilities of trainers;</w:t>
      </w:r>
    </w:p>
    <w:p w:rsidR="00334DC9" w:rsidRPr="00334DC9" w:rsidRDefault="00334DC9" w:rsidP="00334DC9">
      <w:pPr>
        <w:pStyle w:val="ListParagraph"/>
        <w:numPr>
          <w:ilvl w:val="0"/>
          <w:numId w:val="8"/>
        </w:numPr>
        <w:spacing w:after="60" w:line="280" w:lineRule="exact"/>
        <w:ind w:left="714" w:hanging="357"/>
        <w:contextualSpacing w:val="0"/>
        <w:jc w:val="both"/>
        <w:rPr>
          <w:sz w:val="20"/>
          <w:szCs w:val="20"/>
        </w:rPr>
      </w:pPr>
      <w:r w:rsidRPr="00334DC9">
        <w:rPr>
          <w:sz w:val="20"/>
          <w:szCs w:val="20"/>
        </w:rPr>
        <w:t>actively monitoring and managing the performance of contracted training providers; and</w:t>
      </w:r>
    </w:p>
    <w:p w:rsidR="00334DC9" w:rsidRDefault="00334DC9" w:rsidP="00334DC9">
      <w:pPr>
        <w:pStyle w:val="ListParagraph"/>
        <w:numPr>
          <w:ilvl w:val="0"/>
          <w:numId w:val="8"/>
        </w:numPr>
        <w:spacing w:line="280" w:lineRule="exact"/>
        <w:jc w:val="both"/>
        <w:rPr>
          <w:sz w:val="20"/>
          <w:szCs w:val="20"/>
        </w:rPr>
      </w:pPr>
      <w:r w:rsidRPr="00334DC9">
        <w:rPr>
          <w:sz w:val="20"/>
          <w:szCs w:val="20"/>
        </w:rPr>
        <w:t>empowering students and employers to drive quality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through informed choices and consumer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protection.</w:t>
      </w:r>
    </w:p>
    <w:p w:rsidR="00334DC9" w:rsidRPr="00334DC9" w:rsidRDefault="00334DC9" w:rsidP="00334DC9">
      <w:pPr>
        <w:spacing w:line="280" w:lineRule="exact"/>
        <w:jc w:val="both"/>
        <w:rPr>
          <w:sz w:val="20"/>
          <w:szCs w:val="20"/>
        </w:rPr>
        <w:sectPr w:rsidR="00334DC9" w:rsidRPr="00334DC9" w:rsidSect="00C01D86">
          <w:pgSz w:w="11906" w:h="16838"/>
          <w:pgMar w:top="1418" w:right="1274" w:bottom="1560" w:left="1418" w:header="567" w:footer="728" w:gutter="0"/>
          <w:cols w:space="708"/>
          <w:docGrid w:linePitch="360"/>
        </w:sectPr>
      </w:pPr>
      <w:r w:rsidRPr="00334DC9">
        <w:rPr>
          <w:sz w:val="20"/>
          <w:szCs w:val="20"/>
        </w:rPr>
        <w:lastRenderedPageBreak/>
        <w:t>This document provides an overview of how the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Government plans to implement the review’s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recommendations. For reference, the recommendations are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provided alongside the Government’s planned</w:t>
      </w:r>
      <w:r>
        <w:rPr>
          <w:sz w:val="20"/>
          <w:szCs w:val="20"/>
        </w:rPr>
        <w:t xml:space="preserve"> </w:t>
      </w:r>
      <w:r w:rsidRPr="00334DC9">
        <w:rPr>
          <w:sz w:val="20"/>
          <w:szCs w:val="20"/>
        </w:rPr>
        <w:t>actions.</w:t>
      </w:r>
    </w:p>
    <w:p w:rsidR="0027698F" w:rsidRPr="0017386F" w:rsidRDefault="0027698F" w:rsidP="0008403E">
      <w:pPr>
        <w:spacing w:after="180" w:line="280" w:lineRule="exact"/>
        <w:jc w:val="both"/>
        <w:rPr>
          <w:b/>
          <w:color w:val="002060"/>
        </w:rPr>
      </w:pPr>
      <w:r w:rsidRPr="0008403E">
        <w:rPr>
          <w:b/>
          <w:color w:val="002060"/>
          <w:sz w:val="24"/>
        </w:rPr>
        <w:lastRenderedPageBreak/>
        <w:t>Immediate response</w:t>
      </w:r>
    </w:p>
    <w:p w:rsidR="00057A37" w:rsidRPr="00060AFD" w:rsidRDefault="001003B3" w:rsidP="001003B3">
      <w:pPr>
        <w:spacing w:after="120" w:line="280" w:lineRule="exact"/>
        <w:jc w:val="both"/>
        <w:rPr>
          <w:sz w:val="20"/>
          <w:szCs w:val="20"/>
        </w:rPr>
      </w:pPr>
      <w:r w:rsidRPr="001003B3">
        <w:rPr>
          <w:sz w:val="20"/>
          <w:szCs w:val="20"/>
        </w:rPr>
        <w:t>The Government will start to address unacceptable</w:t>
      </w:r>
      <w:r>
        <w:rPr>
          <w:sz w:val="20"/>
          <w:szCs w:val="20"/>
        </w:rPr>
        <w:t xml:space="preserve"> </w:t>
      </w:r>
      <w:r w:rsidRPr="001003B3">
        <w:rPr>
          <w:sz w:val="20"/>
          <w:szCs w:val="20"/>
        </w:rPr>
        <w:t>behaviour among Victorian training providers straight</w:t>
      </w:r>
      <w:r>
        <w:rPr>
          <w:sz w:val="20"/>
          <w:szCs w:val="20"/>
        </w:rPr>
        <w:t xml:space="preserve"> </w:t>
      </w:r>
      <w:r w:rsidRPr="001003B3">
        <w:rPr>
          <w:sz w:val="20"/>
          <w:szCs w:val="20"/>
        </w:rPr>
        <w:t>away. We have provided an immediate injection of funds</w:t>
      </w:r>
      <w:r>
        <w:rPr>
          <w:sz w:val="20"/>
          <w:szCs w:val="20"/>
        </w:rPr>
        <w:t xml:space="preserve"> </w:t>
      </w:r>
      <w:r w:rsidRPr="001003B3">
        <w:rPr>
          <w:sz w:val="20"/>
          <w:szCs w:val="20"/>
        </w:rPr>
        <w:t>to target a range of compliance and conduct issues in the</w:t>
      </w:r>
      <w:r>
        <w:rPr>
          <w:sz w:val="20"/>
          <w:szCs w:val="20"/>
        </w:rPr>
        <w:t xml:space="preserve"> </w:t>
      </w:r>
      <w:r w:rsidRPr="001003B3">
        <w:rPr>
          <w:sz w:val="20"/>
          <w:szCs w:val="20"/>
        </w:rPr>
        <w:t>current system. While much of our forthcoming work aims</w:t>
      </w:r>
      <w:r>
        <w:rPr>
          <w:sz w:val="20"/>
          <w:szCs w:val="20"/>
        </w:rPr>
        <w:t xml:space="preserve"> </w:t>
      </w:r>
      <w:r w:rsidRPr="001003B3">
        <w:rPr>
          <w:sz w:val="20"/>
          <w:szCs w:val="20"/>
        </w:rPr>
        <w:t>to change provider practices over time, this immediate</w:t>
      </w:r>
      <w:r>
        <w:rPr>
          <w:sz w:val="20"/>
          <w:szCs w:val="20"/>
        </w:rPr>
        <w:t xml:space="preserve"> </w:t>
      </w:r>
      <w:r w:rsidRPr="001003B3">
        <w:rPr>
          <w:sz w:val="20"/>
          <w:szCs w:val="20"/>
        </w:rPr>
        <w:t>crackdown is an opportunity to clean up the sector and</w:t>
      </w:r>
      <w:r>
        <w:rPr>
          <w:sz w:val="20"/>
          <w:szCs w:val="20"/>
        </w:rPr>
        <w:t xml:space="preserve"> </w:t>
      </w:r>
      <w:r w:rsidRPr="001003B3">
        <w:rPr>
          <w:sz w:val="20"/>
          <w:szCs w:val="20"/>
        </w:rPr>
        <w:t>exclude low quality pr</w:t>
      </w:r>
      <w:r>
        <w:rPr>
          <w:sz w:val="20"/>
          <w:szCs w:val="20"/>
        </w:rPr>
        <w:t>oviders from government funding.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478BC" w:rsidRPr="00060AFD" w:rsidTr="006478BC">
        <w:tc>
          <w:tcPr>
            <w:tcW w:w="9923" w:type="dxa"/>
            <w:vAlign w:val="center"/>
          </w:tcPr>
          <w:p w:rsidR="006478BC" w:rsidRPr="00C46875" w:rsidRDefault="006478BC" w:rsidP="00C90180">
            <w:pPr>
              <w:spacing w:before="120" w:after="120" w:line="280" w:lineRule="atLeast"/>
              <w:ind w:left="-108"/>
              <w:jc w:val="both"/>
              <w:rPr>
                <w:b/>
              </w:rPr>
            </w:pPr>
            <w:r w:rsidRPr="00C46875">
              <w:rPr>
                <w:b/>
              </w:rPr>
              <w:t>Recommendation 10</w:t>
            </w:r>
          </w:p>
          <w:p w:rsidR="006478BC" w:rsidRPr="00060AFD" w:rsidRDefault="006478BC" w:rsidP="00C90180">
            <w:pPr>
              <w:spacing w:before="120" w:after="120" w:line="280" w:lineRule="atLeast"/>
              <w:ind w:left="-108"/>
              <w:jc w:val="both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Action</w:t>
            </w:r>
          </w:p>
        </w:tc>
      </w:tr>
      <w:tr w:rsidR="006478BC" w:rsidRPr="00060AFD" w:rsidTr="006478BC">
        <w:trPr>
          <w:trHeight w:val="89"/>
        </w:trPr>
        <w:tc>
          <w:tcPr>
            <w:tcW w:w="9923" w:type="dxa"/>
            <w:shd w:val="clear" w:color="auto" w:fill="DAEEF3" w:themeFill="accent5" w:themeFillTint="33"/>
            <w:vAlign w:val="center"/>
          </w:tcPr>
          <w:p w:rsidR="006478BC" w:rsidRDefault="006478BC" w:rsidP="00C46875">
            <w:pPr>
              <w:spacing w:before="120" w:after="80"/>
              <w:jc w:val="both"/>
              <w:rPr>
                <w:sz w:val="20"/>
                <w:szCs w:val="20"/>
              </w:rPr>
            </w:pPr>
            <w:r w:rsidRPr="00C46875">
              <w:rPr>
                <w:b/>
                <w:sz w:val="20"/>
                <w:szCs w:val="20"/>
              </w:rPr>
              <w:t>Immediately commence audit blitz of up to 50 contracted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875">
              <w:rPr>
                <w:b/>
                <w:sz w:val="20"/>
                <w:szCs w:val="20"/>
              </w:rPr>
              <w:t>training providers</w:t>
            </w:r>
            <w:r w:rsidRPr="00C46875">
              <w:rPr>
                <w:sz w:val="20"/>
                <w:szCs w:val="20"/>
              </w:rPr>
              <w:t xml:space="preserve">, targeting problem </w:t>
            </w:r>
            <w:r>
              <w:rPr>
                <w:sz w:val="20"/>
                <w:szCs w:val="20"/>
              </w:rPr>
              <w:t>areas, such as:</w:t>
            </w:r>
          </w:p>
          <w:p w:rsidR="006478BC" w:rsidRPr="000F73A6" w:rsidRDefault="006478BC" w:rsidP="00C46875">
            <w:pPr>
              <w:pStyle w:val="ListParagraph"/>
              <w:numPr>
                <w:ilvl w:val="0"/>
                <w:numId w:val="7"/>
              </w:numPr>
              <w:spacing w:before="80" w:after="40"/>
              <w:ind w:left="714" w:hanging="357"/>
              <w:contextualSpacing w:val="0"/>
              <w:jc w:val="both"/>
              <w:rPr>
                <w:b/>
                <w:sz w:val="20"/>
                <w:szCs w:val="20"/>
              </w:rPr>
            </w:pPr>
            <w:r w:rsidRPr="000F73A6">
              <w:rPr>
                <w:sz w:val="20"/>
                <w:szCs w:val="20"/>
              </w:rPr>
              <w:t>short duration courses,</w:t>
            </w:r>
          </w:p>
          <w:p w:rsidR="006478BC" w:rsidRPr="00C46875" w:rsidRDefault="006478BC" w:rsidP="00C46875">
            <w:pPr>
              <w:pStyle w:val="ListParagraph"/>
              <w:numPr>
                <w:ilvl w:val="0"/>
                <w:numId w:val="7"/>
              </w:numPr>
              <w:spacing w:before="80" w:after="40"/>
              <w:ind w:left="714" w:hanging="357"/>
              <w:contextualSpacing w:val="0"/>
              <w:jc w:val="both"/>
              <w:rPr>
                <w:sz w:val="20"/>
                <w:szCs w:val="20"/>
              </w:rPr>
            </w:pPr>
            <w:r w:rsidRPr="000F73A6">
              <w:rPr>
                <w:sz w:val="20"/>
                <w:szCs w:val="20"/>
              </w:rPr>
              <w:t>serious misconduct</w:t>
            </w:r>
            <w:r>
              <w:rPr>
                <w:sz w:val="20"/>
                <w:szCs w:val="20"/>
              </w:rPr>
              <w:t>, like exploitative marketing and fraudulent claims</w:t>
            </w:r>
          </w:p>
          <w:p w:rsidR="006478BC" w:rsidRPr="00C46875" w:rsidRDefault="006478BC" w:rsidP="00C46875">
            <w:pPr>
              <w:pStyle w:val="ListParagraph"/>
              <w:numPr>
                <w:ilvl w:val="0"/>
                <w:numId w:val="7"/>
              </w:numPr>
              <w:spacing w:before="80" w:after="40"/>
              <w:ind w:left="714" w:hanging="357"/>
              <w:contextualSpacing w:val="0"/>
              <w:jc w:val="both"/>
              <w:rPr>
                <w:sz w:val="20"/>
                <w:szCs w:val="20"/>
              </w:rPr>
            </w:pPr>
            <w:r w:rsidRPr="00C46875">
              <w:rPr>
                <w:sz w:val="20"/>
                <w:szCs w:val="20"/>
              </w:rPr>
              <w:t>courses where substandard training could represent high risk to students or the general public; and</w:t>
            </w:r>
          </w:p>
          <w:p w:rsidR="006478BC" w:rsidRPr="000F73A6" w:rsidRDefault="006478BC" w:rsidP="00C46875">
            <w:pPr>
              <w:pStyle w:val="ListParagraph"/>
              <w:numPr>
                <w:ilvl w:val="0"/>
                <w:numId w:val="7"/>
              </w:numPr>
              <w:spacing w:before="80" w:after="120"/>
              <w:ind w:left="714" w:hanging="357"/>
              <w:contextualSpacing w:val="0"/>
              <w:jc w:val="both"/>
              <w:rPr>
                <w:b/>
                <w:sz w:val="20"/>
                <w:szCs w:val="20"/>
              </w:rPr>
            </w:pPr>
            <w:r w:rsidRPr="00C46875">
              <w:rPr>
                <w:sz w:val="20"/>
                <w:szCs w:val="20"/>
              </w:rPr>
              <w:cr/>
            </w:r>
            <w:proofErr w:type="gramStart"/>
            <w:r w:rsidRPr="00C46875">
              <w:rPr>
                <w:sz w:val="20"/>
                <w:szCs w:val="20"/>
              </w:rPr>
              <w:t>providers</w:t>
            </w:r>
            <w:proofErr w:type="gramEnd"/>
            <w:r w:rsidRPr="00C46875">
              <w:rPr>
                <w:sz w:val="20"/>
                <w:szCs w:val="20"/>
              </w:rPr>
              <w:t xml:space="preserve"> with low student and employer satisfaction</w:t>
            </w:r>
            <w:r>
              <w:rPr>
                <w:sz w:val="20"/>
                <w:szCs w:val="20"/>
              </w:rPr>
              <w:t xml:space="preserve"> </w:t>
            </w:r>
            <w:r w:rsidRPr="00C46875">
              <w:rPr>
                <w:sz w:val="20"/>
                <w:szCs w:val="20"/>
              </w:rPr>
              <w:t>ratings</w:t>
            </w:r>
            <w:r w:rsidRPr="000F73A6">
              <w:rPr>
                <w:sz w:val="20"/>
                <w:szCs w:val="20"/>
              </w:rPr>
              <w:t>.</w:t>
            </w:r>
          </w:p>
        </w:tc>
      </w:tr>
    </w:tbl>
    <w:p w:rsidR="00457CF4" w:rsidRDefault="00457CF4" w:rsidP="00457CF4">
      <w:pPr>
        <w:spacing w:line="280" w:lineRule="exact"/>
        <w:jc w:val="both"/>
        <w:rPr>
          <w:sz w:val="20"/>
          <w:szCs w:val="20"/>
        </w:rPr>
      </w:pPr>
    </w:p>
    <w:p w:rsidR="00457CF4" w:rsidRDefault="00362FFA" w:rsidP="00526FA2">
      <w:pPr>
        <w:spacing w:after="120" w:line="280" w:lineRule="exact"/>
        <w:jc w:val="both"/>
        <w:rPr>
          <w:sz w:val="20"/>
          <w:szCs w:val="20"/>
        </w:rPr>
      </w:pPr>
      <w:r w:rsidRPr="00362FFA">
        <w:rPr>
          <w:sz w:val="20"/>
          <w:szCs w:val="20"/>
        </w:rPr>
        <w:t>Beyond the immediate crackdown, the Government will</w:t>
      </w:r>
      <w:r>
        <w:rPr>
          <w:sz w:val="20"/>
          <w:szCs w:val="20"/>
        </w:rPr>
        <w:t xml:space="preserve"> </w:t>
      </w:r>
      <w:r w:rsidRPr="00362FFA">
        <w:rPr>
          <w:sz w:val="20"/>
          <w:szCs w:val="20"/>
        </w:rPr>
        <w:t>dedicate the remainder of 2015 to implementing the first</w:t>
      </w:r>
      <w:r>
        <w:rPr>
          <w:sz w:val="20"/>
          <w:szCs w:val="20"/>
        </w:rPr>
        <w:t xml:space="preserve"> </w:t>
      </w:r>
      <w:r w:rsidRPr="00362FFA">
        <w:rPr>
          <w:sz w:val="20"/>
          <w:szCs w:val="20"/>
        </w:rPr>
        <w:t>stages in building Victoria’s future quality assurance system.</w:t>
      </w:r>
      <w:r>
        <w:rPr>
          <w:sz w:val="20"/>
          <w:szCs w:val="20"/>
        </w:rPr>
        <w:t xml:space="preserve"> </w:t>
      </w:r>
      <w:r w:rsidRPr="00362FFA">
        <w:rPr>
          <w:sz w:val="20"/>
          <w:szCs w:val="20"/>
        </w:rPr>
        <w:t>Students and providers will start to see changes this year as</w:t>
      </w:r>
      <w:r>
        <w:rPr>
          <w:sz w:val="20"/>
          <w:szCs w:val="20"/>
        </w:rPr>
        <w:t xml:space="preserve"> </w:t>
      </w:r>
      <w:r w:rsidRPr="00362FFA">
        <w:rPr>
          <w:sz w:val="20"/>
          <w:szCs w:val="20"/>
        </w:rPr>
        <w:t>the Government progressively builds quality into all aspects</w:t>
      </w:r>
      <w:r>
        <w:rPr>
          <w:sz w:val="20"/>
          <w:szCs w:val="20"/>
        </w:rPr>
        <w:t xml:space="preserve"> </w:t>
      </w:r>
      <w:r w:rsidRPr="00362FFA">
        <w:rPr>
          <w:sz w:val="20"/>
          <w:szCs w:val="20"/>
        </w:rPr>
        <w:t>of the Department’s approach. Set out below are six key</w:t>
      </w:r>
      <w:r>
        <w:rPr>
          <w:sz w:val="20"/>
          <w:szCs w:val="20"/>
        </w:rPr>
        <w:t xml:space="preserve"> </w:t>
      </w:r>
      <w:r w:rsidRPr="00362FFA">
        <w:rPr>
          <w:sz w:val="20"/>
          <w:szCs w:val="20"/>
        </w:rPr>
        <w:t>initiatives that will be in place during 2015</w:t>
      </w:r>
      <w:r w:rsidR="00306794">
        <w:rPr>
          <w:sz w:val="20"/>
          <w:szCs w:val="20"/>
        </w:rPr>
        <w:t>.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623EA" w:rsidRPr="00060AFD" w:rsidTr="005623EA">
        <w:tc>
          <w:tcPr>
            <w:tcW w:w="9923" w:type="dxa"/>
            <w:vAlign w:val="center"/>
          </w:tcPr>
          <w:p w:rsidR="005623EA" w:rsidRPr="00C46875" w:rsidRDefault="005623EA" w:rsidP="00F93C91">
            <w:pPr>
              <w:spacing w:before="120" w:after="120" w:line="280" w:lineRule="atLeast"/>
              <w:ind w:left="-108"/>
              <w:jc w:val="both"/>
              <w:rPr>
                <w:b/>
              </w:rPr>
            </w:pPr>
            <w:r w:rsidRPr="00C46875">
              <w:rPr>
                <w:b/>
              </w:rPr>
              <w:t>Recommendation</w:t>
            </w:r>
            <w:r>
              <w:rPr>
                <w:b/>
              </w:rPr>
              <w:t xml:space="preserve">s </w:t>
            </w:r>
            <w:r w:rsidRPr="00F93C91">
              <w:rPr>
                <w:b/>
              </w:rPr>
              <w:t>1,2, 15 and 16:</w:t>
            </w:r>
          </w:p>
          <w:p w:rsidR="005623EA" w:rsidRPr="00060AFD" w:rsidRDefault="005623EA" w:rsidP="00F93C91">
            <w:pPr>
              <w:spacing w:before="120" w:after="120" w:line="280" w:lineRule="atLeast"/>
              <w:ind w:left="-108"/>
              <w:jc w:val="both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Actions</w:t>
            </w:r>
          </w:p>
        </w:tc>
      </w:tr>
      <w:tr w:rsidR="005623EA" w:rsidTr="005623EA">
        <w:tc>
          <w:tcPr>
            <w:tcW w:w="9923" w:type="dxa"/>
            <w:shd w:val="clear" w:color="auto" w:fill="B6DDE8" w:themeFill="accent5" w:themeFillTint="66"/>
            <w:vAlign w:val="center"/>
          </w:tcPr>
          <w:p w:rsidR="005623EA" w:rsidRPr="00060AFD" w:rsidRDefault="005623EA" w:rsidP="005623E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5623EA">
              <w:rPr>
                <w:b/>
                <w:sz w:val="20"/>
                <w:szCs w:val="20"/>
              </w:rPr>
              <w:t>Tougher market entry requirements</w:t>
            </w:r>
            <w:r w:rsidRPr="005623EA">
              <w:rPr>
                <w:sz w:val="20"/>
                <w:szCs w:val="20"/>
              </w:rPr>
              <w:t xml:space="preserve"> will mean only providers with a proven track-record of quality delivery will be able to access Government funding, commencing with the upcoming application process.</w:t>
            </w:r>
          </w:p>
        </w:tc>
      </w:tr>
      <w:tr w:rsidR="005623EA" w:rsidTr="005623EA">
        <w:tc>
          <w:tcPr>
            <w:tcW w:w="9923" w:type="dxa"/>
            <w:shd w:val="clear" w:color="auto" w:fill="DAEEF3" w:themeFill="accent5" w:themeFillTint="33"/>
            <w:vAlign w:val="center"/>
          </w:tcPr>
          <w:p w:rsidR="005623EA" w:rsidRPr="005623EA" w:rsidRDefault="005623EA" w:rsidP="005623E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623EA">
              <w:rPr>
                <w:sz w:val="20"/>
                <w:szCs w:val="20"/>
              </w:rPr>
              <w:t xml:space="preserve">Newly-contracted providers will have to serve a </w:t>
            </w:r>
            <w:r w:rsidRPr="005623EA">
              <w:rPr>
                <w:b/>
                <w:sz w:val="20"/>
                <w:szCs w:val="20"/>
              </w:rPr>
              <w:t>probationary period</w:t>
            </w:r>
            <w:r w:rsidRPr="005623EA">
              <w:rPr>
                <w:sz w:val="20"/>
                <w:szCs w:val="20"/>
              </w:rPr>
              <w:t>, where there will be limits on their enrolments and course types.</w:t>
            </w:r>
          </w:p>
        </w:tc>
      </w:tr>
      <w:tr w:rsidR="005623EA" w:rsidTr="005623EA">
        <w:tc>
          <w:tcPr>
            <w:tcW w:w="9923" w:type="dxa"/>
            <w:shd w:val="clear" w:color="auto" w:fill="B6DDE8" w:themeFill="accent5" w:themeFillTint="66"/>
            <w:vAlign w:val="center"/>
          </w:tcPr>
          <w:p w:rsidR="005623EA" w:rsidRDefault="00624AF3" w:rsidP="00624AF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24AF3">
              <w:rPr>
                <w:sz w:val="20"/>
                <w:szCs w:val="20"/>
              </w:rPr>
              <w:t xml:space="preserve">The Department will start </w:t>
            </w:r>
            <w:r w:rsidRPr="00624AF3">
              <w:rPr>
                <w:b/>
                <w:sz w:val="20"/>
                <w:szCs w:val="20"/>
              </w:rPr>
              <w:t>publishing serious enforcement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4AF3">
              <w:rPr>
                <w:b/>
                <w:sz w:val="20"/>
                <w:szCs w:val="20"/>
              </w:rPr>
              <w:t>decisions</w:t>
            </w:r>
            <w:r w:rsidRPr="00624AF3">
              <w:rPr>
                <w:sz w:val="20"/>
                <w:szCs w:val="20"/>
              </w:rPr>
              <w:t>, such as contract terminations, and name the providers involved. This will improve transparency and accountability across the system.</w:t>
            </w:r>
          </w:p>
        </w:tc>
      </w:tr>
      <w:tr w:rsidR="005623EA" w:rsidTr="005623EA">
        <w:tc>
          <w:tcPr>
            <w:tcW w:w="9923" w:type="dxa"/>
            <w:shd w:val="clear" w:color="auto" w:fill="DAEEF3" w:themeFill="accent5" w:themeFillTint="33"/>
            <w:vAlign w:val="center"/>
          </w:tcPr>
          <w:p w:rsidR="005623EA" w:rsidRDefault="004C37AE" w:rsidP="004C37AE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C37AE">
              <w:rPr>
                <w:b/>
                <w:sz w:val="20"/>
                <w:szCs w:val="20"/>
              </w:rPr>
              <w:t>Launch a consumer information campaign</w:t>
            </w:r>
            <w:r w:rsidRPr="004C37AE">
              <w:rPr>
                <w:sz w:val="20"/>
                <w:szCs w:val="20"/>
              </w:rPr>
              <w:t xml:space="preserve"> to support students to make informed training choices and to ensure they’re able to select the course provider that’s right for them.</w:t>
            </w:r>
          </w:p>
        </w:tc>
      </w:tr>
      <w:tr w:rsidR="004C37AE" w:rsidTr="004C37AE">
        <w:tc>
          <w:tcPr>
            <w:tcW w:w="9923" w:type="dxa"/>
            <w:shd w:val="clear" w:color="auto" w:fill="B6DDE8" w:themeFill="accent5" w:themeFillTint="66"/>
            <w:vAlign w:val="center"/>
          </w:tcPr>
          <w:p w:rsidR="004C37AE" w:rsidRPr="00775914" w:rsidRDefault="00775914" w:rsidP="0077591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75914">
              <w:rPr>
                <w:sz w:val="20"/>
                <w:szCs w:val="20"/>
              </w:rPr>
              <w:t xml:space="preserve">Initiate </w:t>
            </w:r>
            <w:r w:rsidRPr="00775914">
              <w:rPr>
                <w:b/>
                <w:sz w:val="20"/>
                <w:szCs w:val="20"/>
              </w:rPr>
              <w:t>a revamp of the Department’s online platforms</w:t>
            </w:r>
            <w:r w:rsidRPr="00775914">
              <w:rPr>
                <w:sz w:val="20"/>
                <w:szCs w:val="20"/>
              </w:rPr>
              <w:t xml:space="preserve"> which provide information to students and industry, allowing them to offer feedback on their training experiences.</w:t>
            </w:r>
          </w:p>
        </w:tc>
      </w:tr>
      <w:tr w:rsidR="004C37AE" w:rsidTr="004C37AE">
        <w:tc>
          <w:tcPr>
            <w:tcW w:w="9923" w:type="dxa"/>
            <w:shd w:val="clear" w:color="auto" w:fill="DAEEF3" w:themeFill="accent5" w:themeFillTint="33"/>
            <w:vAlign w:val="center"/>
          </w:tcPr>
          <w:p w:rsidR="004C37AE" w:rsidRPr="00B129FF" w:rsidRDefault="00B129FF" w:rsidP="00B129F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129FF">
              <w:rPr>
                <w:sz w:val="20"/>
                <w:szCs w:val="20"/>
              </w:rPr>
              <w:t xml:space="preserve">Place </w:t>
            </w:r>
            <w:r w:rsidRPr="00B129FF">
              <w:rPr>
                <w:b/>
                <w:sz w:val="20"/>
                <w:szCs w:val="20"/>
              </w:rPr>
              <w:t>tighter controls</w:t>
            </w:r>
            <w:r w:rsidRPr="00B129FF">
              <w:rPr>
                <w:sz w:val="20"/>
                <w:szCs w:val="20"/>
              </w:rPr>
              <w:t xml:space="preserve"> on the subcontracting of training services. Providers must demonstrate it is genuine, specialised and limited.</w:t>
            </w:r>
          </w:p>
        </w:tc>
      </w:tr>
    </w:tbl>
    <w:p w:rsidR="003B5105" w:rsidRDefault="003B5105" w:rsidP="00E615C5">
      <w:pPr>
        <w:spacing w:before="420" w:after="180" w:line="280" w:lineRule="exact"/>
        <w:jc w:val="both"/>
        <w:rPr>
          <w:b/>
          <w:color w:val="002060"/>
          <w:sz w:val="24"/>
        </w:rPr>
      </w:pPr>
    </w:p>
    <w:p w:rsidR="0008403E" w:rsidRPr="0008403E" w:rsidRDefault="003B5105" w:rsidP="003B5105">
      <w:pPr>
        <w:spacing w:after="180" w:line="280" w:lineRule="exact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br w:type="column"/>
      </w:r>
      <w:r>
        <w:rPr>
          <w:b/>
          <w:color w:val="002060"/>
          <w:sz w:val="24"/>
        </w:rPr>
        <w:lastRenderedPageBreak/>
        <w:t>Foundations for a stronger system</w:t>
      </w:r>
    </w:p>
    <w:p w:rsidR="003B5105" w:rsidRDefault="003B5105" w:rsidP="00D27983">
      <w:pPr>
        <w:spacing w:after="180" w:line="280" w:lineRule="exact"/>
        <w:jc w:val="both"/>
        <w:rPr>
          <w:sz w:val="20"/>
          <w:szCs w:val="20"/>
        </w:rPr>
      </w:pPr>
      <w:r w:rsidRPr="003B5105">
        <w:rPr>
          <w:sz w:val="20"/>
          <w:szCs w:val="20"/>
        </w:rPr>
        <w:t>The Review identified four central areas through which improved VET quality assurance can be achieved – Market Access,</w:t>
      </w:r>
      <w:r>
        <w:rPr>
          <w:sz w:val="20"/>
          <w:szCs w:val="20"/>
        </w:rPr>
        <w:t xml:space="preserve"> </w:t>
      </w:r>
      <w:r w:rsidRPr="003B5105">
        <w:rPr>
          <w:sz w:val="20"/>
          <w:szCs w:val="20"/>
        </w:rPr>
        <w:t>Delivery of High Quality Training and Assessment, Managing Performance, and Supporting Student Choice.</w:t>
      </w:r>
      <w:r>
        <w:rPr>
          <w:sz w:val="20"/>
          <w:szCs w:val="20"/>
        </w:rPr>
        <w:t xml:space="preserve"> </w:t>
      </w:r>
      <w:r w:rsidRPr="003B5105">
        <w:rPr>
          <w:sz w:val="20"/>
          <w:szCs w:val="20"/>
        </w:rPr>
        <w:t>The Government’s planned actions to address these areas are described in more detail below.</w:t>
      </w:r>
    </w:p>
    <w:p w:rsidR="0008403E" w:rsidRPr="00E12853" w:rsidRDefault="003B5105" w:rsidP="003B5105">
      <w:pPr>
        <w:spacing w:line="280" w:lineRule="exact"/>
        <w:jc w:val="both"/>
        <w:rPr>
          <w:sz w:val="20"/>
          <w:szCs w:val="20"/>
        </w:rPr>
      </w:pPr>
      <w:r w:rsidRPr="003B5105">
        <w:rPr>
          <w:sz w:val="20"/>
          <w:szCs w:val="20"/>
        </w:rPr>
        <w:t>It will take time to transition to a system where all providers that deliver government funded training generate high quality</w:t>
      </w:r>
      <w:r>
        <w:rPr>
          <w:sz w:val="20"/>
          <w:szCs w:val="20"/>
        </w:rPr>
        <w:t xml:space="preserve"> </w:t>
      </w:r>
      <w:r w:rsidRPr="003B5105">
        <w:rPr>
          <w:sz w:val="20"/>
          <w:szCs w:val="20"/>
        </w:rPr>
        <w:t>outcomes for students and industry, and this objective is interrelated with the sector’s broader funding</w:t>
      </w:r>
      <w:r>
        <w:rPr>
          <w:sz w:val="20"/>
          <w:szCs w:val="20"/>
        </w:rPr>
        <w:t xml:space="preserve"> </w:t>
      </w:r>
      <w:r w:rsidRPr="003B5105">
        <w:rPr>
          <w:sz w:val="20"/>
          <w:szCs w:val="20"/>
        </w:rPr>
        <w:t>architecture. For</w:t>
      </w:r>
      <w:r>
        <w:rPr>
          <w:sz w:val="20"/>
          <w:szCs w:val="20"/>
        </w:rPr>
        <w:t xml:space="preserve"> </w:t>
      </w:r>
      <w:r w:rsidRPr="003B5105">
        <w:rPr>
          <w:sz w:val="20"/>
          <w:szCs w:val="20"/>
        </w:rPr>
        <w:t>this reason, the recommendations of this Review have been referred to the current VET Funding</w:t>
      </w:r>
      <w:r>
        <w:rPr>
          <w:sz w:val="20"/>
          <w:szCs w:val="20"/>
        </w:rPr>
        <w:t xml:space="preserve"> Review led by Mr </w:t>
      </w:r>
      <w:r w:rsidRPr="003B5105">
        <w:rPr>
          <w:sz w:val="20"/>
          <w:szCs w:val="20"/>
        </w:rPr>
        <w:t>Bruce</w:t>
      </w:r>
      <w:r>
        <w:rPr>
          <w:sz w:val="20"/>
          <w:szCs w:val="20"/>
        </w:rPr>
        <w:t> Mackenzie </w:t>
      </w:r>
      <w:r w:rsidRPr="003B5105">
        <w:rPr>
          <w:sz w:val="20"/>
          <w:szCs w:val="20"/>
        </w:rPr>
        <w:t>PSM, and will also be considered in the context of that review.</w:t>
      </w:r>
    </w:p>
    <w:p w:rsidR="00A01EBB" w:rsidRPr="00E75B37" w:rsidRDefault="00B90219" w:rsidP="0017386F">
      <w:pPr>
        <w:spacing w:before="360" w:after="180" w:line="280" w:lineRule="exact"/>
        <w:jc w:val="both"/>
        <w:rPr>
          <w:b/>
          <w:sz w:val="18"/>
          <w:szCs w:val="18"/>
        </w:rPr>
      </w:pPr>
      <w:r w:rsidRPr="0017386F">
        <w:rPr>
          <w:b/>
          <w:color w:val="002060"/>
        </w:rPr>
        <w:t>Market access</w:t>
      </w:r>
    </w:p>
    <w:p w:rsidR="004205B6" w:rsidRPr="00060AFD" w:rsidRDefault="004A3F6A" w:rsidP="004A3F6A">
      <w:pPr>
        <w:spacing w:after="120" w:line="280" w:lineRule="exact"/>
        <w:jc w:val="both"/>
        <w:rPr>
          <w:sz w:val="20"/>
          <w:szCs w:val="20"/>
        </w:rPr>
      </w:pPr>
      <w:r w:rsidRPr="004A3F6A">
        <w:rPr>
          <w:sz w:val="20"/>
          <w:szCs w:val="20"/>
        </w:rPr>
        <w:t>The public rightly expects that a training provider contracted</w:t>
      </w:r>
      <w:r>
        <w:rPr>
          <w:sz w:val="20"/>
          <w:szCs w:val="20"/>
        </w:rPr>
        <w:t xml:space="preserve"> </w:t>
      </w:r>
      <w:r w:rsidRPr="004A3F6A">
        <w:rPr>
          <w:sz w:val="20"/>
          <w:szCs w:val="20"/>
        </w:rPr>
        <w:t>by government is delivering high quality training and</w:t>
      </w:r>
      <w:r>
        <w:rPr>
          <w:sz w:val="20"/>
          <w:szCs w:val="20"/>
        </w:rPr>
        <w:t xml:space="preserve"> </w:t>
      </w:r>
      <w:r w:rsidRPr="004A3F6A">
        <w:rPr>
          <w:sz w:val="20"/>
          <w:szCs w:val="20"/>
        </w:rPr>
        <w:t>assessment. The awarding of a VET Funding Contract</w:t>
      </w:r>
      <w:r>
        <w:rPr>
          <w:sz w:val="20"/>
          <w:szCs w:val="20"/>
        </w:rPr>
        <w:t xml:space="preserve"> </w:t>
      </w:r>
      <w:r w:rsidRPr="004A3F6A">
        <w:rPr>
          <w:sz w:val="20"/>
          <w:szCs w:val="20"/>
        </w:rPr>
        <w:t>should provide students with confidence that they are</w:t>
      </w:r>
      <w:r>
        <w:rPr>
          <w:sz w:val="20"/>
          <w:szCs w:val="20"/>
        </w:rPr>
        <w:t xml:space="preserve"> </w:t>
      </w:r>
      <w:r w:rsidRPr="004A3F6A">
        <w:rPr>
          <w:sz w:val="20"/>
          <w:szCs w:val="20"/>
        </w:rPr>
        <w:t>choosing</w:t>
      </w:r>
      <w:r>
        <w:rPr>
          <w:sz w:val="20"/>
          <w:szCs w:val="20"/>
        </w:rPr>
        <w:t xml:space="preserve"> </w:t>
      </w:r>
      <w:r w:rsidRPr="004A3F6A">
        <w:rPr>
          <w:sz w:val="20"/>
          <w:szCs w:val="20"/>
        </w:rPr>
        <w:t>from a pool of RTOs that respects their training</w:t>
      </w:r>
      <w:r>
        <w:rPr>
          <w:sz w:val="20"/>
          <w:szCs w:val="20"/>
        </w:rPr>
        <w:t xml:space="preserve"> </w:t>
      </w:r>
      <w:r w:rsidRPr="004A3F6A">
        <w:rPr>
          <w:sz w:val="20"/>
          <w:szCs w:val="20"/>
        </w:rPr>
        <w:t>entitlement, understand their needs and will deliver a</w:t>
      </w:r>
      <w:r>
        <w:rPr>
          <w:sz w:val="20"/>
          <w:szCs w:val="20"/>
        </w:rPr>
        <w:t xml:space="preserve"> </w:t>
      </w:r>
      <w:r w:rsidRPr="004A3F6A">
        <w:rPr>
          <w:sz w:val="20"/>
          <w:szCs w:val="20"/>
        </w:rPr>
        <w:t>qualification on</w:t>
      </w:r>
      <w:r>
        <w:rPr>
          <w:sz w:val="20"/>
          <w:szCs w:val="20"/>
        </w:rPr>
        <w:t xml:space="preserve"> </w:t>
      </w:r>
      <w:r w:rsidRPr="004A3F6A">
        <w:rPr>
          <w:sz w:val="20"/>
          <w:szCs w:val="20"/>
        </w:rPr>
        <w:t xml:space="preserve">which </w:t>
      </w:r>
      <w:r>
        <w:rPr>
          <w:sz w:val="20"/>
          <w:szCs w:val="20"/>
        </w:rPr>
        <w:t>students and employers can rely.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667"/>
      </w:tblGrid>
      <w:tr w:rsidR="00292DD7" w:rsidRPr="00060AFD" w:rsidTr="00E04223">
        <w:tc>
          <w:tcPr>
            <w:tcW w:w="8222" w:type="dxa"/>
            <w:vAlign w:val="center"/>
          </w:tcPr>
          <w:p w:rsidR="00292DD7" w:rsidRPr="00C46875" w:rsidRDefault="00292DD7" w:rsidP="00292DD7">
            <w:pPr>
              <w:spacing w:before="120" w:after="120" w:line="280" w:lineRule="atLeast"/>
              <w:ind w:left="-108"/>
              <w:jc w:val="both"/>
              <w:rPr>
                <w:b/>
              </w:rPr>
            </w:pPr>
            <w:r w:rsidRPr="00C46875">
              <w:rPr>
                <w:b/>
              </w:rPr>
              <w:t>Recommendation</w:t>
            </w:r>
            <w:r>
              <w:rPr>
                <w:b/>
              </w:rPr>
              <w:t xml:space="preserve">s </w:t>
            </w:r>
            <w:r w:rsidRPr="00F93C91">
              <w:rPr>
                <w:b/>
              </w:rPr>
              <w:t>1</w:t>
            </w:r>
            <w:r>
              <w:rPr>
                <w:b/>
              </w:rPr>
              <w:t>-4</w:t>
            </w:r>
            <w:r w:rsidRPr="00F93C91">
              <w:rPr>
                <w:b/>
              </w:rPr>
              <w:t>:</w:t>
            </w:r>
          </w:p>
          <w:p w:rsidR="00292DD7" w:rsidRPr="00060AFD" w:rsidRDefault="00292DD7" w:rsidP="00024D78">
            <w:pPr>
              <w:spacing w:before="120" w:after="120" w:line="280" w:lineRule="atLeast"/>
              <w:ind w:left="-108"/>
              <w:jc w:val="both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Action</w:t>
            </w:r>
            <w:r w:rsidR="0053182A">
              <w:rPr>
                <w:b/>
                <w:color w:val="002060"/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292DD7" w:rsidRPr="00060AFD" w:rsidRDefault="00292DD7" w:rsidP="006478BC">
            <w:pPr>
              <w:spacing w:before="120" w:line="280" w:lineRule="atLeast"/>
              <w:jc w:val="right"/>
              <w:rPr>
                <w:b/>
                <w:color w:val="002060"/>
                <w:sz w:val="20"/>
                <w:szCs w:val="20"/>
              </w:rPr>
            </w:pPr>
            <w:r w:rsidRPr="00060AFD">
              <w:rPr>
                <w:b/>
                <w:color w:val="002060"/>
                <w:sz w:val="20"/>
                <w:szCs w:val="20"/>
              </w:rPr>
              <w:t>When</w:t>
            </w:r>
          </w:p>
        </w:tc>
      </w:tr>
      <w:tr w:rsidR="00DE4D72" w:rsidRPr="00060AFD" w:rsidTr="00E04223">
        <w:tc>
          <w:tcPr>
            <w:tcW w:w="8222" w:type="dxa"/>
            <w:shd w:val="clear" w:color="auto" w:fill="DAEEF3" w:themeFill="accent5" w:themeFillTint="33"/>
            <w:vAlign w:val="center"/>
          </w:tcPr>
          <w:p w:rsidR="00DE4D72" w:rsidRPr="00060AFD" w:rsidRDefault="00A914A0" w:rsidP="00154BF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E4D72" w:rsidRPr="00060AFD">
              <w:rPr>
                <w:b/>
                <w:sz w:val="20"/>
                <w:szCs w:val="20"/>
              </w:rPr>
              <w:t>rioritise quality when choosing providers for government funding</w:t>
            </w:r>
            <w:r w:rsidR="00DE4D72" w:rsidRPr="00060AFD">
              <w:rPr>
                <w:sz w:val="20"/>
                <w:szCs w:val="20"/>
              </w:rPr>
              <w:t>, based on their track record.</w:t>
            </w:r>
          </w:p>
        </w:tc>
        <w:tc>
          <w:tcPr>
            <w:tcW w:w="1667" w:type="dxa"/>
            <w:vMerge w:val="restart"/>
            <w:shd w:val="clear" w:color="auto" w:fill="DAEEF3" w:themeFill="accent5" w:themeFillTint="33"/>
            <w:vAlign w:val="center"/>
          </w:tcPr>
          <w:p w:rsidR="00905B84" w:rsidRDefault="00DE4D72" w:rsidP="00905B84">
            <w:pPr>
              <w:spacing w:before="40" w:after="40"/>
              <w:ind w:left="34"/>
              <w:rPr>
                <w:sz w:val="20"/>
                <w:szCs w:val="20"/>
              </w:rPr>
            </w:pPr>
            <w:r w:rsidRPr="00700A74">
              <w:rPr>
                <w:b/>
                <w:sz w:val="20"/>
                <w:szCs w:val="20"/>
              </w:rPr>
              <w:t>Progressively from now until the start of 2017</w:t>
            </w:r>
            <w:r>
              <w:rPr>
                <w:sz w:val="20"/>
                <w:szCs w:val="20"/>
              </w:rPr>
              <w:t>.</w:t>
            </w:r>
          </w:p>
          <w:p w:rsidR="00DE4D72" w:rsidRPr="00DE4D72" w:rsidRDefault="00DE4D72" w:rsidP="00905B84">
            <w:pPr>
              <w:spacing w:before="120" w:after="4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third of </w:t>
            </w:r>
            <w:r w:rsidRPr="00DE4D72">
              <w:rPr>
                <w:sz w:val="20"/>
                <w:szCs w:val="20"/>
              </w:rPr>
              <w:t>providers’ contracts expire</w:t>
            </w:r>
            <w:r>
              <w:rPr>
                <w:sz w:val="20"/>
                <w:szCs w:val="20"/>
              </w:rPr>
              <w:t xml:space="preserve"> at the end of 2015, with the remainder</w:t>
            </w:r>
            <w:r w:rsidRPr="00DE4D72">
              <w:rPr>
                <w:sz w:val="20"/>
                <w:szCs w:val="20"/>
              </w:rPr>
              <w:t xml:space="preserve"> at the end of 2016.</w:t>
            </w:r>
          </w:p>
        </w:tc>
      </w:tr>
      <w:tr w:rsidR="00DE4D72" w:rsidRPr="00060AFD" w:rsidTr="00E04223">
        <w:tc>
          <w:tcPr>
            <w:tcW w:w="8222" w:type="dxa"/>
            <w:shd w:val="clear" w:color="auto" w:fill="B6DDE8" w:themeFill="accent5" w:themeFillTint="66"/>
            <w:vAlign w:val="center"/>
          </w:tcPr>
          <w:p w:rsidR="00DE4D72" w:rsidRPr="00060AFD" w:rsidRDefault="00A914A0" w:rsidP="00154BF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DE4D72" w:rsidRPr="00060AFD">
              <w:rPr>
                <w:b/>
                <w:sz w:val="20"/>
                <w:szCs w:val="20"/>
              </w:rPr>
              <w:t>ntroduce a probationary period for providers</w:t>
            </w:r>
            <w:r w:rsidR="00DE4D72" w:rsidRPr="00060AFD">
              <w:rPr>
                <w:sz w:val="20"/>
                <w:szCs w:val="20"/>
              </w:rPr>
              <w:t xml:space="preserve"> that have not yet demonstrated their quality, followed by a performance review.</w:t>
            </w:r>
          </w:p>
        </w:tc>
        <w:tc>
          <w:tcPr>
            <w:tcW w:w="1667" w:type="dxa"/>
            <w:vMerge/>
            <w:shd w:val="clear" w:color="auto" w:fill="B6DDE8" w:themeFill="accent5" w:themeFillTint="66"/>
            <w:vAlign w:val="center"/>
          </w:tcPr>
          <w:p w:rsidR="00DE4D72" w:rsidRPr="00060AFD" w:rsidRDefault="00DE4D72" w:rsidP="00650E7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E4D72" w:rsidRPr="00060AFD" w:rsidTr="00E04223">
        <w:tc>
          <w:tcPr>
            <w:tcW w:w="8222" w:type="dxa"/>
            <w:shd w:val="clear" w:color="auto" w:fill="DAEEF3" w:themeFill="accent5" w:themeFillTint="33"/>
            <w:vAlign w:val="center"/>
          </w:tcPr>
          <w:p w:rsidR="00DE4D72" w:rsidRPr="00621D47" w:rsidRDefault="00621D47" w:rsidP="00621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21D47">
              <w:rPr>
                <w:b/>
                <w:sz w:val="20"/>
                <w:szCs w:val="20"/>
              </w:rPr>
              <w:t>Develop a new, low-risk type of funding contract</w:t>
            </w:r>
            <w:r w:rsidRPr="00621D47">
              <w:rPr>
                <w:sz w:val="20"/>
                <w:szCs w:val="20"/>
              </w:rPr>
              <w:t xml:space="preserve"> that will balance risk and scrutiny–this will mean some small, purposefully low-growth providers with a high quality track record are subject to an assurance regime that reflects their risk.</w:t>
            </w:r>
          </w:p>
        </w:tc>
        <w:tc>
          <w:tcPr>
            <w:tcW w:w="1667" w:type="dxa"/>
            <w:vMerge/>
            <w:shd w:val="clear" w:color="auto" w:fill="DAEEF3" w:themeFill="accent5" w:themeFillTint="33"/>
            <w:vAlign w:val="center"/>
          </w:tcPr>
          <w:p w:rsidR="00DE4D72" w:rsidRPr="00060AFD" w:rsidRDefault="00DE4D72" w:rsidP="00650E7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E4D72" w:rsidRPr="00060AFD" w:rsidTr="00E04223">
        <w:tc>
          <w:tcPr>
            <w:tcW w:w="8222" w:type="dxa"/>
            <w:shd w:val="clear" w:color="auto" w:fill="B6DDE8" w:themeFill="accent5" w:themeFillTint="66"/>
            <w:vAlign w:val="center"/>
          </w:tcPr>
          <w:p w:rsidR="00DE4D72" w:rsidRPr="00060AFD" w:rsidRDefault="00A914A0" w:rsidP="00154BF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DE4D72" w:rsidRPr="00060AFD">
              <w:rPr>
                <w:b/>
                <w:sz w:val="20"/>
                <w:szCs w:val="20"/>
              </w:rPr>
              <w:t>gree the types of courses a provider can offer at contract entry</w:t>
            </w:r>
            <w:r w:rsidR="00DE4D72" w:rsidRPr="00060AFD">
              <w:rPr>
                <w:sz w:val="20"/>
                <w:szCs w:val="20"/>
              </w:rPr>
              <w:t>, and then evaluate proposed additions based on the risk to quality.</w:t>
            </w:r>
          </w:p>
        </w:tc>
        <w:tc>
          <w:tcPr>
            <w:tcW w:w="1667" w:type="dxa"/>
            <w:vMerge/>
            <w:shd w:val="clear" w:color="auto" w:fill="B6DDE8" w:themeFill="accent5" w:themeFillTint="66"/>
            <w:vAlign w:val="center"/>
          </w:tcPr>
          <w:p w:rsidR="00DE4D72" w:rsidRPr="00060AFD" w:rsidRDefault="00DE4D72" w:rsidP="00650E7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E4D72" w:rsidRPr="00060AFD" w:rsidTr="00E04223">
        <w:tc>
          <w:tcPr>
            <w:tcW w:w="8222" w:type="dxa"/>
            <w:shd w:val="clear" w:color="auto" w:fill="DAEEF3" w:themeFill="accent5" w:themeFillTint="33"/>
            <w:vAlign w:val="center"/>
          </w:tcPr>
          <w:p w:rsidR="00DE4D72" w:rsidRPr="00060AFD" w:rsidRDefault="00A914A0" w:rsidP="00204A3E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DE4D72" w:rsidRPr="00060AFD">
              <w:rPr>
                <w:b/>
                <w:sz w:val="20"/>
                <w:szCs w:val="20"/>
              </w:rPr>
              <w:t>estrict subcontracting</w:t>
            </w:r>
            <w:r w:rsidR="00DE4D72" w:rsidRPr="00060AFD">
              <w:rPr>
                <w:sz w:val="20"/>
                <w:szCs w:val="20"/>
              </w:rPr>
              <w:t xml:space="preserve"> of </w:t>
            </w:r>
            <w:r w:rsidR="00204A3E" w:rsidRPr="00204A3E">
              <w:rPr>
                <w:sz w:val="20"/>
                <w:szCs w:val="20"/>
              </w:rPr>
              <w:t>training</w:t>
            </w:r>
            <w:r w:rsidR="00204A3E">
              <w:rPr>
                <w:sz w:val="20"/>
                <w:szCs w:val="20"/>
              </w:rPr>
              <w:t xml:space="preserve"> </w:t>
            </w:r>
            <w:r w:rsidR="00204A3E" w:rsidRPr="00204A3E">
              <w:rPr>
                <w:sz w:val="20"/>
                <w:szCs w:val="20"/>
              </w:rPr>
              <w:t>services, to where it is genuine, specialised</w:t>
            </w:r>
            <w:r w:rsidR="00204A3E">
              <w:rPr>
                <w:sz w:val="20"/>
                <w:szCs w:val="20"/>
              </w:rPr>
              <w:t xml:space="preserve"> </w:t>
            </w:r>
            <w:r w:rsidR="00204A3E" w:rsidRPr="00204A3E">
              <w:rPr>
                <w:sz w:val="20"/>
                <w:szCs w:val="20"/>
              </w:rPr>
              <w:t>and limited.</w:t>
            </w:r>
          </w:p>
        </w:tc>
        <w:tc>
          <w:tcPr>
            <w:tcW w:w="1667" w:type="dxa"/>
            <w:vMerge/>
            <w:shd w:val="clear" w:color="auto" w:fill="DAEEF3" w:themeFill="accent5" w:themeFillTint="33"/>
            <w:vAlign w:val="center"/>
          </w:tcPr>
          <w:p w:rsidR="00DE4D72" w:rsidRPr="00060AFD" w:rsidRDefault="00DE4D72" w:rsidP="00650E78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C3F68" w:rsidRPr="00E75B37" w:rsidRDefault="00A01EBB" w:rsidP="0017386F">
      <w:pPr>
        <w:spacing w:before="360" w:after="180" w:line="280" w:lineRule="exact"/>
        <w:jc w:val="both"/>
        <w:rPr>
          <w:sz w:val="18"/>
          <w:szCs w:val="18"/>
        </w:rPr>
      </w:pPr>
      <w:r w:rsidRPr="0017386F">
        <w:rPr>
          <w:b/>
          <w:color w:val="002060"/>
        </w:rPr>
        <w:t>Delivery of high quality training and assessment</w:t>
      </w:r>
    </w:p>
    <w:p w:rsidR="00951A09" w:rsidRPr="00EB50E6" w:rsidRDefault="0065647B" w:rsidP="0065647B">
      <w:pPr>
        <w:spacing w:after="120" w:line="280" w:lineRule="exact"/>
        <w:jc w:val="both"/>
        <w:rPr>
          <w:sz w:val="20"/>
          <w:szCs w:val="20"/>
        </w:rPr>
      </w:pPr>
      <w:r w:rsidRPr="0065647B">
        <w:rPr>
          <w:sz w:val="20"/>
          <w:szCs w:val="20"/>
        </w:rPr>
        <w:t>The Government supports a professional VET sector that</w:t>
      </w:r>
      <w:r>
        <w:rPr>
          <w:sz w:val="20"/>
          <w:szCs w:val="20"/>
        </w:rPr>
        <w:t xml:space="preserve"> </w:t>
      </w:r>
      <w:r w:rsidRPr="0065647B">
        <w:rPr>
          <w:sz w:val="20"/>
          <w:szCs w:val="20"/>
        </w:rPr>
        <w:t>meets the needs of individuals and industry, drives learning</w:t>
      </w:r>
      <w:r>
        <w:rPr>
          <w:sz w:val="20"/>
          <w:szCs w:val="20"/>
        </w:rPr>
        <w:t xml:space="preserve"> </w:t>
      </w:r>
      <w:r w:rsidRPr="0065647B">
        <w:rPr>
          <w:sz w:val="20"/>
          <w:szCs w:val="20"/>
        </w:rPr>
        <w:t>outcomes through expert judgment and continuously</w:t>
      </w:r>
      <w:r>
        <w:rPr>
          <w:sz w:val="20"/>
          <w:szCs w:val="20"/>
        </w:rPr>
        <w:t xml:space="preserve"> </w:t>
      </w:r>
      <w:r w:rsidRPr="0065647B">
        <w:rPr>
          <w:sz w:val="20"/>
          <w:szCs w:val="20"/>
        </w:rPr>
        <w:t>seeks to lift the public’s trust in its abilities. We need to</w:t>
      </w:r>
      <w:r>
        <w:rPr>
          <w:sz w:val="20"/>
          <w:szCs w:val="20"/>
        </w:rPr>
        <w:t xml:space="preserve"> </w:t>
      </w:r>
      <w:r w:rsidRPr="0065647B">
        <w:rPr>
          <w:sz w:val="20"/>
          <w:szCs w:val="20"/>
        </w:rPr>
        <w:t>eliminate training and assessment practices that are clearly</w:t>
      </w:r>
      <w:r>
        <w:rPr>
          <w:sz w:val="20"/>
          <w:szCs w:val="20"/>
        </w:rPr>
        <w:t xml:space="preserve"> </w:t>
      </w:r>
      <w:r w:rsidRPr="0065647B">
        <w:rPr>
          <w:sz w:val="20"/>
          <w:szCs w:val="20"/>
        </w:rPr>
        <w:t>inadequate, while improving our understanding of how key</w:t>
      </w:r>
      <w:r>
        <w:rPr>
          <w:sz w:val="20"/>
          <w:szCs w:val="20"/>
        </w:rPr>
        <w:t xml:space="preserve"> </w:t>
      </w:r>
      <w:r w:rsidRPr="0065647B">
        <w:rPr>
          <w:sz w:val="20"/>
          <w:szCs w:val="20"/>
        </w:rPr>
        <w:t>factors contribute to a high quality training experience.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667"/>
      </w:tblGrid>
      <w:tr w:rsidR="00D37BFC" w:rsidRPr="00060AFD" w:rsidTr="00E04223">
        <w:tc>
          <w:tcPr>
            <w:tcW w:w="8222" w:type="dxa"/>
            <w:vAlign w:val="center"/>
          </w:tcPr>
          <w:p w:rsidR="006478BC" w:rsidRPr="00C46875" w:rsidRDefault="006478BC" w:rsidP="006478BC">
            <w:pPr>
              <w:spacing w:before="120" w:after="120" w:line="280" w:lineRule="atLeast"/>
              <w:ind w:left="-108"/>
              <w:jc w:val="both"/>
              <w:rPr>
                <w:b/>
              </w:rPr>
            </w:pPr>
            <w:r w:rsidRPr="00C46875">
              <w:rPr>
                <w:b/>
              </w:rPr>
              <w:t>Recommendation</w:t>
            </w:r>
            <w:r>
              <w:rPr>
                <w:b/>
              </w:rPr>
              <w:t xml:space="preserve">s </w:t>
            </w:r>
            <w:r w:rsidR="00AB0F98">
              <w:rPr>
                <w:b/>
              </w:rPr>
              <w:t>5-9:</w:t>
            </w:r>
          </w:p>
          <w:p w:rsidR="00D37BFC" w:rsidRPr="00060AFD" w:rsidRDefault="006478BC" w:rsidP="006478BC">
            <w:pPr>
              <w:spacing w:before="120" w:after="120" w:line="280" w:lineRule="atLeast"/>
              <w:ind w:left="-108"/>
              <w:jc w:val="both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Action</w:t>
            </w:r>
            <w:r w:rsidR="0053182A">
              <w:rPr>
                <w:b/>
                <w:color w:val="002060"/>
                <w:sz w:val="20"/>
                <w:szCs w:val="20"/>
              </w:rPr>
              <w:t>s</w:t>
            </w:r>
          </w:p>
        </w:tc>
        <w:tc>
          <w:tcPr>
            <w:tcW w:w="1667" w:type="dxa"/>
            <w:vAlign w:val="center"/>
          </w:tcPr>
          <w:p w:rsidR="00D37BFC" w:rsidRPr="00060AFD" w:rsidRDefault="00D37BFC" w:rsidP="00C90180">
            <w:pPr>
              <w:spacing w:before="120" w:line="280" w:lineRule="atLeast"/>
              <w:jc w:val="right"/>
              <w:rPr>
                <w:b/>
                <w:color w:val="002060"/>
                <w:sz w:val="20"/>
                <w:szCs w:val="20"/>
              </w:rPr>
            </w:pPr>
            <w:r w:rsidRPr="00060AFD">
              <w:rPr>
                <w:b/>
                <w:color w:val="002060"/>
                <w:sz w:val="20"/>
                <w:szCs w:val="20"/>
              </w:rPr>
              <w:t>When?</w:t>
            </w:r>
          </w:p>
        </w:tc>
      </w:tr>
      <w:tr w:rsidR="00D37BFC" w:rsidRPr="00060AFD" w:rsidTr="00E04223">
        <w:tc>
          <w:tcPr>
            <w:tcW w:w="8222" w:type="dxa"/>
            <w:shd w:val="clear" w:color="auto" w:fill="DAEEF3" w:themeFill="accent5" w:themeFillTint="33"/>
            <w:vAlign w:val="center"/>
          </w:tcPr>
          <w:p w:rsidR="00D37BFC" w:rsidRPr="00060AFD" w:rsidRDefault="00A914A0" w:rsidP="00AC3F3D">
            <w:pPr>
              <w:spacing w:before="120" w:after="8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D37BFC" w:rsidRPr="00060AFD">
              <w:rPr>
                <w:b/>
                <w:sz w:val="20"/>
                <w:szCs w:val="20"/>
              </w:rPr>
              <w:t>liminate courses being delivered in timeframes that are clearly inadequate</w:t>
            </w:r>
          </w:p>
          <w:p w:rsidR="00D37BFC" w:rsidRPr="00060AFD" w:rsidRDefault="00D37BFC" w:rsidP="00AC3F3D">
            <w:pPr>
              <w:pStyle w:val="ListParagraph"/>
              <w:numPr>
                <w:ilvl w:val="0"/>
                <w:numId w:val="2"/>
              </w:numPr>
              <w:spacing w:before="80" w:after="80"/>
              <w:ind w:left="425" w:hanging="357"/>
              <w:contextualSpacing w:val="0"/>
              <w:jc w:val="both"/>
              <w:rPr>
                <w:sz w:val="20"/>
                <w:szCs w:val="20"/>
              </w:rPr>
            </w:pPr>
            <w:r w:rsidRPr="00060AFD">
              <w:rPr>
                <w:sz w:val="20"/>
                <w:szCs w:val="20"/>
              </w:rPr>
              <w:t>We will lift our ability to measure a student’s engagement in learning via provider reporting.</w:t>
            </w:r>
          </w:p>
          <w:p w:rsidR="00D37BFC" w:rsidRPr="00060AFD" w:rsidRDefault="00D37BFC" w:rsidP="00AC3F3D">
            <w:pPr>
              <w:pStyle w:val="ListParagraph"/>
              <w:numPr>
                <w:ilvl w:val="0"/>
                <w:numId w:val="2"/>
              </w:numPr>
              <w:spacing w:before="80" w:after="80"/>
              <w:ind w:left="426" w:hanging="357"/>
              <w:contextualSpacing w:val="0"/>
              <w:jc w:val="both"/>
              <w:rPr>
                <w:sz w:val="20"/>
                <w:szCs w:val="20"/>
              </w:rPr>
            </w:pPr>
            <w:r w:rsidRPr="00060AFD">
              <w:rPr>
                <w:sz w:val="20"/>
                <w:szCs w:val="20"/>
              </w:rPr>
              <w:t>We will require providers to justify and document their decisions to deviate from national guidance on volume of learning, and provide those justifications for external review.</w:t>
            </w:r>
          </w:p>
        </w:tc>
        <w:tc>
          <w:tcPr>
            <w:tcW w:w="1667" w:type="dxa"/>
            <w:shd w:val="clear" w:color="auto" w:fill="DAEEF3" w:themeFill="accent5" w:themeFillTint="33"/>
            <w:vAlign w:val="center"/>
          </w:tcPr>
          <w:p w:rsidR="00D37BFC" w:rsidRPr="00060AFD" w:rsidRDefault="00D818D7" w:rsidP="00D818D7">
            <w:pPr>
              <w:spacing w:before="40" w:after="40"/>
              <w:ind w:left="34"/>
              <w:rPr>
                <w:b/>
                <w:sz w:val="20"/>
                <w:szCs w:val="20"/>
              </w:rPr>
            </w:pPr>
            <w:r w:rsidRPr="00DE7A35">
              <w:rPr>
                <w:sz w:val="20"/>
                <w:szCs w:val="20"/>
              </w:rPr>
              <w:t>New reporting standard from</w:t>
            </w:r>
            <w:r>
              <w:rPr>
                <w:b/>
                <w:sz w:val="20"/>
                <w:szCs w:val="20"/>
              </w:rPr>
              <w:t xml:space="preserve"> 2016</w:t>
            </w:r>
            <w:r w:rsidR="00715345" w:rsidRPr="00DE7A35">
              <w:rPr>
                <w:sz w:val="20"/>
                <w:szCs w:val="20"/>
              </w:rPr>
              <w:t>; embed practice by</w:t>
            </w:r>
            <w:r w:rsidR="00715345">
              <w:rPr>
                <w:b/>
                <w:sz w:val="20"/>
                <w:szCs w:val="20"/>
              </w:rPr>
              <w:t xml:space="preserve"> 2017</w:t>
            </w:r>
          </w:p>
        </w:tc>
      </w:tr>
      <w:tr w:rsidR="00060AFD" w:rsidRPr="00060AFD" w:rsidTr="00E04223">
        <w:tc>
          <w:tcPr>
            <w:tcW w:w="8222" w:type="dxa"/>
            <w:shd w:val="clear" w:color="auto" w:fill="B6DDE8" w:themeFill="accent5" w:themeFillTint="66"/>
            <w:vAlign w:val="center"/>
          </w:tcPr>
          <w:p w:rsidR="00C8384A" w:rsidRPr="00060AFD" w:rsidRDefault="00A914A0" w:rsidP="00AC3F3D">
            <w:pPr>
              <w:spacing w:before="120" w:after="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</w:t>
            </w:r>
            <w:r w:rsidR="00C8384A" w:rsidRPr="00060AFD">
              <w:rPr>
                <w:b/>
                <w:sz w:val="20"/>
                <w:szCs w:val="20"/>
              </w:rPr>
              <w:t>ift the quality and integrity of trainer and assessor qualifications</w:t>
            </w:r>
          </w:p>
          <w:p w:rsidR="00C8384A" w:rsidRPr="006D6047" w:rsidRDefault="00C8384A" w:rsidP="001F4B92">
            <w:pPr>
              <w:pStyle w:val="ListParagraph"/>
              <w:numPr>
                <w:ilvl w:val="0"/>
                <w:numId w:val="2"/>
              </w:numPr>
              <w:spacing w:before="80" w:after="80"/>
              <w:ind w:left="425" w:hanging="357"/>
              <w:contextualSpacing w:val="0"/>
              <w:jc w:val="both"/>
              <w:rPr>
                <w:sz w:val="20"/>
                <w:szCs w:val="20"/>
              </w:rPr>
            </w:pPr>
            <w:r w:rsidRPr="006D6047">
              <w:rPr>
                <w:sz w:val="20"/>
                <w:szCs w:val="20"/>
              </w:rPr>
              <w:t>We will create a list of providers approved to deliver trainer and assessor qualifications</w:t>
            </w:r>
            <w:r w:rsidR="006D6047" w:rsidRPr="001F4B92">
              <w:rPr>
                <w:sz w:val="20"/>
                <w:szCs w:val="20"/>
              </w:rPr>
              <w:t xml:space="preserve"> </w:t>
            </w:r>
            <w:r w:rsidR="006D6047" w:rsidRPr="006D6047">
              <w:rPr>
                <w:sz w:val="20"/>
                <w:szCs w:val="20"/>
              </w:rPr>
              <w:t>within the government</w:t>
            </w:r>
            <w:r w:rsidR="006D6047">
              <w:rPr>
                <w:sz w:val="20"/>
                <w:szCs w:val="20"/>
              </w:rPr>
              <w:t xml:space="preserve"> </w:t>
            </w:r>
            <w:r w:rsidR="006D6047" w:rsidRPr="006D6047">
              <w:rPr>
                <w:sz w:val="20"/>
                <w:szCs w:val="20"/>
              </w:rPr>
              <w:t>funded system</w:t>
            </w:r>
            <w:r w:rsidRPr="006D6047">
              <w:rPr>
                <w:sz w:val="20"/>
                <w:szCs w:val="20"/>
              </w:rPr>
              <w:t>.</w:t>
            </w:r>
          </w:p>
          <w:p w:rsidR="00C8384A" w:rsidRPr="00060AFD" w:rsidRDefault="00C8384A" w:rsidP="00AC3F3D">
            <w:pPr>
              <w:pStyle w:val="ListParagraph"/>
              <w:numPr>
                <w:ilvl w:val="0"/>
                <w:numId w:val="2"/>
              </w:numPr>
              <w:spacing w:before="80" w:after="80"/>
              <w:ind w:left="425" w:hanging="357"/>
              <w:contextualSpacing w:val="0"/>
              <w:jc w:val="both"/>
              <w:rPr>
                <w:sz w:val="20"/>
                <w:szCs w:val="20"/>
              </w:rPr>
            </w:pPr>
            <w:r w:rsidRPr="00060AFD">
              <w:rPr>
                <w:sz w:val="20"/>
                <w:szCs w:val="20"/>
              </w:rPr>
              <w:t>We will only allow approved providers to issue trainer and assessor qualifications to their own staff.</w:t>
            </w:r>
          </w:p>
        </w:tc>
        <w:tc>
          <w:tcPr>
            <w:tcW w:w="1667" w:type="dxa"/>
            <w:shd w:val="clear" w:color="auto" w:fill="B6DDE8" w:themeFill="accent5" w:themeFillTint="66"/>
            <w:vAlign w:val="center"/>
          </w:tcPr>
          <w:p w:rsidR="00C8384A" w:rsidRPr="00316E9F" w:rsidRDefault="00A55B0D" w:rsidP="00267726">
            <w:pPr>
              <w:spacing w:before="40" w:after="4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provider list in place </w:t>
            </w:r>
            <w:r w:rsidR="00267726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A55B0D">
              <w:rPr>
                <w:b/>
                <w:sz w:val="20"/>
                <w:szCs w:val="20"/>
              </w:rPr>
              <w:t>2016</w:t>
            </w:r>
          </w:p>
        </w:tc>
      </w:tr>
      <w:tr w:rsidR="00060AFD" w:rsidRPr="00060AFD" w:rsidTr="00E04223">
        <w:tc>
          <w:tcPr>
            <w:tcW w:w="8222" w:type="dxa"/>
            <w:shd w:val="clear" w:color="auto" w:fill="DAEEF3" w:themeFill="accent5" w:themeFillTint="33"/>
            <w:vAlign w:val="center"/>
          </w:tcPr>
          <w:p w:rsidR="00785DE3" w:rsidRPr="00060AFD" w:rsidRDefault="00785DE3" w:rsidP="00AC3F3D">
            <w:pPr>
              <w:pStyle w:val="ListParagraph"/>
              <w:numPr>
                <w:ilvl w:val="0"/>
                <w:numId w:val="2"/>
              </w:numPr>
              <w:spacing w:before="80" w:after="80"/>
              <w:ind w:left="425" w:hanging="357"/>
              <w:contextualSpacing w:val="0"/>
              <w:jc w:val="both"/>
              <w:rPr>
                <w:sz w:val="20"/>
                <w:szCs w:val="20"/>
              </w:rPr>
            </w:pPr>
            <w:r w:rsidRPr="00060AFD">
              <w:rPr>
                <w:sz w:val="20"/>
                <w:szCs w:val="20"/>
              </w:rPr>
              <w:t>We will require providers to establish a register of their trainers and assessors.</w:t>
            </w:r>
          </w:p>
          <w:p w:rsidR="00D37BFC" w:rsidRPr="00060AFD" w:rsidRDefault="00785DE3" w:rsidP="00AC3F3D">
            <w:pPr>
              <w:pStyle w:val="ListParagraph"/>
              <w:numPr>
                <w:ilvl w:val="0"/>
                <w:numId w:val="2"/>
              </w:numPr>
              <w:spacing w:before="80" w:after="120"/>
              <w:ind w:left="425" w:hanging="357"/>
              <w:contextualSpacing w:val="0"/>
              <w:jc w:val="both"/>
              <w:rPr>
                <w:sz w:val="20"/>
                <w:szCs w:val="20"/>
              </w:rPr>
            </w:pPr>
            <w:r w:rsidRPr="00060AFD">
              <w:rPr>
                <w:sz w:val="20"/>
                <w:szCs w:val="20"/>
              </w:rPr>
              <w:t>We will investigate whether there should be amendments to the skills and abilities required of the VET workforce.</w:t>
            </w:r>
          </w:p>
        </w:tc>
        <w:tc>
          <w:tcPr>
            <w:tcW w:w="1667" w:type="dxa"/>
            <w:shd w:val="clear" w:color="auto" w:fill="DAEEF3" w:themeFill="accent5" w:themeFillTint="33"/>
            <w:vAlign w:val="center"/>
          </w:tcPr>
          <w:p w:rsidR="008A48A4" w:rsidRPr="00267726" w:rsidRDefault="00267726" w:rsidP="008A48A4">
            <w:pPr>
              <w:spacing w:before="40" w:after="4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</w:t>
            </w:r>
            <w:r w:rsidR="008A48A4">
              <w:rPr>
                <w:sz w:val="20"/>
                <w:szCs w:val="20"/>
              </w:rPr>
              <w:t xml:space="preserve"> issued  and research commissioned by </w:t>
            </w:r>
            <w:r w:rsidR="008A48A4" w:rsidRPr="008A48A4">
              <w:rPr>
                <w:b/>
                <w:sz w:val="20"/>
                <w:szCs w:val="20"/>
              </w:rPr>
              <w:t>2016</w:t>
            </w:r>
          </w:p>
        </w:tc>
      </w:tr>
    </w:tbl>
    <w:p w:rsidR="00E76DC1" w:rsidRPr="00E75B37" w:rsidRDefault="00E76DC1" w:rsidP="00E615C5">
      <w:pPr>
        <w:tabs>
          <w:tab w:val="left" w:pos="7797"/>
        </w:tabs>
        <w:spacing w:before="420" w:after="180" w:line="280" w:lineRule="exact"/>
        <w:jc w:val="both"/>
        <w:rPr>
          <w:sz w:val="18"/>
          <w:szCs w:val="18"/>
        </w:rPr>
      </w:pPr>
      <w:r w:rsidRPr="0017386F">
        <w:rPr>
          <w:b/>
          <w:color w:val="002060"/>
        </w:rPr>
        <w:t>Managing</w:t>
      </w:r>
      <w:r w:rsidR="00CB200D" w:rsidRPr="0017386F">
        <w:rPr>
          <w:b/>
          <w:color w:val="002060"/>
        </w:rPr>
        <w:t xml:space="preserve"> </w:t>
      </w:r>
      <w:r w:rsidR="000A4C45" w:rsidRPr="0017386F">
        <w:rPr>
          <w:b/>
          <w:color w:val="002060"/>
        </w:rPr>
        <w:t xml:space="preserve">provider </w:t>
      </w:r>
      <w:r w:rsidRPr="0017386F">
        <w:rPr>
          <w:b/>
          <w:color w:val="002060"/>
        </w:rPr>
        <w:t>performance</w:t>
      </w:r>
    </w:p>
    <w:p w:rsidR="00E76DC1" w:rsidRPr="00060AFD" w:rsidRDefault="00C1387E" w:rsidP="00C1387E">
      <w:pPr>
        <w:spacing w:after="120" w:line="280" w:lineRule="exact"/>
        <w:jc w:val="both"/>
        <w:rPr>
          <w:sz w:val="20"/>
          <w:szCs w:val="20"/>
        </w:rPr>
      </w:pPr>
      <w:r w:rsidRPr="00C1387E">
        <w:rPr>
          <w:sz w:val="20"/>
          <w:szCs w:val="20"/>
        </w:rPr>
        <w:t>The Government will move to an integrated, risk-based</w:t>
      </w:r>
      <w:r>
        <w:rPr>
          <w:sz w:val="20"/>
          <w:szCs w:val="20"/>
        </w:rPr>
        <w:t xml:space="preserve"> </w:t>
      </w:r>
      <w:r w:rsidRPr="00C1387E">
        <w:rPr>
          <w:sz w:val="20"/>
          <w:szCs w:val="20"/>
        </w:rPr>
        <w:t>model of provider performance management, based on</w:t>
      </w:r>
      <w:r>
        <w:rPr>
          <w:sz w:val="20"/>
          <w:szCs w:val="20"/>
        </w:rPr>
        <w:t xml:space="preserve"> </w:t>
      </w:r>
      <w:r w:rsidRPr="00C1387E">
        <w:rPr>
          <w:sz w:val="20"/>
          <w:szCs w:val="20"/>
        </w:rPr>
        <w:t>three indispensable expectations of providers: quality</w:t>
      </w:r>
      <w:r>
        <w:rPr>
          <w:sz w:val="20"/>
          <w:szCs w:val="20"/>
        </w:rPr>
        <w:t xml:space="preserve"> </w:t>
      </w:r>
      <w:r w:rsidRPr="00C1387E">
        <w:rPr>
          <w:sz w:val="20"/>
          <w:szCs w:val="20"/>
        </w:rPr>
        <w:t>assurance, funding assurance and integrity of conduct.</w:t>
      </w:r>
      <w:r>
        <w:rPr>
          <w:sz w:val="20"/>
          <w:szCs w:val="20"/>
        </w:rPr>
        <w:t xml:space="preserve"> </w:t>
      </w:r>
      <w:r w:rsidRPr="00C1387E">
        <w:rPr>
          <w:sz w:val="20"/>
          <w:szCs w:val="20"/>
        </w:rPr>
        <w:t>Moving to this</w:t>
      </w:r>
      <w:r>
        <w:rPr>
          <w:sz w:val="20"/>
          <w:szCs w:val="20"/>
        </w:rPr>
        <w:t xml:space="preserve"> </w:t>
      </w:r>
      <w:r w:rsidRPr="00C1387E">
        <w:rPr>
          <w:sz w:val="20"/>
          <w:szCs w:val="20"/>
        </w:rPr>
        <w:t>approach will comprise two main initiatives:</w:t>
      </w:r>
      <w:r>
        <w:rPr>
          <w:sz w:val="20"/>
          <w:szCs w:val="20"/>
        </w:rPr>
        <w:t xml:space="preserve"> </w:t>
      </w:r>
      <w:r w:rsidRPr="00C1387E">
        <w:rPr>
          <w:sz w:val="20"/>
          <w:szCs w:val="20"/>
        </w:rPr>
        <w:t>articulating our new expectations and determining the best</w:t>
      </w:r>
      <w:r>
        <w:rPr>
          <w:sz w:val="20"/>
          <w:szCs w:val="20"/>
        </w:rPr>
        <w:t xml:space="preserve"> </w:t>
      </w:r>
      <w:r w:rsidRPr="00C1387E">
        <w:rPr>
          <w:sz w:val="20"/>
          <w:szCs w:val="20"/>
        </w:rPr>
        <w:t>approach to</w:t>
      </w:r>
      <w:r>
        <w:rPr>
          <w:sz w:val="20"/>
          <w:szCs w:val="20"/>
        </w:rPr>
        <w:t xml:space="preserve"> </w:t>
      </w:r>
      <w:r w:rsidRPr="00C1387E">
        <w:rPr>
          <w:sz w:val="20"/>
          <w:szCs w:val="20"/>
        </w:rPr>
        <w:t>testing and enforcing those expectations</w:t>
      </w:r>
      <w:r>
        <w:rPr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234"/>
      </w:tblGrid>
      <w:tr w:rsidR="003F401C" w:rsidRPr="00060AFD" w:rsidTr="0053182A">
        <w:tc>
          <w:tcPr>
            <w:tcW w:w="7655" w:type="dxa"/>
            <w:vAlign w:val="center"/>
          </w:tcPr>
          <w:p w:rsidR="0053182A" w:rsidRPr="00C46875" w:rsidRDefault="0053182A" w:rsidP="0053182A">
            <w:pPr>
              <w:spacing w:before="120" w:after="120" w:line="280" w:lineRule="atLeast"/>
              <w:ind w:left="-108"/>
              <w:jc w:val="both"/>
              <w:rPr>
                <w:b/>
              </w:rPr>
            </w:pPr>
            <w:r w:rsidRPr="00C46875">
              <w:rPr>
                <w:b/>
              </w:rPr>
              <w:t>Recommendation</w:t>
            </w:r>
            <w:r>
              <w:rPr>
                <w:b/>
              </w:rPr>
              <w:t>s 11-14:</w:t>
            </w:r>
          </w:p>
          <w:p w:rsidR="003F401C" w:rsidRPr="00060AFD" w:rsidRDefault="0053182A" w:rsidP="0053182A">
            <w:pPr>
              <w:spacing w:before="120" w:after="120" w:line="280" w:lineRule="atLeast"/>
              <w:ind w:left="-108"/>
              <w:jc w:val="both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Actions</w:t>
            </w:r>
          </w:p>
        </w:tc>
        <w:tc>
          <w:tcPr>
            <w:tcW w:w="2234" w:type="dxa"/>
            <w:vAlign w:val="center"/>
          </w:tcPr>
          <w:p w:rsidR="003F401C" w:rsidRPr="00060AFD" w:rsidRDefault="003F401C" w:rsidP="0053182A">
            <w:pPr>
              <w:spacing w:before="120" w:line="280" w:lineRule="atLeast"/>
              <w:jc w:val="right"/>
              <w:rPr>
                <w:b/>
                <w:color w:val="002060"/>
                <w:sz w:val="20"/>
                <w:szCs w:val="20"/>
              </w:rPr>
            </w:pPr>
            <w:r w:rsidRPr="00060AFD">
              <w:rPr>
                <w:b/>
                <w:color w:val="002060"/>
                <w:sz w:val="20"/>
                <w:szCs w:val="20"/>
              </w:rPr>
              <w:t>When</w:t>
            </w:r>
          </w:p>
        </w:tc>
      </w:tr>
      <w:tr w:rsidR="00F703F3" w:rsidRPr="00060AFD" w:rsidTr="0053182A">
        <w:tc>
          <w:tcPr>
            <w:tcW w:w="7655" w:type="dxa"/>
            <w:shd w:val="clear" w:color="auto" w:fill="DAEEF3" w:themeFill="accent5" w:themeFillTint="33"/>
            <w:vAlign w:val="center"/>
          </w:tcPr>
          <w:p w:rsidR="003F401C" w:rsidRPr="00060AFD" w:rsidRDefault="00A914A0" w:rsidP="00711585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711585" w:rsidRPr="00060AFD">
              <w:rPr>
                <w:b/>
                <w:sz w:val="20"/>
                <w:szCs w:val="20"/>
              </w:rPr>
              <w:t>evelop and articulate our expectation of high quality training and assessment</w:t>
            </w:r>
            <w:r w:rsidR="00711585" w:rsidRPr="00060AFD">
              <w:rPr>
                <w:sz w:val="20"/>
                <w:szCs w:val="20"/>
              </w:rPr>
              <w:t xml:space="preserve"> in the Government funded system</w:t>
            </w: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3F401C" w:rsidRDefault="00FD6763" w:rsidP="00D43AA0">
            <w:pPr>
              <w:spacing w:before="120" w:after="4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quality framework in contract by </w:t>
            </w:r>
            <w:r w:rsidR="003F401C" w:rsidRPr="00FD6763">
              <w:rPr>
                <w:b/>
                <w:sz w:val="20"/>
                <w:szCs w:val="20"/>
              </w:rPr>
              <w:t>2016</w:t>
            </w:r>
          </w:p>
          <w:p w:rsidR="003F401C" w:rsidRPr="00060AFD" w:rsidRDefault="00FD6763" w:rsidP="00123323">
            <w:pPr>
              <w:spacing w:before="80" w:after="120"/>
              <w:ind w:left="3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43AA0">
              <w:rPr>
                <w:sz w:val="20"/>
                <w:szCs w:val="20"/>
              </w:rPr>
              <w:t>ntegrated provider performance standards</w:t>
            </w:r>
            <w:r>
              <w:rPr>
                <w:sz w:val="20"/>
                <w:szCs w:val="20"/>
              </w:rPr>
              <w:t xml:space="preserve"> by </w:t>
            </w:r>
            <w:r w:rsidRPr="00FD6763">
              <w:rPr>
                <w:b/>
                <w:sz w:val="20"/>
                <w:szCs w:val="20"/>
              </w:rPr>
              <w:t>2017</w:t>
            </w:r>
          </w:p>
        </w:tc>
      </w:tr>
      <w:tr w:rsidR="00F703F3" w:rsidRPr="00060AFD" w:rsidTr="0053182A">
        <w:tc>
          <w:tcPr>
            <w:tcW w:w="7655" w:type="dxa"/>
            <w:shd w:val="clear" w:color="auto" w:fill="B6DDE8" w:themeFill="accent5" w:themeFillTint="66"/>
            <w:vAlign w:val="center"/>
          </w:tcPr>
          <w:p w:rsidR="003F401C" w:rsidRPr="00060AFD" w:rsidRDefault="00A914A0" w:rsidP="00A27849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A27849" w:rsidRPr="00060AFD">
              <w:rPr>
                <w:b/>
                <w:sz w:val="20"/>
                <w:szCs w:val="20"/>
              </w:rPr>
              <w:t>nhance our ability to enforce our quality expectations</w:t>
            </w:r>
          </w:p>
          <w:p w:rsidR="001D2546" w:rsidRPr="00060AFD" w:rsidRDefault="001D2546" w:rsidP="002537EA">
            <w:pPr>
              <w:pStyle w:val="ListParagraph"/>
              <w:numPr>
                <w:ilvl w:val="0"/>
                <w:numId w:val="2"/>
              </w:numPr>
              <w:spacing w:before="80" w:after="80"/>
              <w:ind w:left="425" w:hanging="357"/>
              <w:contextualSpacing w:val="0"/>
              <w:jc w:val="both"/>
              <w:rPr>
                <w:sz w:val="20"/>
                <w:szCs w:val="20"/>
              </w:rPr>
            </w:pPr>
            <w:r w:rsidRPr="00060AFD">
              <w:rPr>
                <w:sz w:val="20"/>
                <w:szCs w:val="20"/>
              </w:rPr>
              <w:t>We w</w:t>
            </w:r>
            <w:r w:rsidR="002537EA" w:rsidRPr="00060AFD">
              <w:rPr>
                <w:sz w:val="20"/>
                <w:szCs w:val="20"/>
              </w:rPr>
              <w:t xml:space="preserve">ill expand </w:t>
            </w:r>
            <w:r w:rsidR="00DC51D5" w:rsidRPr="00060AFD">
              <w:rPr>
                <w:sz w:val="20"/>
                <w:szCs w:val="20"/>
              </w:rPr>
              <w:t>our</w:t>
            </w:r>
            <w:r w:rsidR="002537EA" w:rsidRPr="00060AFD">
              <w:rPr>
                <w:sz w:val="20"/>
                <w:szCs w:val="20"/>
              </w:rPr>
              <w:t xml:space="preserve"> capacity to collect, monitor, analyse and use information </w:t>
            </w:r>
            <w:r w:rsidR="00DC51D5" w:rsidRPr="00060AFD">
              <w:rPr>
                <w:sz w:val="20"/>
                <w:szCs w:val="20"/>
              </w:rPr>
              <w:t>and intelligence</w:t>
            </w:r>
          </w:p>
          <w:p w:rsidR="001D2546" w:rsidRPr="00060AFD" w:rsidRDefault="001D2546" w:rsidP="00DC51D5">
            <w:pPr>
              <w:pStyle w:val="ListParagraph"/>
              <w:numPr>
                <w:ilvl w:val="0"/>
                <w:numId w:val="2"/>
              </w:numPr>
              <w:spacing w:before="80" w:after="80"/>
              <w:ind w:left="425" w:hanging="357"/>
              <w:contextualSpacing w:val="0"/>
              <w:jc w:val="both"/>
              <w:rPr>
                <w:sz w:val="20"/>
                <w:szCs w:val="20"/>
              </w:rPr>
            </w:pPr>
            <w:r w:rsidRPr="00060AFD">
              <w:rPr>
                <w:sz w:val="20"/>
                <w:szCs w:val="20"/>
              </w:rPr>
              <w:t xml:space="preserve">We will </w:t>
            </w:r>
            <w:r w:rsidR="00DC51D5" w:rsidRPr="00060AFD">
              <w:rPr>
                <w:sz w:val="20"/>
                <w:szCs w:val="20"/>
              </w:rPr>
              <w:t>develop a regular and responsive model for auditing providers to detect poor quality training and test whether our expectations have been met</w:t>
            </w:r>
          </w:p>
          <w:p w:rsidR="00DC51D5" w:rsidRPr="00060AFD" w:rsidRDefault="00DC51D5" w:rsidP="00BD0F70">
            <w:pPr>
              <w:pStyle w:val="ListParagraph"/>
              <w:numPr>
                <w:ilvl w:val="0"/>
                <w:numId w:val="2"/>
              </w:numPr>
              <w:spacing w:before="80" w:after="120"/>
              <w:ind w:left="425" w:hanging="357"/>
              <w:contextualSpacing w:val="0"/>
              <w:jc w:val="both"/>
              <w:rPr>
                <w:b/>
                <w:sz w:val="20"/>
                <w:szCs w:val="20"/>
              </w:rPr>
            </w:pPr>
            <w:r w:rsidRPr="00060AFD">
              <w:rPr>
                <w:sz w:val="20"/>
                <w:szCs w:val="20"/>
              </w:rPr>
              <w:t xml:space="preserve">We will </w:t>
            </w:r>
            <w:r w:rsidR="00BD0F70">
              <w:rPr>
                <w:sz w:val="20"/>
                <w:szCs w:val="20"/>
              </w:rPr>
              <w:t>segment</w:t>
            </w:r>
            <w:r w:rsidRPr="00060AFD">
              <w:rPr>
                <w:sz w:val="20"/>
                <w:szCs w:val="20"/>
              </w:rPr>
              <w:t xml:space="preserve"> different qualifications based on the risks they present </w:t>
            </w:r>
            <w:r w:rsidR="003F17B1" w:rsidRPr="00060AFD">
              <w:rPr>
                <w:sz w:val="20"/>
                <w:szCs w:val="20"/>
              </w:rPr>
              <w:t xml:space="preserve">should they not be </w:t>
            </w:r>
            <w:r w:rsidRPr="00060AFD">
              <w:rPr>
                <w:sz w:val="20"/>
                <w:szCs w:val="20"/>
              </w:rPr>
              <w:t>delivered to a high standard</w:t>
            </w:r>
          </w:p>
        </w:tc>
        <w:tc>
          <w:tcPr>
            <w:tcW w:w="2234" w:type="dxa"/>
            <w:shd w:val="clear" w:color="auto" w:fill="B6DDE8" w:themeFill="accent5" w:themeFillTint="66"/>
            <w:vAlign w:val="center"/>
          </w:tcPr>
          <w:p w:rsidR="00123323" w:rsidRDefault="00123323" w:rsidP="00123323">
            <w:pPr>
              <w:spacing w:before="12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quality enforcement by </w:t>
            </w:r>
            <w:r w:rsidRPr="00FD6763">
              <w:rPr>
                <w:b/>
                <w:sz w:val="20"/>
                <w:szCs w:val="20"/>
              </w:rPr>
              <w:t>2016</w:t>
            </w:r>
          </w:p>
          <w:p w:rsidR="003F401C" w:rsidRPr="00EF0C53" w:rsidRDefault="00123323" w:rsidP="00123323">
            <w:pPr>
              <w:spacing w:before="120" w:after="8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Integrated provider performance enforcement by </w:t>
            </w:r>
            <w:r w:rsidRPr="00FD6763">
              <w:rPr>
                <w:b/>
                <w:sz w:val="20"/>
                <w:szCs w:val="20"/>
              </w:rPr>
              <w:t>2017</w:t>
            </w:r>
          </w:p>
        </w:tc>
      </w:tr>
    </w:tbl>
    <w:p w:rsidR="003F17B1" w:rsidRPr="00E75B37" w:rsidRDefault="003F17B1" w:rsidP="00E615C5">
      <w:pPr>
        <w:tabs>
          <w:tab w:val="left" w:pos="7797"/>
        </w:tabs>
        <w:spacing w:before="420" w:after="180" w:line="280" w:lineRule="exact"/>
        <w:jc w:val="both"/>
        <w:rPr>
          <w:sz w:val="18"/>
          <w:szCs w:val="18"/>
        </w:rPr>
      </w:pPr>
      <w:r w:rsidRPr="0017386F">
        <w:rPr>
          <w:b/>
          <w:color w:val="002060"/>
        </w:rPr>
        <w:t>Supporting student choice</w:t>
      </w:r>
    </w:p>
    <w:p w:rsidR="00A01EBB" w:rsidRPr="00060AFD" w:rsidRDefault="0067221A" w:rsidP="0067221A">
      <w:pPr>
        <w:spacing w:after="120" w:line="280" w:lineRule="exact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An effective training system is only possible when</w:t>
      </w:r>
      <w:r>
        <w:rPr>
          <w:sz w:val="20"/>
          <w:szCs w:val="20"/>
        </w:rPr>
        <w:t xml:space="preserve"> </w:t>
      </w:r>
      <w:r w:rsidRPr="0067221A">
        <w:rPr>
          <w:sz w:val="20"/>
          <w:szCs w:val="20"/>
        </w:rPr>
        <w:t>consumers—both students and employers—are</w:t>
      </w:r>
      <w:r>
        <w:rPr>
          <w:sz w:val="20"/>
          <w:szCs w:val="20"/>
        </w:rPr>
        <w:t xml:space="preserve"> </w:t>
      </w:r>
      <w:r w:rsidRPr="0067221A">
        <w:rPr>
          <w:sz w:val="20"/>
          <w:szCs w:val="20"/>
        </w:rPr>
        <w:t>empowered to</w:t>
      </w:r>
      <w:r>
        <w:rPr>
          <w:sz w:val="20"/>
          <w:szCs w:val="20"/>
        </w:rPr>
        <w:t xml:space="preserve"> </w:t>
      </w:r>
      <w:r w:rsidRPr="0067221A">
        <w:rPr>
          <w:sz w:val="20"/>
          <w:szCs w:val="20"/>
        </w:rPr>
        <w:t>choose courses and providers based on</w:t>
      </w:r>
      <w:r>
        <w:rPr>
          <w:sz w:val="20"/>
          <w:szCs w:val="20"/>
        </w:rPr>
        <w:t xml:space="preserve"> </w:t>
      </w:r>
      <w:r w:rsidRPr="0067221A">
        <w:rPr>
          <w:sz w:val="20"/>
          <w:szCs w:val="20"/>
        </w:rPr>
        <w:t>high quality information. This means supporting different</w:t>
      </w:r>
      <w:r>
        <w:rPr>
          <w:sz w:val="20"/>
          <w:szCs w:val="20"/>
        </w:rPr>
        <w:t xml:space="preserve"> </w:t>
      </w:r>
      <w:r w:rsidRPr="0067221A">
        <w:rPr>
          <w:sz w:val="20"/>
          <w:szCs w:val="20"/>
        </w:rPr>
        <w:t>groups in different</w:t>
      </w:r>
      <w:r>
        <w:rPr>
          <w:sz w:val="20"/>
          <w:szCs w:val="20"/>
        </w:rPr>
        <w:t xml:space="preserve"> </w:t>
      </w:r>
      <w:r w:rsidRPr="0067221A">
        <w:rPr>
          <w:sz w:val="20"/>
          <w:szCs w:val="20"/>
        </w:rPr>
        <w:t>ways.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092"/>
      </w:tblGrid>
      <w:tr w:rsidR="00517372" w:rsidRPr="00060AFD" w:rsidTr="00257069">
        <w:tc>
          <w:tcPr>
            <w:tcW w:w="7797" w:type="dxa"/>
            <w:vAlign w:val="center"/>
          </w:tcPr>
          <w:p w:rsidR="00B7180A" w:rsidRPr="00C46875" w:rsidRDefault="00B7180A" w:rsidP="00B7180A">
            <w:pPr>
              <w:spacing w:before="120" w:after="120" w:line="280" w:lineRule="atLeast"/>
              <w:ind w:left="-108"/>
              <w:jc w:val="both"/>
              <w:rPr>
                <w:b/>
              </w:rPr>
            </w:pPr>
            <w:r w:rsidRPr="00C46875">
              <w:rPr>
                <w:b/>
              </w:rPr>
              <w:t>Recommendation</w:t>
            </w:r>
            <w:r>
              <w:rPr>
                <w:b/>
              </w:rPr>
              <w:t>s 15-19:</w:t>
            </w:r>
          </w:p>
          <w:p w:rsidR="00517372" w:rsidRPr="00060AFD" w:rsidRDefault="00B7180A" w:rsidP="00B7180A">
            <w:pPr>
              <w:spacing w:before="120" w:after="120" w:line="280" w:lineRule="atLeast"/>
              <w:ind w:left="-108"/>
              <w:jc w:val="both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Actions</w:t>
            </w:r>
          </w:p>
        </w:tc>
        <w:tc>
          <w:tcPr>
            <w:tcW w:w="2092" w:type="dxa"/>
            <w:vAlign w:val="center"/>
          </w:tcPr>
          <w:p w:rsidR="00517372" w:rsidRPr="00060AFD" w:rsidRDefault="00517372" w:rsidP="0053182A">
            <w:pPr>
              <w:spacing w:before="120" w:line="280" w:lineRule="atLeast"/>
              <w:jc w:val="right"/>
              <w:rPr>
                <w:b/>
                <w:color w:val="002060"/>
                <w:sz w:val="20"/>
                <w:szCs w:val="20"/>
              </w:rPr>
            </w:pPr>
            <w:r w:rsidRPr="00060AFD">
              <w:rPr>
                <w:b/>
                <w:color w:val="002060"/>
                <w:sz w:val="20"/>
                <w:szCs w:val="20"/>
              </w:rPr>
              <w:t>When</w:t>
            </w:r>
          </w:p>
        </w:tc>
      </w:tr>
      <w:tr w:rsidR="00257069" w:rsidRPr="00060AFD" w:rsidTr="00257069">
        <w:tc>
          <w:tcPr>
            <w:tcW w:w="7797" w:type="dxa"/>
            <w:shd w:val="clear" w:color="auto" w:fill="DAEEF3" w:themeFill="accent5" w:themeFillTint="33"/>
            <w:vAlign w:val="center"/>
          </w:tcPr>
          <w:p w:rsidR="00517372" w:rsidRPr="00060AFD" w:rsidRDefault="00A914A0" w:rsidP="00713F49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8642E" w:rsidRPr="00060AFD">
              <w:rPr>
                <w:b/>
                <w:sz w:val="20"/>
                <w:szCs w:val="20"/>
              </w:rPr>
              <w:t>easure and communicate provider performance</w:t>
            </w:r>
          </w:p>
          <w:p w:rsidR="0048642E" w:rsidRPr="008270FA" w:rsidRDefault="008270FA" w:rsidP="008270FA">
            <w:pPr>
              <w:pStyle w:val="ListParagraph"/>
              <w:numPr>
                <w:ilvl w:val="0"/>
                <w:numId w:val="2"/>
              </w:numPr>
              <w:spacing w:before="80" w:after="120"/>
              <w:ind w:left="425" w:hanging="357"/>
              <w:contextualSpacing w:val="0"/>
              <w:jc w:val="both"/>
              <w:rPr>
                <w:sz w:val="20"/>
                <w:szCs w:val="20"/>
              </w:rPr>
            </w:pPr>
            <w:r w:rsidRPr="008270FA">
              <w:rPr>
                <w:sz w:val="20"/>
                <w:szCs w:val="20"/>
              </w:rPr>
              <w:t>We will continue to collect and refine RTO Performance Indicators, student</w:t>
            </w:r>
            <w:r>
              <w:rPr>
                <w:sz w:val="20"/>
                <w:szCs w:val="20"/>
              </w:rPr>
              <w:t xml:space="preserve"> </w:t>
            </w:r>
            <w:r w:rsidRPr="008270FA">
              <w:rPr>
                <w:sz w:val="20"/>
                <w:szCs w:val="20"/>
              </w:rPr>
              <w:t>and employer surveys</w:t>
            </w:r>
          </w:p>
          <w:p w:rsidR="0048642E" w:rsidRPr="00060AFD" w:rsidRDefault="00EC367D" w:rsidP="00EC367D">
            <w:pPr>
              <w:pStyle w:val="ListParagraph"/>
              <w:numPr>
                <w:ilvl w:val="0"/>
                <w:numId w:val="2"/>
              </w:numPr>
              <w:spacing w:before="80" w:after="120"/>
              <w:ind w:left="425" w:hanging="357"/>
              <w:contextualSpacing w:val="0"/>
              <w:jc w:val="both"/>
              <w:rPr>
                <w:sz w:val="20"/>
                <w:szCs w:val="20"/>
              </w:rPr>
            </w:pPr>
            <w:r w:rsidRPr="00EC367D">
              <w:rPr>
                <w:sz w:val="20"/>
                <w:szCs w:val="20"/>
              </w:rPr>
              <w:lastRenderedPageBreak/>
              <w:t>We will develop a powerful tool to communicate provider performance in</w:t>
            </w:r>
            <w:r>
              <w:rPr>
                <w:sz w:val="20"/>
                <w:szCs w:val="20"/>
              </w:rPr>
              <w:t xml:space="preserve"> </w:t>
            </w:r>
            <w:r w:rsidRPr="00EC367D">
              <w:rPr>
                <w:sz w:val="20"/>
                <w:szCs w:val="20"/>
              </w:rPr>
              <w:t>a way</w:t>
            </w:r>
            <w:r>
              <w:rPr>
                <w:sz w:val="20"/>
                <w:szCs w:val="20"/>
              </w:rPr>
              <w:t xml:space="preserve"> </w:t>
            </w:r>
            <w:r w:rsidRPr="00EC367D">
              <w:rPr>
                <w:sz w:val="20"/>
                <w:szCs w:val="20"/>
              </w:rPr>
              <w:t>that is meaningful and useful for</w:t>
            </w:r>
            <w:r>
              <w:rPr>
                <w:sz w:val="20"/>
                <w:szCs w:val="20"/>
              </w:rPr>
              <w:t xml:space="preserve"> </w:t>
            </w:r>
            <w:r w:rsidRPr="00EC367D">
              <w:rPr>
                <w:sz w:val="20"/>
                <w:szCs w:val="20"/>
              </w:rPr>
              <w:t>students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517372" w:rsidRDefault="007F2E29" w:rsidP="00B010F1">
            <w:pPr>
              <w:spacing w:before="120"/>
              <w:ind w:left="34"/>
              <w:rPr>
                <w:sz w:val="20"/>
                <w:szCs w:val="20"/>
              </w:rPr>
            </w:pPr>
            <w:r w:rsidRPr="00894C0F">
              <w:rPr>
                <w:b/>
                <w:sz w:val="20"/>
                <w:szCs w:val="20"/>
              </w:rPr>
              <w:lastRenderedPageBreak/>
              <w:t>U</w:t>
            </w:r>
            <w:r w:rsidR="00F703F3" w:rsidRPr="00B010F1">
              <w:rPr>
                <w:b/>
                <w:sz w:val="20"/>
                <w:szCs w:val="20"/>
              </w:rPr>
              <w:t>nderway</w:t>
            </w:r>
          </w:p>
          <w:p w:rsidR="00B010F1" w:rsidRPr="00DD3249" w:rsidRDefault="00B010F1" w:rsidP="00B010F1">
            <w:pPr>
              <w:spacing w:before="80" w:after="12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communication tools </w:t>
            </w:r>
            <w:r>
              <w:rPr>
                <w:sz w:val="20"/>
                <w:szCs w:val="20"/>
              </w:rPr>
              <w:lastRenderedPageBreak/>
              <w:t xml:space="preserve">in </w:t>
            </w:r>
            <w:r w:rsidRPr="00B010F1">
              <w:rPr>
                <w:b/>
                <w:sz w:val="20"/>
                <w:szCs w:val="20"/>
              </w:rPr>
              <w:t>2016</w:t>
            </w:r>
          </w:p>
        </w:tc>
      </w:tr>
      <w:tr w:rsidR="00257069" w:rsidRPr="00060AFD" w:rsidTr="00257069">
        <w:tc>
          <w:tcPr>
            <w:tcW w:w="7797" w:type="dxa"/>
            <w:shd w:val="clear" w:color="auto" w:fill="B6DDE8" w:themeFill="accent5" w:themeFillTint="66"/>
            <w:vAlign w:val="center"/>
          </w:tcPr>
          <w:p w:rsidR="00517372" w:rsidRPr="00060AFD" w:rsidRDefault="00A914A0" w:rsidP="00352E39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</w:t>
            </w:r>
            <w:r w:rsidR="0076300E" w:rsidRPr="00060AFD">
              <w:rPr>
                <w:b/>
                <w:sz w:val="20"/>
                <w:szCs w:val="20"/>
              </w:rPr>
              <w:t>upport susceptible</w:t>
            </w:r>
            <w:r w:rsidR="001C628C" w:rsidRPr="00060AFD">
              <w:rPr>
                <w:b/>
                <w:sz w:val="20"/>
                <w:szCs w:val="20"/>
              </w:rPr>
              <w:t xml:space="preserve"> cohorts</w:t>
            </w:r>
            <w:r w:rsidR="00A20F94" w:rsidRPr="00060AFD">
              <w:rPr>
                <w:sz w:val="20"/>
                <w:szCs w:val="20"/>
              </w:rPr>
              <w:t xml:space="preserve"> to make empowered course and provider choices</w:t>
            </w:r>
            <w:r w:rsidR="00352E39" w:rsidRPr="00352E39">
              <w:rPr>
                <w:sz w:val="20"/>
                <w:szCs w:val="20"/>
              </w:rPr>
              <w:t>,</w:t>
            </w:r>
            <w:r w:rsidR="00352E39">
              <w:rPr>
                <w:sz w:val="20"/>
                <w:szCs w:val="20"/>
              </w:rPr>
              <w:t xml:space="preserve"> </w:t>
            </w:r>
            <w:r w:rsidR="00352E39" w:rsidRPr="00352E39">
              <w:rPr>
                <w:sz w:val="20"/>
                <w:szCs w:val="20"/>
              </w:rPr>
              <w:t>including</w:t>
            </w:r>
            <w:r w:rsidR="00352E39">
              <w:rPr>
                <w:sz w:val="20"/>
                <w:szCs w:val="20"/>
              </w:rPr>
              <w:t xml:space="preserve"> </w:t>
            </w:r>
            <w:r w:rsidR="00352E39" w:rsidRPr="00352E39">
              <w:rPr>
                <w:sz w:val="20"/>
                <w:szCs w:val="20"/>
              </w:rPr>
              <w:t>through better career advice and</w:t>
            </w:r>
            <w:r w:rsidR="00352E39">
              <w:rPr>
                <w:sz w:val="20"/>
                <w:szCs w:val="20"/>
              </w:rPr>
              <w:t xml:space="preserve"> </w:t>
            </w:r>
            <w:r w:rsidR="00352E39" w:rsidRPr="00352E39">
              <w:rPr>
                <w:sz w:val="20"/>
                <w:szCs w:val="20"/>
              </w:rPr>
              <w:t>engagement to support completion</w:t>
            </w:r>
          </w:p>
        </w:tc>
        <w:tc>
          <w:tcPr>
            <w:tcW w:w="2092" w:type="dxa"/>
            <w:shd w:val="clear" w:color="auto" w:fill="B6DDE8" w:themeFill="accent5" w:themeFillTint="66"/>
            <w:vAlign w:val="center"/>
          </w:tcPr>
          <w:p w:rsidR="00517372" w:rsidRPr="00060AFD" w:rsidRDefault="004125D5" w:rsidP="004125D5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 w:rsidRPr="004125D5">
              <w:rPr>
                <w:sz w:val="20"/>
                <w:szCs w:val="20"/>
              </w:rPr>
              <w:t>Develop support mode</w:t>
            </w:r>
            <w:r w:rsidR="006C32F1">
              <w:rPr>
                <w:sz w:val="20"/>
                <w:szCs w:val="20"/>
              </w:rPr>
              <w:t>l</w:t>
            </w:r>
            <w:r w:rsidRPr="004125D5">
              <w:rPr>
                <w:sz w:val="20"/>
                <w:szCs w:val="20"/>
              </w:rPr>
              <w:t xml:space="preserve"> in </w:t>
            </w:r>
            <w:r w:rsidRPr="004125D5">
              <w:rPr>
                <w:b/>
                <w:sz w:val="20"/>
                <w:szCs w:val="20"/>
              </w:rPr>
              <w:t>2016</w:t>
            </w:r>
          </w:p>
        </w:tc>
      </w:tr>
      <w:tr w:rsidR="000E7B75" w:rsidRPr="00060AFD" w:rsidTr="00257069">
        <w:tc>
          <w:tcPr>
            <w:tcW w:w="7797" w:type="dxa"/>
            <w:shd w:val="clear" w:color="auto" w:fill="DAEEF3" w:themeFill="accent5" w:themeFillTint="33"/>
            <w:vAlign w:val="center"/>
          </w:tcPr>
          <w:p w:rsidR="000E7B75" w:rsidRPr="00060AFD" w:rsidRDefault="00A914A0" w:rsidP="000E7B75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0E7B75" w:rsidRPr="00060AFD">
              <w:rPr>
                <w:b/>
                <w:sz w:val="20"/>
                <w:szCs w:val="20"/>
              </w:rPr>
              <w:t>stablish a body to investigate and resolve Victorian students’ complaints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0E7B75" w:rsidRPr="00060AFD" w:rsidRDefault="005D41D2" w:rsidP="00352E39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 w:rsidRPr="005D41D2">
              <w:rPr>
                <w:sz w:val="20"/>
                <w:szCs w:val="20"/>
              </w:rPr>
              <w:t>Establish</w:t>
            </w:r>
            <w:r w:rsidR="00352E39">
              <w:rPr>
                <w:sz w:val="20"/>
                <w:szCs w:val="20"/>
              </w:rPr>
              <w:t xml:space="preserve">ed </w:t>
            </w:r>
            <w:r w:rsidRPr="005D41D2">
              <w:rPr>
                <w:sz w:val="20"/>
                <w:szCs w:val="20"/>
              </w:rPr>
              <w:t xml:space="preserve">in </w:t>
            </w:r>
            <w:r w:rsidR="000E7B75" w:rsidRPr="005D41D2">
              <w:rPr>
                <w:b/>
                <w:sz w:val="20"/>
                <w:szCs w:val="20"/>
              </w:rPr>
              <w:t>2016</w:t>
            </w:r>
          </w:p>
        </w:tc>
      </w:tr>
    </w:tbl>
    <w:p w:rsidR="00517372" w:rsidRDefault="00517372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C01D86" w:rsidRDefault="00C01D86" w:rsidP="00833473">
      <w:pPr>
        <w:spacing w:line="280" w:lineRule="exact"/>
        <w:jc w:val="both"/>
      </w:pPr>
    </w:p>
    <w:p w:rsidR="00C01D86" w:rsidRDefault="00C01D86" w:rsidP="00833473">
      <w:pPr>
        <w:spacing w:line="280" w:lineRule="exact"/>
        <w:jc w:val="both"/>
      </w:pPr>
    </w:p>
    <w:p w:rsidR="00C01D86" w:rsidRDefault="00C01D86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Default="00BD70CB" w:rsidP="00833473">
      <w:pPr>
        <w:spacing w:line="280" w:lineRule="exact"/>
        <w:jc w:val="both"/>
      </w:pPr>
    </w:p>
    <w:p w:rsidR="00BD70CB" w:rsidRPr="00D27983" w:rsidRDefault="00BD70CB" w:rsidP="00BD70CB">
      <w:pPr>
        <w:spacing w:line="280" w:lineRule="exact"/>
        <w:jc w:val="right"/>
        <w:rPr>
          <w:sz w:val="20"/>
          <w:szCs w:val="20"/>
        </w:rPr>
      </w:pPr>
      <w:r w:rsidRPr="00D27983">
        <w:rPr>
          <w:sz w:val="20"/>
          <w:szCs w:val="20"/>
        </w:rPr>
        <w:t>Authorised by the Department of Education and Training</w:t>
      </w:r>
    </w:p>
    <w:p w:rsidR="00BD70CB" w:rsidRPr="00D27983" w:rsidRDefault="00BD70CB" w:rsidP="00BD70CB">
      <w:pPr>
        <w:spacing w:line="280" w:lineRule="exact"/>
        <w:jc w:val="right"/>
        <w:rPr>
          <w:sz w:val="20"/>
          <w:szCs w:val="20"/>
        </w:rPr>
      </w:pPr>
      <w:r w:rsidRPr="00D27983">
        <w:rPr>
          <w:sz w:val="20"/>
          <w:szCs w:val="20"/>
        </w:rPr>
        <w:t>2 Treasury Place, East Melbourne Victoria 3002</w:t>
      </w:r>
    </w:p>
    <w:p w:rsidR="00BD70CB" w:rsidRPr="00D27983" w:rsidRDefault="00BD70CB" w:rsidP="00BD70CB">
      <w:pPr>
        <w:spacing w:line="280" w:lineRule="exact"/>
        <w:jc w:val="right"/>
        <w:rPr>
          <w:sz w:val="20"/>
          <w:szCs w:val="20"/>
        </w:rPr>
      </w:pPr>
      <w:r w:rsidRPr="00D27983">
        <w:rPr>
          <w:sz w:val="20"/>
          <w:szCs w:val="20"/>
        </w:rPr>
        <w:t>© State of Victoria 2015</w:t>
      </w:r>
    </w:p>
    <w:sectPr w:rsidR="00BD70CB" w:rsidRPr="00D27983" w:rsidSect="00C01D86">
      <w:pgSz w:w="11906" w:h="16838"/>
      <w:pgMar w:top="1305" w:right="991" w:bottom="1843" w:left="1134" w:header="851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91" w:rsidRDefault="00F93C91" w:rsidP="00E75B37">
      <w:r>
        <w:separator/>
      </w:r>
    </w:p>
  </w:endnote>
  <w:endnote w:type="continuationSeparator" w:id="0">
    <w:p w:rsidR="00F93C91" w:rsidRDefault="00F93C91" w:rsidP="00E7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95553193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97852285"/>
          <w:docPartObj>
            <w:docPartGallery w:val="Page Numbers (Top of Page)"/>
            <w:docPartUnique/>
          </w:docPartObj>
        </w:sdtPr>
        <w:sdtEndPr/>
        <w:sdtContent>
          <w:p w:rsidR="00F93C91" w:rsidRPr="00805A43" w:rsidRDefault="00C01D86" w:rsidP="00C30701">
            <w:pPr>
              <w:pStyle w:val="Footer"/>
              <w:jc w:val="right"/>
              <w:rPr>
                <w:sz w:val="18"/>
              </w:rPr>
            </w:pPr>
            <w:r w:rsidRPr="00C01D86">
              <w:rPr>
                <w:sz w:val="18"/>
              </w:rPr>
              <w:t>Review of Quality Assurance in Victoria’s VET System:  Government response</w:t>
            </w:r>
            <w:r w:rsidR="00F93C91" w:rsidRPr="00805A43">
              <w:rPr>
                <w:b/>
                <w:noProof/>
                <w:sz w:val="18"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43AF4807" wp14:editId="366B031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-173668</wp:posOffset>
                  </wp:positionV>
                  <wp:extent cx="545911" cy="322177"/>
                  <wp:effectExtent l="0" t="0" r="6985" b="19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11" cy="32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84391467"/>
      <w:docPartObj>
        <w:docPartGallery w:val="Page Numbers (Top of Page)"/>
        <w:docPartUnique/>
      </w:docPartObj>
    </w:sdtPr>
    <w:sdtEndPr/>
    <w:sdtContent>
      <w:p w:rsidR="00F93C91" w:rsidRPr="00115C7E" w:rsidRDefault="00F93C91" w:rsidP="00115C7E">
        <w:pPr>
          <w:pStyle w:val="Footer"/>
          <w:jc w:val="right"/>
          <w:rPr>
            <w:sz w:val="18"/>
          </w:rPr>
        </w:pPr>
        <w:r w:rsidRPr="00805A43">
          <w:rPr>
            <w:b/>
            <w:noProof/>
            <w:sz w:val="18"/>
            <w:lang w:eastAsia="en-AU"/>
          </w:rPr>
          <w:drawing>
            <wp:anchor distT="0" distB="0" distL="114300" distR="114300" simplePos="0" relativeHeight="251667456" behindDoc="1" locked="0" layoutInCell="1" allowOverlap="1" wp14:anchorId="42618ACD" wp14:editId="3316BC55">
              <wp:simplePos x="0" y="0"/>
              <wp:positionH relativeFrom="column">
                <wp:posOffset>-19685</wp:posOffset>
              </wp:positionH>
              <wp:positionV relativeFrom="paragraph">
                <wp:posOffset>-173668</wp:posOffset>
              </wp:positionV>
              <wp:extent cx="545911" cy="322177"/>
              <wp:effectExtent l="0" t="0" r="6985" b="1905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5911" cy="322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91" w:rsidRPr="00115C7E" w:rsidRDefault="00052313" w:rsidP="00115C7E">
    <w:pPr>
      <w:pStyle w:val="Footer"/>
      <w:jc w:val="right"/>
      <w:rPr>
        <w:sz w:val="18"/>
      </w:rPr>
    </w:pPr>
    <w:sdt>
      <w:sdtPr>
        <w:rPr>
          <w:sz w:val="18"/>
        </w:rPr>
        <w:id w:val="-1152514676"/>
        <w:docPartObj>
          <w:docPartGallery w:val="Page Numbers (Top of Page)"/>
          <w:docPartUnique/>
        </w:docPartObj>
      </w:sdtPr>
      <w:sdtEndPr/>
      <w:sdtContent>
        <w:r w:rsidR="00F93C91" w:rsidRPr="00805A43">
          <w:rPr>
            <w:b/>
            <w:noProof/>
            <w:sz w:val="18"/>
            <w:lang w:eastAsia="en-AU"/>
          </w:rPr>
          <w:drawing>
            <wp:anchor distT="0" distB="0" distL="114300" distR="114300" simplePos="0" relativeHeight="251669504" behindDoc="1" locked="0" layoutInCell="1" allowOverlap="1" wp14:anchorId="7B087635" wp14:editId="0EABCE8F">
              <wp:simplePos x="0" y="0"/>
              <wp:positionH relativeFrom="column">
                <wp:posOffset>-19685</wp:posOffset>
              </wp:positionH>
              <wp:positionV relativeFrom="paragraph">
                <wp:posOffset>-173668</wp:posOffset>
              </wp:positionV>
              <wp:extent cx="545911" cy="322177"/>
              <wp:effectExtent l="0" t="0" r="6985" b="1905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5911" cy="322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73331" w:rsidRPr="00C73331">
      <w:rPr>
        <w:sz w:val="18"/>
      </w:rPr>
      <w:t xml:space="preserve"> </w:t>
    </w:r>
    <w:r w:rsidR="00C73331" w:rsidRPr="00C01D86">
      <w:rPr>
        <w:sz w:val="18"/>
      </w:rPr>
      <w:t>Review of Quality Assurance in Victoria’s VET System:  Government response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91" w:rsidRDefault="00F93C91" w:rsidP="00E75B37">
      <w:r>
        <w:separator/>
      </w:r>
    </w:p>
  </w:footnote>
  <w:footnote w:type="continuationSeparator" w:id="0">
    <w:p w:rsidR="00F93C91" w:rsidRDefault="00F93C91" w:rsidP="00E7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91" w:rsidRPr="00E75B37" w:rsidRDefault="00F93C91" w:rsidP="00E75B37">
    <w:pPr>
      <w:pStyle w:val="Header"/>
      <w:spacing w:after="360"/>
      <w:rPr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4B1"/>
    <w:multiLevelType w:val="hybridMultilevel"/>
    <w:tmpl w:val="679AF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3771"/>
    <w:multiLevelType w:val="hybridMultilevel"/>
    <w:tmpl w:val="D7E866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00247E"/>
    <w:multiLevelType w:val="hybridMultilevel"/>
    <w:tmpl w:val="73342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B6A66"/>
    <w:multiLevelType w:val="hybridMultilevel"/>
    <w:tmpl w:val="1F405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5BD0"/>
    <w:multiLevelType w:val="hybridMultilevel"/>
    <w:tmpl w:val="03DEB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14065"/>
    <w:multiLevelType w:val="hybridMultilevel"/>
    <w:tmpl w:val="28E4F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4FEA"/>
    <w:multiLevelType w:val="hybridMultilevel"/>
    <w:tmpl w:val="FD207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54A58"/>
    <w:multiLevelType w:val="hybridMultilevel"/>
    <w:tmpl w:val="C0809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oNotTrackFormatting/>
  <w:documentProtection w:edit="readOnly" w:enforcement="1" w:cryptProviderType="rsaFull" w:cryptAlgorithmClass="hash" w:cryptAlgorithmType="typeAny" w:cryptAlgorithmSid="4" w:cryptSpinCount="100000" w:hash="6KK5prsfsWVbTugeIajoooxvPWI=" w:salt="40zgwyHm+PbT7paWoZ/wc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BB"/>
    <w:rsid w:val="00000D09"/>
    <w:rsid w:val="00015612"/>
    <w:rsid w:val="00044731"/>
    <w:rsid w:val="0005046A"/>
    <w:rsid w:val="00057A37"/>
    <w:rsid w:val="00060AFD"/>
    <w:rsid w:val="00070060"/>
    <w:rsid w:val="00081ABF"/>
    <w:rsid w:val="0008403E"/>
    <w:rsid w:val="000A4C45"/>
    <w:rsid w:val="000C2544"/>
    <w:rsid w:val="000C3293"/>
    <w:rsid w:val="000C3F68"/>
    <w:rsid w:val="000C5323"/>
    <w:rsid w:val="000E7B75"/>
    <w:rsid w:val="000F57D1"/>
    <w:rsid w:val="000F69B6"/>
    <w:rsid w:val="000F73A6"/>
    <w:rsid w:val="001003B3"/>
    <w:rsid w:val="00103078"/>
    <w:rsid w:val="00113233"/>
    <w:rsid w:val="00115C7E"/>
    <w:rsid w:val="00123323"/>
    <w:rsid w:val="001440D1"/>
    <w:rsid w:val="00154BF0"/>
    <w:rsid w:val="00154D31"/>
    <w:rsid w:val="001632BB"/>
    <w:rsid w:val="0017386F"/>
    <w:rsid w:val="0018323F"/>
    <w:rsid w:val="001832AD"/>
    <w:rsid w:val="00194D94"/>
    <w:rsid w:val="001A46E8"/>
    <w:rsid w:val="001A5B2C"/>
    <w:rsid w:val="001A77E3"/>
    <w:rsid w:val="001C1EED"/>
    <w:rsid w:val="001C628C"/>
    <w:rsid w:val="001D23E6"/>
    <w:rsid w:val="001D2546"/>
    <w:rsid w:val="001D3041"/>
    <w:rsid w:val="001F0DC9"/>
    <w:rsid w:val="001F4B92"/>
    <w:rsid w:val="0020152E"/>
    <w:rsid w:val="00203A3B"/>
    <w:rsid w:val="00204A3E"/>
    <w:rsid w:val="0020560B"/>
    <w:rsid w:val="00211383"/>
    <w:rsid w:val="00216FF5"/>
    <w:rsid w:val="002247EE"/>
    <w:rsid w:val="00227A6F"/>
    <w:rsid w:val="00236E03"/>
    <w:rsid w:val="002537EA"/>
    <w:rsid w:val="00257069"/>
    <w:rsid w:val="00267726"/>
    <w:rsid w:val="0027698F"/>
    <w:rsid w:val="00284162"/>
    <w:rsid w:val="00286755"/>
    <w:rsid w:val="00292478"/>
    <w:rsid w:val="00292DD7"/>
    <w:rsid w:val="002B72D5"/>
    <w:rsid w:val="002E182F"/>
    <w:rsid w:val="002E7A1D"/>
    <w:rsid w:val="003035C5"/>
    <w:rsid w:val="00306794"/>
    <w:rsid w:val="00316E9F"/>
    <w:rsid w:val="003211CC"/>
    <w:rsid w:val="00334DC9"/>
    <w:rsid w:val="00341A5E"/>
    <w:rsid w:val="00352E39"/>
    <w:rsid w:val="00362FFA"/>
    <w:rsid w:val="00376AE2"/>
    <w:rsid w:val="003837CE"/>
    <w:rsid w:val="003A1631"/>
    <w:rsid w:val="003B5105"/>
    <w:rsid w:val="003F17B1"/>
    <w:rsid w:val="003F401C"/>
    <w:rsid w:val="00403E07"/>
    <w:rsid w:val="0040796E"/>
    <w:rsid w:val="004125D5"/>
    <w:rsid w:val="004205B6"/>
    <w:rsid w:val="00425ECD"/>
    <w:rsid w:val="004421EC"/>
    <w:rsid w:val="00457CF4"/>
    <w:rsid w:val="004642A9"/>
    <w:rsid w:val="00464F39"/>
    <w:rsid w:val="00466EA7"/>
    <w:rsid w:val="004765F6"/>
    <w:rsid w:val="0048642E"/>
    <w:rsid w:val="00486479"/>
    <w:rsid w:val="004876FC"/>
    <w:rsid w:val="004878BD"/>
    <w:rsid w:val="00495130"/>
    <w:rsid w:val="004A3F6A"/>
    <w:rsid w:val="004C37AE"/>
    <w:rsid w:val="004C4804"/>
    <w:rsid w:val="004C486B"/>
    <w:rsid w:val="004C6F99"/>
    <w:rsid w:val="004D6BC2"/>
    <w:rsid w:val="004F19EF"/>
    <w:rsid w:val="005014A2"/>
    <w:rsid w:val="005023DF"/>
    <w:rsid w:val="00504A08"/>
    <w:rsid w:val="005168D5"/>
    <w:rsid w:val="00517372"/>
    <w:rsid w:val="00526FA2"/>
    <w:rsid w:val="0053182A"/>
    <w:rsid w:val="00551BED"/>
    <w:rsid w:val="005623EA"/>
    <w:rsid w:val="0056476B"/>
    <w:rsid w:val="00567EBA"/>
    <w:rsid w:val="00574775"/>
    <w:rsid w:val="0059124A"/>
    <w:rsid w:val="005D41D2"/>
    <w:rsid w:val="00621D47"/>
    <w:rsid w:val="00624AF3"/>
    <w:rsid w:val="006301B9"/>
    <w:rsid w:val="00633568"/>
    <w:rsid w:val="00636013"/>
    <w:rsid w:val="00643F5B"/>
    <w:rsid w:val="006478BC"/>
    <w:rsid w:val="00650E78"/>
    <w:rsid w:val="0065647B"/>
    <w:rsid w:val="0066455F"/>
    <w:rsid w:val="00665C8A"/>
    <w:rsid w:val="0067221A"/>
    <w:rsid w:val="00675BE3"/>
    <w:rsid w:val="00680A5D"/>
    <w:rsid w:val="006C2B2F"/>
    <w:rsid w:val="006C32F1"/>
    <w:rsid w:val="006C7E58"/>
    <w:rsid w:val="006D6047"/>
    <w:rsid w:val="006F1586"/>
    <w:rsid w:val="006F5162"/>
    <w:rsid w:val="006F5315"/>
    <w:rsid w:val="00700A74"/>
    <w:rsid w:val="00711170"/>
    <w:rsid w:val="00711585"/>
    <w:rsid w:val="00712E07"/>
    <w:rsid w:val="00713F49"/>
    <w:rsid w:val="00715345"/>
    <w:rsid w:val="00716E24"/>
    <w:rsid w:val="00743C0F"/>
    <w:rsid w:val="00757CDE"/>
    <w:rsid w:val="0076300E"/>
    <w:rsid w:val="0077024C"/>
    <w:rsid w:val="00775914"/>
    <w:rsid w:val="007850ED"/>
    <w:rsid w:val="00785DE3"/>
    <w:rsid w:val="007A617F"/>
    <w:rsid w:val="007C6C5C"/>
    <w:rsid w:val="007D1987"/>
    <w:rsid w:val="007E1077"/>
    <w:rsid w:val="007F2E29"/>
    <w:rsid w:val="007F4A55"/>
    <w:rsid w:val="007F5EFF"/>
    <w:rsid w:val="00805A43"/>
    <w:rsid w:val="008210C3"/>
    <w:rsid w:val="008270FA"/>
    <w:rsid w:val="00830B39"/>
    <w:rsid w:val="00830C5F"/>
    <w:rsid w:val="00833473"/>
    <w:rsid w:val="00844C4A"/>
    <w:rsid w:val="00855B58"/>
    <w:rsid w:val="00856DB0"/>
    <w:rsid w:val="00872EF5"/>
    <w:rsid w:val="00885589"/>
    <w:rsid w:val="00894C0F"/>
    <w:rsid w:val="008A48A4"/>
    <w:rsid w:val="008E0003"/>
    <w:rsid w:val="00905B84"/>
    <w:rsid w:val="009312A7"/>
    <w:rsid w:val="00931458"/>
    <w:rsid w:val="00951A09"/>
    <w:rsid w:val="00952917"/>
    <w:rsid w:val="00952EEB"/>
    <w:rsid w:val="00955CB3"/>
    <w:rsid w:val="0096284F"/>
    <w:rsid w:val="00966213"/>
    <w:rsid w:val="009709B4"/>
    <w:rsid w:val="00971CDF"/>
    <w:rsid w:val="009977BF"/>
    <w:rsid w:val="00997D28"/>
    <w:rsid w:val="009A41A8"/>
    <w:rsid w:val="009B727A"/>
    <w:rsid w:val="009C07EC"/>
    <w:rsid w:val="009D3E12"/>
    <w:rsid w:val="009D492E"/>
    <w:rsid w:val="00A01EBB"/>
    <w:rsid w:val="00A171AB"/>
    <w:rsid w:val="00A20F94"/>
    <w:rsid w:val="00A27849"/>
    <w:rsid w:val="00A27C0F"/>
    <w:rsid w:val="00A33028"/>
    <w:rsid w:val="00A42CD1"/>
    <w:rsid w:val="00A44319"/>
    <w:rsid w:val="00A45DF6"/>
    <w:rsid w:val="00A51A57"/>
    <w:rsid w:val="00A55B0D"/>
    <w:rsid w:val="00A678B1"/>
    <w:rsid w:val="00A71CB3"/>
    <w:rsid w:val="00A75E8E"/>
    <w:rsid w:val="00A8262F"/>
    <w:rsid w:val="00A8405F"/>
    <w:rsid w:val="00A876DE"/>
    <w:rsid w:val="00A914A0"/>
    <w:rsid w:val="00AA0C3B"/>
    <w:rsid w:val="00AB0F98"/>
    <w:rsid w:val="00AB3FC1"/>
    <w:rsid w:val="00AC3F3D"/>
    <w:rsid w:val="00AC4BDB"/>
    <w:rsid w:val="00AD7421"/>
    <w:rsid w:val="00AE652A"/>
    <w:rsid w:val="00B010F1"/>
    <w:rsid w:val="00B12369"/>
    <w:rsid w:val="00B129FF"/>
    <w:rsid w:val="00B302F8"/>
    <w:rsid w:val="00B370F2"/>
    <w:rsid w:val="00B47FC1"/>
    <w:rsid w:val="00B549E2"/>
    <w:rsid w:val="00B70C8A"/>
    <w:rsid w:val="00B7180A"/>
    <w:rsid w:val="00B75482"/>
    <w:rsid w:val="00B90219"/>
    <w:rsid w:val="00B93860"/>
    <w:rsid w:val="00BA4156"/>
    <w:rsid w:val="00BD0F70"/>
    <w:rsid w:val="00BD5868"/>
    <w:rsid w:val="00BD70CB"/>
    <w:rsid w:val="00BE1F23"/>
    <w:rsid w:val="00BE240A"/>
    <w:rsid w:val="00BE4AE9"/>
    <w:rsid w:val="00BF7D4C"/>
    <w:rsid w:val="00C01D86"/>
    <w:rsid w:val="00C1387E"/>
    <w:rsid w:val="00C211A4"/>
    <w:rsid w:val="00C30701"/>
    <w:rsid w:val="00C32280"/>
    <w:rsid w:val="00C37B6A"/>
    <w:rsid w:val="00C430DA"/>
    <w:rsid w:val="00C46875"/>
    <w:rsid w:val="00C54F1A"/>
    <w:rsid w:val="00C73331"/>
    <w:rsid w:val="00C73CB6"/>
    <w:rsid w:val="00C818B1"/>
    <w:rsid w:val="00C8384A"/>
    <w:rsid w:val="00C83A7D"/>
    <w:rsid w:val="00C90180"/>
    <w:rsid w:val="00CB200D"/>
    <w:rsid w:val="00CB2594"/>
    <w:rsid w:val="00CD6BD5"/>
    <w:rsid w:val="00CE0A1A"/>
    <w:rsid w:val="00CE1F36"/>
    <w:rsid w:val="00CE3A1E"/>
    <w:rsid w:val="00CE6446"/>
    <w:rsid w:val="00D03A6F"/>
    <w:rsid w:val="00D165BA"/>
    <w:rsid w:val="00D27983"/>
    <w:rsid w:val="00D37BFC"/>
    <w:rsid w:val="00D43AA0"/>
    <w:rsid w:val="00D46987"/>
    <w:rsid w:val="00D56939"/>
    <w:rsid w:val="00D63B5D"/>
    <w:rsid w:val="00D66459"/>
    <w:rsid w:val="00D71735"/>
    <w:rsid w:val="00D818D7"/>
    <w:rsid w:val="00D93DDE"/>
    <w:rsid w:val="00DA37CD"/>
    <w:rsid w:val="00DC51D5"/>
    <w:rsid w:val="00DD1388"/>
    <w:rsid w:val="00DD3249"/>
    <w:rsid w:val="00DD3271"/>
    <w:rsid w:val="00DE4D72"/>
    <w:rsid w:val="00DE7A35"/>
    <w:rsid w:val="00DF054F"/>
    <w:rsid w:val="00DF74AE"/>
    <w:rsid w:val="00E04223"/>
    <w:rsid w:val="00E12853"/>
    <w:rsid w:val="00E12CD6"/>
    <w:rsid w:val="00E16925"/>
    <w:rsid w:val="00E20507"/>
    <w:rsid w:val="00E21DDC"/>
    <w:rsid w:val="00E223BE"/>
    <w:rsid w:val="00E37863"/>
    <w:rsid w:val="00E53D67"/>
    <w:rsid w:val="00E615C5"/>
    <w:rsid w:val="00E67D58"/>
    <w:rsid w:val="00E74104"/>
    <w:rsid w:val="00E75B37"/>
    <w:rsid w:val="00E76DC1"/>
    <w:rsid w:val="00E82441"/>
    <w:rsid w:val="00E97690"/>
    <w:rsid w:val="00EA3322"/>
    <w:rsid w:val="00EA3B58"/>
    <w:rsid w:val="00EB4CED"/>
    <w:rsid w:val="00EB50E6"/>
    <w:rsid w:val="00EC367D"/>
    <w:rsid w:val="00ED2357"/>
    <w:rsid w:val="00ED38FC"/>
    <w:rsid w:val="00EE0662"/>
    <w:rsid w:val="00EE3B38"/>
    <w:rsid w:val="00EE56D6"/>
    <w:rsid w:val="00EE674B"/>
    <w:rsid w:val="00EF0C53"/>
    <w:rsid w:val="00F053FD"/>
    <w:rsid w:val="00F141A0"/>
    <w:rsid w:val="00F3385D"/>
    <w:rsid w:val="00F703F3"/>
    <w:rsid w:val="00F71F2F"/>
    <w:rsid w:val="00F93C91"/>
    <w:rsid w:val="00FA2390"/>
    <w:rsid w:val="00FB2BAE"/>
    <w:rsid w:val="00FD6763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B6"/>
    <w:pPr>
      <w:ind w:left="720"/>
      <w:contextualSpacing/>
    </w:pPr>
  </w:style>
  <w:style w:type="table" w:styleId="TableGrid">
    <w:name w:val="Table Grid"/>
    <w:basedOn w:val="TableNormal"/>
    <w:uiPriority w:val="59"/>
    <w:rsid w:val="006C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37"/>
  </w:style>
  <w:style w:type="paragraph" w:styleId="Footer">
    <w:name w:val="footer"/>
    <w:basedOn w:val="Normal"/>
    <w:link w:val="FooterChar"/>
    <w:uiPriority w:val="99"/>
    <w:unhideWhenUsed/>
    <w:rsid w:val="00E75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37"/>
  </w:style>
  <w:style w:type="paragraph" w:styleId="BalloonText">
    <w:name w:val="Balloon Text"/>
    <w:basedOn w:val="Normal"/>
    <w:link w:val="BalloonTextChar"/>
    <w:uiPriority w:val="99"/>
    <w:semiHidden/>
    <w:unhideWhenUsed/>
    <w:rsid w:val="001D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B6"/>
    <w:pPr>
      <w:ind w:left="720"/>
      <w:contextualSpacing/>
    </w:pPr>
  </w:style>
  <w:style w:type="table" w:styleId="TableGrid">
    <w:name w:val="Table Grid"/>
    <w:basedOn w:val="TableNormal"/>
    <w:uiPriority w:val="59"/>
    <w:rsid w:val="006C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37"/>
  </w:style>
  <w:style w:type="paragraph" w:styleId="Footer">
    <w:name w:val="footer"/>
    <w:basedOn w:val="Normal"/>
    <w:link w:val="FooterChar"/>
    <w:uiPriority w:val="99"/>
    <w:unhideWhenUsed/>
    <w:rsid w:val="00E75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37"/>
  </w:style>
  <w:style w:type="paragraph" w:styleId="BalloonText">
    <w:name w:val="Balloon Text"/>
    <w:basedOn w:val="Normal"/>
    <w:link w:val="BalloonTextChar"/>
    <w:uiPriority w:val="99"/>
    <w:semiHidden/>
    <w:unhideWhenUsed/>
    <w:rsid w:val="001D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71698A5C3F9449DF91E3FE1858FE3" ma:contentTypeVersion="7" ma:contentTypeDescription="Create a new document." ma:contentTypeScope="" ma:versionID="c38336954768e134858b63780e18ce62">
  <xsd:schema xmlns:xsd="http://www.w3.org/2001/XMLSchema" xmlns:xs="http://www.w3.org/2001/XMLSchema" xmlns:p="http://schemas.microsoft.com/office/2006/metadata/properties" xmlns:ns1="http://schemas.microsoft.com/sharepoint/v3" xmlns:ns2="a1b493eb-668f-4177-89a6-83e32f44a36c" xmlns:ns4="cb9114c1-daad-44dd-acad-30f4246641f2" targetNamespace="http://schemas.microsoft.com/office/2006/metadata/properties" ma:root="true" ma:fieldsID="f2a329cc7f5924870c5e15f588bb86ce" ns1:_="" ns2:_="" ns4:_="">
    <xsd:import namespace="http://schemas.microsoft.com/sharepoint/v3"/>
    <xsd:import namespace="a1b493eb-668f-4177-89a6-83e32f44a36c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493eb-668f-4177-89a6-83e32f44a36c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PublishingStartDate xmlns="a1b493eb-668f-4177-89a6-83e32f44a36c" xsi:nil="true"/>
    <PublishingExpirationDate xmlns="http://schemas.microsoft.com/sharepoint/v3" xsi:nil="true"/>
    <RoutingRuleDescription xmlns="http://schemas.microsoft.com/sharepoint/v3">Review of quality assurance in Victoria's VET system - Government Response</RoutingRuleDescription>
  </documentManagement>
</p:properties>
</file>

<file path=customXml/itemProps1.xml><?xml version="1.0" encoding="utf-8"?>
<ds:datastoreItem xmlns:ds="http://schemas.openxmlformats.org/officeDocument/2006/customXml" ds:itemID="{DBFF9C83-37F4-4EA9-9BD9-B0E3A5014991}"/>
</file>

<file path=customXml/itemProps2.xml><?xml version="1.0" encoding="utf-8"?>
<ds:datastoreItem xmlns:ds="http://schemas.openxmlformats.org/officeDocument/2006/customXml" ds:itemID="{6DB97D28-8504-4423-9BD5-499C9C20E6C2}"/>
</file>

<file path=customXml/itemProps3.xml><?xml version="1.0" encoding="utf-8"?>
<ds:datastoreItem xmlns:ds="http://schemas.openxmlformats.org/officeDocument/2006/customXml" ds:itemID="{4A2F88BE-39D4-4C4D-A4A6-C9BBF018BE79}"/>
</file>

<file path=customXml/itemProps4.xml><?xml version="1.0" encoding="utf-8"?>
<ds:datastoreItem xmlns:ds="http://schemas.openxmlformats.org/officeDocument/2006/customXml" ds:itemID="{23C21F39-7635-4932-9457-CC49DC79D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2012</Words>
  <Characters>11472</Characters>
  <Application>Microsoft Office Word</Application>
  <DocSecurity>8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quality assurance in Victoria's VET system - Government Response</dc:title>
  <dc:creator/>
  <cp:lastPrinted>2015-06-29T03:08:00Z</cp:lastPrinted>
  <dcterms:created xsi:type="dcterms:W3CDTF">2015-06-29T02:19:00Z</dcterms:created>
  <dcterms:modified xsi:type="dcterms:W3CDTF">2015-06-29T03:13:00Z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0x010100CD771698A5C3F9449DF91E3FE1858FE3</vt:lpwstr>
  </property>
</Properties>
</file>